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04" w:rsidRDefault="00213E04" w:rsidP="00213E04">
      <w:pPr>
        <w:pStyle w:val="AERtitle1"/>
      </w:pPr>
      <w:bookmarkStart w:id="0" w:name="_Toc387916828"/>
      <w:r w:rsidRPr="00213E04">
        <w:rPr>
          <w:noProof/>
        </w:rPr>
        <w:drawing>
          <wp:anchor distT="0" distB="0" distL="114300" distR="114300" simplePos="0" relativeHeight="251659264" behindDoc="1" locked="0" layoutInCell="1" allowOverlap="1" wp14:anchorId="1BB601DF" wp14:editId="30727C2A">
            <wp:simplePos x="0" y="0"/>
            <wp:positionH relativeFrom="column">
              <wp:posOffset>-948678</wp:posOffset>
            </wp:positionH>
            <wp:positionV relativeFrom="paragraph">
              <wp:posOffset>-914400</wp:posOffset>
            </wp:positionV>
            <wp:extent cx="7660257" cy="10795760"/>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60257" cy="10795760"/>
                    </a:xfrm>
                    <a:prstGeom prst="rect">
                      <a:avLst/>
                    </a:prstGeom>
                    <a:noFill/>
                    <a:ln w="9525">
                      <a:noFill/>
                      <a:miter lim="800000"/>
                      <a:headEnd/>
                      <a:tailEnd/>
                    </a:ln>
                  </pic:spPr>
                </pic:pic>
              </a:graphicData>
            </a:graphic>
          </wp:anchor>
        </w:drawing>
      </w:r>
    </w:p>
    <w:p w:rsidR="00213E04" w:rsidRDefault="00213E04" w:rsidP="00213E04">
      <w:pPr>
        <w:pStyle w:val="AERtitle1"/>
      </w:pPr>
    </w:p>
    <w:p w:rsidR="00213E04" w:rsidRDefault="00213E04" w:rsidP="00213E04">
      <w:pPr>
        <w:pStyle w:val="AERtitle1"/>
      </w:pPr>
    </w:p>
    <w:p w:rsidR="00213E04" w:rsidRDefault="00213E04" w:rsidP="00213E04">
      <w:pPr>
        <w:pStyle w:val="AERtitle1"/>
      </w:pPr>
    </w:p>
    <w:p w:rsidR="00213E04" w:rsidRDefault="00213E04" w:rsidP="00213E04">
      <w:pPr>
        <w:pStyle w:val="AERtitle1"/>
      </w:pPr>
    </w:p>
    <w:p w:rsidR="00213E04" w:rsidRDefault="00213E04" w:rsidP="00213E04">
      <w:pPr>
        <w:pStyle w:val="AERtitle1"/>
      </w:pPr>
    </w:p>
    <w:p w:rsidR="00213E04" w:rsidRPr="000A33B4" w:rsidRDefault="00213E04" w:rsidP="00213E04">
      <w:pPr>
        <w:pStyle w:val="AERtitle1"/>
      </w:pPr>
      <w:r>
        <w:t>Draft Decision</w:t>
      </w:r>
    </w:p>
    <w:p w:rsidR="00213E04" w:rsidRDefault="00213E04" w:rsidP="00213E04">
      <w:pPr>
        <w:pStyle w:val="AERtitle1"/>
      </w:pPr>
      <w:r>
        <w:t>Ausgrid distribution determination</w:t>
      </w:r>
    </w:p>
    <w:p w:rsidR="00213E04" w:rsidRPr="000A33B4" w:rsidRDefault="00213E04" w:rsidP="00213E04">
      <w:pPr>
        <w:pStyle w:val="AERtitle1"/>
      </w:pPr>
      <w:r>
        <w:t>2015–16</w:t>
      </w:r>
      <w:r w:rsidRPr="000A33B4">
        <w:t xml:space="preserve"> to 201</w:t>
      </w:r>
      <w:r>
        <w:t>8–</w:t>
      </w:r>
      <w:r w:rsidRPr="000A33B4">
        <w:t>1</w:t>
      </w:r>
      <w:r>
        <w:t>9</w:t>
      </w:r>
    </w:p>
    <w:p w:rsidR="00213E04" w:rsidRPr="000A33B4" w:rsidRDefault="00213E04" w:rsidP="00213E04">
      <w:pPr>
        <w:pStyle w:val="AERtitle1"/>
      </w:pPr>
      <w:r>
        <w:t>Attachment 8: Corporate income tax</w:t>
      </w:r>
    </w:p>
    <w:p w:rsidR="00213E04" w:rsidRDefault="00213E04" w:rsidP="00F65417">
      <w:pPr>
        <w:pStyle w:val="AERbodytext"/>
        <w:numPr>
          <w:ilvl w:val="0"/>
          <w:numId w:val="0"/>
        </w:numPr>
      </w:pPr>
    </w:p>
    <w:p w:rsidR="00F65417" w:rsidRPr="000A33B4" w:rsidRDefault="00F65417" w:rsidP="00F65417">
      <w:pPr>
        <w:pStyle w:val="AERbodytext"/>
        <w:numPr>
          <w:ilvl w:val="0"/>
          <w:numId w:val="0"/>
        </w:numPr>
      </w:pPr>
    </w:p>
    <w:p w:rsidR="00213E04" w:rsidRDefault="00213E04" w:rsidP="00213E04">
      <w:pPr>
        <w:pStyle w:val="AERtitle2"/>
      </w:pPr>
      <w:r w:rsidRPr="000A33B4">
        <w:t>November 2014</w:t>
      </w:r>
    </w:p>
    <w:p w:rsidR="00213E04" w:rsidRPr="00213E04" w:rsidRDefault="00213E04" w:rsidP="00213E04">
      <w:r>
        <w:br w:type="page"/>
      </w:r>
    </w:p>
    <w:p w:rsidR="00213E04" w:rsidRPr="000A33B4" w:rsidRDefault="00213E04" w:rsidP="00213E04">
      <w:pPr>
        <w:pStyle w:val="AERbodytextnospace"/>
        <w:rPr>
          <w:rStyle w:val="AERtextbold"/>
        </w:rPr>
      </w:pPr>
      <w:r w:rsidRPr="000A33B4">
        <w:rPr>
          <w:rStyle w:val="AERtextbold"/>
        </w:rPr>
        <w:lastRenderedPageBreak/>
        <w:t>© Commonwealth of Australia 2014</w:t>
      </w:r>
    </w:p>
    <w:p w:rsidR="00213E04" w:rsidRPr="000A33B4" w:rsidRDefault="00213E04" w:rsidP="00213E04">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213E04" w:rsidRPr="000A33B4" w:rsidRDefault="00213E04" w:rsidP="00213E04">
      <w:pPr>
        <w:pStyle w:val="AERbulletlistfirststyle"/>
      </w:pPr>
      <w:r w:rsidRPr="000A33B4">
        <w:t>the Commonwealth Coat of Arms</w:t>
      </w:r>
    </w:p>
    <w:p w:rsidR="00213E04" w:rsidRDefault="00213E04" w:rsidP="00213E04">
      <w:pPr>
        <w:pStyle w:val="AERbulletlistfirststyle"/>
      </w:pPr>
      <w:r w:rsidRPr="000A33B4">
        <w:t>the ACCC and AER logos</w:t>
      </w:r>
    </w:p>
    <w:p w:rsidR="00213E04" w:rsidRPr="000A33B4" w:rsidRDefault="00213E04" w:rsidP="00213E04">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213E04" w:rsidRPr="000A33B4" w:rsidRDefault="00213E04" w:rsidP="00213E04">
      <w:pPr>
        <w:pStyle w:val="AERbodytext"/>
      </w:pPr>
      <w:r w:rsidRPr="000A33B4">
        <w:t>The details of the relevant licence conditions are available on the Creative Commons website, as is the full legal code for the CC BY 3.0 AU licence.</w:t>
      </w:r>
    </w:p>
    <w:p w:rsidR="00213E04" w:rsidRPr="000A33B4" w:rsidRDefault="00213E04" w:rsidP="00213E04">
      <w:pPr>
        <w:pStyle w:val="AERbodytext"/>
      </w:pPr>
      <w:r w:rsidRPr="000A33B4">
        <w:t>Requests and inquiries concerning reproduction and rights should be addressed to the Director, Corporate Communications, ACCC, GPO Box 3131, Canberra ACT 2601, or</w:t>
      </w:r>
      <w:r>
        <w:t xml:space="preserve"> </w:t>
      </w:r>
      <w:hyperlink r:id="rId9" w:history="1">
        <w:r w:rsidRPr="000A33B4">
          <w:t>publishing.unit@accc.gov.au</w:t>
        </w:r>
      </w:hyperlink>
      <w:r w:rsidRPr="000A33B4">
        <w:t>.</w:t>
      </w:r>
    </w:p>
    <w:p w:rsidR="00213E04" w:rsidRPr="000A33B4" w:rsidRDefault="00213E04" w:rsidP="00213E04">
      <w:pPr>
        <w:pStyle w:val="AERbodytext"/>
      </w:pPr>
      <w:r w:rsidRPr="000A33B4">
        <w:t>Inquiries about this document should be addressed to:</w:t>
      </w:r>
    </w:p>
    <w:p w:rsidR="00213E04" w:rsidRPr="000A33B4" w:rsidRDefault="00213E04" w:rsidP="00213E04">
      <w:pPr>
        <w:pStyle w:val="AERbodytextnospace"/>
      </w:pPr>
      <w:r w:rsidRPr="000A33B4">
        <w:t>Australian Energy Regulator</w:t>
      </w:r>
    </w:p>
    <w:p w:rsidR="00213E04" w:rsidRPr="000A33B4" w:rsidRDefault="00213E04" w:rsidP="00213E04">
      <w:pPr>
        <w:pStyle w:val="AERbodytextnospace"/>
      </w:pPr>
      <w:r w:rsidRPr="000A33B4">
        <w:t>GPO Box 520</w:t>
      </w:r>
    </w:p>
    <w:p w:rsidR="00213E04" w:rsidRPr="000A33B4" w:rsidRDefault="00213E04" w:rsidP="00213E04">
      <w:pPr>
        <w:pStyle w:val="AERbodytextnospace"/>
      </w:pPr>
      <w:r w:rsidRPr="000A33B4">
        <w:t>Melbourne  Vic  3001</w:t>
      </w:r>
    </w:p>
    <w:p w:rsidR="00213E04" w:rsidRPr="000A33B4" w:rsidRDefault="00213E04" w:rsidP="00213E04">
      <w:pPr>
        <w:pStyle w:val="AERbodytextnospace"/>
      </w:pPr>
      <w:r w:rsidRPr="000A33B4">
        <w:t>Tel: (03) 9290 1444</w:t>
      </w:r>
    </w:p>
    <w:p w:rsidR="00213E04" w:rsidRPr="000A33B4" w:rsidRDefault="00213E04" w:rsidP="00213E04">
      <w:pPr>
        <w:pStyle w:val="AERbodytextnospace"/>
      </w:pPr>
      <w:r w:rsidRPr="000A33B4">
        <w:t>Fax: (03) 9290 1457</w:t>
      </w:r>
    </w:p>
    <w:p w:rsidR="00213E04" w:rsidRPr="000A33B4" w:rsidRDefault="00213E04" w:rsidP="00213E04">
      <w:pPr>
        <w:pStyle w:val="AERbodytextnospace"/>
      </w:pPr>
      <w:r w:rsidRPr="000A33B4">
        <w:t xml:space="preserve">Email: </w:t>
      </w:r>
      <w:hyperlink r:id="rId10" w:history="1">
        <w:r w:rsidRPr="000A33B4">
          <w:rPr>
            <w:rStyle w:val="Hyperlink"/>
          </w:rPr>
          <w:t>AERInquiry@aer.gov.au</w:t>
        </w:r>
      </w:hyperlink>
    </w:p>
    <w:p w:rsidR="00213E04" w:rsidRPr="000A33B4" w:rsidRDefault="00213E04" w:rsidP="00213E04">
      <w:pPr>
        <w:pStyle w:val="AERbodytext"/>
      </w:pPr>
    </w:p>
    <w:p w:rsidR="00213E04" w:rsidRDefault="00213E04" w:rsidP="00213E04">
      <w:pPr>
        <w:pStyle w:val="AERbodytext"/>
        <w:rPr>
          <w:rStyle w:val="AERbody"/>
        </w:rPr>
      </w:pPr>
      <w:r w:rsidRPr="000A33B4">
        <w:t>AER reference</w:t>
      </w:r>
      <w:r w:rsidRPr="000A33B4">
        <w:rPr>
          <w:rStyle w:val="AERbody"/>
        </w:rPr>
        <w:t xml:space="preserve">:  </w:t>
      </w:r>
      <w:r>
        <w:rPr>
          <w:rStyle w:val="AERbody"/>
        </w:rPr>
        <w:t>52294</w:t>
      </w:r>
    </w:p>
    <w:p w:rsidR="00213E04" w:rsidRDefault="00213E04" w:rsidP="00213E04">
      <w:pPr>
        <w:pStyle w:val="UnnumberedHeading"/>
      </w:pPr>
      <w:bookmarkStart w:id="1" w:name="_Toc404354899"/>
      <w:bookmarkStart w:id="2" w:name="_Toc404353070"/>
      <w:bookmarkStart w:id="3" w:name="_Toc404364236"/>
      <w:r>
        <w:lastRenderedPageBreak/>
        <w:t>Note</w:t>
      </w:r>
      <w:bookmarkEnd w:id="1"/>
      <w:bookmarkEnd w:id="2"/>
      <w:bookmarkEnd w:id="3"/>
    </w:p>
    <w:p w:rsidR="00213E04" w:rsidRDefault="00213E04" w:rsidP="00213E04">
      <w:pPr>
        <w:pStyle w:val="AERbodytext"/>
      </w:pPr>
      <w:r>
        <w:t>This attachment forms part of the AER's draft decision on Ausgrid’s 2015–19 distribution determination. It should be read with other parts of the draft decision.</w:t>
      </w:r>
    </w:p>
    <w:p w:rsidR="00213E04" w:rsidRDefault="00213E04" w:rsidP="00213E04">
      <w:pPr>
        <w:pStyle w:val="AERbodytext"/>
      </w:pPr>
      <w:r>
        <w:t>The draft decision includes the following documents:</w:t>
      </w:r>
    </w:p>
    <w:p w:rsidR="00213E04" w:rsidRDefault="00213E04" w:rsidP="00213E04">
      <w:pPr>
        <w:pStyle w:val="AERbodytext"/>
      </w:pPr>
      <w:r>
        <w:t>Overview</w:t>
      </w:r>
    </w:p>
    <w:p w:rsidR="00213E04" w:rsidRDefault="00213E04" w:rsidP="00213E04">
      <w:pPr>
        <w:pStyle w:val="AERbodytext"/>
      </w:pPr>
      <w:r>
        <w:t>Attachment 1 – Annual revenue requirement</w:t>
      </w:r>
    </w:p>
    <w:p w:rsidR="00213E04" w:rsidRDefault="00213E04" w:rsidP="00213E04">
      <w:pPr>
        <w:pStyle w:val="AERbodytext"/>
      </w:pPr>
      <w:r>
        <w:t>Attachment 2 – Regulatory asset base</w:t>
      </w:r>
    </w:p>
    <w:p w:rsidR="00213E04" w:rsidRDefault="00213E04" w:rsidP="00213E04">
      <w:pPr>
        <w:pStyle w:val="AERbodytext"/>
      </w:pPr>
      <w:r>
        <w:t>Attachment 3 – Rate of return</w:t>
      </w:r>
    </w:p>
    <w:p w:rsidR="00213E04" w:rsidRDefault="00213E04" w:rsidP="00213E04">
      <w:pPr>
        <w:pStyle w:val="AERbodytext"/>
      </w:pPr>
      <w:r>
        <w:t>Attachment 4 – Value of imputation credits</w:t>
      </w:r>
    </w:p>
    <w:p w:rsidR="00213E04" w:rsidRDefault="00213E04" w:rsidP="00213E04">
      <w:pPr>
        <w:pStyle w:val="AERbodytext"/>
      </w:pPr>
      <w:r>
        <w:t>Attachment 5 – Regulatory depreciation</w:t>
      </w:r>
    </w:p>
    <w:p w:rsidR="00213E04" w:rsidRDefault="00213E04" w:rsidP="00213E04">
      <w:pPr>
        <w:pStyle w:val="AERbodytext"/>
      </w:pPr>
      <w:r>
        <w:t xml:space="preserve">Attachment 6 – Capital expenditure </w:t>
      </w:r>
    </w:p>
    <w:p w:rsidR="00213E04" w:rsidRDefault="00213E04" w:rsidP="00213E04">
      <w:pPr>
        <w:pStyle w:val="AERbodytext"/>
      </w:pPr>
      <w:r>
        <w:t>Attachment 7 – Operating expenditure</w:t>
      </w:r>
    </w:p>
    <w:p w:rsidR="00213E04" w:rsidRDefault="00213E04" w:rsidP="00213E04">
      <w:pPr>
        <w:pStyle w:val="AERbodytext"/>
      </w:pPr>
      <w:r>
        <w:t>Attachment 8 – Corporate income tax</w:t>
      </w:r>
    </w:p>
    <w:p w:rsidR="00213E04" w:rsidRDefault="00213E04" w:rsidP="00213E04">
      <w:pPr>
        <w:pStyle w:val="AERbodytext"/>
      </w:pPr>
      <w:r>
        <w:t>Attachment 9 – Efficiency benefit sharing scheme</w:t>
      </w:r>
    </w:p>
    <w:p w:rsidR="00213E04" w:rsidRDefault="00213E04" w:rsidP="00213E04">
      <w:pPr>
        <w:pStyle w:val="AERbodytext"/>
      </w:pPr>
      <w:r>
        <w:t>Attachment 10 – Capital expenditure sharing scheme</w:t>
      </w:r>
    </w:p>
    <w:p w:rsidR="00213E04" w:rsidRDefault="00213E04" w:rsidP="00213E04">
      <w:pPr>
        <w:pStyle w:val="AERbodytext"/>
      </w:pPr>
      <w:r>
        <w:t>Attachment 11 – Service target performance incentive scheme</w:t>
      </w:r>
    </w:p>
    <w:p w:rsidR="00213E04" w:rsidRDefault="00213E04" w:rsidP="00213E04">
      <w:pPr>
        <w:pStyle w:val="AERbodytext"/>
      </w:pPr>
      <w:r>
        <w:t>Attachment 12 – Demand management incentive scheme</w:t>
      </w:r>
    </w:p>
    <w:p w:rsidR="00213E04" w:rsidRDefault="00213E04" w:rsidP="00213E04">
      <w:pPr>
        <w:pStyle w:val="AERbodytext"/>
      </w:pPr>
      <w:r>
        <w:t>Attachment 13 – Classification of services</w:t>
      </w:r>
    </w:p>
    <w:p w:rsidR="00213E04" w:rsidRDefault="00213E04" w:rsidP="00213E04">
      <w:pPr>
        <w:pStyle w:val="AERbodytext"/>
      </w:pPr>
      <w:r>
        <w:t>Attachment 14 – Control mechanism</w:t>
      </w:r>
    </w:p>
    <w:p w:rsidR="00213E04" w:rsidRDefault="00213E04" w:rsidP="00213E04">
      <w:pPr>
        <w:pStyle w:val="AERbodytext"/>
      </w:pPr>
      <w:r>
        <w:t>Attachment 15 – Pass through events</w:t>
      </w:r>
    </w:p>
    <w:p w:rsidR="00213E04" w:rsidRDefault="00213E04" w:rsidP="00213E04">
      <w:pPr>
        <w:pStyle w:val="AERbodytext"/>
      </w:pPr>
      <w:r>
        <w:t>Attachment 16 – Alternative control services</w:t>
      </w:r>
    </w:p>
    <w:p w:rsidR="00213E04" w:rsidRDefault="00213E04" w:rsidP="00213E04">
      <w:pPr>
        <w:pStyle w:val="AERbodytext"/>
      </w:pPr>
      <w:r>
        <w:t>Attachment 17 – Negotiated services framework and criteria</w:t>
      </w:r>
    </w:p>
    <w:p w:rsidR="00213E04" w:rsidRPr="008B6C33" w:rsidRDefault="00213E04" w:rsidP="00213E04">
      <w:pPr>
        <w:pStyle w:val="AERbodytext"/>
      </w:pPr>
      <w:r>
        <w:t>Attachment 18 – Connection methodology</w:t>
      </w:r>
    </w:p>
    <w:p w:rsidR="00213E04" w:rsidRDefault="00213E04" w:rsidP="00213E04">
      <w:pPr>
        <w:pStyle w:val="AERbodytext"/>
      </w:pPr>
      <w:r>
        <w:t>Attachment 19 – Pricing methodology</w:t>
      </w:r>
    </w:p>
    <w:p w:rsidR="00213E04" w:rsidRDefault="00213E04" w:rsidP="00213E04">
      <w:pPr>
        <w:pStyle w:val="UnnumberedHeading"/>
      </w:pPr>
      <w:bookmarkStart w:id="4" w:name="_Toc404364237"/>
      <w:r>
        <w:lastRenderedPageBreak/>
        <w:t>Contents</w:t>
      </w:r>
      <w:bookmarkEnd w:id="4"/>
    </w:p>
    <w:sdt>
      <w:sdtPr>
        <w:rPr>
          <w:rFonts w:ascii="Arial" w:eastAsiaTheme="minorHAnsi" w:hAnsi="Arial" w:cstheme="minorBidi"/>
          <w:b w:val="0"/>
          <w:bCs w:val="0"/>
          <w:noProof/>
          <w:sz w:val="22"/>
          <w:szCs w:val="22"/>
          <w:lang w:val="en-US" w:eastAsia="ja-JP"/>
        </w:rPr>
        <w:id w:val="666679055"/>
        <w:docPartObj>
          <w:docPartGallery w:val="Table of Contents"/>
          <w:docPartUnique/>
        </w:docPartObj>
      </w:sdtPr>
      <w:sdtEndPr>
        <w:rPr>
          <w:rFonts w:ascii="Gautami" w:eastAsia="Times New Roman" w:hAnsi="Gautami" w:cs="Times New Roman"/>
          <w:noProof w:val="0"/>
          <w:sz w:val="20"/>
          <w:szCs w:val="24"/>
          <w:lang w:val="en-AU" w:eastAsia="en-US"/>
        </w:rPr>
      </w:sdtEndPr>
      <w:sdtContent>
        <w:p w:rsidR="00213E04" w:rsidRDefault="00213E04">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instrText xml:space="preserve"> TOC \o \h \z \u </w:instrText>
          </w:r>
          <w:r>
            <w:rPr>
              <w:rFonts w:ascii="Arial" w:eastAsiaTheme="minorHAnsi" w:hAnsi="Arial" w:cstheme="minorBidi"/>
              <w:bCs w:val="0"/>
              <w:noProof/>
              <w:sz w:val="22"/>
              <w:szCs w:val="22"/>
              <w:lang w:val="en-US" w:eastAsia="ja-JP"/>
            </w:rPr>
            <w:fldChar w:fldCharType="separate"/>
          </w:r>
          <w:hyperlink w:anchor="_Toc404364236" w:history="1">
            <w:r w:rsidRPr="009938DD">
              <w:rPr>
                <w:rStyle w:val="Hyperlink"/>
                <w:noProof/>
              </w:rPr>
              <w:t>Note</w:t>
            </w:r>
            <w:r>
              <w:rPr>
                <w:noProof/>
                <w:webHidden/>
              </w:rPr>
              <w:tab/>
              <w:t>8-</w:t>
            </w:r>
            <w:r>
              <w:rPr>
                <w:noProof/>
                <w:webHidden/>
              </w:rPr>
              <w:fldChar w:fldCharType="begin"/>
            </w:r>
            <w:r>
              <w:rPr>
                <w:noProof/>
                <w:webHidden/>
              </w:rPr>
              <w:instrText xml:space="preserve"> PAGEREF _Toc404364236 \h </w:instrText>
            </w:r>
            <w:r>
              <w:rPr>
                <w:noProof/>
                <w:webHidden/>
              </w:rPr>
            </w:r>
            <w:r>
              <w:rPr>
                <w:noProof/>
                <w:webHidden/>
              </w:rPr>
              <w:fldChar w:fldCharType="separate"/>
            </w:r>
            <w:r w:rsidR="005F7062">
              <w:rPr>
                <w:noProof/>
                <w:webHidden/>
              </w:rPr>
              <w:t>3</w:t>
            </w:r>
            <w:r>
              <w:rPr>
                <w:noProof/>
                <w:webHidden/>
              </w:rPr>
              <w:fldChar w:fldCharType="end"/>
            </w:r>
          </w:hyperlink>
        </w:p>
        <w:p w:rsidR="00213E04" w:rsidRDefault="00316070">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64237" w:history="1">
            <w:r w:rsidR="00213E04" w:rsidRPr="009938DD">
              <w:rPr>
                <w:rStyle w:val="Hyperlink"/>
                <w:noProof/>
              </w:rPr>
              <w:t>Contents</w:t>
            </w:r>
            <w:r w:rsidR="00213E04">
              <w:rPr>
                <w:noProof/>
                <w:webHidden/>
              </w:rPr>
              <w:tab/>
              <w:t>8-</w:t>
            </w:r>
            <w:r w:rsidR="00213E04">
              <w:rPr>
                <w:noProof/>
                <w:webHidden/>
              </w:rPr>
              <w:fldChar w:fldCharType="begin"/>
            </w:r>
            <w:r w:rsidR="00213E04">
              <w:rPr>
                <w:noProof/>
                <w:webHidden/>
              </w:rPr>
              <w:instrText xml:space="preserve"> PAGEREF _Toc404364237 \h </w:instrText>
            </w:r>
            <w:r w:rsidR="00213E04">
              <w:rPr>
                <w:noProof/>
                <w:webHidden/>
              </w:rPr>
            </w:r>
            <w:r w:rsidR="00213E04">
              <w:rPr>
                <w:noProof/>
                <w:webHidden/>
              </w:rPr>
              <w:fldChar w:fldCharType="separate"/>
            </w:r>
            <w:r w:rsidR="005F7062">
              <w:rPr>
                <w:noProof/>
                <w:webHidden/>
              </w:rPr>
              <w:t>4</w:t>
            </w:r>
            <w:r w:rsidR="00213E04">
              <w:rPr>
                <w:noProof/>
                <w:webHidden/>
              </w:rPr>
              <w:fldChar w:fldCharType="end"/>
            </w:r>
          </w:hyperlink>
        </w:p>
        <w:p w:rsidR="00213E04" w:rsidRDefault="00316070">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64238" w:history="1">
            <w:r w:rsidR="00213E04" w:rsidRPr="009938DD">
              <w:rPr>
                <w:rStyle w:val="Hyperlink"/>
                <w:noProof/>
              </w:rPr>
              <w:t>Shortened forms</w:t>
            </w:r>
            <w:r w:rsidR="00213E04">
              <w:rPr>
                <w:noProof/>
                <w:webHidden/>
              </w:rPr>
              <w:tab/>
              <w:t>8-</w:t>
            </w:r>
            <w:r w:rsidR="00213E04">
              <w:rPr>
                <w:noProof/>
                <w:webHidden/>
              </w:rPr>
              <w:fldChar w:fldCharType="begin"/>
            </w:r>
            <w:r w:rsidR="00213E04">
              <w:rPr>
                <w:noProof/>
                <w:webHidden/>
              </w:rPr>
              <w:instrText xml:space="preserve"> PAGEREF _Toc404364238 \h </w:instrText>
            </w:r>
            <w:r w:rsidR="00213E04">
              <w:rPr>
                <w:noProof/>
                <w:webHidden/>
              </w:rPr>
            </w:r>
            <w:r w:rsidR="00213E04">
              <w:rPr>
                <w:noProof/>
                <w:webHidden/>
              </w:rPr>
              <w:fldChar w:fldCharType="separate"/>
            </w:r>
            <w:r w:rsidR="005F7062">
              <w:rPr>
                <w:noProof/>
                <w:webHidden/>
              </w:rPr>
              <w:t>5</w:t>
            </w:r>
            <w:r w:rsidR="00213E04">
              <w:rPr>
                <w:noProof/>
                <w:webHidden/>
              </w:rPr>
              <w:fldChar w:fldCharType="end"/>
            </w:r>
          </w:hyperlink>
        </w:p>
        <w:p w:rsidR="00213E04" w:rsidRDefault="0031607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64239" w:history="1">
            <w:r w:rsidR="00213E04" w:rsidRPr="009938DD">
              <w:rPr>
                <w:rStyle w:val="Hyperlink"/>
                <w:noProof/>
              </w:rPr>
              <w:t>8</w:t>
            </w:r>
            <w:r w:rsidR="00213E04">
              <w:rPr>
                <w:rFonts w:asciiTheme="minorHAnsi" w:eastAsiaTheme="minorEastAsia" w:hAnsiTheme="minorHAnsi" w:cstheme="minorBidi"/>
                <w:b w:val="0"/>
                <w:bCs w:val="0"/>
                <w:noProof/>
                <w:sz w:val="22"/>
                <w:szCs w:val="22"/>
                <w:lang w:eastAsia="en-AU"/>
              </w:rPr>
              <w:tab/>
            </w:r>
            <w:r w:rsidR="00213E04" w:rsidRPr="009938DD">
              <w:rPr>
                <w:rStyle w:val="Hyperlink"/>
                <w:noProof/>
              </w:rPr>
              <w:t>Corporate income tax</w:t>
            </w:r>
            <w:bookmarkStart w:id="5" w:name="_GoBack"/>
            <w:bookmarkEnd w:id="5"/>
            <w:r w:rsidR="00213E04">
              <w:rPr>
                <w:noProof/>
                <w:webHidden/>
              </w:rPr>
              <w:tab/>
              <w:t>8-</w:t>
            </w:r>
            <w:r w:rsidR="00213E04">
              <w:rPr>
                <w:noProof/>
                <w:webHidden/>
              </w:rPr>
              <w:fldChar w:fldCharType="begin"/>
            </w:r>
            <w:r w:rsidR="00213E04">
              <w:rPr>
                <w:noProof/>
                <w:webHidden/>
              </w:rPr>
              <w:instrText xml:space="preserve"> PAGEREF _Toc404364239 \h </w:instrText>
            </w:r>
            <w:r w:rsidR="00213E04">
              <w:rPr>
                <w:noProof/>
                <w:webHidden/>
              </w:rPr>
            </w:r>
            <w:r w:rsidR="00213E04">
              <w:rPr>
                <w:noProof/>
                <w:webHidden/>
              </w:rPr>
              <w:fldChar w:fldCharType="separate"/>
            </w:r>
            <w:r w:rsidR="005F7062">
              <w:rPr>
                <w:noProof/>
                <w:webHidden/>
              </w:rPr>
              <w:t>7</w:t>
            </w:r>
            <w:r w:rsidR="00213E04">
              <w:rPr>
                <w:noProof/>
                <w:webHidden/>
              </w:rPr>
              <w:fldChar w:fldCharType="end"/>
            </w:r>
          </w:hyperlink>
        </w:p>
        <w:p w:rsidR="00213E04" w:rsidRDefault="0031607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4240" w:history="1">
            <w:r w:rsidR="00213E04" w:rsidRPr="009938DD">
              <w:rPr>
                <w:rStyle w:val="Hyperlink"/>
                <w:noProof/>
              </w:rPr>
              <w:t>8.1</w:t>
            </w:r>
            <w:r w:rsidR="00213E04">
              <w:rPr>
                <w:rFonts w:asciiTheme="minorHAnsi" w:eastAsiaTheme="minorEastAsia" w:hAnsiTheme="minorHAnsi" w:cstheme="minorBidi"/>
                <w:iCs w:val="0"/>
                <w:noProof/>
                <w:sz w:val="22"/>
                <w:szCs w:val="22"/>
                <w:lang w:eastAsia="en-AU"/>
              </w:rPr>
              <w:tab/>
            </w:r>
            <w:r w:rsidR="00213E04" w:rsidRPr="009938DD">
              <w:rPr>
                <w:rStyle w:val="Hyperlink"/>
                <w:noProof/>
              </w:rPr>
              <w:t>Draft decision</w:t>
            </w:r>
            <w:r w:rsidR="00213E04">
              <w:rPr>
                <w:noProof/>
                <w:webHidden/>
              </w:rPr>
              <w:tab/>
              <w:t>8-</w:t>
            </w:r>
            <w:r w:rsidR="00213E04">
              <w:rPr>
                <w:noProof/>
                <w:webHidden/>
              </w:rPr>
              <w:fldChar w:fldCharType="begin"/>
            </w:r>
            <w:r w:rsidR="00213E04">
              <w:rPr>
                <w:noProof/>
                <w:webHidden/>
              </w:rPr>
              <w:instrText xml:space="preserve"> PAGEREF _Toc404364240 \h </w:instrText>
            </w:r>
            <w:r w:rsidR="00213E04">
              <w:rPr>
                <w:noProof/>
                <w:webHidden/>
              </w:rPr>
            </w:r>
            <w:r w:rsidR="00213E04">
              <w:rPr>
                <w:noProof/>
                <w:webHidden/>
              </w:rPr>
              <w:fldChar w:fldCharType="separate"/>
            </w:r>
            <w:r w:rsidR="005F7062">
              <w:rPr>
                <w:noProof/>
                <w:webHidden/>
              </w:rPr>
              <w:t>7</w:t>
            </w:r>
            <w:r w:rsidR="00213E04">
              <w:rPr>
                <w:noProof/>
                <w:webHidden/>
              </w:rPr>
              <w:fldChar w:fldCharType="end"/>
            </w:r>
          </w:hyperlink>
        </w:p>
        <w:p w:rsidR="00213E04" w:rsidRDefault="0031607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4241" w:history="1">
            <w:r w:rsidR="00213E04" w:rsidRPr="009938DD">
              <w:rPr>
                <w:rStyle w:val="Hyperlink"/>
                <w:noProof/>
              </w:rPr>
              <w:t>8.2</w:t>
            </w:r>
            <w:r w:rsidR="00213E04">
              <w:rPr>
                <w:rFonts w:asciiTheme="minorHAnsi" w:eastAsiaTheme="minorEastAsia" w:hAnsiTheme="minorHAnsi" w:cstheme="minorBidi"/>
                <w:iCs w:val="0"/>
                <w:noProof/>
                <w:sz w:val="22"/>
                <w:szCs w:val="22"/>
                <w:lang w:eastAsia="en-AU"/>
              </w:rPr>
              <w:tab/>
            </w:r>
            <w:r w:rsidR="00213E04" w:rsidRPr="009938DD">
              <w:rPr>
                <w:rStyle w:val="Hyperlink"/>
                <w:noProof/>
              </w:rPr>
              <w:t>Ausgrid's proposal</w:t>
            </w:r>
            <w:r w:rsidR="00213E04">
              <w:rPr>
                <w:noProof/>
                <w:webHidden/>
              </w:rPr>
              <w:tab/>
              <w:t>8-</w:t>
            </w:r>
            <w:r w:rsidR="00213E04">
              <w:rPr>
                <w:noProof/>
                <w:webHidden/>
              </w:rPr>
              <w:fldChar w:fldCharType="begin"/>
            </w:r>
            <w:r w:rsidR="00213E04">
              <w:rPr>
                <w:noProof/>
                <w:webHidden/>
              </w:rPr>
              <w:instrText xml:space="preserve"> PAGEREF _Toc404364241 \h </w:instrText>
            </w:r>
            <w:r w:rsidR="00213E04">
              <w:rPr>
                <w:noProof/>
                <w:webHidden/>
              </w:rPr>
            </w:r>
            <w:r w:rsidR="00213E04">
              <w:rPr>
                <w:noProof/>
                <w:webHidden/>
              </w:rPr>
              <w:fldChar w:fldCharType="separate"/>
            </w:r>
            <w:r w:rsidR="005F7062">
              <w:rPr>
                <w:noProof/>
                <w:webHidden/>
              </w:rPr>
              <w:t>8</w:t>
            </w:r>
            <w:r w:rsidR="00213E04">
              <w:rPr>
                <w:noProof/>
                <w:webHidden/>
              </w:rPr>
              <w:fldChar w:fldCharType="end"/>
            </w:r>
          </w:hyperlink>
        </w:p>
        <w:p w:rsidR="00213E04" w:rsidRDefault="0031607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4242" w:history="1">
            <w:r w:rsidR="00213E04" w:rsidRPr="009938DD">
              <w:rPr>
                <w:rStyle w:val="Hyperlink"/>
                <w:noProof/>
              </w:rPr>
              <w:t>8.3</w:t>
            </w:r>
            <w:r w:rsidR="00213E04">
              <w:rPr>
                <w:rFonts w:asciiTheme="minorHAnsi" w:eastAsiaTheme="minorEastAsia" w:hAnsiTheme="minorHAnsi" w:cstheme="minorBidi"/>
                <w:iCs w:val="0"/>
                <w:noProof/>
                <w:sz w:val="22"/>
                <w:szCs w:val="22"/>
                <w:lang w:eastAsia="en-AU"/>
              </w:rPr>
              <w:tab/>
            </w:r>
            <w:r w:rsidR="00213E04" w:rsidRPr="009938DD">
              <w:rPr>
                <w:rStyle w:val="Hyperlink"/>
                <w:noProof/>
              </w:rPr>
              <w:t>AER's assessment approach</w:t>
            </w:r>
            <w:r w:rsidR="00213E04">
              <w:rPr>
                <w:noProof/>
                <w:webHidden/>
              </w:rPr>
              <w:tab/>
              <w:t>8-</w:t>
            </w:r>
            <w:r w:rsidR="00213E04">
              <w:rPr>
                <w:noProof/>
                <w:webHidden/>
              </w:rPr>
              <w:fldChar w:fldCharType="begin"/>
            </w:r>
            <w:r w:rsidR="00213E04">
              <w:rPr>
                <w:noProof/>
                <w:webHidden/>
              </w:rPr>
              <w:instrText xml:space="preserve"> PAGEREF _Toc404364242 \h </w:instrText>
            </w:r>
            <w:r w:rsidR="00213E04">
              <w:rPr>
                <w:noProof/>
                <w:webHidden/>
              </w:rPr>
            </w:r>
            <w:r w:rsidR="00213E04">
              <w:rPr>
                <w:noProof/>
                <w:webHidden/>
              </w:rPr>
              <w:fldChar w:fldCharType="separate"/>
            </w:r>
            <w:r w:rsidR="005F7062">
              <w:rPr>
                <w:noProof/>
                <w:webHidden/>
              </w:rPr>
              <w:t>9</w:t>
            </w:r>
            <w:r w:rsidR="00213E04">
              <w:rPr>
                <w:noProof/>
                <w:webHidden/>
              </w:rPr>
              <w:fldChar w:fldCharType="end"/>
            </w:r>
          </w:hyperlink>
        </w:p>
        <w:p w:rsidR="00213E04" w:rsidRDefault="0031607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4243" w:history="1">
            <w:r w:rsidR="00213E04" w:rsidRPr="009938DD">
              <w:rPr>
                <w:rStyle w:val="Hyperlink"/>
                <w:noProof/>
              </w:rPr>
              <w:t>8.3.1</w:t>
            </w:r>
            <w:r w:rsidR="00213E04">
              <w:rPr>
                <w:rFonts w:asciiTheme="minorHAnsi" w:eastAsiaTheme="minorEastAsia" w:hAnsiTheme="minorHAnsi" w:cstheme="minorBidi"/>
                <w:noProof/>
                <w:sz w:val="22"/>
                <w:szCs w:val="22"/>
                <w:lang w:eastAsia="en-AU"/>
              </w:rPr>
              <w:tab/>
            </w:r>
            <w:r w:rsidR="00213E04" w:rsidRPr="009938DD">
              <w:rPr>
                <w:rStyle w:val="Hyperlink"/>
                <w:noProof/>
              </w:rPr>
              <w:t>Interrelationships</w:t>
            </w:r>
            <w:r w:rsidR="00213E04">
              <w:rPr>
                <w:noProof/>
                <w:webHidden/>
              </w:rPr>
              <w:tab/>
              <w:t>8-</w:t>
            </w:r>
            <w:r w:rsidR="00213E04">
              <w:rPr>
                <w:noProof/>
                <w:webHidden/>
              </w:rPr>
              <w:fldChar w:fldCharType="begin"/>
            </w:r>
            <w:r w:rsidR="00213E04">
              <w:rPr>
                <w:noProof/>
                <w:webHidden/>
              </w:rPr>
              <w:instrText xml:space="preserve"> PAGEREF _Toc404364243 \h </w:instrText>
            </w:r>
            <w:r w:rsidR="00213E04">
              <w:rPr>
                <w:noProof/>
                <w:webHidden/>
              </w:rPr>
            </w:r>
            <w:r w:rsidR="00213E04">
              <w:rPr>
                <w:noProof/>
                <w:webHidden/>
              </w:rPr>
              <w:fldChar w:fldCharType="separate"/>
            </w:r>
            <w:r w:rsidR="005F7062">
              <w:rPr>
                <w:noProof/>
                <w:webHidden/>
              </w:rPr>
              <w:t>10</w:t>
            </w:r>
            <w:r w:rsidR="00213E04">
              <w:rPr>
                <w:noProof/>
                <w:webHidden/>
              </w:rPr>
              <w:fldChar w:fldCharType="end"/>
            </w:r>
          </w:hyperlink>
        </w:p>
        <w:p w:rsidR="00213E04" w:rsidRDefault="0031607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4244" w:history="1">
            <w:r w:rsidR="00213E04" w:rsidRPr="009938DD">
              <w:rPr>
                <w:rStyle w:val="Hyperlink"/>
                <w:noProof/>
              </w:rPr>
              <w:t>8.4</w:t>
            </w:r>
            <w:r w:rsidR="00213E04">
              <w:rPr>
                <w:rFonts w:asciiTheme="minorHAnsi" w:eastAsiaTheme="minorEastAsia" w:hAnsiTheme="minorHAnsi" w:cstheme="minorBidi"/>
                <w:iCs w:val="0"/>
                <w:noProof/>
                <w:sz w:val="22"/>
                <w:szCs w:val="22"/>
                <w:lang w:eastAsia="en-AU"/>
              </w:rPr>
              <w:tab/>
            </w:r>
            <w:r w:rsidR="00213E04" w:rsidRPr="009938DD">
              <w:rPr>
                <w:rStyle w:val="Hyperlink"/>
                <w:noProof/>
              </w:rPr>
              <w:t>Reasons for draft decision</w:t>
            </w:r>
            <w:r w:rsidR="00213E04">
              <w:rPr>
                <w:noProof/>
                <w:webHidden/>
              </w:rPr>
              <w:tab/>
              <w:t>8-</w:t>
            </w:r>
            <w:r w:rsidR="00213E04">
              <w:rPr>
                <w:noProof/>
                <w:webHidden/>
              </w:rPr>
              <w:fldChar w:fldCharType="begin"/>
            </w:r>
            <w:r w:rsidR="00213E04">
              <w:rPr>
                <w:noProof/>
                <w:webHidden/>
              </w:rPr>
              <w:instrText xml:space="preserve"> PAGEREF _Toc404364244 \h </w:instrText>
            </w:r>
            <w:r w:rsidR="00213E04">
              <w:rPr>
                <w:noProof/>
                <w:webHidden/>
              </w:rPr>
            </w:r>
            <w:r w:rsidR="00213E04">
              <w:rPr>
                <w:noProof/>
                <w:webHidden/>
              </w:rPr>
              <w:fldChar w:fldCharType="separate"/>
            </w:r>
            <w:r w:rsidR="005F7062">
              <w:rPr>
                <w:noProof/>
                <w:webHidden/>
              </w:rPr>
              <w:t>11</w:t>
            </w:r>
            <w:r w:rsidR="00213E04">
              <w:rPr>
                <w:noProof/>
                <w:webHidden/>
              </w:rPr>
              <w:fldChar w:fldCharType="end"/>
            </w:r>
          </w:hyperlink>
        </w:p>
        <w:p w:rsidR="00213E04" w:rsidRDefault="0031607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4245" w:history="1">
            <w:r w:rsidR="00213E04" w:rsidRPr="009938DD">
              <w:rPr>
                <w:rStyle w:val="Hyperlink"/>
                <w:noProof/>
              </w:rPr>
              <w:t>8.4.1</w:t>
            </w:r>
            <w:r w:rsidR="00213E04">
              <w:rPr>
                <w:rFonts w:asciiTheme="minorHAnsi" w:eastAsiaTheme="minorEastAsia" w:hAnsiTheme="minorHAnsi" w:cstheme="minorBidi"/>
                <w:noProof/>
                <w:sz w:val="22"/>
                <w:szCs w:val="22"/>
                <w:lang w:eastAsia="en-AU"/>
              </w:rPr>
              <w:tab/>
            </w:r>
            <w:r w:rsidR="00213E04" w:rsidRPr="009938DD">
              <w:rPr>
                <w:rStyle w:val="Hyperlink"/>
                <w:noProof/>
              </w:rPr>
              <w:t>Opening tax asset base</w:t>
            </w:r>
            <w:r w:rsidR="00213E04">
              <w:rPr>
                <w:noProof/>
                <w:webHidden/>
              </w:rPr>
              <w:tab/>
              <w:t>8-</w:t>
            </w:r>
            <w:r w:rsidR="00213E04">
              <w:rPr>
                <w:noProof/>
                <w:webHidden/>
              </w:rPr>
              <w:fldChar w:fldCharType="begin"/>
            </w:r>
            <w:r w:rsidR="00213E04">
              <w:rPr>
                <w:noProof/>
                <w:webHidden/>
              </w:rPr>
              <w:instrText xml:space="preserve"> PAGEREF _Toc404364245 \h </w:instrText>
            </w:r>
            <w:r w:rsidR="00213E04">
              <w:rPr>
                <w:noProof/>
                <w:webHidden/>
              </w:rPr>
            </w:r>
            <w:r w:rsidR="00213E04">
              <w:rPr>
                <w:noProof/>
                <w:webHidden/>
              </w:rPr>
              <w:fldChar w:fldCharType="separate"/>
            </w:r>
            <w:r w:rsidR="005F7062">
              <w:rPr>
                <w:noProof/>
                <w:webHidden/>
              </w:rPr>
              <w:t>11</w:t>
            </w:r>
            <w:r w:rsidR="00213E04">
              <w:rPr>
                <w:noProof/>
                <w:webHidden/>
              </w:rPr>
              <w:fldChar w:fldCharType="end"/>
            </w:r>
          </w:hyperlink>
        </w:p>
        <w:p w:rsidR="00213E04" w:rsidRDefault="0031607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4246" w:history="1">
            <w:r w:rsidR="00213E04" w:rsidRPr="009938DD">
              <w:rPr>
                <w:rStyle w:val="Hyperlink"/>
                <w:noProof/>
              </w:rPr>
              <w:t>8.4.2</w:t>
            </w:r>
            <w:r w:rsidR="00213E04">
              <w:rPr>
                <w:rFonts w:asciiTheme="minorHAnsi" w:eastAsiaTheme="minorEastAsia" w:hAnsiTheme="minorHAnsi" w:cstheme="minorBidi"/>
                <w:noProof/>
                <w:sz w:val="22"/>
                <w:szCs w:val="22"/>
                <w:lang w:eastAsia="en-AU"/>
              </w:rPr>
              <w:tab/>
            </w:r>
            <w:r w:rsidR="00213E04" w:rsidRPr="009938DD">
              <w:rPr>
                <w:rStyle w:val="Hyperlink"/>
                <w:noProof/>
              </w:rPr>
              <w:t>Standard tax asset lives</w:t>
            </w:r>
            <w:r w:rsidR="00213E04">
              <w:rPr>
                <w:noProof/>
                <w:webHidden/>
              </w:rPr>
              <w:tab/>
              <w:t>8-</w:t>
            </w:r>
            <w:r w:rsidR="00213E04">
              <w:rPr>
                <w:noProof/>
                <w:webHidden/>
              </w:rPr>
              <w:fldChar w:fldCharType="begin"/>
            </w:r>
            <w:r w:rsidR="00213E04">
              <w:rPr>
                <w:noProof/>
                <w:webHidden/>
              </w:rPr>
              <w:instrText xml:space="preserve"> PAGEREF _Toc404364246 \h </w:instrText>
            </w:r>
            <w:r w:rsidR="00213E04">
              <w:rPr>
                <w:noProof/>
                <w:webHidden/>
              </w:rPr>
            </w:r>
            <w:r w:rsidR="00213E04">
              <w:rPr>
                <w:noProof/>
                <w:webHidden/>
              </w:rPr>
              <w:fldChar w:fldCharType="separate"/>
            </w:r>
            <w:r w:rsidR="005F7062">
              <w:rPr>
                <w:noProof/>
                <w:webHidden/>
              </w:rPr>
              <w:t>16</w:t>
            </w:r>
            <w:r w:rsidR="00213E04">
              <w:rPr>
                <w:noProof/>
                <w:webHidden/>
              </w:rPr>
              <w:fldChar w:fldCharType="end"/>
            </w:r>
          </w:hyperlink>
        </w:p>
        <w:p w:rsidR="00213E04" w:rsidRDefault="0031607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4247" w:history="1">
            <w:r w:rsidR="00213E04" w:rsidRPr="009938DD">
              <w:rPr>
                <w:rStyle w:val="Hyperlink"/>
                <w:noProof/>
              </w:rPr>
              <w:t>8.4.3</w:t>
            </w:r>
            <w:r w:rsidR="00213E04">
              <w:rPr>
                <w:rFonts w:asciiTheme="minorHAnsi" w:eastAsiaTheme="minorEastAsia" w:hAnsiTheme="minorHAnsi" w:cstheme="minorBidi"/>
                <w:noProof/>
                <w:sz w:val="22"/>
                <w:szCs w:val="22"/>
                <w:lang w:eastAsia="en-AU"/>
              </w:rPr>
              <w:tab/>
            </w:r>
            <w:r w:rsidR="00213E04" w:rsidRPr="009938DD">
              <w:rPr>
                <w:rStyle w:val="Hyperlink"/>
                <w:noProof/>
              </w:rPr>
              <w:t>Remaining tax asset lives</w:t>
            </w:r>
            <w:r w:rsidR="00213E04">
              <w:rPr>
                <w:noProof/>
                <w:webHidden/>
              </w:rPr>
              <w:tab/>
              <w:t>8-</w:t>
            </w:r>
            <w:r w:rsidR="00213E04">
              <w:rPr>
                <w:noProof/>
                <w:webHidden/>
              </w:rPr>
              <w:fldChar w:fldCharType="begin"/>
            </w:r>
            <w:r w:rsidR="00213E04">
              <w:rPr>
                <w:noProof/>
                <w:webHidden/>
              </w:rPr>
              <w:instrText xml:space="preserve"> PAGEREF _Toc404364247 \h </w:instrText>
            </w:r>
            <w:r w:rsidR="00213E04">
              <w:rPr>
                <w:noProof/>
                <w:webHidden/>
              </w:rPr>
            </w:r>
            <w:r w:rsidR="00213E04">
              <w:rPr>
                <w:noProof/>
                <w:webHidden/>
              </w:rPr>
              <w:fldChar w:fldCharType="separate"/>
            </w:r>
            <w:r w:rsidR="005F7062">
              <w:rPr>
                <w:noProof/>
                <w:webHidden/>
              </w:rPr>
              <w:t>17</w:t>
            </w:r>
            <w:r w:rsidR="00213E04">
              <w:rPr>
                <w:noProof/>
                <w:webHidden/>
              </w:rPr>
              <w:fldChar w:fldCharType="end"/>
            </w:r>
          </w:hyperlink>
        </w:p>
        <w:p w:rsidR="00213E04" w:rsidRPr="00213E04" w:rsidRDefault="00213E04" w:rsidP="00213E04">
          <w:pPr>
            <w:pStyle w:val="AERbodytext"/>
          </w:pPr>
          <w:r>
            <w:fldChar w:fldCharType="end"/>
          </w:r>
        </w:p>
      </w:sdtContent>
    </w:sdt>
    <w:p w:rsidR="00213E04" w:rsidRPr="00213E04" w:rsidRDefault="00213E04" w:rsidP="00213E04">
      <w:pPr>
        <w:pStyle w:val="AERbodytext"/>
      </w:pPr>
    </w:p>
    <w:p w:rsidR="00213E04" w:rsidRDefault="00213E04" w:rsidP="00213E04">
      <w:pPr>
        <w:pStyle w:val="UnnumberedHeading"/>
      </w:pPr>
      <w:bookmarkStart w:id="6" w:name="_Toc402538524"/>
      <w:bookmarkStart w:id="7" w:name="_Toc404354901"/>
      <w:bookmarkStart w:id="8" w:name="_Toc404353072"/>
      <w:bookmarkStart w:id="9" w:name="_Toc404364238"/>
      <w:r>
        <w:lastRenderedPageBreak/>
        <w:t>Shortened forms</w:t>
      </w:r>
      <w:bookmarkEnd w:id="6"/>
      <w:bookmarkEnd w:id="7"/>
      <w:bookmarkEnd w:id="8"/>
      <w:bookmarkEnd w:id="9"/>
    </w:p>
    <w:tbl>
      <w:tblPr>
        <w:tblStyle w:val="AERtable-numbers"/>
        <w:tblW w:w="0" w:type="auto"/>
        <w:tblLook w:val="04A0" w:firstRow="1" w:lastRow="0" w:firstColumn="1" w:lastColumn="0" w:noHBand="0" w:noVBand="1"/>
      </w:tblPr>
      <w:tblGrid>
        <w:gridCol w:w="4621"/>
        <w:gridCol w:w="4621"/>
      </w:tblGrid>
      <w:tr w:rsidR="00213E04" w:rsidTr="00E727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Shortened form</w:t>
            </w:r>
          </w:p>
        </w:tc>
        <w:tc>
          <w:tcPr>
            <w:tcW w:w="4621" w:type="dxa"/>
          </w:tcPr>
          <w:p w:rsidR="00213E04" w:rsidRDefault="00213E04" w:rsidP="00213E04">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AARR</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AEMC</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AEMO</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AER</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ASRR</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augex</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capex</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CCP</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CESS</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CPI</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CPI-X</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DRP</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DMIA</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DMIS</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distributor</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DUoS</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EBSS</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ERP</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expenditure assessment guideline</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F&amp;A</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MRP</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lastRenderedPageBreak/>
              <w:t>NEL</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NEM</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NEO</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NER</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NSP</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opex</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PPI</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PTRM</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RAB</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RBA</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repex</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RFM</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RIN</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RPP</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SAIDI</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SAIFI</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SLCAPM</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213E04" w:rsidTr="00E727F2">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STPIS</w:t>
            </w:r>
          </w:p>
        </w:tc>
        <w:tc>
          <w:tcPr>
            <w:tcW w:w="4621" w:type="dxa"/>
          </w:tcPr>
          <w:p w:rsidR="00213E04" w:rsidRDefault="00213E04" w:rsidP="00213E04">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213E04"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13E04" w:rsidRDefault="00213E04" w:rsidP="00213E04">
            <w:pPr>
              <w:pStyle w:val="AERbodytext"/>
            </w:pPr>
            <w:r>
              <w:t>WACC</w:t>
            </w:r>
          </w:p>
        </w:tc>
        <w:tc>
          <w:tcPr>
            <w:tcW w:w="4621" w:type="dxa"/>
          </w:tcPr>
          <w:p w:rsidR="00213E04" w:rsidRDefault="00213E04" w:rsidP="00213E04">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213E04" w:rsidRPr="00271F7C" w:rsidRDefault="00213E04" w:rsidP="00213E04">
      <w:pPr>
        <w:pStyle w:val="AERbodytext"/>
      </w:pPr>
    </w:p>
    <w:p w:rsidR="00213E04" w:rsidRPr="00213E04" w:rsidRDefault="00213E04" w:rsidP="00213E04">
      <w:pPr>
        <w:pStyle w:val="AERbodytext"/>
      </w:pPr>
    </w:p>
    <w:p w:rsidR="009F030C" w:rsidRDefault="009F030C" w:rsidP="00213E04">
      <w:pPr>
        <w:pStyle w:val="Heading1"/>
        <w:numPr>
          <w:ilvl w:val="1"/>
          <w:numId w:val="46"/>
        </w:numPr>
      </w:pPr>
      <w:bookmarkStart w:id="10" w:name="_Toc404364239"/>
      <w:r>
        <w:lastRenderedPageBreak/>
        <w:t>Corporate income tax</w:t>
      </w:r>
      <w:bookmarkEnd w:id="0"/>
      <w:bookmarkEnd w:id="10"/>
    </w:p>
    <w:p w:rsidR="002B5942" w:rsidRDefault="0046015E" w:rsidP="002B5942">
      <w:pPr>
        <w:pStyle w:val="AERbodytext"/>
      </w:pPr>
      <w:bookmarkStart w:id="11" w:name="_Toc387916829"/>
      <w:r>
        <w:t xml:space="preserve">We are required to make a decision on </w:t>
      </w:r>
      <w:r w:rsidR="002A4202">
        <w:t xml:space="preserve">the </w:t>
      </w:r>
      <w:r>
        <w:t xml:space="preserve">estimated cost of corporate income tax for </w:t>
      </w:r>
      <w:r w:rsidR="002A4202">
        <w:t xml:space="preserve">Ausgrid's </w:t>
      </w:r>
      <w:r>
        <w:t>2014–19 period</w:t>
      </w:r>
      <w:r w:rsidR="002B5942" w:rsidRPr="00B01736">
        <w:t>.</w:t>
      </w:r>
      <w:r>
        <w:rPr>
          <w:rStyle w:val="FootnoteReference"/>
        </w:rPr>
        <w:footnoteReference w:id="1"/>
      </w:r>
      <w:r w:rsidR="002B5942">
        <w:t xml:space="preserve"> </w:t>
      </w:r>
      <w:r>
        <w:t xml:space="preserve">Under the post-tax framework, a corporate income tax allowance is calculated as part of the building block assessment using our post-tax revenue model (PTRM). </w:t>
      </w:r>
      <w:r w:rsidR="002B5942" w:rsidRPr="00C27D6D">
        <w:t xml:space="preserve">This amount enables </w:t>
      </w:r>
      <w:r w:rsidR="002B5942">
        <w:t xml:space="preserve">Ausgrid </w:t>
      </w:r>
      <w:r w:rsidR="002B5942" w:rsidRPr="00C27D6D">
        <w:t xml:space="preserve">to recover the costs associated with the estimated corporate income tax </w:t>
      </w:r>
      <w:r w:rsidR="000778F4">
        <w:t xml:space="preserve">payable </w:t>
      </w:r>
      <w:r w:rsidR="002B5942" w:rsidRPr="00C27D6D">
        <w:t>during the 201</w:t>
      </w:r>
      <w:r w:rsidR="002B5942">
        <w:t xml:space="preserve">4–19 period. </w:t>
      </w:r>
    </w:p>
    <w:p w:rsidR="002B5942" w:rsidRPr="00B01736" w:rsidRDefault="002B5942" w:rsidP="002B5942">
      <w:pPr>
        <w:pStyle w:val="AERbodytext"/>
      </w:pPr>
      <w:r w:rsidRPr="00631168">
        <w:t xml:space="preserve">This attachment </w:t>
      </w:r>
      <w:r>
        <w:t xml:space="preserve">presents </w:t>
      </w:r>
      <w:r w:rsidRPr="00631168">
        <w:t xml:space="preserve">our </w:t>
      </w:r>
      <w:r w:rsidRPr="00743F54">
        <w:t>assessment of</w:t>
      </w:r>
      <w:r>
        <w:t xml:space="preserve"> Ausgrid's proposed corporate income tax allowances for the 2014–19 period</w:t>
      </w:r>
      <w:r w:rsidR="00213AF5">
        <w:t xml:space="preserve"> in respect of its distribution and transmission networks</w:t>
      </w:r>
      <w:r w:rsidRPr="00631168">
        <w:t xml:space="preserve">. It also presents our assessment of </w:t>
      </w:r>
      <w:r>
        <w:t>its</w:t>
      </w:r>
      <w:r w:rsidRPr="00631168">
        <w:t xml:space="preserve"> proposed opening tax asset bases (TABs), and the standard and remaining tax asset lives used to estimate tax depreciation for the purpose of calculating </w:t>
      </w:r>
      <w:r>
        <w:t xml:space="preserve">tax </w:t>
      </w:r>
      <w:r w:rsidR="000778F4">
        <w:t>expenses</w:t>
      </w:r>
      <w:r w:rsidRPr="00631168">
        <w:t>.</w:t>
      </w:r>
    </w:p>
    <w:p w:rsidR="009F030C" w:rsidRDefault="009F030C" w:rsidP="009F030C">
      <w:pPr>
        <w:pStyle w:val="Heading2"/>
      </w:pPr>
      <w:bookmarkStart w:id="12" w:name="_Toc404364240"/>
      <w:r>
        <w:t>D</w:t>
      </w:r>
      <w:r w:rsidRPr="00525604">
        <w:t>raft decision</w:t>
      </w:r>
      <w:bookmarkEnd w:id="11"/>
      <w:bookmarkEnd w:id="12"/>
    </w:p>
    <w:p w:rsidR="007A4305" w:rsidRDefault="00392214" w:rsidP="007A4305">
      <w:pPr>
        <w:pStyle w:val="AERbodytext"/>
        <w:numPr>
          <w:ilvl w:val="0"/>
          <w:numId w:val="0"/>
        </w:numPr>
      </w:pPr>
      <w:r w:rsidRPr="00392214">
        <w:t xml:space="preserve">We do not accept </w:t>
      </w:r>
      <w:r w:rsidR="000778F4">
        <w:t>Ausgrid's proposed</w:t>
      </w:r>
      <w:r w:rsidRPr="00392214">
        <w:t xml:space="preserve"> cost of corporate income tax allowance</w:t>
      </w:r>
      <w:r w:rsidR="00E41CD5">
        <w:t>s</w:t>
      </w:r>
      <w:r w:rsidRPr="00392214">
        <w:t xml:space="preserve"> of $</w:t>
      </w:r>
      <w:r w:rsidR="00E41CD5">
        <w:t>636</w:t>
      </w:r>
      <w:r w:rsidR="00A55093">
        <w:t>.3</w:t>
      </w:r>
      <w:r w:rsidRPr="00392214">
        <w:t xml:space="preserve"> million </w:t>
      </w:r>
      <w:r w:rsidR="00E41CD5">
        <w:t>and $76</w:t>
      </w:r>
      <w:r w:rsidR="00A55093">
        <w:t>.0</w:t>
      </w:r>
      <w:r w:rsidR="00E41CD5">
        <w:t> million ($ nominal) for its distribution and transmission networks respectively</w:t>
      </w:r>
      <w:r w:rsidRPr="00392214">
        <w:t xml:space="preserve">. </w:t>
      </w:r>
      <w:r w:rsidR="001B0331">
        <w:t>Our draft decision on the estimated</w:t>
      </w:r>
      <w:r w:rsidR="00BB19E4">
        <w:t xml:space="preserve"> </w:t>
      </w:r>
      <w:r w:rsidR="00141423">
        <w:t xml:space="preserve">cost of </w:t>
      </w:r>
      <w:r w:rsidR="00BB19E4">
        <w:t>corporate income tax</w:t>
      </w:r>
      <w:r w:rsidRPr="00392214">
        <w:t xml:space="preserve"> </w:t>
      </w:r>
      <w:r w:rsidR="001B0331">
        <w:t>is</w:t>
      </w:r>
      <w:r w:rsidRPr="00392214">
        <w:t xml:space="preserve"> $</w:t>
      </w:r>
      <w:r w:rsidR="00896433">
        <w:t>355.4</w:t>
      </w:r>
      <w:r w:rsidR="00E41CD5">
        <w:t> </w:t>
      </w:r>
      <w:r w:rsidRPr="00392214">
        <w:t xml:space="preserve">million </w:t>
      </w:r>
      <w:r w:rsidR="00E41CD5">
        <w:t>and $</w:t>
      </w:r>
      <w:r w:rsidR="00896433">
        <w:t>36.2</w:t>
      </w:r>
      <w:r w:rsidR="00E41CD5">
        <w:t xml:space="preserve"> million ($ nominal) </w:t>
      </w:r>
      <w:r w:rsidRPr="00392214">
        <w:t xml:space="preserve">for </w:t>
      </w:r>
      <w:r w:rsidR="00E41CD5">
        <w:t>Ausgrid's distribution and transmission networks respectively</w:t>
      </w:r>
      <w:r w:rsidR="001B0331">
        <w:t xml:space="preserve"> over the 2014–19 period</w:t>
      </w:r>
      <w:r w:rsidR="00E41CD5">
        <w:t>. This represents</w:t>
      </w:r>
      <w:r w:rsidRPr="00392214">
        <w:t xml:space="preserve"> a reduction of $</w:t>
      </w:r>
      <w:r w:rsidR="00896433">
        <w:t>280.9</w:t>
      </w:r>
      <w:r w:rsidRPr="00392214">
        <w:t xml:space="preserve"> (or </w:t>
      </w:r>
      <w:r w:rsidR="00896433">
        <w:t>44.1</w:t>
      </w:r>
      <w:r w:rsidRPr="00392214">
        <w:t xml:space="preserve"> per cent) </w:t>
      </w:r>
      <w:r w:rsidR="00E41CD5">
        <w:t xml:space="preserve">for its distribution network and </w:t>
      </w:r>
      <w:r w:rsidR="00E41CD5" w:rsidRPr="00E41CD5">
        <w:t>a reduction of $</w:t>
      </w:r>
      <w:r w:rsidR="00896433">
        <w:t>39.8</w:t>
      </w:r>
      <w:r w:rsidR="00ED1F76">
        <w:t> million</w:t>
      </w:r>
      <w:r w:rsidR="00E41CD5" w:rsidRPr="00E41CD5">
        <w:t xml:space="preserve"> (or </w:t>
      </w:r>
      <w:r w:rsidR="00896433">
        <w:t>52.4</w:t>
      </w:r>
      <w:r w:rsidR="00E41CD5" w:rsidRPr="00E41CD5">
        <w:t xml:space="preserve"> per cent) for its </w:t>
      </w:r>
      <w:r w:rsidR="00E41CD5">
        <w:t>transmission</w:t>
      </w:r>
      <w:r w:rsidR="00E41CD5" w:rsidRPr="00E41CD5">
        <w:t xml:space="preserve"> network </w:t>
      </w:r>
      <w:r w:rsidR="00E41CD5">
        <w:t>compared to</w:t>
      </w:r>
      <w:r w:rsidRPr="00392214">
        <w:t xml:space="preserve"> </w:t>
      </w:r>
      <w:r w:rsidR="00E41CD5">
        <w:t xml:space="preserve">its </w:t>
      </w:r>
      <w:r w:rsidRPr="00392214">
        <w:t>proposal.</w:t>
      </w:r>
    </w:p>
    <w:p w:rsidR="00E41CD5" w:rsidRDefault="0046015E" w:rsidP="007A4305">
      <w:pPr>
        <w:pStyle w:val="AERbodytext"/>
        <w:numPr>
          <w:ilvl w:val="0"/>
          <w:numId w:val="0"/>
        </w:numPr>
      </w:pPr>
      <w:r>
        <w:t>T</w:t>
      </w:r>
      <w:r w:rsidR="00E41CD5" w:rsidRPr="00E41CD5">
        <w:t>h</w:t>
      </w:r>
      <w:r w:rsidR="000778F4">
        <w:t>ese</w:t>
      </w:r>
      <w:r w:rsidR="00E41CD5" w:rsidRPr="00E41CD5">
        <w:t xml:space="preserve"> reduction</w:t>
      </w:r>
      <w:r w:rsidR="000778F4">
        <w:t>s</w:t>
      </w:r>
      <w:r w:rsidR="00E41CD5" w:rsidRPr="00E41CD5">
        <w:t xml:space="preserve"> </w:t>
      </w:r>
      <w:r>
        <w:t>reflect our amendments to</w:t>
      </w:r>
      <w:r w:rsidR="00E41CD5" w:rsidRPr="00E41CD5">
        <w:t xml:space="preserve"> </w:t>
      </w:r>
      <w:r w:rsidR="00213AF5">
        <w:t xml:space="preserve">some of </w:t>
      </w:r>
      <w:r w:rsidR="00E41CD5">
        <w:t>Ausgrid</w:t>
      </w:r>
      <w:r w:rsidR="00E41CD5" w:rsidRPr="00E41CD5">
        <w:t xml:space="preserve">'s proposed inputs </w:t>
      </w:r>
      <w:r>
        <w:t xml:space="preserve">to </w:t>
      </w:r>
      <w:r w:rsidR="00E41CD5" w:rsidRPr="00E41CD5">
        <w:t>forecast</w:t>
      </w:r>
      <w:r w:rsidR="002A4202">
        <w:t>ing</w:t>
      </w:r>
      <w:r w:rsidR="00E41CD5" w:rsidRPr="00E41CD5">
        <w:t xml:space="preserve"> </w:t>
      </w:r>
      <w:r w:rsidR="00213AF5">
        <w:t xml:space="preserve">the </w:t>
      </w:r>
      <w:r w:rsidR="00141423">
        <w:t xml:space="preserve">cost of </w:t>
      </w:r>
      <w:r w:rsidR="00E41CD5" w:rsidRPr="00E41CD5">
        <w:t>corporate tax allowance</w:t>
      </w:r>
      <w:r>
        <w:t xml:space="preserve"> </w:t>
      </w:r>
      <w:r w:rsidR="00213AF5">
        <w:t xml:space="preserve">such as </w:t>
      </w:r>
      <w:r>
        <w:t xml:space="preserve">the </w:t>
      </w:r>
      <w:r w:rsidR="00E41CD5" w:rsidRPr="00E41CD5">
        <w:t xml:space="preserve">opening </w:t>
      </w:r>
      <w:r>
        <w:t>TAB</w:t>
      </w:r>
      <w:r w:rsidR="00E41CD5" w:rsidRPr="00E41CD5">
        <w:t xml:space="preserve"> (section </w:t>
      </w:r>
      <w:r w:rsidR="006B51ED">
        <w:fldChar w:fldCharType="begin"/>
      </w:r>
      <w:r w:rsidR="006B51ED">
        <w:instrText xml:space="preserve"> REF _Ref399919301 \r \h </w:instrText>
      </w:r>
      <w:r w:rsidR="006B51ED">
        <w:fldChar w:fldCharType="separate"/>
      </w:r>
      <w:r w:rsidR="005F7062">
        <w:t>8.4.1</w:t>
      </w:r>
      <w:r w:rsidR="006B51ED">
        <w:fldChar w:fldCharType="end"/>
      </w:r>
      <w:r w:rsidR="00E41CD5" w:rsidRPr="00E41CD5">
        <w:t>)</w:t>
      </w:r>
      <w:r w:rsidR="002A4202">
        <w:t>,</w:t>
      </w:r>
      <w:r>
        <w:t xml:space="preserve"> and the standard and remaining tax asset lives (section </w:t>
      </w:r>
      <w:r w:rsidR="006B51ED">
        <w:fldChar w:fldCharType="begin"/>
      </w:r>
      <w:r w:rsidR="006B51ED">
        <w:instrText xml:space="preserve"> REF _Ref399919316 \r \h </w:instrText>
      </w:r>
      <w:r w:rsidR="006B51ED">
        <w:fldChar w:fldCharType="separate"/>
      </w:r>
      <w:r w:rsidR="005F7062">
        <w:t>8.4.2</w:t>
      </w:r>
      <w:r w:rsidR="006B51ED">
        <w:fldChar w:fldCharType="end"/>
      </w:r>
      <w:r w:rsidR="00213AF5">
        <w:t xml:space="preserve"> and section </w:t>
      </w:r>
      <w:r w:rsidR="006B51ED">
        <w:fldChar w:fldCharType="begin"/>
      </w:r>
      <w:r w:rsidR="006B51ED">
        <w:instrText xml:space="preserve"> REF _Ref399919341 \r \h </w:instrText>
      </w:r>
      <w:r w:rsidR="006B51ED">
        <w:fldChar w:fldCharType="separate"/>
      </w:r>
      <w:r w:rsidR="005F7062">
        <w:t>8.4.3</w:t>
      </w:r>
      <w:r w:rsidR="006B51ED">
        <w:fldChar w:fldCharType="end"/>
      </w:r>
      <w:r w:rsidR="00213AF5">
        <w:t xml:space="preserve"> respectively</w:t>
      </w:r>
      <w:r>
        <w:t>). It also ref</w:t>
      </w:r>
      <w:r w:rsidR="00B11F4F">
        <w:t>lects</w:t>
      </w:r>
      <w:r>
        <w:t xml:space="preserve"> our </w:t>
      </w:r>
      <w:r w:rsidR="00B11F4F">
        <w:t xml:space="preserve">draft </w:t>
      </w:r>
      <w:r>
        <w:t>decision on the value of imputation credits</w:t>
      </w:r>
      <w:r w:rsidR="00E41CD5" w:rsidRPr="00E41CD5">
        <w:t>—gamma—(</w:t>
      </w:r>
      <w:r w:rsidR="001B0331">
        <w:t xml:space="preserve">attachment </w:t>
      </w:r>
      <w:r w:rsidR="00BF3DDD">
        <w:t>4</w:t>
      </w:r>
      <w:r w:rsidR="00E41CD5">
        <w:t xml:space="preserve">). </w:t>
      </w:r>
      <w:r w:rsidR="00213AF5">
        <w:t xml:space="preserve">Changes to </w:t>
      </w:r>
      <w:r w:rsidR="00BB19E4">
        <w:t>building block co</w:t>
      </w:r>
      <w:r w:rsidR="00213AF5">
        <w:t>sts</w:t>
      </w:r>
      <w:r w:rsidR="00BB19E4">
        <w:t xml:space="preserve"> </w:t>
      </w:r>
      <w:r w:rsidR="00213AF5">
        <w:t>a</w:t>
      </w:r>
      <w:r w:rsidR="00BB19E4">
        <w:t>ffect revenues</w:t>
      </w:r>
      <w:r w:rsidR="002A4202">
        <w:t>, which</w:t>
      </w:r>
      <w:r w:rsidR="00213AF5">
        <w:t xml:space="preserve"> </w:t>
      </w:r>
      <w:r w:rsidR="00BB19E4">
        <w:t xml:space="preserve">also impact the tax calculation. The changes affecting revenues are discussed in attachment </w:t>
      </w:r>
      <w:r w:rsidR="00BF3DDD">
        <w:t>1</w:t>
      </w:r>
      <w:r w:rsidR="00E41CD5" w:rsidRPr="00E41CD5">
        <w:t>.</w:t>
      </w:r>
    </w:p>
    <w:p w:rsidR="00E41CD5" w:rsidRDefault="00814626" w:rsidP="002B5942">
      <w:pPr>
        <w:pStyle w:val="AERbodytext"/>
      </w:pPr>
      <w:r>
        <w:fldChar w:fldCharType="begin"/>
      </w:r>
      <w:r>
        <w:instrText xml:space="preserve"> REF _Ref394671245 \h </w:instrText>
      </w:r>
      <w:r>
        <w:fldChar w:fldCharType="separate"/>
      </w:r>
      <w:r w:rsidR="005F7062">
        <w:t>Table 8</w:t>
      </w:r>
      <w:r w:rsidR="005F7062">
        <w:noBreakHyphen/>
      </w:r>
      <w:r w:rsidR="005F7062">
        <w:rPr>
          <w:noProof/>
        </w:rPr>
        <w:t>1</w:t>
      </w:r>
      <w:r>
        <w:fldChar w:fldCharType="end"/>
      </w:r>
      <w:r>
        <w:t xml:space="preserve"> and </w:t>
      </w:r>
      <w:r>
        <w:fldChar w:fldCharType="begin"/>
      </w:r>
      <w:r>
        <w:instrText xml:space="preserve"> REF _Ref394671252 \h </w:instrText>
      </w:r>
      <w:r>
        <w:fldChar w:fldCharType="separate"/>
      </w:r>
      <w:r w:rsidR="005F7062">
        <w:t>Table 8</w:t>
      </w:r>
      <w:r w:rsidR="005F7062">
        <w:noBreakHyphen/>
      </w:r>
      <w:r w:rsidR="005F7062">
        <w:rPr>
          <w:noProof/>
        </w:rPr>
        <w:t>2</w:t>
      </w:r>
      <w:r>
        <w:fldChar w:fldCharType="end"/>
      </w:r>
      <w:r>
        <w:t xml:space="preserve"> </w:t>
      </w:r>
      <w:r w:rsidR="00E41CD5" w:rsidRPr="00E41CD5">
        <w:t>set out our draft decision on the estimated cost of corporate income tax allowance</w:t>
      </w:r>
      <w:r w:rsidR="002A4202">
        <w:t>s</w:t>
      </w:r>
      <w:r w:rsidR="00E41CD5" w:rsidRPr="00E41CD5">
        <w:t xml:space="preserve"> for </w:t>
      </w:r>
      <w:r w:rsidR="00E41CD5">
        <w:t>Ausgrid's distribution and transmission networks respectively</w:t>
      </w:r>
      <w:r w:rsidR="00E41CD5" w:rsidRPr="00E41CD5">
        <w:t>.</w:t>
      </w:r>
      <w:r w:rsidR="00BB19E4" w:rsidRPr="00BB19E4">
        <w:t xml:space="preserve"> Based on the </w:t>
      </w:r>
      <w:r w:rsidR="00A16B76">
        <w:t>approach</w:t>
      </w:r>
      <w:r w:rsidR="00213AF5">
        <w:t xml:space="preserve"> to modelling the cash flows in the </w:t>
      </w:r>
      <w:r w:rsidR="00BB19E4" w:rsidRPr="00BB19E4">
        <w:t>PTRM, we have derived effective tax rate</w:t>
      </w:r>
      <w:r w:rsidR="00213AF5">
        <w:t>s</w:t>
      </w:r>
      <w:r w:rsidR="00BB19E4" w:rsidRPr="00BB19E4">
        <w:t xml:space="preserve"> of </w:t>
      </w:r>
      <w:r w:rsidR="00896433">
        <w:t>2</w:t>
      </w:r>
      <w:r w:rsidR="00A55093">
        <w:t>4.0</w:t>
      </w:r>
      <w:r w:rsidR="00213E04">
        <w:t xml:space="preserve"> </w:t>
      </w:r>
      <w:r w:rsidR="00BB19E4" w:rsidRPr="00BB19E4">
        <w:t xml:space="preserve">per cent for Ausgrid's distribution network and </w:t>
      </w:r>
      <w:r w:rsidR="00896433">
        <w:t>19.9</w:t>
      </w:r>
      <w:r w:rsidR="00BB19E4" w:rsidRPr="00BB19E4">
        <w:t xml:space="preserve"> per cent for Ausgrid's transmission network.</w:t>
      </w:r>
    </w:p>
    <w:p w:rsidR="00814626" w:rsidRDefault="00814626" w:rsidP="00814626">
      <w:pPr>
        <w:pStyle w:val="Caption"/>
      </w:pPr>
      <w:bookmarkStart w:id="13" w:name="_Ref394671245"/>
      <w:r>
        <w:t xml:space="preserve">Table </w:t>
      </w:r>
      <w:r w:rsidR="00213E04">
        <w:t>8</w:t>
      </w:r>
      <w:r w:rsidR="00BD0BE1">
        <w:noBreakHyphen/>
      </w:r>
      <w:fldSimple w:instr=" SEQ Table \* ARABIC \s 1 ">
        <w:r w:rsidR="005F7062">
          <w:rPr>
            <w:noProof/>
          </w:rPr>
          <w:t>1</w:t>
        </w:r>
      </w:fldSimple>
      <w:bookmarkEnd w:id="13"/>
      <w:r>
        <w:tab/>
      </w:r>
      <w:r w:rsidRPr="00814626">
        <w:t xml:space="preserve">AER's draft decision on </w:t>
      </w:r>
      <w:r>
        <w:t>Ausgrid</w:t>
      </w:r>
      <w:r w:rsidRPr="00814626">
        <w:t>'s cost of corporate income tax allowance for the 2014–1</w:t>
      </w:r>
      <w:r>
        <w:t>9</w:t>
      </w:r>
      <w:r w:rsidRPr="00814626">
        <w:t xml:space="preserve"> period</w:t>
      </w:r>
      <w:r>
        <w:t xml:space="preserve"> – distribution</w:t>
      </w:r>
      <w:r w:rsidRPr="00814626">
        <w:t xml:space="preserve"> ($ million, nominal)</w:t>
      </w:r>
    </w:p>
    <w:tbl>
      <w:tblPr>
        <w:tblStyle w:val="AERtable-numbers"/>
        <w:tblW w:w="5000" w:type="pct"/>
        <w:tblLook w:val="04A0" w:firstRow="1" w:lastRow="0" w:firstColumn="1" w:lastColumn="0" w:noHBand="0" w:noVBand="1"/>
      </w:tblPr>
      <w:tblGrid>
        <w:gridCol w:w="3296"/>
        <w:gridCol w:w="991"/>
        <w:gridCol w:w="991"/>
        <w:gridCol w:w="991"/>
        <w:gridCol w:w="991"/>
        <w:gridCol w:w="991"/>
        <w:gridCol w:w="991"/>
      </w:tblGrid>
      <w:tr w:rsidR="00E41CD5" w:rsidRPr="00E41CD5" w:rsidTr="00E41C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E41CD5" w:rsidRPr="00E41CD5" w:rsidRDefault="00E41CD5" w:rsidP="00E41CD5">
            <w:pPr>
              <w:pStyle w:val="AERtabletextleft"/>
              <w:rPr>
                <w:lang w:eastAsia="en-AU"/>
              </w:rPr>
            </w:pPr>
            <w:r w:rsidRPr="00E41CD5">
              <w:rPr>
                <w:lang w:eastAsia="en-AU"/>
              </w:rPr>
              <w:t> </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2014–15</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2015–16</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2016–17</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2017–18</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2018–19</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Total</w:t>
            </w:r>
          </w:p>
        </w:tc>
      </w:tr>
      <w:tr w:rsidR="00E41CD5" w:rsidRPr="00E41CD5" w:rsidTr="00E41CD5">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E41CD5" w:rsidRPr="00E41CD5" w:rsidRDefault="00E41CD5" w:rsidP="00E41CD5">
            <w:pPr>
              <w:pStyle w:val="AERtabletextleft"/>
              <w:rPr>
                <w:lang w:eastAsia="en-AU"/>
              </w:rPr>
            </w:pPr>
            <w:r w:rsidRPr="00E41CD5">
              <w:rPr>
                <w:lang w:eastAsia="en-AU"/>
              </w:rPr>
              <w:t>Tax payable</w:t>
            </w:r>
          </w:p>
        </w:tc>
        <w:tc>
          <w:tcPr>
            <w:tcW w:w="536" w:type="pct"/>
            <w:noWrap/>
            <w:hideMark/>
          </w:tcPr>
          <w:p w:rsidR="00E41CD5" w:rsidRPr="00E41CD5" w:rsidRDefault="00896433" w:rsidP="00896433">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103.2</w:t>
            </w:r>
          </w:p>
        </w:tc>
        <w:tc>
          <w:tcPr>
            <w:tcW w:w="536" w:type="pct"/>
            <w:noWrap/>
            <w:hideMark/>
          </w:tcPr>
          <w:p w:rsidR="00E41CD5" w:rsidRPr="00E41CD5" w:rsidRDefault="00896433" w:rsidP="00E41CD5">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113.8</w:t>
            </w:r>
          </w:p>
        </w:tc>
        <w:tc>
          <w:tcPr>
            <w:tcW w:w="536" w:type="pct"/>
            <w:noWrap/>
            <w:hideMark/>
          </w:tcPr>
          <w:p w:rsidR="00E41CD5" w:rsidRPr="00E41CD5" w:rsidRDefault="00896433" w:rsidP="00E41CD5">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132.6</w:t>
            </w:r>
          </w:p>
        </w:tc>
        <w:tc>
          <w:tcPr>
            <w:tcW w:w="536" w:type="pct"/>
            <w:noWrap/>
            <w:hideMark/>
          </w:tcPr>
          <w:p w:rsidR="00E41CD5" w:rsidRPr="00E41CD5" w:rsidRDefault="00896433" w:rsidP="00E41CD5">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122.1</w:t>
            </w:r>
          </w:p>
        </w:tc>
        <w:tc>
          <w:tcPr>
            <w:tcW w:w="536" w:type="pct"/>
            <w:noWrap/>
            <w:hideMark/>
          </w:tcPr>
          <w:p w:rsidR="00E41CD5" w:rsidRPr="00E41CD5" w:rsidRDefault="00896433" w:rsidP="00E41CD5">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120.6</w:t>
            </w:r>
          </w:p>
        </w:tc>
        <w:tc>
          <w:tcPr>
            <w:tcW w:w="536" w:type="pct"/>
            <w:noWrap/>
            <w:hideMark/>
          </w:tcPr>
          <w:p w:rsidR="00E41CD5" w:rsidRPr="00E41CD5" w:rsidRDefault="00896433" w:rsidP="00896433">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592.4</w:t>
            </w:r>
          </w:p>
        </w:tc>
      </w:tr>
      <w:tr w:rsidR="00E41CD5" w:rsidRPr="00E41CD5" w:rsidTr="00E41CD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E41CD5" w:rsidRPr="00E41CD5" w:rsidRDefault="00E41CD5" w:rsidP="00E41CD5">
            <w:pPr>
              <w:pStyle w:val="AERtabletextleft"/>
              <w:rPr>
                <w:lang w:eastAsia="en-AU"/>
              </w:rPr>
            </w:pPr>
            <w:r w:rsidRPr="00BB0691">
              <w:rPr>
                <w:rStyle w:val="AERtextitalic"/>
              </w:rPr>
              <w:t>Less</w:t>
            </w:r>
            <w:r w:rsidRPr="00E41CD5">
              <w:rPr>
                <w:lang w:eastAsia="en-AU"/>
              </w:rPr>
              <w:t>: value of imputation credits</w:t>
            </w:r>
          </w:p>
        </w:tc>
        <w:tc>
          <w:tcPr>
            <w:tcW w:w="536" w:type="pct"/>
            <w:noWrap/>
            <w:hideMark/>
          </w:tcPr>
          <w:p w:rsidR="00E41CD5" w:rsidRPr="00E41CD5" w:rsidRDefault="00896433" w:rsidP="00E41CD5">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41.3</w:t>
            </w:r>
          </w:p>
        </w:tc>
        <w:tc>
          <w:tcPr>
            <w:tcW w:w="536" w:type="pct"/>
            <w:noWrap/>
            <w:hideMark/>
          </w:tcPr>
          <w:p w:rsidR="00E41CD5" w:rsidRPr="00E41CD5" w:rsidRDefault="00896433" w:rsidP="00E41CD5">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45.5</w:t>
            </w:r>
          </w:p>
        </w:tc>
        <w:tc>
          <w:tcPr>
            <w:tcW w:w="536" w:type="pct"/>
            <w:noWrap/>
            <w:hideMark/>
          </w:tcPr>
          <w:p w:rsidR="00E41CD5" w:rsidRPr="00E41CD5" w:rsidRDefault="00896433" w:rsidP="00E41CD5">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53.0</w:t>
            </w:r>
          </w:p>
        </w:tc>
        <w:tc>
          <w:tcPr>
            <w:tcW w:w="536" w:type="pct"/>
            <w:noWrap/>
            <w:hideMark/>
          </w:tcPr>
          <w:p w:rsidR="00E41CD5" w:rsidRPr="00E41CD5" w:rsidRDefault="00896433" w:rsidP="00E41CD5">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48.8</w:t>
            </w:r>
          </w:p>
        </w:tc>
        <w:tc>
          <w:tcPr>
            <w:tcW w:w="536" w:type="pct"/>
            <w:noWrap/>
            <w:hideMark/>
          </w:tcPr>
          <w:p w:rsidR="00E41CD5" w:rsidRPr="00E41CD5" w:rsidRDefault="00896433" w:rsidP="00E41CD5">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48.3</w:t>
            </w:r>
          </w:p>
        </w:tc>
        <w:tc>
          <w:tcPr>
            <w:tcW w:w="536" w:type="pct"/>
            <w:noWrap/>
            <w:hideMark/>
          </w:tcPr>
          <w:p w:rsidR="00E41CD5" w:rsidRPr="00E41CD5" w:rsidRDefault="00896433" w:rsidP="00896433">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237.0</w:t>
            </w:r>
          </w:p>
        </w:tc>
      </w:tr>
      <w:tr w:rsidR="00E41CD5" w:rsidRPr="00814626" w:rsidTr="00E41CD5">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E41CD5" w:rsidRPr="00814626" w:rsidRDefault="00053AC6" w:rsidP="00E41CD5">
            <w:pPr>
              <w:pStyle w:val="AERtabletextleft"/>
              <w:rPr>
                <w:rStyle w:val="AERtextbold"/>
              </w:rPr>
            </w:pPr>
            <w:r>
              <w:rPr>
                <w:rStyle w:val="AERtextbold"/>
              </w:rPr>
              <w:t>C</w:t>
            </w:r>
            <w:r w:rsidR="00E41CD5" w:rsidRPr="00814626">
              <w:rPr>
                <w:rStyle w:val="AERtextbold"/>
              </w:rPr>
              <w:t>orporate income tax allowance</w:t>
            </w:r>
          </w:p>
        </w:tc>
        <w:tc>
          <w:tcPr>
            <w:tcW w:w="536" w:type="pct"/>
            <w:noWrap/>
            <w:hideMark/>
          </w:tcPr>
          <w:p w:rsidR="00E41CD5" w:rsidRPr="00814626" w:rsidRDefault="00896433" w:rsidP="00E41CD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61.9</w:t>
            </w:r>
          </w:p>
        </w:tc>
        <w:tc>
          <w:tcPr>
            <w:tcW w:w="536" w:type="pct"/>
            <w:noWrap/>
            <w:hideMark/>
          </w:tcPr>
          <w:p w:rsidR="00E41CD5" w:rsidRPr="00814626" w:rsidRDefault="00896433" w:rsidP="00E41CD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68.3</w:t>
            </w:r>
          </w:p>
        </w:tc>
        <w:tc>
          <w:tcPr>
            <w:tcW w:w="536" w:type="pct"/>
            <w:noWrap/>
            <w:hideMark/>
          </w:tcPr>
          <w:p w:rsidR="00E41CD5" w:rsidRPr="00814626" w:rsidRDefault="00896433" w:rsidP="00E41CD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79.5</w:t>
            </w:r>
          </w:p>
        </w:tc>
        <w:tc>
          <w:tcPr>
            <w:tcW w:w="536" w:type="pct"/>
            <w:noWrap/>
            <w:hideMark/>
          </w:tcPr>
          <w:p w:rsidR="00E41CD5" w:rsidRPr="00814626" w:rsidRDefault="00896433" w:rsidP="00E41CD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73.3</w:t>
            </w:r>
          </w:p>
        </w:tc>
        <w:tc>
          <w:tcPr>
            <w:tcW w:w="536" w:type="pct"/>
            <w:noWrap/>
            <w:hideMark/>
          </w:tcPr>
          <w:p w:rsidR="00E41CD5" w:rsidRPr="00814626" w:rsidRDefault="00896433" w:rsidP="00E41CD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72.4</w:t>
            </w:r>
          </w:p>
        </w:tc>
        <w:tc>
          <w:tcPr>
            <w:tcW w:w="536" w:type="pct"/>
            <w:noWrap/>
            <w:hideMark/>
          </w:tcPr>
          <w:p w:rsidR="00E41CD5" w:rsidRPr="00814626" w:rsidRDefault="00896433" w:rsidP="00E41CD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355.4</w:t>
            </w:r>
          </w:p>
        </w:tc>
      </w:tr>
    </w:tbl>
    <w:p w:rsidR="00E41CD5" w:rsidRDefault="00814626" w:rsidP="00814626">
      <w:pPr>
        <w:pStyle w:val="AERtablesource"/>
      </w:pPr>
      <w:r>
        <w:t>Source:</w:t>
      </w:r>
      <w:r>
        <w:tab/>
        <w:t>AER analysis.</w:t>
      </w:r>
    </w:p>
    <w:p w:rsidR="00213E04" w:rsidRPr="00213E04" w:rsidRDefault="00213E04" w:rsidP="00213E04">
      <w:pPr>
        <w:pStyle w:val="AERbodytext"/>
      </w:pPr>
    </w:p>
    <w:p w:rsidR="00814626" w:rsidRDefault="00814626" w:rsidP="00814626">
      <w:pPr>
        <w:pStyle w:val="Caption"/>
      </w:pPr>
      <w:bookmarkStart w:id="14" w:name="_Ref394671252"/>
      <w:r>
        <w:lastRenderedPageBreak/>
        <w:t xml:space="preserve">Table </w:t>
      </w:r>
      <w:r w:rsidR="00213E04">
        <w:t>8</w:t>
      </w:r>
      <w:r w:rsidR="00BD0BE1">
        <w:noBreakHyphen/>
      </w:r>
      <w:fldSimple w:instr=" SEQ Table \* ARABIC \s 1 ">
        <w:r w:rsidR="005F7062">
          <w:rPr>
            <w:noProof/>
          </w:rPr>
          <w:t>2</w:t>
        </w:r>
      </w:fldSimple>
      <w:bookmarkEnd w:id="14"/>
      <w:r>
        <w:tab/>
      </w:r>
      <w:r w:rsidRPr="00814626">
        <w:t xml:space="preserve">AER's draft decision on Ausgrid's cost of corporate income tax allowance for the 2014–19 period – </w:t>
      </w:r>
      <w:r>
        <w:t>transmission</w:t>
      </w:r>
      <w:r w:rsidRPr="00814626">
        <w:t xml:space="preserve"> ($ million, nominal)</w:t>
      </w:r>
    </w:p>
    <w:tbl>
      <w:tblPr>
        <w:tblStyle w:val="AERtable-numbers"/>
        <w:tblW w:w="5000" w:type="pct"/>
        <w:tblLook w:val="04A0" w:firstRow="1" w:lastRow="0" w:firstColumn="1" w:lastColumn="0" w:noHBand="0" w:noVBand="1"/>
      </w:tblPr>
      <w:tblGrid>
        <w:gridCol w:w="3296"/>
        <w:gridCol w:w="991"/>
        <w:gridCol w:w="991"/>
        <w:gridCol w:w="991"/>
        <w:gridCol w:w="991"/>
        <w:gridCol w:w="991"/>
        <w:gridCol w:w="991"/>
      </w:tblGrid>
      <w:tr w:rsidR="00E41CD5" w:rsidRPr="00E41CD5" w:rsidTr="00E41C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E41CD5" w:rsidRPr="00E41CD5" w:rsidRDefault="00E41CD5" w:rsidP="00E41CD5">
            <w:pPr>
              <w:pStyle w:val="AERtabletextleft"/>
              <w:rPr>
                <w:lang w:eastAsia="en-AU"/>
              </w:rPr>
            </w:pPr>
            <w:r w:rsidRPr="00E41CD5">
              <w:rPr>
                <w:lang w:eastAsia="en-AU"/>
              </w:rPr>
              <w:t> </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2014–15</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2015–16</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2016–17</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2017–18</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2018–19</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Total</w:t>
            </w:r>
          </w:p>
        </w:tc>
      </w:tr>
      <w:tr w:rsidR="00306A1D" w:rsidRPr="00E41CD5" w:rsidTr="00306A1D">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306A1D" w:rsidRPr="00306A1D" w:rsidRDefault="00306A1D" w:rsidP="00306A1D">
            <w:pPr>
              <w:pStyle w:val="AERtabletextleft"/>
            </w:pPr>
            <w:r w:rsidRPr="00306A1D">
              <w:t>Tax payable</w:t>
            </w:r>
          </w:p>
        </w:tc>
        <w:tc>
          <w:tcPr>
            <w:tcW w:w="536" w:type="pct"/>
            <w:noWrap/>
            <w:vAlign w:val="top"/>
            <w:hideMark/>
          </w:tcPr>
          <w:p w:rsidR="00306A1D" w:rsidRPr="00306A1D" w:rsidRDefault="00306A1D" w:rsidP="00306A1D">
            <w:pPr>
              <w:pStyle w:val="AERtabletextright"/>
              <w:cnfStyle w:val="000000000000" w:firstRow="0" w:lastRow="0" w:firstColumn="0" w:lastColumn="0" w:oddVBand="0" w:evenVBand="0" w:oddHBand="0" w:evenHBand="0" w:firstRowFirstColumn="0" w:firstRowLastColumn="0" w:lastRowFirstColumn="0" w:lastRowLastColumn="0"/>
            </w:pPr>
            <w:r w:rsidRPr="00306A1D">
              <w:t xml:space="preserve"> 10.7 </w:t>
            </w:r>
          </w:p>
        </w:tc>
        <w:tc>
          <w:tcPr>
            <w:tcW w:w="536" w:type="pct"/>
            <w:noWrap/>
            <w:vAlign w:val="top"/>
            <w:hideMark/>
          </w:tcPr>
          <w:p w:rsidR="00306A1D" w:rsidRPr="00306A1D" w:rsidRDefault="00306A1D" w:rsidP="00306A1D">
            <w:pPr>
              <w:pStyle w:val="AERtabletextright"/>
              <w:cnfStyle w:val="000000000000" w:firstRow="0" w:lastRow="0" w:firstColumn="0" w:lastColumn="0" w:oddVBand="0" w:evenVBand="0" w:oddHBand="0" w:evenHBand="0" w:firstRowFirstColumn="0" w:firstRowLastColumn="0" w:lastRowFirstColumn="0" w:lastRowLastColumn="0"/>
            </w:pPr>
            <w:r w:rsidRPr="00306A1D">
              <w:t xml:space="preserve"> 11.5 </w:t>
            </w:r>
          </w:p>
        </w:tc>
        <w:tc>
          <w:tcPr>
            <w:tcW w:w="536" w:type="pct"/>
            <w:noWrap/>
            <w:vAlign w:val="top"/>
            <w:hideMark/>
          </w:tcPr>
          <w:p w:rsidR="00306A1D" w:rsidRPr="00306A1D" w:rsidRDefault="00306A1D" w:rsidP="00306A1D">
            <w:pPr>
              <w:pStyle w:val="AERtabletextright"/>
              <w:cnfStyle w:val="000000000000" w:firstRow="0" w:lastRow="0" w:firstColumn="0" w:lastColumn="0" w:oddVBand="0" w:evenVBand="0" w:oddHBand="0" w:evenHBand="0" w:firstRowFirstColumn="0" w:firstRowLastColumn="0" w:lastRowFirstColumn="0" w:lastRowLastColumn="0"/>
            </w:pPr>
            <w:r w:rsidRPr="00306A1D">
              <w:t xml:space="preserve"> 13.0 </w:t>
            </w:r>
          </w:p>
        </w:tc>
        <w:tc>
          <w:tcPr>
            <w:tcW w:w="536" w:type="pct"/>
            <w:noWrap/>
            <w:vAlign w:val="top"/>
            <w:hideMark/>
          </w:tcPr>
          <w:p w:rsidR="00306A1D" w:rsidRPr="00306A1D" w:rsidRDefault="00306A1D" w:rsidP="00306A1D">
            <w:pPr>
              <w:pStyle w:val="AERtabletextright"/>
              <w:cnfStyle w:val="000000000000" w:firstRow="0" w:lastRow="0" w:firstColumn="0" w:lastColumn="0" w:oddVBand="0" w:evenVBand="0" w:oddHBand="0" w:evenHBand="0" w:firstRowFirstColumn="0" w:firstRowLastColumn="0" w:lastRowFirstColumn="0" w:lastRowLastColumn="0"/>
            </w:pPr>
            <w:r w:rsidRPr="00306A1D">
              <w:t xml:space="preserve"> 12.7 </w:t>
            </w:r>
          </w:p>
        </w:tc>
        <w:tc>
          <w:tcPr>
            <w:tcW w:w="536" w:type="pct"/>
            <w:noWrap/>
            <w:vAlign w:val="top"/>
            <w:hideMark/>
          </w:tcPr>
          <w:p w:rsidR="00306A1D" w:rsidRPr="00306A1D" w:rsidRDefault="00306A1D" w:rsidP="00306A1D">
            <w:pPr>
              <w:pStyle w:val="AERtabletextright"/>
              <w:cnfStyle w:val="000000000000" w:firstRow="0" w:lastRow="0" w:firstColumn="0" w:lastColumn="0" w:oddVBand="0" w:evenVBand="0" w:oddHBand="0" w:evenHBand="0" w:firstRowFirstColumn="0" w:firstRowLastColumn="0" w:lastRowFirstColumn="0" w:lastRowLastColumn="0"/>
            </w:pPr>
            <w:r w:rsidRPr="00306A1D">
              <w:t xml:space="preserve"> 12.4 </w:t>
            </w:r>
          </w:p>
        </w:tc>
        <w:tc>
          <w:tcPr>
            <w:tcW w:w="536" w:type="pct"/>
            <w:noWrap/>
            <w:hideMark/>
          </w:tcPr>
          <w:p w:rsidR="00306A1D" w:rsidRPr="00306A1D" w:rsidRDefault="00306A1D" w:rsidP="00306A1D">
            <w:pPr>
              <w:pStyle w:val="AERtabletextright"/>
              <w:cnfStyle w:val="000000000000" w:firstRow="0" w:lastRow="0" w:firstColumn="0" w:lastColumn="0" w:oddVBand="0" w:evenVBand="0" w:oddHBand="0" w:evenHBand="0" w:firstRowFirstColumn="0" w:firstRowLastColumn="0" w:lastRowFirstColumn="0" w:lastRowLastColumn="0"/>
            </w:pPr>
            <w:r>
              <w:t>60.3</w:t>
            </w:r>
          </w:p>
        </w:tc>
      </w:tr>
      <w:tr w:rsidR="00306A1D" w:rsidRPr="00E41CD5" w:rsidTr="00306A1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306A1D" w:rsidRPr="00306A1D" w:rsidRDefault="00306A1D" w:rsidP="00306A1D">
            <w:pPr>
              <w:pStyle w:val="AERtabletextleft"/>
            </w:pPr>
            <w:r w:rsidRPr="00306A1D">
              <w:rPr>
                <w:rStyle w:val="AERtextitalic"/>
              </w:rPr>
              <w:t>Less</w:t>
            </w:r>
            <w:r w:rsidRPr="00306A1D">
              <w:t>: value of imputation credits</w:t>
            </w:r>
          </w:p>
        </w:tc>
        <w:tc>
          <w:tcPr>
            <w:tcW w:w="536" w:type="pct"/>
            <w:noWrap/>
            <w:vAlign w:val="top"/>
            <w:hideMark/>
          </w:tcPr>
          <w:p w:rsidR="00306A1D" w:rsidRPr="00306A1D" w:rsidRDefault="00306A1D" w:rsidP="00306A1D">
            <w:pPr>
              <w:pStyle w:val="AERtabletextright"/>
              <w:cnfStyle w:val="000000010000" w:firstRow="0" w:lastRow="0" w:firstColumn="0" w:lastColumn="0" w:oddVBand="0" w:evenVBand="0" w:oddHBand="0" w:evenHBand="1" w:firstRowFirstColumn="0" w:firstRowLastColumn="0" w:lastRowFirstColumn="0" w:lastRowLastColumn="0"/>
            </w:pPr>
            <w:r w:rsidRPr="00306A1D">
              <w:t xml:space="preserve"> 4.3 </w:t>
            </w:r>
          </w:p>
        </w:tc>
        <w:tc>
          <w:tcPr>
            <w:tcW w:w="536" w:type="pct"/>
            <w:noWrap/>
            <w:vAlign w:val="top"/>
            <w:hideMark/>
          </w:tcPr>
          <w:p w:rsidR="00306A1D" w:rsidRPr="00306A1D" w:rsidRDefault="00306A1D" w:rsidP="00306A1D">
            <w:pPr>
              <w:pStyle w:val="AERtabletextright"/>
              <w:cnfStyle w:val="000000010000" w:firstRow="0" w:lastRow="0" w:firstColumn="0" w:lastColumn="0" w:oddVBand="0" w:evenVBand="0" w:oddHBand="0" w:evenHBand="1" w:firstRowFirstColumn="0" w:firstRowLastColumn="0" w:lastRowFirstColumn="0" w:lastRowLastColumn="0"/>
            </w:pPr>
            <w:r w:rsidRPr="00306A1D">
              <w:t xml:space="preserve"> 4.6 </w:t>
            </w:r>
          </w:p>
        </w:tc>
        <w:tc>
          <w:tcPr>
            <w:tcW w:w="536" w:type="pct"/>
            <w:noWrap/>
            <w:vAlign w:val="top"/>
            <w:hideMark/>
          </w:tcPr>
          <w:p w:rsidR="00306A1D" w:rsidRPr="00306A1D" w:rsidRDefault="00306A1D" w:rsidP="00306A1D">
            <w:pPr>
              <w:pStyle w:val="AERtabletextright"/>
              <w:cnfStyle w:val="000000010000" w:firstRow="0" w:lastRow="0" w:firstColumn="0" w:lastColumn="0" w:oddVBand="0" w:evenVBand="0" w:oddHBand="0" w:evenHBand="1" w:firstRowFirstColumn="0" w:firstRowLastColumn="0" w:lastRowFirstColumn="0" w:lastRowLastColumn="0"/>
            </w:pPr>
            <w:r w:rsidRPr="00306A1D">
              <w:t xml:space="preserve"> 5.2 </w:t>
            </w:r>
          </w:p>
        </w:tc>
        <w:tc>
          <w:tcPr>
            <w:tcW w:w="536" w:type="pct"/>
            <w:noWrap/>
            <w:vAlign w:val="top"/>
            <w:hideMark/>
          </w:tcPr>
          <w:p w:rsidR="00306A1D" w:rsidRPr="00306A1D" w:rsidRDefault="00306A1D" w:rsidP="00306A1D">
            <w:pPr>
              <w:pStyle w:val="AERtabletextright"/>
              <w:cnfStyle w:val="000000010000" w:firstRow="0" w:lastRow="0" w:firstColumn="0" w:lastColumn="0" w:oddVBand="0" w:evenVBand="0" w:oddHBand="0" w:evenHBand="1" w:firstRowFirstColumn="0" w:firstRowLastColumn="0" w:lastRowFirstColumn="0" w:lastRowLastColumn="0"/>
            </w:pPr>
            <w:r w:rsidRPr="00306A1D">
              <w:t xml:space="preserve"> 5.1 </w:t>
            </w:r>
          </w:p>
        </w:tc>
        <w:tc>
          <w:tcPr>
            <w:tcW w:w="536" w:type="pct"/>
            <w:noWrap/>
            <w:vAlign w:val="top"/>
            <w:hideMark/>
          </w:tcPr>
          <w:p w:rsidR="00306A1D" w:rsidRPr="00306A1D" w:rsidRDefault="00306A1D" w:rsidP="00306A1D">
            <w:pPr>
              <w:pStyle w:val="AERtabletextright"/>
              <w:cnfStyle w:val="000000010000" w:firstRow="0" w:lastRow="0" w:firstColumn="0" w:lastColumn="0" w:oddVBand="0" w:evenVBand="0" w:oddHBand="0" w:evenHBand="1" w:firstRowFirstColumn="0" w:firstRowLastColumn="0" w:lastRowFirstColumn="0" w:lastRowLastColumn="0"/>
            </w:pPr>
            <w:r w:rsidRPr="00306A1D">
              <w:t xml:space="preserve"> 5.0 </w:t>
            </w:r>
          </w:p>
        </w:tc>
        <w:tc>
          <w:tcPr>
            <w:tcW w:w="536" w:type="pct"/>
            <w:noWrap/>
            <w:hideMark/>
          </w:tcPr>
          <w:p w:rsidR="00306A1D" w:rsidRPr="00306A1D" w:rsidRDefault="00306A1D" w:rsidP="00306A1D">
            <w:pPr>
              <w:pStyle w:val="AERtabletextright"/>
              <w:cnfStyle w:val="000000010000" w:firstRow="0" w:lastRow="0" w:firstColumn="0" w:lastColumn="0" w:oddVBand="0" w:evenVBand="0" w:oddHBand="0" w:evenHBand="1" w:firstRowFirstColumn="0" w:firstRowLastColumn="0" w:lastRowFirstColumn="0" w:lastRowLastColumn="0"/>
            </w:pPr>
            <w:r>
              <w:t>24.1</w:t>
            </w:r>
          </w:p>
        </w:tc>
      </w:tr>
      <w:tr w:rsidR="00306A1D" w:rsidRPr="00814626" w:rsidTr="00306A1D">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306A1D" w:rsidRPr="00306A1D" w:rsidRDefault="00306A1D" w:rsidP="00306A1D">
            <w:pPr>
              <w:pStyle w:val="AERtabletextleft"/>
              <w:rPr>
                <w:rStyle w:val="AERtextbold"/>
              </w:rPr>
            </w:pPr>
            <w:r w:rsidRPr="00306A1D">
              <w:rPr>
                <w:rStyle w:val="AERtextbold"/>
              </w:rPr>
              <w:t>Corporate income tax allowance</w:t>
            </w:r>
          </w:p>
        </w:tc>
        <w:tc>
          <w:tcPr>
            <w:tcW w:w="536" w:type="pct"/>
            <w:noWrap/>
            <w:vAlign w:val="top"/>
            <w:hideMark/>
          </w:tcPr>
          <w:p w:rsidR="00306A1D" w:rsidRPr="00306A1D" w:rsidRDefault="00306A1D" w:rsidP="00306A1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06A1D">
              <w:t xml:space="preserve"> 6.4 </w:t>
            </w:r>
          </w:p>
        </w:tc>
        <w:tc>
          <w:tcPr>
            <w:tcW w:w="536" w:type="pct"/>
            <w:noWrap/>
            <w:vAlign w:val="top"/>
            <w:hideMark/>
          </w:tcPr>
          <w:p w:rsidR="00306A1D" w:rsidRPr="00306A1D" w:rsidRDefault="00306A1D" w:rsidP="00306A1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06A1D">
              <w:t xml:space="preserve"> 6.9 </w:t>
            </w:r>
          </w:p>
        </w:tc>
        <w:tc>
          <w:tcPr>
            <w:tcW w:w="536" w:type="pct"/>
            <w:noWrap/>
            <w:vAlign w:val="top"/>
            <w:hideMark/>
          </w:tcPr>
          <w:p w:rsidR="00306A1D" w:rsidRPr="00306A1D" w:rsidRDefault="00306A1D" w:rsidP="00306A1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06A1D">
              <w:t xml:space="preserve"> 7.8 </w:t>
            </w:r>
          </w:p>
        </w:tc>
        <w:tc>
          <w:tcPr>
            <w:tcW w:w="536" w:type="pct"/>
            <w:noWrap/>
            <w:vAlign w:val="top"/>
            <w:hideMark/>
          </w:tcPr>
          <w:p w:rsidR="00306A1D" w:rsidRPr="00306A1D" w:rsidRDefault="00306A1D" w:rsidP="00306A1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06A1D">
              <w:t xml:space="preserve"> 7.6 </w:t>
            </w:r>
          </w:p>
        </w:tc>
        <w:tc>
          <w:tcPr>
            <w:tcW w:w="536" w:type="pct"/>
            <w:noWrap/>
            <w:vAlign w:val="top"/>
            <w:hideMark/>
          </w:tcPr>
          <w:p w:rsidR="00306A1D" w:rsidRPr="00306A1D" w:rsidRDefault="00306A1D" w:rsidP="00306A1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06A1D">
              <w:t xml:space="preserve"> 7.4 </w:t>
            </w:r>
          </w:p>
        </w:tc>
        <w:tc>
          <w:tcPr>
            <w:tcW w:w="536" w:type="pct"/>
            <w:noWrap/>
            <w:hideMark/>
          </w:tcPr>
          <w:p w:rsidR="00306A1D" w:rsidRPr="00306A1D" w:rsidRDefault="00306A1D" w:rsidP="00306A1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36.2</w:t>
            </w:r>
          </w:p>
        </w:tc>
      </w:tr>
    </w:tbl>
    <w:p w:rsidR="00E41CD5" w:rsidRDefault="00814626" w:rsidP="00814626">
      <w:pPr>
        <w:pStyle w:val="AERtablesource"/>
      </w:pPr>
      <w:r>
        <w:t>Source:</w:t>
      </w:r>
      <w:r>
        <w:tab/>
        <w:t>AER analysis.</w:t>
      </w:r>
    </w:p>
    <w:p w:rsidR="009F030C" w:rsidRDefault="002B5942" w:rsidP="009F030C">
      <w:pPr>
        <w:pStyle w:val="Heading2"/>
      </w:pPr>
      <w:bookmarkStart w:id="15" w:name="_Toc404364241"/>
      <w:r>
        <w:t>Ausgrid</w:t>
      </w:r>
      <w:r w:rsidR="00707216">
        <w:t>'s proposal</w:t>
      </w:r>
      <w:bookmarkEnd w:id="15"/>
    </w:p>
    <w:p w:rsidR="007A4305" w:rsidRPr="007A4305" w:rsidRDefault="007A4305" w:rsidP="007A4305">
      <w:pPr>
        <w:pStyle w:val="AERbodytext"/>
      </w:pPr>
      <w:bookmarkStart w:id="16" w:name="_Toc387916831"/>
      <w:r w:rsidRPr="007A4305">
        <w:t xml:space="preserve">Ausgrid proposed </w:t>
      </w:r>
      <w:r w:rsidR="00213AF5">
        <w:t xml:space="preserve">forecast </w:t>
      </w:r>
      <w:r w:rsidR="00141423">
        <w:t xml:space="preserve">cost of </w:t>
      </w:r>
      <w:r w:rsidR="00BB19E4">
        <w:t>corporate income</w:t>
      </w:r>
      <w:r w:rsidRPr="007A4305">
        <w:t xml:space="preserve"> tax </w:t>
      </w:r>
      <w:r w:rsidR="00AD489F">
        <w:t xml:space="preserve">allowances </w:t>
      </w:r>
      <w:r w:rsidRPr="007A4305">
        <w:t>of $636</w:t>
      </w:r>
      <w:r w:rsidR="00324526">
        <w:t>.3</w:t>
      </w:r>
      <w:r w:rsidRPr="007A4305">
        <w:t xml:space="preserve"> million </w:t>
      </w:r>
      <w:r w:rsidR="00392214">
        <w:t>and $76</w:t>
      </w:r>
      <w:r w:rsidR="00324526">
        <w:t>.0</w:t>
      </w:r>
      <w:r w:rsidR="00392214">
        <w:t xml:space="preserve"> million ($ nominal) for its distribution and transmission networks respectively, calculated </w:t>
      </w:r>
      <w:r w:rsidRPr="007A4305">
        <w:t>using the AER's PTRM and the following inputs:</w:t>
      </w:r>
      <w:r w:rsidR="00932F0C">
        <w:rPr>
          <w:rStyle w:val="FootnoteReference"/>
        </w:rPr>
        <w:footnoteReference w:id="2"/>
      </w:r>
    </w:p>
    <w:p w:rsidR="007A4305" w:rsidRPr="007A4305" w:rsidRDefault="007A4305" w:rsidP="007A4305">
      <w:pPr>
        <w:pStyle w:val="AERbulletlistfirststyle"/>
      </w:pPr>
      <w:r w:rsidRPr="007A4305">
        <w:t>opening TAB</w:t>
      </w:r>
      <w:r w:rsidR="00213AF5">
        <w:t>s</w:t>
      </w:r>
      <w:r w:rsidRPr="007A4305">
        <w:t xml:space="preserve"> as at 1 July </w:t>
      </w:r>
      <w:r w:rsidRPr="00593BC8">
        <w:rPr>
          <w:rStyle w:val="AERbody"/>
        </w:rPr>
        <w:t>2014 of $</w:t>
      </w:r>
      <w:r w:rsidRPr="007A4305">
        <w:t>8401</w:t>
      </w:r>
      <w:r w:rsidR="00324526">
        <w:t>.2</w:t>
      </w:r>
      <w:r w:rsidRPr="007A4305">
        <w:t> million and $1631</w:t>
      </w:r>
      <w:r w:rsidR="00324526">
        <w:t>.0</w:t>
      </w:r>
      <w:r w:rsidRPr="007A4305">
        <w:t> million ($ nominal) for its distribution and transmission networks respectively</w:t>
      </w:r>
    </w:p>
    <w:p w:rsidR="007A4305" w:rsidRPr="007A4305" w:rsidRDefault="007A4305" w:rsidP="007A4305">
      <w:pPr>
        <w:pStyle w:val="AERbulletlistfirststyle"/>
      </w:pPr>
      <w:r w:rsidRPr="007A4305">
        <w:t>an expected statutory income tax rate of 30 per cent per year</w:t>
      </w:r>
    </w:p>
    <w:p w:rsidR="007A4305" w:rsidRPr="007A4305" w:rsidRDefault="007A4305" w:rsidP="007A4305">
      <w:pPr>
        <w:pStyle w:val="AERbulletlistfirststyle"/>
      </w:pPr>
      <w:r w:rsidRPr="007A4305">
        <w:t>a value for gamma of 0.25.</w:t>
      </w:r>
    </w:p>
    <w:p w:rsidR="005C4CCF" w:rsidRDefault="005C4CCF" w:rsidP="005C4CCF">
      <w:pPr>
        <w:pStyle w:val="AERbulletlistfirststyle"/>
      </w:pPr>
      <w:r w:rsidRPr="005C4CCF">
        <w:t xml:space="preserve">remaining tax asset lives of assets in existence as at 30 June 2014, calculated based on the standard tax asset life </w:t>
      </w:r>
      <w:r w:rsidR="00AD489F">
        <w:t xml:space="preserve">for an asset class </w:t>
      </w:r>
      <w:r w:rsidRPr="005C4CCF">
        <w:t xml:space="preserve">multiplied by the ratio of the </w:t>
      </w:r>
      <w:r w:rsidR="003E21A5">
        <w:t>regulatory asset base (</w:t>
      </w:r>
      <w:r w:rsidRPr="005C4CCF">
        <w:t>RAB</w:t>
      </w:r>
      <w:r w:rsidR="003E21A5">
        <w:t>)</w:t>
      </w:r>
      <w:r w:rsidRPr="005C4CCF">
        <w:t xml:space="preserve"> remaining asset life to the RAB standard asset life</w:t>
      </w:r>
      <w:r>
        <w:rPr>
          <w:rStyle w:val="FootnoteReference"/>
        </w:rPr>
        <w:footnoteReference w:id="3"/>
      </w:r>
    </w:p>
    <w:p w:rsidR="007A4305" w:rsidRPr="007A4305" w:rsidRDefault="005C4CCF" w:rsidP="005C4CCF">
      <w:pPr>
        <w:pStyle w:val="AERbulletlistfirststyle"/>
      </w:pPr>
      <w:r>
        <w:t>t</w:t>
      </w:r>
      <w:r w:rsidR="007A4305" w:rsidRPr="007A4305">
        <w:t xml:space="preserve">he </w:t>
      </w:r>
      <w:r w:rsidR="00213AF5">
        <w:t xml:space="preserve">same </w:t>
      </w:r>
      <w:r w:rsidR="007A4305" w:rsidRPr="007A4305">
        <w:t>standard tax asset lives for depreciating new assets for the 2014–19</w:t>
      </w:r>
      <w:r w:rsidR="007A4305">
        <w:t xml:space="preserve"> </w:t>
      </w:r>
      <w:r w:rsidR="007A4305" w:rsidRPr="007A4305">
        <w:t xml:space="preserve">regulatory control period as approved at the 2009–14 </w:t>
      </w:r>
      <w:r w:rsidR="00213AF5">
        <w:t>regulatory control period</w:t>
      </w:r>
      <w:r w:rsidR="007A4305" w:rsidRPr="007A4305">
        <w:t>.</w:t>
      </w:r>
    </w:p>
    <w:p w:rsidR="005F7062" w:rsidRDefault="005F7062">
      <w:pPr>
        <w:spacing w:after="0" w:line="240" w:lineRule="auto"/>
        <w:jc w:val="left"/>
        <w:rPr>
          <w:rFonts w:eastAsia="Times New Roman"/>
          <w:szCs w:val="24"/>
        </w:rPr>
      </w:pPr>
      <w:r>
        <w:br w:type="page"/>
      </w:r>
    </w:p>
    <w:p w:rsidR="007A4305" w:rsidRPr="007A4305" w:rsidRDefault="007A4305" w:rsidP="007A4305">
      <w:pPr>
        <w:pStyle w:val="AERbodytext"/>
      </w:pPr>
      <w:r w:rsidRPr="007A4305">
        <w:lastRenderedPageBreak/>
        <w:fldChar w:fldCharType="begin"/>
      </w:r>
      <w:r w:rsidRPr="007A4305">
        <w:instrText xml:space="preserve"> REF _Ref394405398 \h </w:instrText>
      </w:r>
      <w:r w:rsidRPr="007A4305">
        <w:fldChar w:fldCharType="separate"/>
      </w:r>
      <w:r w:rsidR="005F7062" w:rsidRPr="007A4305">
        <w:t xml:space="preserve">Table </w:t>
      </w:r>
      <w:r w:rsidR="005F7062">
        <w:t>8</w:t>
      </w:r>
      <w:r w:rsidR="005F7062">
        <w:noBreakHyphen/>
      </w:r>
      <w:r w:rsidR="005F7062">
        <w:rPr>
          <w:noProof/>
        </w:rPr>
        <w:t>3</w:t>
      </w:r>
      <w:r w:rsidRPr="007A4305">
        <w:fldChar w:fldCharType="end"/>
      </w:r>
      <w:r w:rsidRPr="007A4305">
        <w:t xml:space="preserve"> </w:t>
      </w:r>
      <w:r w:rsidR="00392214">
        <w:t xml:space="preserve">and </w:t>
      </w:r>
      <w:r w:rsidR="00392214">
        <w:fldChar w:fldCharType="begin"/>
      </w:r>
      <w:r w:rsidR="00392214">
        <w:instrText xml:space="preserve"> REF _Ref394669490 \h </w:instrText>
      </w:r>
      <w:r w:rsidR="00392214">
        <w:fldChar w:fldCharType="separate"/>
      </w:r>
      <w:r w:rsidR="005F7062" w:rsidRPr="00392214">
        <w:t xml:space="preserve">Table </w:t>
      </w:r>
      <w:r w:rsidR="005F7062">
        <w:t>8</w:t>
      </w:r>
      <w:r w:rsidR="005F7062">
        <w:noBreakHyphen/>
      </w:r>
      <w:r w:rsidR="005F7062">
        <w:rPr>
          <w:noProof/>
        </w:rPr>
        <w:t>4</w:t>
      </w:r>
      <w:r w:rsidR="00392214">
        <w:fldChar w:fldCharType="end"/>
      </w:r>
      <w:r w:rsidR="00392214">
        <w:t xml:space="preserve"> set</w:t>
      </w:r>
      <w:r w:rsidRPr="007A4305">
        <w:t xml:space="preserve"> out Ausgrid's proposed </w:t>
      </w:r>
      <w:r w:rsidR="001A0070">
        <w:t xml:space="preserve">cost of </w:t>
      </w:r>
      <w:r w:rsidRPr="007A4305">
        <w:t>corporate income tax</w:t>
      </w:r>
      <w:r w:rsidR="00AD489F">
        <w:t xml:space="preserve"> allowances</w:t>
      </w:r>
      <w:r w:rsidRPr="007A4305">
        <w:t xml:space="preserve"> for </w:t>
      </w:r>
      <w:r w:rsidR="00392214">
        <w:t xml:space="preserve">its distribution and transmission networks respectively over </w:t>
      </w:r>
      <w:r w:rsidRPr="007A4305">
        <w:t xml:space="preserve">the 2014–19 </w:t>
      </w:r>
      <w:proofErr w:type="gramStart"/>
      <w:r w:rsidRPr="007A4305">
        <w:t>period</w:t>
      </w:r>
      <w:proofErr w:type="gramEnd"/>
      <w:r w:rsidRPr="007A4305">
        <w:t>.</w:t>
      </w:r>
      <w:r w:rsidRPr="007A4305">
        <w:rPr>
          <w:rStyle w:val="CommentReference"/>
          <w:rFonts w:eastAsia="Calibri"/>
        </w:rPr>
        <w:t xml:space="preserve"> </w:t>
      </w:r>
    </w:p>
    <w:p w:rsidR="007A4305" w:rsidRPr="007A4305" w:rsidRDefault="007A4305" w:rsidP="007A4305">
      <w:pPr>
        <w:pStyle w:val="Caption"/>
      </w:pPr>
      <w:bookmarkStart w:id="17" w:name="_Ref394405398"/>
      <w:r w:rsidRPr="007A4305">
        <w:t xml:space="preserve">Table </w:t>
      </w:r>
      <w:r w:rsidR="00213E04">
        <w:t>8</w:t>
      </w:r>
      <w:r w:rsidR="00BD0BE1">
        <w:noBreakHyphen/>
      </w:r>
      <w:fldSimple w:instr=" SEQ Table \* ARABIC \s 1 ">
        <w:r w:rsidR="005F7062">
          <w:rPr>
            <w:noProof/>
          </w:rPr>
          <w:t>3</w:t>
        </w:r>
      </w:fldSimple>
      <w:bookmarkEnd w:id="17"/>
      <w:r w:rsidRPr="007A4305">
        <w:tab/>
        <w:t xml:space="preserve">Ausgrid's proposed </w:t>
      </w:r>
      <w:r w:rsidR="00053AC6">
        <w:t xml:space="preserve">cost of </w:t>
      </w:r>
      <w:r w:rsidRPr="007A4305">
        <w:t xml:space="preserve">corporate income tax allowance </w:t>
      </w:r>
      <w:r w:rsidR="00AD489F" w:rsidRPr="00814626">
        <w:t xml:space="preserve">for the 2014–19 period </w:t>
      </w:r>
      <w:r w:rsidR="00392214">
        <w:t xml:space="preserve">– distribution </w:t>
      </w:r>
      <w:r w:rsidRPr="007A4305">
        <w:t>($ million, nominal)</w:t>
      </w:r>
    </w:p>
    <w:tbl>
      <w:tblPr>
        <w:tblStyle w:val="AERtable-numbers"/>
        <w:tblW w:w="5000" w:type="pct"/>
        <w:tblLook w:val="01E0" w:firstRow="1" w:lastRow="1" w:firstColumn="1" w:lastColumn="1" w:noHBand="0" w:noVBand="0"/>
      </w:tblPr>
      <w:tblGrid>
        <w:gridCol w:w="3508"/>
        <w:gridCol w:w="1000"/>
        <w:gridCol w:w="1000"/>
        <w:gridCol w:w="1000"/>
        <w:gridCol w:w="1000"/>
        <w:gridCol w:w="1000"/>
        <w:gridCol w:w="734"/>
      </w:tblGrid>
      <w:tr w:rsidR="007A4305" w:rsidRPr="00D405D5" w:rsidTr="00E2732C">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898" w:type="pct"/>
          </w:tcPr>
          <w:p w:rsidR="007A4305" w:rsidRPr="007A4305" w:rsidRDefault="007A4305" w:rsidP="007A4305">
            <w:pPr>
              <w:pStyle w:val="AERtabletextleft"/>
            </w:pP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2014–15</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2015–16</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2016–17</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2017–18</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2018–19</w:t>
            </w:r>
          </w:p>
        </w:tc>
        <w:tc>
          <w:tcPr>
            <w:tcW w:w="398"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Total</w:t>
            </w:r>
          </w:p>
        </w:tc>
      </w:tr>
      <w:tr w:rsidR="007A4305" w:rsidRPr="00D405D5" w:rsidTr="00E2732C">
        <w:trPr>
          <w:trHeight w:val="294"/>
        </w:trPr>
        <w:tc>
          <w:tcPr>
            <w:cnfStyle w:val="001000000000" w:firstRow="0" w:lastRow="0" w:firstColumn="1" w:lastColumn="0" w:oddVBand="0" w:evenVBand="0" w:oddHBand="0" w:evenHBand="0" w:firstRowFirstColumn="0" w:firstRowLastColumn="0" w:lastRowFirstColumn="0" w:lastRowLastColumn="0"/>
            <w:tcW w:w="1898" w:type="pct"/>
          </w:tcPr>
          <w:p w:rsidR="007A4305" w:rsidRPr="007A4305" w:rsidRDefault="007A4305" w:rsidP="007A4305">
            <w:pPr>
              <w:pStyle w:val="AERtabletextleft"/>
            </w:pPr>
            <w:r w:rsidRPr="007A4305">
              <w:t>Tax payable</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pPr>
            <w:r w:rsidRPr="007A4305">
              <w:t>143.1</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pPr>
            <w:r w:rsidRPr="007A4305">
              <w:t>157.7</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pPr>
            <w:r w:rsidRPr="007A4305">
              <w:t>183.5</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pPr>
            <w:r w:rsidRPr="007A4305">
              <w:t>179.8</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pPr>
            <w:r w:rsidRPr="007A4305">
              <w:t>184.4</w:t>
            </w:r>
          </w:p>
        </w:tc>
        <w:tc>
          <w:tcPr>
            <w:tcW w:w="398" w:type="pct"/>
            <w:vAlign w:val="bottom"/>
          </w:tcPr>
          <w:p w:rsidR="007A4305" w:rsidRPr="00BB0691" w:rsidRDefault="007A4305" w:rsidP="00080550">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883982">
              <w:rPr>
                <w:rStyle w:val="AERtextbold"/>
                <w:b w:val="0"/>
              </w:rPr>
              <w:t>848.4</w:t>
            </w:r>
          </w:p>
        </w:tc>
      </w:tr>
      <w:tr w:rsidR="007A4305" w:rsidRPr="00D405D5" w:rsidTr="00E2732C">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98" w:type="pct"/>
          </w:tcPr>
          <w:p w:rsidR="007A4305" w:rsidRPr="007A4305" w:rsidRDefault="007A4305" w:rsidP="007A4305">
            <w:pPr>
              <w:pStyle w:val="AERtabletextleft"/>
            </w:pPr>
            <w:r w:rsidRPr="007A4305">
              <w:rPr>
                <w:rStyle w:val="AERtextitalic"/>
              </w:rPr>
              <w:t>Less</w:t>
            </w:r>
            <w:r w:rsidRPr="007A4305">
              <w:t>: value of imputation credits</w:t>
            </w:r>
          </w:p>
        </w:tc>
        <w:tc>
          <w:tcPr>
            <w:tcW w:w="541" w:type="pct"/>
            <w:vAlign w:val="bottom"/>
          </w:tcPr>
          <w:p w:rsidR="007A4305" w:rsidRPr="007A4305" w:rsidRDefault="007A4305" w:rsidP="007A4305">
            <w:pPr>
              <w:pStyle w:val="AERtabletextright"/>
              <w:cnfStyle w:val="000000010000" w:firstRow="0" w:lastRow="0" w:firstColumn="0" w:lastColumn="0" w:oddVBand="0" w:evenVBand="0" w:oddHBand="0" w:evenHBand="1" w:firstRowFirstColumn="0" w:firstRowLastColumn="0" w:lastRowFirstColumn="0" w:lastRowLastColumn="0"/>
            </w:pPr>
            <w:r w:rsidRPr="007A4305">
              <w:t>35.8</w:t>
            </w:r>
          </w:p>
        </w:tc>
        <w:tc>
          <w:tcPr>
            <w:tcW w:w="541" w:type="pct"/>
            <w:vAlign w:val="bottom"/>
          </w:tcPr>
          <w:p w:rsidR="007A4305" w:rsidRPr="007A4305" w:rsidRDefault="007A4305" w:rsidP="007A4305">
            <w:pPr>
              <w:pStyle w:val="AERtabletextright"/>
              <w:cnfStyle w:val="000000010000" w:firstRow="0" w:lastRow="0" w:firstColumn="0" w:lastColumn="0" w:oddVBand="0" w:evenVBand="0" w:oddHBand="0" w:evenHBand="1" w:firstRowFirstColumn="0" w:firstRowLastColumn="0" w:lastRowFirstColumn="0" w:lastRowLastColumn="0"/>
            </w:pPr>
            <w:r w:rsidRPr="007A4305">
              <w:t>39.4</w:t>
            </w:r>
          </w:p>
        </w:tc>
        <w:tc>
          <w:tcPr>
            <w:tcW w:w="541" w:type="pct"/>
            <w:vAlign w:val="bottom"/>
          </w:tcPr>
          <w:p w:rsidR="007A4305" w:rsidRPr="007A4305" w:rsidRDefault="007A4305" w:rsidP="007A4305">
            <w:pPr>
              <w:pStyle w:val="AERtabletextright"/>
              <w:cnfStyle w:val="000000010000" w:firstRow="0" w:lastRow="0" w:firstColumn="0" w:lastColumn="0" w:oddVBand="0" w:evenVBand="0" w:oddHBand="0" w:evenHBand="1" w:firstRowFirstColumn="0" w:firstRowLastColumn="0" w:lastRowFirstColumn="0" w:lastRowLastColumn="0"/>
            </w:pPr>
            <w:r w:rsidRPr="007A4305">
              <w:t>45.9</w:t>
            </w:r>
          </w:p>
        </w:tc>
        <w:tc>
          <w:tcPr>
            <w:tcW w:w="541" w:type="pct"/>
            <w:vAlign w:val="bottom"/>
          </w:tcPr>
          <w:p w:rsidR="007A4305" w:rsidRPr="007A4305" w:rsidRDefault="007A4305" w:rsidP="007A4305">
            <w:pPr>
              <w:pStyle w:val="AERtabletextright"/>
              <w:cnfStyle w:val="000000010000" w:firstRow="0" w:lastRow="0" w:firstColumn="0" w:lastColumn="0" w:oddVBand="0" w:evenVBand="0" w:oddHBand="0" w:evenHBand="1" w:firstRowFirstColumn="0" w:firstRowLastColumn="0" w:lastRowFirstColumn="0" w:lastRowLastColumn="0"/>
            </w:pPr>
            <w:r w:rsidRPr="007A4305">
              <w:t>45.0</w:t>
            </w:r>
          </w:p>
        </w:tc>
        <w:tc>
          <w:tcPr>
            <w:tcW w:w="541" w:type="pct"/>
            <w:vAlign w:val="bottom"/>
          </w:tcPr>
          <w:p w:rsidR="007A4305" w:rsidRPr="007A4305" w:rsidRDefault="007A4305" w:rsidP="007A4305">
            <w:pPr>
              <w:pStyle w:val="AERtabletextright"/>
              <w:cnfStyle w:val="000000010000" w:firstRow="0" w:lastRow="0" w:firstColumn="0" w:lastColumn="0" w:oddVBand="0" w:evenVBand="0" w:oddHBand="0" w:evenHBand="1" w:firstRowFirstColumn="0" w:firstRowLastColumn="0" w:lastRowFirstColumn="0" w:lastRowLastColumn="0"/>
            </w:pPr>
            <w:r w:rsidRPr="007A4305">
              <w:t>46.1</w:t>
            </w:r>
          </w:p>
        </w:tc>
        <w:tc>
          <w:tcPr>
            <w:tcW w:w="398" w:type="pct"/>
            <w:vAlign w:val="bottom"/>
          </w:tcPr>
          <w:p w:rsidR="007A4305" w:rsidRPr="00883982" w:rsidRDefault="007A4305" w:rsidP="00080550">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883982">
              <w:rPr>
                <w:rStyle w:val="AERtextbold"/>
                <w:b w:val="0"/>
              </w:rPr>
              <w:t>212.1</w:t>
            </w:r>
          </w:p>
        </w:tc>
      </w:tr>
      <w:tr w:rsidR="007A4305" w:rsidRPr="0000659B" w:rsidTr="00E2732C">
        <w:trPr>
          <w:trHeight w:val="301"/>
        </w:trPr>
        <w:tc>
          <w:tcPr>
            <w:cnfStyle w:val="001000000000" w:firstRow="0" w:lastRow="0" w:firstColumn="1" w:lastColumn="0" w:oddVBand="0" w:evenVBand="0" w:oddHBand="0" w:evenHBand="0" w:firstRowFirstColumn="0" w:firstRowLastColumn="0" w:lastRowFirstColumn="0" w:lastRowLastColumn="0"/>
            <w:tcW w:w="1898" w:type="pct"/>
          </w:tcPr>
          <w:p w:rsidR="007A4305" w:rsidRPr="007A4305" w:rsidRDefault="00053AC6" w:rsidP="007A4305">
            <w:pPr>
              <w:pStyle w:val="AERtabletextleft"/>
              <w:rPr>
                <w:rStyle w:val="AERtextbold"/>
              </w:rPr>
            </w:pPr>
            <w:r>
              <w:rPr>
                <w:rStyle w:val="AERtextbold"/>
              </w:rPr>
              <w:t>C</w:t>
            </w:r>
            <w:r w:rsidR="007A4305" w:rsidRPr="007A4305">
              <w:rPr>
                <w:rStyle w:val="AERtextbold"/>
              </w:rPr>
              <w:t>orporate income tax allowance</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A4305">
              <w:rPr>
                <w:rStyle w:val="AERtextbold"/>
              </w:rPr>
              <w:t>107.3</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A4305">
              <w:rPr>
                <w:rStyle w:val="AERtextbold"/>
              </w:rPr>
              <w:t>118.2</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A4305">
              <w:rPr>
                <w:rStyle w:val="AERtextbold"/>
              </w:rPr>
              <w:t>137.6</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A4305">
              <w:rPr>
                <w:rStyle w:val="AERtextbold"/>
              </w:rPr>
              <w:t>134.9</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A4305">
              <w:rPr>
                <w:rStyle w:val="AERtextbold"/>
              </w:rPr>
              <w:t>138.3</w:t>
            </w:r>
          </w:p>
        </w:tc>
        <w:tc>
          <w:tcPr>
            <w:tcW w:w="398"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A4305">
              <w:rPr>
                <w:rStyle w:val="AERtextbold"/>
              </w:rPr>
              <w:t>636.3</w:t>
            </w:r>
          </w:p>
        </w:tc>
      </w:tr>
    </w:tbl>
    <w:p w:rsidR="007A4305" w:rsidRDefault="007A4305" w:rsidP="007A4305">
      <w:pPr>
        <w:pStyle w:val="AERtablesource"/>
      </w:pPr>
      <w:r w:rsidRPr="007A4305">
        <w:t>Source:</w:t>
      </w:r>
      <w:r w:rsidRPr="007A4305">
        <w:tab/>
      </w:r>
      <w:r w:rsidR="00932F0C">
        <w:t>Ausgrid</w:t>
      </w:r>
      <w:r w:rsidR="00932F0C" w:rsidRPr="00DB7CF9">
        <w:t xml:space="preserve">, </w:t>
      </w:r>
      <w:r w:rsidR="00932F0C" w:rsidRPr="00DB7CF9">
        <w:rPr>
          <w:rStyle w:val="AERtextitalic"/>
        </w:rPr>
        <w:t>Regulatory proposal</w:t>
      </w:r>
      <w:r w:rsidR="00932F0C" w:rsidRPr="00DB7CF9">
        <w:t>, May 2014, Attachment 4.0</w:t>
      </w:r>
      <w:r w:rsidR="00E41CD5">
        <w:t>1</w:t>
      </w:r>
      <w:r w:rsidR="00932F0C" w:rsidRPr="00DB7CF9">
        <w:t>.</w:t>
      </w:r>
    </w:p>
    <w:p w:rsidR="00392214" w:rsidRPr="00392214" w:rsidRDefault="00392214" w:rsidP="00392214">
      <w:pPr>
        <w:pStyle w:val="Caption"/>
      </w:pPr>
      <w:bookmarkStart w:id="18" w:name="_Ref394669490"/>
      <w:r w:rsidRPr="00392214">
        <w:t xml:space="preserve">Table </w:t>
      </w:r>
      <w:r w:rsidR="00213E04">
        <w:t>8</w:t>
      </w:r>
      <w:r w:rsidR="00BD0BE1">
        <w:noBreakHyphen/>
      </w:r>
      <w:fldSimple w:instr=" SEQ Table \* ARABIC \s 1 ">
        <w:r w:rsidR="005F7062">
          <w:rPr>
            <w:noProof/>
          </w:rPr>
          <w:t>4</w:t>
        </w:r>
      </w:fldSimple>
      <w:bookmarkEnd w:id="18"/>
      <w:r w:rsidRPr="00392214">
        <w:tab/>
        <w:t xml:space="preserve">Ausgrid's proposed </w:t>
      </w:r>
      <w:r w:rsidR="00053AC6">
        <w:t xml:space="preserve">cost of </w:t>
      </w:r>
      <w:r w:rsidRPr="00392214">
        <w:t xml:space="preserve">corporate income tax allowance </w:t>
      </w:r>
      <w:r w:rsidR="00AD489F" w:rsidRPr="00814626">
        <w:t xml:space="preserve">for the 2014–19 period </w:t>
      </w:r>
      <w:r w:rsidRPr="00392214">
        <w:t xml:space="preserve">– </w:t>
      </w:r>
      <w:r>
        <w:t>transmission</w:t>
      </w:r>
      <w:r w:rsidRPr="00392214">
        <w:t xml:space="preserve"> ($ million, nominal)</w:t>
      </w:r>
    </w:p>
    <w:tbl>
      <w:tblPr>
        <w:tblStyle w:val="AERtable-numbers"/>
        <w:tblW w:w="5000" w:type="pct"/>
        <w:tblLook w:val="01E0" w:firstRow="1" w:lastRow="1" w:firstColumn="1" w:lastColumn="1" w:noHBand="0" w:noVBand="0"/>
      </w:tblPr>
      <w:tblGrid>
        <w:gridCol w:w="3508"/>
        <w:gridCol w:w="1000"/>
        <w:gridCol w:w="1000"/>
        <w:gridCol w:w="1000"/>
        <w:gridCol w:w="1000"/>
        <w:gridCol w:w="1000"/>
        <w:gridCol w:w="734"/>
      </w:tblGrid>
      <w:tr w:rsidR="00392214" w:rsidRPr="00D405D5" w:rsidTr="0039221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898" w:type="pct"/>
          </w:tcPr>
          <w:p w:rsidR="00392214" w:rsidRPr="00392214" w:rsidRDefault="00392214" w:rsidP="00392214">
            <w:pPr>
              <w:pStyle w:val="AERtabletextleft"/>
            </w:pPr>
          </w:p>
        </w:tc>
        <w:tc>
          <w:tcPr>
            <w:tcW w:w="541" w:type="pct"/>
          </w:tcPr>
          <w:p w:rsidR="00392214" w:rsidRPr="00392214" w:rsidRDefault="00392214" w:rsidP="00392214">
            <w:pPr>
              <w:pStyle w:val="AERtabletextright"/>
              <w:cnfStyle w:val="100000000000" w:firstRow="1" w:lastRow="0" w:firstColumn="0" w:lastColumn="0" w:oddVBand="0" w:evenVBand="0" w:oddHBand="0" w:evenHBand="0" w:firstRowFirstColumn="0" w:firstRowLastColumn="0" w:lastRowFirstColumn="0" w:lastRowLastColumn="0"/>
            </w:pPr>
            <w:r w:rsidRPr="00392214">
              <w:t>2014–15</w:t>
            </w:r>
          </w:p>
        </w:tc>
        <w:tc>
          <w:tcPr>
            <w:tcW w:w="541" w:type="pct"/>
          </w:tcPr>
          <w:p w:rsidR="00392214" w:rsidRPr="00392214" w:rsidRDefault="00392214" w:rsidP="00392214">
            <w:pPr>
              <w:pStyle w:val="AERtabletextright"/>
              <w:cnfStyle w:val="100000000000" w:firstRow="1" w:lastRow="0" w:firstColumn="0" w:lastColumn="0" w:oddVBand="0" w:evenVBand="0" w:oddHBand="0" w:evenHBand="0" w:firstRowFirstColumn="0" w:firstRowLastColumn="0" w:lastRowFirstColumn="0" w:lastRowLastColumn="0"/>
            </w:pPr>
            <w:r w:rsidRPr="00392214">
              <w:t>2015–16</w:t>
            </w:r>
          </w:p>
        </w:tc>
        <w:tc>
          <w:tcPr>
            <w:tcW w:w="541" w:type="pct"/>
          </w:tcPr>
          <w:p w:rsidR="00392214" w:rsidRPr="00392214" w:rsidRDefault="00392214" w:rsidP="00392214">
            <w:pPr>
              <w:pStyle w:val="AERtabletextright"/>
              <w:cnfStyle w:val="100000000000" w:firstRow="1" w:lastRow="0" w:firstColumn="0" w:lastColumn="0" w:oddVBand="0" w:evenVBand="0" w:oddHBand="0" w:evenHBand="0" w:firstRowFirstColumn="0" w:firstRowLastColumn="0" w:lastRowFirstColumn="0" w:lastRowLastColumn="0"/>
            </w:pPr>
            <w:r w:rsidRPr="00392214">
              <w:t>2016–17</w:t>
            </w:r>
          </w:p>
        </w:tc>
        <w:tc>
          <w:tcPr>
            <w:tcW w:w="541" w:type="pct"/>
          </w:tcPr>
          <w:p w:rsidR="00392214" w:rsidRPr="00392214" w:rsidRDefault="00392214" w:rsidP="00392214">
            <w:pPr>
              <w:pStyle w:val="AERtabletextright"/>
              <w:cnfStyle w:val="100000000000" w:firstRow="1" w:lastRow="0" w:firstColumn="0" w:lastColumn="0" w:oddVBand="0" w:evenVBand="0" w:oddHBand="0" w:evenHBand="0" w:firstRowFirstColumn="0" w:firstRowLastColumn="0" w:lastRowFirstColumn="0" w:lastRowLastColumn="0"/>
            </w:pPr>
            <w:r w:rsidRPr="00392214">
              <w:t>2017–18</w:t>
            </w:r>
          </w:p>
        </w:tc>
        <w:tc>
          <w:tcPr>
            <w:tcW w:w="541" w:type="pct"/>
          </w:tcPr>
          <w:p w:rsidR="00392214" w:rsidRPr="00392214" w:rsidRDefault="00392214" w:rsidP="00392214">
            <w:pPr>
              <w:pStyle w:val="AERtabletextright"/>
              <w:cnfStyle w:val="100000000000" w:firstRow="1" w:lastRow="0" w:firstColumn="0" w:lastColumn="0" w:oddVBand="0" w:evenVBand="0" w:oddHBand="0" w:evenHBand="0" w:firstRowFirstColumn="0" w:firstRowLastColumn="0" w:lastRowFirstColumn="0" w:lastRowLastColumn="0"/>
            </w:pPr>
            <w:r w:rsidRPr="00392214">
              <w:t>2018–19</w:t>
            </w:r>
          </w:p>
        </w:tc>
        <w:tc>
          <w:tcPr>
            <w:tcW w:w="397" w:type="pct"/>
          </w:tcPr>
          <w:p w:rsidR="00392214" w:rsidRPr="00392214" w:rsidRDefault="00392214" w:rsidP="00392214">
            <w:pPr>
              <w:pStyle w:val="AERtabletextright"/>
              <w:cnfStyle w:val="100000000000" w:firstRow="1" w:lastRow="0" w:firstColumn="0" w:lastColumn="0" w:oddVBand="0" w:evenVBand="0" w:oddHBand="0" w:evenHBand="0" w:firstRowFirstColumn="0" w:firstRowLastColumn="0" w:lastRowFirstColumn="0" w:lastRowLastColumn="0"/>
            </w:pPr>
            <w:r w:rsidRPr="00392214">
              <w:t>Total</w:t>
            </w:r>
          </w:p>
        </w:tc>
      </w:tr>
      <w:tr w:rsidR="00392214" w:rsidRPr="00D405D5" w:rsidTr="00392214">
        <w:trPr>
          <w:trHeight w:val="294"/>
        </w:trPr>
        <w:tc>
          <w:tcPr>
            <w:cnfStyle w:val="001000000000" w:firstRow="0" w:lastRow="0" w:firstColumn="1" w:lastColumn="0" w:oddVBand="0" w:evenVBand="0" w:oddHBand="0" w:evenHBand="0" w:firstRowFirstColumn="0" w:firstRowLastColumn="0" w:lastRowFirstColumn="0" w:lastRowLastColumn="0"/>
            <w:tcW w:w="1898" w:type="pct"/>
          </w:tcPr>
          <w:p w:rsidR="00392214" w:rsidRPr="00392214" w:rsidRDefault="00392214" w:rsidP="00392214">
            <w:pPr>
              <w:pStyle w:val="AERtabletextleft"/>
            </w:pPr>
            <w:r w:rsidRPr="00392214">
              <w:t>Tax payable</w:t>
            </w:r>
          </w:p>
        </w:tc>
        <w:tc>
          <w:tcPr>
            <w:tcW w:w="541" w:type="pct"/>
            <w:vAlign w:val="bottom"/>
          </w:tcPr>
          <w:p w:rsidR="00392214" w:rsidRPr="00392214" w:rsidRDefault="00392214" w:rsidP="00392214">
            <w:pPr>
              <w:pStyle w:val="AERtabletextright"/>
              <w:cnfStyle w:val="000000000000" w:firstRow="0" w:lastRow="0" w:firstColumn="0" w:lastColumn="0" w:oddVBand="0" w:evenVBand="0" w:oddHBand="0" w:evenHBand="0" w:firstRowFirstColumn="0" w:firstRowLastColumn="0" w:lastRowFirstColumn="0" w:lastRowLastColumn="0"/>
            </w:pPr>
            <w:r w:rsidRPr="00392214">
              <w:t>17.8</w:t>
            </w:r>
          </w:p>
        </w:tc>
        <w:tc>
          <w:tcPr>
            <w:tcW w:w="541" w:type="pct"/>
            <w:vAlign w:val="bottom"/>
          </w:tcPr>
          <w:p w:rsidR="00392214" w:rsidRPr="00392214" w:rsidRDefault="00392214" w:rsidP="00392214">
            <w:pPr>
              <w:pStyle w:val="AERtabletextright"/>
              <w:cnfStyle w:val="000000000000" w:firstRow="0" w:lastRow="0" w:firstColumn="0" w:lastColumn="0" w:oddVBand="0" w:evenVBand="0" w:oddHBand="0" w:evenHBand="0" w:firstRowFirstColumn="0" w:firstRowLastColumn="0" w:lastRowFirstColumn="0" w:lastRowLastColumn="0"/>
            </w:pPr>
            <w:r w:rsidRPr="00392214">
              <w:t>19.2</w:t>
            </w:r>
          </w:p>
        </w:tc>
        <w:tc>
          <w:tcPr>
            <w:tcW w:w="541" w:type="pct"/>
            <w:vAlign w:val="bottom"/>
          </w:tcPr>
          <w:p w:rsidR="00392214" w:rsidRPr="00392214" w:rsidRDefault="00392214" w:rsidP="00392214">
            <w:pPr>
              <w:pStyle w:val="AERtabletextright"/>
              <w:cnfStyle w:val="000000000000" w:firstRow="0" w:lastRow="0" w:firstColumn="0" w:lastColumn="0" w:oddVBand="0" w:evenVBand="0" w:oddHBand="0" w:evenHBand="0" w:firstRowFirstColumn="0" w:firstRowLastColumn="0" w:lastRowFirstColumn="0" w:lastRowLastColumn="0"/>
            </w:pPr>
            <w:r w:rsidRPr="00392214">
              <w:t>21.6</w:t>
            </w:r>
          </w:p>
        </w:tc>
        <w:tc>
          <w:tcPr>
            <w:tcW w:w="541" w:type="pct"/>
            <w:vAlign w:val="bottom"/>
          </w:tcPr>
          <w:p w:rsidR="00392214" w:rsidRPr="00392214" w:rsidRDefault="00392214" w:rsidP="00392214">
            <w:pPr>
              <w:pStyle w:val="AERtabletextright"/>
              <w:cnfStyle w:val="000000000000" w:firstRow="0" w:lastRow="0" w:firstColumn="0" w:lastColumn="0" w:oddVBand="0" w:evenVBand="0" w:oddHBand="0" w:evenHBand="0" w:firstRowFirstColumn="0" w:firstRowLastColumn="0" w:lastRowFirstColumn="0" w:lastRowLastColumn="0"/>
            </w:pPr>
            <w:r w:rsidRPr="00392214">
              <w:t>21.1</w:t>
            </w:r>
          </w:p>
        </w:tc>
        <w:tc>
          <w:tcPr>
            <w:tcW w:w="541" w:type="pct"/>
            <w:vAlign w:val="bottom"/>
          </w:tcPr>
          <w:p w:rsidR="00392214" w:rsidRPr="00392214" w:rsidRDefault="00392214" w:rsidP="00392214">
            <w:pPr>
              <w:pStyle w:val="AERtabletextright"/>
              <w:cnfStyle w:val="000000000000" w:firstRow="0" w:lastRow="0" w:firstColumn="0" w:lastColumn="0" w:oddVBand="0" w:evenVBand="0" w:oddHBand="0" w:evenHBand="0" w:firstRowFirstColumn="0" w:firstRowLastColumn="0" w:lastRowFirstColumn="0" w:lastRowLastColumn="0"/>
            </w:pPr>
            <w:r w:rsidRPr="00392214">
              <w:t>21.6</w:t>
            </w:r>
          </w:p>
        </w:tc>
        <w:tc>
          <w:tcPr>
            <w:tcW w:w="397" w:type="pct"/>
            <w:vAlign w:val="bottom"/>
          </w:tcPr>
          <w:p w:rsidR="00392214" w:rsidRPr="00BB0691" w:rsidRDefault="00392214" w:rsidP="00080550">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883982">
              <w:rPr>
                <w:rStyle w:val="AERtextbold"/>
                <w:b w:val="0"/>
              </w:rPr>
              <w:t>101.3</w:t>
            </w:r>
          </w:p>
        </w:tc>
      </w:tr>
      <w:tr w:rsidR="00392214" w:rsidRPr="00D405D5" w:rsidTr="00392214">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98" w:type="pct"/>
          </w:tcPr>
          <w:p w:rsidR="00392214" w:rsidRPr="00392214" w:rsidRDefault="00392214" w:rsidP="00392214">
            <w:pPr>
              <w:pStyle w:val="AERtabletextleft"/>
            </w:pPr>
            <w:r w:rsidRPr="00392214">
              <w:rPr>
                <w:rStyle w:val="AERtextitalic"/>
              </w:rPr>
              <w:t>Less</w:t>
            </w:r>
            <w:r w:rsidRPr="00392214">
              <w:t>: value of imputation credits</w:t>
            </w:r>
          </w:p>
        </w:tc>
        <w:tc>
          <w:tcPr>
            <w:tcW w:w="541" w:type="pct"/>
            <w:vAlign w:val="bottom"/>
          </w:tcPr>
          <w:p w:rsidR="00392214" w:rsidRPr="00392214" w:rsidRDefault="00392214" w:rsidP="00392214">
            <w:pPr>
              <w:pStyle w:val="AERtabletextright"/>
              <w:cnfStyle w:val="000000010000" w:firstRow="0" w:lastRow="0" w:firstColumn="0" w:lastColumn="0" w:oddVBand="0" w:evenVBand="0" w:oddHBand="0" w:evenHBand="1" w:firstRowFirstColumn="0" w:firstRowLastColumn="0" w:lastRowFirstColumn="0" w:lastRowLastColumn="0"/>
            </w:pPr>
            <w:r w:rsidRPr="00392214">
              <w:t>4.5</w:t>
            </w:r>
          </w:p>
        </w:tc>
        <w:tc>
          <w:tcPr>
            <w:tcW w:w="541" w:type="pct"/>
            <w:vAlign w:val="bottom"/>
          </w:tcPr>
          <w:p w:rsidR="00392214" w:rsidRPr="00392214" w:rsidRDefault="00392214" w:rsidP="00392214">
            <w:pPr>
              <w:pStyle w:val="AERtabletextright"/>
              <w:cnfStyle w:val="000000010000" w:firstRow="0" w:lastRow="0" w:firstColumn="0" w:lastColumn="0" w:oddVBand="0" w:evenVBand="0" w:oddHBand="0" w:evenHBand="1" w:firstRowFirstColumn="0" w:firstRowLastColumn="0" w:lastRowFirstColumn="0" w:lastRowLastColumn="0"/>
            </w:pPr>
            <w:r w:rsidRPr="00392214">
              <w:t>4.8</w:t>
            </w:r>
          </w:p>
        </w:tc>
        <w:tc>
          <w:tcPr>
            <w:tcW w:w="541" w:type="pct"/>
            <w:vAlign w:val="bottom"/>
          </w:tcPr>
          <w:p w:rsidR="00392214" w:rsidRPr="00392214" w:rsidRDefault="00392214" w:rsidP="00392214">
            <w:pPr>
              <w:pStyle w:val="AERtabletextright"/>
              <w:cnfStyle w:val="000000010000" w:firstRow="0" w:lastRow="0" w:firstColumn="0" w:lastColumn="0" w:oddVBand="0" w:evenVBand="0" w:oddHBand="0" w:evenHBand="1" w:firstRowFirstColumn="0" w:firstRowLastColumn="0" w:lastRowFirstColumn="0" w:lastRowLastColumn="0"/>
            </w:pPr>
            <w:r w:rsidRPr="00392214">
              <w:t>5.4</w:t>
            </w:r>
          </w:p>
        </w:tc>
        <w:tc>
          <w:tcPr>
            <w:tcW w:w="541" w:type="pct"/>
            <w:vAlign w:val="bottom"/>
          </w:tcPr>
          <w:p w:rsidR="00392214" w:rsidRPr="00392214" w:rsidRDefault="00392214" w:rsidP="00392214">
            <w:pPr>
              <w:pStyle w:val="AERtabletextright"/>
              <w:cnfStyle w:val="000000010000" w:firstRow="0" w:lastRow="0" w:firstColumn="0" w:lastColumn="0" w:oddVBand="0" w:evenVBand="0" w:oddHBand="0" w:evenHBand="1" w:firstRowFirstColumn="0" w:firstRowLastColumn="0" w:lastRowFirstColumn="0" w:lastRowLastColumn="0"/>
            </w:pPr>
            <w:r w:rsidRPr="00392214">
              <w:t>5.3</w:t>
            </w:r>
          </w:p>
        </w:tc>
        <w:tc>
          <w:tcPr>
            <w:tcW w:w="541" w:type="pct"/>
            <w:vAlign w:val="bottom"/>
          </w:tcPr>
          <w:p w:rsidR="00392214" w:rsidRPr="00392214" w:rsidRDefault="00392214" w:rsidP="00392214">
            <w:pPr>
              <w:pStyle w:val="AERtabletextright"/>
              <w:cnfStyle w:val="000000010000" w:firstRow="0" w:lastRow="0" w:firstColumn="0" w:lastColumn="0" w:oddVBand="0" w:evenVBand="0" w:oddHBand="0" w:evenHBand="1" w:firstRowFirstColumn="0" w:firstRowLastColumn="0" w:lastRowFirstColumn="0" w:lastRowLastColumn="0"/>
            </w:pPr>
            <w:r w:rsidRPr="00392214">
              <w:t>5.4</w:t>
            </w:r>
          </w:p>
        </w:tc>
        <w:tc>
          <w:tcPr>
            <w:tcW w:w="397" w:type="pct"/>
            <w:vAlign w:val="bottom"/>
          </w:tcPr>
          <w:p w:rsidR="00392214" w:rsidRPr="00883982" w:rsidRDefault="00392214" w:rsidP="00080550">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883982">
              <w:rPr>
                <w:rStyle w:val="AERtextbold"/>
                <w:b w:val="0"/>
              </w:rPr>
              <w:t>25.3</w:t>
            </w:r>
          </w:p>
        </w:tc>
      </w:tr>
      <w:tr w:rsidR="00392214" w:rsidRPr="00392214" w:rsidTr="00392214">
        <w:trPr>
          <w:trHeight w:val="301"/>
        </w:trPr>
        <w:tc>
          <w:tcPr>
            <w:cnfStyle w:val="001000000000" w:firstRow="0" w:lastRow="0" w:firstColumn="1" w:lastColumn="0" w:oddVBand="0" w:evenVBand="0" w:oddHBand="0" w:evenHBand="0" w:firstRowFirstColumn="0" w:firstRowLastColumn="0" w:lastRowFirstColumn="0" w:lastRowLastColumn="0"/>
            <w:tcW w:w="1898" w:type="pct"/>
          </w:tcPr>
          <w:p w:rsidR="00392214" w:rsidRPr="00392214" w:rsidRDefault="00053AC6" w:rsidP="00392214">
            <w:pPr>
              <w:pStyle w:val="AERtabletextleft"/>
              <w:rPr>
                <w:rStyle w:val="AERtextbold"/>
              </w:rPr>
            </w:pPr>
            <w:r>
              <w:rPr>
                <w:rStyle w:val="AERtextbold"/>
              </w:rPr>
              <w:t>C</w:t>
            </w:r>
            <w:r w:rsidR="00392214" w:rsidRPr="00392214">
              <w:rPr>
                <w:rStyle w:val="AERtextbold"/>
              </w:rPr>
              <w:t>orporate income tax allowance</w:t>
            </w:r>
          </w:p>
        </w:tc>
        <w:tc>
          <w:tcPr>
            <w:tcW w:w="541" w:type="pct"/>
            <w:vAlign w:val="bottom"/>
          </w:tcPr>
          <w:p w:rsidR="00392214" w:rsidRPr="00392214" w:rsidRDefault="00392214" w:rsidP="0039221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92214">
              <w:rPr>
                <w:rStyle w:val="AERtextbold"/>
              </w:rPr>
              <w:t>13.4</w:t>
            </w:r>
          </w:p>
        </w:tc>
        <w:tc>
          <w:tcPr>
            <w:tcW w:w="541" w:type="pct"/>
            <w:vAlign w:val="bottom"/>
          </w:tcPr>
          <w:p w:rsidR="00392214" w:rsidRPr="00392214" w:rsidRDefault="00392214" w:rsidP="0039221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92214">
              <w:rPr>
                <w:rStyle w:val="AERtextbold"/>
              </w:rPr>
              <w:t>14.4</w:t>
            </w:r>
          </w:p>
        </w:tc>
        <w:tc>
          <w:tcPr>
            <w:tcW w:w="541" w:type="pct"/>
            <w:vAlign w:val="bottom"/>
          </w:tcPr>
          <w:p w:rsidR="00392214" w:rsidRPr="00392214" w:rsidRDefault="00392214" w:rsidP="0039221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92214">
              <w:rPr>
                <w:rStyle w:val="AERtextbold"/>
              </w:rPr>
              <w:t>16.2</w:t>
            </w:r>
          </w:p>
        </w:tc>
        <w:tc>
          <w:tcPr>
            <w:tcW w:w="541" w:type="pct"/>
            <w:vAlign w:val="bottom"/>
          </w:tcPr>
          <w:p w:rsidR="00392214" w:rsidRPr="00392214" w:rsidRDefault="00392214" w:rsidP="0039221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92214">
              <w:rPr>
                <w:rStyle w:val="AERtextbold"/>
              </w:rPr>
              <w:t>15.8</w:t>
            </w:r>
          </w:p>
        </w:tc>
        <w:tc>
          <w:tcPr>
            <w:tcW w:w="541" w:type="pct"/>
            <w:vAlign w:val="bottom"/>
          </w:tcPr>
          <w:p w:rsidR="00392214" w:rsidRPr="00392214" w:rsidRDefault="00392214" w:rsidP="0039221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92214">
              <w:rPr>
                <w:rStyle w:val="AERtextbold"/>
              </w:rPr>
              <w:t>16.2</w:t>
            </w:r>
          </w:p>
        </w:tc>
        <w:tc>
          <w:tcPr>
            <w:tcW w:w="397" w:type="pct"/>
            <w:vAlign w:val="bottom"/>
          </w:tcPr>
          <w:p w:rsidR="00392214" w:rsidRPr="00392214" w:rsidRDefault="00392214" w:rsidP="0039221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92214">
              <w:rPr>
                <w:rStyle w:val="AERtextbold"/>
              </w:rPr>
              <w:t>76.0</w:t>
            </w:r>
          </w:p>
        </w:tc>
      </w:tr>
    </w:tbl>
    <w:p w:rsidR="00392214" w:rsidRPr="00392214" w:rsidRDefault="00392214" w:rsidP="00392214">
      <w:pPr>
        <w:pStyle w:val="AERtablesource"/>
      </w:pPr>
      <w:r w:rsidRPr="00392214">
        <w:t>Source:</w:t>
      </w:r>
      <w:r w:rsidRPr="00392214">
        <w:tab/>
        <w:t xml:space="preserve">Ausgrid, </w:t>
      </w:r>
      <w:r w:rsidRPr="00392214">
        <w:rPr>
          <w:rStyle w:val="AERtextitalic"/>
        </w:rPr>
        <w:t>Regulatory proposal</w:t>
      </w:r>
      <w:r w:rsidRPr="00392214">
        <w:t>, May 2014, Attachment 4.02.</w:t>
      </w:r>
    </w:p>
    <w:p w:rsidR="008F3B05" w:rsidRDefault="009F030C" w:rsidP="0096670B">
      <w:pPr>
        <w:pStyle w:val="Heading2"/>
      </w:pPr>
      <w:bookmarkStart w:id="19" w:name="_Toc404364242"/>
      <w:r>
        <w:t>AER's assessment approach</w:t>
      </w:r>
      <w:bookmarkEnd w:id="16"/>
      <w:bookmarkEnd w:id="19"/>
    </w:p>
    <w:p w:rsidR="00564325" w:rsidRDefault="00743F54" w:rsidP="00564325">
      <w:pPr>
        <w:pStyle w:val="AERbodytext"/>
        <w:numPr>
          <w:ilvl w:val="0"/>
          <w:numId w:val="0"/>
        </w:numPr>
      </w:pPr>
      <w:r w:rsidRPr="00743F54">
        <w:t xml:space="preserve">Under clause 6.5.3 of the </w:t>
      </w:r>
      <w:r w:rsidR="00213E04">
        <w:t>National Electricity Rules (</w:t>
      </w:r>
      <w:r w:rsidRPr="00743F54">
        <w:t>NER</w:t>
      </w:r>
      <w:r w:rsidR="00213E04">
        <w:t>)</w:t>
      </w:r>
      <w:r w:rsidRPr="00743F54">
        <w:t xml:space="preserve">, </w:t>
      </w:r>
      <w:r>
        <w:t>we</w:t>
      </w:r>
      <w:r w:rsidRPr="00743F54">
        <w:t xml:space="preserve"> must make an estimate of taxable income </w:t>
      </w:r>
      <w:r w:rsidR="001B0331">
        <w:t>for each regulatory year. O</w:t>
      </w:r>
      <w:r w:rsidR="001B0331" w:rsidRPr="001B0331">
        <w:t>ur estimate must be for the taxable income a benchmark efficient entity would earn for providing standard control services if it operated A</w:t>
      </w:r>
      <w:r w:rsidR="001B0331">
        <w:t>usgrid'</w:t>
      </w:r>
      <w:r w:rsidR="001B0331" w:rsidRPr="001B0331">
        <w:t>s business. The estimate is required to be determined in accordance with the PTRM</w:t>
      </w:r>
      <w:r>
        <w:t xml:space="preserve">. </w:t>
      </w:r>
      <w:r w:rsidRPr="00743F54">
        <w:t xml:space="preserve">Our approach for calculating a </w:t>
      </w:r>
      <w:r>
        <w:t>service provider's</w:t>
      </w:r>
      <w:r w:rsidRPr="00743F54">
        <w:t xml:space="preserve"> </w:t>
      </w:r>
      <w:r w:rsidR="001A0070">
        <w:t xml:space="preserve">cost of corporate income </w:t>
      </w:r>
      <w:r w:rsidRPr="00743F54">
        <w:t xml:space="preserve">tax </w:t>
      </w:r>
      <w:r>
        <w:t xml:space="preserve">allowance </w:t>
      </w:r>
      <w:r w:rsidRPr="00743F54">
        <w:t>is set out in our PTRM and involves the following steps:</w:t>
      </w:r>
    </w:p>
    <w:p w:rsidR="00CC3378" w:rsidRPr="00CC3378" w:rsidRDefault="009D5135" w:rsidP="002B5942">
      <w:pPr>
        <w:pStyle w:val="AERnumberedlistfirststyle"/>
      </w:pPr>
      <w:r>
        <w:t>W</w:t>
      </w:r>
      <w:r w:rsidR="00CC3378" w:rsidRPr="00CC3378">
        <w:t xml:space="preserve">e estimate the annual taxable income that would be earned by a benchmark efficient entity operating the </w:t>
      </w:r>
      <w:r w:rsidR="00CC3378">
        <w:t>service provider</w:t>
      </w:r>
      <w:r w:rsidR="00CC3378" w:rsidRPr="00CC3378">
        <w:t xml:space="preserve">'s business. A </w:t>
      </w:r>
      <w:r w:rsidR="00CC3378">
        <w:t>service provider</w:t>
      </w:r>
      <w:r w:rsidR="00CC3378" w:rsidRPr="00CC3378">
        <w:t xml:space="preserve">'s taxable income is calculated by </w:t>
      </w:r>
      <w:r>
        <w:t>subtract</w:t>
      </w:r>
      <w:r w:rsidRPr="00CC3378">
        <w:t xml:space="preserve">ing </w:t>
      </w:r>
      <w:r>
        <w:t xml:space="preserve">from </w:t>
      </w:r>
      <w:r w:rsidR="00CC3378" w:rsidRPr="00CC3378">
        <w:t xml:space="preserve">the approved forecast revenues </w:t>
      </w:r>
      <w:r>
        <w:t>the</w:t>
      </w:r>
      <w:r w:rsidRPr="00CC3378">
        <w:t xml:space="preserve"> </w:t>
      </w:r>
      <w:r w:rsidR="00CC3378" w:rsidRPr="00CC3378">
        <w:t xml:space="preserve">benchmark estimates of tax expenses. Using the PTRM, we model the </w:t>
      </w:r>
      <w:r w:rsidR="00CC3378">
        <w:t>service provider</w:t>
      </w:r>
      <w:r w:rsidR="00CC3378" w:rsidRPr="00CC3378">
        <w:t>'s benchmark tax expenses, including interest tax expense and tax depreciation, over the regulatory control period. The interest tax expense is estimated using the benchmark 60 per cent gearing</w:t>
      </w:r>
      <w:r w:rsidR="00213AF5">
        <w:t xml:space="preserve"> used for the rate of return calculation</w:t>
      </w:r>
      <w:r w:rsidR="00CC3378" w:rsidRPr="00CC3378">
        <w:t xml:space="preserve">. Tax depreciation is calculated using a separate value for the TAB, and standard and remaining tax asset lives for taxation purposes. All tax expenses (including other expenses such as opex) are offset against the </w:t>
      </w:r>
      <w:r w:rsidR="00CC3378">
        <w:t>service provider</w:t>
      </w:r>
      <w:r w:rsidR="00CC3378" w:rsidRPr="00CC3378">
        <w:t>'s forecast revenue to estimate the taxable income.</w:t>
      </w:r>
    </w:p>
    <w:p w:rsidR="00CC3378" w:rsidRPr="00CC3378" w:rsidRDefault="00CC3378" w:rsidP="002B5942">
      <w:pPr>
        <w:pStyle w:val="AERnumberedlistfirststyle"/>
      </w:pPr>
      <w:r w:rsidRPr="00CC3378">
        <w:t xml:space="preserve">The statutory income tax rate is then applied to the estimated annual taxable income to arrive at a notional amount of tax payable. </w:t>
      </w:r>
    </w:p>
    <w:p w:rsidR="00CC3378" w:rsidRPr="00CC3378" w:rsidRDefault="00CC3378" w:rsidP="002B5942">
      <w:pPr>
        <w:pStyle w:val="AERnumberedlistfirststyle"/>
      </w:pPr>
      <w:r w:rsidRPr="00CC3378">
        <w:t xml:space="preserve">We apply a discount to that notional amount of tax payable to account for </w:t>
      </w:r>
      <w:r w:rsidR="009D199D">
        <w:t xml:space="preserve">the </w:t>
      </w:r>
      <w:r w:rsidRPr="00CC3378">
        <w:t>utilisation of imputation credits (gamma)</w:t>
      </w:r>
      <w:r w:rsidR="00213AF5">
        <w:t xml:space="preserve"> by investors</w:t>
      </w:r>
      <w:r w:rsidRPr="00CC3378">
        <w:t xml:space="preserve">. </w:t>
      </w:r>
    </w:p>
    <w:p w:rsidR="00CC3378" w:rsidRDefault="00CC3378" w:rsidP="002B5942">
      <w:pPr>
        <w:pStyle w:val="AERnumberedlistfirststyle"/>
      </w:pPr>
      <w:r w:rsidRPr="00CC3378">
        <w:t xml:space="preserve">The tax payable net of assumed utilised imputation credits </w:t>
      </w:r>
      <w:r w:rsidR="00100E28">
        <w:t xml:space="preserve">represents the corporate income tax allowance and </w:t>
      </w:r>
      <w:r w:rsidRPr="00CC3378">
        <w:t xml:space="preserve">is included as a separate building block in determining the </w:t>
      </w:r>
      <w:r>
        <w:t>service provider</w:t>
      </w:r>
      <w:r w:rsidRPr="00CC3378">
        <w:t>’s annual revenue requirement.</w:t>
      </w:r>
    </w:p>
    <w:p w:rsidR="00CC3378" w:rsidRDefault="00CC3378" w:rsidP="00CC3378">
      <w:pPr>
        <w:pStyle w:val="AERbulletlistfirststyle"/>
        <w:numPr>
          <w:ilvl w:val="0"/>
          <w:numId w:val="0"/>
        </w:numPr>
      </w:pPr>
      <w:r w:rsidRPr="00CC3378">
        <w:lastRenderedPageBreak/>
        <w:t xml:space="preserve">The </w:t>
      </w:r>
      <w:r w:rsidR="001A0070">
        <w:t xml:space="preserve">cost of </w:t>
      </w:r>
      <w:r w:rsidRPr="00CC3378">
        <w:t xml:space="preserve">corporate income tax allowance is an output of our PTRM. We therefore assess the </w:t>
      </w:r>
      <w:r>
        <w:t>service provider</w:t>
      </w:r>
      <w:r w:rsidRPr="00CC3378">
        <w:t xml:space="preserve">'s proposed </w:t>
      </w:r>
      <w:r w:rsidR="006D6E24">
        <w:t xml:space="preserve">cost of corporate </w:t>
      </w:r>
      <w:r w:rsidRPr="00CC3378">
        <w:t>tax allowance by analysing the proposed inputs to the PTRM for calculating th</w:t>
      </w:r>
      <w:r w:rsidR="006D6E24">
        <w:t xml:space="preserve">at </w:t>
      </w:r>
      <w:r w:rsidRPr="00CC3378">
        <w:t>allowance. These inputs include:</w:t>
      </w:r>
    </w:p>
    <w:p w:rsidR="00CC3378" w:rsidRDefault="00CC3378" w:rsidP="00CC3378">
      <w:pPr>
        <w:pStyle w:val="AERbulletlistfirststyle"/>
      </w:pPr>
      <w:r w:rsidRPr="00E32D23">
        <w:rPr>
          <w:rStyle w:val="AERtextbold"/>
        </w:rPr>
        <w:t xml:space="preserve">The opening TAB as at the commencement of the </w:t>
      </w:r>
      <w:r w:rsidR="00E32D23">
        <w:rPr>
          <w:rStyle w:val="AERtextbold"/>
        </w:rPr>
        <w:t>2014–19</w:t>
      </w:r>
      <w:r w:rsidRPr="00E32D23">
        <w:rPr>
          <w:rStyle w:val="AERtextbold"/>
        </w:rPr>
        <w:t xml:space="preserve"> period:</w:t>
      </w:r>
      <w:r w:rsidRPr="00CC3378">
        <w:t xml:space="preserve"> We consider that the roll forward of the opening TAB should be based on the approved opening TAB as at commencement of the </w:t>
      </w:r>
      <w:r w:rsidR="00E32D23">
        <w:t>2009–14</w:t>
      </w:r>
      <w:r w:rsidRPr="00CC3378">
        <w:t xml:space="preserve"> regulatory control period and the </w:t>
      </w:r>
      <w:r w:rsidR="00E32D23">
        <w:t>service provider</w:t>
      </w:r>
      <w:r w:rsidRPr="00CC3378">
        <w:t xml:space="preserve">'s actual capex incurred during </w:t>
      </w:r>
      <w:r w:rsidR="00E32D23">
        <w:t>the 2009–14 regulatory control period.</w:t>
      </w:r>
      <w:r w:rsidR="005C4CCF">
        <w:rPr>
          <w:rStyle w:val="FootnoteReference"/>
        </w:rPr>
        <w:footnoteReference w:id="4"/>
      </w:r>
    </w:p>
    <w:p w:rsidR="00EB33DE" w:rsidRPr="00CC3378" w:rsidRDefault="00EB33DE" w:rsidP="00EB33DE">
      <w:pPr>
        <w:pStyle w:val="AERbulletlistfirststyle"/>
      </w:pPr>
      <w:r w:rsidRPr="00EB33DE">
        <w:rPr>
          <w:rStyle w:val="AERtextbold"/>
        </w:rPr>
        <w:t>The remaining tax asset life for each asset class at the commencement of the 2014-19 period:</w:t>
      </w:r>
      <w:r w:rsidRPr="00EB33DE">
        <w:t xml:space="preserve"> Our preferred method to determine the remaining tax asset lives is the weighted average method. We consider the weighted average method provides a better reflection of the mix of assets within an asset class. </w:t>
      </w:r>
      <w:r w:rsidR="001B0331" w:rsidRPr="004254FA">
        <w:t xml:space="preserve">We will assess the outcomes of other approaches against the outcomes of this </w:t>
      </w:r>
      <w:r w:rsidR="001B0331">
        <w:t>preferred method</w:t>
      </w:r>
      <w:r w:rsidR="001B0331" w:rsidRPr="004254FA">
        <w:t>.</w:t>
      </w:r>
    </w:p>
    <w:p w:rsidR="00CC3378" w:rsidRPr="00CC3378" w:rsidRDefault="00CC3378" w:rsidP="00CC3378">
      <w:pPr>
        <w:pStyle w:val="AERbulletlistfirststyle"/>
      </w:pPr>
      <w:r w:rsidRPr="00E32D23">
        <w:rPr>
          <w:rStyle w:val="AERtextbold"/>
        </w:rPr>
        <w:t>The standard tax asset life for each asset class:</w:t>
      </w:r>
      <w:r w:rsidRPr="00CC3378">
        <w:t xml:space="preserve"> We assess the </w:t>
      </w:r>
      <w:r w:rsidR="00E32D23">
        <w:t>service provider</w:t>
      </w:r>
      <w:r w:rsidRPr="00CC3378">
        <w:t xml:space="preserve">'s proposed standard tax asset lives, where necessary, against those prescribed by the Commissioner for taxation in </w:t>
      </w:r>
      <w:r w:rsidR="009D13D1">
        <w:t>t</w:t>
      </w:r>
      <w:r w:rsidRPr="00CC3378">
        <w:t xml:space="preserve">ax </w:t>
      </w:r>
      <w:r w:rsidR="009D13D1">
        <w:t>r</w:t>
      </w:r>
      <w:r w:rsidRPr="00CC3378">
        <w:t>uling 201</w:t>
      </w:r>
      <w:r w:rsidR="00BB0691">
        <w:t>4</w:t>
      </w:r>
      <w:r w:rsidRPr="00CC3378">
        <w:t xml:space="preserve">/4 and the approved standard tax asset lives in the </w:t>
      </w:r>
      <w:r w:rsidR="00E32D23">
        <w:t>service provider</w:t>
      </w:r>
      <w:r w:rsidRPr="00CC3378">
        <w:t xml:space="preserve">'s </w:t>
      </w:r>
      <w:r w:rsidR="006D6E24">
        <w:t>distribution</w:t>
      </w:r>
      <w:r w:rsidRPr="00CC3378">
        <w:t xml:space="preserve"> determination for </w:t>
      </w:r>
      <w:r w:rsidR="00E32D23">
        <w:t xml:space="preserve">the 2009–14 </w:t>
      </w:r>
      <w:r w:rsidRPr="00CC3378">
        <w:t>regulatory control period.</w:t>
      </w:r>
    </w:p>
    <w:p w:rsidR="00CC3378" w:rsidRPr="00CC3378" w:rsidRDefault="00CC3378" w:rsidP="00CC3378">
      <w:pPr>
        <w:pStyle w:val="AERbulletlistfirststyle"/>
      </w:pPr>
      <w:r w:rsidRPr="00E32D23">
        <w:rPr>
          <w:rStyle w:val="AERtextbold"/>
        </w:rPr>
        <w:t>The income tax rate:</w:t>
      </w:r>
      <w:r w:rsidRPr="00CC3378">
        <w:t xml:space="preserve"> The statutory income tax rate is 30 per cent per year.</w:t>
      </w:r>
    </w:p>
    <w:p w:rsidR="00053AC6" w:rsidRDefault="00CC3378" w:rsidP="005A2D95">
      <w:pPr>
        <w:pStyle w:val="AERbulletlistfirststyle"/>
      </w:pPr>
      <w:r w:rsidRPr="005A2D95">
        <w:rPr>
          <w:rStyle w:val="AERtextbold"/>
        </w:rPr>
        <w:t>The value of gamma:</w:t>
      </w:r>
      <w:r w:rsidRPr="005A2D95">
        <w:t xml:space="preserve"> The gamma input for </w:t>
      </w:r>
      <w:r w:rsidR="00EB33DE" w:rsidRPr="005A2D95">
        <w:t>Ausgrid</w:t>
      </w:r>
      <w:r w:rsidRPr="005A2D95">
        <w:t xml:space="preserve"> is 0.</w:t>
      </w:r>
      <w:r w:rsidR="001B0331">
        <w:t>4</w:t>
      </w:r>
      <w:r w:rsidRPr="005A2D95">
        <w:t>0</w:t>
      </w:r>
      <w:r w:rsidR="001B0331">
        <w:t>.</w:t>
      </w:r>
      <w:r w:rsidR="001B0331" w:rsidRPr="001B0331">
        <w:t xml:space="preserve"> </w:t>
      </w:r>
      <w:r w:rsidR="001B0331">
        <w:t xml:space="preserve">Refer to attachment </w:t>
      </w:r>
      <w:r w:rsidR="00A55093">
        <w:t xml:space="preserve">4 </w:t>
      </w:r>
      <w:r w:rsidR="001B0331">
        <w:t>for detailed discussion on this matter.</w:t>
      </w:r>
    </w:p>
    <w:p w:rsidR="009F030C" w:rsidRDefault="009F030C" w:rsidP="009F030C">
      <w:pPr>
        <w:pStyle w:val="Heading3"/>
      </w:pPr>
      <w:bookmarkStart w:id="20" w:name="_Toc387916832"/>
      <w:bookmarkStart w:id="21" w:name="_Toc404364243"/>
      <w:r w:rsidRPr="00E94C06">
        <w:t>Interrelationships</w:t>
      </w:r>
      <w:bookmarkEnd w:id="20"/>
      <w:bookmarkEnd w:id="21"/>
      <w:r w:rsidRPr="00E94C06">
        <w:t xml:space="preserve"> </w:t>
      </w:r>
    </w:p>
    <w:p w:rsidR="004656C5" w:rsidRPr="004656C5" w:rsidRDefault="004656C5" w:rsidP="004656C5">
      <w:pPr>
        <w:pStyle w:val="AERbodytext"/>
      </w:pPr>
      <w:r w:rsidRPr="004656C5">
        <w:t>The cost of corporate income tax building block feeds directly into the annual revenue requirement</w:t>
      </w:r>
      <w:r w:rsidR="00304363">
        <w:t xml:space="preserve"> (ARR)</w:t>
      </w:r>
      <w:r w:rsidRPr="004656C5">
        <w:t>. Th</w:t>
      </w:r>
      <w:r w:rsidR="004F6D54">
        <w:t>is</w:t>
      </w:r>
      <w:r w:rsidRPr="004656C5">
        <w:t xml:space="preserve"> allowance is determined by </w:t>
      </w:r>
      <w:r w:rsidR="00E70011">
        <w:t>four</w:t>
      </w:r>
      <w:r w:rsidRPr="004656C5">
        <w:t xml:space="preserve"> factors:</w:t>
      </w:r>
    </w:p>
    <w:p w:rsidR="004656C5" w:rsidRPr="004656C5" w:rsidRDefault="00EB33DE" w:rsidP="004656C5">
      <w:pPr>
        <w:pStyle w:val="AERbulletlistfirststyle"/>
      </w:pPr>
      <w:r>
        <w:t>p</w:t>
      </w:r>
      <w:r w:rsidR="004656C5" w:rsidRPr="004656C5">
        <w:t xml:space="preserve">re-tax revenues </w:t>
      </w:r>
    </w:p>
    <w:p w:rsidR="004656C5" w:rsidRPr="004656C5" w:rsidRDefault="00EB33DE" w:rsidP="004656C5">
      <w:pPr>
        <w:pStyle w:val="AERbulletlistfirststyle"/>
      </w:pPr>
      <w:r>
        <w:t>t</w:t>
      </w:r>
      <w:r w:rsidR="004656C5" w:rsidRPr="004656C5">
        <w:t>ax expenses (including tax depreciation)</w:t>
      </w:r>
    </w:p>
    <w:p w:rsidR="00E70011" w:rsidRDefault="00EB33DE" w:rsidP="00E70011">
      <w:pPr>
        <w:pStyle w:val="AERbulletlistfirststyle"/>
      </w:pPr>
      <w:r>
        <w:t>t</w:t>
      </w:r>
      <w:r w:rsidR="004656C5" w:rsidRPr="004656C5">
        <w:t>he corporate tax rate</w:t>
      </w:r>
    </w:p>
    <w:p w:rsidR="00E70011" w:rsidRPr="004656C5" w:rsidRDefault="00EB33DE" w:rsidP="00E70011">
      <w:pPr>
        <w:pStyle w:val="AERbulletlistfirststyle"/>
      </w:pPr>
      <w:r>
        <w:t>g</w:t>
      </w:r>
      <w:r w:rsidR="00E70011">
        <w:t>amma</w:t>
      </w:r>
      <w:r w:rsidR="004F6D54">
        <w:t>—t</w:t>
      </w:r>
      <w:r w:rsidR="00E70011">
        <w:t xml:space="preserve">he </w:t>
      </w:r>
      <w:r w:rsidR="00874334" w:rsidRPr="00874334">
        <w:t>expected proportion of company tax that is returned to investors through the utilisation of imputation credits</w:t>
      </w:r>
      <w:r w:rsidR="00874334">
        <w:t>—</w:t>
      </w:r>
      <w:r w:rsidR="004F6D54">
        <w:t>which</w:t>
      </w:r>
      <w:r w:rsidR="001256EA">
        <w:t xml:space="preserve"> </w:t>
      </w:r>
      <w:r>
        <w:t xml:space="preserve">is </w:t>
      </w:r>
      <w:r w:rsidR="001256EA">
        <w:t>offset against the corporate income tax allowance</w:t>
      </w:r>
      <w:r w:rsidR="00E70011">
        <w:t xml:space="preserve">. This is discussed </w:t>
      </w:r>
      <w:r w:rsidR="004F6D54">
        <w:t xml:space="preserve">further </w:t>
      </w:r>
      <w:r w:rsidR="00E70011">
        <w:t xml:space="preserve">at attachment </w:t>
      </w:r>
      <w:r w:rsidR="00BF3DDD">
        <w:t>4</w:t>
      </w:r>
      <w:r w:rsidR="00E70011">
        <w:t>.</w:t>
      </w:r>
    </w:p>
    <w:p w:rsidR="004656C5" w:rsidRPr="004656C5" w:rsidRDefault="00E70011" w:rsidP="004656C5">
      <w:pPr>
        <w:pStyle w:val="AERbodytext"/>
      </w:pPr>
      <w:r>
        <w:t>Of these four</w:t>
      </w:r>
      <w:r w:rsidR="004656C5" w:rsidRPr="004656C5">
        <w:t xml:space="preserve"> factors, the corporate tax rate is set externally by the Government. The higher the tax rate the higher the </w:t>
      </w:r>
      <w:r w:rsidR="004F6D54">
        <w:t xml:space="preserve">required </w:t>
      </w:r>
      <w:r w:rsidR="004656C5" w:rsidRPr="004656C5">
        <w:t>tax allowance.</w:t>
      </w:r>
    </w:p>
    <w:p w:rsidR="004656C5" w:rsidRPr="004656C5" w:rsidRDefault="004656C5" w:rsidP="004656C5">
      <w:pPr>
        <w:pStyle w:val="AERbodytext"/>
      </w:pPr>
      <w:r w:rsidRPr="004656C5">
        <w:t xml:space="preserve">The pre-tax revenues depend on all the building block components. Any factor that affects revenue will therefore affect pre-tax revenues. </w:t>
      </w:r>
      <w:r w:rsidR="00304363">
        <w:t>H</w:t>
      </w:r>
      <w:r w:rsidRPr="004656C5">
        <w:t xml:space="preserve">igher pre-tax revenues </w:t>
      </w:r>
      <w:r w:rsidR="00304363">
        <w:t>can</w:t>
      </w:r>
      <w:r w:rsidRPr="004656C5">
        <w:t xml:space="preserve"> increase the tax allowance.</w:t>
      </w:r>
      <w:r>
        <w:rPr>
          <w:rStyle w:val="FootnoteReference"/>
        </w:rPr>
        <w:footnoteReference w:id="5"/>
      </w:r>
      <w:r w:rsidRPr="004656C5">
        <w:t xml:space="preserve"> </w:t>
      </w:r>
      <w:r w:rsidR="00304363" w:rsidRPr="004B25F4">
        <w:lastRenderedPageBreak/>
        <w:t>Depending on the source of the revenue increase, the tax increase may be equal to or less than proportional to the company tax rate.</w:t>
      </w:r>
      <w:r w:rsidR="00304363">
        <w:rPr>
          <w:rStyle w:val="FootnoteReference"/>
        </w:rPr>
        <w:footnoteReference w:id="6"/>
      </w:r>
      <w:r w:rsidR="00304363" w:rsidRPr="004656C5">
        <w:t xml:space="preserve">  </w:t>
      </w:r>
      <w:r w:rsidRPr="004656C5">
        <w:t xml:space="preserve"> </w:t>
      </w:r>
    </w:p>
    <w:p w:rsidR="004656C5" w:rsidRPr="004656C5" w:rsidRDefault="004656C5" w:rsidP="004656C5">
      <w:pPr>
        <w:pStyle w:val="AERbodytext"/>
      </w:pPr>
      <w:r w:rsidRPr="004656C5">
        <w:t xml:space="preserve">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w:t>
      </w:r>
      <w:r w:rsidR="006D6E24">
        <w:t xml:space="preserve">cost of corporate income </w:t>
      </w:r>
      <w:r w:rsidRPr="004656C5">
        <w:t>tax allowance</w:t>
      </w:r>
      <w:r w:rsidR="004F6D54">
        <w:t xml:space="preserve"> (all things being equal)</w:t>
      </w:r>
      <w:r w:rsidRPr="004656C5">
        <w:t>. Tax expenses include:</w:t>
      </w:r>
    </w:p>
    <w:p w:rsidR="004656C5" w:rsidRPr="004656C5" w:rsidRDefault="004656C5" w:rsidP="004656C5">
      <w:pPr>
        <w:pStyle w:val="AERbulletlistfirststyle"/>
      </w:pPr>
      <w:r w:rsidRPr="004656C5">
        <w:t>Interest on debt – Interest is a tax offset. The size of which depends on the ratio of debt to equity and therefore the proportion of the RAB funded through debt. It also depends on the allowed return on debt and the size of the RAB.</w:t>
      </w:r>
    </w:p>
    <w:p w:rsidR="004656C5" w:rsidRPr="004656C5" w:rsidRDefault="004656C5" w:rsidP="004656C5">
      <w:pPr>
        <w:pStyle w:val="AERbulletlistfirststyle"/>
      </w:pPr>
      <w:r w:rsidRPr="004656C5">
        <w:t>General expenses – In the main these expenses will match the opex allowance.</w:t>
      </w:r>
    </w:p>
    <w:p w:rsidR="004656C5" w:rsidRPr="004656C5" w:rsidRDefault="004656C5" w:rsidP="004656C5">
      <w:pPr>
        <w:pStyle w:val="AERbulletlistfirststyle"/>
      </w:pPr>
      <w:r w:rsidRPr="004656C5">
        <w:t xml:space="preserve">Tax depreciation – A separate TAB is maintained for the businesses reflecting tax rules. This TAB is affected by many of the same factors as the RAB, such as capex, although </w:t>
      </w:r>
      <w:r w:rsidR="002A71EF">
        <w:t xml:space="preserve">unlike the RAB value </w:t>
      </w:r>
      <w:r w:rsidRPr="004656C5">
        <w:t xml:space="preserve">it is maintained at its historical cost with no indexation. The TAB is also affected by the depreciation rate and </w:t>
      </w:r>
      <w:r w:rsidR="00774285">
        <w:t xml:space="preserve">asset </w:t>
      </w:r>
      <w:r w:rsidRPr="004656C5">
        <w:t>lives assigned for tax depreciation purposes.</w:t>
      </w:r>
    </w:p>
    <w:p w:rsidR="00C10F6E" w:rsidRDefault="00C10F6E" w:rsidP="005A2D95">
      <w:pPr>
        <w:pStyle w:val="AERbulletlistfirststyle"/>
        <w:numPr>
          <w:ilvl w:val="0"/>
          <w:numId w:val="0"/>
        </w:numPr>
      </w:pPr>
      <w:r w:rsidRPr="00C10F6E">
        <w:t xml:space="preserve">A </w:t>
      </w:r>
      <w:r w:rsidR="00233C9A">
        <w:t>ten</w:t>
      </w:r>
      <w:r w:rsidR="00233C9A" w:rsidRPr="00C10F6E">
        <w:t xml:space="preserve"> </w:t>
      </w:r>
      <w:r w:rsidRPr="00C10F6E">
        <w:t xml:space="preserve">per cent increase in the corporate income tax allowance causes revenues to increase by </w:t>
      </w:r>
      <w:r w:rsidR="008905C0">
        <w:t>about 0.</w:t>
      </w:r>
      <w:r w:rsidR="00233C9A">
        <w:t>6</w:t>
      </w:r>
      <w:r w:rsidRPr="00C10F6E">
        <w:t xml:space="preserve"> per cent.</w:t>
      </w:r>
      <w:r w:rsidR="00133428" w:rsidRPr="00133428">
        <w:t xml:space="preserve"> The proposed </w:t>
      </w:r>
      <w:r w:rsidR="006D6E24">
        <w:t>gamma of 0.25</w:t>
      </w:r>
      <w:r w:rsidR="00304363">
        <w:t>,</w:t>
      </w:r>
      <w:r w:rsidR="006D6E24">
        <w:t xml:space="preserve"> compared to the value </w:t>
      </w:r>
      <w:r w:rsidR="00213E04">
        <w:t>in our</w:t>
      </w:r>
      <w:r w:rsidR="006D6E24">
        <w:t xml:space="preserve"> </w:t>
      </w:r>
      <w:r w:rsidR="00233C9A">
        <w:t xml:space="preserve">draft </w:t>
      </w:r>
      <w:r w:rsidR="001B0331">
        <w:t>decision</w:t>
      </w:r>
      <w:r w:rsidR="00EB33DE">
        <w:t xml:space="preserve"> of 0.</w:t>
      </w:r>
      <w:r w:rsidR="001B0331">
        <w:t>4</w:t>
      </w:r>
      <w:r w:rsidR="00133428" w:rsidRPr="00133428">
        <w:t xml:space="preserve">, </w:t>
      </w:r>
      <w:r w:rsidR="00304363">
        <w:t xml:space="preserve">would </w:t>
      </w:r>
      <w:r w:rsidR="00133428" w:rsidRPr="00133428">
        <w:t xml:space="preserve">increase the corporate income tax allowance by </w:t>
      </w:r>
      <w:r w:rsidR="00233C9A">
        <w:t>24</w:t>
      </w:r>
      <w:r w:rsidR="00233C9A" w:rsidRPr="00133428">
        <w:t xml:space="preserve"> </w:t>
      </w:r>
      <w:r w:rsidR="00133428" w:rsidRPr="00133428">
        <w:t xml:space="preserve">per cent and </w:t>
      </w:r>
      <w:r w:rsidR="004832FD">
        <w:t>total revenue</w:t>
      </w:r>
      <w:r w:rsidR="00A71C19">
        <w:t>s</w:t>
      </w:r>
      <w:r w:rsidR="004832FD">
        <w:t xml:space="preserve"> by about </w:t>
      </w:r>
      <w:r w:rsidR="001B0331">
        <w:t>1</w:t>
      </w:r>
      <w:r w:rsidR="004832FD">
        <w:t>.</w:t>
      </w:r>
      <w:r w:rsidR="00233C9A">
        <w:t>4</w:t>
      </w:r>
      <w:r w:rsidR="00ED1F76">
        <w:t> </w:t>
      </w:r>
      <w:r w:rsidR="004832FD">
        <w:t>per cent</w:t>
      </w:r>
      <w:r w:rsidR="00133428" w:rsidRPr="00133428">
        <w:t>.</w:t>
      </w:r>
    </w:p>
    <w:p w:rsidR="009F030C" w:rsidRDefault="009F030C" w:rsidP="009F030C">
      <w:pPr>
        <w:pStyle w:val="Heading2"/>
      </w:pPr>
      <w:bookmarkStart w:id="22" w:name="_Toc387916833"/>
      <w:bookmarkStart w:id="23" w:name="_Toc404364244"/>
      <w:r>
        <w:t>Reasons for draft decision</w:t>
      </w:r>
      <w:bookmarkEnd w:id="22"/>
      <w:bookmarkEnd w:id="23"/>
    </w:p>
    <w:p w:rsidR="00295406" w:rsidRDefault="007511AF" w:rsidP="007511AF">
      <w:pPr>
        <w:pStyle w:val="AERbodytext"/>
      </w:pPr>
      <w:r w:rsidRPr="007511AF">
        <w:t xml:space="preserve">We do not accept </w:t>
      </w:r>
      <w:r>
        <w:t>Ausgrid</w:t>
      </w:r>
      <w:r w:rsidR="00295406">
        <w:t>'s</w:t>
      </w:r>
      <w:r w:rsidRPr="007511AF">
        <w:t xml:space="preserve"> proposed </w:t>
      </w:r>
      <w:r w:rsidR="001A0070">
        <w:t xml:space="preserve">cost of </w:t>
      </w:r>
      <w:r w:rsidRPr="007511AF">
        <w:t xml:space="preserve">corporate income tax allowances. </w:t>
      </w:r>
      <w:r w:rsidR="00295406">
        <w:t>We have instead determined a cost of corporate income tax allowance of $</w:t>
      </w:r>
      <w:r w:rsidR="00306A1D">
        <w:t>355.4</w:t>
      </w:r>
      <w:r w:rsidR="00295406">
        <w:t xml:space="preserve"> million and $</w:t>
      </w:r>
      <w:r w:rsidR="00306A1D">
        <w:t>36.2</w:t>
      </w:r>
      <w:r w:rsidR="00295406">
        <w:t xml:space="preserve"> million </w:t>
      </w:r>
      <w:r w:rsidR="00053AC6">
        <w:t xml:space="preserve">($nominal) </w:t>
      </w:r>
      <w:r w:rsidR="00295406">
        <w:t>for its distribution and transmission networks respectively. Th</w:t>
      </w:r>
      <w:r w:rsidR="00BF3DDD">
        <w:t>ese</w:t>
      </w:r>
      <w:r w:rsidR="00295406">
        <w:t xml:space="preserve"> represent reduction</w:t>
      </w:r>
      <w:r w:rsidR="005A2D95">
        <w:t>s</w:t>
      </w:r>
      <w:r w:rsidR="00295406">
        <w:t xml:space="preserve"> of $</w:t>
      </w:r>
      <w:r w:rsidR="00306A1D">
        <w:t>280.9</w:t>
      </w:r>
      <w:r w:rsidR="00ED1F76">
        <w:t> </w:t>
      </w:r>
      <w:r w:rsidR="00295406">
        <w:t xml:space="preserve">million (or </w:t>
      </w:r>
      <w:r w:rsidR="00306A1D">
        <w:t>44.1</w:t>
      </w:r>
      <w:r w:rsidR="00295406">
        <w:t xml:space="preserve"> per cent) for Ausgrid's distribution network and $</w:t>
      </w:r>
      <w:r w:rsidR="00306A1D">
        <w:t>39.8</w:t>
      </w:r>
      <w:r w:rsidR="00295406">
        <w:t xml:space="preserve"> million (or </w:t>
      </w:r>
      <w:r w:rsidR="00306A1D">
        <w:t>52.4</w:t>
      </w:r>
      <w:r w:rsidR="00295406">
        <w:t xml:space="preserve"> per cent) </w:t>
      </w:r>
      <w:r w:rsidR="009A01F6">
        <w:t xml:space="preserve">for Ausgrid's </w:t>
      </w:r>
      <w:r w:rsidR="00295406">
        <w:t>transmission network.</w:t>
      </w:r>
    </w:p>
    <w:p w:rsidR="007511AF" w:rsidRPr="007511AF" w:rsidRDefault="007511AF" w:rsidP="007511AF">
      <w:pPr>
        <w:pStyle w:val="AERbodytext"/>
      </w:pPr>
      <w:r w:rsidRPr="007511AF">
        <w:t xml:space="preserve">This is because we adjusted </w:t>
      </w:r>
      <w:r w:rsidR="005A2D95">
        <w:t>the following</w:t>
      </w:r>
      <w:r w:rsidRPr="007511AF">
        <w:t xml:space="preserve"> proposed inputs to the </w:t>
      </w:r>
      <w:r w:rsidR="009D13D1">
        <w:t xml:space="preserve">distribution and transmission </w:t>
      </w:r>
      <w:r w:rsidRPr="007511AF">
        <w:t>PTRM</w:t>
      </w:r>
      <w:r w:rsidR="009D13D1">
        <w:t>s</w:t>
      </w:r>
      <w:r w:rsidRPr="007511AF">
        <w:t xml:space="preserve"> for tax purposes: </w:t>
      </w:r>
    </w:p>
    <w:p w:rsidR="007511AF" w:rsidRPr="007511AF" w:rsidRDefault="007511AF" w:rsidP="007511AF">
      <w:pPr>
        <w:pStyle w:val="AERbulletlistfirststyle"/>
      </w:pPr>
      <w:r w:rsidRPr="007511AF">
        <w:t>the opening TAB value</w:t>
      </w:r>
      <w:r w:rsidR="009D13D1">
        <w:t>s</w:t>
      </w:r>
      <w:r w:rsidRPr="007511AF">
        <w:t xml:space="preserve"> </w:t>
      </w:r>
      <w:r w:rsidR="009D13D1">
        <w:t xml:space="preserve">as </w:t>
      </w:r>
      <w:r w:rsidRPr="007511AF">
        <w:t xml:space="preserve">at </w:t>
      </w:r>
      <w:r w:rsidR="009D13D1">
        <w:t xml:space="preserve">1 July </w:t>
      </w:r>
      <w:r w:rsidR="005A2D95">
        <w:t>2014</w:t>
      </w:r>
      <w:r w:rsidRPr="007511AF">
        <w:t xml:space="preserve"> (section</w:t>
      </w:r>
      <w:r w:rsidR="00BF3DDD">
        <w:t xml:space="preserve"> </w:t>
      </w:r>
      <w:r w:rsidR="00BF3DDD">
        <w:fldChar w:fldCharType="begin"/>
      </w:r>
      <w:r w:rsidR="00BF3DDD">
        <w:instrText xml:space="preserve"> REF _Ref399919301 \r \h </w:instrText>
      </w:r>
      <w:r w:rsidR="00BF3DDD">
        <w:fldChar w:fldCharType="separate"/>
      </w:r>
      <w:r w:rsidR="005F7062">
        <w:t>8.4.1</w:t>
      </w:r>
      <w:r w:rsidR="00BF3DDD">
        <w:fldChar w:fldCharType="end"/>
      </w:r>
      <w:r w:rsidRPr="007511AF">
        <w:t>)</w:t>
      </w:r>
    </w:p>
    <w:p w:rsidR="007511AF" w:rsidRDefault="007511AF" w:rsidP="007511AF">
      <w:pPr>
        <w:pStyle w:val="AERbulletlistfirststyle"/>
      </w:pPr>
      <w:r w:rsidRPr="007511AF">
        <w:t>the standard and remaining tax asset lives (section</w:t>
      </w:r>
      <w:r w:rsidR="006D6E24">
        <w:t>s</w:t>
      </w:r>
      <w:r w:rsidRPr="007511AF">
        <w:t xml:space="preserve"> </w:t>
      </w:r>
      <w:r w:rsidR="00BF3DDD">
        <w:fldChar w:fldCharType="begin"/>
      </w:r>
      <w:r w:rsidR="00BF3DDD">
        <w:instrText xml:space="preserve"> REF _Ref399919316 \r \h </w:instrText>
      </w:r>
      <w:r w:rsidR="00BF3DDD">
        <w:fldChar w:fldCharType="separate"/>
      </w:r>
      <w:r w:rsidR="005F7062">
        <w:t>8.4.2</w:t>
      </w:r>
      <w:r w:rsidR="00BF3DDD">
        <w:fldChar w:fldCharType="end"/>
      </w:r>
      <w:r w:rsidR="006D6E24">
        <w:t xml:space="preserve"> and </w:t>
      </w:r>
      <w:r w:rsidR="00BF3DDD">
        <w:fldChar w:fldCharType="begin"/>
      </w:r>
      <w:r w:rsidR="00BF3DDD">
        <w:instrText xml:space="preserve"> REF _Ref399919341 \r \h </w:instrText>
      </w:r>
      <w:r w:rsidR="00BF3DDD">
        <w:fldChar w:fldCharType="separate"/>
      </w:r>
      <w:r w:rsidR="005F7062">
        <w:t>8.4.3</w:t>
      </w:r>
      <w:r w:rsidR="00BF3DDD">
        <w:fldChar w:fldCharType="end"/>
      </w:r>
      <w:r w:rsidR="00213E04">
        <w:t>4.3</w:t>
      </w:r>
      <w:r w:rsidRPr="007511AF">
        <w:t>)</w:t>
      </w:r>
    </w:p>
    <w:p w:rsidR="00295406" w:rsidRPr="007511AF" w:rsidRDefault="00295406" w:rsidP="007511AF">
      <w:pPr>
        <w:pStyle w:val="AERbulletlistfirststyle"/>
      </w:pPr>
      <w:r>
        <w:t>the value of gamma (</w:t>
      </w:r>
      <w:r w:rsidR="001B0331">
        <w:t xml:space="preserve">attachment </w:t>
      </w:r>
      <w:r w:rsidR="00324526">
        <w:t>4</w:t>
      </w:r>
      <w:r>
        <w:t>)</w:t>
      </w:r>
    </w:p>
    <w:p w:rsidR="007511AF" w:rsidRPr="007511AF" w:rsidRDefault="007511AF" w:rsidP="007511AF">
      <w:pPr>
        <w:pStyle w:val="AERbulletlistfirststyle"/>
      </w:pPr>
      <w:r w:rsidRPr="007511AF">
        <w:t xml:space="preserve">other building block components including forecast opex (attachment </w:t>
      </w:r>
      <w:r w:rsidR="00BF3DDD">
        <w:t>7</w:t>
      </w:r>
      <w:r w:rsidRPr="007511AF">
        <w:t>)</w:t>
      </w:r>
      <w:r w:rsidR="006D6E24">
        <w:t xml:space="preserve"> and </w:t>
      </w:r>
      <w:r w:rsidRPr="007511AF">
        <w:t xml:space="preserve">forecast capex (attachment </w:t>
      </w:r>
      <w:r w:rsidR="00BF3DDD">
        <w:t>6</w:t>
      </w:r>
      <w:r w:rsidRPr="007511AF">
        <w:t>)</w:t>
      </w:r>
      <w:r w:rsidR="00295406">
        <w:t xml:space="preserve"> that </w:t>
      </w:r>
      <w:r w:rsidR="006D6E24">
        <w:t xml:space="preserve">effect </w:t>
      </w:r>
      <w:r w:rsidR="00295406">
        <w:t>revenues</w:t>
      </w:r>
      <w:r w:rsidR="005A2D95">
        <w:t>,</w:t>
      </w:r>
      <w:r w:rsidR="00295406">
        <w:t xml:space="preserve"> and therefore </w:t>
      </w:r>
      <w:r w:rsidR="006D6E24">
        <w:t xml:space="preserve">also impact </w:t>
      </w:r>
      <w:r w:rsidR="00295406">
        <w:t xml:space="preserve">the </w:t>
      </w:r>
      <w:r w:rsidR="006D6E24">
        <w:t xml:space="preserve">forecast </w:t>
      </w:r>
      <w:r w:rsidR="00295406">
        <w:t>corporate income tax allowance</w:t>
      </w:r>
      <w:r w:rsidRPr="007511AF">
        <w:t>.</w:t>
      </w:r>
      <w:r w:rsidRPr="007511AF">
        <w:rPr>
          <w:rStyle w:val="FootnoteReference"/>
        </w:rPr>
        <w:footnoteReference w:id="7"/>
      </w:r>
      <w:r w:rsidRPr="007511AF">
        <w:t xml:space="preserve"> </w:t>
      </w:r>
    </w:p>
    <w:p w:rsidR="009F030C" w:rsidRDefault="0085652B" w:rsidP="009F030C">
      <w:pPr>
        <w:pStyle w:val="Heading3"/>
      </w:pPr>
      <w:bookmarkStart w:id="24" w:name="_Ref399919301"/>
      <w:bookmarkStart w:id="25" w:name="_Toc404364245"/>
      <w:r>
        <w:t>Opening tax asset base</w:t>
      </w:r>
      <w:bookmarkEnd w:id="24"/>
      <w:bookmarkEnd w:id="25"/>
    </w:p>
    <w:p w:rsidR="00394BDB" w:rsidRDefault="00295406" w:rsidP="00156968">
      <w:pPr>
        <w:pStyle w:val="AERbodytext"/>
        <w:numPr>
          <w:ilvl w:val="0"/>
          <w:numId w:val="0"/>
        </w:numPr>
      </w:pPr>
      <w:r>
        <w:t>We do not accept Ausgrid's proposed opening TAB</w:t>
      </w:r>
      <w:r w:rsidR="006D6E24">
        <w:t>s</w:t>
      </w:r>
      <w:r>
        <w:t xml:space="preserve"> as at 1 July 2009 of $</w:t>
      </w:r>
      <w:r w:rsidR="00394BDB">
        <w:t>8401</w:t>
      </w:r>
      <w:r w:rsidR="00324526">
        <w:t>.2</w:t>
      </w:r>
      <w:r w:rsidR="00394BDB">
        <w:t xml:space="preserve"> </w:t>
      </w:r>
      <w:r>
        <w:t>million for its distribution network and $</w:t>
      </w:r>
      <w:r w:rsidR="00394BDB">
        <w:t>1631</w:t>
      </w:r>
      <w:r w:rsidR="00324526">
        <w:t>.0</w:t>
      </w:r>
      <w:r w:rsidR="00394BDB">
        <w:t xml:space="preserve"> </w:t>
      </w:r>
      <w:r>
        <w:t xml:space="preserve">million ($nominal) for its transmission network. </w:t>
      </w:r>
      <w:r w:rsidR="00CF53A4">
        <w:t>Instead w</w:t>
      </w:r>
      <w:r>
        <w:t xml:space="preserve">e determine </w:t>
      </w:r>
      <w:r>
        <w:lastRenderedPageBreak/>
        <w:t>the opening TAB</w:t>
      </w:r>
      <w:r w:rsidR="00CF53A4">
        <w:t>s</w:t>
      </w:r>
      <w:r>
        <w:t xml:space="preserve"> as at 1 July 2014 of $</w:t>
      </w:r>
      <w:r w:rsidR="00394BDB">
        <w:t>8562</w:t>
      </w:r>
      <w:r w:rsidR="00324526">
        <w:t>.4</w:t>
      </w:r>
      <w:r w:rsidR="00394BDB">
        <w:t xml:space="preserve"> </w:t>
      </w:r>
      <w:r>
        <w:t>million and $</w:t>
      </w:r>
      <w:r w:rsidR="00394BDB">
        <w:t>1502</w:t>
      </w:r>
      <w:r w:rsidR="00324526">
        <w:t>.1</w:t>
      </w:r>
      <w:r>
        <w:t xml:space="preserve"> million for Ausgrid's distribution and transmission networks respectively.</w:t>
      </w:r>
      <w:r w:rsidR="00394BDB">
        <w:t xml:space="preserve"> These differences are ca</w:t>
      </w:r>
      <w:r w:rsidR="00AF1FBB">
        <w:t>used</w:t>
      </w:r>
      <w:r w:rsidR="00394BDB">
        <w:t xml:space="preserve"> by:</w:t>
      </w:r>
    </w:p>
    <w:p w:rsidR="00394BDB" w:rsidRDefault="00714831" w:rsidP="00394BDB">
      <w:pPr>
        <w:pStyle w:val="AERbulletlistfirststyle"/>
      </w:pPr>
      <w:r>
        <w:t>a</w:t>
      </w:r>
      <w:r w:rsidR="00394BDB">
        <w:t>djust</w:t>
      </w:r>
      <w:r w:rsidR="00AF1FBB">
        <w:t>ments</w:t>
      </w:r>
      <w:r w:rsidR="00394BDB">
        <w:t xml:space="preserve"> for the difference in actual and </w:t>
      </w:r>
      <w:r>
        <w:t>estimated</w:t>
      </w:r>
      <w:r w:rsidR="00394BDB">
        <w:t xml:space="preserve"> capex </w:t>
      </w:r>
      <w:r>
        <w:t>for</w:t>
      </w:r>
      <w:r w:rsidR="00394BDB">
        <w:t xml:space="preserve"> 2008–09</w:t>
      </w:r>
      <w:r w:rsidR="00F66F73">
        <w:t>. This estimate was included in the approved opening TAB as at 1 July in the 2009 determination.</w:t>
      </w:r>
    </w:p>
    <w:p w:rsidR="00394BDB" w:rsidRPr="00394BDB" w:rsidRDefault="00714831" w:rsidP="00394BDB">
      <w:pPr>
        <w:pStyle w:val="AERbulletlistfirststyle"/>
      </w:pPr>
      <w:r>
        <w:t>a</w:t>
      </w:r>
      <w:r w:rsidR="00394BDB" w:rsidRPr="00394BDB">
        <w:t>djust</w:t>
      </w:r>
      <w:r w:rsidR="00AF1FBB">
        <w:t>ments</w:t>
      </w:r>
      <w:r w:rsidR="00394BDB" w:rsidRPr="00394BDB">
        <w:t xml:space="preserve"> to the tax depreciation </w:t>
      </w:r>
      <w:r>
        <w:t>for the 2009–14 regulatory control period due to</w:t>
      </w:r>
      <w:r w:rsidR="00394BDB" w:rsidRPr="00394BDB">
        <w:t xml:space="preserve"> the difference </w:t>
      </w:r>
      <w:r w:rsidR="00F66F73">
        <w:t>between</w:t>
      </w:r>
      <w:r w:rsidR="00394BDB" w:rsidRPr="00394BDB">
        <w:t xml:space="preserve"> actual and </w:t>
      </w:r>
      <w:r>
        <w:t>estimated</w:t>
      </w:r>
      <w:r w:rsidR="00394BDB" w:rsidRPr="00394BDB">
        <w:t xml:space="preserve"> </w:t>
      </w:r>
      <w:r w:rsidR="00AF1FBB">
        <w:t xml:space="preserve">capex </w:t>
      </w:r>
      <w:r>
        <w:t>for</w:t>
      </w:r>
      <w:r w:rsidR="00394BDB" w:rsidRPr="00394BDB">
        <w:t xml:space="preserve"> 2008</w:t>
      </w:r>
      <w:r>
        <w:t>–</w:t>
      </w:r>
      <w:r w:rsidR="00394BDB" w:rsidRPr="00394BDB">
        <w:t>09</w:t>
      </w:r>
    </w:p>
    <w:p w:rsidR="00394BDB" w:rsidRPr="00394BDB" w:rsidRDefault="00714831" w:rsidP="00394BDB">
      <w:pPr>
        <w:pStyle w:val="AERbulletlistfirststyle"/>
      </w:pPr>
      <w:r>
        <w:t>c</w:t>
      </w:r>
      <w:r w:rsidR="00394BDB" w:rsidRPr="00394BDB">
        <w:t>orrect</w:t>
      </w:r>
      <w:r w:rsidR="00AF1FBB">
        <w:t xml:space="preserve">ion of </w:t>
      </w:r>
      <w:r w:rsidR="00394BDB" w:rsidRPr="00394BDB">
        <w:t xml:space="preserve">Ausgrid's actual net capex </w:t>
      </w:r>
      <w:r>
        <w:t xml:space="preserve">inputs </w:t>
      </w:r>
      <w:r w:rsidR="00394BDB" w:rsidRPr="00394BDB">
        <w:t xml:space="preserve">for errors associated with the value of </w:t>
      </w:r>
      <w:r w:rsidR="003E21A5">
        <w:t xml:space="preserve">asset </w:t>
      </w:r>
      <w:r w:rsidR="00394BDB" w:rsidRPr="00394BDB">
        <w:t>disposals and capital contributions, including updates for</w:t>
      </w:r>
      <w:r>
        <w:t xml:space="preserve"> the</w:t>
      </w:r>
      <w:r w:rsidR="00394BDB" w:rsidRPr="00394BDB">
        <w:t xml:space="preserve"> estimate of capex for 2013</w:t>
      </w:r>
      <w:r>
        <w:t>–</w:t>
      </w:r>
      <w:r w:rsidR="00394BDB" w:rsidRPr="00394BDB">
        <w:t xml:space="preserve">14 </w:t>
      </w:r>
    </w:p>
    <w:p w:rsidR="00AF1FBB" w:rsidRDefault="00714831" w:rsidP="00AF1FBB">
      <w:pPr>
        <w:pStyle w:val="AERbulletlistfirststyle"/>
      </w:pPr>
      <w:r>
        <w:t>c</w:t>
      </w:r>
      <w:r w:rsidR="00AF1FBB">
        <w:t>orrection of a formula error in the RFM used to calculate the tax depreciation for IT system assets</w:t>
      </w:r>
      <w:r>
        <w:t>.</w:t>
      </w:r>
    </w:p>
    <w:p w:rsidR="00394BDB" w:rsidRDefault="00394BDB" w:rsidP="00394BDB">
      <w:pPr>
        <w:pStyle w:val="AERbulletlistfirststyle"/>
        <w:numPr>
          <w:ilvl w:val="0"/>
          <w:numId w:val="0"/>
        </w:numPr>
      </w:pPr>
      <w:r w:rsidRPr="00394BDB">
        <w:t xml:space="preserve">To determine the opening TABs as at 1 July 2014, we have rolled forward the </w:t>
      </w:r>
      <w:r w:rsidR="00714831">
        <w:t>T</w:t>
      </w:r>
      <w:r w:rsidRPr="00394BDB">
        <w:t>ABs over the 2009–14 regulatory control period to determine closing TAB</w:t>
      </w:r>
      <w:r w:rsidR="00714831">
        <w:t>s</w:t>
      </w:r>
      <w:r w:rsidRPr="00394BDB">
        <w:t xml:space="preserve"> at 30 June 2014. For the distribution TAB, from 1 July 2014, metering will be classified as an alternative control service and therefore metering assets </w:t>
      </w:r>
      <w:r w:rsidR="00714831">
        <w:t>have been removed</w:t>
      </w:r>
      <w:r w:rsidRPr="00394BDB">
        <w:t xml:space="preserve"> from the standard control services TAB</w:t>
      </w:r>
      <w:r w:rsidR="00B655D7">
        <w:t xml:space="preserve"> as discussed in attachment 16</w:t>
      </w:r>
      <w:r w:rsidRPr="00394BDB">
        <w:t xml:space="preserve">. </w:t>
      </w:r>
      <w:r w:rsidR="00295406">
        <w:t>The reasons for our decision on Ausgrid's opening TAB</w:t>
      </w:r>
      <w:r w:rsidR="006D6E24">
        <w:t>s</w:t>
      </w:r>
      <w:r w:rsidR="00295406">
        <w:t xml:space="preserve"> for its distribution and transmission network</w:t>
      </w:r>
      <w:r w:rsidR="00B97A82">
        <w:t>s</w:t>
      </w:r>
      <w:r w:rsidR="00295406">
        <w:t xml:space="preserve"> are </w:t>
      </w:r>
      <w:r w:rsidR="006D6E24">
        <w:t xml:space="preserve">set out </w:t>
      </w:r>
      <w:r w:rsidR="00295406">
        <w:t>below.</w:t>
      </w:r>
    </w:p>
    <w:p w:rsidR="006F4166" w:rsidRDefault="006F4166" w:rsidP="006F4166">
      <w:pPr>
        <w:pStyle w:val="HeadingBoldBlue"/>
      </w:pPr>
      <w:r>
        <w:t>Opening TAB as at 1 July 2009</w:t>
      </w:r>
    </w:p>
    <w:p w:rsidR="00EE0971" w:rsidRDefault="00087F57" w:rsidP="00394BDB">
      <w:pPr>
        <w:pStyle w:val="AERbodytext"/>
      </w:pPr>
      <w:r>
        <w:t>We do not accept Ausgrid's proposed opening TAB</w:t>
      </w:r>
      <w:r w:rsidR="006B51ED">
        <w:t>s</w:t>
      </w:r>
      <w:r>
        <w:t xml:space="preserve"> of $455</w:t>
      </w:r>
      <w:r w:rsidR="00541825">
        <w:t>2</w:t>
      </w:r>
      <w:r w:rsidR="00324526">
        <w:t>.9</w:t>
      </w:r>
      <w:r>
        <w:t xml:space="preserve"> million </w:t>
      </w:r>
      <w:r w:rsidR="006B51ED">
        <w:t>and $</w:t>
      </w:r>
      <w:r w:rsidR="00541825">
        <w:t>645.5</w:t>
      </w:r>
      <w:r w:rsidR="006B51ED">
        <w:t xml:space="preserve"> million </w:t>
      </w:r>
      <w:r>
        <w:t>($ nominal) as at 1 July 2009</w:t>
      </w:r>
      <w:r w:rsidR="006B51ED">
        <w:t xml:space="preserve"> for its distribution and transmission networks respectively</w:t>
      </w:r>
      <w:r>
        <w:t xml:space="preserve">. </w:t>
      </w:r>
      <w:r w:rsidR="00394BDB" w:rsidRPr="00394BDB">
        <w:t xml:space="preserve">Ausgrid proposed </w:t>
      </w:r>
      <w:r w:rsidR="00D17722">
        <w:t xml:space="preserve">to update the </w:t>
      </w:r>
      <w:r w:rsidR="00394BDB" w:rsidRPr="00394BDB">
        <w:t>opening TAB</w:t>
      </w:r>
      <w:r w:rsidR="006B51ED">
        <w:t>s</w:t>
      </w:r>
      <w:r w:rsidR="00394BDB" w:rsidRPr="00394BDB">
        <w:t xml:space="preserve"> </w:t>
      </w:r>
      <w:r w:rsidR="00394BDB">
        <w:t>as at 1 July 200</w:t>
      </w:r>
      <w:r w:rsidR="00F66F73">
        <w:t>9</w:t>
      </w:r>
      <w:r w:rsidR="00D17722">
        <w:t xml:space="preserve"> for the </w:t>
      </w:r>
      <w:r w:rsidR="00394BDB">
        <w:t>actual capex for 2008–09.</w:t>
      </w:r>
      <w:r w:rsidR="00D17722">
        <w:rPr>
          <w:rStyle w:val="FootnoteReference"/>
        </w:rPr>
        <w:footnoteReference w:id="8"/>
      </w:r>
      <w:r w:rsidR="006B51ED" w:rsidRPr="00B56642">
        <w:rPr>
          <w:rStyle w:val="AERsuperscript"/>
        </w:rPr>
        <w:t>,</w:t>
      </w:r>
      <w:r w:rsidR="006B51ED">
        <w:rPr>
          <w:rStyle w:val="FootnoteReference"/>
        </w:rPr>
        <w:footnoteReference w:id="9"/>
      </w:r>
      <w:r w:rsidR="00394BDB">
        <w:t xml:space="preserve"> </w:t>
      </w:r>
      <w:r w:rsidR="00394BDB" w:rsidRPr="00394BDB">
        <w:t xml:space="preserve">We </w:t>
      </w:r>
      <w:r w:rsidR="00C77622">
        <w:t>reviewed</w:t>
      </w:r>
      <w:r w:rsidR="00394BDB" w:rsidRPr="00394BDB">
        <w:t xml:space="preserve"> Ausgrid's proposed opening TAB</w:t>
      </w:r>
      <w:r w:rsidR="00B56642">
        <w:t xml:space="preserve">s </w:t>
      </w:r>
      <w:r w:rsidR="00394BDB" w:rsidRPr="00394BDB">
        <w:t xml:space="preserve">as at 1 July 2009 with respect to the difference in actual and </w:t>
      </w:r>
      <w:r w:rsidR="00F66F73">
        <w:t>estimated</w:t>
      </w:r>
      <w:r w:rsidR="00394BDB" w:rsidRPr="00394BDB">
        <w:t xml:space="preserve"> capex </w:t>
      </w:r>
      <w:r w:rsidR="00F66F73">
        <w:t>for</w:t>
      </w:r>
      <w:r w:rsidR="00394BDB" w:rsidRPr="00394BDB">
        <w:t xml:space="preserve"> 2008</w:t>
      </w:r>
      <w:r w:rsidR="00F66F73">
        <w:t>–</w:t>
      </w:r>
      <w:r w:rsidR="00394BDB" w:rsidRPr="00394BDB">
        <w:t xml:space="preserve">09. </w:t>
      </w:r>
      <w:r w:rsidR="00B56642">
        <w:t>We identified the following:</w:t>
      </w:r>
    </w:p>
    <w:p w:rsidR="00B56642" w:rsidRDefault="00B56642" w:rsidP="006F4166">
      <w:pPr>
        <w:pStyle w:val="AERbulletlistfirststyle"/>
      </w:pPr>
      <w:r>
        <w:t>Ausgrid's proposed distribution opening TAB was $</w:t>
      </w:r>
      <w:r w:rsidR="00541825">
        <w:t>190.0</w:t>
      </w:r>
      <w:r>
        <w:t xml:space="preserve"> million </w:t>
      </w:r>
      <w:r w:rsidR="00306AC8">
        <w:t>higher</w:t>
      </w:r>
      <w:r>
        <w:t xml:space="preserve"> than the approved value</w:t>
      </w:r>
      <w:r w:rsidR="00F66F73">
        <w:t xml:space="preserve"> (based on estimated capex for 2008–09 at the time) as at 1 July 2009.</w:t>
      </w:r>
    </w:p>
    <w:p w:rsidR="00B56642" w:rsidRDefault="00B56642" w:rsidP="006F4166">
      <w:pPr>
        <w:pStyle w:val="AERbulletlistfirststyle"/>
      </w:pPr>
      <w:r>
        <w:t>Ausgrid's proposed transmission opening TAB was $</w:t>
      </w:r>
      <w:r w:rsidR="00541825">
        <w:t>11.0</w:t>
      </w:r>
      <w:r>
        <w:t xml:space="preserve"> million </w:t>
      </w:r>
      <w:r w:rsidR="00164706">
        <w:t>higher</w:t>
      </w:r>
      <w:r>
        <w:t xml:space="preserve"> than the approved value</w:t>
      </w:r>
      <w:r w:rsidR="00F66F73">
        <w:t xml:space="preserve"> (based on estimated capex for 2008–09 at the time) as at 1 July 2009.</w:t>
      </w:r>
    </w:p>
    <w:p w:rsidR="008F62B0" w:rsidRDefault="00B56642" w:rsidP="006F4166">
      <w:pPr>
        <w:pStyle w:val="AERbodytext"/>
      </w:pPr>
      <w:r>
        <w:t xml:space="preserve">However, </w:t>
      </w:r>
      <w:r w:rsidR="008F62B0">
        <w:t xml:space="preserve">these differences do not appear to </w:t>
      </w:r>
      <w:r w:rsidR="00F66F73">
        <w:t>match</w:t>
      </w:r>
      <w:r w:rsidR="008F62B0">
        <w:t xml:space="preserve"> the difference between actual and </w:t>
      </w:r>
      <w:r w:rsidR="00F66F73">
        <w:t>estimated</w:t>
      </w:r>
      <w:r w:rsidR="008F62B0">
        <w:t xml:space="preserve"> capex for 2008–09. </w:t>
      </w:r>
      <w:r w:rsidR="00F66F73">
        <w:t>We note</w:t>
      </w:r>
      <w:r w:rsidR="008F62B0">
        <w:t>:</w:t>
      </w:r>
    </w:p>
    <w:p w:rsidR="008F62B0" w:rsidRDefault="00F66F73" w:rsidP="004B4A61">
      <w:pPr>
        <w:pStyle w:val="AERbulletlistfirststyle"/>
      </w:pPr>
      <w:r>
        <w:t xml:space="preserve">For </w:t>
      </w:r>
      <w:r w:rsidR="00B56642">
        <w:t>Ausgrid's distribution network the actual capex for 2008–09 was $</w:t>
      </w:r>
      <w:r w:rsidR="00541825">
        <w:t>296.5</w:t>
      </w:r>
      <w:r w:rsidR="00B56642">
        <w:t xml:space="preserve"> million ($ nominal) higher than </w:t>
      </w:r>
      <w:r>
        <w:t>estimated.</w:t>
      </w:r>
    </w:p>
    <w:p w:rsidR="00B56642" w:rsidRDefault="00F66F73" w:rsidP="004B4A61">
      <w:pPr>
        <w:pStyle w:val="AERbulletlistfirststyle"/>
      </w:pPr>
      <w:r>
        <w:t xml:space="preserve">For </w:t>
      </w:r>
      <w:r w:rsidR="00B56642">
        <w:t>Ausgrid's transmission network the actual capex for 2008–09 was $</w:t>
      </w:r>
      <w:r w:rsidR="00541825">
        <w:t>63.6</w:t>
      </w:r>
      <w:r w:rsidR="00B56642">
        <w:t xml:space="preserve"> million ($ nominal) lower than </w:t>
      </w:r>
      <w:r>
        <w:t>estimated</w:t>
      </w:r>
      <w:r w:rsidR="00B56642">
        <w:t xml:space="preserve">. </w:t>
      </w:r>
    </w:p>
    <w:p w:rsidR="00E15205" w:rsidRDefault="00D816A7" w:rsidP="00394BDB">
      <w:pPr>
        <w:pStyle w:val="AERbodytext"/>
      </w:pPr>
      <w:r>
        <w:fldChar w:fldCharType="begin"/>
      </w:r>
      <w:r>
        <w:instrText xml:space="preserve"> REF _Ref399251538 \h </w:instrText>
      </w:r>
      <w:r>
        <w:fldChar w:fldCharType="separate"/>
      </w:r>
      <w:r w:rsidR="005F7062">
        <w:t>Table 8</w:t>
      </w:r>
      <w:r w:rsidR="005F7062">
        <w:noBreakHyphen/>
      </w:r>
      <w:r w:rsidR="005F7062">
        <w:rPr>
          <w:noProof/>
        </w:rPr>
        <w:t>5</w:t>
      </w:r>
      <w:r>
        <w:fldChar w:fldCharType="end"/>
      </w:r>
      <w:r w:rsidR="000F51DE">
        <w:t xml:space="preserve"> compares </w:t>
      </w:r>
      <w:r>
        <w:t xml:space="preserve">the difference between </w:t>
      </w:r>
      <w:r w:rsidR="000F51DE">
        <w:t>Ausgrid</w:t>
      </w:r>
      <w:r>
        <w:t>'s</w:t>
      </w:r>
      <w:r w:rsidR="000F51DE">
        <w:t xml:space="preserve"> proposed </w:t>
      </w:r>
      <w:r w:rsidR="00BD0BE1">
        <w:t xml:space="preserve">distribution </w:t>
      </w:r>
      <w:r w:rsidR="000F51DE">
        <w:t xml:space="preserve">opening TAB </w:t>
      </w:r>
      <w:r>
        <w:t xml:space="preserve">and </w:t>
      </w:r>
      <w:r w:rsidR="000F51DE">
        <w:t>the approved ope</w:t>
      </w:r>
      <w:r>
        <w:t>n</w:t>
      </w:r>
      <w:r w:rsidR="000F51DE">
        <w:t xml:space="preserve">ing TAB as at 1 July 2009 with the difference between actual and </w:t>
      </w:r>
      <w:r w:rsidR="00F66F73">
        <w:t>estimated</w:t>
      </w:r>
      <w:r w:rsidR="000F51DE">
        <w:t xml:space="preserve"> capex</w:t>
      </w:r>
      <w:r>
        <w:t xml:space="preserve"> </w:t>
      </w:r>
      <w:r w:rsidR="00F66F73">
        <w:t>for</w:t>
      </w:r>
      <w:r>
        <w:t xml:space="preserve"> 2008–09</w:t>
      </w:r>
      <w:r w:rsidR="000F51DE">
        <w:t>.</w:t>
      </w:r>
    </w:p>
    <w:p w:rsidR="000F51DE" w:rsidRDefault="000F51DE" w:rsidP="000F51DE">
      <w:pPr>
        <w:pStyle w:val="Caption"/>
      </w:pPr>
      <w:bookmarkStart w:id="26" w:name="_Ref399921050"/>
      <w:bookmarkStart w:id="27" w:name="_Ref399251538"/>
      <w:r>
        <w:lastRenderedPageBreak/>
        <w:t xml:space="preserve">Table </w:t>
      </w:r>
      <w:r w:rsidR="00213E04">
        <w:t>8</w:t>
      </w:r>
      <w:r w:rsidR="00BD0BE1">
        <w:noBreakHyphen/>
      </w:r>
      <w:fldSimple w:instr=" SEQ Table \* ARABIC \s 1 ">
        <w:r w:rsidR="005F7062">
          <w:rPr>
            <w:noProof/>
          </w:rPr>
          <w:t>5</w:t>
        </w:r>
      </w:fldSimple>
      <w:bookmarkEnd w:id="26"/>
      <w:bookmarkEnd w:id="27"/>
      <w:r>
        <w:tab/>
        <w:t xml:space="preserve">Ausgrid's opening TAB as at 1 July 2009: </w:t>
      </w:r>
      <w:r w:rsidR="00F66F73">
        <w:t>a</w:t>
      </w:r>
      <w:r>
        <w:t xml:space="preserve">pproved vs </w:t>
      </w:r>
      <w:r w:rsidR="00572192">
        <w:t>p</w:t>
      </w:r>
      <w:r>
        <w:t xml:space="preserve">roposed and difference between 2008–09 actual and </w:t>
      </w:r>
      <w:r w:rsidR="00F66F73">
        <w:t>estimated</w:t>
      </w:r>
      <w:r>
        <w:t xml:space="preserve"> capex ($million, nominal)</w:t>
      </w:r>
      <w:r w:rsidR="006F4166">
        <w:t xml:space="preserve"> </w:t>
      </w:r>
      <w:r w:rsidR="00F66F73">
        <w:t>–</w:t>
      </w:r>
      <w:r w:rsidR="006F4166">
        <w:t xml:space="preserve"> distribution</w:t>
      </w:r>
    </w:p>
    <w:tbl>
      <w:tblPr>
        <w:tblStyle w:val="AERtable-numbers"/>
        <w:tblW w:w="4884" w:type="pct"/>
        <w:tblLayout w:type="fixed"/>
        <w:tblLook w:val="04A0" w:firstRow="1" w:lastRow="0" w:firstColumn="1" w:lastColumn="0" w:noHBand="0" w:noVBand="1"/>
      </w:tblPr>
      <w:tblGrid>
        <w:gridCol w:w="5825"/>
        <w:gridCol w:w="2427"/>
        <w:gridCol w:w="388"/>
        <w:gridCol w:w="388"/>
      </w:tblGrid>
      <w:tr w:rsidR="00D816A7" w:rsidRPr="0052303D" w:rsidTr="00F46708">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26" w:type="pct"/>
            <w:noWrap/>
            <w:hideMark/>
          </w:tcPr>
          <w:p w:rsidR="00D816A7" w:rsidRPr="0052303D" w:rsidRDefault="00D816A7" w:rsidP="00F66F73">
            <w:pPr>
              <w:pStyle w:val="AERtabletextleft"/>
            </w:pPr>
            <w:r w:rsidRPr="0052303D">
              <w:t> </w:t>
            </w:r>
            <w:r w:rsidR="00B56642">
              <w:t xml:space="preserve">Ausgrid's distribution </w:t>
            </w:r>
            <w:r w:rsidR="00BD0BE1">
              <w:t xml:space="preserve">network </w:t>
            </w:r>
            <w:r w:rsidR="00F66F73">
              <w:t>–</w:t>
            </w:r>
            <w:r w:rsidR="00BD0BE1">
              <w:t xml:space="preserve"> </w:t>
            </w:r>
            <w:r w:rsidR="00F66F73">
              <w:t>t</w:t>
            </w:r>
            <w:r w:rsidR="00B56642">
              <w:t xml:space="preserve">ax </w:t>
            </w:r>
            <w:r w:rsidR="00F66F73">
              <w:t>a</w:t>
            </w:r>
            <w:r w:rsidR="00B56642">
              <w:t xml:space="preserve">sset </w:t>
            </w:r>
            <w:r w:rsidR="00F66F73">
              <w:t>b</w:t>
            </w:r>
            <w:r w:rsidR="00B56642">
              <w:t>ase</w:t>
            </w:r>
          </w:p>
        </w:tc>
        <w:tc>
          <w:tcPr>
            <w:tcW w:w="1344" w:type="pct"/>
            <w:noWrap/>
          </w:tcPr>
          <w:p w:rsidR="00D816A7" w:rsidRPr="000F51DE" w:rsidRDefault="00D816A7" w:rsidP="000F51DE">
            <w:pPr>
              <w:pStyle w:val="AERtabletextright"/>
              <w:cnfStyle w:val="100000000000" w:firstRow="1" w:lastRow="0" w:firstColumn="0" w:lastColumn="0" w:oddVBand="0" w:evenVBand="0" w:oddHBand="0" w:evenHBand="0" w:firstRowFirstColumn="0" w:firstRowLastColumn="0" w:lastRowFirstColumn="0" w:lastRowLastColumn="0"/>
            </w:pPr>
          </w:p>
        </w:tc>
        <w:tc>
          <w:tcPr>
            <w:tcW w:w="215" w:type="pct"/>
            <w:noWrap/>
          </w:tcPr>
          <w:p w:rsidR="00D816A7" w:rsidRPr="000F51DE" w:rsidRDefault="00D816A7" w:rsidP="000F51DE">
            <w:pPr>
              <w:pStyle w:val="AERtabletextright"/>
              <w:cnfStyle w:val="100000000000" w:firstRow="1" w:lastRow="0" w:firstColumn="0" w:lastColumn="0" w:oddVBand="0" w:evenVBand="0" w:oddHBand="0" w:evenHBand="0" w:firstRowFirstColumn="0" w:firstRowLastColumn="0" w:lastRowFirstColumn="0" w:lastRowLastColumn="0"/>
            </w:pPr>
          </w:p>
        </w:tc>
        <w:tc>
          <w:tcPr>
            <w:tcW w:w="215" w:type="pct"/>
            <w:noWrap/>
            <w:hideMark/>
          </w:tcPr>
          <w:p w:rsidR="00D816A7" w:rsidRPr="000F51DE" w:rsidRDefault="00D816A7" w:rsidP="000F51DE">
            <w:pPr>
              <w:pStyle w:val="AERtabletextright"/>
              <w:cnfStyle w:val="100000000000" w:firstRow="1" w:lastRow="0" w:firstColumn="0" w:lastColumn="0" w:oddVBand="0" w:evenVBand="0" w:oddHBand="0" w:evenHBand="0" w:firstRowFirstColumn="0" w:firstRowLastColumn="0" w:lastRowFirstColumn="0" w:lastRowLastColumn="0"/>
            </w:pPr>
          </w:p>
        </w:tc>
      </w:tr>
      <w:tr w:rsidR="00D816A7" w:rsidRPr="00883926" w:rsidTr="00D816A7">
        <w:trPr>
          <w:trHeight w:val="313"/>
        </w:trPr>
        <w:tc>
          <w:tcPr>
            <w:cnfStyle w:val="001000000000" w:firstRow="0" w:lastRow="0" w:firstColumn="1" w:lastColumn="0" w:oddVBand="0" w:evenVBand="0" w:oddHBand="0" w:evenHBand="0" w:firstRowFirstColumn="0" w:firstRowLastColumn="0" w:lastRowFirstColumn="0" w:lastRowLastColumn="0"/>
            <w:tcW w:w="3226" w:type="pct"/>
            <w:noWrap/>
            <w:hideMark/>
          </w:tcPr>
          <w:p w:rsidR="00D816A7" w:rsidRPr="00EE0971" w:rsidRDefault="00D816A7" w:rsidP="00AC4149">
            <w:pPr>
              <w:pStyle w:val="AERtabletextleft"/>
              <w:rPr>
                <w:rStyle w:val="AERtextbold"/>
                <w:b w:val="0"/>
              </w:rPr>
            </w:pPr>
            <w:r w:rsidRPr="00883982">
              <w:rPr>
                <w:rStyle w:val="AERtextbold"/>
                <w:b w:val="0"/>
              </w:rPr>
              <w:t xml:space="preserve">Ausgrid proposed opening TAB </w:t>
            </w:r>
            <w:r w:rsidR="00AC4149">
              <w:rPr>
                <w:rStyle w:val="AERtextbold"/>
              </w:rPr>
              <w:t>–</w:t>
            </w:r>
            <w:r w:rsidRPr="00883982">
              <w:rPr>
                <w:rStyle w:val="AERtextbold"/>
                <w:b w:val="0"/>
              </w:rPr>
              <w:t xml:space="preserve">  1 July 2009</w:t>
            </w:r>
          </w:p>
        </w:tc>
        <w:tc>
          <w:tcPr>
            <w:tcW w:w="1344" w:type="pct"/>
            <w:noWrap/>
            <w:vAlign w:val="bottom"/>
          </w:tcPr>
          <w:p w:rsidR="00D816A7" w:rsidRPr="00046709" w:rsidRDefault="00D816A7" w:rsidP="00046709">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046709">
              <w:rPr>
                <w:rStyle w:val="AERtextbold"/>
                <w:b w:val="0"/>
              </w:rPr>
              <w:t>4 552</w:t>
            </w:r>
            <w:r w:rsidR="00B33594" w:rsidRPr="00046709">
              <w:rPr>
                <w:rStyle w:val="AERtextbold"/>
                <w:b w:val="0"/>
              </w:rPr>
              <w:t>.8</w:t>
            </w:r>
          </w:p>
        </w:tc>
        <w:tc>
          <w:tcPr>
            <w:tcW w:w="215" w:type="pct"/>
            <w:noWrap/>
            <w:vAlign w:val="bottom"/>
          </w:tcPr>
          <w:p w:rsidR="00D816A7" w:rsidRPr="00D816A7" w:rsidRDefault="00D816A7" w:rsidP="00D816A7">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p>
        </w:tc>
        <w:tc>
          <w:tcPr>
            <w:tcW w:w="215" w:type="pct"/>
            <w:noWrap/>
            <w:vAlign w:val="bottom"/>
          </w:tcPr>
          <w:p w:rsidR="00D816A7" w:rsidRPr="00883926" w:rsidRDefault="00D816A7" w:rsidP="000F51D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D816A7" w:rsidRPr="0052303D" w:rsidTr="00D816A7">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26" w:type="pct"/>
            <w:noWrap/>
            <w:hideMark/>
          </w:tcPr>
          <w:p w:rsidR="00D816A7" w:rsidRPr="00BB0691" w:rsidRDefault="00D816A7" w:rsidP="00AC4149">
            <w:pPr>
              <w:pStyle w:val="AERtabletextleft"/>
              <w:jc w:val="both"/>
              <w:rPr>
                <w:rStyle w:val="AERtextbold"/>
                <w:b w:val="0"/>
              </w:rPr>
            </w:pPr>
            <w:r w:rsidRPr="00883982">
              <w:rPr>
                <w:rStyle w:val="AERtextbold"/>
                <w:b w:val="0"/>
              </w:rPr>
              <w:t>Ausgrid approved opening TAB</w:t>
            </w:r>
            <w:r w:rsidR="00AC4149">
              <w:rPr>
                <w:rStyle w:val="AERtextbold"/>
              </w:rPr>
              <w:t xml:space="preserve"> –</w:t>
            </w:r>
            <w:r w:rsidRPr="00BB0691">
              <w:rPr>
                <w:rStyle w:val="AERtextbold"/>
                <w:b w:val="0"/>
              </w:rPr>
              <w:t xml:space="preserve"> 1</w:t>
            </w:r>
            <w:r w:rsidR="00AC4149">
              <w:rPr>
                <w:rStyle w:val="AERtextbold"/>
              </w:rPr>
              <w:t xml:space="preserve"> </w:t>
            </w:r>
            <w:r w:rsidRPr="00883982">
              <w:rPr>
                <w:rStyle w:val="AERtextbold"/>
                <w:b w:val="0"/>
              </w:rPr>
              <w:t>July 2009</w:t>
            </w:r>
          </w:p>
        </w:tc>
        <w:tc>
          <w:tcPr>
            <w:tcW w:w="1344" w:type="pct"/>
            <w:noWrap/>
            <w:vAlign w:val="bottom"/>
          </w:tcPr>
          <w:p w:rsidR="00D816A7" w:rsidRPr="00D816A7" w:rsidRDefault="00D816A7" w:rsidP="00D816A7">
            <w:pPr>
              <w:pStyle w:val="AERtabletextright"/>
              <w:cnfStyle w:val="000000010000" w:firstRow="0" w:lastRow="0" w:firstColumn="0" w:lastColumn="0" w:oddVBand="0" w:evenVBand="0" w:oddHBand="0" w:evenHBand="1" w:firstRowFirstColumn="0" w:firstRowLastColumn="0" w:lastRowFirstColumn="0" w:lastRowLastColumn="0"/>
            </w:pPr>
            <w:r w:rsidRPr="00D816A7">
              <w:t>4 362</w:t>
            </w:r>
            <w:r w:rsidR="00B33594">
              <w:t>.9</w:t>
            </w:r>
          </w:p>
        </w:tc>
        <w:tc>
          <w:tcPr>
            <w:tcW w:w="215" w:type="pct"/>
            <w:noWrap/>
            <w:vAlign w:val="bottom"/>
          </w:tcPr>
          <w:p w:rsidR="00D816A7" w:rsidRPr="00D816A7" w:rsidRDefault="00D816A7" w:rsidP="00D816A7">
            <w:pPr>
              <w:pStyle w:val="AERtabletextright"/>
              <w:cnfStyle w:val="000000010000" w:firstRow="0" w:lastRow="0" w:firstColumn="0" w:lastColumn="0" w:oddVBand="0" w:evenVBand="0" w:oddHBand="0" w:evenHBand="1" w:firstRowFirstColumn="0" w:firstRowLastColumn="0" w:lastRowFirstColumn="0" w:lastRowLastColumn="0"/>
            </w:pPr>
          </w:p>
        </w:tc>
        <w:tc>
          <w:tcPr>
            <w:tcW w:w="215" w:type="pct"/>
            <w:noWrap/>
            <w:vAlign w:val="bottom"/>
          </w:tcPr>
          <w:p w:rsidR="00D816A7" w:rsidRPr="00883926" w:rsidRDefault="00D816A7" w:rsidP="000F51DE">
            <w:pPr>
              <w:pStyle w:val="AERtabletextright"/>
              <w:cnfStyle w:val="000000010000" w:firstRow="0" w:lastRow="0" w:firstColumn="0" w:lastColumn="0" w:oddVBand="0" w:evenVBand="0" w:oddHBand="0" w:evenHBand="1" w:firstRowFirstColumn="0" w:firstRowLastColumn="0" w:lastRowFirstColumn="0" w:lastRowLastColumn="0"/>
            </w:pPr>
          </w:p>
        </w:tc>
      </w:tr>
      <w:tr w:rsidR="00D816A7" w:rsidRPr="0052303D" w:rsidTr="00D816A7">
        <w:trPr>
          <w:trHeight w:val="313"/>
        </w:trPr>
        <w:tc>
          <w:tcPr>
            <w:cnfStyle w:val="001000000000" w:firstRow="0" w:lastRow="0" w:firstColumn="1" w:lastColumn="0" w:oddVBand="0" w:evenVBand="0" w:oddHBand="0" w:evenHBand="0" w:firstRowFirstColumn="0" w:firstRowLastColumn="0" w:lastRowFirstColumn="0" w:lastRowLastColumn="0"/>
            <w:tcW w:w="3226" w:type="pct"/>
            <w:noWrap/>
            <w:hideMark/>
          </w:tcPr>
          <w:p w:rsidR="00D816A7" w:rsidRPr="00306AC8" w:rsidRDefault="00D816A7" w:rsidP="00AC4149">
            <w:pPr>
              <w:pStyle w:val="AERtabletextleft"/>
              <w:jc w:val="both"/>
              <w:rPr>
                <w:rStyle w:val="AERtextbold"/>
              </w:rPr>
            </w:pPr>
            <w:r w:rsidRPr="00F66F73">
              <w:rPr>
                <w:rStyle w:val="AERtextbold"/>
              </w:rPr>
              <w:t>Difference</w:t>
            </w:r>
          </w:p>
        </w:tc>
        <w:tc>
          <w:tcPr>
            <w:tcW w:w="1344" w:type="pct"/>
            <w:noWrap/>
            <w:vAlign w:val="bottom"/>
          </w:tcPr>
          <w:p w:rsidR="00D816A7" w:rsidRPr="00D816A7" w:rsidRDefault="00D816A7" w:rsidP="00B3359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816A7">
              <w:rPr>
                <w:rStyle w:val="AERtextbold"/>
              </w:rPr>
              <w:t>1</w:t>
            </w:r>
            <w:r w:rsidR="00B33594">
              <w:rPr>
                <w:rStyle w:val="AERtextbold"/>
              </w:rPr>
              <w:t>90.0</w:t>
            </w:r>
          </w:p>
        </w:tc>
        <w:tc>
          <w:tcPr>
            <w:tcW w:w="215" w:type="pct"/>
            <w:noWrap/>
            <w:vAlign w:val="bottom"/>
          </w:tcPr>
          <w:p w:rsidR="00D816A7" w:rsidRPr="00D816A7" w:rsidRDefault="00D816A7" w:rsidP="00D816A7">
            <w:pPr>
              <w:pStyle w:val="AERtabletextright"/>
              <w:cnfStyle w:val="000000000000" w:firstRow="0" w:lastRow="0" w:firstColumn="0" w:lastColumn="0" w:oddVBand="0" w:evenVBand="0" w:oddHBand="0" w:evenHBand="0" w:firstRowFirstColumn="0" w:firstRowLastColumn="0" w:lastRowFirstColumn="0" w:lastRowLastColumn="0"/>
            </w:pPr>
          </w:p>
        </w:tc>
        <w:tc>
          <w:tcPr>
            <w:tcW w:w="215" w:type="pct"/>
            <w:noWrap/>
            <w:vAlign w:val="bottom"/>
          </w:tcPr>
          <w:p w:rsidR="00D816A7" w:rsidRPr="00883926" w:rsidRDefault="00D816A7" w:rsidP="000F51DE">
            <w:pPr>
              <w:pStyle w:val="AERtabletextright"/>
              <w:cnfStyle w:val="000000000000" w:firstRow="0" w:lastRow="0" w:firstColumn="0" w:lastColumn="0" w:oddVBand="0" w:evenVBand="0" w:oddHBand="0" w:evenHBand="0" w:firstRowFirstColumn="0" w:firstRowLastColumn="0" w:lastRowFirstColumn="0" w:lastRowLastColumn="0"/>
            </w:pPr>
          </w:p>
        </w:tc>
      </w:tr>
      <w:tr w:rsidR="00D816A7" w:rsidRPr="00883926" w:rsidTr="00D816A7">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26" w:type="pct"/>
            <w:noWrap/>
            <w:hideMark/>
          </w:tcPr>
          <w:p w:rsidR="00D816A7" w:rsidRPr="00883982" w:rsidRDefault="002650CF" w:rsidP="00F66F73">
            <w:pPr>
              <w:pStyle w:val="AERtabletextleft"/>
              <w:rPr>
                <w:rStyle w:val="AERtextbold"/>
                <w:b w:val="0"/>
              </w:rPr>
            </w:pPr>
            <w:r w:rsidRPr="00883982">
              <w:rPr>
                <w:rStyle w:val="AERtextbold"/>
                <w:b w:val="0"/>
              </w:rPr>
              <w:t>Actual</w:t>
            </w:r>
            <w:r w:rsidR="00D816A7" w:rsidRPr="00BB0691">
              <w:rPr>
                <w:rStyle w:val="AERtextbold"/>
                <w:b w:val="0"/>
              </w:rPr>
              <w:t xml:space="preserve"> </w:t>
            </w:r>
            <w:r w:rsidR="00D816A7" w:rsidRPr="00F66F73">
              <w:rPr>
                <w:rStyle w:val="AERtextbold"/>
                <w:b w:val="0"/>
              </w:rPr>
              <w:t xml:space="preserve">capex </w:t>
            </w:r>
            <w:r w:rsidR="00F66F73" w:rsidRPr="00F66F73">
              <w:rPr>
                <w:rStyle w:val="AERtextbold"/>
                <w:b w:val="0"/>
              </w:rPr>
              <w:t xml:space="preserve">for </w:t>
            </w:r>
            <w:r w:rsidR="00D816A7" w:rsidRPr="00F66F73">
              <w:rPr>
                <w:rStyle w:val="AERtextbold"/>
                <w:b w:val="0"/>
              </w:rPr>
              <w:t>2008</w:t>
            </w:r>
            <w:r w:rsidR="00D816A7" w:rsidRPr="00BB0691">
              <w:rPr>
                <w:rStyle w:val="AERtextbold"/>
                <w:rFonts w:hint="eastAsia"/>
                <w:b w:val="0"/>
              </w:rPr>
              <w:t>–</w:t>
            </w:r>
            <w:r w:rsidR="00D816A7" w:rsidRPr="00BB0691">
              <w:rPr>
                <w:rStyle w:val="AERtextbold"/>
                <w:b w:val="0"/>
              </w:rPr>
              <w:t>09</w:t>
            </w:r>
            <w:r w:rsidR="00D816A7" w:rsidRPr="00AC4149">
              <w:rPr>
                <w:rStyle w:val="AERsuperscript"/>
              </w:rPr>
              <w:t>a</w:t>
            </w:r>
          </w:p>
        </w:tc>
        <w:tc>
          <w:tcPr>
            <w:tcW w:w="1344" w:type="pct"/>
            <w:noWrap/>
            <w:vAlign w:val="bottom"/>
          </w:tcPr>
          <w:p w:rsidR="00D816A7" w:rsidRPr="00046709" w:rsidRDefault="002650CF" w:rsidP="00046709">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046709">
              <w:rPr>
                <w:rStyle w:val="AERtextbold"/>
                <w:b w:val="0"/>
              </w:rPr>
              <w:t>1 1</w:t>
            </w:r>
            <w:r w:rsidR="00D816A7" w:rsidRPr="00046709">
              <w:rPr>
                <w:rStyle w:val="AERtextbold"/>
                <w:b w:val="0"/>
              </w:rPr>
              <w:t>8</w:t>
            </w:r>
            <w:r w:rsidRPr="00046709">
              <w:rPr>
                <w:rStyle w:val="AERtextbold"/>
                <w:b w:val="0"/>
              </w:rPr>
              <w:t>0</w:t>
            </w:r>
            <w:r w:rsidR="00B33594" w:rsidRPr="00046709">
              <w:rPr>
                <w:rStyle w:val="AERtextbold"/>
                <w:b w:val="0"/>
              </w:rPr>
              <w:t>.6</w:t>
            </w:r>
          </w:p>
        </w:tc>
        <w:tc>
          <w:tcPr>
            <w:tcW w:w="215" w:type="pct"/>
            <w:noWrap/>
            <w:vAlign w:val="bottom"/>
          </w:tcPr>
          <w:p w:rsidR="00D816A7" w:rsidRPr="00D816A7" w:rsidRDefault="00D816A7" w:rsidP="00D816A7">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p>
        </w:tc>
        <w:tc>
          <w:tcPr>
            <w:tcW w:w="215" w:type="pct"/>
            <w:noWrap/>
            <w:vAlign w:val="bottom"/>
          </w:tcPr>
          <w:p w:rsidR="00D816A7" w:rsidRPr="00883926" w:rsidRDefault="00D816A7" w:rsidP="000F51D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r>
      <w:tr w:rsidR="00D816A7" w:rsidRPr="0052303D" w:rsidTr="00D816A7">
        <w:trPr>
          <w:trHeight w:val="313"/>
        </w:trPr>
        <w:tc>
          <w:tcPr>
            <w:cnfStyle w:val="001000000000" w:firstRow="0" w:lastRow="0" w:firstColumn="1" w:lastColumn="0" w:oddVBand="0" w:evenVBand="0" w:oddHBand="0" w:evenHBand="0" w:firstRowFirstColumn="0" w:firstRowLastColumn="0" w:lastRowFirstColumn="0" w:lastRowLastColumn="0"/>
            <w:tcW w:w="3226" w:type="pct"/>
            <w:noWrap/>
            <w:vAlign w:val="bottom"/>
          </w:tcPr>
          <w:p w:rsidR="00D816A7" w:rsidRPr="00AC4149" w:rsidRDefault="00AC4149" w:rsidP="00F66F73">
            <w:pPr>
              <w:pStyle w:val="AERtabletextleft"/>
            </w:pPr>
            <w:r w:rsidRPr="00883982">
              <w:rPr>
                <w:rStyle w:val="AERtextbold"/>
                <w:b w:val="0"/>
              </w:rPr>
              <w:t>Estimated</w:t>
            </w:r>
            <w:r w:rsidR="00D816A7" w:rsidRPr="00BB0691">
              <w:rPr>
                <w:rStyle w:val="AERtextbold"/>
                <w:b w:val="0"/>
              </w:rPr>
              <w:t xml:space="preserve"> </w:t>
            </w:r>
            <w:r w:rsidR="00D816A7" w:rsidRPr="00F66F73">
              <w:rPr>
                <w:rStyle w:val="AERtextbold"/>
                <w:b w:val="0"/>
              </w:rPr>
              <w:t>capex</w:t>
            </w:r>
            <w:r w:rsidR="00F66F73" w:rsidRPr="00F66F73">
              <w:rPr>
                <w:rStyle w:val="AERtextbold"/>
                <w:b w:val="0"/>
              </w:rPr>
              <w:t xml:space="preserve"> for</w:t>
            </w:r>
            <w:r w:rsidR="00D816A7" w:rsidRPr="00F66F73">
              <w:rPr>
                <w:rStyle w:val="AERtextbold"/>
                <w:b w:val="0"/>
              </w:rPr>
              <w:t xml:space="preserve"> 2008</w:t>
            </w:r>
            <w:r w:rsidR="00D816A7" w:rsidRPr="00BB0691">
              <w:rPr>
                <w:rStyle w:val="AERtextbold"/>
                <w:rFonts w:hint="eastAsia"/>
                <w:b w:val="0"/>
              </w:rPr>
              <w:t>–</w:t>
            </w:r>
            <w:r w:rsidR="00D816A7" w:rsidRPr="00BB0691">
              <w:rPr>
                <w:rStyle w:val="AERtextbold"/>
                <w:b w:val="0"/>
              </w:rPr>
              <w:t>09</w:t>
            </w:r>
            <w:r w:rsidR="00F66F73">
              <w:rPr>
                <w:rStyle w:val="AERsuperscript"/>
              </w:rPr>
              <w:t>a</w:t>
            </w:r>
          </w:p>
        </w:tc>
        <w:tc>
          <w:tcPr>
            <w:tcW w:w="1344" w:type="pct"/>
            <w:noWrap/>
          </w:tcPr>
          <w:p w:rsidR="00D816A7" w:rsidRPr="00046709" w:rsidRDefault="002650CF" w:rsidP="00046709">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046709">
              <w:rPr>
                <w:rStyle w:val="AERtextbold"/>
                <w:b w:val="0"/>
              </w:rPr>
              <w:t>884</w:t>
            </w:r>
            <w:r w:rsidR="00B33594" w:rsidRPr="00046709">
              <w:rPr>
                <w:rStyle w:val="AERtextbold"/>
                <w:b w:val="0"/>
              </w:rPr>
              <w:t>.2</w:t>
            </w:r>
          </w:p>
        </w:tc>
        <w:tc>
          <w:tcPr>
            <w:tcW w:w="215" w:type="pct"/>
            <w:noWrap/>
          </w:tcPr>
          <w:p w:rsidR="00D816A7" w:rsidRPr="00D816A7" w:rsidRDefault="00D816A7" w:rsidP="00D816A7">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p>
        </w:tc>
        <w:tc>
          <w:tcPr>
            <w:tcW w:w="215" w:type="pct"/>
            <w:noWrap/>
          </w:tcPr>
          <w:p w:rsidR="00D816A7" w:rsidRPr="00883926" w:rsidRDefault="00D816A7" w:rsidP="000F51D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D816A7" w:rsidRPr="00883926" w:rsidTr="00D816A7">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26" w:type="pct"/>
            <w:noWrap/>
            <w:vAlign w:val="bottom"/>
          </w:tcPr>
          <w:p w:rsidR="00D816A7" w:rsidRPr="000F51DE" w:rsidRDefault="00D816A7" w:rsidP="000F51DE">
            <w:pPr>
              <w:pStyle w:val="AERtabletextleft"/>
              <w:rPr>
                <w:rStyle w:val="AERtextbold"/>
              </w:rPr>
            </w:pPr>
            <w:r>
              <w:rPr>
                <w:rStyle w:val="AERtextbold"/>
              </w:rPr>
              <w:t>Difference</w:t>
            </w:r>
          </w:p>
        </w:tc>
        <w:tc>
          <w:tcPr>
            <w:tcW w:w="1344" w:type="pct"/>
            <w:noWrap/>
          </w:tcPr>
          <w:p w:rsidR="00D816A7" w:rsidRPr="00D816A7" w:rsidRDefault="00D816A7" w:rsidP="00D816A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D816A7">
              <w:rPr>
                <w:rStyle w:val="AERtextbold"/>
              </w:rPr>
              <w:t>296</w:t>
            </w:r>
            <w:r w:rsidR="00B33594">
              <w:rPr>
                <w:rStyle w:val="AERtextbold"/>
              </w:rPr>
              <w:t>.5</w:t>
            </w:r>
          </w:p>
        </w:tc>
        <w:tc>
          <w:tcPr>
            <w:tcW w:w="215" w:type="pct"/>
            <w:noWrap/>
          </w:tcPr>
          <w:p w:rsidR="00D816A7" w:rsidRPr="00D816A7" w:rsidRDefault="00D816A7" w:rsidP="00D816A7">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p>
        </w:tc>
        <w:tc>
          <w:tcPr>
            <w:tcW w:w="215" w:type="pct"/>
            <w:noWrap/>
            <w:vAlign w:val="bottom"/>
          </w:tcPr>
          <w:p w:rsidR="00D816A7" w:rsidRPr="00C4765D" w:rsidRDefault="00D816A7" w:rsidP="000F51D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r>
    </w:tbl>
    <w:p w:rsidR="000F51DE" w:rsidRDefault="000F51DE" w:rsidP="000F51DE">
      <w:pPr>
        <w:pStyle w:val="AERtablesource"/>
      </w:pPr>
      <w:r>
        <w:t>Source:</w:t>
      </w:r>
      <w:r>
        <w:tab/>
        <w:t>AER analysis</w:t>
      </w:r>
      <w:r w:rsidR="00213E04">
        <w:t>.</w:t>
      </w:r>
    </w:p>
    <w:p w:rsidR="00D816A7" w:rsidRDefault="00544F74" w:rsidP="00D816A7">
      <w:pPr>
        <w:pStyle w:val="AERtablesource"/>
      </w:pPr>
      <w:r>
        <w:t>(a)</w:t>
      </w:r>
      <w:r w:rsidR="00D816A7">
        <w:tab/>
      </w:r>
      <w:r w:rsidR="00F66F73">
        <w:t>C</w:t>
      </w:r>
      <w:r w:rsidR="00D816A7">
        <w:t xml:space="preserve">apex for </w:t>
      </w:r>
      <w:r w:rsidR="00F66F73">
        <w:t xml:space="preserve">the </w:t>
      </w:r>
      <w:r w:rsidR="00D816A7">
        <w:t xml:space="preserve">TAB includes capital contributions and is calculated as gross </w:t>
      </w:r>
      <w:r>
        <w:t>c</w:t>
      </w:r>
      <w:r w:rsidR="00D816A7">
        <w:t>apex less disposals.</w:t>
      </w:r>
    </w:p>
    <w:p w:rsidR="00BD0BE1" w:rsidRDefault="006F37F5" w:rsidP="00BD0BE1">
      <w:pPr>
        <w:pStyle w:val="AERbodytext"/>
      </w:pPr>
      <w:r>
        <w:fldChar w:fldCharType="begin"/>
      </w:r>
      <w:r>
        <w:instrText xml:space="preserve"> REF _Ref399924210 \h </w:instrText>
      </w:r>
      <w:r>
        <w:fldChar w:fldCharType="separate"/>
      </w:r>
      <w:r w:rsidR="005F7062">
        <w:t>Table 8</w:t>
      </w:r>
      <w:r w:rsidR="005F7062">
        <w:noBreakHyphen/>
      </w:r>
      <w:r w:rsidR="005F7062">
        <w:rPr>
          <w:noProof/>
        </w:rPr>
        <w:t>6</w:t>
      </w:r>
      <w:r>
        <w:fldChar w:fldCharType="end"/>
      </w:r>
      <w:r w:rsidR="006F4166">
        <w:t xml:space="preserve"> </w:t>
      </w:r>
      <w:r w:rsidR="00BD0BE1">
        <w:t xml:space="preserve">compares the difference between Ausgrid's proposed </w:t>
      </w:r>
      <w:r w:rsidR="00F66F73">
        <w:t xml:space="preserve">transmission </w:t>
      </w:r>
      <w:r w:rsidR="00BD0BE1">
        <w:t xml:space="preserve">opening TAB and the approved opening TAB as at 1 July 2009 with the difference between actual and </w:t>
      </w:r>
      <w:r w:rsidR="00F66F73">
        <w:t>estimated</w:t>
      </w:r>
      <w:r w:rsidR="00BD0BE1">
        <w:t xml:space="preserve"> capex </w:t>
      </w:r>
      <w:r w:rsidR="00F66F73">
        <w:t>for</w:t>
      </w:r>
      <w:r w:rsidR="00BD0BE1">
        <w:t xml:space="preserve"> 2008–09.</w:t>
      </w:r>
    </w:p>
    <w:p w:rsidR="00BD0BE1" w:rsidRDefault="00BD0BE1" w:rsidP="006F4166">
      <w:pPr>
        <w:pStyle w:val="Caption"/>
      </w:pPr>
      <w:bookmarkStart w:id="28" w:name="_Ref399924210"/>
      <w:r>
        <w:t xml:space="preserve">Table </w:t>
      </w:r>
      <w:r w:rsidR="00213E04">
        <w:t>8</w:t>
      </w:r>
      <w:r>
        <w:noBreakHyphen/>
      </w:r>
      <w:fldSimple w:instr=" SEQ Table \* ARABIC \s 1 ">
        <w:r w:rsidR="005F7062">
          <w:rPr>
            <w:noProof/>
          </w:rPr>
          <w:t>6</w:t>
        </w:r>
      </w:fldSimple>
      <w:bookmarkEnd w:id="28"/>
      <w:r>
        <w:tab/>
        <w:t xml:space="preserve">Ausgrid's opening TAB as at 1 July 2009: </w:t>
      </w:r>
      <w:r w:rsidR="00F46708">
        <w:t>a</w:t>
      </w:r>
      <w:r>
        <w:t>pproved vs proposed and difference between 2008–09 actual and forecast capex ($million, nominal)</w:t>
      </w:r>
      <w:r w:rsidR="006F4166">
        <w:t xml:space="preserve"> </w:t>
      </w:r>
      <w:r w:rsidR="00F66F73">
        <w:t>–</w:t>
      </w:r>
      <w:r w:rsidR="006F4166">
        <w:t xml:space="preserve"> transmission</w:t>
      </w:r>
    </w:p>
    <w:tbl>
      <w:tblPr>
        <w:tblStyle w:val="AERtable-numbers"/>
        <w:tblW w:w="4884" w:type="pct"/>
        <w:tblLayout w:type="fixed"/>
        <w:tblLook w:val="04A0" w:firstRow="1" w:lastRow="0" w:firstColumn="1" w:lastColumn="0" w:noHBand="0" w:noVBand="1"/>
      </w:tblPr>
      <w:tblGrid>
        <w:gridCol w:w="5825"/>
        <w:gridCol w:w="2427"/>
        <w:gridCol w:w="388"/>
        <w:gridCol w:w="388"/>
      </w:tblGrid>
      <w:tr w:rsidR="00BD0BE1" w:rsidRPr="0052303D" w:rsidTr="00F66F73">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26" w:type="pct"/>
            <w:noWrap/>
            <w:hideMark/>
          </w:tcPr>
          <w:p w:rsidR="00BD0BE1" w:rsidRPr="00BD0BE1" w:rsidRDefault="00BD0BE1" w:rsidP="00F66F73">
            <w:pPr>
              <w:pStyle w:val="AERtabletextleft"/>
            </w:pPr>
            <w:r w:rsidRPr="0052303D">
              <w:t> </w:t>
            </w:r>
            <w:r w:rsidRPr="00BD0BE1">
              <w:t xml:space="preserve">Ausgrid's </w:t>
            </w:r>
            <w:r w:rsidR="00F66F73">
              <w:t>t</w:t>
            </w:r>
            <w:r>
              <w:t xml:space="preserve">ransmission  network  </w:t>
            </w:r>
            <w:r w:rsidR="00F66F73">
              <w:t>–</w:t>
            </w:r>
            <w:r>
              <w:t xml:space="preserve"> </w:t>
            </w:r>
            <w:r w:rsidRPr="00BD0BE1">
              <w:t xml:space="preserve"> </w:t>
            </w:r>
            <w:r w:rsidR="00F66F73">
              <w:t>t</w:t>
            </w:r>
            <w:r w:rsidRPr="00BD0BE1">
              <w:t xml:space="preserve">ax </w:t>
            </w:r>
            <w:r w:rsidR="00F66F73">
              <w:t>a</w:t>
            </w:r>
            <w:r w:rsidRPr="00BD0BE1">
              <w:t xml:space="preserve">sset </w:t>
            </w:r>
            <w:r w:rsidR="00F66F73">
              <w:t>b</w:t>
            </w:r>
            <w:r w:rsidRPr="00BD0BE1">
              <w:t>ase</w:t>
            </w:r>
          </w:p>
        </w:tc>
        <w:tc>
          <w:tcPr>
            <w:tcW w:w="1344" w:type="pct"/>
            <w:noWrap/>
            <w:hideMark/>
          </w:tcPr>
          <w:p w:rsidR="00BD0BE1" w:rsidRPr="00BD0BE1" w:rsidRDefault="00BD0BE1" w:rsidP="00BD0BE1">
            <w:pPr>
              <w:pStyle w:val="AERtabletextright"/>
              <w:cnfStyle w:val="100000000000" w:firstRow="1" w:lastRow="0" w:firstColumn="0" w:lastColumn="0" w:oddVBand="0" w:evenVBand="0" w:oddHBand="0" w:evenHBand="0" w:firstRowFirstColumn="0" w:firstRowLastColumn="0" w:lastRowFirstColumn="0" w:lastRowLastColumn="0"/>
            </w:pPr>
          </w:p>
        </w:tc>
        <w:tc>
          <w:tcPr>
            <w:tcW w:w="215" w:type="pct"/>
            <w:noWrap/>
            <w:hideMark/>
          </w:tcPr>
          <w:p w:rsidR="00BD0BE1" w:rsidRPr="000F51DE" w:rsidRDefault="00BD0BE1" w:rsidP="00BD0BE1">
            <w:pPr>
              <w:pStyle w:val="AERtabletextright"/>
              <w:cnfStyle w:val="100000000000" w:firstRow="1" w:lastRow="0" w:firstColumn="0" w:lastColumn="0" w:oddVBand="0" w:evenVBand="0" w:oddHBand="0" w:evenHBand="0" w:firstRowFirstColumn="0" w:firstRowLastColumn="0" w:lastRowFirstColumn="0" w:lastRowLastColumn="0"/>
            </w:pPr>
          </w:p>
        </w:tc>
        <w:tc>
          <w:tcPr>
            <w:tcW w:w="215" w:type="pct"/>
            <w:noWrap/>
            <w:hideMark/>
          </w:tcPr>
          <w:p w:rsidR="00BD0BE1" w:rsidRPr="000F51DE" w:rsidRDefault="00BD0BE1" w:rsidP="00BD0BE1">
            <w:pPr>
              <w:pStyle w:val="AERtabletextright"/>
              <w:cnfStyle w:val="100000000000" w:firstRow="1" w:lastRow="0" w:firstColumn="0" w:lastColumn="0" w:oddVBand="0" w:evenVBand="0" w:oddHBand="0" w:evenHBand="0" w:firstRowFirstColumn="0" w:firstRowLastColumn="0" w:lastRowFirstColumn="0" w:lastRowLastColumn="0"/>
            </w:pPr>
          </w:p>
        </w:tc>
      </w:tr>
      <w:tr w:rsidR="00BD0BE1" w:rsidRPr="00883926" w:rsidTr="00F66F73">
        <w:trPr>
          <w:trHeight w:val="313"/>
        </w:trPr>
        <w:tc>
          <w:tcPr>
            <w:cnfStyle w:val="001000000000" w:firstRow="0" w:lastRow="0" w:firstColumn="1" w:lastColumn="0" w:oddVBand="0" w:evenVBand="0" w:oddHBand="0" w:evenHBand="0" w:firstRowFirstColumn="0" w:firstRowLastColumn="0" w:lastRowFirstColumn="0" w:lastRowLastColumn="0"/>
            <w:tcW w:w="3226" w:type="pct"/>
            <w:noWrap/>
            <w:hideMark/>
          </w:tcPr>
          <w:p w:rsidR="00BD0BE1" w:rsidRPr="00164706" w:rsidRDefault="00BD0BE1" w:rsidP="00306AC8">
            <w:pPr>
              <w:pStyle w:val="AERtabletextleft"/>
              <w:rPr>
                <w:rStyle w:val="AERtextbold"/>
                <w:b w:val="0"/>
              </w:rPr>
            </w:pPr>
            <w:r w:rsidRPr="00164706">
              <w:rPr>
                <w:rStyle w:val="AERtextbold"/>
                <w:b w:val="0"/>
              </w:rPr>
              <w:t xml:space="preserve">Ausgrid proposed opening TAB </w:t>
            </w:r>
            <w:r w:rsidRPr="00164706">
              <w:rPr>
                <w:rStyle w:val="AERtextbold"/>
                <w:rFonts w:hint="eastAsia"/>
                <w:b w:val="0"/>
              </w:rPr>
              <w:t>–</w:t>
            </w:r>
            <w:r w:rsidRPr="00164706">
              <w:rPr>
                <w:rStyle w:val="AERtextbold"/>
                <w:b w:val="0"/>
              </w:rPr>
              <w:t xml:space="preserve">  1 July 2009</w:t>
            </w:r>
          </w:p>
        </w:tc>
        <w:tc>
          <w:tcPr>
            <w:tcW w:w="1344" w:type="pct"/>
            <w:noWrap/>
            <w:vAlign w:val="bottom"/>
          </w:tcPr>
          <w:p w:rsidR="00BD0BE1" w:rsidRPr="00164706" w:rsidRDefault="00BD0BE1" w:rsidP="00306AC8">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164706">
              <w:rPr>
                <w:rStyle w:val="AERtextbold"/>
                <w:b w:val="0"/>
              </w:rPr>
              <w:t>645.9</w:t>
            </w:r>
          </w:p>
        </w:tc>
        <w:tc>
          <w:tcPr>
            <w:tcW w:w="215" w:type="pct"/>
            <w:noWrap/>
            <w:vAlign w:val="bottom"/>
          </w:tcPr>
          <w:p w:rsidR="00BD0BE1" w:rsidRPr="00BD0BE1" w:rsidRDefault="00BD0BE1" w:rsidP="00BD0BE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215" w:type="pct"/>
            <w:noWrap/>
            <w:vAlign w:val="bottom"/>
          </w:tcPr>
          <w:p w:rsidR="00BD0BE1" w:rsidRPr="00883926" w:rsidRDefault="00BD0BE1" w:rsidP="00BD0BE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BD0BE1" w:rsidRPr="0052303D" w:rsidTr="00F66F73">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26" w:type="pct"/>
            <w:noWrap/>
            <w:hideMark/>
          </w:tcPr>
          <w:p w:rsidR="00BD0BE1" w:rsidRPr="00164706" w:rsidRDefault="00BD0BE1" w:rsidP="00306AC8">
            <w:pPr>
              <w:pStyle w:val="AERtabletextleft"/>
              <w:jc w:val="both"/>
              <w:rPr>
                <w:rStyle w:val="AERtextbold"/>
                <w:b w:val="0"/>
              </w:rPr>
            </w:pPr>
            <w:r w:rsidRPr="00164706">
              <w:rPr>
                <w:rStyle w:val="AERtextbold"/>
                <w:b w:val="0"/>
              </w:rPr>
              <w:t xml:space="preserve">Ausgrid approved opening TAB </w:t>
            </w:r>
            <w:r w:rsidRPr="00164706">
              <w:rPr>
                <w:rStyle w:val="AERtextbold"/>
                <w:rFonts w:hint="eastAsia"/>
                <w:b w:val="0"/>
              </w:rPr>
              <w:t>–</w:t>
            </w:r>
            <w:r w:rsidRPr="00164706">
              <w:rPr>
                <w:rStyle w:val="AERtextbold"/>
                <w:b w:val="0"/>
              </w:rPr>
              <w:t xml:space="preserve"> 1 July 2009</w:t>
            </w:r>
          </w:p>
        </w:tc>
        <w:tc>
          <w:tcPr>
            <w:tcW w:w="1344" w:type="pct"/>
            <w:noWrap/>
            <w:vAlign w:val="bottom"/>
          </w:tcPr>
          <w:p w:rsidR="00BD0BE1" w:rsidRPr="00BD0BE1" w:rsidRDefault="00BD0BE1" w:rsidP="00BD0BE1">
            <w:pPr>
              <w:pStyle w:val="AERtabletextright"/>
              <w:cnfStyle w:val="000000010000" w:firstRow="0" w:lastRow="0" w:firstColumn="0" w:lastColumn="0" w:oddVBand="0" w:evenVBand="0" w:oddHBand="0" w:evenHBand="1" w:firstRowFirstColumn="0" w:firstRowLastColumn="0" w:lastRowFirstColumn="0" w:lastRowLastColumn="0"/>
            </w:pPr>
            <w:r>
              <w:t>634.9</w:t>
            </w:r>
          </w:p>
        </w:tc>
        <w:tc>
          <w:tcPr>
            <w:tcW w:w="215" w:type="pct"/>
            <w:noWrap/>
            <w:vAlign w:val="bottom"/>
          </w:tcPr>
          <w:p w:rsidR="00BD0BE1" w:rsidRPr="00D816A7" w:rsidRDefault="00BD0BE1" w:rsidP="00BD0BE1">
            <w:pPr>
              <w:pStyle w:val="AERtabletextright"/>
              <w:cnfStyle w:val="000000010000" w:firstRow="0" w:lastRow="0" w:firstColumn="0" w:lastColumn="0" w:oddVBand="0" w:evenVBand="0" w:oddHBand="0" w:evenHBand="1" w:firstRowFirstColumn="0" w:firstRowLastColumn="0" w:lastRowFirstColumn="0" w:lastRowLastColumn="0"/>
            </w:pPr>
          </w:p>
        </w:tc>
        <w:tc>
          <w:tcPr>
            <w:tcW w:w="215" w:type="pct"/>
            <w:noWrap/>
            <w:vAlign w:val="bottom"/>
          </w:tcPr>
          <w:p w:rsidR="00BD0BE1" w:rsidRPr="00883926" w:rsidRDefault="00BD0BE1" w:rsidP="00BD0BE1">
            <w:pPr>
              <w:pStyle w:val="AERtabletextright"/>
              <w:cnfStyle w:val="000000010000" w:firstRow="0" w:lastRow="0" w:firstColumn="0" w:lastColumn="0" w:oddVBand="0" w:evenVBand="0" w:oddHBand="0" w:evenHBand="1" w:firstRowFirstColumn="0" w:firstRowLastColumn="0" w:lastRowFirstColumn="0" w:lastRowLastColumn="0"/>
            </w:pPr>
          </w:p>
        </w:tc>
      </w:tr>
      <w:tr w:rsidR="00BD0BE1" w:rsidRPr="0052303D" w:rsidTr="00F66F73">
        <w:trPr>
          <w:trHeight w:val="313"/>
        </w:trPr>
        <w:tc>
          <w:tcPr>
            <w:cnfStyle w:val="001000000000" w:firstRow="0" w:lastRow="0" w:firstColumn="1" w:lastColumn="0" w:oddVBand="0" w:evenVBand="0" w:oddHBand="0" w:evenHBand="0" w:firstRowFirstColumn="0" w:firstRowLastColumn="0" w:lastRowFirstColumn="0" w:lastRowLastColumn="0"/>
            <w:tcW w:w="3226" w:type="pct"/>
            <w:noWrap/>
            <w:hideMark/>
          </w:tcPr>
          <w:p w:rsidR="00BD0BE1" w:rsidRPr="00BD0BE1" w:rsidRDefault="00BD0BE1" w:rsidP="00BD0BE1">
            <w:pPr>
              <w:pStyle w:val="AERtabletextleft"/>
              <w:rPr>
                <w:rStyle w:val="AERtextbold"/>
              </w:rPr>
            </w:pPr>
            <w:r w:rsidRPr="00BD0BE1">
              <w:rPr>
                <w:rStyle w:val="AERtextbold"/>
              </w:rPr>
              <w:t>Difference</w:t>
            </w:r>
          </w:p>
        </w:tc>
        <w:tc>
          <w:tcPr>
            <w:tcW w:w="1344" w:type="pct"/>
            <w:noWrap/>
            <w:vAlign w:val="bottom"/>
          </w:tcPr>
          <w:p w:rsidR="00BD0BE1" w:rsidRPr="00BD0BE1" w:rsidRDefault="00BD0BE1" w:rsidP="00BD0BE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816A7">
              <w:rPr>
                <w:rStyle w:val="AERtextbold"/>
              </w:rPr>
              <w:t>1</w:t>
            </w:r>
            <w:r>
              <w:rPr>
                <w:rStyle w:val="AERtextbold"/>
              </w:rPr>
              <w:t>1</w:t>
            </w:r>
            <w:r w:rsidRPr="00BD0BE1">
              <w:rPr>
                <w:rStyle w:val="AERtextbold"/>
              </w:rPr>
              <w:t>.0</w:t>
            </w:r>
          </w:p>
        </w:tc>
        <w:tc>
          <w:tcPr>
            <w:tcW w:w="215" w:type="pct"/>
            <w:noWrap/>
            <w:vAlign w:val="bottom"/>
          </w:tcPr>
          <w:p w:rsidR="00BD0BE1" w:rsidRPr="00D816A7" w:rsidRDefault="00BD0BE1" w:rsidP="00BD0BE1">
            <w:pPr>
              <w:pStyle w:val="AERtabletextright"/>
              <w:cnfStyle w:val="000000000000" w:firstRow="0" w:lastRow="0" w:firstColumn="0" w:lastColumn="0" w:oddVBand="0" w:evenVBand="0" w:oddHBand="0" w:evenHBand="0" w:firstRowFirstColumn="0" w:firstRowLastColumn="0" w:lastRowFirstColumn="0" w:lastRowLastColumn="0"/>
            </w:pPr>
          </w:p>
        </w:tc>
        <w:tc>
          <w:tcPr>
            <w:tcW w:w="215" w:type="pct"/>
            <w:noWrap/>
            <w:vAlign w:val="bottom"/>
          </w:tcPr>
          <w:p w:rsidR="00BD0BE1" w:rsidRPr="00883926" w:rsidRDefault="00BD0BE1" w:rsidP="00BD0BE1">
            <w:pPr>
              <w:pStyle w:val="AERtabletextright"/>
              <w:cnfStyle w:val="000000000000" w:firstRow="0" w:lastRow="0" w:firstColumn="0" w:lastColumn="0" w:oddVBand="0" w:evenVBand="0" w:oddHBand="0" w:evenHBand="0" w:firstRowFirstColumn="0" w:firstRowLastColumn="0" w:lastRowFirstColumn="0" w:lastRowLastColumn="0"/>
            </w:pPr>
          </w:p>
        </w:tc>
      </w:tr>
      <w:tr w:rsidR="00BD0BE1" w:rsidRPr="00883926" w:rsidTr="00F66F73">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26" w:type="pct"/>
            <w:noWrap/>
            <w:hideMark/>
          </w:tcPr>
          <w:p w:rsidR="00BD0BE1" w:rsidRPr="00306AC8" w:rsidRDefault="00BD0BE1" w:rsidP="00F66F73">
            <w:pPr>
              <w:pStyle w:val="AERtabletextleft"/>
              <w:rPr>
                <w:rStyle w:val="AERtextbold"/>
                <w:b w:val="0"/>
              </w:rPr>
            </w:pPr>
            <w:r w:rsidRPr="00306AC8">
              <w:rPr>
                <w:rStyle w:val="AERtextbold"/>
                <w:b w:val="0"/>
              </w:rPr>
              <w:t>Actual capex 2008</w:t>
            </w:r>
            <w:r w:rsidRPr="00164706">
              <w:rPr>
                <w:rStyle w:val="AERtextbold"/>
                <w:rFonts w:hint="eastAsia"/>
                <w:b w:val="0"/>
              </w:rPr>
              <w:t>–</w:t>
            </w:r>
            <w:r w:rsidRPr="00164706">
              <w:rPr>
                <w:rStyle w:val="AERtextbold"/>
                <w:b w:val="0"/>
              </w:rPr>
              <w:t>09</w:t>
            </w:r>
            <w:r w:rsidR="00F66F73">
              <w:rPr>
                <w:rStyle w:val="AERsuperscript"/>
              </w:rPr>
              <w:t>a</w:t>
            </w:r>
            <w:r w:rsidRPr="00306AC8">
              <w:rPr>
                <w:rStyle w:val="AERsuperscript"/>
                <w:vertAlign w:val="baseline"/>
              </w:rPr>
              <w:t>,</w:t>
            </w:r>
          </w:p>
        </w:tc>
        <w:tc>
          <w:tcPr>
            <w:tcW w:w="1344" w:type="pct"/>
            <w:noWrap/>
            <w:vAlign w:val="bottom"/>
          </w:tcPr>
          <w:p w:rsidR="00BD0BE1" w:rsidRPr="00164706" w:rsidRDefault="00BD0BE1" w:rsidP="00306AC8">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164706">
              <w:rPr>
                <w:rStyle w:val="AERtextbold"/>
                <w:b w:val="0"/>
              </w:rPr>
              <w:t>96.8</w:t>
            </w:r>
          </w:p>
        </w:tc>
        <w:tc>
          <w:tcPr>
            <w:tcW w:w="215" w:type="pct"/>
            <w:noWrap/>
            <w:vAlign w:val="bottom"/>
          </w:tcPr>
          <w:p w:rsidR="00BD0BE1" w:rsidRPr="00164706" w:rsidRDefault="00BD0BE1" w:rsidP="00306AC8">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p>
        </w:tc>
        <w:tc>
          <w:tcPr>
            <w:tcW w:w="215" w:type="pct"/>
            <w:noWrap/>
            <w:vAlign w:val="bottom"/>
          </w:tcPr>
          <w:p w:rsidR="00BD0BE1" w:rsidRPr="00883926" w:rsidRDefault="00BD0BE1" w:rsidP="00BD0BE1">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r>
      <w:tr w:rsidR="00BD0BE1" w:rsidRPr="0052303D" w:rsidTr="00F66F73">
        <w:trPr>
          <w:trHeight w:val="313"/>
        </w:trPr>
        <w:tc>
          <w:tcPr>
            <w:cnfStyle w:val="001000000000" w:firstRow="0" w:lastRow="0" w:firstColumn="1" w:lastColumn="0" w:oddVBand="0" w:evenVBand="0" w:oddHBand="0" w:evenHBand="0" w:firstRowFirstColumn="0" w:firstRowLastColumn="0" w:lastRowFirstColumn="0" w:lastRowLastColumn="0"/>
            <w:tcW w:w="3226" w:type="pct"/>
            <w:noWrap/>
            <w:vAlign w:val="bottom"/>
          </w:tcPr>
          <w:p w:rsidR="00BD0BE1" w:rsidRPr="00F66F73" w:rsidRDefault="00BD0BE1" w:rsidP="00F66F73">
            <w:pPr>
              <w:pStyle w:val="AERtabletextleft"/>
            </w:pPr>
            <w:r w:rsidRPr="00306AC8">
              <w:rPr>
                <w:rStyle w:val="AERtextbold"/>
                <w:b w:val="0"/>
              </w:rPr>
              <w:t>Estimated capex 2008</w:t>
            </w:r>
            <w:r w:rsidRPr="00306AC8">
              <w:rPr>
                <w:rStyle w:val="AERtextbold"/>
                <w:rFonts w:hint="eastAsia"/>
                <w:b w:val="0"/>
              </w:rPr>
              <w:t>–</w:t>
            </w:r>
            <w:r w:rsidRPr="00306AC8">
              <w:rPr>
                <w:rStyle w:val="AERtextbold"/>
                <w:b w:val="0"/>
              </w:rPr>
              <w:t>09</w:t>
            </w:r>
            <w:r w:rsidR="00F66F73">
              <w:rPr>
                <w:rStyle w:val="AERsuperscript"/>
              </w:rPr>
              <w:t>a</w:t>
            </w:r>
          </w:p>
        </w:tc>
        <w:tc>
          <w:tcPr>
            <w:tcW w:w="1344" w:type="pct"/>
            <w:noWrap/>
          </w:tcPr>
          <w:p w:rsidR="00BD0BE1" w:rsidRPr="00164706" w:rsidRDefault="00BD0BE1" w:rsidP="00306AC8">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164706">
              <w:rPr>
                <w:rStyle w:val="AERtextbold"/>
                <w:b w:val="0"/>
              </w:rPr>
              <w:t>160.4</w:t>
            </w:r>
          </w:p>
        </w:tc>
        <w:tc>
          <w:tcPr>
            <w:tcW w:w="215" w:type="pct"/>
            <w:noWrap/>
          </w:tcPr>
          <w:p w:rsidR="00BD0BE1" w:rsidRPr="00164706" w:rsidRDefault="00BD0BE1" w:rsidP="00306AC8">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p>
        </w:tc>
        <w:tc>
          <w:tcPr>
            <w:tcW w:w="215" w:type="pct"/>
            <w:noWrap/>
          </w:tcPr>
          <w:p w:rsidR="00BD0BE1" w:rsidRPr="00883926" w:rsidRDefault="00BD0BE1" w:rsidP="00BD0BE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BD0BE1" w:rsidRPr="00883926" w:rsidTr="00F66F73">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26" w:type="pct"/>
            <w:noWrap/>
            <w:vAlign w:val="bottom"/>
          </w:tcPr>
          <w:p w:rsidR="00BD0BE1" w:rsidRPr="00BD0BE1" w:rsidRDefault="00BD0BE1" w:rsidP="00BD0BE1">
            <w:pPr>
              <w:pStyle w:val="AERtabletextleft"/>
              <w:rPr>
                <w:rStyle w:val="AERtextbold"/>
              </w:rPr>
            </w:pPr>
            <w:r>
              <w:rPr>
                <w:rStyle w:val="AERtextbold"/>
              </w:rPr>
              <w:t>Difference</w:t>
            </w:r>
          </w:p>
        </w:tc>
        <w:tc>
          <w:tcPr>
            <w:tcW w:w="1344" w:type="pct"/>
            <w:noWrap/>
          </w:tcPr>
          <w:p w:rsidR="00BD0BE1" w:rsidRPr="00BD0BE1" w:rsidRDefault="00BD0BE1" w:rsidP="00BD0BE1">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–63.6</w:t>
            </w:r>
          </w:p>
        </w:tc>
        <w:tc>
          <w:tcPr>
            <w:tcW w:w="215" w:type="pct"/>
            <w:noWrap/>
          </w:tcPr>
          <w:p w:rsidR="00BD0BE1" w:rsidRPr="00BD0BE1" w:rsidRDefault="00BD0BE1" w:rsidP="00BD0BE1">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15" w:type="pct"/>
            <w:noWrap/>
            <w:vAlign w:val="bottom"/>
          </w:tcPr>
          <w:p w:rsidR="00BD0BE1" w:rsidRPr="00C4765D" w:rsidRDefault="00BD0BE1" w:rsidP="00BD0BE1">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r>
    </w:tbl>
    <w:p w:rsidR="00BD0BE1" w:rsidRDefault="00BD0BE1" w:rsidP="00BD0BE1">
      <w:pPr>
        <w:pStyle w:val="AERtablesource"/>
      </w:pPr>
      <w:r>
        <w:t>Source:</w:t>
      </w:r>
      <w:r>
        <w:tab/>
        <w:t>AER analysis</w:t>
      </w:r>
      <w:r w:rsidR="00213E04">
        <w:t>.</w:t>
      </w:r>
    </w:p>
    <w:p w:rsidR="00BD0BE1" w:rsidRDefault="00BD0BE1" w:rsidP="00BD0BE1">
      <w:pPr>
        <w:pStyle w:val="AERtablesource"/>
      </w:pPr>
      <w:r>
        <w:t>(a)</w:t>
      </w:r>
      <w:r>
        <w:tab/>
        <w:t>Actual capex for TAB includes capital contributions and is calculated as gross capex less disposals</w:t>
      </w:r>
      <w:r w:rsidR="00213E04">
        <w:t>.</w:t>
      </w:r>
    </w:p>
    <w:p w:rsidR="000F51DE" w:rsidRDefault="00306AC8" w:rsidP="00394BDB">
      <w:pPr>
        <w:pStyle w:val="AERbodytext"/>
      </w:pPr>
      <w:r>
        <w:t>Based on the above, w</w:t>
      </w:r>
      <w:r w:rsidR="00B56642">
        <w:t xml:space="preserve">e consider the </w:t>
      </w:r>
      <w:r>
        <w:t xml:space="preserve">proposed </w:t>
      </w:r>
      <w:r w:rsidR="00B56642">
        <w:t>opening TAB</w:t>
      </w:r>
      <w:r>
        <w:t>s</w:t>
      </w:r>
      <w:r w:rsidR="00B56642">
        <w:t xml:space="preserve"> as at 1 July 2009 should </w:t>
      </w:r>
      <w:r>
        <w:t xml:space="preserve">be adjusted to properly </w:t>
      </w:r>
      <w:r w:rsidR="00B56642">
        <w:t>reflect the difference between the actual and estimated capex for 2008–09.</w:t>
      </w:r>
      <w:r w:rsidR="00C77622">
        <w:t xml:space="preserve"> </w:t>
      </w:r>
      <w:r w:rsidR="005373C0">
        <w:t>For Ausgrid's distribution opening TAB as at 1 July 2009 we added $296.5 million ($ nominal</w:t>
      </w:r>
      <w:r w:rsidR="00E93A50">
        <w:t>)</w:t>
      </w:r>
      <w:r w:rsidR="005373C0">
        <w:t xml:space="preserve"> to reflect the capex overspend. For Ausgrid's transmission opening TAB as at 1 July 2009 we removed the capex underspend of $63.6 million ($ nominal). </w:t>
      </w:r>
      <w:r w:rsidR="00E7635F">
        <w:t xml:space="preserve">We </w:t>
      </w:r>
      <w:r w:rsidR="000943C2">
        <w:t xml:space="preserve">therefore </w:t>
      </w:r>
      <w:r w:rsidR="00CD38C5">
        <w:t>determine</w:t>
      </w:r>
      <w:r w:rsidR="00E7635F">
        <w:t xml:space="preserve"> opening TAB</w:t>
      </w:r>
      <w:r w:rsidR="006F4166">
        <w:t>s</w:t>
      </w:r>
      <w:r w:rsidR="00E7635F">
        <w:t xml:space="preserve"> of $4659</w:t>
      </w:r>
      <w:r w:rsidR="00324526">
        <w:t>.4</w:t>
      </w:r>
      <w:r w:rsidR="00E7635F">
        <w:t xml:space="preserve"> million </w:t>
      </w:r>
      <w:r w:rsidR="006F4166">
        <w:t xml:space="preserve">and $570.9 </w:t>
      </w:r>
      <w:r>
        <w:t>m</w:t>
      </w:r>
      <w:r w:rsidR="006F4166">
        <w:t xml:space="preserve">illion ($ nominal) </w:t>
      </w:r>
      <w:r w:rsidR="00E7635F">
        <w:t>as at 1 July 2009</w:t>
      </w:r>
      <w:r w:rsidR="006F4166">
        <w:t xml:space="preserve"> for </w:t>
      </w:r>
      <w:r>
        <w:t>Ausgrid's</w:t>
      </w:r>
      <w:r w:rsidR="006F4166">
        <w:t xml:space="preserve"> distribution and transmission network respectively</w:t>
      </w:r>
      <w:r w:rsidR="00E7635F">
        <w:t>.</w:t>
      </w:r>
    </w:p>
    <w:p w:rsidR="000943C2" w:rsidRDefault="000943C2" w:rsidP="005373C0">
      <w:pPr>
        <w:pStyle w:val="HeadingBoldBlue"/>
      </w:pPr>
      <w:r>
        <w:t>Depreciation adjustment 2009</w:t>
      </w:r>
      <w:r w:rsidR="00A45373">
        <w:t>–</w:t>
      </w:r>
      <w:r>
        <w:t>10 to 2013</w:t>
      </w:r>
      <w:r w:rsidR="00A45373">
        <w:t>–</w:t>
      </w:r>
      <w:r>
        <w:t>14</w:t>
      </w:r>
    </w:p>
    <w:p w:rsidR="00C62BB9" w:rsidRDefault="00AC2EAE" w:rsidP="00394BDB">
      <w:pPr>
        <w:pStyle w:val="AERbodytext"/>
      </w:pPr>
      <w:r>
        <w:t>We do not accept Ausgrid's pr</w:t>
      </w:r>
      <w:r w:rsidR="003E4C28">
        <w:t xml:space="preserve">oposed </w:t>
      </w:r>
      <w:r>
        <w:t xml:space="preserve">actual tax depreciation over the </w:t>
      </w:r>
      <w:r w:rsidR="003E4C28">
        <w:t>2009–14 regulatory control period</w:t>
      </w:r>
      <w:r w:rsidR="00541825">
        <w:t xml:space="preserve"> for its distribution and transmission networks.</w:t>
      </w:r>
      <w:r>
        <w:t xml:space="preserve"> </w:t>
      </w:r>
      <w:r w:rsidR="00C62BB9">
        <w:t>This is because of our adjustments to</w:t>
      </w:r>
      <w:r w:rsidR="009A1081">
        <w:t xml:space="preserve"> </w:t>
      </w:r>
      <w:r w:rsidR="006C2288">
        <w:t>Ausgrid's proposed opening TAB</w:t>
      </w:r>
      <w:r w:rsidR="009A1081">
        <w:t>s</w:t>
      </w:r>
      <w:r w:rsidR="006C2288">
        <w:t xml:space="preserve"> </w:t>
      </w:r>
      <w:r w:rsidR="008E6D45">
        <w:t>as at 1 July 2009</w:t>
      </w:r>
      <w:r w:rsidR="00C62BB9">
        <w:t>.</w:t>
      </w:r>
      <w:r w:rsidR="008E6D45">
        <w:t xml:space="preserve"> </w:t>
      </w:r>
    </w:p>
    <w:p w:rsidR="00AC2EAE" w:rsidRDefault="003E4C28" w:rsidP="00394BDB">
      <w:pPr>
        <w:pStyle w:val="AERbodytext"/>
      </w:pPr>
      <w:r>
        <w:t>Our 2009 determination for Ausgrid did not contain remaining tax asset lives for depreciating its opening TAB</w:t>
      </w:r>
      <w:r w:rsidR="00DB44D4">
        <w:t>s</w:t>
      </w:r>
      <w:r>
        <w:t xml:space="preserve"> as at 1 July 2009. Instead, we approved the use of </w:t>
      </w:r>
      <w:r w:rsidR="00CD38C5">
        <w:t>specific</w:t>
      </w:r>
      <w:r>
        <w:t xml:space="preserve"> forecast tax depreciation </w:t>
      </w:r>
      <w:r w:rsidR="00CD38C5">
        <w:lastRenderedPageBreak/>
        <w:t xml:space="preserve">amounts </w:t>
      </w:r>
      <w:r>
        <w:t>for the 2009–14 regulatory control period</w:t>
      </w:r>
      <w:r w:rsidR="00CD38C5">
        <w:t xml:space="preserve"> based on the opening TAB as at 1 July 2009 approved in the 2009 determination</w:t>
      </w:r>
      <w:r>
        <w:t>.</w:t>
      </w:r>
      <w:r>
        <w:rPr>
          <w:rStyle w:val="FootnoteReference"/>
        </w:rPr>
        <w:footnoteReference w:id="10"/>
      </w:r>
      <w:r>
        <w:t xml:space="preserve"> </w:t>
      </w:r>
    </w:p>
    <w:p w:rsidR="000943C2" w:rsidRDefault="00CD38C5" w:rsidP="00394BDB">
      <w:pPr>
        <w:pStyle w:val="AERbodytext"/>
      </w:pPr>
      <w:r>
        <w:t>For this draft decision, w</w:t>
      </w:r>
      <w:r w:rsidR="000943C2">
        <w:t xml:space="preserve">e updated the </w:t>
      </w:r>
      <w:r w:rsidR="003E4C28">
        <w:t xml:space="preserve">forecast tax </w:t>
      </w:r>
      <w:r w:rsidR="000943C2">
        <w:t>depreciation on the approved opening TAB</w:t>
      </w:r>
      <w:r w:rsidR="00541825">
        <w:t>s</w:t>
      </w:r>
      <w:r w:rsidR="000943C2">
        <w:t xml:space="preserve"> as at 1 July 2009 </w:t>
      </w:r>
      <w:r>
        <w:t xml:space="preserve">to account </w:t>
      </w:r>
      <w:r w:rsidR="000943C2">
        <w:t xml:space="preserve">for </w:t>
      </w:r>
      <w:r w:rsidR="00AC2EAE">
        <w:t xml:space="preserve">actual </w:t>
      </w:r>
      <w:r w:rsidR="003E4C28">
        <w:t xml:space="preserve">capex </w:t>
      </w:r>
      <w:r w:rsidR="00AC2EAE">
        <w:t>for</w:t>
      </w:r>
      <w:r w:rsidR="000943C2">
        <w:t xml:space="preserve"> 2008–09. </w:t>
      </w:r>
      <w:r w:rsidR="00CE4C3E">
        <w:t>To</w:t>
      </w:r>
      <w:r w:rsidR="001F7938">
        <w:t xml:space="preserve"> adjust </w:t>
      </w:r>
      <w:r w:rsidR="000943C2">
        <w:t xml:space="preserve">the forecast </w:t>
      </w:r>
      <w:r>
        <w:t xml:space="preserve">tax </w:t>
      </w:r>
      <w:r w:rsidR="000943C2">
        <w:t xml:space="preserve">depreciation on the opening TAB </w:t>
      </w:r>
      <w:r>
        <w:t xml:space="preserve">as at 1 July 2009 </w:t>
      </w:r>
      <w:r w:rsidR="00CF048E">
        <w:t xml:space="preserve">over the 2009–14 period </w:t>
      </w:r>
      <w:r w:rsidR="00AC2EAE">
        <w:t xml:space="preserve">to reflect actual capex </w:t>
      </w:r>
      <w:r w:rsidR="000943C2">
        <w:t>we:</w:t>
      </w:r>
    </w:p>
    <w:p w:rsidR="000943C2" w:rsidRDefault="001F7938" w:rsidP="000943C2">
      <w:pPr>
        <w:pStyle w:val="AERbulletlistfirststyle"/>
      </w:pPr>
      <w:r>
        <w:t>c</w:t>
      </w:r>
      <w:r w:rsidR="000943C2">
        <w:t xml:space="preserve">alculated the difference between the </w:t>
      </w:r>
      <w:r>
        <w:t xml:space="preserve">actual and </w:t>
      </w:r>
      <w:r w:rsidR="00CD38C5">
        <w:t>estimated</w:t>
      </w:r>
      <w:r w:rsidR="000943C2">
        <w:t xml:space="preserve"> capex (net of </w:t>
      </w:r>
      <w:r w:rsidR="00F77817">
        <w:t xml:space="preserve">asset </w:t>
      </w:r>
      <w:r w:rsidR="000943C2">
        <w:t>disposals</w:t>
      </w:r>
      <w:r>
        <w:t xml:space="preserve">) </w:t>
      </w:r>
      <w:r w:rsidR="00CD38C5">
        <w:t>for</w:t>
      </w:r>
      <w:r>
        <w:t xml:space="preserve"> 2008–09 for each asset class</w:t>
      </w:r>
    </w:p>
    <w:p w:rsidR="001F7938" w:rsidRDefault="001F7938" w:rsidP="000943C2">
      <w:pPr>
        <w:pStyle w:val="AERbulletlistfirststyle"/>
      </w:pPr>
      <w:r>
        <w:t xml:space="preserve">calculated one year of </w:t>
      </w:r>
      <w:r w:rsidR="00CD38C5">
        <w:t xml:space="preserve">tax </w:t>
      </w:r>
      <w:r>
        <w:t xml:space="preserve">depreciation on the difference between actual and </w:t>
      </w:r>
      <w:r w:rsidR="00CF048E">
        <w:t>estimated</w:t>
      </w:r>
      <w:r>
        <w:t xml:space="preserve"> capex </w:t>
      </w:r>
      <w:r w:rsidR="00CD38C5">
        <w:t xml:space="preserve">for 2008–09 </w:t>
      </w:r>
      <w:r>
        <w:t xml:space="preserve">by dividing </w:t>
      </w:r>
      <w:r w:rsidR="00CD38C5">
        <w:t>with</w:t>
      </w:r>
      <w:r>
        <w:t xml:space="preserve"> the standard tax asset life</w:t>
      </w:r>
    </w:p>
    <w:p w:rsidR="001F7938" w:rsidRDefault="001F7938" w:rsidP="000943C2">
      <w:pPr>
        <w:pStyle w:val="AERbulletlistfirststyle"/>
      </w:pPr>
      <w:r>
        <w:t xml:space="preserve">added </w:t>
      </w:r>
      <w:r w:rsidR="00CE4C3E">
        <w:t xml:space="preserve">one year of </w:t>
      </w:r>
      <w:r w:rsidR="00CD38C5">
        <w:t xml:space="preserve">tax </w:t>
      </w:r>
      <w:r w:rsidR="00CE4C3E">
        <w:t xml:space="preserve">depreciation </w:t>
      </w:r>
      <w:r w:rsidR="00CD38C5">
        <w:t>associated with</w:t>
      </w:r>
      <w:r w:rsidR="00CE4C3E">
        <w:t xml:space="preserve"> the difference between actual and </w:t>
      </w:r>
      <w:r w:rsidR="00CD38C5">
        <w:t>estimated</w:t>
      </w:r>
      <w:r w:rsidR="00CE4C3E">
        <w:t xml:space="preserve"> capex </w:t>
      </w:r>
      <w:r w:rsidR="00CD38C5">
        <w:t xml:space="preserve">for 2008–09 </w:t>
      </w:r>
      <w:r w:rsidR="00CE4C3E">
        <w:t xml:space="preserve">to the </w:t>
      </w:r>
      <w:r>
        <w:t xml:space="preserve">forecast depreciation on the opening TAB </w:t>
      </w:r>
      <w:r w:rsidR="00CD38C5">
        <w:t xml:space="preserve">for </w:t>
      </w:r>
      <w:r>
        <w:t>each year of the 2009–14 regulatory control period.</w:t>
      </w:r>
    </w:p>
    <w:p w:rsidR="00227EFF" w:rsidRDefault="001F7938" w:rsidP="001F7938">
      <w:pPr>
        <w:pStyle w:val="AERbulletlistfirststyle"/>
        <w:numPr>
          <w:ilvl w:val="0"/>
          <w:numId w:val="0"/>
        </w:numPr>
      </w:pPr>
      <w:r>
        <w:t>We consider our appr</w:t>
      </w:r>
      <w:r w:rsidR="00227EFF">
        <w:t xml:space="preserve">oach </w:t>
      </w:r>
      <w:r w:rsidR="00CD38C5">
        <w:t>provides for</w:t>
      </w:r>
      <w:r>
        <w:t xml:space="preserve"> the </w:t>
      </w:r>
      <w:r w:rsidR="00CD38C5">
        <w:t>appropriate amount of tax</w:t>
      </w:r>
      <w:r>
        <w:t xml:space="preserve"> depr</w:t>
      </w:r>
      <w:r w:rsidR="00227EFF">
        <w:t xml:space="preserve">eciation </w:t>
      </w:r>
      <w:r w:rsidR="00CD38C5">
        <w:t xml:space="preserve">associated with </w:t>
      </w:r>
      <w:r>
        <w:t xml:space="preserve">the opening </w:t>
      </w:r>
      <w:r w:rsidR="008A6126">
        <w:t>T</w:t>
      </w:r>
      <w:r>
        <w:t>AB</w:t>
      </w:r>
      <w:r w:rsidR="00541825">
        <w:t>s</w:t>
      </w:r>
      <w:r>
        <w:t xml:space="preserve"> as at 1 July 2009 </w:t>
      </w:r>
      <w:r w:rsidR="00CD38C5">
        <w:t>after adjust</w:t>
      </w:r>
      <w:r w:rsidR="00F77817">
        <w:t>ing</w:t>
      </w:r>
      <w:r w:rsidR="00CD38C5">
        <w:t xml:space="preserve"> </w:t>
      </w:r>
      <w:r w:rsidR="00BA23DE">
        <w:t xml:space="preserve">for actual capex for 2008–09. This is </w:t>
      </w:r>
      <w:r w:rsidR="008A6126">
        <w:t xml:space="preserve">consistent with </w:t>
      </w:r>
      <w:r w:rsidR="00227EFF">
        <w:t>the operation of our RFM</w:t>
      </w:r>
      <w:r w:rsidR="00BA23DE">
        <w:rPr>
          <w:rStyle w:val="FootnoteReference"/>
        </w:rPr>
        <w:footnoteReference w:id="11"/>
      </w:r>
      <w:r w:rsidR="00BA23DE">
        <w:t xml:space="preserve"> and provides a</w:t>
      </w:r>
      <w:r w:rsidR="00C62BB9">
        <w:t>n appropriate</w:t>
      </w:r>
      <w:r w:rsidR="00BA23DE">
        <w:t xml:space="preserve"> estimate of the actual tax depreciation over the 2009–14 regulatory control period</w:t>
      </w:r>
      <w:r w:rsidR="00906D39">
        <w:t>.</w:t>
      </w:r>
      <w:r w:rsidR="00227EFF">
        <w:t xml:space="preserve"> </w:t>
      </w:r>
    </w:p>
    <w:p w:rsidR="001F7938" w:rsidRDefault="00227EFF" w:rsidP="00DB44D4">
      <w:pPr>
        <w:pStyle w:val="HeadingBoldBlue"/>
      </w:pPr>
      <w:r>
        <w:t>Actual capex</w:t>
      </w:r>
      <w:r w:rsidR="001F7938">
        <w:t xml:space="preserve"> </w:t>
      </w:r>
      <w:r>
        <w:t>2009–10 to 2012–13</w:t>
      </w:r>
    </w:p>
    <w:p w:rsidR="00227EFF" w:rsidRDefault="003E21A5" w:rsidP="00227EFF">
      <w:pPr>
        <w:pStyle w:val="AERbodytext"/>
      </w:pPr>
      <w:r>
        <w:t xml:space="preserve">For the reasons discussed in attachment </w:t>
      </w:r>
      <w:r w:rsidR="00B655D7">
        <w:t>2</w:t>
      </w:r>
      <w:r>
        <w:t>, w</w:t>
      </w:r>
      <w:r w:rsidR="00227EFF" w:rsidRPr="00227EFF">
        <w:t xml:space="preserve">e have updated Ausgrid's proposed </w:t>
      </w:r>
      <w:r w:rsidR="000B4382">
        <w:t xml:space="preserve">roll forward </w:t>
      </w:r>
      <w:r w:rsidR="00942628">
        <w:t xml:space="preserve">of its TABs </w:t>
      </w:r>
      <w:r w:rsidR="000B4382">
        <w:t xml:space="preserve">in the </w:t>
      </w:r>
      <w:r w:rsidR="00227EFF" w:rsidRPr="00227EFF">
        <w:t xml:space="preserve">RFM to correct for errors that affect the value of actual net capex from 2009–10 to </w:t>
      </w:r>
      <w:r w:rsidR="00ED1F76">
        <w:br/>
      </w:r>
      <w:r w:rsidR="00227EFF" w:rsidRPr="00227EFF">
        <w:t>2012–13. This in</w:t>
      </w:r>
      <w:r w:rsidR="000B4382">
        <w:t>volved</w:t>
      </w:r>
      <w:r w:rsidR="00227EFF" w:rsidRPr="00227EFF">
        <w:t xml:space="preserve"> updates </w:t>
      </w:r>
      <w:r w:rsidR="000B4382">
        <w:t>for</w:t>
      </w:r>
      <w:r w:rsidR="00227EFF" w:rsidRPr="00227EFF">
        <w:t xml:space="preserve"> the value of actual capex (gross), the value of </w:t>
      </w:r>
      <w:r>
        <w:t xml:space="preserve">asset </w:t>
      </w:r>
      <w:r w:rsidR="00227EFF" w:rsidRPr="00227EFF">
        <w:t>disposals and capital contributions.</w:t>
      </w:r>
      <w:r w:rsidR="00227EFF">
        <w:t xml:space="preserve"> The reasons for the</w:t>
      </w:r>
      <w:r>
        <w:t>se</w:t>
      </w:r>
      <w:r w:rsidR="00227EFF">
        <w:t xml:space="preserve"> amendments to Ausgrid's actual </w:t>
      </w:r>
      <w:r>
        <w:t xml:space="preserve">net </w:t>
      </w:r>
      <w:r w:rsidR="00227EFF">
        <w:t>capex</w:t>
      </w:r>
      <w:r>
        <w:t xml:space="preserve"> inputs</w:t>
      </w:r>
      <w:r w:rsidR="00227EFF">
        <w:t xml:space="preserve"> </w:t>
      </w:r>
      <w:r w:rsidR="006F37F5">
        <w:t xml:space="preserve">for its distribution and transmission networks </w:t>
      </w:r>
      <w:r w:rsidR="00227EFF">
        <w:t>are d</w:t>
      </w:r>
      <w:r>
        <w:t>etailed</w:t>
      </w:r>
      <w:r w:rsidR="00227EFF">
        <w:t xml:space="preserve"> </w:t>
      </w:r>
      <w:r>
        <w:t>further where we discuss</w:t>
      </w:r>
      <w:r w:rsidR="00227EFF">
        <w:t xml:space="preserve"> the </w:t>
      </w:r>
      <w:r w:rsidR="00BC0631">
        <w:t>RAB.</w:t>
      </w:r>
    </w:p>
    <w:p w:rsidR="00227EFF" w:rsidRPr="00227EFF" w:rsidRDefault="00227EFF" w:rsidP="00DB44D4">
      <w:pPr>
        <w:pStyle w:val="HeadingBoldBlue"/>
      </w:pPr>
      <w:r w:rsidRPr="00227EFF">
        <w:t>Estimated capex for 2013</w:t>
      </w:r>
      <w:r w:rsidR="00A45373">
        <w:t>–</w:t>
      </w:r>
      <w:r w:rsidRPr="00227EFF">
        <w:t>14</w:t>
      </w:r>
    </w:p>
    <w:p w:rsidR="00227EFF" w:rsidRDefault="003E21A5" w:rsidP="00BC0631">
      <w:pPr>
        <w:pStyle w:val="AERbodytext"/>
      </w:pPr>
      <w:r>
        <w:t xml:space="preserve">For the reasons discussed in attachment </w:t>
      </w:r>
      <w:r w:rsidR="00B655D7">
        <w:t>2</w:t>
      </w:r>
      <w:r w:rsidR="00BC0631" w:rsidRPr="00BC0631">
        <w:t>, Ausgrid provided revised estimates of inputs for 2013–14 reflecting actual capex, disposals and capital contributions.</w:t>
      </w:r>
      <w:r w:rsidR="006A4A66">
        <w:rPr>
          <w:rStyle w:val="FootnoteReference"/>
        </w:rPr>
        <w:footnoteReference w:id="12"/>
      </w:r>
      <w:r w:rsidR="00BC0631" w:rsidRPr="00BC0631">
        <w:t xml:space="preserve"> We have adopted these values in the RFM for the draft decision and will treat them as revised estimates. </w:t>
      </w:r>
      <w:r w:rsidR="00DB44D4">
        <w:t>For Ausgrid's distribution network t</w:t>
      </w:r>
      <w:r w:rsidR="00BC0631" w:rsidRPr="00BC0631">
        <w:t xml:space="preserve">he revised </w:t>
      </w:r>
      <w:r w:rsidR="00BC0631">
        <w:t xml:space="preserve">capex </w:t>
      </w:r>
      <w:r w:rsidR="00BC0631" w:rsidRPr="00BC0631">
        <w:t xml:space="preserve">net </w:t>
      </w:r>
      <w:r w:rsidR="00BC0631">
        <w:t xml:space="preserve">of disposals </w:t>
      </w:r>
      <w:r w:rsidR="00BC0631" w:rsidRPr="00BC0631">
        <w:t>for 2013–14 changes to $</w:t>
      </w:r>
      <w:r w:rsidR="00BC0631">
        <w:t>634</w:t>
      </w:r>
      <w:r w:rsidR="00BC0631" w:rsidRPr="00BC0631">
        <w:t>.2 million from $6</w:t>
      </w:r>
      <w:r w:rsidR="00BC0631">
        <w:t>80.5</w:t>
      </w:r>
      <w:r w:rsidR="00BC0631" w:rsidRPr="00BC0631">
        <w:t xml:space="preserve"> million ($</w:t>
      </w:r>
      <w:r w:rsidR="00ED1F76">
        <w:t> </w:t>
      </w:r>
      <w:r w:rsidR="00BC0631" w:rsidRPr="00BC0631">
        <w:t xml:space="preserve">nominal). </w:t>
      </w:r>
      <w:r w:rsidR="00DB44D4">
        <w:t>Ausgrid</w:t>
      </w:r>
      <w:r w:rsidR="00942628">
        <w:t>'s</w:t>
      </w:r>
      <w:r w:rsidR="008F62B0">
        <w:t xml:space="preserve"> revised actual capex net of disposals for its </w:t>
      </w:r>
      <w:r w:rsidR="00DB44D4">
        <w:t xml:space="preserve">transmission network for 2013–14 </w:t>
      </w:r>
      <w:r w:rsidR="00942628">
        <w:t xml:space="preserve">changes </w:t>
      </w:r>
      <w:r w:rsidR="00DB44D4">
        <w:t xml:space="preserve">to $82.1 million </w:t>
      </w:r>
      <w:r w:rsidR="00942628">
        <w:t>from $143.6 million ($ nominal</w:t>
      </w:r>
      <w:r w:rsidR="00DB44D4">
        <w:t xml:space="preserve">). </w:t>
      </w:r>
      <w:r w:rsidR="00BC0631" w:rsidRPr="00BC0631">
        <w:t>We will check these values with the audited annual reporting RIN to be received in late 2014 as part of the final decision.</w:t>
      </w:r>
    </w:p>
    <w:p w:rsidR="00E91043" w:rsidRPr="00E91043" w:rsidRDefault="00E91043" w:rsidP="00DB44D4">
      <w:pPr>
        <w:pStyle w:val="HeadingBoldBlue"/>
      </w:pPr>
      <w:r w:rsidRPr="00E91043">
        <w:t>IT systems tax depreciation 20</w:t>
      </w:r>
      <w:r w:rsidR="008A6126">
        <w:t>09</w:t>
      </w:r>
      <w:r>
        <w:t>–1</w:t>
      </w:r>
      <w:r w:rsidR="008A6126">
        <w:t>0</w:t>
      </w:r>
      <w:r>
        <w:t xml:space="preserve"> to 2013–14</w:t>
      </w:r>
    </w:p>
    <w:p w:rsidR="00E91043" w:rsidRDefault="00E91043" w:rsidP="00BC0631">
      <w:pPr>
        <w:pStyle w:val="AERbodytext"/>
      </w:pPr>
      <w:r w:rsidRPr="00E91043">
        <w:t xml:space="preserve">We do not accept Ausgrid's proposed </w:t>
      </w:r>
      <w:r w:rsidR="00942628">
        <w:t>closing</w:t>
      </w:r>
      <w:r w:rsidR="00942628" w:rsidRPr="00E91043">
        <w:t xml:space="preserve"> </w:t>
      </w:r>
      <w:r w:rsidRPr="00E91043">
        <w:t>tax</w:t>
      </w:r>
      <w:r w:rsidR="00942628">
        <w:t xml:space="preserve"> asset</w:t>
      </w:r>
      <w:r w:rsidRPr="00E91043">
        <w:t xml:space="preserve"> value </w:t>
      </w:r>
      <w:r w:rsidR="008A6126">
        <w:t xml:space="preserve">for </w:t>
      </w:r>
      <w:r w:rsidR="00906D39">
        <w:t>the '</w:t>
      </w:r>
      <w:r w:rsidR="008A6126">
        <w:t>IT systems</w:t>
      </w:r>
      <w:r w:rsidR="00906D39">
        <w:t>'</w:t>
      </w:r>
      <w:r w:rsidR="008A6126">
        <w:t xml:space="preserve"> asset class </w:t>
      </w:r>
      <w:r w:rsidRPr="00E91043">
        <w:t xml:space="preserve">as at </w:t>
      </w:r>
      <w:r w:rsidR="008A6126">
        <w:t>30</w:t>
      </w:r>
      <w:r w:rsidR="00ED1F76">
        <w:t> </w:t>
      </w:r>
      <w:r w:rsidR="008A6126">
        <w:t xml:space="preserve">June </w:t>
      </w:r>
      <w:r w:rsidRPr="00E91043">
        <w:t xml:space="preserve">2014. </w:t>
      </w:r>
      <w:r w:rsidR="00DB44D4">
        <w:t xml:space="preserve">Ausgrid proposed </w:t>
      </w:r>
      <w:r w:rsidR="00942628">
        <w:t>closing</w:t>
      </w:r>
      <w:r w:rsidR="006F37F5">
        <w:t xml:space="preserve"> tax </w:t>
      </w:r>
      <w:r w:rsidR="00942628">
        <w:t xml:space="preserve">asset </w:t>
      </w:r>
      <w:r w:rsidR="006F37F5">
        <w:t>value</w:t>
      </w:r>
      <w:r w:rsidR="00942628">
        <w:t>s</w:t>
      </w:r>
      <w:r w:rsidR="006F37F5">
        <w:t xml:space="preserve"> f</w:t>
      </w:r>
      <w:r w:rsidR="00942628">
        <w:t>or the</w:t>
      </w:r>
      <w:r w:rsidR="00DB44D4">
        <w:t xml:space="preserve"> </w:t>
      </w:r>
      <w:r w:rsidR="005373C0">
        <w:t>'</w:t>
      </w:r>
      <w:r w:rsidR="00DB44D4">
        <w:t>IT systems</w:t>
      </w:r>
      <w:r w:rsidR="005373C0">
        <w:t>'</w:t>
      </w:r>
      <w:r w:rsidR="00DB44D4">
        <w:t xml:space="preserve"> asset class of $88.0 million and $12.6 million ($ nominal) for its distribution and transmission networks respectively. </w:t>
      </w:r>
      <w:r w:rsidRPr="00E91043">
        <w:t xml:space="preserve">We reviewed Ausgrid's </w:t>
      </w:r>
      <w:r w:rsidR="00E6511D">
        <w:t xml:space="preserve">distribution </w:t>
      </w:r>
      <w:r w:rsidR="00DB44D4">
        <w:t xml:space="preserve">and transmission </w:t>
      </w:r>
      <w:r w:rsidRPr="00E91043">
        <w:t>RFM</w:t>
      </w:r>
      <w:r w:rsidR="00DB44D4">
        <w:t>s</w:t>
      </w:r>
      <w:r w:rsidRPr="00E91043">
        <w:t xml:space="preserve"> and identified a</w:t>
      </w:r>
      <w:r w:rsidR="00906D39">
        <w:t xml:space="preserve"> formula</w:t>
      </w:r>
      <w:r w:rsidRPr="00E91043">
        <w:t xml:space="preserve"> error in the calculation of tax depreciation on capex for this asset class over the 2009</w:t>
      </w:r>
      <w:r w:rsidR="00906D39">
        <w:t>–</w:t>
      </w:r>
      <w:r w:rsidRPr="00E91043">
        <w:t>14 regulatory control period.</w:t>
      </w:r>
      <w:r w:rsidR="009044A6">
        <w:rPr>
          <w:rStyle w:val="FootnoteReference"/>
        </w:rPr>
        <w:footnoteReference w:id="13"/>
      </w:r>
      <w:r w:rsidRPr="00E91043">
        <w:t xml:space="preserve"> </w:t>
      </w:r>
      <w:r w:rsidR="00906D39">
        <w:t>After correcting for the formula error and adjusting for the inputs discussed above, w</w:t>
      </w:r>
      <w:r w:rsidRPr="00E91043">
        <w:t xml:space="preserve">e have determined an </w:t>
      </w:r>
      <w:r w:rsidR="00393A9F">
        <w:lastRenderedPageBreak/>
        <w:t>closing</w:t>
      </w:r>
      <w:r w:rsidRPr="00E91043">
        <w:t xml:space="preserve"> tax </w:t>
      </w:r>
      <w:r w:rsidR="00942628">
        <w:t xml:space="preserve">asset </w:t>
      </w:r>
      <w:r w:rsidRPr="00E91043">
        <w:t>value</w:t>
      </w:r>
      <w:r w:rsidR="00DB44D4">
        <w:t>s</w:t>
      </w:r>
      <w:r w:rsidRPr="00E91043">
        <w:t xml:space="preserve"> for</w:t>
      </w:r>
      <w:r w:rsidR="00906D39">
        <w:t xml:space="preserve"> the</w:t>
      </w:r>
      <w:r w:rsidRPr="00E91043">
        <w:t xml:space="preserve"> </w:t>
      </w:r>
      <w:r w:rsidR="00906D39">
        <w:t>'</w:t>
      </w:r>
      <w:r w:rsidRPr="00E91043">
        <w:t>IT system</w:t>
      </w:r>
      <w:r w:rsidR="008A6126">
        <w:t>s</w:t>
      </w:r>
      <w:r w:rsidR="00906D39">
        <w:t>'</w:t>
      </w:r>
      <w:r w:rsidRPr="00E91043">
        <w:t xml:space="preserve"> asset</w:t>
      </w:r>
      <w:r w:rsidR="008A6126">
        <w:t xml:space="preserve"> class </w:t>
      </w:r>
      <w:r w:rsidRPr="00E91043">
        <w:t>of $</w:t>
      </w:r>
      <w:r w:rsidR="008A6126">
        <w:t>102.6</w:t>
      </w:r>
      <w:r w:rsidRPr="00E91043">
        <w:t xml:space="preserve"> million </w:t>
      </w:r>
      <w:r w:rsidR="008F62B0">
        <w:t>for distribution</w:t>
      </w:r>
      <w:r w:rsidRPr="00E91043">
        <w:t xml:space="preserve"> </w:t>
      </w:r>
      <w:r w:rsidR="00DB44D4">
        <w:t>and $14.5</w:t>
      </w:r>
      <w:r w:rsidR="00ED1F76">
        <w:t> </w:t>
      </w:r>
      <w:r w:rsidR="00DB44D4">
        <w:t xml:space="preserve">million ($ nominal) </w:t>
      </w:r>
      <w:r w:rsidR="008F62B0">
        <w:t xml:space="preserve">for transmission </w:t>
      </w:r>
      <w:r w:rsidRPr="00E91043">
        <w:t xml:space="preserve">as at </w:t>
      </w:r>
      <w:r w:rsidR="00393A9F">
        <w:t>30</w:t>
      </w:r>
      <w:r w:rsidRPr="00E91043">
        <w:t xml:space="preserve"> Ju</w:t>
      </w:r>
      <w:r w:rsidR="00393A9F">
        <w:t>ne</w:t>
      </w:r>
      <w:r w:rsidRPr="00E91043">
        <w:t xml:space="preserve"> 2014.</w:t>
      </w:r>
      <w:r w:rsidR="00393A9F">
        <w:rPr>
          <w:rStyle w:val="FootnoteReference"/>
        </w:rPr>
        <w:footnoteReference w:id="14"/>
      </w:r>
      <w:r w:rsidRPr="00E91043">
        <w:t xml:space="preserve">  </w:t>
      </w:r>
    </w:p>
    <w:p w:rsidR="00BC0631" w:rsidRPr="00BC0631" w:rsidRDefault="00BC0631" w:rsidP="00DB44D4">
      <w:pPr>
        <w:pStyle w:val="HeadingBoldBlue"/>
      </w:pPr>
      <w:r w:rsidRPr="00BC0631">
        <w:t xml:space="preserve">Removal of metering assets as at 1 July 2014 </w:t>
      </w:r>
    </w:p>
    <w:p w:rsidR="00170992" w:rsidRDefault="00BC0631" w:rsidP="00A2111A">
      <w:pPr>
        <w:pStyle w:val="AERbodytext"/>
      </w:pPr>
      <w:r w:rsidRPr="00BC0631">
        <w:t>We do not accept Ausgrid's proposed adjustment of $2</w:t>
      </w:r>
      <w:r w:rsidR="00A1770C">
        <w:t>32.6</w:t>
      </w:r>
      <w:r w:rsidRPr="00BC0631">
        <w:t xml:space="preserve"> million (</w:t>
      </w:r>
      <w:r w:rsidR="00A1770C">
        <w:t xml:space="preserve">$ </w:t>
      </w:r>
      <w:r w:rsidRPr="00BC0631">
        <w:t xml:space="preserve">nominal) to remove metering assets from the closing distribution </w:t>
      </w:r>
      <w:r>
        <w:t>TAB</w:t>
      </w:r>
      <w:r w:rsidRPr="00BC0631">
        <w:t xml:space="preserve"> as at 30 June 2014</w:t>
      </w:r>
      <w:r w:rsidR="00CF0832" w:rsidRPr="00CF0832">
        <w:t xml:space="preserve"> </w:t>
      </w:r>
      <w:r w:rsidR="00CF0832" w:rsidRPr="00BC0631">
        <w:t>due to the change in classification of metering services to alternative control services</w:t>
      </w:r>
      <w:r w:rsidRPr="00BC0631">
        <w:t xml:space="preserve">. Our adjustments to Ausgrid's distribution </w:t>
      </w:r>
      <w:r w:rsidR="00544F74">
        <w:t>T</w:t>
      </w:r>
      <w:r w:rsidRPr="00BC0631">
        <w:t xml:space="preserve">AB discussed </w:t>
      </w:r>
      <w:r w:rsidR="00544F74">
        <w:t>above</w:t>
      </w:r>
      <w:r w:rsidRPr="00BC0631">
        <w:t xml:space="preserve"> altered the closing value</w:t>
      </w:r>
      <w:r w:rsidR="00CF0832">
        <w:t>s</w:t>
      </w:r>
      <w:r w:rsidRPr="00BC0631">
        <w:t xml:space="preserve"> of </w:t>
      </w:r>
      <w:r w:rsidR="00CF0832">
        <w:t xml:space="preserve">the </w:t>
      </w:r>
      <w:r w:rsidRPr="00BC0631">
        <w:t>asset classes and therefore affected the amount of metering assets to be removed.</w:t>
      </w:r>
    </w:p>
    <w:p w:rsidR="00A2111A" w:rsidRDefault="00BC0631" w:rsidP="00A2111A">
      <w:pPr>
        <w:pStyle w:val="AERbodytext"/>
      </w:pPr>
      <w:r w:rsidRPr="00BC0631">
        <w:t>We reviewed</w:t>
      </w:r>
      <w:r w:rsidR="00CF0832">
        <w:t xml:space="preserve"> and were satisfied with</w:t>
      </w:r>
      <w:r w:rsidRPr="00BC0631">
        <w:t xml:space="preserve"> the appropriateness of Ausgrid's revised allocation of </w:t>
      </w:r>
      <w:r w:rsidR="00CF0832">
        <w:t>metering</w:t>
      </w:r>
      <w:r w:rsidR="00CF0832" w:rsidRPr="00BC0631">
        <w:t xml:space="preserve"> </w:t>
      </w:r>
      <w:r w:rsidRPr="00BC0631">
        <w:t xml:space="preserve">assets </w:t>
      </w:r>
      <w:r w:rsidR="008F1ACF">
        <w:t xml:space="preserve">for the </w:t>
      </w:r>
      <w:r w:rsidR="00CF0832">
        <w:t xml:space="preserve">distribution </w:t>
      </w:r>
      <w:r w:rsidR="008F1ACF">
        <w:t xml:space="preserve">RAB </w:t>
      </w:r>
      <w:r w:rsidRPr="00BC0631">
        <w:t xml:space="preserve">to be moved to metering alternative control services </w:t>
      </w:r>
      <w:r w:rsidR="00170992">
        <w:t xml:space="preserve">as discussed in attachment </w:t>
      </w:r>
      <w:r w:rsidR="00B655D7">
        <w:t>16</w:t>
      </w:r>
      <w:r w:rsidR="00170992">
        <w:t>. We</w:t>
      </w:r>
      <w:r w:rsidRPr="00BC0631">
        <w:t xml:space="preserve"> </w:t>
      </w:r>
      <w:r w:rsidR="00CF0832">
        <w:t xml:space="preserve">have </w:t>
      </w:r>
      <w:r w:rsidRPr="00BC0631">
        <w:t>adopt</w:t>
      </w:r>
      <w:r w:rsidR="00CF0832">
        <w:t>ed</w:t>
      </w:r>
      <w:r w:rsidRPr="00BC0631">
        <w:t xml:space="preserve"> this </w:t>
      </w:r>
      <w:r w:rsidR="00CF0832">
        <w:t>approach for making</w:t>
      </w:r>
      <w:r w:rsidR="00A1770C">
        <w:t xml:space="preserve"> </w:t>
      </w:r>
      <w:r w:rsidRPr="00BC0631">
        <w:t xml:space="preserve">the </w:t>
      </w:r>
      <w:r w:rsidR="00A1770C">
        <w:t xml:space="preserve">adjustment to the </w:t>
      </w:r>
      <w:r w:rsidR="00CF0832">
        <w:t xml:space="preserve">closing </w:t>
      </w:r>
      <w:r w:rsidR="00A1770C">
        <w:t xml:space="preserve">TAB </w:t>
      </w:r>
      <w:r w:rsidR="00CF0832">
        <w:t>as at 30</w:t>
      </w:r>
      <w:r w:rsidR="00ED1F76">
        <w:t> </w:t>
      </w:r>
      <w:r w:rsidR="00CF0832">
        <w:t xml:space="preserve">June 2014 </w:t>
      </w:r>
      <w:r w:rsidR="00A1770C">
        <w:t xml:space="preserve">for the </w:t>
      </w:r>
      <w:r w:rsidRPr="00BC0631">
        <w:t>purposes of th</w:t>
      </w:r>
      <w:r w:rsidR="00CF0832">
        <w:t>is</w:t>
      </w:r>
      <w:r w:rsidRPr="00BC0631">
        <w:t xml:space="preserve"> draft decision.</w:t>
      </w:r>
      <w:r w:rsidR="00A1770C">
        <w:t xml:space="preserve"> </w:t>
      </w:r>
      <w:r w:rsidR="008F1ACF">
        <w:t>In applying Ausgrid's revised allocation w</w:t>
      </w:r>
      <w:r w:rsidR="00A1770C">
        <w:t xml:space="preserve">e </w:t>
      </w:r>
      <w:r w:rsidR="00CF0832">
        <w:t>determine</w:t>
      </w:r>
      <w:r w:rsidR="00A1770C">
        <w:t xml:space="preserve"> an adjustment</w:t>
      </w:r>
      <w:r w:rsidR="00CF0832">
        <w:t xml:space="preserve"> of</w:t>
      </w:r>
      <w:r w:rsidR="00A1770C">
        <w:t xml:space="preserve"> $242.8 million ($ nominal) to reflect th</w:t>
      </w:r>
      <w:r w:rsidR="008F1ACF">
        <w:t xml:space="preserve">e proportion of the TAB </w:t>
      </w:r>
      <w:r w:rsidR="00CF0832">
        <w:t xml:space="preserve">associated with </w:t>
      </w:r>
      <w:r w:rsidR="00A1770C">
        <w:t xml:space="preserve">metering </w:t>
      </w:r>
      <w:r w:rsidR="00CF0832">
        <w:t xml:space="preserve">assets moving to </w:t>
      </w:r>
      <w:r w:rsidR="00A1770C">
        <w:t xml:space="preserve">alternative control services. </w:t>
      </w:r>
    </w:p>
    <w:p w:rsidR="00CF0832" w:rsidRPr="00BC0631" w:rsidRDefault="00CF0832" w:rsidP="004B4A61">
      <w:pPr>
        <w:pStyle w:val="HeadingBoldBlue"/>
      </w:pPr>
      <w:r>
        <w:t>Opening TAB as at 1 July 2014</w:t>
      </w:r>
    </w:p>
    <w:p w:rsidR="002E3C9B" w:rsidRDefault="008F1ACF" w:rsidP="00BC0631">
      <w:pPr>
        <w:pStyle w:val="AERbodytext"/>
      </w:pPr>
      <w:r>
        <w:t>W</w:t>
      </w:r>
      <w:r w:rsidR="003E4C28">
        <w:t>e are satisfied th</w:t>
      </w:r>
      <w:r>
        <w:t>e</w:t>
      </w:r>
      <w:r w:rsidR="003E4C28">
        <w:t xml:space="preserve"> </w:t>
      </w:r>
      <w:r w:rsidR="00BA23DE">
        <w:t xml:space="preserve">above </w:t>
      </w:r>
      <w:r>
        <w:t>adjustments result in</w:t>
      </w:r>
      <w:r w:rsidR="003E4C28">
        <w:t xml:space="preserve"> opening TAB</w:t>
      </w:r>
      <w:r w:rsidR="008F62B0">
        <w:t>s</w:t>
      </w:r>
      <w:r w:rsidR="003E4C28">
        <w:t xml:space="preserve"> as at 1 July 2014 </w:t>
      </w:r>
      <w:r w:rsidR="00942628">
        <w:t xml:space="preserve">for Ausgrid's distribution and transmission networks </w:t>
      </w:r>
      <w:r>
        <w:t xml:space="preserve">that </w:t>
      </w:r>
      <w:r w:rsidR="003E4C28">
        <w:t>provide estimate</w:t>
      </w:r>
      <w:r w:rsidR="00942628">
        <w:t>s</w:t>
      </w:r>
      <w:r w:rsidR="003E4C28">
        <w:t xml:space="preserve"> of tax depreciation consistent with the tax expenses used to estimate the annual taxable income of a benchmark efficient entity</w:t>
      </w:r>
      <w:r w:rsidR="003E4C28" w:rsidRPr="00117ADB">
        <w:t xml:space="preserve"> </w:t>
      </w:r>
      <w:r w:rsidR="003E4C28">
        <w:t>over the 2014–19 period.</w:t>
      </w:r>
      <w:r w:rsidR="003E4C28">
        <w:rPr>
          <w:rStyle w:val="FootnoteReference"/>
        </w:rPr>
        <w:footnoteReference w:id="15"/>
      </w:r>
      <w:r w:rsidR="002E3C9B">
        <w:t xml:space="preserve"> We therefore </w:t>
      </w:r>
      <w:r w:rsidR="00CF0832">
        <w:t>determine</w:t>
      </w:r>
      <w:r w:rsidR="002E3C9B">
        <w:t xml:space="preserve"> opening TAB</w:t>
      </w:r>
      <w:r w:rsidR="008F62B0">
        <w:t>s</w:t>
      </w:r>
      <w:r w:rsidR="002E3C9B">
        <w:t xml:space="preserve"> </w:t>
      </w:r>
      <w:r w:rsidR="00170992">
        <w:t xml:space="preserve">of $8562 million </w:t>
      </w:r>
      <w:r w:rsidR="008F62B0">
        <w:t>and $1502 million ($</w:t>
      </w:r>
      <w:r w:rsidR="00ED1F76">
        <w:t> </w:t>
      </w:r>
      <w:r w:rsidR="008F62B0">
        <w:t xml:space="preserve">nominal) </w:t>
      </w:r>
      <w:r w:rsidR="00170992">
        <w:t>as at</w:t>
      </w:r>
      <w:r w:rsidR="002E3C9B">
        <w:t xml:space="preserve"> 1 July 2014</w:t>
      </w:r>
      <w:r w:rsidR="008F62B0">
        <w:t xml:space="preserve"> for Ausgrid's distribution and transmission networks respect</w:t>
      </w:r>
      <w:r w:rsidR="00CA5DFF">
        <w:t>i</w:t>
      </w:r>
      <w:r w:rsidR="008F62B0">
        <w:t>vely.</w:t>
      </w:r>
    </w:p>
    <w:p w:rsidR="00E93A50" w:rsidRDefault="00E93A50" w:rsidP="00E93A50">
      <w:pPr>
        <w:pStyle w:val="AERbodytext"/>
      </w:pPr>
      <w:r>
        <w:t xml:space="preserve">For the reasons discussed in attachment </w:t>
      </w:r>
      <w:r w:rsidR="00B655D7">
        <w:t>5</w:t>
      </w:r>
      <w:r>
        <w:t xml:space="preserve">, we have also removed the 'Emergency spares (major plant, excludes inventory)' and 'Transmission &amp; zone emergency spares' asset classes from the PTRMs for Ausgrid's distribution and transmission networks respectively. For Ausgrid's distribution PTRM we reallocated the remaining value in 'Emergency spares (major plant, excluding inventory)' to the 'Substations asset class. For Ausgrid's transmission PTRM we reallocated the remaining value in 'Transmission &amp; zone emergency spares' to the 'Transmission zone substation equipment 132/66kV' and 'Zone substation equipment 132/66kV' asset classes. The reallocation has no effect on the total opening TAB values as at 1 July 2014 for Ausgrid's distribution and transmission networks, and removes these unused legacy assets classes from the PTRMs. </w:t>
      </w:r>
    </w:p>
    <w:p w:rsidR="005F7062" w:rsidRDefault="005F7062">
      <w:pPr>
        <w:spacing w:after="0" w:line="240" w:lineRule="auto"/>
        <w:jc w:val="left"/>
        <w:rPr>
          <w:rFonts w:eastAsia="Times New Roman"/>
          <w:szCs w:val="24"/>
        </w:rPr>
      </w:pPr>
      <w:r>
        <w:br w:type="page"/>
      </w:r>
    </w:p>
    <w:p w:rsidR="00BC0631" w:rsidRDefault="00393A9F" w:rsidP="00BC0631">
      <w:pPr>
        <w:pStyle w:val="AERbodytext"/>
      </w:pPr>
      <w:r>
        <w:lastRenderedPageBreak/>
        <w:fldChar w:fldCharType="begin"/>
      </w:r>
      <w:r>
        <w:instrText xml:space="preserve"> REF _Ref395095836 \h </w:instrText>
      </w:r>
      <w:r>
        <w:fldChar w:fldCharType="separate"/>
      </w:r>
      <w:r w:rsidR="005F7062">
        <w:t>Table 8-</w:t>
      </w:r>
      <w:r w:rsidR="005F7062">
        <w:rPr>
          <w:noProof/>
        </w:rPr>
        <w:t>7</w:t>
      </w:r>
      <w:r>
        <w:fldChar w:fldCharType="end"/>
      </w:r>
      <w:r>
        <w:t xml:space="preserve"> </w:t>
      </w:r>
      <w:r w:rsidR="008F62B0">
        <w:t xml:space="preserve">and </w:t>
      </w:r>
      <w:r w:rsidRPr="005F7062">
        <w:rPr>
          <w:b/>
        </w:rPr>
        <w:fldChar w:fldCharType="begin"/>
      </w:r>
      <w:r w:rsidRPr="005F7062">
        <w:rPr>
          <w:b/>
        </w:rPr>
        <w:instrText xml:space="preserve"> REF _Ref399431671 \h </w:instrText>
      </w:r>
      <w:r w:rsidR="005F7062">
        <w:rPr>
          <w:b/>
        </w:rPr>
        <w:instrText xml:space="preserve"> \* MERGEFORMAT </w:instrText>
      </w:r>
      <w:r w:rsidRPr="005F7062">
        <w:rPr>
          <w:b/>
        </w:rPr>
      </w:r>
      <w:r w:rsidRPr="005F7062">
        <w:rPr>
          <w:b/>
        </w:rPr>
        <w:fldChar w:fldCharType="separate"/>
      </w:r>
      <w:r w:rsidR="005F7062" w:rsidRPr="005F7062">
        <w:rPr>
          <w:rStyle w:val="AERtextbold"/>
          <w:b w:val="0"/>
        </w:rPr>
        <w:t>Table 8</w:t>
      </w:r>
      <w:r w:rsidR="005F7062" w:rsidRPr="005F7062">
        <w:rPr>
          <w:rStyle w:val="AERtextbold"/>
          <w:b w:val="0"/>
        </w:rPr>
        <w:noBreakHyphen/>
        <w:t>8</w:t>
      </w:r>
      <w:r w:rsidRPr="005F7062">
        <w:rPr>
          <w:b/>
        </w:rPr>
        <w:fldChar w:fldCharType="end"/>
      </w:r>
      <w:r>
        <w:t xml:space="preserve"> </w:t>
      </w:r>
      <w:r w:rsidR="00544F74">
        <w:t xml:space="preserve">sets </w:t>
      </w:r>
      <w:r w:rsidR="00544F74" w:rsidRPr="00156968">
        <w:t xml:space="preserve">out our draft decision on the roll forward of </w:t>
      </w:r>
      <w:r w:rsidR="00544F74">
        <w:t>Ausgrid</w:t>
      </w:r>
      <w:r w:rsidR="00544F74" w:rsidRPr="00156968">
        <w:t>'s</w:t>
      </w:r>
      <w:r w:rsidR="006F37F5">
        <w:t xml:space="preserve"> </w:t>
      </w:r>
      <w:r w:rsidR="00544F74" w:rsidRPr="00156968">
        <w:t>TAB</w:t>
      </w:r>
      <w:r w:rsidR="006F37F5">
        <w:t>s</w:t>
      </w:r>
      <w:r w:rsidR="00544F74" w:rsidRPr="00156968">
        <w:t xml:space="preserve"> </w:t>
      </w:r>
      <w:r w:rsidR="00544F74" w:rsidRPr="00FE0408">
        <w:t>over the 2009–14 regulatory control period</w:t>
      </w:r>
      <w:r w:rsidR="006F37F5">
        <w:t xml:space="preserve"> for its distribution and transmission network respectively</w:t>
      </w:r>
      <w:r w:rsidR="00544F74" w:rsidRPr="00156968">
        <w:t>.</w:t>
      </w:r>
    </w:p>
    <w:p w:rsidR="0052303D" w:rsidRDefault="0052303D" w:rsidP="0052303D">
      <w:pPr>
        <w:pStyle w:val="Caption"/>
      </w:pPr>
      <w:bookmarkStart w:id="29" w:name="_Ref395095836"/>
      <w:bookmarkStart w:id="30" w:name="_Ref399429877"/>
      <w:r>
        <w:t xml:space="preserve">Table </w:t>
      </w:r>
      <w:r w:rsidR="00213E04">
        <w:t>8-</w:t>
      </w:r>
      <w:fldSimple w:instr=" SEQ Table \* ARABIC \s 1 ">
        <w:r w:rsidR="005F7062">
          <w:rPr>
            <w:noProof/>
          </w:rPr>
          <w:t>7</w:t>
        </w:r>
      </w:fldSimple>
      <w:bookmarkEnd w:id="29"/>
      <w:r>
        <w:tab/>
      </w:r>
      <w:r w:rsidRPr="0052303D">
        <w:t xml:space="preserve">AER's draft decision on </w:t>
      </w:r>
      <w:r w:rsidR="002B5942">
        <w:t>Ausgrid</w:t>
      </w:r>
      <w:r w:rsidRPr="0052303D">
        <w:t xml:space="preserve">'s TAB roll forward </w:t>
      </w:r>
      <w:r w:rsidR="002B5942">
        <w:t xml:space="preserve">– distribution </w:t>
      </w:r>
      <w:r w:rsidRPr="0052303D">
        <w:t>($</w:t>
      </w:r>
      <w:r>
        <w:t> </w:t>
      </w:r>
      <w:r w:rsidRPr="0052303D">
        <w:t>million, nominal)</w:t>
      </w:r>
      <w:bookmarkEnd w:id="30"/>
    </w:p>
    <w:tbl>
      <w:tblPr>
        <w:tblStyle w:val="AERtable-numbers"/>
        <w:tblW w:w="5000" w:type="pct"/>
        <w:tblLook w:val="04A0" w:firstRow="1" w:lastRow="0" w:firstColumn="1" w:lastColumn="0" w:noHBand="0" w:noVBand="1"/>
      </w:tblPr>
      <w:tblGrid>
        <w:gridCol w:w="3498"/>
        <w:gridCol w:w="1129"/>
        <w:gridCol w:w="1154"/>
        <w:gridCol w:w="1153"/>
        <w:gridCol w:w="1153"/>
        <w:gridCol w:w="1155"/>
      </w:tblGrid>
      <w:tr w:rsidR="003E21A5" w:rsidRPr="0052303D" w:rsidTr="002B59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2B5942" w:rsidRPr="0052303D" w:rsidRDefault="002B5942" w:rsidP="0052303D">
            <w:pPr>
              <w:pStyle w:val="AERtabletextleft"/>
            </w:pPr>
            <w:r w:rsidRPr="0052303D">
              <w:t> </w:t>
            </w:r>
          </w:p>
        </w:tc>
        <w:tc>
          <w:tcPr>
            <w:tcW w:w="610" w:type="pct"/>
            <w:noWrap/>
            <w:hideMark/>
          </w:tcPr>
          <w:p w:rsidR="002B5942" w:rsidRPr="0052303D" w:rsidRDefault="002B5942"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2009</w:t>
            </w:r>
            <w:r w:rsidRPr="0052303D">
              <w:rPr>
                <w:rFonts w:hint="eastAsia"/>
              </w:rPr>
              <w:t>–</w:t>
            </w:r>
            <w:r w:rsidRPr="0052303D">
              <w:t>10</w:t>
            </w:r>
          </w:p>
        </w:tc>
        <w:tc>
          <w:tcPr>
            <w:tcW w:w="624" w:type="pct"/>
            <w:noWrap/>
            <w:hideMark/>
          </w:tcPr>
          <w:p w:rsidR="002B5942" w:rsidRPr="0052303D" w:rsidRDefault="002B5942"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2010</w:t>
            </w:r>
            <w:r w:rsidRPr="0052303D">
              <w:rPr>
                <w:rFonts w:hint="eastAsia"/>
              </w:rPr>
              <w:t>–</w:t>
            </w:r>
            <w:r w:rsidRPr="0052303D">
              <w:t>11</w:t>
            </w:r>
          </w:p>
        </w:tc>
        <w:tc>
          <w:tcPr>
            <w:tcW w:w="624" w:type="pct"/>
            <w:noWrap/>
            <w:hideMark/>
          </w:tcPr>
          <w:p w:rsidR="002B5942" w:rsidRPr="0052303D" w:rsidRDefault="002B5942"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2011</w:t>
            </w:r>
            <w:r w:rsidRPr="0052303D">
              <w:rPr>
                <w:rFonts w:hint="eastAsia"/>
              </w:rPr>
              <w:t>–</w:t>
            </w:r>
            <w:r w:rsidRPr="0052303D">
              <w:t>12</w:t>
            </w:r>
          </w:p>
        </w:tc>
        <w:tc>
          <w:tcPr>
            <w:tcW w:w="624" w:type="pct"/>
            <w:noWrap/>
            <w:hideMark/>
          </w:tcPr>
          <w:p w:rsidR="002B5942" w:rsidRPr="0052303D" w:rsidRDefault="002B5942"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2012</w:t>
            </w:r>
            <w:r w:rsidRPr="0052303D">
              <w:rPr>
                <w:rFonts w:hint="eastAsia"/>
              </w:rPr>
              <w:t>–</w:t>
            </w:r>
            <w:r w:rsidRPr="0052303D">
              <w:t>13</w:t>
            </w:r>
          </w:p>
        </w:tc>
        <w:tc>
          <w:tcPr>
            <w:tcW w:w="625" w:type="pct"/>
            <w:noWrap/>
            <w:hideMark/>
          </w:tcPr>
          <w:p w:rsidR="002B5942" w:rsidRPr="0052303D" w:rsidRDefault="002B5942"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2013</w:t>
            </w:r>
            <w:r w:rsidRPr="0052303D">
              <w:rPr>
                <w:rFonts w:hint="eastAsia"/>
              </w:rPr>
              <w:t>–</w:t>
            </w:r>
            <w:r w:rsidRPr="0052303D">
              <w:t>14</w:t>
            </w:r>
            <w:r w:rsidRPr="0052303D">
              <w:rPr>
                <w:rStyle w:val="AERsuperscript"/>
              </w:rPr>
              <w:t>b</w:t>
            </w:r>
          </w:p>
        </w:tc>
      </w:tr>
      <w:tr w:rsidR="003E21A5" w:rsidRPr="00ED1F76" w:rsidTr="002B5942">
        <w:trPr>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2B5942" w:rsidRPr="00213E04" w:rsidRDefault="002B5942">
            <w:pPr>
              <w:pStyle w:val="AERtabletextleft"/>
              <w:rPr>
                <w:rStyle w:val="AERtextbold"/>
                <w:b w:val="0"/>
              </w:rPr>
            </w:pPr>
            <w:r w:rsidRPr="007A36D1">
              <w:rPr>
                <w:rStyle w:val="AERtextbold"/>
                <w:b w:val="0"/>
              </w:rPr>
              <w:t>Opening TAB</w:t>
            </w:r>
          </w:p>
        </w:tc>
        <w:tc>
          <w:tcPr>
            <w:tcW w:w="610" w:type="pct"/>
            <w:noWrap/>
            <w:vAlign w:val="bottom"/>
          </w:tcPr>
          <w:p w:rsidR="002B5942" w:rsidRPr="007A36D1" w:rsidRDefault="00E7635F" w:rsidP="00213E04">
            <w:pPr>
              <w:pStyle w:val="AERtabletextleft"/>
              <w:cnfStyle w:val="000000000000" w:firstRow="0" w:lastRow="0" w:firstColumn="0" w:lastColumn="0" w:oddVBand="0" w:evenVBand="0" w:oddHBand="0" w:evenHBand="0" w:firstRowFirstColumn="0" w:firstRowLastColumn="0" w:lastRowFirstColumn="0" w:lastRowLastColumn="0"/>
              <w:rPr>
                <w:rStyle w:val="AERtextbold"/>
                <w:b w:val="0"/>
                <w:color w:val="FFFFFF"/>
              </w:rPr>
            </w:pPr>
            <w:r w:rsidRPr="007A36D1">
              <w:rPr>
                <w:rStyle w:val="AERtextbold"/>
                <w:b w:val="0"/>
              </w:rPr>
              <w:t>4 659</w:t>
            </w:r>
            <w:r w:rsidR="00CF048E" w:rsidRPr="007A36D1">
              <w:rPr>
                <w:rStyle w:val="AERtextbold"/>
                <w:b w:val="0"/>
              </w:rPr>
              <w:t>.4</w:t>
            </w:r>
          </w:p>
        </w:tc>
        <w:tc>
          <w:tcPr>
            <w:tcW w:w="624" w:type="pct"/>
            <w:noWrap/>
            <w:vAlign w:val="bottom"/>
          </w:tcPr>
          <w:p w:rsidR="002B5942" w:rsidRPr="00EF3B76" w:rsidRDefault="00E7635F" w:rsidP="00213E04">
            <w:pPr>
              <w:pStyle w:val="AERtabletextleft"/>
              <w:cnfStyle w:val="000000000000" w:firstRow="0" w:lastRow="0" w:firstColumn="0" w:lastColumn="0" w:oddVBand="0" w:evenVBand="0" w:oddHBand="0" w:evenHBand="0" w:firstRowFirstColumn="0" w:firstRowLastColumn="0" w:lastRowFirstColumn="0" w:lastRowLastColumn="0"/>
              <w:rPr>
                <w:rStyle w:val="AERtextbold"/>
                <w:b w:val="0"/>
                <w:color w:val="FFFFFF"/>
              </w:rPr>
            </w:pPr>
            <w:r w:rsidRPr="00EF3B76">
              <w:rPr>
                <w:rStyle w:val="AERtextbold"/>
                <w:b w:val="0"/>
              </w:rPr>
              <w:t>5 485</w:t>
            </w:r>
            <w:r w:rsidR="00CF048E" w:rsidRPr="00EF3B76">
              <w:rPr>
                <w:rStyle w:val="AERtextbold"/>
                <w:b w:val="0"/>
              </w:rPr>
              <w:t>.1</w:t>
            </w:r>
          </w:p>
        </w:tc>
        <w:tc>
          <w:tcPr>
            <w:tcW w:w="624" w:type="pct"/>
            <w:noWrap/>
            <w:vAlign w:val="bottom"/>
          </w:tcPr>
          <w:p w:rsidR="002B5942" w:rsidRPr="00213E04" w:rsidRDefault="00E7635F" w:rsidP="00213E04">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795863">
              <w:rPr>
                <w:rStyle w:val="AERtextbold"/>
                <w:b w:val="0"/>
              </w:rPr>
              <w:t>6 574</w:t>
            </w:r>
            <w:r w:rsidR="00CF048E" w:rsidRPr="00213E04">
              <w:rPr>
                <w:rStyle w:val="AERtextbold"/>
                <w:b w:val="0"/>
              </w:rPr>
              <w:t>.8</w:t>
            </w:r>
          </w:p>
        </w:tc>
        <w:tc>
          <w:tcPr>
            <w:tcW w:w="624" w:type="pct"/>
            <w:noWrap/>
            <w:vAlign w:val="bottom"/>
          </w:tcPr>
          <w:p w:rsidR="002B5942" w:rsidRPr="00213E04" w:rsidRDefault="00E7635F" w:rsidP="00213E04">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213E04">
              <w:rPr>
                <w:rStyle w:val="AERtextbold"/>
                <w:b w:val="0"/>
              </w:rPr>
              <w:t>7 709</w:t>
            </w:r>
            <w:r w:rsidR="00CF048E" w:rsidRPr="00213E04">
              <w:rPr>
                <w:rStyle w:val="AERtextbold"/>
                <w:b w:val="0"/>
              </w:rPr>
              <w:t>.3</w:t>
            </w:r>
          </w:p>
        </w:tc>
        <w:tc>
          <w:tcPr>
            <w:tcW w:w="625" w:type="pct"/>
            <w:noWrap/>
            <w:vAlign w:val="bottom"/>
          </w:tcPr>
          <w:p w:rsidR="002B5942" w:rsidRPr="00213E04" w:rsidRDefault="00E7635F" w:rsidP="00213E04">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213E04">
              <w:rPr>
                <w:rStyle w:val="AERtextbold"/>
                <w:b w:val="0"/>
              </w:rPr>
              <w:t>8 488</w:t>
            </w:r>
            <w:r w:rsidR="00CF048E" w:rsidRPr="00213E04">
              <w:rPr>
                <w:rStyle w:val="AERtextbold"/>
                <w:b w:val="0"/>
              </w:rPr>
              <w:t>.6</w:t>
            </w:r>
          </w:p>
        </w:tc>
      </w:tr>
      <w:tr w:rsidR="003E21A5" w:rsidRPr="0052303D"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2B5942" w:rsidRPr="00883926" w:rsidRDefault="002B5942" w:rsidP="00883926">
            <w:pPr>
              <w:pStyle w:val="AERtabletextleft"/>
            </w:pPr>
            <w:r w:rsidRPr="00883926">
              <w:t>Capital expenditure</w:t>
            </w:r>
            <w:r w:rsidRPr="00883926">
              <w:rPr>
                <w:rStyle w:val="AERsuperscript"/>
              </w:rPr>
              <w:t>a</w:t>
            </w:r>
          </w:p>
        </w:tc>
        <w:tc>
          <w:tcPr>
            <w:tcW w:w="610" w:type="pct"/>
            <w:noWrap/>
            <w:vAlign w:val="bottom"/>
          </w:tcPr>
          <w:p w:rsidR="002B5942" w:rsidRPr="00883926" w:rsidRDefault="00E7635F" w:rsidP="00883926">
            <w:pPr>
              <w:pStyle w:val="AERtabletextright"/>
              <w:cnfStyle w:val="000000010000" w:firstRow="0" w:lastRow="0" w:firstColumn="0" w:lastColumn="0" w:oddVBand="0" w:evenVBand="0" w:oddHBand="0" w:evenHBand="1" w:firstRowFirstColumn="0" w:firstRowLastColumn="0" w:lastRowFirstColumn="0" w:lastRowLastColumn="0"/>
            </w:pPr>
            <w:r>
              <w:t>1 124</w:t>
            </w:r>
            <w:r w:rsidR="00D73997">
              <w:t>.5</w:t>
            </w:r>
          </w:p>
        </w:tc>
        <w:tc>
          <w:tcPr>
            <w:tcW w:w="624" w:type="pct"/>
            <w:noWrap/>
            <w:vAlign w:val="bottom"/>
          </w:tcPr>
          <w:p w:rsidR="002B5942" w:rsidRPr="00883926" w:rsidRDefault="00E7635F" w:rsidP="00883926">
            <w:pPr>
              <w:pStyle w:val="AERtabletextright"/>
              <w:cnfStyle w:val="000000010000" w:firstRow="0" w:lastRow="0" w:firstColumn="0" w:lastColumn="0" w:oddVBand="0" w:evenVBand="0" w:oddHBand="0" w:evenHBand="1" w:firstRowFirstColumn="0" w:firstRowLastColumn="0" w:lastRowFirstColumn="0" w:lastRowLastColumn="0"/>
            </w:pPr>
            <w:r>
              <w:t>1 313</w:t>
            </w:r>
            <w:r w:rsidR="00D73997">
              <w:t>.3</w:t>
            </w:r>
          </w:p>
        </w:tc>
        <w:tc>
          <w:tcPr>
            <w:tcW w:w="624" w:type="pct"/>
            <w:noWrap/>
            <w:vAlign w:val="bottom"/>
          </w:tcPr>
          <w:p w:rsidR="002B5942" w:rsidRPr="00883926" w:rsidRDefault="00E7635F" w:rsidP="00883926">
            <w:pPr>
              <w:pStyle w:val="AERtabletextright"/>
              <w:cnfStyle w:val="000000010000" w:firstRow="0" w:lastRow="0" w:firstColumn="0" w:lastColumn="0" w:oddVBand="0" w:evenVBand="0" w:oddHBand="0" w:evenHBand="1" w:firstRowFirstColumn="0" w:firstRowLastColumn="0" w:lastRowFirstColumn="0" w:lastRowLastColumn="0"/>
            </w:pPr>
            <w:r>
              <w:t>1 398</w:t>
            </w:r>
            <w:r w:rsidR="00D73997">
              <w:t>.1</w:t>
            </w:r>
          </w:p>
        </w:tc>
        <w:tc>
          <w:tcPr>
            <w:tcW w:w="624" w:type="pct"/>
            <w:noWrap/>
            <w:vAlign w:val="bottom"/>
          </w:tcPr>
          <w:p w:rsidR="002B5942" w:rsidRPr="00883926" w:rsidRDefault="00E7635F" w:rsidP="00E7635F">
            <w:pPr>
              <w:pStyle w:val="AERtabletextright"/>
              <w:cnfStyle w:val="000000010000" w:firstRow="0" w:lastRow="0" w:firstColumn="0" w:lastColumn="0" w:oddVBand="0" w:evenVBand="0" w:oddHBand="0" w:evenHBand="1" w:firstRowFirstColumn="0" w:firstRowLastColumn="0" w:lastRowFirstColumn="0" w:lastRowLastColumn="0"/>
            </w:pPr>
            <w:r>
              <w:t>1 078</w:t>
            </w:r>
            <w:r w:rsidR="00D73997">
              <w:t>.8</w:t>
            </w:r>
          </w:p>
        </w:tc>
        <w:tc>
          <w:tcPr>
            <w:tcW w:w="625" w:type="pct"/>
            <w:noWrap/>
            <w:vAlign w:val="bottom"/>
          </w:tcPr>
          <w:p w:rsidR="002B5942" w:rsidRPr="00883926" w:rsidRDefault="00E7635F" w:rsidP="00E7635F">
            <w:pPr>
              <w:pStyle w:val="AERtabletextright"/>
              <w:cnfStyle w:val="000000010000" w:firstRow="0" w:lastRow="0" w:firstColumn="0" w:lastColumn="0" w:oddVBand="0" w:evenVBand="0" w:oddHBand="0" w:evenHBand="1" w:firstRowFirstColumn="0" w:firstRowLastColumn="0" w:lastRowFirstColumn="0" w:lastRowLastColumn="0"/>
            </w:pPr>
            <w:r>
              <w:t>634</w:t>
            </w:r>
            <w:r w:rsidR="00D73997">
              <w:t>.2</w:t>
            </w:r>
          </w:p>
        </w:tc>
      </w:tr>
      <w:tr w:rsidR="003E21A5" w:rsidRPr="0052303D" w:rsidTr="002B5942">
        <w:trPr>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2B5942" w:rsidRPr="00883926" w:rsidRDefault="002B5942" w:rsidP="00883926">
            <w:pPr>
              <w:pStyle w:val="AERtabletextleft"/>
            </w:pPr>
            <w:r w:rsidRPr="002E3C9B">
              <w:rPr>
                <w:rStyle w:val="AERtextitalic"/>
              </w:rPr>
              <w:t>Less</w:t>
            </w:r>
            <w:r>
              <w:t xml:space="preserve">: </w:t>
            </w:r>
            <w:r w:rsidR="003E21A5">
              <w:t>t</w:t>
            </w:r>
            <w:r w:rsidRPr="00883926">
              <w:t>ax depreciation</w:t>
            </w:r>
          </w:p>
        </w:tc>
        <w:tc>
          <w:tcPr>
            <w:tcW w:w="610" w:type="pct"/>
            <w:noWrap/>
            <w:vAlign w:val="bottom"/>
          </w:tcPr>
          <w:p w:rsidR="002B5942" w:rsidRPr="00883926" w:rsidRDefault="00E7635F" w:rsidP="00D73997">
            <w:pPr>
              <w:pStyle w:val="AERtabletextright"/>
              <w:cnfStyle w:val="000000000000" w:firstRow="0" w:lastRow="0" w:firstColumn="0" w:lastColumn="0" w:oddVBand="0" w:evenVBand="0" w:oddHBand="0" w:evenHBand="0" w:firstRowFirstColumn="0" w:firstRowLastColumn="0" w:lastRowFirstColumn="0" w:lastRowLastColumn="0"/>
            </w:pPr>
            <w:r>
              <w:t>29</w:t>
            </w:r>
            <w:r w:rsidR="00D73997">
              <w:t>8.8</w:t>
            </w:r>
          </w:p>
        </w:tc>
        <w:tc>
          <w:tcPr>
            <w:tcW w:w="624" w:type="pct"/>
            <w:noWrap/>
            <w:vAlign w:val="bottom"/>
          </w:tcPr>
          <w:p w:rsidR="002B5942" w:rsidRPr="00883926" w:rsidRDefault="00E7635F" w:rsidP="00D73997">
            <w:pPr>
              <w:pStyle w:val="AERtabletextright"/>
              <w:cnfStyle w:val="000000000000" w:firstRow="0" w:lastRow="0" w:firstColumn="0" w:lastColumn="0" w:oddVBand="0" w:evenVBand="0" w:oddHBand="0" w:evenHBand="0" w:firstRowFirstColumn="0" w:firstRowLastColumn="0" w:lastRowFirstColumn="0" w:lastRowLastColumn="0"/>
            </w:pPr>
            <w:r>
              <w:t>22</w:t>
            </w:r>
            <w:r w:rsidR="00D73997">
              <w:t>4.6</w:t>
            </w:r>
          </w:p>
        </w:tc>
        <w:tc>
          <w:tcPr>
            <w:tcW w:w="624" w:type="pct"/>
            <w:noWrap/>
            <w:vAlign w:val="bottom"/>
          </w:tcPr>
          <w:p w:rsidR="002B5942" w:rsidRPr="00883926" w:rsidRDefault="00E7635F" w:rsidP="00D73997">
            <w:pPr>
              <w:pStyle w:val="AERtabletextright"/>
              <w:cnfStyle w:val="000000000000" w:firstRow="0" w:lastRow="0" w:firstColumn="0" w:lastColumn="0" w:oddVBand="0" w:evenVBand="0" w:oddHBand="0" w:evenHBand="0" w:firstRowFirstColumn="0" w:firstRowLastColumn="0" w:lastRowFirstColumn="0" w:lastRowLastColumn="0"/>
            </w:pPr>
            <w:r>
              <w:t>26</w:t>
            </w:r>
            <w:r w:rsidR="00D73997">
              <w:t>2.6</w:t>
            </w:r>
          </w:p>
        </w:tc>
        <w:tc>
          <w:tcPr>
            <w:tcW w:w="624" w:type="pct"/>
            <w:noWrap/>
            <w:vAlign w:val="bottom"/>
          </w:tcPr>
          <w:p w:rsidR="002B5942" w:rsidRPr="00883926" w:rsidRDefault="00E7635F" w:rsidP="00883926">
            <w:pPr>
              <w:pStyle w:val="AERtabletextright"/>
              <w:cnfStyle w:val="000000000000" w:firstRow="0" w:lastRow="0" w:firstColumn="0" w:lastColumn="0" w:oddVBand="0" w:evenVBand="0" w:oddHBand="0" w:evenHBand="0" w:firstRowFirstColumn="0" w:firstRowLastColumn="0" w:lastRowFirstColumn="0" w:lastRowLastColumn="0"/>
            </w:pPr>
            <w:r>
              <w:t>299</w:t>
            </w:r>
            <w:r w:rsidR="00D73997">
              <w:t>.5</w:t>
            </w:r>
          </w:p>
        </w:tc>
        <w:tc>
          <w:tcPr>
            <w:tcW w:w="625" w:type="pct"/>
            <w:noWrap/>
            <w:vAlign w:val="bottom"/>
          </w:tcPr>
          <w:p w:rsidR="002B5942" w:rsidRPr="00883926" w:rsidRDefault="00E7635F" w:rsidP="00883926">
            <w:pPr>
              <w:pStyle w:val="AERtabletextright"/>
              <w:cnfStyle w:val="000000000000" w:firstRow="0" w:lastRow="0" w:firstColumn="0" w:lastColumn="0" w:oddVBand="0" w:evenVBand="0" w:oddHBand="0" w:evenHBand="0" w:firstRowFirstColumn="0" w:firstRowLastColumn="0" w:lastRowFirstColumn="0" w:lastRowLastColumn="0"/>
            </w:pPr>
            <w:r>
              <w:t>31</w:t>
            </w:r>
            <w:r w:rsidR="00D73997">
              <w:t>6.</w:t>
            </w:r>
            <w:r>
              <w:t>7</w:t>
            </w:r>
          </w:p>
        </w:tc>
      </w:tr>
      <w:tr w:rsidR="003E21A5" w:rsidRPr="00ED1F76"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2B5942" w:rsidRPr="00213E04" w:rsidRDefault="002B5942" w:rsidP="00213E04">
            <w:pPr>
              <w:pStyle w:val="AERtabletextleft"/>
              <w:rPr>
                <w:rStyle w:val="AERtextbold"/>
                <w:b w:val="0"/>
              </w:rPr>
            </w:pPr>
            <w:r w:rsidRPr="00213E04">
              <w:rPr>
                <w:rStyle w:val="AERtextbold"/>
                <w:b w:val="0"/>
              </w:rPr>
              <w:t>Closing TAB</w:t>
            </w:r>
          </w:p>
        </w:tc>
        <w:tc>
          <w:tcPr>
            <w:tcW w:w="610" w:type="pct"/>
            <w:noWrap/>
            <w:vAlign w:val="bottom"/>
          </w:tcPr>
          <w:p w:rsidR="002B5942" w:rsidRPr="007A36D1" w:rsidRDefault="00E7635F" w:rsidP="00213E04">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7A36D1">
              <w:rPr>
                <w:rStyle w:val="AERtextbold"/>
                <w:b w:val="0"/>
              </w:rPr>
              <w:t>5 485</w:t>
            </w:r>
            <w:r w:rsidR="00D73997" w:rsidRPr="007A36D1">
              <w:rPr>
                <w:rStyle w:val="AERtextbold"/>
                <w:b w:val="0"/>
              </w:rPr>
              <w:t>.1</w:t>
            </w:r>
          </w:p>
        </w:tc>
        <w:tc>
          <w:tcPr>
            <w:tcW w:w="624" w:type="pct"/>
            <w:noWrap/>
            <w:vAlign w:val="bottom"/>
          </w:tcPr>
          <w:p w:rsidR="002B5942" w:rsidRPr="00EF3B76" w:rsidRDefault="00E7635F" w:rsidP="00213E04">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EF3B76">
              <w:rPr>
                <w:rStyle w:val="AERtextbold"/>
                <w:b w:val="0"/>
              </w:rPr>
              <w:t>6 574</w:t>
            </w:r>
            <w:r w:rsidR="00D73997" w:rsidRPr="00EF3B76">
              <w:rPr>
                <w:rStyle w:val="AERtextbold"/>
                <w:b w:val="0"/>
              </w:rPr>
              <w:t>.8</w:t>
            </w:r>
          </w:p>
        </w:tc>
        <w:tc>
          <w:tcPr>
            <w:tcW w:w="624" w:type="pct"/>
            <w:noWrap/>
            <w:vAlign w:val="bottom"/>
          </w:tcPr>
          <w:p w:rsidR="002B5942" w:rsidRPr="00213E04" w:rsidRDefault="00E7635F" w:rsidP="00213E04">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795863">
              <w:rPr>
                <w:rStyle w:val="AERtextbold"/>
                <w:b w:val="0"/>
              </w:rPr>
              <w:t>7 709</w:t>
            </w:r>
            <w:r w:rsidR="00D73997" w:rsidRPr="00213E04">
              <w:rPr>
                <w:rStyle w:val="AERtextbold"/>
                <w:b w:val="0"/>
              </w:rPr>
              <w:t>.3</w:t>
            </w:r>
          </w:p>
        </w:tc>
        <w:tc>
          <w:tcPr>
            <w:tcW w:w="624" w:type="pct"/>
            <w:noWrap/>
            <w:vAlign w:val="bottom"/>
          </w:tcPr>
          <w:p w:rsidR="002B5942" w:rsidRPr="00213E04" w:rsidRDefault="00E7635F" w:rsidP="00213E04">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213E04">
              <w:rPr>
                <w:rStyle w:val="AERtextbold"/>
                <w:b w:val="0"/>
              </w:rPr>
              <w:t>8 488</w:t>
            </w:r>
            <w:r w:rsidR="00D73997" w:rsidRPr="00213E04">
              <w:rPr>
                <w:rStyle w:val="AERtextbold"/>
                <w:b w:val="0"/>
              </w:rPr>
              <w:t>.6</w:t>
            </w:r>
          </w:p>
        </w:tc>
        <w:tc>
          <w:tcPr>
            <w:tcW w:w="625" w:type="pct"/>
            <w:noWrap/>
            <w:vAlign w:val="bottom"/>
          </w:tcPr>
          <w:p w:rsidR="002B5942" w:rsidRPr="00213E04" w:rsidRDefault="00E7635F" w:rsidP="00213E04">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213E04">
              <w:rPr>
                <w:rStyle w:val="AERtextbold"/>
                <w:b w:val="0"/>
              </w:rPr>
              <w:t>8 805</w:t>
            </w:r>
            <w:r w:rsidR="00D73997" w:rsidRPr="00213E04">
              <w:rPr>
                <w:rStyle w:val="AERtextbold"/>
                <w:b w:val="0"/>
              </w:rPr>
              <w:t>.2</w:t>
            </w:r>
          </w:p>
        </w:tc>
      </w:tr>
      <w:tr w:rsidR="003E21A5" w:rsidRPr="0052303D" w:rsidTr="002B5942">
        <w:trPr>
          <w:trHeight w:val="300"/>
        </w:trPr>
        <w:tc>
          <w:tcPr>
            <w:cnfStyle w:val="001000000000" w:firstRow="0" w:lastRow="0" w:firstColumn="1" w:lastColumn="0" w:oddVBand="0" w:evenVBand="0" w:oddHBand="0" w:evenHBand="0" w:firstRowFirstColumn="0" w:firstRowLastColumn="0" w:lastRowFirstColumn="0" w:lastRowLastColumn="0"/>
            <w:tcW w:w="1892" w:type="pct"/>
            <w:noWrap/>
            <w:vAlign w:val="bottom"/>
          </w:tcPr>
          <w:p w:rsidR="002B5942" w:rsidRPr="00E7635F" w:rsidRDefault="002B5942" w:rsidP="003E21A5">
            <w:pPr>
              <w:pStyle w:val="AERtabletextleft"/>
              <w:rPr>
                <w:rStyle w:val="AERtextbold"/>
                <w:b w:val="0"/>
              </w:rPr>
            </w:pPr>
            <w:r w:rsidRPr="00E7635F">
              <w:rPr>
                <w:rStyle w:val="AERtextbold"/>
                <w:b w:val="0"/>
              </w:rPr>
              <w:t xml:space="preserve">Meters moved to </w:t>
            </w:r>
            <w:r w:rsidR="003E21A5" w:rsidRPr="00883982">
              <w:rPr>
                <w:rStyle w:val="AERtextbold"/>
                <w:b w:val="0"/>
              </w:rPr>
              <w:t>alternative control services</w:t>
            </w:r>
          </w:p>
        </w:tc>
        <w:tc>
          <w:tcPr>
            <w:tcW w:w="610" w:type="pct"/>
            <w:noWrap/>
          </w:tcPr>
          <w:p w:rsidR="002B5942" w:rsidRPr="00883926" w:rsidRDefault="002B5942" w:rsidP="0088392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24" w:type="pct"/>
            <w:noWrap/>
          </w:tcPr>
          <w:p w:rsidR="002B5942" w:rsidRPr="00883926" w:rsidRDefault="002B5942" w:rsidP="0088392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24" w:type="pct"/>
            <w:noWrap/>
          </w:tcPr>
          <w:p w:rsidR="002B5942" w:rsidRPr="00883926" w:rsidRDefault="002B5942" w:rsidP="0088392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24" w:type="pct"/>
            <w:noWrap/>
          </w:tcPr>
          <w:p w:rsidR="002B5942" w:rsidRPr="00883926" w:rsidRDefault="002B5942" w:rsidP="0088392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25" w:type="pct"/>
            <w:noWrap/>
          </w:tcPr>
          <w:p w:rsidR="002B5942" w:rsidRPr="00BB0691" w:rsidRDefault="003E21A5" w:rsidP="0009077E">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883982">
              <w:rPr>
                <w:rStyle w:val="AERtextbold"/>
                <w:b w:val="0"/>
              </w:rPr>
              <w:t>–</w:t>
            </w:r>
            <w:r w:rsidR="00E7635F" w:rsidRPr="0009077E">
              <w:rPr>
                <w:rStyle w:val="AERtextbold"/>
                <w:b w:val="0"/>
              </w:rPr>
              <w:t>24</w:t>
            </w:r>
            <w:r w:rsidR="00D73997" w:rsidRPr="0009077E">
              <w:rPr>
                <w:rStyle w:val="AERtextbold"/>
                <w:b w:val="0"/>
              </w:rPr>
              <w:t>2.8</w:t>
            </w:r>
          </w:p>
        </w:tc>
      </w:tr>
      <w:tr w:rsidR="003E21A5" w:rsidRPr="00883926"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2" w:type="pct"/>
            <w:noWrap/>
            <w:vAlign w:val="bottom"/>
          </w:tcPr>
          <w:p w:rsidR="002B5942" w:rsidRPr="00C4765D" w:rsidRDefault="002B5942" w:rsidP="00C4765D">
            <w:pPr>
              <w:pStyle w:val="AERtabletextleft"/>
              <w:rPr>
                <w:rStyle w:val="AERtextbold"/>
              </w:rPr>
            </w:pPr>
            <w:r w:rsidRPr="00883926">
              <w:rPr>
                <w:rStyle w:val="AERtextbold"/>
              </w:rPr>
              <w:t>Opening TAB as at 1 July 2014</w:t>
            </w:r>
          </w:p>
        </w:tc>
        <w:tc>
          <w:tcPr>
            <w:tcW w:w="610" w:type="pct"/>
            <w:noWrap/>
          </w:tcPr>
          <w:p w:rsidR="002B5942" w:rsidRPr="00883926" w:rsidRDefault="002B5942" w:rsidP="00C4765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24" w:type="pct"/>
            <w:noWrap/>
          </w:tcPr>
          <w:p w:rsidR="002B5942" w:rsidRPr="00883926" w:rsidRDefault="002B5942" w:rsidP="00C4765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24" w:type="pct"/>
            <w:noWrap/>
          </w:tcPr>
          <w:p w:rsidR="002B5942" w:rsidRPr="00883926" w:rsidRDefault="002B5942" w:rsidP="00C4765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24" w:type="pct"/>
            <w:noWrap/>
          </w:tcPr>
          <w:p w:rsidR="002B5942" w:rsidRPr="00883926" w:rsidRDefault="002B5942" w:rsidP="00C4765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25" w:type="pct"/>
            <w:noWrap/>
            <w:vAlign w:val="bottom"/>
          </w:tcPr>
          <w:p w:rsidR="002B5942" w:rsidRPr="00C4765D" w:rsidRDefault="00E7635F" w:rsidP="00C4765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8 562</w:t>
            </w:r>
            <w:r w:rsidR="00D73997">
              <w:rPr>
                <w:rStyle w:val="AERtextbold"/>
              </w:rPr>
              <w:t>.4</w:t>
            </w:r>
          </w:p>
        </w:tc>
      </w:tr>
    </w:tbl>
    <w:p w:rsidR="0052303D" w:rsidRPr="0052303D" w:rsidRDefault="0052303D" w:rsidP="0052303D">
      <w:pPr>
        <w:pStyle w:val="AERtablesource"/>
      </w:pPr>
      <w:r w:rsidRPr="0052303D">
        <w:t xml:space="preserve">Source: </w:t>
      </w:r>
      <w:r w:rsidRPr="0052303D">
        <w:tab/>
        <w:t>AER analysis.</w:t>
      </w:r>
    </w:p>
    <w:p w:rsidR="0052303D" w:rsidRPr="0052303D" w:rsidRDefault="0052303D" w:rsidP="0052303D">
      <w:pPr>
        <w:pStyle w:val="AERtablesource"/>
      </w:pPr>
      <w:r w:rsidRPr="0052303D">
        <w:t>(a)</w:t>
      </w:r>
      <w:r w:rsidRPr="0052303D">
        <w:tab/>
      </w:r>
      <w:r>
        <w:t>N</w:t>
      </w:r>
      <w:r w:rsidRPr="0052303D">
        <w:t>et of disposals.</w:t>
      </w:r>
    </w:p>
    <w:p w:rsidR="0052303D" w:rsidRDefault="0052303D" w:rsidP="0052303D">
      <w:pPr>
        <w:pStyle w:val="AERtablesource"/>
      </w:pPr>
      <w:r w:rsidRPr="0052303D">
        <w:t>(b)</w:t>
      </w:r>
      <w:r w:rsidRPr="0052303D">
        <w:tab/>
        <w:t xml:space="preserve">Based on </w:t>
      </w:r>
      <w:r w:rsidR="00544F74">
        <w:t xml:space="preserve">revised </w:t>
      </w:r>
      <w:r w:rsidRPr="0052303D">
        <w:t>estimated capex.</w:t>
      </w:r>
    </w:p>
    <w:p w:rsidR="002B5942" w:rsidRPr="00213E04" w:rsidRDefault="002B5942" w:rsidP="00213E04">
      <w:pPr>
        <w:spacing w:after="0" w:line="240" w:lineRule="auto"/>
        <w:ind w:left="1440" w:hanging="1440"/>
        <w:jc w:val="left"/>
        <w:rPr>
          <w:rStyle w:val="AERtextbold"/>
        </w:rPr>
      </w:pPr>
      <w:bookmarkStart w:id="31" w:name="_Ref399431671"/>
      <w:r w:rsidRPr="00213E04">
        <w:rPr>
          <w:rStyle w:val="AERtextbold"/>
        </w:rPr>
        <w:t xml:space="preserve">Table </w:t>
      </w:r>
      <w:r w:rsidR="00213E04" w:rsidRPr="00213E04">
        <w:rPr>
          <w:rStyle w:val="AERtextbold"/>
        </w:rPr>
        <w:t>8</w:t>
      </w:r>
      <w:r w:rsidR="00BD0BE1" w:rsidRPr="00213E04">
        <w:rPr>
          <w:rStyle w:val="AERtextbold"/>
        </w:rPr>
        <w:noBreakHyphen/>
      </w:r>
      <w:r w:rsidR="00684042" w:rsidRPr="00213E04">
        <w:rPr>
          <w:rStyle w:val="AERtextbold"/>
        </w:rPr>
        <w:fldChar w:fldCharType="begin"/>
      </w:r>
      <w:r w:rsidR="00684042" w:rsidRPr="00213E04">
        <w:rPr>
          <w:rStyle w:val="AERtextbold"/>
        </w:rPr>
        <w:instrText xml:space="preserve"> SEQ Table \* ARABIC \s 1 </w:instrText>
      </w:r>
      <w:r w:rsidR="00684042" w:rsidRPr="00213E04">
        <w:rPr>
          <w:rStyle w:val="AERtextbold"/>
        </w:rPr>
        <w:fldChar w:fldCharType="separate"/>
      </w:r>
      <w:r w:rsidR="005F7062">
        <w:rPr>
          <w:rStyle w:val="AERtextbold"/>
          <w:noProof/>
        </w:rPr>
        <w:t>8</w:t>
      </w:r>
      <w:r w:rsidR="00684042" w:rsidRPr="00213E04">
        <w:rPr>
          <w:rStyle w:val="AERtextbold"/>
        </w:rPr>
        <w:fldChar w:fldCharType="end"/>
      </w:r>
      <w:bookmarkEnd w:id="31"/>
      <w:r w:rsidRPr="00213E04">
        <w:rPr>
          <w:rStyle w:val="AERtextbold"/>
        </w:rPr>
        <w:tab/>
        <w:t>AER's draft decision on Ausgrid's TAB roll forward – transmission ($ million, nominal)</w:t>
      </w:r>
    </w:p>
    <w:tbl>
      <w:tblPr>
        <w:tblStyle w:val="AERtable-numbers"/>
        <w:tblW w:w="5000" w:type="pct"/>
        <w:tblLook w:val="04A0" w:firstRow="1" w:lastRow="0" w:firstColumn="1" w:lastColumn="0" w:noHBand="0" w:noVBand="1"/>
      </w:tblPr>
      <w:tblGrid>
        <w:gridCol w:w="3498"/>
        <w:gridCol w:w="1130"/>
        <w:gridCol w:w="1153"/>
        <w:gridCol w:w="1153"/>
        <w:gridCol w:w="1153"/>
        <w:gridCol w:w="1155"/>
      </w:tblGrid>
      <w:tr w:rsidR="002B5942" w:rsidRPr="0052303D" w:rsidTr="002B59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2B5942" w:rsidRPr="002B5942" w:rsidRDefault="002B5942" w:rsidP="002B5942">
            <w:pPr>
              <w:pStyle w:val="AERtabletextleft"/>
            </w:pPr>
            <w:r w:rsidRPr="0052303D">
              <w:t> </w:t>
            </w:r>
          </w:p>
        </w:tc>
        <w:tc>
          <w:tcPr>
            <w:tcW w:w="611" w:type="pct"/>
            <w:noWrap/>
            <w:hideMark/>
          </w:tcPr>
          <w:p w:rsidR="002B5942" w:rsidRPr="002B5942" w:rsidRDefault="002B5942" w:rsidP="002B5942">
            <w:pPr>
              <w:pStyle w:val="AERtabletextright"/>
              <w:cnfStyle w:val="100000000000" w:firstRow="1" w:lastRow="0" w:firstColumn="0" w:lastColumn="0" w:oddVBand="0" w:evenVBand="0" w:oddHBand="0" w:evenHBand="0" w:firstRowFirstColumn="0" w:firstRowLastColumn="0" w:lastRowFirstColumn="0" w:lastRowLastColumn="0"/>
            </w:pPr>
            <w:r w:rsidRPr="0052303D">
              <w:t>2009</w:t>
            </w:r>
            <w:r w:rsidRPr="002B5942">
              <w:rPr>
                <w:rFonts w:hint="eastAsia"/>
              </w:rPr>
              <w:t>–</w:t>
            </w:r>
            <w:r w:rsidRPr="002B5942">
              <w:t>10</w:t>
            </w:r>
          </w:p>
        </w:tc>
        <w:tc>
          <w:tcPr>
            <w:tcW w:w="624" w:type="pct"/>
            <w:noWrap/>
            <w:hideMark/>
          </w:tcPr>
          <w:p w:rsidR="002B5942" w:rsidRPr="002B5942" w:rsidRDefault="002B5942" w:rsidP="002B5942">
            <w:pPr>
              <w:pStyle w:val="AERtabletextright"/>
              <w:cnfStyle w:val="100000000000" w:firstRow="1" w:lastRow="0" w:firstColumn="0" w:lastColumn="0" w:oddVBand="0" w:evenVBand="0" w:oddHBand="0" w:evenHBand="0" w:firstRowFirstColumn="0" w:firstRowLastColumn="0" w:lastRowFirstColumn="0" w:lastRowLastColumn="0"/>
            </w:pPr>
            <w:r w:rsidRPr="0052303D">
              <w:t>2010</w:t>
            </w:r>
            <w:r w:rsidRPr="002B5942">
              <w:rPr>
                <w:rFonts w:hint="eastAsia"/>
              </w:rPr>
              <w:t>–</w:t>
            </w:r>
            <w:r w:rsidRPr="002B5942">
              <w:t>11</w:t>
            </w:r>
          </w:p>
        </w:tc>
        <w:tc>
          <w:tcPr>
            <w:tcW w:w="624" w:type="pct"/>
            <w:noWrap/>
            <w:hideMark/>
          </w:tcPr>
          <w:p w:rsidR="002B5942" w:rsidRPr="002B5942" w:rsidRDefault="002B5942" w:rsidP="002B5942">
            <w:pPr>
              <w:pStyle w:val="AERtabletextright"/>
              <w:cnfStyle w:val="100000000000" w:firstRow="1" w:lastRow="0" w:firstColumn="0" w:lastColumn="0" w:oddVBand="0" w:evenVBand="0" w:oddHBand="0" w:evenHBand="0" w:firstRowFirstColumn="0" w:firstRowLastColumn="0" w:lastRowFirstColumn="0" w:lastRowLastColumn="0"/>
            </w:pPr>
            <w:r w:rsidRPr="0052303D">
              <w:t>2011</w:t>
            </w:r>
            <w:r w:rsidRPr="002B5942">
              <w:rPr>
                <w:rFonts w:hint="eastAsia"/>
              </w:rPr>
              <w:t>–</w:t>
            </w:r>
            <w:r w:rsidRPr="002B5942">
              <w:t>12</w:t>
            </w:r>
          </w:p>
        </w:tc>
        <w:tc>
          <w:tcPr>
            <w:tcW w:w="624" w:type="pct"/>
            <w:noWrap/>
            <w:hideMark/>
          </w:tcPr>
          <w:p w:rsidR="002B5942" w:rsidRPr="002B5942" w:rsidRDefault="002B5942" w:rsidP="002B5942">
            <w:pPr>
              <w:pStyle w:val="AERtabletextright"/>
              <w:cnfStyle w:val="100000000000" w:firstRow="1" w:lastRow="0" w:firstColumn="0" w:lastColumn="0" w:oddVBand="0" w:evenVBand="0" w:oddHBand="0" w:evenHBand="0" w:firstRowFirstColumn="0" w:firstRowLastColumn="0" w:lastRowFirstColumn="0" w:lastRowLastColumn="0"/>
            </w:pPr>
            <w:r w:rsidRPr="0052303D">
              <w:t>2012</w:t>
            </w:r>
            <w:r w:rsidRPr="002B5942">
              <w:rPr>
                <w:rFonts w:hint="eastAsia"/>
              </w:rPr>
              <w:t>–</w:t>
            </w:r>
            <w:r w:rsidRPr="002B5942">
              <w:t>13</w:t>
            </w:r>
          </w:p>
        </w:tc>
        <w:tc>
          <w:tcPr>
            <w:tcW w:w="625" w:type="pct"/>
            <w:noWrap/>
            <w:hideMark/>
          </w:tcPr>
          <w:p w:rsidR="002B5942" w:rsidRPr="002B5942" w:rsidRDefault="002B5942" w:rsidP="002B5942">
            <w:pPr>
              <w:pStyle w:val="AERtabletextright"/>
              <w:cnfStyle w:val="100000000000" w:firstRow="1" w:lastRow="0" w:firstColumn="0" w:lastColumn="0" w:oddVBand="0" w:evenVBand="0" w:oddHBand="0" w:evenHBand="0" w:firstRowFirstColumn="0" w:firstRowLastColumn="0" w:lastRowFirstColumn="0" w:lastRowLastColumn="0"/>
            </w:pPr>
            <w:r w:rsidRPr="0052303D">
              <w:t>2013</w:t>
            </w:r>
            <w:r w:rsidRPr="002B5942">
              <w:rPr>
                <w:rFonts w:hint="eastAsia"/>
              </w:rPr>
              <w:t>–</w:t>
            </w:r>
            <w:r w:rsidRPr="002B5942">
              <w:t>14</w:t>
            </w:r>
            <w:r w:rsidRPr="002B5942">
              <w:rPr>
                <w:rStyle w:val="AERsuperscript"/>
              </w:rPr>
              <w:t>b</w:t>
            </w:r>
          </w:p>
        </w:tc>
      </w:tr>
      <w:tr w:rsidR="002B5942" w:rsidRPr="00ED1F76" w:rsidTr="002B5942">
        <w:trPr>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2B5942" w:rsidRPr="00213E04" w:rsidRDefault="002B5942">
            <w:pPr>
              <w:pStyle w:val="AERtabletextleft"/>
              <w:rPr>
                <w:rStyle w:val="AERtextbold"/>
                <w:b w:val="0"/>
              </w:rPr>
            </w:pPr>
            <w:r w:rsidRPr="007A36D1">
              <w:rPr>
                <w:rStyle w:val="AERtextbold"/>
                <w:b w:val="0"/>
              </w:rPr>
              <w:t>Opening TAB</w:t>
            </w:r>
          </w:p>
        </w:tc>
        <w:tc>
          <w:tcPr>
            <w:tcW w:w="611" w:type="pct"/>
            <w:noWrap/>
            <w:vAlign w:val="bottom"/>
          </w:tcPr>
          <w:p w:rsidR="002B5942" w:rsidRPr="007A36D1" w:rsidRDefault="001E3B2A" w:rsidP="00213E04">
            <w:pPr>
              <w:pStyle w:val="AERtabletextleft"/>
              <w:cnfStyle w:val="000000000000" w:firstRow="0" w:lastRow="0" w:firstColumn="0" w:lastColumn="0" w:oddVBand="0" w:evenVBand="0" w:oddHBand="0" w:evenHBand="0" w:firstRowFirstColumn="0" w:firstRowLastColumn="0" w:lastRowFirstColumn="0" w:lastRowLastColumn="0"/>
              <w:rPr>
                <w:rStyle w:val="AERtextbold"/>
                <w:b w:val="0"/>
                <w:color w:val="FFFFFF"/>
              </w:rPr>
            </w:pPr>
            <w:r w:rsidRPr="007A36D1">
              <w:rPr>
                <w:rStyle w:val="AERtextbold"/>
                <w:b w:val="0"/>
              </w:rPr>
              <w:t>57</w:t>
            </w:r>
            <w:r w:rsidR="00B33594" w:rsidRPr="007A36D1">
              <w:rPr>
                <w:rStyle w:val="AERtextbold"/>
                <w:b w:val="0"/>
              </w:rPr>
              <w:t>0.9</w:t>
            </w:r>
          </w:p>
        </w:tc>
        <w:tc>
          <w:tcPr>
            <w:tcW w:w="624" w:type="pct"/>
            <w:noWrap/>
            <w:vAlign w:val="bottom"/>
          </w:tcPr>
          <w:p w:rsidR="002B5942" w:rsidRPr="00EF3B76" w:rsidRDefault="001E3B2A" w:rsidP="00213E04">
            <w:pPr>
              <w:pStyle w:val="AERtabletextleft"/>
              <w:cnfStyle w:val="000000000000" w:firstRow="0" w:lastRow="0" w:firstColumn="0" w:lastColumn="0" w:oddVBand="0" w:evenVBand="0" w:oddHBand="0" w:evenHBand="0" w:firstRowFirstColumn="0" w:firstRowLastColumn="0" w:lastRowFirstColumn="0" w:lastRowLastColumn="0"/>
              <w:rPr>
                <w:rStyle w:val="AERtextbold"/>
                <w:b w:val="0"/>
                <w:color w:val="FFFFFF"/>
              </w:rPr>
            </w:pPr>
            <w:r w:rsidRPr="00EF3B76">
              <w:rPr>
                <w:rStyle w:val="AERtextbold"/>
                <w:b w:val="0"/>
              </w:rPr>
              <w:t>761</w:t>
            </w:r>
            <w:r w:rsidR="00B33594" w:rsidRPr="00EF3B76">
              <w:rPr>
                <w:rStyle w:val="AERtextbold"/>
                <w:b w:val="0"/>
              </w:rPr>
              <w:t>.9</w:t>
            </w:r>
          </w:p>
        </w:tc>
        <w:tc>
          <w:tcPr>
            <w:tcW w:w="624" w:type="pct"/>
            <w:noWrap/>
            <w:vAlign w:val="bottom"/>
          </w:tcPr>
          <w:p w:rsidR="002B5942" w:rsidRPr="00213E04" w:rsidRDefault="001E3B2A" w:rsidP="00213E04">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795863">
              <w:rPr>
                <w:rStyle w:val="AERtextbold"/>
                <w:b w:val="0"/>
              </w:rPr>
              <w:t>1 001</w:t>
            </w:r>
            <w:r w:rsidR="00B33594" w:rsidRPr="00213E04">
              <w:rPr>
                <w:rStyle w:val="AERtextbold"/>
                <w:b w:val="0"/>
              </w:rPr>
              <w:t>.8</w:t>
            </w:r>
          </w:p>
        </w:tc>
        <w:tc>
          <w:tcPr>
            <w:tcW w:w="624" w:type="pct"/>
            <w:noWrap/>
            <w:vAlign w:val="bottom"/>
          </w:tcPr>
          <w:p w:rsidR="002B5942" w:rsidRPr="00213E04" w:rsidRDefault="001E3B2A" w:rsidP="00213E04">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213E04">
              <w:rPr>
                <w:rStyle w:val="AERtextbold"/>
                <w:b w:val="0"/>
              </w:rPr>
              <w:t>1 296</w:t>
            </w:r>
            <w:r w:rsidR="00B33594" w:rsidRPr="00213E04">
              <w:rPr>
                <w:rStyle w:val="AERtextbold"/>
                <w:b w:val="0"/>
              </w:rPr>
              <w:t>.5</w:t>
            </w:r>
          </w:p>
        </w:tc>
        <w:tc>
          <w:tcPr>
            <w:tcW w:w="625" w:type="pct"/>
            <w:noWrap/>
            <w:vAlign w:val="bottom"/>
          </w:tcPr>
          <w:p w:rsidR="002B5942" w:rsidRPr="00213E04" w:rsidRDefault="001E3B2A" w:rsidP="00213E04">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213E04">
              <w:rPr>
                <w:rStyle w:val="AERtextbold"/>
                <w:b w:val="0"/>
              </w:rPr>
              <w:t>1 463</w:t>
            </w:r>
            <w:r w:rsidR="00B33594" w:rsidRPr="00213E04">
              <w:rPr>
                <w:rStyle w:val="AERtextbold"/>
                <w:b w:val="0"/>
              </w:rPr>
              <w:t>.8</w:t>
            </w:r>
          </w:p>
        </w:tc>
      </w:tr>
      <w:tr w:rsidR="002B5942" w:rsidRPr="0052303D"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2B5942" w:rsidRPr="002B5942" w:rsidRDefault="002B5942" w:rsidP="002B5942">
            <w:pPr>
              <w:pStyle w:val="AERtabletextleft"/>
            </w:pPr>
            <w:r w:rsidRPr="00883926">
              <w:t>Capital expenditure</w:t>
            </w:r>
            <w:r w:rsidRPr="002B5942">
              <w:rPr>
                <w:rStyle w:val="AERsuperscript"/>
              </w:rPr>
              <w:t>a</w:t>
            </w:r>
          </w:p>
        </w:tc>
        <w:tc>
          <w:tcPr>
            <w:tcW w:w="611" w:type="pct"/>
            <w:noWrap/>
            <w:vAlign w:val="bottom"/>
          </w:tcPr>
          <w:p w:rsidR="002B5942" w:rsidRPr="00883926" w:rsidRDefault="001E3B2A" w:rsidP="00B33594">
            <w:pPr>
              <w:pStyle w:val="AERtabletextright"/>
              <w:cnfStyle w:val="000000010000" w:firstRow="0" w:lastRow="0" w:firstColumn="0" w:lastColumn="0" w:oddVBand="0" w:evenVBand="0" w:oddHBand="0" w:evenHBand="1" w:firstRowFirstColumn="0" w:firstRowLastColumn="0" w:lastRowFirstColumn="0" w:lastRowLastColumn="0"/>
            </w:pPr>
            <w:r>
              <w:t>22</w:t>
            </w:r>
            <w:r w:rsidR="00B33594">
              <w:t>3.9</w:t>
            </w:r>
          </w:p>
        </w:tc>
        <w:tc>
          <w:tcPr>
            <w:tcW w:w="624" w:type="pct"/>
            <w:noWrap/>
            <w:vAlign w:val="bottom"/>
          </w:tcPr>
          <w:p w:rsidR="002B5942" w:rsidRPr="00883926" w:rsidRDefault="001E3B2A" w:rsidP="00B33594">
            <w:pPr>
              <w:pStyle w:val="AERtabletextright"/>
              <w:cnfStyle w:val="000000010000" w:firstRow="0" w:lastRow="0" w:firstColumn="0" w:lastColumn="0" w:oddVBand="0" w:evenVBand="0" w:oddHBand="0" w:evenHBand="1" w:firstRowFirstColumn="0" w:firstRowLastColumn="0" w:lastRowFirstColumn="0" w:lastRowLastColumn="0"/>
            </w:pPr>
            <w:r>
              <w:t>26</w:t>
            </w:r>
            <w:r w:rsidR="00B33594">
              <w:t>4.6</w:t>
            </w:r>
          </w:p>
        </w:tc>
        <w:tc>
          <w:tcPr>
            <w:tcW w:w="624" w:type="pct"/>
            <w:noWrap/>
            <w:vAlign w:val="bottom"/>
          </w:tcPr>
          <w:p w:rsidR="002B5942" w:rsidRPr="00883926" w:rsidRDefault="001E3B2A" w:rsidP="00B33594">
            <w:pPr>
              <w:pStyle w:val="AERtabletextright"/>
              <w:cnfStyle w:val="000000010000" w:firstRow="0" w:lastRow="0" w:firstColumn="0" w:lastColumn="0" w:oddVBand="0" w:evenVBand="0" w:oddHBand="0" w:evenHBand="1" w:firstRowFirstColumn="0" w:firstRowLastColumn="0" w:lastRowFirstColumn="0" w:lastRowLastColumn="0"/>
            </w:pPr>
            <w:r>
              <w:t>32</w:t>
            </w:r>
            <w:r w:rsidR="00B33594">
              <w:t>5.9</w:t>
            </w:r>
          </w:p>
        </w:tc>
        <w:tc>
          <w:tcPr>
            <w:tcW w:w="624" w:type="pct"/>
            <w:noWrap/>
            <w:vAlign w:val="bottom"/>
          </w:tcPr>
          <w:p w:rsidR="002B5942" w:rsidRPr="00883926" w:rsidRDefault="001E3B2A" w:rsidP="002B5942">
            <w:pPr>
              <w:pStyle w:val="AERtabletextright"/>
              <w:cnfStyle w:val="000000010000" w:firstRow="0" w:lastRow="0" w:firstColumn="0" w:lastColumn="0" w:oddVBand="0" w:evenVBand="0" w:oddHBand="0" w:evenHBand="1" w:firstRowFirstColumn="0" w:firstRowLastColumn="0" w:lastRowFirstColumn="0" w:lastRowLastColumn="0"/>
            </w:pPr>
            <w:r>
              <w:t>206</w:t>
            </w:r>
            <w:r w:rsidR="00B33594">
              <w:t>.3</w:t>
            </w:r>
          </w:p>
        </w:tc>
        <w:tc>
          <w:tcPr>
            <w:tcW w:w="625" w:type="pct"/>
            <w:noWrap/>
            <w:vAlign w:val="bottom"/>
          </w:tcPr>
          <w:p w:rsidR="002B5942" w:rsidRPr="00883926" w:rsidRDefault="001E3B2A" w:rsidP="002B5942">
            <w:pPr>
              <w:pStyle w:val="AERtabletextright"/>
              <w:cnfStyle w:val="000000010000" w:firstRow="0" w:lastRow="0" w:firstColumn="0" w:lastColumn="0" w:oddVBand="0" w:evenVBand="0" w:oddHBand="0" w:evenHBand="1" w:firstRowFirstColumn="0" w:firstRowLastColumn="0" w:lastRowFirstColumn="0" w:lastRowLastColumn="0"/>
            </w:pPr>
            <w:r>
              <w:t>82</w:t>
            </w:r>
            <w:r w:rsidR="00B33594">
              <w:t>.1</w:t>
            </w:r>
          </w:p>
        </w:tc>
      </w:tr>
      <w:tr w:rsidR="002B5942" w:rsidRPr="0052303D" w:rsidTr="002B5942">
        <w:trPr>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2B5942" w:rsidRPr="002B5942" w:rsidRDefault="002B5942" w:rsidP="002B5942">
            <w:pPr>
              <w:pStyle w:val="AERtabletextleft"/>
            </w:pPr>
            <w:r>
              <w:t xml:space="preserve">Less: </w:t>
            </w:r>
            <w:r w:rsidR="009D13D1">
              <w:t>t</w:t>
            </w:r>
            <w:r w:rsidRPr="002B5942">
              <w:t>ax depreciation</w:t>
            </w:r>
          </w:p>
        </w:tc>
        <w:tc>
          <w:tcPr>
            <w:tcW w:w="611" w:type="pct"/>
            <w:noWrap/>
            <w:vAlign w:val="bottom"/>
          </w:tcPr>
          <w:p w:rsidR="002B5942" w:rsidRPr="00883926" w:rsidRDefault="001E3B2A" w:rsidP="00B33594">
            <w:pPr>
              <w:pStyle w:val="AERtabletextright"/>
              <w:cnfStyle w:val="000000000000" w:firstRow="0" w:lastRow="0" w:firstColumn="0" w:lastColumn="0" w:oddVBand="0" w:evenVBand="0" w:oddHBand="0" w:evenHBand="0" w:firstRowFirstColumn="0" w:firstRowLastColumn="0" w:lastRowFirstColumn="0" w:lastRowLastColumn="0"/>
            </w:pPr>
            <w:r>
              <w:t>3</w:t>
            </w:r>
            <w:r w:rsidR="00B33594">
              <w:t>2.9</w:t>
            </w:r>
          </w:p>
        </w:tc>
        <w:tc>
          <w:tcPr>
            <w:tcW w:w="624" w:type="pct"/>
            <w:noWrap/>
            <w:vAlign w:val="bottom"/>
          </w:tcPr>
          <w:p w:rsidR="002B5942" w:rsidRPr="00883926" w:rsidRDefault="001E3B2A" w:rsidP="00B33594">
            <w:pPr>
              <w:pStyle w:val="AERtabletextright"/>
              <w:cnfStyle w:val="000000000000" w:firstRow="0" w:lastRow="0" w:firstColumn="0" w:lastColumn="0" w:oddVBand="0" w:evenVBand="0" w:oddHBand="0" w:evenHBand="0" w:firstRowFirstColumn="0" w:firstRowLastColumn="0" w:lastRowFirstColumn="0" w:lastRowLastColumn="0"/>
            </w:pPr>
            <w:r>
              <w:t>2</w:t>
            </w:r>
            <w:r w:rsidR="00B33594">
              <w:t>4.7</w:t>
            </w:r>
          </w:p>
        </w:tc>
        <w:tc>
          <w:tcPr>
            <w:tcW w:w="624" w:type="pct"/>
            <w:noWrap/>
            <w:vAlign w:val="bottom"/>
          </w:tcPr>
          <w:p w:rsidR="002B5942" w:rsidRPr="00883926" w:rsidRDefault="001E3B2A" w:rsidP="002B5942">
            <w:pPr>
              <w:pStyle w:val="AERtabletextright"/>
              <w:cnfStyle w:val="000000000000" w:firstRow="0" w:lastRow="0" w:firstColumn="0" w:lastColumn="0" w:oddVBand="0" w:evenVBand="0" w:oddHBand="0" w:evenHBand="0" w:firstRowFirstColumn="0" w:firstRowLastColumn="0" w:lastRowFirstColumn="0" w:lastRowLastColumn="0"/>
            </w:pPr>
            <w:r>
              <w:t>31</w:t>
            </w:r>
            <w:r w:rsidR="00B33594">
              <w:t>.2</w:t>
            </w:r>
          </w:p>
        </w:tc>
        <w:tc>
          <w:tcPr>
            <w:tcW w:w="624" w:type="pct"/>
            <w:noWrap/>
            <w:vAlign w:val="bottom"/>
          </w:tcPr>
          <w:p w:rsidR="002B5942" w:rsidRPr="00883926" w:rsidRDefault="001E3B2A" w:rsidP="002B5942">
            <w:pPr>
              <w:pStyle w:val="AERtabletextright"/>
              <w:cnfStyle w:val="000000000000" w:firstRow="0" w:lastRow="0" w:firstColumn="0" w:lastColumn="0" w:oddVBand="0" w:evenVBand="0" w:oddHBand="0" w:evenHBand="0" w:firstRowFirstColumn="0" w:firstRowLastColumn="0" w:lastRowFirstColumn="0" w:lastRowLastColumn="0"/>
            </w:pPr>
            <w:r>
              <w:t>39</w:t>
            </w:r>
            <w:r w:rsidR="00B33594">
              <w:t>.0</w:t>
            </w:r>
          </w:p>
        </w:tc>
        <w:tc>
          <w:tcPr>
            <w:tcW w:w="625" w:type="pct"/>
            <w:noWrap/>
            <w:vAlign w:val="bottom"/>
          </w:tcPr>
          <w:p w:rsidR="002B5942" w:rsidRPr="00883926" w:rsidRDefault="001E3B2A" w:rsidP="00B33594">
            <w:pPr>
              <w:pStyle w:val="AERtabletextright"/>
              <w:cnfStyle w:val="000000000000" w:firstRow="0" w:lastRow="0" w:firstColumn="0" w:lastColumn="0" w:oddVBand="0" w:evenVBand="0" w:oddHBand="0" w:evenHBand="0" w:firstRowFirstColumn="0" w:firstRowLastColumn="0" w:lastRowFirstColumn="0" w:lastRowLastColumn="0"/>
            </w:pPr>
            <w:r>
              <w:t>4</w:t>
            </w:r>
            <w:r w:rsidR="00B33594">
              <w:t>3.8</w:t>
            </w:r>
          </w:p>
        </w:tc>
      </w:tr>
      <w:tr w:rsidR="002B5942" w:rsidRPr="00ED1F76"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2B5942" w:rsidRPr="00213E04" w:rsidRDefault="002B5942" w:rsidP="00213E04">
            <w:pPr>
              <w:pStyle w:val="AERtabletextleft"/>
              <w:rPr>
                <w:rStyle w:val="AERtextbold"/>
                <w:b w:val="0"/>
              </w:rPr>
            </w:pPr>
            <w:r w:rsidRPr="00213E04">
              <w:rPr>
                <w:rStyle w:val="AERtextbold"/>
                <w:b w:val="0"/>
              </w:rPr>
              <w:t>Closing TAB</w:t>
            </w:r>
          </w:p>
        </w:tc>
        <w:tc>
          <w:tcPr>
            <w:tcW w:w="611" w:type="pct"/>
            <w:noWrap/>
            <w:vAlign w:val="bottom"/>
          </w:tcPr>
          <w:p w:rsidR="002B5942" w:rsidRPr="007A36D1" w:rsidRDefault="001E3B2A" w:rsidP="00213E04">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7A36D1">
              <w:rPr>
                <w:rStyle w:val="AERtextbold"/>
                <w:b w:val="0"/>
              </w:rPr>
              <w:t>761</w:t>
            </w:r>
            <w:r w:rsidR="00B33594" w:rsidRPr="007A36D1">
              <w:rPr>
                <w:rStyle w:val="AERtextbold"/>
                <w:b w:val="0"/>
              </w:rPr>
              <w:t>.9</w:t>
            </w:r>
          </w:p>
        </w:tc>
        <w:tc>
          <w:tcPr>
            <w:tcW w:w="624" w:type="pct"/>
            <w:noWrap/>
            <w:vAlign w:val="bottom"/>
          </w:tcPr>
          <w:p w:rsidR="002B5942" w:rsidRPr="00EF3B76" w:rsidRDefault="001E3B2A" w:rsidP="00213E04">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EF3B76">
              <w:rPr>
                <w:rStyle w:val="AERtextbold"/>
                <w:b w:val="0"/>
              </w:rPr>
              <w:t>1 001</w:t>
            </w:r>
            <w:r w:rsidR="00B33594" w:rsidRPr="00EF3B76">
              <w:rPr>
                <w:rStyle w:val="AERtextbold"/>
                <w:b w:val="0"/>
              </w:rPr>
              <w:t>.8</w:t>
            </w:r>
          </w:p>
        </w:tc>
        <w:tc>
          <w:tcPr>
            <w:tcW w:w="624" w:type="pct"/>
            <w:noWrap/>
            <w:vAlign w:val="bottom"/>
          </w:tcPr>
          <w:p w:rsidR="002B5942" w:rsidRPr="00213E04" w:rsidRDefault="001E3B2A" w:rsidP="00213E04">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795863">
              <w:rPr>
                <w:rStyle w:val="AERtextbold"/>
                <w:b w:val="0"/>
              </w:rPr>
              <w:t>1 296</w:t>
            </w:r>
            <w:r w:rsidR="00B33594" w:rsidRPr="00213E04">
              <w:rPr>
                <w:rStyle w:val="AERtextbold"/>
                <w:b w:val="0"/>
              </w:rPr>
              <w:t>.5</w:t>
            </w:r>
          </w:p>
        </w:tc>
        <w:tc>
          <w:tcPr>
            <w:tcW w:w="624" w:type="pct"/>
            <w:noWrap/>
            <w:vAlign w:val="bottom"/>
          </w:tcPr>
          <w:p w:rsidR="002B5942" w:rsidRPr="00213E04" w:rsidRDefault="001E3B2A" w:rsidP="00213E04">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213E04">
              <w:rPr>
                <w:rStyle w:val="AERtextbold"/>
                <w:b w:val="0"/>
              </w:rPr>
              <w:t>1 463</w:t>
            </w:r>
            <w:r w:rsidR="00B33594" w:rsidRPr="00213E04">
              <w:rPr>
                <w:rStyle w:val="AERtextbold"/>
                <w:b w:val="0"/>
              </w:rPr>
              <w:t>.8</w:t>
            </w:r>
          </w:p>
        </w:tc>
        <w:tc>
          <w:tcPr>
            <w:tcW w:w="625" w:type="pct"/>
            <w:noWrap/>
            <w:vAlign w:val="bottom"/>
          </w:tcPr>
          <w:p w:rsidR="002B5942" w:rsidRPr="00213E04" w:rsidRDefault="001E3B2A" w:rsidP="00213E04">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213E04">
              <w:rPr>
                <w:rStyle w:val="AERtextbold"/>
                <w:b w:val="0"/>
              </w:rPr>
              <w:t>1 502</w:t>
            </w:r>
            <w:r w:rsidR="00B33594" w:rsidRPr="00213E04">
              <w:rPr>
                <w:rStyle w:val="AERtextbold"/>
                <w:b w:val="0"/>
              </w:rPr>
              <w:t>.1</w:t>
            </w:r>
          </w:p>
        </w:tc>
      </w:tr>
    </w:tbl>
    <w:p w:rsidR="002B5942" w:rsidRPr="002B5942" w:rsidRDefault="002B5942" w:rsidP="002B5942">
      <w:pPr>
        <w:pStyle w:val="AERtablesource"/>
      </w:pPr>
      <w:r w:rsidRPr="002B5942">
        <w:t xml:space="preserve">Source: </w:t>
      </w:r>
      <w:r w:rsidRPr="002B5942">
        <w:tab/>
        <w:t>AER analysis.</w:t>
      </w:r>
    </w:p>
    <w:p w:rsidR="002B5942" w:rsidRPr="002B5942" w:rsidRDefault="002B5942" w:rsidP="002B5942">
      <w:pPr>
        <w:pStyle w:val="AERtablesource"/>
      </w:pPr>
      <w:r w:rsidRPr="002B5942">
        <w:t>(a)</w:t>
      </w:r>
      <w:r w:rsidRPr="002B5942">
        <w:tab/>
        <w:t>Net of disposals.</w:t>
      </w:r>
    </w:p>
    <w:p w:rsidR="002B5942" w:rsidRPr="002B5942" w:rsidRDefault="002B5942" w:rsidP="002B5942">
      <w:pPr>
        <w:pStyle w:val="AERtablesource"/>
      </w:pPr>
      <w:r w:rsidRPr="002B5942">
        <w:t>(b)</w:t>
      </w:r>
      <w:r w:rsidRPr="002B5942">
        <w:tab/>
        <w:t>Based on estimated capex.</w:t>
      </w:r>
    </w:p>
    <w:p w:rsidR="009F030C" w:rsidRDefault="0085652B" w:rsidP="009F030C">
      <w:pPr>
        <w:pStyle w:val="Heading3"/>
      </w:pPr>
      <w:bookmarkStart w:id="32" w:name="_Ref399919316"/>
      <w:bookmarkStart w:id="33" w:name="_Toc404364246"/>
      <w:r>
        <w:t>Standard tax asset lives</w:t>
      </w:r>
      <w:bookmarkEnd w:id="32"/>
      <w:bookmarkEnd w:id="33"/>
    </w:p>
    <w:p w:rsidR="00100E28" w:rsidRPr="00100E28" w:rsidRDefault="00100E28" w:rsidP="00100E28">
      <w:pPr>
        <w:pStyle w:val="AERbodytext"/>
      </w:pPr>
      <w:r w:rsidRPr="00100E28">
        <w:t>We accept the majority of A</w:t>
      </w:r>
      <w:r>
        <w:t>usgrid's</w:t>
      </w:r>
      <w:r w:rsidRPr="00100E28">
        <w:t xml:space="preserve"> proposed standard tax asset lives </w:t>
      </w:r>
      <w:r w:rsidR="008A6126">
        <w:t xml:space="preserve">for its distribution and transmission networks </w:t>
      </w:r>
      <w:r w:rsidRPr="00100E28">
        <w:t>because they are:</w:t>
      </w:r>
    </w:p>
    <w:p w:rsidR="00100E28" w:rsidRPr="00100E28" w:rsidRDefault="00100E28" w:rsidP="00100E28">
      <w:pPr>
        <w:pStyle w:val="AERbulletlistfirststyle"/>
      </w:pPr>
      <w:r w:rsidRPr="00100E28">
        <w:t>broadly consistent with the values prescribed by the Commissioner for taxation in tax ruling 201</w:t>
      </w:r>
      <w:r w:rsidR="00BA7F34">
        <w:t>4</w:t>
      </w:r>
      <w:r w:rsidRPr="00100E28">
        <w:t>/4</w:t>
      </w:r>
      <w:r w:rsidR="00BA7F34">
        <w:rPr>
          <w:rStyle w:val="FootnoteReference"/>
        </w:rPr>
        <w:footnoteReference w:id="16"/>
      </w:r>
    </w:p>
    <w:p w:rsidR="00100E28" w:rsidRPr="00100E28" w:rsidRDefault="00100E28" w:rsidP="00100E28">
      <w:pPr>
        <w:pStyle w:val="AERbulletlistfirststyle"/>
      </w:pPr>
      <w:r w:rsidRPr="00100E28">
        <w:t xml:space="preserve">the same as those approved standard tax asset lives for the 2009–14 regulatory control period. </w:t>
      </w:r>
    </w:p>
    <w:p w:rsidR="000317F9" w:rsidRPr="000317F9" w:rsidRDefault="000317F9" w:rsidP="000317F9">
      <w:pPr>
        <w:pStyle w:val="AERbodytext"/>
      </w:pPr>
      <w:r w:rsidRPr="000317F9">
        <w:t>We are satisfied that the proposed standard tax asset lives remain appropriate for applying over the 2014–19 period.</w:t>
      </w:r>
    </w:p>
    <w:p w:rsidR="00100E28" w:rsidRDefault="00100E28" w:rsidP="00100E28">
      <w:pPr>
        <w:pStyle w:val="AERbodytext"/>
      </w:pPr>
      <w:r w:rsidRPr="00100E28">
        <w:t xml:space="preserve">However, we have changed the standard tax asset life for </w:t>
      </w:r>
      <w:r w:rsidR="00D76FF5">
        <w:t xml:space="preserve">the </w:t>
      </w:r>
      <w:r w:rsidRPr="00100E28">
        <w:t>'Equity raising costs' asset class to 5</w:t>
      </w:r>
      <w:r w:rsidR="00ED1F76">
        <w:t> </w:t>
      </w:r>
      <w:r w:rsidRPr="00100E28">
        <w:t>years from A</w:t>
      </w:r>
      <w:r>
        <w:t>usgrid</w:t>
      </w:r>
      <w:r w:rsidR="00D76FF5">
        <w:t>'s</w:t>
      </w:r>
      <w:r w:rsidRPr="00100E28">
        <w:t xml:space="preserve"> proposed 4</w:t>
      </w:r>
      <w:r>
        <w:t>7.3</w:t>
      </w:r>
      <w:r w:rsidRPr="00100E28">
        <w:t xml:space="preserve"> years </w:t>
      </w:r>
      <w:r w:rsidR="00D76FF5">
        <w:t xml:space="preserve">(distribution) and </w:t>
      </w:r>
      <w:r w:rsidR="00BA7F34">
        <w:t>45.7</w:t>
      </w:r>
      <w:r w:rsidR="00D76FF5">
        <w:t xml:space="preserve"> years (transmission) </w:t>
      </w:r>
      <w:r w:rsidRPr="00100E28">
        <w:t xml:space="preserve">for tax depreciation purposes. This is because the Australian Taxation Office (ATO) requires equity raising </w:t>
      </w:r>
      <w:r w:rsidRPr="00100E28">
        <w:lastRenderedPageBreak/>
        <w:t>costs to be amortised over a five-year period on a straight-line basis.</w:t>
      </w:r>
      <w:r w:rsidR="002D221F">
        <w:rPr>
          <w:rStyle w:val="FootnoteReference"/>
        </w:rPr>
        <w:footnoteReference w:id="17"/>
      </w:r>
      <w:r w:rsidRPr="00100E28">
        <w:t xml:space="preserve">  In recent determinations, we adopted a standard tax asset life of 5 years for amortising equity raising costs for tax depreciation purposes.</w:t>
      </w:r>
      <w:r w:rsidR="002D221F">
        <w:t xml:space="preserve"> </w:t>
      </w:r>
      <w:r w:rsidRPr="00100E28">
        <w:t>Therefore, we will apply the standard tax asset life of 5 years for tax depreciation purposes.</w:t>
      </w:r>
      <w:r w:rsidR="002D221F">
        <w:rPr>
          <w:rStyle w:val="FootnoteReference"/>
        </w:rPr>
        <w:footnoteReference w:id="18"/>
      </w:r>
      <w:r w:rsidRPr="00100E28">
        <w:t xml:space="preserve"> We consider this standard tax asset life provides a better estimate of the tax depreciation amount for a benchmark efficient service provider as required by the NER.</w:t>
      </w:r>
      <w:r w:rsidR="002D221F">
        <w:rPr>
          <w:rStyle w:val="FootnoteReference"/>
        </w:rPr>
        <w:footnoteReference w:id="19"/>
      </w:r>
      <w:r w:rsidRPr="00100E28">
        <w:t xml:space="preserve"> </w:t>
      </w:r>
    </w:p>
    <w:p w:rsidR="00D76FF5" w:rsidRPr="005F7062" w:rsidRDefault="00393A9F" w:rsidP="005F7062">
      <w:pPr>
        <w:pStyle w:val="AERbodytext"/>
        <w:rPr>
          <w:b/>
          <w:bCs/>
          <w:szCs w:val="18"/>
        </w:rPr>
      </w:pPr>
      <w:r>
        <w:fldChar w:fldCharType="begin"/>
      </w:r>
      <w:r>
        <w:instrText xml:space="preserve"> REF _Ref395101268 \h </w:instrText>
      </w:r>
      <w:r w:rsidR="005F7062">
        <w:instrText xml:space="preserve"> \* MERGEFORMAT </w:instrText>
      </w:r>
      <w:r>
        <w:fldChar w:fldCharType="separate"/>
      </w:r>
      <w:r w:rsidR="005F7062">
        <w:t>Table</w:t>
      </w:r>
      <w:r w:rsidR="005F7062" w:rsidRPr="005F7062">
        <w:rPr>
          <w:b/>
          <w:bCs/>
          <w:szCs w:val="18"/>
        </w:rPr>
        <w:t xml:space="preserve"> </w:t>
      </w:r>
      <w:r w:rsidR="005F7062">
        <w:t>8</w:t>
      </w:r>
      <w:r w:rsidR="005F7062">
        <w:noBreakHyphen/>
        <w:t>9</w:t>
      </w:r>
      <w:r>
        <w:fldChar w:fldCharType="end"/>
      </w:r>
      <w:r>
        <w:t xml:space="preserve"> </w:t>
      </w:r>
      <w:r w:rsidR="00D76FF5">
        <w:t>and</w:t>
      </w:r>
      <w:r w:rsidR="005F7062">
        <w:t xml:space="preserve"> </w:t>
      </w:r>
      <w:r>
        <w:fldChar w:fldCharType="begin"/>
      </w:r>
      <w:r>
        <w:instrText xml:space="preserve"> REF _Ref395101276 \h </w:instrText>
      </w:r>
      <w:r w:rsidR="005F7062">
        <w:instrText xml:space="preserve"> \* MERGEFORMAT </w:instrText>
      </w:r>
      <w:r>
        <w:fldChar w:fldCharType="separate"/>
      </w:r>
      <w:r w:rsidR="005F7062">
        <w:t>Table 8</w:t>
      </w:r>
      <w:r w:rsidR="005F7062">
        <w:noBreakHyphen/>
        <w:t>10</w:t>
      </w:r>
      <w:r>
        <w:fldChar w:fldCharType="end"/>
      </w:r>
      <w:r>
        <w:t xml:space="preserve"> </w:t>
      </w:r>
      <w:r w:rsidR="00D76FF5" w:rsidRPr="00855FDD">
        <w:t xml:space="preserve">present </w:t>
      </w:r>
      <w:r w:rsidR="00D76FF5">
        <w:t>our</w:t>
      </w:r>
      <w:r w:rsidR="00D76FF5" w:rsidRPr="00855FDD">
        <w:t xml:space="preserve"> draft decision on </w:t>
      </w:r>
      <w:r w:rsidR="00D76FF5">
        <w:t>the standard</w:t>
      </w:r>
      <w:r w:rsidR="00D76FF5" w:rsidRPr="00855FDD">
        <w:t xml:space="preserve"> tax asset lives for A</w:t>
      </w:r>
      <w:r w:rsidR="00D76FF5">
        <w:t>usgrid</w:t>
      </w:r>
      <w:r w:rsidR="00D76FF5" w:rsidRPr="00855FDD">
        <w:t xml:space="preserve">'s distribution </w:t>
      </w:r>
      <w:r w:rsidR="00D76FF5">
        <w:t xml:space="preserve">and transmission </w:t>
      </w:r>
      <w:r w:rsidR="00D76FF5" w:rsidRPr="00855FDD">
        <w:t>network</w:t>
      </w:r>
      <w:r w:rsidR="00D76FF5">
        <w:t>s respectively</w:t>
      </w:r>
      <w:r w:rsidR="00D76FF5" w:rsidRPr="00855FDD">
        <w:t>.</w:t>
      </w:r>
    </w:p>
    <w:p w:rsidR="009F030C" w:rsidRPr="0027422E" w:rsidRDefault="0085652B" w:rsidP="0027422E">
      <w:pPr>
        <w:pStyle w:val="Heading3"/>
      </w:pPr>
      <w:bookmarkStart w:id="34" w:name="_Ref399919341"/>
      <w:bookmarkStart w:id="35" w:name="_Toc404364247"/>
      <w:r w:rsidRPr="0027422E">
        <w:t>Remaining tax asset lives</w:t>
      </w:r>
      <w:bookmarkEnd w:id="34"/>
      <w:bookmarkEnd w:id="35"/>
    </w:p>
    <w:p w:rsidR="00CF140A" w:rsidRDefault="008A6126" w:rsidP="00041F69">
      <w:pPr>
        <w:pStyle w:val="AERbodytext"/>
        <w:numPr>
          <w:ilvl w:val="0"/>
          <w:numId w:val="0"/>
        </w:numPr>
      </w:pPr>
      <w:r>
        <w:t>We accept Ausgrid's proposed remaining tax asset lives for its distribution and transmission networks</w:t>
      </w:r>
      <w:r w:rsidR="000D0DC9">
        <w:t xml:space="preserve"> as at 1 July 2014</w:t>
      </w:r>
      <w:r>
        <w:t>. Our 2009 determination</w:t>
      </w:r>
      <w:r w:rsidR="00EB58A4">
        <w:t xml:space="preserve"> for Ausgrid did not contain </w:t>
      </w:r>
      <w:r w:rsidR="00CF140A">
        <w:t xml:space="preserve">remaining tax asset lives for </w:t>
      </w:r>
      <w:r w:rsidR="00EB58A4">
        <w:t>depreciating its</w:t>
      </w:r>
      <w:r w:rsidR="00CF140A">
        <w:t xml:space="preserve"> opening TAB as at 1 July 2009</w:t>
      </w:r>
      <w:r w:rsidR="00EB58A4">
        <w:t>. Instead</w:t>
      </w:r>
      <w:r w:rsidR="00103D62">
        <w:t>,</w:t>
      </w:r>
      <w:r w:rsidR="00CF140A">
        <w:t xml:space="preserve"> </w:t>
      </w:r>
      <w:r w:rsidR="00EB58A4">
        <w:t xml:space="preserve">we </w:t>
      </w:r>
      <w:r>
        <w:t xml:space="preserve">approved the use of </w:t>
      </w:r>
      <w:r w:rsidR="006F37F5">
        <w:t xml:space="preserve">specific </w:t>
      </w:r>
      <w:r>
        <w:t xml:space="preserve">forecast tax depreciation </w:t>
      </w:r>
      <w:r w:rsidR="006F37F5">
        <w:t xml:space="preserve">amounts </w:t>
      </w:r>
      <w:r w:rsidR="00CF140A">
        <w:t>for the 2009–14 regulatory control period.</w:t>
      </w:r>
      <w:r w:rsidR="00103D62">
        <w:rPr>
          <w:rStyle w:val="FootnoteReference"/>
        </w:rPr>
        <w:footnoteReference w:id="20"/>
      </w:r>
      <w:r w:rsidR="00CF140A">
        <w:t xml:space="preserve"> Ausgrid proposed </w:t>
      </w:r>
      <w:r w:rsidR="00103D62">
        <w:t>remaining tax asset lives as at 1 July 2014 calculated b</w:t>
      </w:r>
      <w:r w:rsidR="00EB58A4">
        <w:t>ased on</w:t>
      </w:r>
      <w:r w:rsidR="00103D62">
        <w:t xml:space="preserve"> </w:t>
      </w:r>
      <w:r w:rsidR="00CF140A">
        <w:t xml:space="preserve">the </w:t>
      </w:r>
      <w:r w:rsidR="00CF140A" w:rsidRPr="00CF140A">
        <w:t xml:space="preserve">standard tax asset life </w:t>
      </w:r>
      <w:r w:rsidR="00EB58A4">
        <w:t xml:space="preserve">for an asset class multiplied </w:t>
      </w:r>
      <w:r w:rsidR="00CF140A" w:rsidRPr="00CF140A">
        <w:t>by the ratio of the RAB remaining asset life to the RAB standard asset life</w:t>
      </w:r>
      <w:r w:rsidR="00CF140A">
        <w:t>.</w:t>
      </w:r>
      <w:r w:rsidR="00103D62">
        <w:rPr>
          <w:rStyle w:val="FootnoteReference"/>
        </w:rPr>
        <w:footnoteReference w:id="21"/>
      </w:r>
      <w:r w:rsidR="00CF140A">
        <w:t xml:space="preserve"> </w:t>
      </w:r>
    </w:p>
    <w:p w:rsidR="00041F69" w:rsidRDefault="00CF140A" w:rsidP="00041F69">
      <w:pPr>
        <w:pStyle w:val="AERbodytext"/>
        <w:numPr>
          <w:ilvl w:val="0"/>
          <w:numId w:val="0"/>
        </w:numPr>
      </w:pPr>
      <w:r>
        <w:t xml:space="preserve">We reviewed Ausgrid's proposed </w:t>
      </w:r>
      <w:r w:rsidR="00103D62">
        <w:t xml:space="preserve">approach </w:t>
      </w:r>
      <w:r w:rsidR="000D0DC9">
        <w:t xml:space="preserve">against alternative methods to </w:t>
      </w:r>
      <w:r w:rsidR="00EB58A4">
        <w:t>establish</w:t>
      </w:r>
      <w:r w:rsidR="000D0DC9">
        <w:t xml:space="preserve"> the remaining tax asset lives</w:t>
      </w:r>
      <w:r w:rsidR="00EB58A4">
        <w:t xml:space="preserve"> as at 1 July 2014</w:t>
      </w:r>
      <w:r w:rsidR="005162C8">
        <w:t>. We found Ausgrid's proposed approach provide</w:t>
      </w:r>
      <w:r w:rsidR="00EB58A4">
        <w:t>s</w:t>
      </w:r>
      <w:r w:rsidR="005162C8">
        <w:t xml:space="preserve"> reasonable estimate</w:t>
      </w:r>
      <w:r w:rsidR="00EB58A4">
        <w:t>s</w:t>
      </w:r>
      <w:r w:rsidR="005162C8">
        <w:t xml:space="preserve"> of remaining tax asset li</w:t>
      </w:r>
      <w:r w:rsidR="00EB58A4">
        <w:t>ves</w:t>
      </w:r>
      <w:r w:rsidR="005162C8">
        <w:t xml:space="preserve"> for the majority of Ausgrid's asset classes</w:t>
      </w:r>
      <w:r w:rsidR="000D0DC9">
        <w:t xml:space="preserve">. We consider that Ausgrid's </w:t>
      </w:r>
      <w:r w:rsidR="00EB58A4">
        <w:t xml:space="preserve">proposed </w:t>
      </w:r>
      <w:r w:rsidR="000D0DC9">
        <w:t>approach align</w:t>
      </w:r>
      <w:r w:rsidR="005162C8">
        <w:t>s</w:t>
      </w:r>
      <w:r w:rsidR="000D0DC9">
        <w:t xml:space="preserve"> the cash flows associated with the </w:t>
      </w:r>
      <w:r w:rsidR="005162C8">
        <w:t xml:space="preserve">estimate of </w:t>
      </w:r>
      <w:r w:rsidR="000D0DC9">
        <w:t>tax depre</w:t>
      </w:r>
      <w:r w:rsidR="005162C8">
        <w:t xml:space="preserve">ciation </w:t>
      </w:r>
      <w:r w:rsidR="000D0DC9">
        <w:t xml:space="preserve">with </w:t>
      </w:r>
      <w:r w:rsidR="005162C8">
        <w:t xml:space="preserve">the </w:t>
      </w:r>
      <w:r w:rsidR="00A9448D">
        <w:t xml:space="preserve">expected </w:t>
      </w:r>
      <w:r w:rsidR="005162C8">
        <w:t xml:space="preserve">life of the network. This is because for </w:t>
      </w:r>
      <w:r w:rsidR="000D0DC9">
        <w:t xml:space="preserve">the majority of asset classes the standard asset lives for Ausgrid's RAB are </w:t>
      </w:r>
      <w:r w:rsidR="00CA5DFF">
        <w:t xml:space="preserve">comparable </w:t>
      </w:r>
      <w:r w:rsidR="000D0DC9">
        <w:t>to the standard tax asset lives</w:t>
      </w:r>
      <w:r w:rsidR="005162C8">
        <w:t>.</w:t>
      </w:r>
      <w:r w:rsidR="000D0DC9">
        <w:t xml:space="preserve"> </w:t>
      </w:r>
      <w:r w:rsidR="009F349F">
        <w:t xml:space="preserve">We are </w:t>
      </w:r>
      <w:r w:rsidR="00A9448D">
        <w:t xml:space="preserve">therefore </w:t>
      </w:r>
      <w:r w:rsidR="009F349F">
        <w:t>satisfied that the proposed approach results in an estimate of tax depreciation consistent with the tax expenses used to estimate the annual taxable income of a benchmark efficient entity</w:t>
      </w:r>
      <w:r w:rsidR="00117ADB">
        <w:t xml:space="preserve"> over the 2014–19 period</w:t>
      </w:r>
      <w:r w:rsidR="009F349F">
        <w:t>.</w:t>
      </w:r>
      <w:r w:rsidR="009F349F">
        <w:rPr>
          <w:rStyle w:val="FootnoteReference"/>
        </w:rPr>
        <w:footnoteReference w:id="22"/>
      </w:r>
      <w:r w:rsidR="009F349F">
        <w:t xml:space="preserve"> </w:t>
      </w:r>
    </w:p>
    <w:p w:rsidR="002D221F" w:rsidRPr="002D221F" w:rsidRDefault="002D221F" w:rsidP="002D221F">
      <w:pPr>
        <w:pStyle w:val="AERbodytext"/>
      </w:pPr>
      <w:r w:rsidRPr="002D221F">
        <w:t>In accepting A</w:t>
      </w:r>
      <w:r w:rsidR="00855FDD">
        <w:t xml:space="preserve">usgrid's </w:t>
      </w:r>
      <w:r w:rsidRPr="002D221F">
        <w:t>approach</w:t>
      </w:r>
      <w:r w:rsidR="00A9448D">
        <w:t xml:space="preserve"> to establish the remaining tax asset lives as at 1 July 2014</w:t>
      </w:r>
      <w:r w:rsidRPr="002D221F">
        <w:t xml:space="preserve">, we have updated the proposed remaining tax asset lives </w:t>
      </w:r>
      <w:r w:rsidR="00D462EF">
        <w:t xml:space="preserve">consistent with the adjustments to the RAB remaining asset lives </w:t>
      </w:r>
      <w:r w:rsidR="009F349F">
        <w:t>as at 1 July 20</w:t>
      </w:r>
      <w:r w:rsidR="00A9448D">
        <w:t>14</w:t>
      </w:r>
      <w:r w:rsidRPr="002D221F">
        <w:t xml:space="preserve">, discussed in </w:t>
      </w:r>
      <w:r w:rsidR="00D462EF">
        <w:t xml:space="preserve">attachment </w:t>
      </w:r>
      <w:r w:rsidR="00B655D7">
        <w:t>5</w:t>
      </w:r>
      <w:r w:rsidR="0027422E">
        <w:t>.</w:t>
      </w:r>
      <w:r w:rsidR="009E74E3">
        <w:rPr>
          <w:rStyle w:val="FootnoteReference"/>
        </w:rPr>
        <w:footnoteReference w:id="23"/>
      </w:r>
      <w:r w:rsidRPr="002D221F">
        <w:t xml:space="preserve"> This is because </w:t>
      </w:r>
      <w:r w:rsidR="00D462EF">
        <w:t xml:space="preserve">Ausgrid's approach to calculate the remaining tax </w:t>
      </w:r>
      <w:r w:rsidR="000317F9">
        <w:t xml:space="preserve">asset </w:t>
      </w:r>
      <w:r w:rsidR="00D462EF">
        <w:t xml:space="preserve">life uses the ratio of </w:t>
      </w:r>
      <w:r w:rsidR="000317F9">
        <w:t xml:space="preserve">the </w:t>
      </w:r>
      <w:r w:rsidR="00D462EF">
        <w:t xml:space="preserve">RAB remaining asset life to </w:t>
      </w:r>
      <w:r w:rsidR="000317F9">
        <w:t xml:space="preserve">the </w:t>
      </w:r>
      <w:r w:rsidR="000F21EA">
        <w:t xml:space="preserve">RAB </w:t>
      </w:r>
      <w:r w:rsidR="00D462EF">
        <w:t>standard asset life</w:t>
      </w:r>
      <w:r w:rsidRPr="002D221F">
        <w:t>.</w:t>
      </w:r>
      <w:r w:rsidR="001B0331">
        <w:rPr>
          <w:rStyle w:val="FootnoteReference"/>
        </w:rPr>
        <w:footnoteReference w:id="24"/>
      </w:r>
    </w:p>
    <w:p w:rsidR="005F7062" w:rsidRDefault="005F7062">
      <w:pPr>
        <w:spacing w:after="0" w:line="240" w:lineRule="auto"/>
        <w:jc w:val="left"/>
      </w:pPr>
      <w:r>
        <w:br w:type="page"/>
      </w:r>
    </w:p>
    <w:p w:rsidR="002D221F" w:rsidRPr="005F7062" w:rsidRDefault="00393A9F" w:rsidP="005F7062">
      <w:pPr>
        <w:spacing w:after="0" w:line="240" w:lineRule="auto"/>
        <w:jc w:val="left"/>
        <w:rPr>
          <w:b/>
          <w:bCs/>
          <w:szCs w:val="18"/>
        </w:rPr>
      </w:pPr>
      <w:r>
        <w:lastRenderedPageBreak/>
        <w:fldChar w:fldCharType="begin"/>
      </w:r>
      <w:r>
        <w:instrText xml:space="preserve"> REF _Ref395101268 \h </w:instrText>
      </w:r>
      <w:r>
        <w:fldChar w:fldCharType="separate"/>
      </w:r>
      <w:r w:rsidR="005F7062">
        <w:t>Table 8</w:t>
      </w:r>
      <w:r w:rsidR="005F7062">
        <w:noBreakHyphen/>
      </w:r>
      <w:r w:rsidR="005F7062">
        <w:rPr>
          <w:noProof/>
        </w:rPr>
        <w:t>9</w:t>
      </w:r>
      <w:r>
        <w:fldChar w:fldCharType="end"/>
      </w:r>
      <w:r w:rsidR="005F7062">
        <w:t xml:space="preserve"> </w:t>
      </w:r>
      <w:r w:rsidR="004A7872">
        <w:t xml:space="preserve">and </w:t>
      </w:r>
      <w:r>
        <w:fldChar w:fldCharType="begin"/>
      </w:r>
      <w:r>
        <w:instrText xml:space="preserve"> REF _Ref395101276 \h </w:instrText>
      </w:r>
      <w:r w:rsidR="005F7062">
        <w:instrText xml:space="preserve"> \* MERGEFORMAT </w:instrText>
      </w:r>
      <w:r>
        <w:fldChar w:fldCharType="separate"/>
      </w:r>
      <w:r w:rsidR="005F7062">
        <w:t>Table 8</w:t>
      </w:r>
      <w:r w:rsidR="005F7062">
        <w:noBreakHyphen/>
        <w:t>10</w:t>
      </w:r>
      <w:r>
        <w:fldChar w:fldCharType="end"/>
      </w:r>
      <w:r>
        <w:t xml:space="preserve"> </w:t>
      </w:r>
      <w:r w:rsidR="00D76FF5">
        <w:t xml:space="preserve">respectively </w:t>
      </w:r>
      <w:r w:rsidR="00855FDD" w:rsidRPr="00855FDD">
        <w:t xml:space="preserve">present our draft decision on </w:t>
      </w:r>
      <w:r w:rsidR="00D76FF5">
        <w:t xml:space="preserve">the </w:t>
      </w:r>
      <w:r w:rsidR="00855FDD" w:rsidRPr="00855FDD">
        <w:t>remaining tax asset lives for A</w:t>
      </w:r>
      <w:r w:rsidR="00855FDD">
        <w:t>usgrid</w:t>
      </w:r>
      <w:r w:rsidR="00855FDD" w:rsidRPr="00855FDD">
        <w:t xml:space="preserve">'s distribution </w:t>
      </w:r>
      <w:r w:rsidR="004A7872">
        <w:t xml:space="preserve">and transmission </w:t>
      </w:r>
      <w:r w:rsidR="00855FDD" w:rsidRPr="00855FDD">
        <w:t>network</w:t>
      </w:r>
      <w:r w:rsidR="004A7872">
        <w:t>s as at 1 July 2014</w:t>
      </w:r>
      <w:r w:rsidR="00855FDD" w:rsidRPr="00855FDD">
        <w:t>.</w:t>
      </w:r>
    </w:p>
    <w:p w:rsidR="000E3C91" w:rsidRDefault="000E3C91" w:rsidP="000E3C91">
      <w:pPr>
        <w:pStyle w:val="Caption"/>
      </w:pPr>
      <w:bookmarkStart w:id="36" w:name="_Ref395101268"/>
      <w:r>
        <w:t xml:space="preserve">Table </w:t>
      </w:r>
      <w:r w:rsidR="00213E04">
        <w:t>8</w:t>
      </w:r>
      <w:r w:rsidR="00BD0BE1">
        <w:noBreakHyphen/>
      </w:r>
      <w:fldSimple w:instr=" SEQ Table \* ARABIC \s 1 ">
        <w:r w:rsidR="005F7062">
          <w:rPr>
            <w:noProof/>
          </w:rPr>
          <w:t>9</w:t>
        </w:r>
      </w:fldSimple>
      <w:bookmarkEnd w:id="36"/>
      <w:r>
        <w:tab/>
      </w:r>
      <w:r w:rsidRPr="00DE1345">
        <w:t xml:space="preserve">AER's draft decision on </w:t>
      </w:r>
      <w:r w:rsidR="002B5942">
        <w:t>Ausgrid</w:t>
      </w:r>
      <w:r w:rsidRPr="00DE1345">
        <w:t xml:space="preserve">'s standard </w:t>
      </w:r>
      <w:r>
        <w:t xml:space="preserve">and remaining tax </w:t>
      </w:r>
      <w:r w:rsidRPr="00DE1345">
        <w:t>asset lives as at 1 July 2014 (years)</w:t>
      </w:r>
      <w:r w:rsidR="002B5942">
        <w:t xml:space="preserve"> – distribution</w:t>
      </w:r>
    </w:p>
    <w:tbl>
      <w:tblPr>
        <w:tblStyle w:val="AERtable-numbers"/>
        <w:tblW w:w="5000" w:type="pct"/>
        <w:tblLayout w:type="fixed"/>
        <w:tblLook w:val="04A0" w:firstRow="1" w:lastRow="0" w:firstColumn="1" w:lastColumn="0" w:noHBand="0" w:noVBand="1"/>
      </w:tblPr>
      <w:tblGrid>
        <w:gridCol w:w="3982"/>
        <w:gridCol w:w="2630"/>
        <w:gridCol w:w="2630"/>
      </w:tblGrid>
      <w:tr w:rsidR="007E333E" w:rsidRPr="007E333E" w:rsidTr="0062528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7E333E" w:rsidRPr="007E333E" w:rsidRDefault="007E333E" w:rsidP="007E333E">
            <w:pPr>
              <w:pStyle w:val="AERtabletextleft"/>
            </w:pPr>
            <w:r w:rsidRPr="007E333E">
              <w:t>Asset class</w:t>
            </w:r>
          </w:p>
        </w:tc>
        <w:tc>
          <w:tcPr>
            <w:tcW w:w="1423" w:type="pct"/>
            <w:noWrap/>
            <w:vAlign w:val="bottom"/>
            <w:hideMark/>
          </w:tcPr>
          <w:p w:rsidR="007E333E" w:rsidRPr="007E333E" w:rsidRDefault="007E333E" w:rsidP="007E333E">
            <w:pPr>
              <w:pStyle w:val="AERtabletextright"/>
              <w:cnfStyle w:val="100000000000" w:firstRow="1" w:lastRow="0" w:firstColumn="0" w:lastColumn="0" w:oddVBand="0" w:evenVBand="0" w:oddHBand="0" w:evenHBand="0" w:firstRowFirstColumn="0" w:firstRowLastColumn="0" w:lastRowFirstColumn="0" w:lastRowLastColumn="0"/>
            </w:pPr>
            <w:r w:rsidRPr="007E333E">
              <w:t xml:space="preserve">Standard tax asset life </w:t>
            </w:r>
          </w:p>
        </w:tc>
        <w:tc>
          <w:tcPr>
            <w:tcW w:w="1423" w:type="pct"/>
            <w:noWrap/>
            <w:vAlign w:val="bottom"/>
            <w:hideMark/>
          </w:tcPr>
          <w:p w:rsidR="007E333E" w:rsidRPr="007E333E" w:rsidRDefault="007E333E" w:rsidP="007E333E">
            <w:pPr>
              <w:pStyle w:val="AERtabletextright"/>
              <w:cnfStyle w:val="100000000000" w:firstRow="1" w:lastRow="0" w:firstColumn="0" w:lastColumn="0" w:oddVBand="0" w:evenVBand="0" w:oddHBand="0" w:evenHBand="0" w:firstRowFirstColumn="0" w:firstRowLastColumn="0" w:lastRowFirstColumn="0" w:lastRowLastColumn="0"/>
            </w:pPr>
            <w:r w:rsidRPr="007E333E">
              <w:t xml:space="preserve">Remaining tax asset life as at </w:t>
            </w:r>
            <w:r w:rsidR="00D76FF5">
              <w:br/>
            </w:r>
            <w:r w:rsidRPr="007E333E">
              <w:t xml:space="preserve">1 July 2014 </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192623" w:rsidP="0091620D">
            <w:pPr>
              <w:pStyle w:val="AERtabletextleft"/>
            </w:pPr>
            <w:r>
              <w:t>Sub-transmission lines and cables</w:t>
            </w:r>
          </w:p>
        </w:tc>
        <w:tc>
          <w:tcPr>
            <w:tcW w:w="1423" w:type="pct"/>
            <w:noWrap/>
            <w:vAlign w:val="bottom"/>
          </w:tcPr>
          <w:p w:rsidR="0091620D" w:rsidRPr="0091620D" w:rsidRDefault="00192623" w:rsidP="0091620D">
            <w:pPr>
              <w:pStyle w:val="AERtabletextright"/>
              <w:cnfStyle w:val="000000000000" w:firstRow="0" w:lastRow="0" w:firstColumn="0" w:lastColumn="0" w:oddVBand="0" w:evenVBand="0" w:oddHBand="0" w:evenHBand="0" w:firstRowFirstColumn="0" w:firstRowLastColumn="0" w:lastRowFirstColumn="0" w:lastRowLastColumn="0"/>
            </w:pPr>
            <w:r>
              <w:t>47.5</w:t>
            </w:r>
          </w:p>
        </w:tc>
        <w:tc>
          <w:tcPr>
            <w:tcW w:w="1423" w:type="pct"/>
            <w:noWrap/>
            <w:vAlign w:val="bottom"/>
          </w:tcPr>
          <w:p w:rsidR="0091620D" w:rsidRPr="0091620D" w:rsidRDefault="00B655D7" w:rsidP="00B33594">
            <w:pPr>
              <w:pStyle w:val="AERtabletextright"/>
              <w:cnfStyle w:val="000000000000" w:firstRow="0" w:lastRow="0" w:firstColumn="0" w:lastColumn="0" w:oddVBand="0" w:evenVBand="0" w:oddHBand="0" w:evenHBand="0" w:firstRowFirstColumn="0" w:firstRowLastColumn="0" w:lastRowFirstColumn="0" w:lastRowLastColumn="0"/>
            </w:pPr>
            <w:r>
              <w:t>33.7</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192623" w:rsidP="0091620D">
            <w:pPr>
              <w:pStyle w:val="AERtabletextleft"/>
            </w:pPr>
            <w:r>
              <w:t>Cable tunnel (dx)</w:t>
            </w:r>
          </w:p>
        </w:tc>
        <w:tc>
          <w:tcPr>
            <w:tcW w:w="1423" w:type="pct"/>
            <w:noWrap/>
            <w:vAlign w:val="bottom"/>
          </w:tcPr>
          <w:p w:rsidR="0091620D" w:rsidRPr="0091620D" w:rsidRDefault="00192623" w:rsidP="0091620D">
            <w:pPr>
              <w:pStyle w:val="AERtabletextright"/>
              <w:cnfStyle w:val="000000010000" w:firstRow="0" w:lastRow="0" w:firstColumn="0" w:lastColumn="0" w:oddVBand="0" w:evenVBand="0" w:oddHBand="0" w:evenHBand="1" w:firstRowFirstColumn="0" w:firstRowLastColumn="0" w:lastRowFirstColumn="0" w:lastRowLastColumn="0"/>
            </w:pPr>
            <w:r>
              <w:t>40.0</w:t>
            </w:r>
          </w:p>
        </w:tc>
        <w:tc>
          <w:tcPr>
            <w:tcW w:w="1423" w:type="pct"/>
            <w:noWrap/>
            <w:vAlign w:val="bottom"/>
          </w:tcPr>
          <w:p w:rsidR="0091620D" w:rsidRPr="0091620D" w:rsidRDefault="007C14D1" w:rsidP="00B33594">
            <w:pPr>
              <w:pStyle w:val="AERtabletextright"/>
              <w:cnfStyle w:val="000000010000" w:firstRow="0" w:lastRow="0" w:firstColumn="0" w:lastColumn="0" w:oddVBand="0" w:evenVBand="0" w:oddHBand="0" w:evenHBand="1" w:firstRowFirstColumn="0" w:firstRowLastColumn="0" w:lastRowFirstColumn="0" w:lastRowLastColumn="0"/>
            </w:pPr>
            <w:r>
              <w:t>38.5</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192623" w:rsidP="0091620D">
            <w:pPr>
              <w:pStyle w:val="AERtabletextleft"/>
            </w:pPr>
            <w:r>
              <w:t>Distribution lines and cables</w:t>
            </w:r>
          </w:p>
        </w:tc>
        <w:tc>
          <w:tcPr>
            <w:tcW w:w="1423" w:type="pct"/>
            <w:noWrap/>
            <w:vAlign w:val="bottom"/>
          </w:tcPr>
          <w:p w:rsidR="0091620D" w:rsidRPr="0091620D" w:rsidRDefault="00192623" w:rsidP="0091620D">
            <w:pPr>
              <w:pStyle w:val="AERtabletextright"/>
              <w:cnfStyle w:val="000000000000" w:firstRow="0" w:lastRow="0" w:firstColumn="0" w:lastColumn="0" w:oddVBand="0" w:evenVBand="0" w:oddHBand="0" w:evenHBand="0" w:firstRowFirstColumn="0" w:firstRowLastColumn="0" w:lastRowFirstColumn="0" w:lastRowLastColumn="0"/>
            </w:pPr>
            <w:r>
              <w:t>48.7</w:t>
            </w:r>
          </w:p>
        </w:tc>
        <w:tc>
          <w:tcPr>
            <w:tcW w:w="1423" w:type="pct"/>
            <w:noWrap/>
            <w:vAlign w:val="bottom"/>
          </w:tcPr>
          <w:p w:rsidR="0091620D" w:rsidRPr="0091620D" w:rsidRDefault="007C14D1" w:rsidP="00B655D7">
            <w:pPr>
              <w:pStyle w:val="AERtabletextright"/>
              <w:cnfStyle w:val="000000000000" w:firstRow="0" w:lastRow="0" w:firstColumn="0" w:lastColumn="0" w:oddVBand="0" w:evenVBand="0" w:oddHBand="0" w:evenHBand="0" w:firstRowFirstColumn="0" w:firstRowLastColumn="0" w:lastRowFirstColumn="0" w:lastRowLastColumn="0"/>
            </w:pPr>
            <w:r>
              <w:t>39.</w:t>
            </w:r>
            <w:r w:rsidR="00B655D7">
              <w:t>3</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192623" w:rsidP="0091620D">
            <w:pPr>
              <w:pStyle w:val="AERtabletextleft"/>
            </w:pPr>
            <w:r>
              <w:t>Substations</w:t>
            </w:r>
          </w:p>
        </w:tc>
        <w:tc>
          <w:tcPr>
            <w:tcW w:w="1423" w:type="pct"/>
            <w:noWrap/>
            <w:vAlign w:val="bottom"/>
          </w:tcPr>
          <w:p w:rsidR="0091620D" w:rsidRPr="0091620D" w:rsidRDefault="00192623" w:rsidP="0091620D">
            <w:pPr>
              <w:pStyle w:val="AERtabletextright"/>
              <w:cnfStyle w:val="000000010000" w:firstRow="0" w:lastRow="0" w:firstColumn="0" w:lastColumn="0" w:oddVBand="0" w:evenVBand="0" w:oddHBand="0" w:evenHBand="1" w:firstRowFirstColumn="0" w:firstRowLastColumn="0" w:lastRowFirstColumn="0" w:lastRowLastColumn="0"/>
            </w:pPr>
            <w:r>
              <w:t>40.0</w:t>
            </w:r>
          </w:p>
        </w:tc>
        <w:tc>
          <w:tcPr>
            <w:tcW w:w="1423" w:type="pct"/>
            <w:noWrap/>
            <w:vAlign w:val="bottom"/>
          </w:tcPr>
          <w:p w:rsidR="0091620D" w:rsidRPr="0091620D" w:rsidRDefault="007C14D1" w:rsidP="00B655D7">
            <w:pPr>
              <w:pStyle w:val="AERtabletextright"/>
              <w:cnfStyle w:val="000000010000" w:firstRow="0" w:lastRow="0" w:firstColumn="0" w:lastColumn="0" w:oddVBand="0" w:evenVBand="0" w:oddHBand="0" w:evenHBand="1" w:firstRowFirstColumn="0" w:firstRowLastColumn="0" w:lastRowFirstColumn="0" w:lastRowLastColumn="0"/>
            </w:pPr>
            <w:r>
              <w:t>29.</w:t>
            </w:r>
            <w:r w:rsidR="00B655D7">
              <w:t>7</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192623" w:rsidP="0091620D">
            <w:pPr>
              <w:pStyle w:val="AERtabletextleft"/>
            </w:pPr>
            <w:r>
              <w:t>Transformers</w:t>
            </w:r>
          </w:p>
        </w:tc>
        <w:tc>
          <w:tcPr>
            <w:tcW w:w="1423" w:type="pct"/>
            <w:noWrap/>
            <w:vAlign w:val="bottom"/>
          </w:tcPr>
          <w:p w:rsidR="0091620D" w:rsidRPr="0091620D" w:rsidRDefault="00192623" w:rsidP="0091620D">
            <w:pPr>
              <w:pStyle w:val="AERtabletextright"/>
              <w:cnfStyle w:val="000000000000" w:firstRow="0" w:lastRow="0" w:firstColumn="0" w:lastColumn="0" w:oddVBand="0" w:evenVBand="0" w:oddHBand="0" w:evenHBand="0" w:firstRowFirstColumn="0" w:firstRowLastColumn="0" w:lastRowFirstColumn="0" w:lastRowLastColumn="0"/>
            </w:pPr>
            <w:r>
              <w:t>42.0</w:t>
            </w:r>
          </w:p>
        </w:tc>
        <w:tc>
          <w:tcPr>
            <w:tcW w:w="1423" w:type="pct"/>
            <w:noWrap/>
            <w:vAlign w:val="bottom"/>
          </w:tcPr>
          <w:p w:rsidR="0091620D" w:rsidRPr="0091620D" w:rsidRDefault="007C14D1" w:rsidP="00B33594">
            <w:pPr>
              <w:pStyle w:val="AERtabletextright"/>
              <w:cnfStyle w:val="000000000000" w:firstRow="0" w:lastRow="0" w:firstColumn="0" w:lastColumn="0" w:oddVBand="0" w:evenVBand="0" w:oddHBand="0" w:evenHBand="0" w:firstRowFirstColumn="0" w:firstRowLastColumn="0" w:lastRowFirstColumn="0" w:lastRowLastColumn="0"/>
            </w:pPr>
            <w:r>
              <w:t>27.9</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192623" w:rsidP="00192623">
            <w:pPr>
              <w:pStyle w:val="AERtabletextleft"/>
            </w:pPr>
            <w:r>
              <w:t>Low voltage lines and cables</w:t>
            </w:r>
          </w:p>
        </w:tc>
        <w:tc>
          <w:tcPr>
            <w:tcW w:w="1423" w:type="pct"/>
            <w:noWrap/>
            <w:vAlign w:val="bottom"/>
          </w:tcPr>
          <w:p w:rsidR="0091620D" w:rsidRPr="0091620D" w:rsidRDefault="00192623" w:rsidP="0091620D">
            <w:pPr>
              <w:pStyle w:val="AERtabletextright"/>
              <w:cnfStyle w:val="000000010000" w:firstRow="0" w:lastRow="0" w:firstColumn="0" w:lastColumn="0" w:oddVBand="0" w:evenVBand="0" w:oddHBand="0" w:evenHBand="1" w:firstRowFirstColumn="0" w:firstRowLastColumn="0" w:lastRowFirstColumn="0" w:lastRowLastColumn="0"/>
            </w:pPr>
            <w:r>
              <w:t>45.8</w:t>
            </w:r>
          </w:p>
        </w:tc>
        <w:tc>
          <w:tcPr>
            <w:tcW w:w="1423" w:type="pct"/>
            <w:noWrap/>
            <w:vAlign w:val="bottom"/>
          </w:tcPr>
          <w:p w:rsidR="0091620D" w:rsidRPr="0091620D" w:rsidRDefault="007C14D1" w:rsidP="00B655D7">
            <w:pPr>
              <w:pStyle w:val="AERtabletextright"/>
              <w:cnfStyle w:val="000000010000" w:firstRow="0" w:lastRow="0" w:firstColumn="0" w:lastColumn="0" w:oddVBand="0" w:evenVBand="0" w:oddHBand="0" w:evenHBand="1" w:firstRowFirstColumn="0" w:firstRowLastColumn="0" w:lastRowFirstColumn="0" w:lastRowLastColumn="0"/>
            </w:pPr>
            <w:r>
              <w:t>35.</w:t>
            </w:r>
            <w:r w:rsidR="00B655D7">
              <w:t>2</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192623" w:rsidP="0091620D">
            <w:pPr>
              <w:pStyle w:val="AERtabletextleft"/>
            </w:pPr>
            <w:r>
              <w:t>Customer metering and load control</w:t>
            </w:r>
          </w:p>
        </w:tc>
        <w:tc>
          <w:tcPr>
            <w:tcW w:w="1423" w:type="pct"/>
            <w:noWrap/>
            <w:vAlign w:val="bottom"/>
          </w:tcPr>
          <w:p w:rsidR="0091620D" w:rsidRPr="0091620D" w:rsidRDefault="00192623" w:rsidP="0091620D">
            <w:pPr>
              <w:pStyle w:val="AERtabletextright"/>
              <w:cnfStyle w:val="000000000000" w:firstRow="0" w:lastRow="0" w:firstColumn="0" w:lastColumn="0" w:oddVBand="0" w:evenVBand="0" w:oddHBand="0" w:evenHBand="0" w:firstRowFirstColumn="0" w:firstRowLastColumn="0" w:lastRowFirstColumn="0" w:lastRowLastColumn="0"/>
            </w:pPr>
            <w:r>
              <w:t>25.0</w:t>
            </w:r>
          </w:p>
        </w:tc>
        <w:tc>
          <w:tcPr>
            <w:tcW w:w="1423" w:type="pct"/>
            <w:noWrap/>
            <w:vAlign w:val="bottom"/>
          </w:tcPr>
          <w:p w:rsidR="0091620D" w:rsidRPr="0091620D" w:rsidRDefault="00B655D7" w:rsidP="00B655D7">
            <w:pPr>
              <w:pStyle w:val="AERtabletextright"/>
              <w:cnfStyle w:val="000000000000" w:firstRow="0" w:lastRow="0" w:firstColumn="0" w:lastColumn="0" w:oddVBand="0" w:evenVBand="0" w:oddHBand="0" w:evenHBand="0" w:firstRowFirstColumn="0" w:firstRowLastColumn="0" w:lastRowFirstColumn="0" w:lastRowLastColumn="0"/>
            </w:pPr>
            <w:r>
              <w:t>14.5</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192623" w:rsidP="0091620D">
            <w:pPr>
              <w:pStyle w:val="AERtabletextleft"/>
            </w:pPr>
            <w:r>
              <w:t>Communications (digital) - dx</w:t>
            </w:r>
          </w:p>
        </w:tc>
        <w:tc>
          <w:tcPr>
            <w:tcW w:w="1423" w:type="pct"/>
            <w:noWrap/>
            <w:vAlign w:val="bottom"/>
          </w:tcPr>
          <w:p w:rsidR="0091620D" w:rsidRPr="0091620D" w:rsidRDefault="00192623" w:rsidP="0091620D">
            <w:pPr>
              <w:pStyle w:val="AERtabletextright"/>
              <w:cnfStyle w:val="000000010000" w:firstRow="0" w:lastRow="0" w:firstColumn="0" w:lastColumn="0" w:oddVBand="0" w:evenVBand="0" w:oddHBand="0" w:evenHBand="1" w:firstRowFirstColumn="0" w:firstRowLastColumn="0" w:lastRowFirstColumn="0" w:lastRowLastColumn="0"/>
            </w:pPr>
            <w:r>
              <w:t>10.0</w:t>
            </w:r>
          </w:p>
        </w:tc>
        <w:tc>
          <w:tcPr>
            <w:tcW w:w="1423" w:type="pct"/>
            <w:noWrap/>
            <w:vAlign w:val="bottom"/>
          </w:tcPr>
          <w:p w:rsidR="0091620D" w:rsidRPr="0091620D" w:rsidRDefault="00B655D7" w:rsidP="00B655D7">
            <w:pPr>
              <w:pStyle w:val="AERtabletextright"/>
              <w:cnfStyle w:val="000000010000" w:firstRow="0" w:lastRow="0" w:firstColumn="0" w:lastColumn="0" w:oddVBand="0" w:evenVBand="0" w:oddHBand="0" w:evenHBand="1" w:firstRowFirstColumn="0" w:firstRowLastColumn="0" w:lastRowFirstColumn="0" w:lastRowLastColumn="0"/>
            </w:pPr>
            <w:r>
              <w:t>5.6</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192623" w:rsidP="0091620D">
            <w:pPr>
              <w:pStyle w:val="AERtabletextleft"/>
            </w:pPr>
            <w:r>
              <w:t>Total communications</w:t>
            </w:r>
          </w:p>
        </w:tc>
        <w:tc>
          <w:tcPr>
            <w:tcW w:w="1423" w:type="pct"/>
            <w:noWrap/>
            <w:vAlign w:val="bottom"/>
          </w:tcPr>
          <w:p w:rsidR="0091620D" w:rsidRPr="0091620D" w:rsidRDefault="00192623" w:rsidP="0091620D">
            <w:pPr>
              <w:pStyle w:val="AERtabletextright"/>
              <w:cnfStyle w:val="000000000000" w:firstRow="0" w:lastRow="0" w:firstColumn="0" w:lastColumn="0" w:oddVBand="0" w:evenVBand="0" w:oddHBand="0" w:evenHBand="0" w:firstRowFirstColumn="0" w:firstRowLastColumn="0" w:lastRowFirstColumn="0" w:lastRowLastColumn="0"/>
            </w:pPr>
            <w:r>
              <w:t>7.4</w:t>
            </w:r>
          </w:p>
        </w:tc>
        <w:tc>
          <w:tcPr>
            <w:tcW w:w="1423" w:type="pct"/>
            <w:noWrap/>
            <w:vAlign w:val="bottom"/>
          </w:tcPr>
          <w:p w:rsidR="0091620D" w:rsidRPr="0091620D" w:rsidRDefault="00A76C38" w:rsidP="00B33594">
            <w:pPr>
              <w:pStyle w:val="AERtabletextright"/>
              <w:cnfStyle w:val="000000000000" w:firstRow="0" w:lastRow="0" w:firstColumn="0" w:lastColumn="0" w:oddVBand="0" w:evenVBand="0" w:oddHBand="0" w:evenHBand="0" w:firstRowFirstColumn="0" w:firstRowLastColumn="0" w:lastRowFirstColumn="0" w:lastRowLastColumn="0"/>
            </w:pPr>
            <w:r>
              <w:t>2.</w:t>
            </w:r>
            <w:r w:rsidR="00B33594">
              <w:t>2</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192623" w:rsidP="0091620D">
            <w:pPr>
              <w:pStyle w:val="AERtabletextleft"/>
            </w:pPr>
            <w:r>
              <w:t>System IT (dx)</w:t>
            </w:r>
          </w:p>
        </w:tc>
        <w:tc>
          <w:tcPr>
            <w:tcW w:w="1423" w:type="pct"/>
            <w:noWrap/>
            <w:vAlign w:val="bottom"/>
          </w:tcPr>
          <w:p w:rsidR="0091620D" w:rsidRPr="0091620D" w:rsidRDefault="00192623" w:rsidP="0091620D">
            <w:pPr>
              <w:pStyle w:val="AERtabletextright"/>
              <w:cnfStyle w:val="000000010000" w:firstRow="0" w:lastRow="0" w:firstColumn="0" w:lastColumn="0" w:oddVBand="0" w:evenVBand="0" w:oddHBand="0" w:evenHBand="1" w:firstRowFirstColumn="0" w:firstRowLastColumn="0" w:lastRowFirstColumn="0" w:lastRowLastColumn="0"/>
            </w:pPr>
            <w:r>
              <w:t>7.0</w:t>
            </w:r>
          </w:p>
        </w:tc>
        <w:tc>
          <w:tcPr>
            <w:tcW w:w="1423" w:type="pct"/>
            <w:noWrap/>
            <w:vAlign w:val="bottom"/>
          </w:tcPr>
          <w:p w:rsidR="0091620D" w:rsidRPr="0091620D" w:rsidRDefault="00B655D7" w:rsidP="00B655D7">
            <w:pPr>
              <w:pStyle w:val="AERtabletextright"/>
              <w:cnfStyle w:val="000000010000" w:firstRow="0" w:lastRow="0" w:firstColumn="0" w:lastColumn="0" w:oddVBand="0" w:evenVBand="0" w:oddHBand="0" w:evenHBand="1" w:firstRowFirstColumn="0" w:firstRowLastColumn="0" w:lastRowFirstColumn="0" w:lastRowLastColumn="0"/>
            </w:pPr>
            <w:r>
              <w:t>4.9</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192623" w:rsidP="0091620D">
            <w:pPr>
              <w:pStyle w:val="AERtabletextleft"/>
            </w:pPr>
            <w:r>
              <w:t>Ancillary substations equipment (dx)</w:t>
            </w:r>
          </w:p>
        </w:tc>
        <w:tc>
          <w:tcPr>
            <w:tcW w:w="1423" w:type="pct"/>
            <w:noWrap/>
            <w:vAlign w:val="bottom"/>
          </w:tcPr>
          <w:p w:rsidR="0091620D" w:rsidRPr="0091620D" w:rsidRDefault="00192623" w:rsidP="0091620D">
            <w:pPr>
              <w:pStyle w:val="AERtabletextright"/>
              <w:cnfStyle w:val="000000000000" w:firstRow="0" w:lastRow="0" w:firstColumn="0" w:lastColumn="0" w:oddVBand="0" w:evenVBand="0" w:oddHBand="0" w:evenHBand="0" w:firstRowFirstColumn="0" w:firstRowLastColumn="0" w:lastRowFirstColumn="0" w:lastRowLastColumn="0"/>
            </w:pPr>
            <w:r>
              <w:t>15.0</w:t>
            </w:r>
          </w:p>
        </w:tc>
        <w:tc>
          <w:tcPr>
            <w:tcW w:w="1423" w:type="pct"/>
            <w:noWrap/>
            <w:vAlign w:val="bottom"/>
          </w:tcPr>
          <w:p w:rsidR="0091620D" w:rsidRPr="0091620D" w:rsidRDefault="00A76C38" w:rsidP="00B655D7">
            <w:pPr>
              <w:pStyle w:val="AERtabletextright"/>
              <w:cnfStyle w:val="000000000000" w:firstRow="0" w:lastRow="0" w:firstColumn="0" w:lastColumn="0" w:oddVBand="0" w:evenVBand="0" w:oddHBand="0" w:evenHBand="0" w:firstRowFirstColumn="0" w:firstRowLastColumn="0" w:lastRowFirstColumn="0" w:lastRowLastColumn="0"/>
            </w:pPr>
            <w:r>
              <w:t>12.</w:t>
            </w:r>
            <w:r w:rsidR="00B655D7">
              <w:t>4</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192623" w:rsidP="0091620D">
            <w:pPr>
              <w:pStyle w:val="AERtabletextleft"/>
            </w:pPr>
            <w:r>
              <w:t>Land and easements</w:t>
            </w:r>
          </w:p>
        </w:tc>
        <w:tc>
          <w:tcPr>
            <w:tcW w:w="1423" w:type="pct"/>
            <w:noWrap/>
            <w:vAlign w:val="bottom"/>
          </w:tcPr>
          <w:p w:rsidR="0091620D" w:rsidRPr="0091620D" w:rsidRDefault="00192623" w:rsidP="0091620D">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1423" w:type="pct"/>
            <w:noWrap/>
            <w:vAlign w:val="bottom"/>
          </w:tcPr>
          <w:p w:rsidR="0091620D" w:rsidRPr="0091620D" w:rsidRDefault="00192623" w:rsidP="0091620D">
            <w:pPr>
              <w:pStyle w:val="AERtabletextright"/>
              <w:cnfStyle w:val="000000010000" w:firstRow="0" w:lastRow="0" w:firstColumn="0" w:lastColumn="0" w:oddVBand="0" w:evenVBand="0" w:oddHBand="0" w:evenHBand="1" w:firstRowFirstColumn="0" w:firstRowLastColumn="0" w:lastRowFirstColumn="0" w:lastRowLastColumn="0"/>
            </w:pPr>
            <w:r>
              <w:t>n/a</w:t>
            </w:r>
          </w:p>
        </w:tc>
      </w:tr>
      <w:tr w:rsidR="00A76C38"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A76C38" w:rsidRDefault="00A76C38" w:rsidP="0091620D">
            <w:pPr>
              <w:pStyle w:val="AERtabletextleft"/>
            </w:pPr>
            <w:r>
              <w:t>Furniture, fittings, plant and equipment</w:t>
            </w:r>
          </w:p>
        </w:tc>
        <w:tc>
          <w:tcPr>
            <w:tcW w:w="1423" w:type="pct"/>
            <w:noWrap/>
            <w:vAlign w:val="bottom"/>
          </w:tcPr>
          <w:p w:rsidR="00A76C38" w:rsidRDefault="00A76C38" w:rsidP="0091620D">
            <w:pPr>
              <w:pStyle w:val="AERtabletextright"/>
              <w:cnfStyle w:val="000000000000" w:firstRow="0" w:lastRow="0" w:firstColumn="0" w:lastColumn="0" w:oddVBand="0" w:evenVBand="0" w:oddHBand="0" w:evenHBand="0" w:firstRowFirstColumn="0" w:firstRowLastColumn="0" w:lastRowFirstColumn="0" w:lastRowLastColumn="0"/>
            </w:pPr>
            <w:r>
              <w:t>10.60</w:t>
            </w:r>
          </w:p>
        </w:tc>
        <w:tc>
          <w:tcPr>
            <w:tcW w:w="1423" w:type="pct"/>
            <w:noWrap/>
            <w:vAlign w:val="bottom"/>
          </w:tcPr>
          <w:p w:rsidR="00A76C38" w:rsidRDefault="00A76C38" w:rsidP="00B655D7">
            <w:pPr>
              <w:pStyle w:val="AERtabletextright"/>
              <w:cnfStyle w:val="000000000000" w:firstRow="0" w:lastRow="0" w:firstColumn="0" w:lastColumn="0" w:oddVBand="0" w:evenVBand="0" w:oddHBand="0" w:evenHBand="0" w:firstRowFirstColumn="0" w:firstRowLastColumn="0" w:lastRowFirstColumn="0" w:lastRowLastColumn="0"/>
            </w:pPr>
            <w:r>
              <w:t>7.</w:t>
            </w:r>
            <w:r w:rsidR="00B655D7">
              <w:t>6</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192623" w:rsidP="0091620D">
            <w:pPr>
              <w:pStyle w:val="AERtabletextleft"/>
            </w:pPr>
            <w:r>
              <w:t>Land (non-system)</w:t>
            </w:r>
          </w:p>
        </w:tc>
        <w:tc>
          <w:tcPr>
            <w:tcW w:w="1423" w:type="pct"/>
            <w:noWrap/>
            <w:vAlign w:val="bottom"/>
          </w:tcPr>
          <w:p w:rsidR="0091620D" w:rsidRPr="0091620D" w:rsidRDefault="00192623" w:rsidP="0091620D">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1423" w:type="pct"/>
            <w:noWrap/>
            <w:vAlign w:val="bottom"/>
          </w:tcPr>
          <w:p w:rsidR="0091620D" w:rsidRPr="0091620D" w:rsidRDefault="00192623" w:rsidP="0091620D">
            <w:pPr>
              <w:pStyle w:val="AERtabletextright"/>
              <w:cnfStyle w:val="000000010000" w:firstRow="0" w:lastRow="0" w:firstColumn="0" w:lastColumn="0" w:oddVBand="0" w:evenVBand="0" w:oddHBand="0" w:evenHBand="1" w:firstRowFirstColumn="0" w:firstRowLastColumn="0" w:lastRowFirstColumn="0" w:lastRowLastColumn="0"/>
            </w:pPr>
            <w:r>
              <w:t>n/a</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7C14D1" w:rsidP="007C14D1">
            <w:pPr>
              <w:pStyle w:val="AERtabletextleft"/>
            </w:pPr>
            <w:r>
              <w:t xml:space="preserve">Other non-system assets </w:t>
            </w:r>
          </w:p>
        </w:tc>
        <w:tc>
          <w:tcPr>
            <w:tcW w:w="1423" w:type="pct"/>
            <w:noWrap/>
            <w:vAlign w:val="bottom"/>
          </w:tcPr>
          <w:p w:rsidR="0091620D" w:rsidRPr="0091620D" w:rsidRDefault="007C14D1" w:rsidP="0091620D">
            <w:pPr>
              <w:pStyle w:val="AERtabletextright"/>
              <w:cnfStyle w:val="000000000000" w:firstRow="0" w:lastRow="0" w:firstColumn="0" w:lastColumn="0" w:oddVBand="0" w:evenVBand="0" w:oddHBand="0" w:evenHBand="0" w:firstRowFirstColumn="0" w:firstRowLastColumn="0" w:lastRowFirstColumn="0" w:lastRowLastColumn="0"/>
            </w:pPr>
            <w:r>
              <w:t>10.5</w:t>
            </w:r>
          </w:p>
        </w:tc>
        <w:tc>
          <w:tcPr>
            <w:tcW w:w="1423" w:type="pct"/>
            <w:noWrap/>
            <w:vAlign w:val="bottom"/>
          </w:tcPr>
          <w:p w:rsidR="0091620D" w:rsidRPr="0091620D" w:rsidRDefault="00A76C38" w:rsidP="00B33594">
            <w:pPr>
              <w:pStyle w:val="AERtabletextright"/>
              <w:cnfStyle w:val="000000000000" w:firstRow="0" w:lastRow="0" w:firstColumn="0" w:lastColumn="0" w:oddVBand="0" w:evenVBand="0" w:oddHBand="0" w:evenHBand="0" w:firstRowFirstColumn="0" w:firstRowLastColumn="0" w:lastRowFirstColumn="0" w:lastRowLastColumn="0"/>
            </w:pPr>
            <w:r>
              <w:t>2.</w:t>
            </w:r>
            <w:r w:rsidR="00B33594">
              <w:t>7</w:t>
            </w:r>
          </w:p>
        </w:tc>
      </w:tr>
      <w:tr w:rsidR="007C14D1"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7C14D1" w:rsidRPr="0091620D" w:rsidRDefault="007C14D1" w:rsidP="0091620D">
            <w:pPr>
              <w:pStyle w:val="AERtabletextleft"/>
            </w:pPr>
            <w:r>
              <w:t>IT systems</w:t>
            </w:r>
          </w:p>
        </w:tc>
        <w:tc>
          <w:tcPr>
            <w:tcW w:w="1423" w:type="pct"/>
            <w:noWrap/>
            <w:vAlign w:val="bottom"/>
          </w:tcPr>
          <w:p w:rsidR="007C14D1" w:rsidRPr="0091620D" w:rsidRDefault="007C14D1" w:rsidP="0091620D">
            <w:pPr>
              <w:pStyle w:val="AERtabletextright"/>
              <w:cnfStyle w:val="000000010000" w:firstRow="0" w:lastRow="0" w:firstColumn="0" w:lastColumn="0" w:oddVBand="0" w:evenVBand="0" w:oddHBand="0" w:evenHBand="1" w:firstRowFirstColumn="0" w:firstRowLastColumn="0" w:lastRowFirstColumn="0" w:lastRowLastColumn="0"/>
            </w:pPr>
            <w:r>
              <w:t>4.0</w:t>
            </w:r>
          </w:p>
        </w:tc>
        <w:tc>
          <w:tcPr>
            <w:tcW w:w="1423" w:type="pct"/>
            <w:noWrap/>
            <w:vAlign w:val="bottom"/>
          </w:tcPr>
          <w:p w:rsidR="007C14D1" w:rsidRPr="0091620D" w:rsidRDefault="00A76C38" w:rsidP="00B655D7">
            <w:pPr>
              <w:pStyle w:val="AERtabletextright"/>
              <w:cnfStyle w:val="000000010000" w:firstRow="0" w:lastRow="0" w:firstColumn="0" w:lastColumn="0" w:oddVBand="0" w:evenVBand="0" w:oddHBand="0" w:evenHBand="1" w:firstRowFirstColumn="0" w:firstRowLastColumn="0" w:lastRowFirstColumn="0" w:lastRowLastColumn="0"/>
            </w:pPr>
            <w:r>
              <w:t>2.</w:t>
            </w:r>
            <w:r w:rsidR="00B655D7">
              <w:t>6</w:t>
            </w:r>
          </w:p>
        </w:tc>
      </w:tr>
      <w:tr w:rsidR="007C14D1"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7C14D1" w:rsidRPr="0091620D" w:rsidRDefault="007C14D1" w:rsidP="007C14D1">
            <w:pPr>
              <w:pStyle w:val="AERtabletextleft"/>
            </w:pPr>
            <w:r>
              <w:t>Motor vehicles</w:t>
            </w:r>
          </w:p>
        </w:tc>
        <w:tc>
          <w:tcPr>
            <w:tcW w:w="1423" w:type="pct"/>
            <w:noWrap/>
            <w:vAlign w:val="bottom"/>
          </w:tcPr>
          <w:p w:rsidR="007C14D1" w:rsidRPr="0091620D" w:rsidRDefault="007C14D1" w:rsidP="0091620D">
            <w:pPr>
              <w:pStyle w:val="AERtabletextright"/>
              <w:cnfStyle w:val="000000000000" w:firstRow="0" w:lastRow="0" w:firstColumn="0" w:lastColumn="0" w:oddVBand="0" w:evenVBand="0" w:oddHBand="0" w:evenHBand="0" w:firstRowFirstColumn="0" w:firstRowLastColumn="0" w:lastRowFirstColumn="0" w:lastRowLastColumn="0"/>
            </w:pPr>
            <w:r>
              <w:t>20.0</w:t>
            </w:r>
          </w:p>
        </w:tc>
        <w:tc>
          <w:tcPr>
            <w:tcW w:w="1423" w:type="pct"/>
            <w:noWrap/>
            <w:vAlign w:val="bottom"/>
          </w:tcPr>
          <w:p w:rsidR="007C14D1" w:rsidRPr="0091620D" w:rsidRDefault="00A76C38" w:rsidP="00B655D7">
            <w:pPr>
              <w:pStyle w:val="AERtabletextright"/>
              <w:cnfStyle w:val="000000000000" w:firstRow="0" w:lastRow="0" w:firstColumn="0" w:lastColumn="0" w:oddVBand="0" w:evenVBand="0" w:oddHBand="0" w:evenHBand="0" w:firstRowFirstColumn="0" w:firstRowLastColumn="0" w:lastRowFirstColumn="0" w:lastRowLastColumn="0"/>
            </w:pPr>
            <w:r>
              <w:t>12.</w:t>
            </w:r>
            <w:r w:rsidR="00B655D7">
              <w:t>3</w:t>
            </w:r>
          </w:p>
        </w:tc>
      </w:tr>
      <w:tr w:rsidR="007C14D1"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7C14D1" w:rsidRPr="0091620D" w:rsidRDefault="007C14D1" w:rsidP="0091620D">
            <w:pPr>
              <w:pStyle w:val="AERtabletextleft"/>
            </w:pPr>
            <w:r>
              <w:t>Buildings</w:t>
            </w:r>
          </w:p>
        </w:tc>
        <w:tc>
          <w:tcPr>
            <w:tcW w:w="1423" w:type="pct"/>
            <w:noWrap/>
            <w:vAlign w:val="bottom"/>
          </w:tcPr>
          <w:p w:rsidR="007C14D1" w:rsidRPr="0091620D" w:rsidRDefault="007C14D1" w:rsidP="0091620D">
            <w:pPr>
              <w:pStyle w:val="AERtabletextright"/>
              <w:cnfStyle w:val="000000010000" w:firstRow="0" w:lastRow="0" w:firstColumn="0" w:lastColumn="0" w:oddVBand="0" w:evenVBand="0" w:oddHBand="0" w:evenHBand="1" w:firstRowFirstColumn="0" w:firstRowLastColumn="0" w:lastRowFirstColumn="0" w:lastRowLastColumn="0"/>
            </w:pPr>
            <w:r>
              <w:t>40.0</w:t>
            </w:r>
          </w:p>
        </w:tc>
        <w:tc>
          <w:tcPr>
            <w:tcW w:w="1423" w:type="pct"/>
            <w:noWrap/>
            <w:vAlign w:val="bottom"/>
          </w:tcPr>
          <w:p w:rsidR="007C14D1" w:rsidRPr="0091620D" w:rsidRDefault="00A76C38" w:rsidP="00B655D7">
            <w:pPr>
              <w:pStyle w:val="AERtabletextright"/>
              <w:cnfStyle w:val="000000010000" w:firstRow="0" w:lastRow="0" w:firstColumn="0" w:lastColumn="0" w:oddVBand="0" w:evenVBand="0" w:oddHBand="0" w:evenHBand="1" w:firstRowFirstColumn="0" w:firstRowLastColumn="0" w:lastRowFirstColumn="0" w:lastRowLastColumn="0"/>
            </w:pPr>
            <w:r>
              <w:t>33.</w:t>
            </w:r>
            <w:r w:rsidR="00B655D7">
              <w:t>4</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tcPr>
          <w:p w:rsidR="0091620D" w:rsidRPr="0091620D" w:rsidRDefault="007C14D1" w:rsidP="0091620D">
            <w:pPr>
              <w:pStyle w:val="AERtabletextleft"/>
            </w:pPr>
            <w:r>
              <w:t>Equity raising costs</w:t>
            </w:r>
          </w:p>
        </w:tc>
        <w:tc>
          <w:tcPr>
            <w:tcW w:w="1423" w:type="pct"/>
            <w:noWrap/>
            <w:vAlign w:val="bottom"/>
          </w:tcPr>
          <w:p w:rsidR="0091620D" w:rsidRPr="0091620D" w:rsidRDefault="007C14D1" w:rsidP="0091620D">
            <w:pPr>
              <w:pStyle w:val="AERtabletextright"/>
              <w:cnfStyle w:val="000000000000" w:firstRow="0" w:lastRow="0" w:firstColumn="0" w:lastColumn="0" w:oddVBand="0" w:evenVBand="0" w:oddHBand="0" w:evenHBand="0" w:firstRowFirstColumn="0" w:firstRowLastColumn="0" w:lastRowFirstColumn="0" w:lastRowLastColumn="0"/>
            </w:pPr>
            <w:r>
              <w:t>5.0</w:t>
            </w:r>
          </w:p>
        </w:tc>
        <w:tc>
          <w:tcPr>
            <w:tcW w:w="1423" w:type="pct"/>
            <w:noWrap/>
            <w:vAlign w:val="bottom"/>
          </w:tcPr>
          <w:p w:rsidR="0091620D" w:rsidRPr="0091620D" w:rsidRDefault="00A76C38" w:rsidP="00B655D7">
            <w:pPr>
              <w:pStyle w:val="AERtabletextright"/>
              <w:cnfStyle w:val="000000000000" w:firstRow="0" w:lastRow="0" w:firstColumn="0" w:lastColumn="0" w:oddVBand="0" w:evenVBand="0" w:oddHBand="0" w:evenHBand="0" w:firstRowFirstColumn="0" w:firstRowLastColumn="0" w:lastRowFirstColumn="0" w:lastRowLastColumn="0"/>
            </w:pPr>
            <w:r>
              <w:t>4</w:t>
            </w:r>
            <w:r w:rsidR="00B655D7">
              <w:t>3</w:t>
            </w:r>
            <w:r>
              <w:t>.4</w:t>
            </w:r>
          </w:p>
        </w:tc>
      </w:tr>
    </w:tbl>
    <w:p w:rsidR="007E333E" w:rsidRPr="007E333E" w:rsidRDefault="007E333E" w:rsidP="007E333E">
      <w:pPr>
        <w:pStyle w:val="AERtablesource"/>
      </w:pPr>
      <w:r w:rsidRPr="007E333E">
        <w:t>Source:</w:t>
      </w:r>
      <w:r w:rsidRPr="007E333E">
        <w:tab/>
        <w:t xml:space="preserve">AER analysis. </w:t>
      </w:r>
    </w:p>
    <w:p w:rsidR="000E3C91" w:rsidRDefault="007E333E" w:rsidP="007E333E">
      <w:pPr>
        <w:pStyle w:val="AERtablesource"/>
      </w:pPr>
      <w:r w:rsidRPr="007E333E">
        <w:t xml:space="preserve">n/a: </w:t>
      </w:r>
      <w:r w:rsidRPr="007E333E">
        <w:tab/>
        <w:t>not applicable.</w:t>
      </w:r>
    </w:p>
    <w:p w:rsidR="000E3C91" w:rsidRDefault="000E3C91" w:rsidP="000E3C91">
      <w:pPr>
        <w:pStyle w:val="Caption"/>
      </w:pPr>
      <w:bookmarkStart w:id="37" w:name="_Ref395101276"/>
      <w:r>
        <w:t xml:space="preserve">Table </w:t>
      </w:r>
      <w:r w:rsidR="00213E04">
        <w:t>8</w:t>
      </w:r>
      <w:r w:rsidR="00BD0BE1">
        <w:noBreakHyphen/>
      </w:r>
      <w:fldSimple w:instr=" SEQ Table \* ARABIC \s 1 ">
        <w:r w:rsidR="005F7062">
          <w:rPr>
            <w:noProof/>
          </w:rPr>
          <w:t>10</w:t>
        </w:r>
      </w:fldSimple>
      <w:bookmarkEnd w:id="37"/>
      <w:r>
        <w:tab/>
      </w:r>
      <w:r w:rsidRPr="00DE1345">
        <w:t xml:space="preserve">AER's draft decision on </w:t>
      </w:r>
      <w:r w:rsidR="002B5942">
        <w:t>Ausgrid</w:t>
      </w:r>
      <w:r w:rsidRPr="00DE1345">
        <w:t xml:space="preserve">'s standard </w:t>
      </w:r>
      <w:r>
        <w:t xml:space="preserve">and remaining tax </w:t>
      </w:r>
      <w:r w:rsidRPr="00DE1345">
        <w:t>asset lives as at 1 July 2014 (years)</w:t>
      </w:r>
      <w:r w:rsidR="002B5942">
        <w:t xml:space="preserve"> – transmission</w:t>
      </w:r>
    </w:p>
    <w:tbl>
      <w:tblPr>
        <w:tblStyle w:val="AERtable-numbers"/>
        <w:tblW w:w="5000" w:type="pct"/>
        <w:tblLayout w:type="fixed"/>
        <w:tblLook w:val="04A0" w:firstRow="1" w:lastRow="0" w:firstColumn="1" w:lastColumn="0" w:noHBand="0" w:noVBand="1"/>
      </w:tblPr>
      <w:tblGrid>
        <w:gridCol w:w="3982"/>
        <w:gridCol w:w="2630"/>
        <w:gridCol w:w="2630"/>
      </w:tblGrid>
      <w:tr w:rsidR="007E333E" w:rsidRPr="007E333E" w:rsidTr="007E33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hideMark/>
          </w:tcPr>
          <w:p w:rsidR="007E333E" w:rsidRPr="007E333E" w:rsidRDefault="007E333E" w:rsidP="007E333E">
            <w:pPr>
              <w:pStyle w:val="AERtabletextleft"/>
            </w:pPr>
            <w:r w:rsidRPr="007E333E">
              <w:t>Asset class</w:t>
            </w:r>
          </w:p>
        </w:tc>
        <w:tc>
          <w:tcPr>
            <w:tcW w:w="1423" w:type="pct"/>
            <w:noWrap/>
            <w:hideMark/>
          </w:tcPr>
          <w:p w:rsidR="007E333E" w:rsidRPr="007E333E" w:rsidRDefault="007E333E" w:rsidP="007E333E">
            <w:pPr>
              <w:pStyle w:val="AERtabletextright"/>
              <w:cnfStyle w:val="100000000000" w:firstRow="1" w:lastRow="0" w:firstColumn="0" w:lastColumn="0" w:oddVBand="0" w:evenVBand="0" w:oddHBand="0" w:evenHBand="0" w:firstRowFirstColumn="0" w:firstRowLastColumn="0" w:lastRowFirstColumn="0" w:lastRowLastColumn="0"/>
            </w:pPr>
            <w:r w:rsidRPr="007E333E">
              <w:t xml:space="preserve">Standard tax asset life </w:t>
            </w:r>
          </w:p>
        </w:tc>
        <w:tc>
          <w:tcPr>
            <w:tcW w:w="1423" w:type="pct"/>
            <w:noWrap/>
            <w:hideMark/>
          </w:tcPr>
          <w:p w:rsidR="007E333E" w:rsidRPr="007E333E" w:rsidRDefault="007E333E" w:rsidP="007E333E">
            <w:pPr>
              <w:pStyle w:val="AERtabletextright"/>
              <w:cnfStyle w:val="100000000000" w:firstRow="1" w:lastRow="0" w:firstColumn="0" w:lastColumn="0" w:oddVBand="0" w:evenVBand="0" w:oddHBand="0" w:evenHBand="0" w:firstRowFirstColumn="0" w:firstRowLastColumn="0" w:lastRowFirstColumn="0" w:lastRowLastColumn="0"/>
            </w:pPr>
            <w:r w:rsidRPr="007E333E">
              <w:t xml:space="preserve">Remaining tax asset life as at </w:t>
            </w:r>
            <w:r w:rsidR="00D76FF5">
              <w:br/>
            </w:r>
            <w:r w:rsidRPr="007E333E">
              <w:t xml:space="preserve">1 July 2014 </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A76C38" w:rsidP="0091620D">
            <w:pPr>
              <w:pStyle w:val="AERtabletextleft"/>
            </w:pPr>
            <w:r>
              <w:t>Transmission &amp; Zone land &amp; easements</w:t>
            </w:r>
          </w:p>
        </w:tc>
        <w:tc>
          <w:tcPr>
            <w:tcW w:w="1423" w:type="pct"/>
            <w:noWrap/>
            <w:vAlign w:val="bottom"/>
          </w:tcPr>
          <w:p w:rsidR="0091620D" w:rsidRPr="0091620D" w:rsidRDefault="00A76C38" w:rsidP="0091620D">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1423" w:type="pct"/>
            <w:noWrap/>
            <w:vAlign w:val="bottom"/>
          </w:tcPr>
          <w:p w:rsidR="0091620D" w:rsidRPr="0091620D" w:rsidRDefault="00A76C38" w:rsidP="0091620D">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A76C38" w:rsidP="00A76C38">
            <w:pPr>
              <w:pStyle w:val="AERtabletextleft"/>
            </w:pPr>
            <w:r>
              <w:t>Transmission buildings</w:t>
            </w:r>
          </w:p>
        </w:tc>
        <w:tc>
          <w:tcPr>
            <w:tcW w:w="1423" w:type="pct"/>
            <w:noWrap/>
            <w:vAlign w:val="bottom"/>
          </w:tcPr>
          <w:p w:rsidR="0091620D" w:rsidRPr="0091620D" w:rsidRDefault="00A76C38" w:rsidP="0091620D">
            <w:pPr>
              <w:pStyle w:val="AERtabletextright"/>
              <w:cnfStyle w:val="000000010000" w:firstRow="0" w:lastRow="0" w:firstColumn="0" w:lastColumn="0" w:oddVBand="0" w:evenVBand="0" w:oddHBand="0" w:evenHBand="1" w:firstRowFirstColumn="0" w:firstRowLastColumn="0" w:lastRowFirstColumn="0" w:lastRowLastColumn="0"/>
            </w:pPr>
            <w:r>
              <w:t>40.0</w:t>
            </w:r>
          </w:p>
        </w:tc>
        <w:tc>
          <w:tcPr>
            <w:tcW w:w="1423" w:type="pct"/>
            <w:noWrap/>
            <w:vAlign w:val="bottom"/>
          </w:tcPr>
          <w:p w:rsidR="0091620D" w:rsidRPr="0091620D" w:rsidRDefault="00A76C38" w:rsidP="00B655D7">
            <w:pPr>
              <w:pStyle w:val="AERtabletextright"/>
              <w:cnfStyle w:val="000000010000" w:firstRow="0" w:lastRow="0" w:firstColumn="0" w:lastColumn="0" w:oddVBand="0" w:evenVBand="0" w:oddHBand="0" w:evenHBand="1" w:firstRowFirstColumn="0" w:firstRowLastColumn="0" w:lastRowFirstColumn="0" w:lastRowLastColumn="0"/>
            </w:pPr>
            <w:r>
              <w:t>30.</w:t>
            </w:r>
            <w:r w:rsidR="00B655D7">
              <w:t>6</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A76C38" w:rsidP="0091620D">
            <w:pPr>
              <w:pStyle w:val="AERtabletextleft"/>
            </w:pPr>
            <w:r>
              <w:t>Zone buildings 132/66kV</w:t>
            </w:r>
          </w:p>
        </w:tc>
        <w:tc>
          <w:tcPr>
            <w:tcW w:w="1423" w:type="pct"/>
            <w:noWrap/>
            <w:vAlign w:val="bottom"/>
          </w:tcPr>
          <w:p w:rsidR="0091620D" w:rsidRPr="0091620D" w:rsidRDefault="00A76C38" w:rsidP="0091620D">
            <w:pPr>
              <w:pStyle w:val="AERtabletextright"/>
              <w:cnfStyle w:val="000000000000" w:firstRow="0" w:lastRow="0" w:firstColumn="0" w:lastColumn="0" w:oddVBand="0" w:evenVBand="0" w:oddHBand="0" w:evenHBand="0" w:firstRowFirstColumn="0" w:firstRowLastColumn="0" w:lastRowFirstColumn="0" w:lastRowLastColumn="0"/>
            </w:pPr>
            <w:r>
              <w:t>40.0</w:t>
            </w:r>
          </w:p>
        </w:tc>
        <w:tc>
          <w:tcPr>
            <w:tcW w:w="1423" w:type="pct"/>
            <w:noWrap/>
            <w:vAlign w:val="bottom"/>
          </w:tcPr>
          <w:p w:rsidR="0091620D" w:rsidRPr="0091620D" w:rsidRDefault="00A76C38" w:rsidP="00B655D7">
            <w:pPr>
              <w:pStyle w:val="AERtabletextright"/>
              <w:cnfStyle w:val="000000000000" w:firstRow="0" w:lastRow="0" w:firstColumn="0" w:lastColumn="0" w:oddVBand="0" w:evenVBand="0" w:oddHBand="0" w:evenHBand="0" w:firstRowFirstColumn="0" w:firstRowLastColumn="0" w:lastRowFirstColumn="0" w:lastRowLastColumn="0"/>
            </w:pPr>
            <w:r>
              <w:t>3</w:t>
            </w:r>
            <w:r w:rsidR="00B655D7">
              <w:t>3.3</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A76C38" w:rsidP="0091620D">
            <w:pPr>
              <w:pStyle w:val="AERtabletextleft"/>
            </w:pPr>
            <w:r>
              <w:t>Transmission transformers 132/66kV</w:t>
            </w:r>
          </w:p>
        </w:tc>
        <w:tc>
          <w:tcPr>
            <w:tcW w:w="1423" w:type="pct"/>
            <w:noWrap/>
            <w:vAlign w:val="bottom"/>
          </w:tcPr>
          <w:p w:rsidR="0091620D" w:rsidRPr="0091620D" w:rsidRDefault="00A76C38" w:rsidP="0091620D">
            <w:pPr>
              <w:pStyle w:val="AERtabletextright"/>
              <w:cnfStyle w:val="000000010000" w:firstRow="0" w:lastRow="0" w:firstColumn="0" w:lastColumn="0" w:oddVBand="0" w:evenVBand="0" w:oddHBand="0" w:evenHBand="1" w:firstRowFirstColumn="0" w:firstRowLastColumn="0" w:lastRowFirstColumn="0" w:lastRowLastColumn="0"/>
            </w:pPr>
            <w:r>
              <w:t>40.0</w:t>
            </w:r>
          </w:p>
        </w:tc>
        <w:tc>
          <w:tcPr>
            <w:tcW w:w="1423" w:type="pct"/>
            <w:noWrap/>
            <w:vAlign w:val="bottom"/>
          </w:tcPr>
          <w:p w:rsidR="0091620D" w:rsidRPr="0091620D" w:rsidRDefault="00B655D7" w:rsidP="00B33594">
            <w:pPr>
              <w:pStyle w:val="AERtabletextright"/>
              <w:cnfStyle w:val="000000010000" w:firstRow="0" w:lastRow="0" w:firstColumn="0" w:lastColumn="0" w:oddVBand="0" w:evenVBand="0" w:oddHBand="0" w:evenHBand="1" w:firstRowFirstColumn="0" w:firstRowLastColumn="0" w:lastRowFirstColumn="0" w:lastRowLastColumn="0"/>
            </w:pPr>
            <w:r>
              <w:t>29.5</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A76C38" w:rsidP="0091620D">
            <w:pPr>
              <w:pStyle w:val="AERtabletextleft"/>
            </w:pPr>
            <w:r>
              <w:lastRenderedPageBreak/>
              <w:t>Zone transformers 132/66kV</w:t>
            </w:r>
          </w:p>
        </w:tc>
        <w:tc>
          <w:tcPr>
            <w:tcW w:w="1423" w:type="pct"/>
            <w:noWrap/>
            <w:vAlign w:val="bottom"/>
          </w:tcPr>
          <w:p w:rsidR="0091620D" w:rsidRPr="0091620D" w:rsidRDefault="00A76C38" w:rsidP="0091620D">
            <w:pPr>
              <w:pStyle w:val="AERtabletextright"/>
              <w:cnfStyle w:val="000000000000" w:firstRow="0" w:lastRow="0" w:firstColumn="0" w:lastColumn="0" w:oddVBand="0" w:evenVBand="0" w:oddHBand="0" w:evenHBand="0" w:firstRowFirstColumn="0" w:firstRowLastColumn="0" w:lastRowFirstColumn="0" w:lastRowLastColumn="0"/>
            </w:pPr>
            <w:r>
              <w:t>45.0</w:t>
            </w:r>
          </w:p>
        </w:tc>
        <w:tc>
          <w:tcPr>
            <w:tcW w:w="1423" w:type="pct"/>
            <w:noWrap/>
            <w:vAlign w:val="bottom"/>
          </w:tcPr>
          <w:p w:rsidR="0091620D" w:rsidRPr="0091620D" w:rsidRDefault="00A76C38" w:rsidP="00B33594">
            <w:pPr>
              <w:pStyle w:val="AERtabletextright"/>
              <w:cnfStyle w:val="000000000000" w:firstRow="0" w:lastRow="0" w:firstColumn="0" w:lastColumn="0" w:oddVBand="0" w:evenVBand="0" w:oddHBand="0" w:evenHBand="0" w:firstRowFirstColumn="0" w:firstRowLastColumn="0" w:lastRowFirstColumn="0" w:lastRowLastColumn="0"/>
            </w:pPr>
            <w:r>
              <w:t>30.6</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A76C38" w:rsidP="0091620D">
            <w:pPr>
              <w:pStyle w:val="AERtabletextleft"/>
            </w:pPr>
            <w:r>
              <w:t>Transmission substation equip 132/66kV</w:t>
            </w:r>
          </w:p>
        </w:tc>
        <w:tc>
          <w:tcPr>
            <w:tcW w:w="1423" w:type="pct"/>
            <w:noWrap/>
            <w:vAlign w:val="bottom"/>
          </w:tcPr>
          <w:p w:rsidR="0091620D" w:rsidRPr="0091620D" w:rsidRDefault="00A76C38" w:rsidP="0091620D">
            <w:pPr>
              <w:pStyle w:val="AERtabletextright"/>
              <w:cnfStyle w:val="000000010000" w:firstRow="0" w:lastRow="0" w:firstColumn="0" w:lastColumn="0" w:oddVBand="0" w:evenVBand="0" w:oddHBand="0" w:evenHBand="1" w:firstRowFirstColumn="0" w:firstRowLastColumn="0" w:lastRowFirstColumn="0" w:lastRowLastColumn="0"/>
            </w:pPr>
            <w:r>
              <w:t>40.0</w:t>
            </w:r>
          </w:p>
        </w:tc>
        <w:tc>
          <w:tcPr>
            <w:tcW w:w="1423" w:type="pct"/>
            <w:noWrap/>
            <w:vAlign w:val="bottom"/>
          </w:tcPr>
          <w:p w:rsidR="0091620D" w:rsidRPr="0091620D" w:rsidRDefault="00A76C38" w:rsidP="00B655D7">
            <w:pPr>
              <w:pStyle w:val="AERtabletextright"/>
              <w:cnfStyle w:val="000000010000" w:firstRow="0" w:lastRow="0" w:firstColumn="0" w:lastColumn="0" w:oddVBand="0" w:evenVBand="0" w:oddHBand="0" w:evenHBand="1" w:firstRowFirstColumn="0" w:firstRowLastColumn="0" w:lastRowFirstColumn="0" w:lastRowLastColumn="0"/>
            </w:pPr>
            <w:r>
              <w:t>30.</w:t>
            </w:r>
            <w:r w:rsidR="00B655D7">
              <w:t>3</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A76C38" w:rsidP="0091620D">
            <w:pPr>
              <w:pStyle w:val="AERtabletextleft"/>
            </w:pPr>
            <w:r>
              <w:t>Zone substation equip 132/66kV</w:t>
            </w:r>
          </w:p>
        </w:tc>
        <w:tc>
          <w:tcPr>
            <w:tcW w:w="1423" w:type="pct"/>
            <w:noWrap/>
            <w:vAlign w:val="bottom"/>
          </w:tcPr>
          <w:p w:rsidR="0091620D" w:rsidRPr="0091620D" w:rsidRDefault="00A76C38" w:rsidP="0091620D">
            <w:pPr>
              <w:pStyle w:val="AERtabletextright"/>
              <w:cnfStyle w:val="000000000000" w:firstRow="0" w:lastRow="0" w:firstColumn="0" w:lastColumn="0" w:oddVBand="0" w:evenVBand="0" w:oddHBand="0" w:evenHBand="0" w:firstRowFirstColumn="0" w:firstRowLastColumn="0" w:lastRowFirstColumn="0" w:lastRowLastColumn="0"/>
            </w:pPr>
            <w:r>
              <w:t>40.0</w:t>
            </w:r>
          </w:p>
        </w:tc>
        <w:tc>
          <w:tcPr>
            <w:tcW w:w="1423" w:type="pct"/>
            <w:noWrap/>
            <w:vAlign w:val="bottom"/>
          </w:tcPr>
          <w:p w:rsidR="0091620D" w:rsidRPr="0091620D" w:rsidRDefault="00A76C38" w:rsidP="00B655D7">
            <w:pPr>
              <w:pStyle w:val="AERtabletextright"/>
              <w:cnfStyle w:val="000000000000" w:firstRow="0" w:lastRow="0" w:firstColumn="0" w:lastColumn="0" w:oddVBand="0" w:evenVBand="0" w:oddHBand="0" w:evenHBand="0" w:firstRowFirstColumn="0" w:firstRowLastColumn="0" w:lastRowFirstColumn="0" w:lastRowLastColumn="0"/>
            </w:pPr>
            <w:r>
              <w:t>33.</w:t>
            </w:r>
            <w:r w:rsidR="00B655D7">
              <w:t>5</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B845EC" w:rsidP="00B845EC">
            <w:pPr>
              <w:pStyle w:val="AERtabletextleft"/>
            </w:pPr>
            <w:r>
              <w:t>Ancillary substation equipment (tx)</w:t>
            </w:r>
          </w:p>
        </w:tc>
        <w:tc>
          <w:tcPr>
            <w:tcW w:w="1423" w:type="pct"/>
            <w:noWrap/>
            <w:vAlign w:val="bottom"/>
          </w:tcPr>
          <w:p w:rsidR="0091620D" w:rsidRPr="0091620D" w:rsidRDefault="00B845EC" w:rsidP="0091620D">
            <w:pPr>
              <w:pStyle w:val="AERtabletextright"/>
              <w:cnfStyle w:val="000000010000" w:firstRow="0" w:lastRow="0" w:firstColumn="0" w:lastColumn="0" w:oddVBand="0" w:evenVBand="0" w:oddHBand="0" w:evenHBand="1" w:firstRowFirstColumn="0" w:firstRowLastColumn="0" w:lastRowFirstColumn="0" w:lastRowLastColumn="0"/>
            </w:pPr>
            <w:r>
              <w:t>15.0</w:t>
            </w:r>
          </w:p>
        </w:tc>
        <w:tc>
          <w:tcPr>
            <w:tcW w:w="1423" w:type="pct"/>
            <w:noWrap/>
            <w:vAlign w:val="bottom"/>
          </w:tcPr>
          <w:p w:rsidR="0091620D" w:rsidRPr="0091620D" w:rsidRDefault="00B845EC" w:rsidP="00B655D7">
            <w:pPr>
              <w:pStyle w:val="AERtabletextright"/>
              <w:cnfStyle w:val="000000010000" w:firstRow="0" w:lastRow="0" w:firstColumn="0" w:lastColumn="0" w:oddVBand="0" w:evenVBand="0" w:oddHBand="0" w:evenHBand="1" w:firstRowFirstColumn="0" w:firstRowLastColumn="0" w:lastRowFirstColumn="0" w:lastRowLastColumn="0"/>
            </w:pPr>
            <w:r>
              <w:t>1</w:t>
            </w:r>
            <w:r w:rsidR="00B655D7">
              <w:t>3.9</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B845EC" w:rsidP="0091620D">
            <w:pPr>
              <w:pStyle w:val="AERtabletextleft"/>
            </w:pPr>
            <w:r>
              <w:t>132kV tower lines</w:t>
            </w:r>
          </w:p>
        </w:tc>
        <w:tc>
          <w:tcPr>
            <w:tcW w:w="1423" w:type="pct"/>
            <w:noWrap/>
            <w:vAlign w:val="bottom"/>
          </w:tcPr>
          <w:p w:rsidR="0091620D" w:rsidRPr="0091620D" w:rsidRDefault="00B845EC" w:rsidP="0091620D">
            <w:pPr>
              <w:pStyle w:val="AERtabletextright"/>
              <w:cnfStyle w:val="000000000000" w:firstRow="0" w:lastRow="0" w:firstColumn="0" w:lastColumn="0" w:oddVBand="0" w:evenVBand="0" w:oddHBand="0" w:evenHBand="0" w:firstRowFirstColumn="0" w:firstRowLastColumn="0" w:lastRowFirstColumn="0" w:lastRowLastColumn="0"/>
            </w:pPr>
            <w:r>
              <w:t>47.6</w:t>
            </w:r>
          </w:p>
        </w:tc>
        <w:tc>
          <w:tcPr>
            <w:tcW w:w="1423" w:type="pct"/>
            <w:noWrap/>
            <w:vAlign w:val="bottom"/>
          </w:tcPr>
          <w:p w:rsidR="0091620D" w:rsidRPr="0091620D" w:rsidRDefault="00B655D7" w:rsidP="00B33594">
            <w:pPr>
              <w:pStyle w:val="AERtabletextright"/>
              <w:cnfStyle w:val="000000000000" w:firstRow="0" w:lastRow="0" w:firstColumn="0" w:lastColumn="0" w:oddVBand="0" w:evenVBand="0" w:oddHBand="0" w:evenHBand="0" w:firstRowFirstColumn="0" w:firstRowLastColumn="0" w:lastRowFirstColumn="0" w:lastRowLastColumn="0"/>
            </w:pPr>
            <w:r>
              <w:t>33.7</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B845EC" w:rsidP="0091620D">
            <w:pPr>
              <w:pStyle w:val="AERtabletextleft"/>
            </w:pPr>
            <w:r>
              <w:t>132kV concrete &amp; steel pole lines</w:t>
            </w:r>
          </w:p>
        </w:tc>
        <w:tc>
          <w:tcPr>
            <w:tcW w:w="1423" w:type="pct"/>
            <w:noWrap/>
            <w:vAlign w:val="bottom"/>
          </w:tcPr>
          <w:p w:rsidR="0091620D" w:rsidRPr="0091620D" w:rsidRDefault="00B845EC" w:rsidP="0091620D">
            <w:pPr>
              <w:pStyle w:val="AERtabletextright"/>
              <w:cnfStyle w:val="000000010000" w:firstRow="0" w:lastRow="0" w:firstColumn="0" w:lastColumn="0" w:oddVBand="0" w:evenVBand="0" w:oddHBand="0" w:evenHBand="1" w:firstRowFirstColumn="0" w:firstRowLastColumn="0" w:lastRowFirstColumn="0" w:lastRowLastColumn="0"/>
            </w:pPr>
            <w:r>
              <w:t>47.6</w:t>
            </w:r>
          </w:p>
        </w:tc>
        <w:tc>
          <w:tcPr>
            <w:tcW w:w="1423" w:type="pct"/>
            <w:noWrap/>
            <w:vAlign w:val="bottom"/>
          </w:tcPr>
          <w:p w:rsidR="0091620D" w:rsidRPr="0091620D" w:rsidRDefault="00B655D7" w:rsidP="00B33594">
            <w:pPr>
              <w:pStyle w:val="AERtabletextright"/>
              <w:cnfStyle w:val="000000010000" w:firstRow="0" w:lastRow="0" w:firstColumn="0" w:lastColumn="0" w:oddVBand="0" w:evenVBand="0" w:oddHBand="0" w:evenHBand="1" w:firstRowFirstColumn="0" w:firstRowLastColumn="0" w:lastRowFirstColumn="0" w:lastRowLastColumn="0"/>
            </w:pPr>
            <w:r>
              <w:t>40.5</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B845EC" w:rsidP="0091620D">
            <w:pPr>
              <w:pStyle w:val="AERtabletextleft"/>
            </w:pPr>
            <w:r>
              <w:t>132kV wood pole lines</w:t>
            </w:r>
          </w:p>
        </w:tc>
        <w:tc>
          <w:tcPr>
            <w:tcW w:w="1423" w:type="pct"/>
            <w:noWrap/>
            <w:vAlign w:val="bottom"/>
          </w:tcPr>
          <w:p w:rsidR="0091620D" w:rsidRPr="0091620D" w:rsidRDefault="00B845EC" w:rsidP="0091620D">
            <w:pPr>
              <w:pStyle w:val="AERtabletextright"/>
              <w:cnfStyle w:val="000000000000" w:firstRow="0" w:lastRow="0" w:firstColumn="0" w:lastColumn="0" w:oddVBand="0" w:evenVBand="0" w:oddHBand="0" w:evenHBand="0" w:firstRowFirstColumn="0" w:firstRowLastColumn="0" w:lastRowFirstColumn="0" w:lastRowLastColumn="0"/>
            </w:pPr>
            <w:r>
              <w:t>47.6</w:t>
            </w:r>
          </w:p>
        </w:tc>
        <w:tc>
          <w:tcPr>
            <w:tcW w:w="1423" w:type="pct"/>
            <w:noWrap/>
            <w:vAlign w:val="bottom"/>
          </w:tcPr>
          <w:p w:rsidR="0091620D" w:rsidRPr="0091620D" w:rsidRDefault="00B655D7" w:rsidP="00B33594">
            <w:pPr>
              <w:pStyle w:val="AERtabletextright"/>
              <w:cnfStyle w:val="000000000000" w:firstRow="0" w:lastRow="0" w:firstColumn="0" w:lastColumn="0" w:oddVBand="0" w:evenVBand="0" w:oddHBand="0" w:evenHBand="0" w:firstRowFirstColumn="0" w:firstRowLastColumn="0" w:lastRowFirstColumn="0" w:lastRowLastColumn="0"/>
            </w:pPr>
            <w:r>
              <w:t>31.9</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B845EC" w:rsidP="0091620D">
            <w:pPr>
              <w:pStyle w:val="AERtabletextleft"/>
            </w:pPr>
            <w:r>
              <w:t>132kV feeders underground</w:t>
            </w:r>
          </w:p>
        </w:tc>
        <w:tc>
          <w:tcPr>
            <w:tcW w:w="1423" w:type="pct"/>
            <w:noWrap/>
            <w:vAlign w:val="bottom"/>
          </w:tcPr>
          <w:p w:rsidR="0091620D" w:rsidRPr="0091620D" w:rsidRDefault="00B845EC" w:rsidP="0091620D">
            <w:pPr>
              <w:pStyle w:val="AERtabletextright"/>
              <w:cnfStyle w:val="000000010000" w:firstRow="0" w:lastRow="0" w:firstColumn="0" w:lastColumn="0" w:oddVBand="0" w:evenVBand="0" w:oddHBand="0" w:evenHBand="1" w:firstRowFirstColumn="0" w:firstRowLastColumn="0" w:lastRowFirstColumn="0" w:lastRowLastColumn="0"/>
            </w:pPr>
            <w:r>
              <w:t>47.0</w:t>
            </w:r>
          </w:p>
        </w:tc>
        <w:tc>
          <w:tcPr>
            <w:tcW w:w="1423" w:type="pct"/>
            <w:noWrap/>
            <w:vAlign w:val="bottom"/>
          </w:tcPr>
          <w:p w:rsidR="0091620D" w:rsidRPr="0091620D" w:rsidRDefault="00B655D7" w:rsidP="00B33594">
            <w:pPr>
              <w:pStyle w:val="AERtabletextright"/>
              <w:cnfStyle w:val="000000010000" w:firstRow="0" w:lastRow="0" w:firstColumn="0" w:lastColumn="0" w:oddVBand="0" w:evenVBand="0" w:oddHBand="0" w:evenHBand="1" w:firstRowFirstColumn="0" w:firstRowLastColumn="0" w:lastRowFirstColumn="0" w:lastRowLastColumn="0"/>
            </w:pPr>
            <w:r>
              <w:t>38.2</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B845EC" w:rsidP="0091620D">
            <w:pPr>
              <w:pStyle w:val="AERtabletextleft"/>
            </w:pPr>
            <w:r>
              <w:t>Cable tunnel (tx)</w:t>
            </w:r>
          </w:p>
        </w:tc>
        <w:tc>
          <w:tcPr>
            <w:tcW w:w="1423" w:type="pct"/>
            <w:noWrap/>
            <w:vAlign w:val="bottom"/>
          </w:tcPr>
          <w:p w:rsidR="0091620D" w:rsidRPr="0091620D" w:rsidRDefault="00B845EC" w:rsidP="0091620D">
            <w:pPr>
              <w:pStyle w:val="AERtabletextright"/>
              <w:cnfStyle w:val="000000000000" w:firstRow="0" w:lastRow="0" w:firstColumn="0" w:lastColumn="0" w:oddVBand="0" w:evenVBand="0" w:oddHBand="0" w:evenHBand="0" w:firstRowFirstColumn="0" w:firstRowLastColumn="0" w:lastRowFirstColumn="0" w:lastRowLastColumn="0"/>
            </w:pPr>
            <w:r>
              <w:t>47.6</w:t>
            </w:r>
          </w:p>
        </w:tc>
        <w:tc>
          <w:tcPr>
            <w:tcW w:w="1423" w:type="pct"/>
            <w:noWrap/>
            <w:vAlign w:val="bottom"/>
          </w:tcPr>
          <w:p w:rsidR="0091620D" w:rsidRPr="0091620D" w:rsidRDefault="00B655D7" w:rsidP="00B33594">
            <w:pPr>
              <w:pStyle w:val="AERtabletextright"/>
              <w:cnfStyle w:val="000000000000" w:firstRow="0" w:lastRow="0" w:firstColumn="0" w:lastColumn="0" w:oddVBand="0" w:evenVBand="0" w:oddHBand="0" w:evenHBand="0" w:firstRowFirstColumn="0" w:firstRowLastColumn="0" w:lastRowFirstColumn="0" w:lastRowLastColumn="0"/>
            </w:pPr>
            <w:r>
              <w:t>40.9</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B845EC" w:rsidP="0091620D">
            <w:pPr>
              <w:pStyle w:val="AERtabletextleft"/>
            </w:pPr>
            <w:r>
              <w:t>Network control &amp; com systems</w:t>
            </w:r>
          </w:p>
        </w:tc>
        <w:tc>
          <w:tcPr>
            <w:tcW w:w="1423" w:type="pct"/>
            <w:noWrap/>
            <w:vAlign w:val="bottom"/>
          </w:tcPr>
          <w:p w:rsidR="0091620D" w:rsidRPr="0091620D" w:rsidRDefault="00B845EC" w:rsidP="0091620D">
            <w:pPr>
              <w:pStyle w:val="AERtabletextright"/>
              <w:cnfStyle w:val="000000010000" w:firstRow="0" w:lastRow="0" w:firstColumn="0" w:lastColumn="0" w:oddVBand="0" w:evenVBand="0" w:oddHBand="0" w:evenHBand="1" w:firstRowFirstColumn="0" w:firstRowLastColumn="0" w:lastRowFirstColumn="0" w:lastRowLastColumn="0"/>
            </w:pPr>
            <w:r>
              <w:t>37.2</w:t>
            </w:r>
          </w:p>
        </w:tc>
        <w:tc>
          <w:tcPr>
            <w:tcW w:w="1423" w:type="pct"/>
            <w:noWrap/>
            <w:vAlign w:val="bottom"/>
          </w:tcPr>
          <w:p w:rsidR="0091620D" w:rsidRPr="0091620D" w:rsidRDefault="00B845EC" w:rsidP="00B33594">
            <w:pPr>
              <w:pStyle w:val="AERtabletextright"/>
              <w:cnfStyle w:val="000000010000" w:firstRow="0" w:lastRow="0" w:firstColumn="0" w:lastColumn="0" w:oddVBand="0" w:evenVBand="0" w:oddHBand="0" w:evenHBand="1" w:firstRowFirstColumn="0" w:firstRowLastColumn="0" w:lastRowFirstColumn="0" w:lastRowLastColumn="0"/>
            </w:pPr>
            <w:r>
              <w:t>17.</w:t>
            </w:r>
            <w:r w:rsidR="00B33594">
              <w:t>5</w:t>
            </w:r>
          </w:p>
        </w:tc>
      </w:tr>
      <w:tr w:rsidR="0091620D"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B845EC" w:rsidP="0091620D">
            <w:pPr>
              <w:pStyle w:val="AERtabletextleft"/>
            </w:pPr>
            <w:r>
              <w:t>Communications (digital) - tx</w:t>
            </w:r>
          </w:p>
        </w:tc>
        <w:tc>
          <w:tcPr>
            <w:tcW w:w="1423" w:type="pct"/>
            <w:noWrap/>
            <w:vAlign w:val="bottom"/>
          </w:tcPr>
          <w:p w:rsidR="0091620D" w:rsidRPr="0091620D" w:rsidRDefault="00B845EC" w:rsidP="0091620D">
            <w:pPr>
              <w:pStyle w:val="AERtabletextright"/>
              <w:cnfStyle w:val="000000000000" w:firstRow="0" w:lastRow="0" w:firstColumn="0" w:lastColumn="0" w:oddVBand="0" w:evenVBand="0" w:oddHBand="0" w:evenHBand="0" w:firstRowFirstColumn="0" w:firstRowLastColumn="0" w:lastRowFirstColumn="0" w:lastRowLastColumn="0"/>
            </w:pPr>
            <w:r>
              <w:t>10.0</w:t>
            </w:r>
          </w:p>
        </w:tc>
        <w:tc>
          <w:tcPr>
            <w:tcW w:w="1423" w:type="pct"/>
            <w:noWrap/>
            <w:vAlign w:val="bottom"/>
          </w:tcPr>
          <w:p w:rsidR="0091620D" w:rsidRPr="0091620D" w:rsidRDefault="00B655D7" w:rsidP="00B33594">
            <w:pPr>
              <w:pStyle w:val="AERtabletextright"/>
              <w:cnfStyle w:val="000000000000" w:firstRow="0" w:lastRow="0" w:firstColumn="0" w:lastColumn="0" w:oddVBand="0" w:evenVBand="0" w:oddHBand="0" w:evenHBand="0" w:firstRowFirstColumn="0" w:firstRowLastColumn="0" w:lastRowFirstColumn="0" w:lastRowLastColumn="0"/>
            </w:pPr>
            <w:r>
              <w:t>7.9</w:t>
            </w:r>
          </w:p>
        </w:tc>
      </w:tr>
      <w:tr w:rsidR="0091620D"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91620D" w:rsidRPr="0091620D" w:rsidRDefault="00B845EC" w:rsidP="00B845EC">
            <w:pPr>
              <w:pStyle w:val="AERtabletextleft"/>
            </w:pPr>
            <w:r>
              <w:t>System IT (tx)</w:t>
            </w:r>
          </w:p>
        </w:tc>
        <w:tc>
          <w:tcPr>
            <w:tcW w:w="1423" w:type="pct"/>
            <w:noWrap/>
            <w:vAlign w:val="bottom"/>
          </w:tcPr>
          <w:p w:rsidR="0091620D" w:rsidRPr="0091620D" w:rsidRDefault="00B845EC" w:rsidP="0091620D">
            <w:pPr>
              <w:pStyle w:val="AERtabletextright"/>
              <w:cnfStyle w:val="000000010000" w:firstRow="0" w:lastRow="0" w:firstColumn="0" w:lastColumn="0" w:oddVBand="0" w:evenVBand="0" w:oddHBand="0" w:evenHBand="1" w:firstRowFirstColumn="0" w:firstRowLastColumn="0" w:lastRowFirstColumn="0" w:lastRowLastColumn="0"/>
            </w:pPr>
            <w:r>
              <w:t>7.0</w:t>
            </w:r>
          </w:p>
        </w:tc>
        <w:tc>
          <w:tcPr>
            <w:tcW w:w="1423" w:type="pct"/>
            <w:noWrap/>
            <w:vAlign w:val="bottom"/>
          </w:tcPr>
          <w:p w:rsidR="0091620D" w:rsidRPr="0091620D" w:rsidRDefault="00B655D7" w:rsidP="00B33594">
            <w:pPr>
              <w:pStyle w:val="AERtabletextright"/>
              <w:cnfStyle w:val="000000010000" w:firstRow="0" w:lastRow="0" w:firstColumn="0" w:lastColumn="0" w:oddVBand="0" w:evenVBand="0" w:oddHBand="0" w:evenHBand="1" w:firstRowFirstColumn="0" w:firstRowLastColumn="0" w:lastRowFirstColumn="0" w:lastRowLastColumn="0"/>
            </w:pPr>
            <w:r>
              <w:t>4.8</w:t>
            </w:r>
          </w:p>
        </w:tc>
      </w:tr>
      <w:tr w:rsidR="00B845EC"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B845EC" w:rsidRPr="0091620D" w:rsidRDefault="00B845EC" w:rsidP="0091620D">
            <w:pPr>
              <w:pStyle w:val="AERtabletextleft"/>
            </w:pPr>
            <w:r>
              <w:t>IT systems</w:t>
            </w:r>
          </w:p>
        </w:tc>
        <w:tc>
          <w:tcPr>
            <w:tcW w:w="1423" w:type="pct"/>
            <w:noWrap/>
            <w:vAlign w:val="bottom"/>
          </w:tcPr>
          <w:p w:rsidR="00B845EC" w:rsidRPr="0091620D" w:rsidRDefault="00B845EC" w:rsidP="0091620D">
            <w:pPr>
              <w:pStyle w:val="AERtabletextright"/>
              <w:cnfStyle w:val="000000000000" w:firstRow="0" w:lastRow="0" w:firstColumn="0" w:lastColumn="0" w:oddVBand="0" w:evenVBand="0" w:oddHBand="0" w:evenHBand="0" w:firstRowFirstColumn="0" w:firstRowLastColumn="0" w:lastRowFirstColumn="0" w:lastRowLastColumn="0"/>
            </w:pPr>
            <w:r>
              <w:t>4.0</w:t>
            </w:r>
          </w:p>
        </w:tc>
        <w:tc>
          <w:tcPr>
            <w:tcW w:w="1423" w:type="pct"/>
            <w:noWrap/>
            <w:vAlign w:val="bottom"/>
          </w:tcPr>
          <w:p w:rsidR="00B845EC" w:rsidRPr="0091620D" w:rsidRDefault="00B655D7" w:rsidP="00B33594">
            <w:pPr>
              <w:pStyle w:val="AERtabletextright"/>
              <w:cnfStyle w:val="000000000000" w:firstRow="0" w:lastRow="0" w:firstColumn="0" w:lastColumn="0" w:oddVBand="0" w:evenVBand="0" w:oddHBand="0" w:evenHBand="0" w:firstRowFirstColumn="0" w:firstRowLastColumn="0" w:lastRowFirstColumn="0" w:lastRowLastColumn="0"/>
            </w:pPr>
            <w:r>
              <w:t>2.6</w:t>
            </w:r>
          </w:p>
        </w:tc>
      </w:tr>
      <w:tr w:rsidR="00B845EC"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B845EC" w:rsidRPr="0091620D" w:rsidRDefault="00B845EC" w:rsidP="0091620D">
            <w:pPr>
              <w:pStyle w:val="AERtabletextleft"/>
            </w:pPr>
            <w:r>
              <w:t>Furniture, fittings, plant and equipment</w:t>
            </w:r>
          </w:p>
        </w:tc>
        <w:tc>
          <w:tcPr>
            <w:tcW w:w="1423" w:type="pct"/>
            <w:noWrap/>
            <w:vAlign w:val="bottom"/>
          </w:tcPr>
          <w:p w:rsidR="00B845EC" w:rsidRPr="0091620D" w:rsidRDefault="00B845EC" w:rsidP="0091620D">
            <w:pPr>
              <w:pStyle w:val="AERtabletextright"/>
              <w:cnfStyle w:val="000000010000" w:firstRow="0" w:lastRow="0" w:firstColumn="0" w:lastColumn="0" w:oddVBand="0" w:evenVBand="0" w:oddHBand="0" w:evenHBand="1" w:firstRowFirstColumn="0" w:firstRowLastColumn="0" w:lastRowFirstColumn="0" w:lastRowLastColumn="0"/>
            </w:pPr>
            <w:r>
              <w:t>10.6</w:t>
            </w:r>
          </w:p>
        </w:tc>
        <w:tc>
          <w:tcPr>
            <w:tcW w:w="1423" w:type="pct"/>
            <w:noWrap/>
            <w:vAlign w:val="bottom"/>
          </w:tcPr>
          <w:p w:rsidR="00B845EC" w:rsidRPr="0091620D" w:rsidRDefault="00B845EC" w:rsidP="00B33594">
            <w:pPr>
              <w:pStyle w:val="AERtabletextright"/>
              <w:cnfStyle w:val="000000010000" w:firstRow="0" w:lastRow="0" w:firstColumn="0" w:lastColumn="0" w:oddVBand="0" w:evenVBand="0" w:oddHBand="0" w:evenHBand="1" w:firstRowFirstColumn="0" w:firstRowLastColumn="0" w:lastRowFirstColumn="0" w:lastRowLastColumn="0"/>
            </w:pPr>
            <w:r>
              <w:t>7.</w:t>
            </w:r>
            <w:r w:rsidR="00B33594">
              <w:t>6</w:t>
            </w:r>
          </w:p>
        </w:tc>
      </w:tr>
      <w:tr w:rsidR="00B845EC"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B845EC" w:rsidRPr="0091620D" w:rsidRDefault="00B845EC" w:rsidP="0091620D">
            <w:pPr>
              <w:pStyle w:val="AERtabletextleft"/>
            </w:pPr>
            <w:r>
              <w:t>Motor vehicles</w:t>
            </w:r>
          </w:p>
        </w:tc>
        <w:tc>
          <w:tcPr>
            <w:tcW w:w="1423" w:type="pct"/>
            <w:noWrap/>
            <w:vAlign w:val="bottom"/>
          </w:tcPr>
          <w:p w:rsidR="00B845EC" w:rsidRPr="0091620D" w:rsidRDefault="00B845EC" w:rsidP="0091620D">
            <w:pPr>
              <w:pStyle w:val="AERtabletextright"/>
              <w:cnfStyle w:val="000000000000" w:firstRow="0" w:lastRow="0" w:firstColumn="0" w:lastColumn="0" w:oddVBand="0" w:evenVBand="0" w:oddHBand="0" w:evenHBand="0" w:firstRowFirstColumn="0" w:firstRowLastColumn="0" w:lastRowFirstColumn="0" w:lastRowLastColumn="0"/>
            </w:pPr>
            <w:r>
              <w:t>20.0</w:t>
            </w:r>
          </w:p>
        </w:tc>
        <w:tc>
          <w:tcPr>
            <w:tcW w:w="1423" w:type="pct"/>
            <w:noWrap/>
            <w:vAlign w:val="bottom"/>
          </w:tcPr>
          <w:p w:rsidR="00B845EC" w:rsidRPr="0091620D" w:rsidRDefault="00B655D7" w:rsidP="00B33594">
            <w:pPr>
              <w:pStyle w:val="AERtabletextright"/>
              <w:cnfStyle w:val="000000000000" w:firstRow="0" w:lastRow="0" w:firstColumn="0" w:lastColumn="0" w:oddVBand="0" w:evenVBand="0" w:oddHBand="0" w:evenHBand="0" w:firstRowFirstColumn="0" w:firstRowLastColumn="0" w:lastRowFirstColumn="0" w:lastRowLastColumn="0"/>
            </w:pPr>
            <w:r>
              <w:t>12.3</w:t>
            </w:r>
          </w:p>
        </w:tc>
      </w:tr>
      <w:tr w:rsidR="00B845EC"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B845EC" w:rsidRPr="0091620D" w:rsidRDefault="00B845EC" w:rsidP="0091620D">
            <w:pPr>
              <w:pStyle w:val="AERtabletextleft"/>
            </w:pPr>
            <w:r>
              <w:t>Buildings</w:t>
            </w:r>
          </w:p>
        </w:tc>
        <w:tc>
          <w:tcPr>
            <w:tcW w:w="1423" w:type="pct"/>
            <w:noWrap/>
            <w:vAlign w:val="bottom"/>
          </w:tcPr>
          <w:p w:rsidR="00B845EC" w:rsidRPr="0091620D" w:rsidRDefault="00B845EC" w:rsidP="0091620D">
            <w:pPr>
              <w:pStyle w:val="AERtabletextright"/>
              <w:cnfStyle w:val="000000010000" w:firstRow="0" w:lastRow="0" w:firstColumn="0" w:lastColumn="0" w:oddVBand="0" w:evenVBand="0" w:oddHBand="0" w:evenHBand="1" w:firstRowFirstColumn="0" w:firstRowLastColumn="0" w:lastRowFirstColumn="0" w:lastRowLastColumn="0"/>
            </w:pPr>
            <w:r>
              <w:t>40.0</w:t>
            </w:r>
          </w:p>
        </w:tc>
        <w:tc>
          <w:tcPr>
            <w:tcW w:w="1423" w:type="pct"/>
            <w:noWrap/>
            <w:vAlign w:val="bottom"/>
          </w:tcPr>
          <w:p w:rsidR="00B845EC" w:rsidRPr="0091620D" w:rsidRDefault="00B655D7" w:rsidP="00B33594">
            <w:pPr>
              <w:pStyle w:val="AERtabletextright"/>
              <w:cnfStyle w:val="000000010000" w:firstRow="0" w:lastRow="0" w:firstColumn="0" w:lastColumn="0" w:oddVBand="0" w:evenVBand="0" w:oddHBand="0" w:evenHBand="1" w:firstRowFirstColumn="0" w:firstRowLastColumn="0" w:lastRowFirstColumn="0" w:lastRowLastColumn="0"/>
            </w:pPr>
            <w:r>
              <w:t>33.4</w:t>
            </w:r>
          </w:p>
        </w:tc>
      </w:tr>
      <w:tr w:rsidR="00B845EC"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B845EC" w:rsidRPr="0091620D" w:rsidRDefault="00B845EC" w:rsidP="0091620D">
            <w:pPr>
              <w:pStyle w:val="AERtabletextleft"/>
            </w:pPr>
            <w:r>
              <w:t>Land (non-system)</w:t>
            </w:r>
          </w:p>
        </w:tc>
        <w:tc>
          <w:tcPr>
            <w:tcW w:w="1423" w:type="pct"/>
            <w:noWrap/>
            <w:vAlign w:val="bottom"/>
          </w:tcPr>
          <w:p w:rsidR="00B845EC" w:rsidRPr="0091620D" w:rsidRDefault="00B845EC" w:rsidP="0091620D">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1423" w:type="pct"/>
            <w:noWrap/>
            <w:vAlign w:val="bottom"/>
          </w:tcPr>
          <w:p w:rsidR="00B845EC" w:rsidRPr="0091620D" w:rsidRDefault="00B845EC" w:rsidP="0091620D">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B845EC" w:rsidRPr="007E333E" w:rsidTr="002B59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B845EC" w:rsidRPr="0091620D" w:rsidRDefault="00B845EC" w:rsidP="0091620D">
            <w:pPr>
              <w:pStyle w:val="AERtabletextleft"/>
            </w:pPr>
            <w:r>
              <w:t>Other non-system assets</w:t>
            </w:r>
          </w:p>
        </w:tc>
        <w:tc>
          <w:tcPr>
            <w:tcW w:w="1423" w:type="pct"/>
            <w:noWrap/>
            <w:vAlign w:val="bottom"/>
          </w:tcPr>
          <w:p w:rsidR="00B845EC" w:rsidRPr="0091620D" w:rsidRDefault="00B845EC" w:rsidP="0091620D">
            <w:pPr>
              <w:pStyle w:val="AERtabletextright"/>
              <w:cnfStyle w:val="000000010000" w:firstRow="0" w:lastRow="0" w:firstColumn="0" w:lastColumn="0" w:oddVBand="0" w:evenVBand="0" w:oddHBand="0" w:evenHBand="1" w:firstRowFirstColumn="0" w:firstRowLastColumn="0" w:lastRowFirstColumn="0" w:lastRowLastColumn="0"/>
            </w:pPr>
            <w:r>
              <w:t>10.5</w:t>
            </w:r>
          </w:p>
        </w:tc>
        <w:tc>
          <w:tcPr>
            <w:tcW w:w="1423" w:type="pct"/>
            <w:noWrap/>
            <w:vAlign w:val="bottom"/>
          </w:tcPr>
          <w:p w:rsidR="00B845EC" w:rsidRPr="0091620D" w:rsidRDefault="00B655D7" w:rsidP="00B33594">
            <w:pPr>
              <w:pStyle w:val="AERtabletextright"/>
              <w:cnfStyle w:val="000000010000" w:firstRow="0" w:lastRow="0" w:firstColumn="0" w:lastColumn="0" w:oddVBand="0" w:evenVBand="0" w:oddHBand="0" w:evenHBand="1" w:firstRowFirstColumn="0" w:firstRowLastColumn="0" w:lastRowFirstColumn="0" w:lastRowLastColumn="0"/>
            </w:pPr>
            <w:r>
              <w:t>2.7</w:t>
            </w:r>
          </w:p>
        </w:tc>
      </w:tr>
      <w:tr w:rsidR="00B845EC" w:rsidRPr="007E333E" w:rsidTr="002B5942">
        <w:trPr>
          <w:trHeight w:val="300"/>
        </w:trPr>
        <w:tc>
          <w:tcPr>
            <w:cnfStyle w:val="001000000000" w:firstRow="0" w:lastRow="0" w:firstColumn="1" w:lastColumn="0" w:oddVBand="0" w:evenVBand="0" w:oddHBand="0" w:evenHBand="0" w:firstRowFirstColumn="0" w:firstRowLastColumn="0" w:lastRowFirstColumn="0" w:lastRowLastColumn="0"/>
            <w:tcW w:w="2154" w:type="pct"/>
            <w:noWrap/>
          </w:tcPr>
          <w:p w:rsidR="00B845EC" w:rsidRPr="0091620D" w:rsidRDefault="00B845EC" w:rsidP="0091620D">
            <w:pPr>
              <w:pStyle w:val="AERtabletextleft"/>
            </w:pPr>
            <w:r>
              <w:t>Equity raising costs</w:t>
            </w:r>
          </w:p>
        </w:tc>
        <w:tc>
          <w:tcPr>
            <w:tcW w:w="1423" w:type="pct"/>
            <w:noWrap/>
            <w:vAlign w:val="bottom"/>
          </w:tcPr>
          <w:p w:rsidR="00B845EC" w:rsidRPr="0091620D" w:rsidRDefault="00B845EC" w:rsidP="0091620D">
            <w:pPr>
              <w:pStyle w:val="AERtabletextright"/>
              <w:cnfStyle w:val="000000000000" w:firstRow="0" w:lastRow="0" w:firstColumn="0" w:lastColumn="0" w:oddVBand="0" w:evenVBand="0" w:oddHBand="0" w:evenHBand="0" w:firstRowFirstColumn="0" w:firstRowLastColumn="0" w:lastRowFirstColumn="0" w:lastRowLastColumn="0"/>
            </w:pPr>
            <w:r>
              <w:t>5.0</w:t>
            </w:r>
          </w:p>
        </w:tc>
        <w:tc>
          <w:tcPr>
            <w:tcW w:w="1423" w:type="pct"/>
            <w:noWrap/>
            <w:vAlign w:val="bottom"/>
          </w:tcPr>
          <w:p w:rsidR="00B845EC" w:rsidRPr="0091620D" w:rsidRDefault="00B655D7" w:rsidP="00B33594">
            <w:pPr>
              <w:pStyle w:val="AERtabletextright"/>
              <w:cnfStyle w:val="000000000000" w:firstRow="0" w:lastRow="0" w:firstColumn="0" w:lastColumn="0" w:oddVBand="0" w:evenVBand="0" w:oddHBand="0" w:evenHBand="0" w:firstRowFirstColumn="0" w:firstRowLastColumn="0" w:lastRowFirstColumn="0" w:lastRowLastColumn="0"/>
            </w:pPr>
            <w:r>
              <w:t>41.7</w:t>
            </w:r>
          </w:p>
        </w:tc>
      </w:tr>
    </w:tbl>
    <w:p w:rsidR="00B845EC" w:rsidRPr="00B845EC" w:rsidRDefault="00B845EC" w:rsidP="00B845EC">
      <w:pPr>
        <w:pStyle w:val="AERtablesource"/>
      </w:pPr>
      <w:r>
        <w:t>Source:</w:t>
      </w:r>
      <w:r w:rsidRPr="00B845EC">
        <w:t xml:space="preserve"> </w:t>
      </w:r>
      <w:r w:rsidRPr="00B845EC">
        <w:tab/>
        <w:t xml:space="preserve">AER analysis. </w:t>
      </w:r>
    </w:p>
    <w:p w:rsidR="000E3C91" w:rsidRPr="0085652B" w:rsidRDefault="00B845EC" w:rsidP="00B845EC">
      <w:pPr>
        <w:pStyle w:val="AERtablesource"/>
      </w:pPr>
      <w:r w:rsidRPr="00B845EC">
        <w:t xml:space="preserve">n/a: </w:t>
      </w:r>
      <w:r w:rsidRPr="00B845EC">
        <w:tab/>
        <w:t>not applicable.</w:t>
      </w:r>
      <w:r>
        <w:tab/>
      </w:r>
    </w:p>
    <w:p w:rsidR="0084378B" w:rsidRPr="008D5D7C" w:rsidRDefault="0084378B" w:rsidP="008D5D7C"/>
    <w:sectPr w:rsidR="0084378B" w:rsidRPr="008D5D7C" w:rsidSect="0045608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6D1" w:rsidRPr="00AB4345" w:rsidRDefault="007A36D1" w:rsidP="00AB4345">
      <w:r>
        <w:separator/>
      </w:r>
    </w:p>
  </w:endnote>
  <w:endnote w:type="continuationSeparator" w:id="0">
    <w:p w:rsidR="007A36D1" w:rsidRPr="00AB4345" w:rsidRDefault="007A36D1"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7A36D1" w:rsidRPr="00824CC8" w:rsidRDefault="00213E04" w:rsidP="00824CC8">
        <w:pPr>
          <w:pStyle w:val="Footer"/>
        </w:pPr>
        <w:r>
          <w:t>8-</w:t>
        </w:r>
        <w:r w:rsidR="007A36D1" w:rsidRPr="00824CC8">
          <w:fldChar w:fldCharType="begin"/>
        </w:r>
        <w:r w:rsidR="007A36D1" w:rsidRPr="00824CC8">
          <w:instrText xml:space="preserve"> PAGE   \* MERGEFORMAT </w:instrText>
        </w:r>
        <w:r w:rsidR="007A36D1" w:rsidRPr="00824CC8">
          <w:fldChar w:fldCharType="separate"/>
        </w:r>
        <w:r w:rsidR="00316070">
          <w:rPr>
            <w:noProof/>
          </w:rPr>
          <w:t>4</w:t>
        </w:r>
        <w:r w:rsidR="007A36D1" w:rsidRPr="00824CC8">
          <w:fldChar w:fldCharType="end"/>
        </w:r>
        <w:r w:rsidR="007A36D1" w:rsidRPr="00824CC8">
          <w:tab/>
        </w:r>
        <w:r>
          <w:t xml:space="preserve">                                                       </w:t>
        </w:r>
        <w:r w:rsidRPr="000A7330">
          <w:rPr>
            <w:rStyle w:val="AERbody"/>
          </w:rPr>
          <w:t xml:space="preserve">Attachment </w:t>
        </w:r>
        <w:r>
          <w:rPr>
            <w:rStyle w:val="AERbody"/>
          </w:rPr>
          <w:t>8</w:t>
        </w:r>
        <w:r w:rsidRPr="000A7330">
          <w:rPr>
            <w:rStyle w:val="AERbody"/>
          </w:rPr>
          <w:t xml:space="preserve">: </w:t>
        </w:r>
        <w:r>
          <w:rPr>
            <w:rStyle w:val="AERbody"/>
          </w:rPr>
          <w:t>Corporate income tax</w:t>
        </w:r>
        <w:r w:rsidRPr="000A7330">
          <w:rPr>
            <w:rStyle w:val="AERbody"/>
          </w:rPr>
          <w:t xml:space="preserve"> </w:t>
        </w:r>
        <w:r w:rsidRPr="00824CC8">
          <w:rPr>
            <w:rStyle w:val="AERbody"/>
          </w:rPr>
          <w:t xml:space="preserve">| </w:t>
        </w:r>
        <w:r>
          <w:rPr>
            <w:rStyle w:val="AERbody"/>
          </w:rPr>
          <w:t>Ausgrid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6D1" w:rsidRPr="00824CC8" w:rsidRDefault="00213E04" w:rsidP="00824CC8">
    <w:pPr>
      <w:pStyle w:val="Footer"/>
      <w:rPr>
        <w:rStyle w:val="AERbody"/>
      </w:rPr>
    </w:pPr>
    <w:r w:rsidRPr="000A7330">
      <w:rPr>
        <w:rStyle w:val="AERbody"/>
      </w:rPr>
      <w:t xml:space="preserve">Attachment </w:t>
    </w:r>
    <w:r>
      <w:rPr>
        <w:rStyle w:val="AERbody"/>
      </w:rPr>
      <w:t>8</w:t>
    </w:r>
    <w:r w:rsidRPr="000A7330">
      <w:rPr>
        <w:rStyle w:val="AERbody"/>
      </w:rPr>
      <w:t xml:space="preserve">: </w:t>
    </w:r>
    <w:r>
      <w:rPr>
        <w:rStyle w:val="AERbody"/>
      </w:rPr>
      <w:t>Corporate income tax</w:t>
    </w:r>
    <w:r w:rsidRPr="000A7330">
      <w:rPr>
        <w:rStyle w:val="AERbody"/>
      </w:rPr>
      <w:t xml:space="preserve"> </w:t>
    </w:r>
    <w:r w:rsidRPr="00824CC8">
      <w:rPr>
        <w:rStyle w:val="AERbody"/>
      </w:rPr>
      <w:t xml:space="preserve">| </w:t>
    </w:r>
    <w:r>
      <w:rPr>
        <w:rStyle w:val="AERbody"/>
      </w:rPr>
      <w:t>Ausgrid draft decision</w:t>
    </w:r>
    <w:r w:rsidRPr="00210880">
      <w:rPr>
        <w:rStyle w:val="AERbody"/>
      </w:rPr>
      <w:t xml:space="preserve"> </w:t>
    </w:r>
    <w:r w:rsidR="007A36D1" w:rsidRPr="00210880">
      <w:rPr>
        <w:rStyle w:val="AERbody"/>
      </w:rPr>
      <w:tab/>
    </w:r>
    <w:r>
      <w:rPr>
        <w:rStyle w:val="AERbody"/>
      </w:rPr>
      <w:t>8-</w:t>
    </w:r>
    <w:r w:rsidR="007A36D1" w:rsidRPr="00824CC8">
      <w:rPr>
        <w:rStyle w:val="AERbody"/>
      </w:rPr>
      <w:fldChar w:fldCharType="begin"/>
    </w:r>
    <w:r w:rsidR="007A36D1" w:rsidRPr="00824CC8">
      <w:rPr>
        <w:rStyle w:val="AERbody"/>
      </w:rPr>
      <w:instrText xml:space="preserve"> PAGE   \* MERGEFORMAT </w:instrText>
    </w:r>
    <w:r w:rsidR="007A36D1" w:rsidRPr="00824CC8">
      <w:rPr>
        <w:rStyle w:val="AERbody"/>
      </w:rPr>
      <w:fldChar w:fldCharType="separate"/>
    </w:r>
    <w:r w:rsidR="00316070">
      <w:rPr>
        <w:rStyle w:val="AERbody"/>
        <w:noProof/>
      </w:rPr>
      <w:t>3</w:t>
    </w:r>
    <w:r w:rsidR="007A36D1"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6D1" w:rsidRPr="00AB4345" w:rsidRDefault="007A36D1" w:rsidP="00AB4345">
      <w:r>
        <w:separator/>
      </w:r>
    </w:p>
  </w:footnote>
  <w:footnote w:type="continuationSeparator" w:id="0">
    <w:p w:rsidR="007A36D1" w:rsidRPr="00AB4345" w:rsidRDefault="007A36D1" w:rsidP="00AB4345">
      <w:r>
        <w:continuationSeparator/>
      </w:r>
    </w:p>
  </w:footnote>
  <w:footnote w:id="1">
    <w:p w:rsidR="007A36D1" w:rsidRDefault="007A36D1">
      <w:pPr>
        <w:pStyle w:val="FootnoteText"/>
      </w:pPr>
      <w:r>
        <w:rPr>
          <w:rStyle w:val="FootnoteReference"/>
        </w:rPr>
        <w:footnoteRef/>
      </w:r>
      <w:r>
        <w:t xml:space="preserve"> </w:t>
      </w:r>
      <w:r>
        <w:tab/>
      </w:r>
      <w:r w:rsidRPr="0046015E">
        <w:t>NER, cl</w:t>
      </w:r>
      <w:r w:rsidR="00213E04">
        <w:t>.</w:t>
      </w:r>
      <w:r w:rsidRPr="0046015E">
        <w:t xml:space="preserve"> 6.4.3(a)(4).</w:t>
      </w:r>
    </w:p>
  </w:footnote>
  <w:footnote w:id="2">
    <w:p w:rsidR="007A36D1" w:rsidRDefault="007A36D1">
      <w:pPr>
        <w:pStyle w:val="FootnoteText"/>
      </w:pPr>
      <w:r>
        <w:rPr>
          <w:rStyle w:val="FootnoteReference"/>
        </w:rPr>
        <w:footnoteRef/>
      </w:r>
      <w:r>
        <w:t xml:space="preserve"> </w:t>
      </w:r>
      <w:r>
        <w:tab/>
        <w:t>Ausgrid</w:t>
      </w:r>
      <w:r w:rsidRPr="00DB7CF9">
        <w:t xml:space="preserve">, </w:t>
      </w:r>
      <w:r w:rsidRPr="00DB7CF9">
        <w:rPr>
          <w:rStyle w:val="AERtextitalic"/>
        </w:rPr>
        <w:t>Regulatory proposal</w:t>
      </w:r>
      <w:r w:rsidRPr="00DB7CF9">
        <w:t>, May 2014, Attachment 4.0</w:t>
      </w:r>
      <w:r>
        <w:t xml:space="preserve">1 and </w:t>
      </w:r>
      <w:r w:rsidRPr="00E41CD5">
        <w:t>Attachment 4.0</w:t>
      </w:r>
      <w:r>
        <w:t>2</w:t>
      </w:r>
      <w:r w:rsidRPr="00DB7CF9">
        <w:t>.</w:t>
      </w:r>
    </w:p>
  </w:footnote>
  <w:footnote w:id="3">
    <w:p w:rsidR="007A36D1" w:rsidRDefault="007A36D1">
      <w:pPr>
        <w:pStyle w:val="FootnoteText"/>
      </w:pPr>
      <w:r>
        <w:rPr>
          <w:rStyle w:val="FootnoteReference"/>
        </w:rPr>
        <w:footnoteRef/>
      </w:r>
      <w:r>
        <w:t xml:space="preserve"> </w:t>
      </w:r>
      <w:r>
        <w:tab/>
      </w:r>
      <w:r w:rsidRPr="005C4CCF">
        <w:t xml:space="preserve">Ausgrid, </w:t>
      </w:r>
      <w:r w:rsidRPr="005C4CCF">
        <w:rPr>
          <w:rStyle w:val="AERtextitalic"/>
        </w:rPr>
        <w:t>Regulatory proposal</w:t>
      </w:r>
      <w:r w:rsidRPr="005C4CCF">
        <w:t>, May 2014, Attachment 4.08</w:t>
      </w:r>
      <w:r>
        <w:t>.</w:t>
      </w:r>
    </w:p>
  </w:footnote>
  <w:footnote w:id="4">
    <w:p w:rsidR="007A36D1" w:rsidRDefault="007A36D1">
      <w:pPr>
        <w:pStyle w:val="FootnoteText"/>
      </w:pPr>
      <w:r>
        <w:rPr>
          <w:rStyle w:val="FootnoteReference"/>
        </w:rPr>
        <w:footnoteRef/>
      </w:r>
      <w:r>
        <w:t xml:space="preserve"> </w:t>
      </w:r>
      <w:r>
        <w:tab/>
      </w:r>
      <w:r w:rsidRPr="005C4CCF">
        <w:t>The tax depreciation is therefore recalculated based on actual capex. The same tax depreciation approach of using actual capex applies to the roll forward of the TAB at the next reset.</w:t>
      </w:r>
    </w:p>
  </w:footnote>
  <w:footnote w:id="5">
    <w:p w:rsidR="007A36D1" w:rsidRDefault="007A36D1">
      <w:pPr>
        <w:pStyle w:val="FootnoteText"/>
      </w:pPr>
      <w:r>
        <w:rPr>
          <w:rStyle w:val="FootnoteReference"/>
        </w:rPr>
        <w:footnoteRef/>
      </w:r>
      <w:r>
        <w:t xml:space="preserve"> </w:t>
      </w:r>
      <w:r>
        <w:tab/>
      </w:r>
      <w:r w:rsidRPr="004656C5">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6">
    <w:p w:rsidR="007A36D1" w:rsidRDefault="007A36D1" w:rsidP="00304363">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7">
    <w:p w:rsidR="007A36D1" w:rsidRDefault="007A36D1" w:rsidP="007511AF">
      <w:pPr>
        <w:pStyle w:val="FootnoteText"/>
      </w:pPr>
      <w:r>
        <w:rPr>
          <w:rStyle w:val="FootnoteReference"/>
        </w:rPr>
        <w:footnoteRef/>
      </w:r>
      <w:r>
        <w:t xml:space="preserve"> </w:t>
      </w:r>
      <w:r>
        <w:tab/>
        <w:t>NER, cl 6.5.3.</w:t>
      </w:r>
    </w:p>
  </w:footnote>
  <w:footnote w:id="8">
    <w:p w:rsidR="007A36D1" w:rsidRDefault="007A36D1">
      <w:pPr>
        <w:pStyle w:val="FootnoteText"/>
      </w:pPr>
      <w:r>
        <w:rPr>
          <w:rStyle w:val="FootnoteReference"/>
        </w:rPr>
        <w:footnoteRef/>
      </w:r>
      <w:r>
        <w:t xml:space="preserve"> </w:t>
      </w:r>
      <w:r>
        <w:tab/>
        <w:t>For tax purposes actual capex is gross capex including capital contribution less asset disposals.</w:t>
      </w:r>
    </w:p>
  </w:footnote>
  <w:footnote w:id="9">
    <w:p w:rsidR="007A36D1" w:rsidRDefault="007A36D1">
      <w:pPr>
        <w:pStyle w:val="FootnoteText"/>
      </w:pPr>
      <w:r>
        <w:rPr>
          <w:rStyle w:val="FootnoteReference"/>
        </w:rPr>
        <w:footnoteRef/>
      </w:r>
      <w:r>
        <w:t xml:space="preserve"> </w:t>
      </w:r>
      <w:r>
        <w:tab/>
        <w:t xml:space="preserve">Ausgrid, </w:t>
      </w:r>
      <w:r w:rsidRPr="0092426C">
        <w:rPr>
          <w:rStyle w:val="AERtextitalic"/>
        </w:rPr>
        <w:t>Regulatory proposal</w:t>
      </w:r>
      <w:r>
        <w:t>, June 2014, Attachment 4.08.</w:t>
      </w:r>
    </w:p>
  </w:footnote>
  <w:footnote w:id="10">
    <w:p w:rsidR="007A36D1" w:rsidRDefault="007A36D1" w:rsidP="003E4C28">
      <w:pPr>
        <w:pStyle w:val="FootnoteText"/>
      </w:pPr>
      <w:r>
        <w:rPr>
          <w:rStyle w:val="FootnoteReference"/>
        </w:rPr>
        <w:footnoteRef/>
      </w:r>
      <w:r>
        <w:t xml:space="preserve"> </w:t>
      </w:r>
      <w:r>
        <w:tab/>
      </w:r>
      <w:r w:rsidRPr="00103D62">
        <w:t xml:space="preserve">AER, </w:t>
      </w:r>
      <w:r w:rsidRPr="00103D62">
        <w:rPr>
          <w:rStyle w:val="AERtextitalic"/>
        </w:rPr>
        <w:t>Draft Decision - NSW draft distribution determination 2009–10 to 2013–14</w:t>
      </w:r>
      <w:r w:rsidRPr="00103D62">
        <w:t>, 21 November 2008, p. 207.</w:t>
      </w:r>
    </w:p>
  </w:footnote>
  <w:footnote w:id="11">
    <w:p w:rsidR="007A36D1" w:rsidRDefault="007A36D1" w:rsidP="00BA23DE">
      <w:pPr>
        <w:pStyle w:val="FootnoteText"/>
      </w:pPr>
      <w:r>
        <w:rPr>
          <w:rStyle w:val="FootnoteReference"/>
        </w:rPr>
        <w:footnoteRef/>
      </w:r>
      <w:r>
        <w:t xml:space="preserve"> </w:t>
      </w:r>
      <w:r>
        <w:tab/>
        <w:t xml:space="preserve">AER, </w:t>
      </w:r>
      <w:r w:rsidRPr="001E3B2A">
        <w:rPr>
          <w:rStyle w:val="AERtextitalic"/>
        </w:rPr>
        <w:t>Electricity distribution network service providers Roll forward model handbook</w:t>
      </w:r>
      <w:r>
        <w:t>, June 2008 , p. 7.</w:t>
      </w:r>
    </w:p>
  </w:footnote>
  <w:footnote w:id="12">
    <w:p w:rsidR="007A36D1" w:rsidRDefault="007A36D1">
      <w:pPr>
        <w:pStyle w:val="FootnoteText"/>
      </w:pPr>
      <w:r>
        <w:rPr>
          <w:rStyle w:val="FootnoteReference"/>
        </w:rPr>
        <w:footnoteRef/>
      </w:r>
      <w:r>
        <w:t xml:space="preserve"> </w:t>
      </w:r>
      <w:r>
        <w:tab/>
      </w:r>
      <w:r w:rsidRPr="006A4A66">
        <w:t xml:space="preserve">Ausgrid, </w:t>
      </w:r>
      <w:r w:rsidRPr="00CA5DFF">
        <w:rPr>
          <w:rStyle w:val="AERtextitalic"/>
        </w:rPr>
        <w:t>Email response to AER AUSGRID 024</w:t>
      </w:r>
      <w:r w:rsidRPr="006A4A66">
        <w:t>, 29 August 2014.</w:t>
      </w:r>
    </w:p>
  </w:footnote>
  <w:footnote w:id="13">
    <w:p w:rsidR="007A36D1" w:rsidRDefault="007A36D1">
      <w:pPr>
        <w:pStyle w:val="FootnoteText"/>
      </w:pPr>
      <w:r>
        <w:rPr>
          <w:rStyle w:val="FootnoteReference"/>
        </w:rPr>
        <w:footnoteRef/>
      </w:r>
      <w:r>
        <w:t xml:space="preserve"> </w:t>
      </w:r>
      <w:r>
        <w:tab/>
        <w:t xml:space="preserve">Ausgrid, </w:t>
      </w:r>
      <w:r w:rsidRPr="00ED6125">
        <w:rPr>
          <w:rStyle w:val="AERtextitalic"/>
        </w:rPr>
        <w:t>Email response to AER AUSGRID 014</w:t>
      </w:r>
      <w:r>
        <w:t>, 21 July 2014.</w:t>
      </w:r>
    </w:p>
  </w:footnote>
  <w:footnote w:id="14">
    <w:p w:rsidR="007A36D1" w:rsidRDefault="007A36D1">
      <w:pPr>
        <w:pStyle w:val="FootnoteText"/>
      </w:pPr>
      <w:r>
        <w:rPr>
          <w:rStyle w:val="FootnoteReference"/>
        </w:rPr>
        <w:footnoteRef/>
      </w:r>
      <w:r>
        <w:t xml:space="preserve"> </w:t>
      </w:r>
      <w:r>
        <w:tab/>
        <w:t xml:space="preserve">The closing tax asset value in the 'IT systems' asset class as at 30 June 2014 for distribution does not account for the adjustment for assets to be moved to metering alternative control services. </w:t>
      </w:r>
    </w:p>
  </w:footnote>
  <w:footnote w:id="15">
    <w:p w:rsidR="007A36D1" w:rsidRDefault="007A36D1" w:rsidP="003E4C28">
      <w:pPr>
        <w:pStyle w:val="FootnoteText"/>
      </w:pPr>
      <w:r>
        <w:rPr>
          <w:rStyle w:val="FootnoteReference"/>
        </w:rPr>
        <w:footnoteRef/>
      </w:r>
      <w:r>
        <w:t xml:space="preserve"> </w:t>
      </w:r>
      <w:r>
        <w:tab/>
        <w:t>NER, cl</w:t>
      </w:r>
      <w:r w:rsidR="00213E04">
        <w:t>.</w:t>
      </w:r>
      <w:r>
        <w:t xml:space="preserve"> 6.5.3.</w:t>
      </w:r>
    </w:p>
  </w:footnote>
  <w:footnote w:id="16">
    <w:p w:rsidR="007A36D1" w:rsidRDefault="007A36D1">
      <w:pPr>
        <w:pStyle w:val="FootnoteText"/>
      </w:pPr>
      <w:r>
        <w:rPr>
          <w:rStyle w:val="FootnoteReference"/>
        </w:rPr>
        <w:footnoteRef/>
      </w:r>
      <w:r>
        <w:t xml:space="preserve"> </w:t>
      </w:r>
      <w:r>
        <w:tab/>
      </w:r>
      <w:r w:rsidRPr="00BA7F34">
        <w:t xml:space="preserve">ATO, </w:t>
      </w:r>
      <w:r w:rsidRPr="00BA7F34">
        <w:rPr>
          <w:rStyle w:val="AERtextitalic"/>
        </w:rPr>
        <w:t>Taxation Ruling Income tax: effective life of depreciating assets</w:t>
      </w:r>
      <w:r w:rsidRPr="00BA7F34">
        <w:t xml:space="preserve"> (applicable from 1 July 2014), August 2014, </w:t>
      </w:r>
      <w:hyperlink r:id="rId1" w:history="1">
        <w:r w:rsidRPr="00BA7F34">
          <w:rPr>
            <w:rStyle w:val="Hyperlink"/>
          </w:rPr>
          <w:t>http://law.ato.gov.au/atolaw/view.htm?docid=%22TXR%2FTR20144%2FNAT%2FATO%2F00001%22</w:t>
        </w:r>
      </w:hyperlink>
      <w:r w:rsidRPr="00BA7F34">
        <w:t>, accessed on 25 September 2014.</w:t>
      </w:r>
    </w:p>
  </w:footnote>
  <w:footnote w:id="17">
    <w:p w:rsidR="007A36D1" w:rsidRDefault="007A36D1">
      <w:pPr>
        <w:pStyle w:val="FootnoteText"/>
      </w:pPr>
      <w:r>
        <w:rPr>
          <w:rStyle w:val="FootnoteReference"/>
        </w:rPr>
        <w:footnoteRef/>
      </w:r>
      <w:r>
        <w:t xml:space="preserve"> </w:t>
      </w:r>
      <w:r>
        <w:tab/>
      </w:r>
      <w:r w:rsidRPr="002D221F">
        <w:t xml:space="preserve">ATO, </w:t>
      </w:r>
      <w:r w:rsidRPr="002D221F">
        <w:rPr>
          <w:rStyle w:val="AERtextitalic"/>
        </w:rPr>
        <w:t>Guide to depreciating assets 2001-02: Business related costs—section 40-880 deductions</w:t>
      </w:r>
      <w:r w:rsidRPr="002D221F">
        <w:t>, ATO reference; NO NAT7170, p. 25.</w:t>
      </w:r>
    </w:p>
  </w:footnote>
  <w:footnote w:id="18">
    <w:p w:rsidR="007A36D1" w:rsidRDefault="007A36D1">
      <w:pPr>
        <w:pStyle w:val="FootnoteText"/>
      </w:pPr>
      <w:r>
        <w:rPr>
          <w:rStyle w:val="FootnoteReference"/>
        </w:rPr>
        <w:footnoteRef/>
      </w:r>
      <w:r>
        <w:t xml:space="preserve"> </w:t>
      </w:r>
      <w:r>
        <w:tab/>
      </w:r>
      <w:r w:rsidRPr="002D221F">
        <w:t xml:space="preserve">AER, Draft decision: </w:t>
      </w:r>
      <w:r w:rsidRPr="002D221F">
        <w:rPr>
          <w:rStyle w:val="AERtextitalic"/>
        </w:rPr>
        <w:t>Powerlink transmission determination 2012–13 to 2016–17</w:t>
      </w:r>
      <w:r w:rsidRPr="002D221F">
        <w:t xml:space="preserve">, 2011, p. 265–266; </w:t>
      </w:r>
      <w:r>
        <w:t>A</w:t>
      </w:r>
      <w:r w:rsidRPr="002D221F">
        <w:t>E</w:t>
      </w:r>
      <w:r>
        <w:t>R</w:t>
      </w:r>
      <w:r w:rsidRPr="002D221F">
        <w:t xml:space="preserve">, </w:t>
      </w:r>
      <w:r w:rsidRPr="002D221F">
        <w:rPr>
          <w:rStyle w:val="AERtextitalic"/>
        </w:rPr>
        <w:t>Draft decision: ElectraNet transmission determination 2013–14 to 2017–18</w:t>
      </w:r>
      <w:r w:rsidRPr="002D221F">
        <w:t>, 2013, p. 193–194.</w:t>
      </w:r>
    </w:p>
  </w:footnote>
  <w:footnote w:id="19">
    <w:p w:rsidR="007A36D1" w:rsidRDefault="007A36D1">
      <w:pPr>
        <w:pStyle w:val="FootnoteText"/>
      </w:pPr>
      <w:r>
        <w:rPr>
          <w:rStyle w:val="FootnoteReference"/>
        </w:rPr>
        <w:footnoteRef/>
      </w:r>
      <w:r>
        <w:t xml:space="preserve"> </w:t>
      </w:r>
      <w:r>
        <w:tab/>
      </w:r>
      <w:r w:rsidRPr="002D221F">
        <w:t>NER, cl</w:t>
      </w:r>
      <w:r w:rsidR="00213E04">
        <w:t>.</w:t>
      </w:r>
      <w:r w:rsidRPr="002D221F">
        <w:t xml:space="preserve"> 6.5.3.</w:t>
      </w:r>
    </w:p>
  </w:footnote>
  <w:footnote w:id="20">
    <w:p w:rsidR="007A36D1" w:rsidRDefault="007A36D1">
      <w:pPr>
        <w:pStyle w:val="FootnoteText"/>
      </w:pPr>
      <w:r>
        <w:rPr>
          <w:rStyle w:val="FootnoteReference"/>
        </w:rPr>
        <w:footnoteRef/>
      </w:r>
      <w:r>
        <w:t xml:space="preserve"> </w:t>
      </w:r>
      <w:r>
        <w:tab/>
      </w:r>
      <w:r w:rsidRPr="00103D62">
        <w:t xml:space="preserve">AER, </w:t>
      </w:r>
      <w:r w:rsidRPr="00103D62">
        <w:rPr>
          <w:rStyle w:val="AERtextitalic"/>
        </w:rPr>
        <w:t>Draft Decision - NSW draft distribution determination 2009–10 to 2013–14</w:t>
      </w:r>
      <w:r w:rsidRPr="00103D62">
        <w:t>, 21 November 2008, p. 207.</w:t>
      </w:r>
    </w:p>
  </w:footnote>
  <w:footnote w:id="21">
    <w:p w:rsidR="007A36D1" w:rsidRDefault="007A36D1">
      <w:pPr>
        <w:pStyle w:val="FootnoteText"/>
      </w:pPr>
      <w:r>
        <w:rPr>
          <w:rStyle w:val="FootnoteReference"/>
        </w:rPr>
        <w:footnoteRef/>
      </w:r>
      <w:r>
        <w:t xml:space="preserve"> </w:t>
      </w:r>
      <w:r>
        <w:tab/>
        <w:t xml:space="preserve">Ausgrid, </w:t>
      </w:r>
      <w:r w:rsidRPr="00103D62">
        <w:rPr>
          <w:rStyle w:val="AERtextitalic"/>
        </w:rPr>
        <w:t>Regulatory proposal</w:t>
      </w:r>
      <w:r>
        <w:t xml:space="preserve">, </w:t>
      </w:r>
      <w:r w:rsidRPr="00103D62">
        <w:t>May 2014, Attachment 4.08</w:t>
      </w:r>
    </w:p>
  </w:footnote>
  <w:footnote w:id="22">
    <w:p w:rsidR="007A36D1" w:rsidRDefault="007A36D1">
      <w:pPr>
        <w:pStyle w:val="FootnoteText"/>
      </w:pPr>
      <w:r>
        <w:rPr>
          <w:rStyle w:val="FootnoteReference"/>
        </w:rPr>
        <w:footnoteRef/>
      </w:r>
      <w:r>
        <w:t xml:space="preserve"> </w:t>
      </w:r>
      <w:r>
        <w:tab/>
        <w:t>NER, cl</w:t>
      </w:r>
      <w:r w:rsidR="00213E04">
        <w:t>.</w:t>
      </w:r>
      <w:r>
        <w:t xml:space="preserve"> 6.5.3.</w:t>
      </w:r>
    </w:p>
  </w:footnote>
  <w:footnote w:id="23">
    <w:p w:rsidR="007A36D1" w:rsidRDefault="007A36D1">
      <w:pPr>
        <w:pStyle w:val="FootnoteText"/>
      </w:pPr>
      <w:r>
        <w:rPr>
          <w:rStyle w:val="FootnoteReference"/>
        </w:rPr>
        <w:footnoteRef/>
      </w:r>
      <w:r>
        <w:t xml:space="preserve"> </w:t>
      </w:r>
      <w:r>
        <w:tab/>
        <w:t xml:space="preserve">Having established the remaining tax asset lives as at 1 July 2014 for this determination process, we consider that when rolling forward these remaining tax asset lives to 1 July 2019 at the next reset </w:t>
      </w:r>
      <w:r w:rsidRPr="009F349F">
        <w:t xml:space="preserve">our </w:t>
      </w:r>
      <w:r>
        <w:t xml:space="preserve">preferred </w:t>
      </w:r>
      <w:r w:rsidRPr="009F349F">
        <w:t xml:space="preserve">weighted average </w:t>
      </w:r>
      <w:r>
        <w:t xml:space="preserve">method should be </w:t>
      </w:r>
      <w:r w:rsidRPr="009F349F">
        <w:t>used.</w:t>
      </w:r>
    </w:p>
  </w:footnote>
  <w:footnote w:id="24">
    <w:p w:rsidR="007A36D1" w:rsidRDefault="007A36D1">
      <w:pPr>
        <w:pStyle w:val="FootnoteText"/>
      </w:pPr>
      <w:r>
        <w:rPr>
          <w:rStyle w:val="FootnoteReference"/>
        </w:rPr>
        <w:footnoteRef/>
      </w:r>
      <w:r>
        <w:t xml:space="preserve"> </w:t>
      </w:r>
      <w:r>
        <w:tab/>
        <w:t>We may update the tax remaining asset lives as at 1 July 2014, if there are updates to the RAB remaining asset lives arising from revisions to the 2013–14 capex at the final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8"/>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9"/>
  </w:num>
  <w:num w:numId="46">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484\AER14 427  NSW  ACT Electricity DNSPs resets 2014-19 - Draft decision - Regulatory depreciation.DOCX"/>
  </w:docVars>
  <w:rsids>
    <w:rsidRoot w:val="000C052F"/>
    <w:rsid w:val="00001F51"/>
    <w:rsid w:val="0000659B"/>
    <w:rsid w:val="00011129"/>
    <w:rsid w:val="00022606"/>
    <w:rsid w:val="000236EE"/>
    <w:rsid w:val="000317F9"/>
    <w:rsid w:val="00040599"/>
    <w:rsid w:val="00040749"/>
    <w:rsid w:val="00041F69"/>
    <w:rsid w:val="00046709"/>
    <w:rsid w:val="00051AD0"/>
    <w:rsid w:val="00053AC6"/>
    <w:rsid w:val="000612A1"/>
    <w:rsid w:val="00063F8F"/>
    <w:rsid w:val="0006751B"/>
    <w:rsid w:val="000738FB"/>
    <w:rsid w:val="000778F4"/>
    <w:rsid w:val="00080550"/>
    <w:rsid w:val="00087F57"/>
    <w:rsid w:val="0009077E"/>
    <w:rsid w:val="000943C2"/>
    <w:rsid w:val="000A1CC2"/>
    <w:rsid w:val="000A5342"/>
    <w:rsid w:val="000A71DD"/>
    <w:rsid w:val="000A7864"/>
    <w:rsid w:val="000B15CA"/>
    <w:rsid w:val="000B4382"/>
    <w:rsid w:val="000B5F7C"/>
    <w:rsid w:val="000C052F"/>
    <w:rsid w:val="000C1D3B"/>
    <w:rsid w:val="000C3430"/>
    <w:rsid w:val="000C6708"/>
    <w:rsid w:val="000D03C2"/>
    <w:rsid w:val="000D04B1"/>
    <w:rsid w:val="000D0DC9"/>
    <w:rsid w:val="000D147B"/>
    <w:rsid w:val="000D401F"/>
    <w:rsid w:val="000D76C0"/>
    <w:rsid w:val="000E1A25"/>
    <w:rsid w:val="000E31B5"/>
    <w:rsid w:val="000E3C91"/>
    <w:rsid w:val="000E6418"/>
    <w:rsid w:val="000F21EA"/>
    <w:rsid w:val="000F3A6A"/>
    <w:rsid w:val="000F51DE"/>
    <w:rsid w:val="00100DE7"/>
    <w:rsid w:val="00100E28"/>
    <w:rsid w:val="001033B3"/>
    <w:rsid w:val="00103D62"/>
    <w:rsid w:val="00105636"/>
    <w:rsid w:val="001152C2"/>
    <w:rsid w:val="00117ADB"/>
    <w:rsid w:val="001256EA"/>
    <w:rsid w:val="0013022D"/>
    <w:rsid w:val="00131287"/>
    <w:rsid w:val="00133428"/>
    <w:rsid w:val="001351A1"/>
    <w:rsid w:val="00136A1B"/>
    <w:rsid w:val="00141423"/>
    <w:rsid w:val="001543D2"/>
    <w:rsid w:val="00156808"/>
    <w:rsid w:val="00156968"/>
    <w:rsid w:val="00164706"/>
    <w:rsid w:val="00166917"/>
    <w:rsid w:val="001679D3"/>
    <w:rsid w:val="001708CC"/>
    <w:rsid w:val="00170992"/>
    <w:rsid w:val="00174026"/>
    <w:rsid w:val="00183D1A"/>
    <w:rsid w:val="001856EE"/>
    <w:rsid w:val="0019212F"/>
    <w:rsid w:val="00192623"/>
    <w:rsid w:val="00194C3C"/>
    <w:rsid w:val="001A0070"/>
    <w:rsid w:val="001A603A"/>
    <w:rsid w:val="001A7B4F"/>
    <w:rsid w:val="001B0331"/>
    <w:rsid w:val="001B3869"/>
    <w:rsid w:val="001B6619"/>
    <w:rsid w:val="001C12E5"/>
    <w:rsid w:val="001D280E"/>
    <w:rsid w:val="001D3B26"/>
    <w:rsid w:val="001D78D5"/>
    <w:rsid w:val="001E3B2A"/>
    <w:rsid w:val="001E65AF"/>
    <w:rsid w:val="001F3D80"/>
    <w:rsid w:val="001F7938"/>
    <w:rsid w:val="002023C1"/>
    <w:rsid w:val="0020711E"/>
    <w:rsid w:val="00210880"/>
    <w:rsid w:val="00213AF5"/>
    <w:rsid w:val="00213E04"/>
    <w:rsid w:val="002257B9"/>
    <w:rsid w:val="00226984"/>
    <w:rsid w:val="00227EFF"/>
    <w:rsid w:val="0023137D"/>
    <w:rsid w:val="00232650"/>
    <w:rsid w:val="00233C9A"/>
    <w:rsid w:val="002471E6"/>
    <w:rsid w:val="002555C6"/>
    <w:rsid w:val="00257FAA"/>
    <w:rsid w:val="002650CF"/>
    <w:rsid w:val="00266710"/>
    <w:rsid w:val="0027422E"/>
    <w:rsid w:val="002805B8"/>
    <w:rsid w:val="00291D66"/>
    <w:rsid w:val="002938CE"/>
    <w:rsid w:val="00295406"/>
    <w:rsid w:val="002A4202"/>
    <w:rsid w:val="002A71EF"/>
    <w:rsid w:val="002B5942"/>
    <w:rsid w:val="002B6640"/>
    <w:rsid w:val="002C21C3"/>
    <w:rsid w:val="002D04E0"/>
    <w:rsid w:val="002D221F"/>
    <w:rsid w:val="002D61AC"/>
    <w:rsid w:val="002E3C9B"/>
    <w:rsid w:val="002E4720"/>
    <w:rsid w:val="002F15F2"/>
    <w:rsid w:val="00303452"/>
    <w:rsid w:val="00304363"/>
    <w:rsid w:val="003068CF"/>
    <w:rsid w:val="00306A1D"/>
    <w:rsid w:val="00306AC8"/>
    <w:rsid w:val="00316070"/>
    <w:rsid w:val="00324526"/>
    <w:rsid w:val="003276E8"/>
    <w:rsid w:val="00330438"/>
    <w:rsid w:val="003324F7"/>
    <w:rsid w:val="00334F88"/>
    <w:rsid w:val="003439E6"/>
    <w:rsid w:val="00352097"/>
    <w:rsid w:val="003631AC"/>
    <w:rsid w:val="003707DB"/>
    <w:rsid w:val="003741A7"/>
    <w:rsid w:val="00375AEC"/>
    <w:rsid w:val="00376236"/>
    <w:rsid w:val="0037652C"/>
    <w:rsid w:val="003800E4"/>
    <w:rsid w:val="00380FF5"/>
    <w:rsid w:val="00383704"/>
    <w:rsid w:val="00392214"/>
    <w:rsid w:val="00393A9F"/>
    <w:rsid w:val="00394BDB"/>
    <w:rsid w:val="003A6174"/>
    <w:rsid w:val="003A6AC8"/>
    <w:rsid w:val="003B464E"/>
    <w:rsid w:val="003D305E"/>
    <w:rsid w:val="003E21A5"/>
    <w:rsid w:val="003E2571"/>
    <w:rsid w:val="003E4C28"/>
    <w:rsid w:val="003F1297"/>
    <w:rsid w:val="0040067C"/>
    <w:rsid w:val="004030AB"/>
    <w:rsid w:val="00404A98"/>
    <w:rsid w:val="00410CBD"/>
    <w:rsid w:val="00411433"/>
    <w:rsid w:val="00412282"/>
    <w:rsid w:val="0041288B"/>
    <w:rsid w:val="00414F69"/>
    <w:rsid w:val="004168AF"/>
    <w:rsid w:val="004236F7"/>
    <w:rsid w:val="004256BA"/>
    <w:rsid w:val="00431999"/>
    <w:rsid w:val="00433475"/>
    <w:rsid w:val="0043369E"/>
    <w:rsid w:val="00435682"/>
    <w:rsid w:val="00436C61"/>
    <w:rsid w:val="00440016"/>
    <w:rsid w:val="00450092"/>
    <w:rsid w:val="00456081"/>
    <w:rsid w:val="0046015E"/>
    <w:rsid w:val="00464F5D"/>
    <w:rsid w:val="00464FC9"/>
    <w:rsid w:val="004656C5"/>
    <w:rsid w:val="00474FBD"/>
    <w:rsid w:val="004832FD"/>
    <w:rsid w:val="00491D7D"/>
    <w:rsid w:val="004964DB"/>
    <w:rsid w:val="00497072"/>
    <w:rsid w:val="004A7872"/>
    <w:rsid w:val="004B4A61"/>
    <w:rsid w:val="004B5B7A"/>
    <w:rsid w:val="004C115A"/>
    <w:rsid w:val="004C3F45"/>
    <w:rsid w:val="004C6E36"/>
    <w:rsid w:val="004D0725"/>
    <w:rsid w:val="004D4C7A"/>
    <w:rsid w:val="004E40EF"/>
    <w:rsid w:val="004E459D"/>
    <w:rsid w:val="004E73F7"/>
    <w:rsid w:val="004F14F5"/>
    <w:rsid w:val="004F6D54"/>
    <w:rsid w:val="004F76A0"/>
    <w:rsid w:val="00500E7F"/>
    <w:rsid w:val="00513E41"/>
    <w:rsid w:val="005162C8"/>
    <w:rsid w:val="005176D3"/>
    <w:rsid w:val="0052179D"/>
    <w:rsid w:val="00522336"/>
    <w:rsid w:val="0052303D"/>
    <w:rsid w:val="00525604"/>
    <w:rsid w:val="005373C0"/>
    <w:rsid w:val="0054142D"/>
    <w:rsid w:val="00541825"/>
    <w:rsid w:val="005438EC"/>
    <w:rsid w:val="00544F74"/>
    <w:rsid w:val="005456A9"/>
    <w:rsid w:val="00547E79"/>
    <w:rsid w:val="00554944"/>
    <w:rsid w:val="00555D52"/>
    <w:rsid w:val="005566D7"/>
    <w:rsid w:val="00561F7F"/>
    <w:rsid w:val="00564325"/>
    <w:rsid w:val="00566B35"/>
    <w:rsid w:val="00567539"/>
    <w:rsid w:val="00572192"/>
    <w:rsid w:val="005732CC"/>
    <w:rsid w:val="00573816"/>
    <w:rsid w:val="00575422"/>
    <w:rsid w:val="005837BD"/>
    <w:rsid w:val="005861EA"/>
    <w:rsid w:val="00591851"/>
    <w:rsid w:val="005938C6"/>
    <w:rsid w:val="00593BC8"/>
    <w:rsid w:val="005A0431"/>
    <w:rsid w:val="005A2D95"/>
    <w:rsid w:val="005B3752"/>
    <w:rsid w:val="005B61C2"/>
    <w:rsid w:val="005C4CCF"/>
    <w:rsid w:val="005D26B7"/>
    <w:rsid w:val="005D4AA1"/>
    <w:rsid w:val="005E3E0C"/>
    <w:rsid w:val="005F0D1A"/>
    <w:rsid w:val="005F4C53"/>
    <w:rsid w:val="005F7062"/>
    <w:rsid w:val="0060146C"/>
    <w:rsid w:val="0060207D"/>
    <w:rsid w:val="006039F2"/>
    <w:rsid w:val="006061B0"/>
    <w:rsid w:val="0060732E"/>
    <w:rsid w:val="006076A9"/>
    <w:rsid w:val="00616CD3"/>
    <w:rsid w:val="0062528A"/>
    <w:rsid w:val="00631168"/>
    <w:rsid w:val="006341BE"/>
    <w:rsid w:val="00642523"/>
    <w:rsid w:val="00644CB5"/>
    <w:rsid w:val="00647B7C"/>
    <w:rsid w:val="0065125A"/>
    <w:rsid w:val="00653CAC"/>
    <w:rsid w:val="006541FE"/>
    <w:rsid w:val="006544EA"/>
    <w:rsid w:val="00655A0F"/>
    <w:rsid w:val="00657343"/>
    <w:rsid w:val="0066569F"/>
    <w:rsid w:val="00666C78"/>
    <w:rsid w:val="00684042"/>
    <w:rsid w:val="0069004B"/>
    <w:rsid w:val="00692CD5"/>
    <w:rsid w:val="006A4A66"/>
    <w:rsid w:val="006B08EB"/>
    <w:rsid w:val="006B481F"/>
    <w:rsid w:val="006B51ED"/>
    <w:rsid w:val="006B63FF"/>
    <w:rsid w:val="006C2288"/>
    <w:rsid w:val="006C39F4"/>
    <w:rsid w:val="006C6A45"/>
    <w:rsid w:val="006D0832"/>
    <w:rsid w:val="006D6E24"/>
    <w:rsid w:val="006F158F"/>
    <w:rsid w:val="006F37F5"/>
    <w:rsid w:val="006F4166"/>
    <w:rsid w:val="006F638E"/>
    <w:rsid w:val="00701CE7"/>
    <w:rsid w:val="00703E42"/>
    <w:rsid w:val="00707216"/>
    <w:rsid w:val="0071269D"/>
    <w:rsid w:val="00714831"/>
    <w:rsid w:val="007161CF"/>
    <w:rsid w:val="007368AD"/>
    <w:rsid w:val="00743F54"/>
    <w:rsid w:val="00745043"/>
    <w:rsid w:val="007511AF"/>
    <w:rsid w:val="00751D2A"/>
    <w:rsid w:val="00755095"/>
    <w:rsid w:val="00774285"/>
    <w:rsid w:val="00774F6F"/>
    <w:rsid w:val="00795863"/>
    <w:rsid w:val="00796A07"/>
    <w:rsid w:val="007A36D1"/>
    <w:rsid w:val="007A4305"/>
    <w:rsid w:val="007A7CFB"/>
    <w:rsid w:val="007C14D1"/>
    <w:rsid w:val="007C45AB"/>
    <w:rsid w:val="007D0710"/>
    <w:rsid w:val="007D18CE"/>
    <w:rsid w:val="007E333E"/>
    <w:rsid w:val="007E6BAC"/>
    <w:rsid w:val="007F10E3"/>
    <w:rsid w:val="007F2C0E"/>
    <w:rsid w:val="00804AEB"/>
    <w:rsid w:val="00812855"/>
    <w:rsid w:val="00814626"/>
    <w:rsid w:val="008159D5"/>
    <w:rsid w:val="0082457A"/>
    <w:rsid w:val="00824CC8"/>
    <w:rsid w:val="00836D17"/>
    <w:rsid w:val="00840A55"/>
    <w:rsid w:val="00841E25"/>
    <w:rsid w:val="0084378B"/>
    <w:rsid w:val="00844774"/>
    <w:rsid w:val="008464CD"/>
    <w:rsid w:val="008515EE"/>
    <w:rsid w:val="00855FDD"/>
    <w:rsid w:val="0085652B"/>
    <w:rsid w:val="008605B0"/>
    <w:rsid w:val="00861C4E"/>
    <w:rsid w:val="00862584"/>
    <w:rsid w:val="00866D21"/>
    <w:rsid w:val="00872D85"/>
    <w:rsid w:val="00874334"/>
    <w:rsid w:val="00877A19"/>
    <w:rsid w:val="00882E40"/>
    <w:rsid w:val="00883926"/>
    <w:rsid w:val="00883982"/>
    <w:rsid w:val="00883DDA"/>
    <w:rsid w:val="008905C0"/>
    <w:rsid w:val="00891FF9"/>
    <w:rsid w:val="008924AB"/>
    <w:rsid w:val="00893367"/>
    <w:rsid w:val="00893D07"/>
    <w:rsid w:val="00895A04"/>
    <w:rsid w:val="00896433"/>
    <w:rsid w:val="0089771D"/>
    <w:rsid w:val="008A48A6"/>
    <w:rsid w:val="008A6126"/>
    <w:rsid w:val="008B7956"/>
    <w:rsid w:val="008B7A58"/>
    <w:rsid w:val="008C3722"/>
    <w:rsid w:val="008C3B67"/>
    <w:rsid w:val="008C3F48"/>
    <w:rsid w:val="008C4CDB"/>
    <w:rsid w:val="008D49B4"/>
    <w:rsid w:val="008D5D7C"/>
    <w:rsid w:val="008D7498"/>
    <w:rsid w:val="008E6D45"/>
    <w:rsid w:val="008E75B6"/>
    <w:rsid w:val="008F1ACF"/>
    <w:rsid w:val="008F3B05"/>
    <w:rsid w:val="008F62B0"/>
    <w:rsid w:val="00900309"/>
    <w:rsid w:val="009044A6"/>
    <w:rsid w:val="00906D39"/>
    <w:rsid w:val="0091620D"/>
    <w:rsid w:val="0092426C"/>
    <w:rsid w:val="009324C1"/>
    <w:rsid w:val="00932E96"/>
    <w:rsid w:val="00932F0C"/>
    <w:rsid w:val="009418E6"/>
    <w:rsid w:val="0094235F"/>
    <w:rsid w:val="00942628"/>
    <w:rsid w:val="0094279F"/>
    <w:rsid w:val="00946B98"/>
    <w:rsid w:val="0095052A"/>
    <w:rsid w:val="009516DF"/>
    <w:rsid w:val="00955860"/>
    <w:rsid w:val="009658F0"/>
    <w:rsid w:val="0096670B"/>
    <w:rsid w:val="00971655"/>
    <w:rsid w:val="00971C63"/>
    <w:rsid w:val="00972175"/>
    <w:rsid w:val="00984138"/>
    <w:rsid w:val="009842E9"/>
    <w:rsid w:val="009A01F6"/>
    <w:rsid w:val="009A1081"/>
    <w:rsid w:val="009A4AE9"/>
    <w:rsid w:val="009B03FD"/>
    <w:rsid w:val="009B3173"/>
    <w:rsid w:val="009B5C14"/>
    <w:rsid w:val="009C71D5"/>
    <w:rsid w:val="009D0222"/>
    <w:rsid w:val="009D13D1"/>
    <w:rsid w:val="009D199D"/>
    <w:rsid w:val="009D5135"/>
    <w:rsid w:val="009E2F91"/>
    <w:rsid w:val="009E74E3"/>
    <w:rsid w:val="009E7BAB"/>
    <w:rsid w:val="009F030C"/>
    <w:rsid w:val="009F349F"/>
    <w:rsid w:val="009F7CE4"/>
    <w:rsid w:val="00A11162"/>
    <w:rsid w:val="00A11631"/>
    <w:rsid w:val="00A15835"/>
    <w:rsid w:val="00A16B76"/>
    <w:rsid w:val="00A1770C"/>
    <w:rsid w:val="00A2111A"/>
    <w:rsid w:val="00A30870"/>
    <w:rsid w:val="00A35DEA"/>
    <w:rsid w:val="00A43227"/>
    <w:rsid w:val="00A447F1"/>
    <w:rsid w:val="00A45373"/>
    <w:rsid w:val="00A46CCD"/>
    <w:rsid w:val="00A530B8"/>
    <w:rsid w:val="00A55093"/>
    <w:rsid w:val="00A65133"/>
    <w:rsid w:val="00A652C5"/>
    <w:rsid w:val="00A71C19"/>
    <w:rsid w:val="00A76C38"/>
    <w:rsid w:val="00A83D80"/>
    <w:rsid w:val="00A85C5A"/>
    <w:rsid w:val="00A9448D"/>
    <w:rsid w:val="00A94C19"/>
    <w:rsid w:val="00A96A08"/>
    <w:rsid w:val="00AA0161"/>
    <w:rsid w:val="00AA4132"/>
    <w:rsid w:val="00AA49AE"/>
    <w:rsid w:val="00AA6221"/>
    <w:rsid w:val="00AB1D08"/>
    <w:rsid w:val="00AB4345"/>
    <w:rsid w:val="00AB5BD7"/>
    <w:rsid w:val="00AC0135"/>
    <w:rsid w:val="00AC070D"/>
    <w:rsid w:val="00AC1B94"/>
    <w:rsid w:val="00AC2EAE"/>
    <w:rsid w:val="00AC4149"/>
    <w:rsid w:val="00AC6F3B"/>
    <w:rsid w:val="00AD0616"/>
    <w:rsid w:val="00AD34FF"/>
    <w:rsid w:val="00AD489F"/>
    <w:rsid w:val="00AD4DE6"/>
    <w:rsid w:val="00AE6DBC"/>
    <w:rsid w:val="00AF1FBB"/>
    <w:rsid w:val="00AF3E95"/>
    <w:rsid w:val="00AF7C67"/>
    <w:rsid w:val="00B01736"/>
    <w:rsid w:val="00B11F4F"/>
    <w:rsid w:val="00B15FE9"/>
    <w:rsid w:val="00B3241A"/>
    <w:rsid w:val="00B33594"/>
    <w:rsid w:val="00B340CA"/>
    <w:rsid w:val="00B43694"/>
    <w:rsid w:val="00B51281"/>
    <w:rsid w:val="00B51883"/>
    <w:rsid w:val="00B524E6"/>
    <w:rsid w:val="00B542BC"/>
    <w:rsid w:val="00B56642"/>
    <w:rsid w:val="00B61FD4"/>
    <w:rsid w:val="00B655D7"/>
    <w:rsid w:val="00B674DB"/>
    <w:rsid w:val="00B76EAC"/>
    <w:rsid w:val="00B82E8D"/>
    <w:rsid w:val="00B845EC"/>
    <w:rsid w:val="00B87DCD"/>
    <w:rsid w:val="00B9264D"/>
    <w:rsid w:val="00B94D99"/>
    <w:rsid w:val="00B97A82"/>
    <w:rsid w:val="00BA23DE"/>
    <w:rsid w:val="00BA6EC8"/>
    <w:rsid w:val="00BA7F34"/>
    <w:rsid w:val="00BB0691"/>
    <w:rsid w:val="00BB19E4"/>
    <w:rsid w:val="00BB3FA1"/>
    <w:rsid w:val="00BB62BB"/>
    <w:rsid w:val="00BB6481"/>
    <w:rsid w:val="00BC05C5"/>
    <w:rsid w:val="00BC0631"/>
    <w:rsid w:val="00BC5852"/>
    <w:rsid w:val="00BC650B"/>
    <w:rsid w:val="00BD04BE"/>
    <w:rsid w:val="00BD0BE1"/>
    <w:rsid w:val="00BD7FB7"/>
    <w:rsid w:val="00BE0630"/>
    <w:rsid w:val="00BE5054"/>
    <w:rsid w:val="00BE6F28"/>
    <w:rsid w:val="00BF29FA"/>
    <w:rsid w:val="00BF3DDD"/>
    <w:rsid w:val="00C04D2B"/>
    <w:rsid w:val="00C10F6E"/>
    <w:rsid w:val="00C118BB"/>
    <w:rsid w:val="00C20380"/>
    <w:rsid w:val="00C23079"/>
    <w:rsid w:val="00C2376D"/>
    <w:rsid w:val="00C37387"/>
    <w:rsid w:val="00C40FD7"/>
    <w:rsid w:val="00C46CEF"/>
    <w:rsid w:val="00C4765D"/>
    <w:rsid w:val="00C557F2"/>
    <w:rsid w:val="00C62BB9"/>
    <w:rsid w:val="00C65A70"/>
    <w:rsid w:val="00C71869"/>
    <w:rsid w:val="00C737C5"/>
    <w:rsid w:val="00C77622"/>
    <w:rsid w:val="00C8280E"/>
    <w:rsid w:val="00C84F99"/>
    <w:rsid w:val="00CA3540"/>
    <w:rsid w:val="00CA5DFF"/>
    <w:rsid w:val="00CA6DED"/>
    <w:rsid w:val="00CA73D9"/>
    <w:rsid w:val="00CC1B85"/>
    <w:rsid w:val="00CC3378"/>
    <w:rsid w:val="00CC49D4"/>
    <w:rsid w:val="00CD0061"/>
    <w:rsid w:val="00CD38C5"/>
    <w:rsid w:val="00CD48F4"/>
    <w:rsid w:val="00CE4C3E"/>
    <w:rsid w:val="00CE4CBE"/>
    <w:rsid w:val="00CE6F5A"/>
    <w:rsid w:val="00CF048E"/>
    <w:rsid w:val="00CF0832"/>
    <w:rsid w:val="00CF140A"/>
    <w:rsid w:val="00CF42CF"/>
    <w:rsid w:val="00CF53A4"/>
    <w:rsid w:val="00D01345"/>
    <w:rsid w:val="00D102E9"/>
    <w:rsid w:val="00D152D1"/>
    <w:rsid w:val="00D1688F"/>
    <w:rsid w:val="00D17722"/>
    <w:rsid w:val="00D2117F"/>
    <w:rsid w:val="00D25317"/>
    <w:rsid w:val="00D424CC"/>
    <w:rsid w:val="00D462EF"/>
    <w:rsid w:val="00D54140"/>
    <w:rsid w:val="00D632F1"/>
    <w:rsid w:val="00D65359"/>
    <w:rsid w:val="00D66E8B"/>
    <w:rsid w:val="00D70AD5"/>
    <w:rsid w:val="00D7143E"/>
    <w:rsid w:val="00D714BC"/>
    <w:rsid w:val="00D73997"/>
    <w:rsid w:val="00D76FF5"/>
    <w:rsid w:val="00D77048"/>
    <w:rsid w:val="00D771ED"/>
    <w:rsid w:val="00D816A7"/>
    <w:rsid w:val="00D85715"/>
    <w:rsid w:val="00D8706C"/>
    <w:rsid w:val="00D91691"/>
    <w:rsid w:val="00DA34A0"/>
    <w:rsid w:val="00DA4C62"/>
    <w:rsid w:val="00DA79EE"/>
    <w:rsid w:val="00DB0A52"/>
    <w:rsid w:val="00DB3B19"/>
    <w:rsid w:val="00DB44D4"/>
    <w:rsid w:val="00DB5BE6"/>
    <w:rsid w:val="00DB6A17"/>
    <w:rsid w:val="00DC6DBB"/>
    <w:rsid w:val="00DD0EEA"/>
    <w:rsid w:val="00DD18AE"/>
    <w:rsid w:val="00DD4E84"/>
    <w:rsid w:val="00DD5520"/>
    <w:rsid w:val="00DE22F1"/>
    <w:rsid w:val="00DE3066"/>
    <w:rsid w:val="00DE44D6"/>
    <w:rsid w:val="00DE49BE"/>
    <w:rsid w:val="00DF16C2"/>
    <w:rsid w:val="00DF6DDE"/>
    <w:rsid w:val="00E00F76"/>
    <w:rsid w:val="00E15205"/>
    <w:rsid w:val="00E21E75"/>
    <w:rsid w:val="00E2217E"/>
    <w:rsid w:val="00E2732C"/>
    <w:rsid w:val="00E32D23"/>
    <w:rsid w:val="00E35722"/>
    <w:rsid w:val="00E41CD5"/>
    <w:rsid w:val="00E4787E"/>
    <w:rsid w:val="00E519DC"/>
    <w:rsid w:val="00E53C6A"/>
    <w:rsid w:val="00E55393"/>
    <w:rsid w:val="00E5749B"/>
    <w:rsid w:val="00E634E2"/>
    <w:rsid w:val="00E6511D"/>
    <w:rsid w:val="00E6571F"/>
    <w:rsid w:val="00E70011"/>
    <w:rsid w:val="00E7635F"/>
    <w:rsid w:val="00E807DA"/>
    <w:rsid w:val="00E84E3A"/>
    <w:rsid w:val="00E91043"/>
    <w:rsid w:val="00E93A50"/>
    <w:rsid w:val="00E94C06"/>
    <w:rsid w:val="00EA05AF"/>
    <w:rsid w:val="00EA5F72"/>
    <w:rsid w:val="00EB33DE"/>
    <w:rsid w:val="00EB58A4"/>
    <w:rsid w:val="00EB5CDF"/>
    <w:rsid w:val="00EC43B9"/>
    <w:rsid w:val="00ED1F76"/>
    <w:rsid w:val="00ED2C04"/>
    <w:rsid w:val="00ED4D69"/>
    <w:rsid w:val="00ED6125"/>
    <w:rsid w:val="00EE0971"/>
    <w:rsid w:val="00EE3067"/>
    <w:rsid w:val="00EE362F"/>
    <w:rsid w:val="00EE545E"/>
    <w:rsid w:val="00EF0E19"/>
    <w:rsid w:val="00EF3B76"/>
    <w:rsid w:val="00EF7428"/>
    <w:rsid w:val="00F114AE"/>
    <w:rsid w:val="00F1747A"/>
    <w:rsid w:val="00F335FD"/>
    <w:rsid w:val="00F33E36"/>
    <w:rsid w:val="00F37266"/>
    <w:rsid w:val="00F43CA0"/>
    <w:rsid w:val="00F456F1"/>
    <w:rsid w:val="00F46708"/>
    <w:rsid w:val="00F46B69"/>
    <w:rsid w:val="00F516A1"/>
    <w:rsid w:val="00F54216"/>
    <w:rsid w:val="00F55030"/>
    <w:rsid w:val="00F57392"/>
    <w:rsid w:val="00F63083"/>
    <w:rsid w:val="00F65417"/>
    <w:rsid w:val="00F66F73"/>
    <w:rsid w:val="00F7696F"/>
    <w:rsid w:val="00F77817"/>
    <w:rsid w:val="00F8209B"/>
    <w:rsid w:val="00F8634A"/>
    <w:rsid w:val="00F93D74"/>
    <w:rsid w:val="00F95E26"/>
    <w:rsid w:val="00F96BD2"/>
    <w:rsid w:val="00F97CD9"/>
    <w:rsid w:val="00FA0576"/>
    <w:rsid w:val="00FB50B4"/>
    <w:rsid w:val="00FC327F"/>
    <w:rsid w:val="00FC545C"/>
    <w:rsid w:val="00FD0FD5"/>
    <w:rsid w:val="00FD2D96"/>
    <w:rsid w:val="00FD4B97"/>
    <w:rsid w:val="00FE0408"/>
    <w:rsid w:val="00FE2C94"/>
    <w:rsid w:val="00FE55EB"/>
    <w:rsid w:val="00FF0430"/>
    <w:rsid w:val="00FF0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7A4305"/>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E5539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9480">
      <w:bodyDiv w:val="1"/>
      <w:marLeft w:val="0"/>
      <w:marRight w:val="0"/>
      <w:marTop w:val="0"/>
      <w:marBottom w:val="0"/>
      <w:divBdr>
        <w:top w:val="none" w:sz="0" w:space="0" w:color="auto"/>
        <w:left w:val="none" w:sz="0" w:space="0" w:color="auto"/>
        <w:bottom w:val="none" w:sz="0" w:space="0" w:color="auto"/>
        <w:right w:val="none" w:sz="0" w:space="0" w:color="auto"/>
      </w:divBdr>
    </w:div>
    <w:div w:id="397628616">
      <w:bodyDiv w:val="1"/>
      <w:marLeft w:val="0"/>
      <w:marRight w:val="0"/>
      <w:marTop w:val="0"/>
      <w:marBottom w:val="0"/>
      <w:divBdr>
        <w:top w:val="none" w:sz="0" w:space="0" w:color="auto"/>
        <w:left w:val="none" w:sz="0" w:space="0" w:color="auto"/>
        <w:bottom w:val="none" w:sz="0" w:space="0" w:color="auto"/>
        <w:right w:val="none" w:sz="0" w:space="0" w:color="auto"/>
      </w:divBdr>
    </w:div>
    <w:div w:id="847524674">
      <w:bodyDiv w:val="1"/>
      <w:marLeft w:val="0"/>
      <w:marRight w:val="0"/>
      <w:marTop w:val="0"/>
      <w:marBottom w:val="0"/>
      <w:divBdr>
        <w:top w:val="none" w:sz="0" w:space="0" w:color="auto"/>
        <w:left w:val="none" w:sz="0" w:space="0" w:color="auto"/>
        <w:bottom w:val="none" w:sz="0" w:space="0" w:color="auto"/>
        <w:right w:val="none" w:sz="0" w:space="0" w:color="auto"/>
      </w:divBdr>
    </w:div>
    <w:div w:id="899100678">
      <w:bodyDiv w:val="1"/>
      <w:marLeft w:val="0"/>
      <w:marRight w:val="0"/>
      <w:marTop w:val="0"/>
      <w:marBottom w:val="0"/>
      <w:divBdr>
        <w:top w:val="none" w:sz="0" w:space="0" w:color="auto"/>
        <w:left w:val="none" w:sz="0" w:space="0" w:color="auto"/>
        <w:bottom w:val="none" w:sz="0" w:space="0" w:color="auto"/>
        <w:right w:val="none" w:sz="0" w:space="0" w:color="auto"/>
      </w:divBdr>
    </w:div>
    <w:div w:id="908810424">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410688217">
      <w:bodyDiv w:val="1"/>
      <w:marLeft w:val="0"/>
      <w:marRight w:val="0"/>
      <w:marTop w:val="0"/>
      <w:marBottom w:val="0"/>
      <w:divBdr>
        <w:top w:val="none" w:sz="0" w:space="0" w:color="auto"/>
        <w:left w:val="none" w:sz="0" w:space="0" w:color="auto"/>
        <w:bottom w:val="none" w:sz="0" w:space="0" w:color="auto"/>
        <w:right w:val="none" w:sz="0" w:space="0" w:color="auto"/>
      </w:divBdr>
    </w:div>
    <w:div w:id="1739478232">
      <w:bodyDiv w:val="1"/>
      <w:marLeft w:val="0"/>
      <w:marRight w:val="0"/>
      <w:marTop w:val="0"/>
      <w:marBottom w:val="0"/>
      <w:divBdr>
        <w:top w:val="none" w:sz="0" w:space="0" w:color="auto"/>
        <w:left w:val="none" w:sz="0" w:space="0" w:color="auto"/>
        <w:bottom w:val="none" w:sz="0" w:space="0" w:color="auto"/>
        <w:right w:val="none" w:sz="0" w:space="0" w:color="auto"/>
      </w:divBdr>
    </w:div>
    <w:div w:id="1842773111">
      <w:bodyDiv w:val="1"/>
      <w:marLeft w:val="0"/>
      <w:marRight w:val="0"/>
      <w:marTop w:val="0"/>
      <w:marBottom w:val="0"/>
      <w:divBdr>
        <w:top w:val="none" w:sz="0" w:space="0" w:color="auto"/>
        <w:left w:val="none" w:sz="0" w:space="0" w:color="auto"/>
        <w:bottom w:val="none" w:sz="0" w:space="0" w:color="auto"/>
        <w:right w:val="none" w:sz="0" w:space="0" w:color="auto"/>
      </w:divBdr>
    </w:div>
    <w:div w:id="1851139150">
      <w:bodyDiv w:val="1"/>
      <w:marLeft w:val="0"/>
      <w:marRight w:val="0"/>
      <w:marTop w:val="0"/>
      <w:marBottom w:val="0"/>
      <w:divBdr>
        <w:top w:val="none" w:sz="0" w:space="0" w:color="auto"/>
        <w:left w:val="none" w:sz="0" w:space="0" w:color="auto"/>
        <w:bottom w:val="none" w:sz="0" w:space="0" w:color="auto"/>
        <w:right w:val="none" w:sz="0" w:space="0" w:color="auto"/>
      </w:divBdr>
    </w:div>
    <w:div w:id="211288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A7E23162.dotm</Template>
  <TotalTime>0</TotalTime>
  <Pages>19</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2014-11-26T06:52:00Z</dcterms:created>
  <dcterms:modified xsi:type="dcterms:W3CDTF">2014-11-26T06:52:00Z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8196083</vt:lpwstr>
  </property>
</Properties>
</file>