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4E" w:rsidRDefault="0078024E" w:rsidP="0078024E">
      <w:pPr>
        <w:pStyle w:val="AERtitle1"/>
      </w:pPr>
      <w:bookmarkStart w:id="0" w:name="_Toc387916850"/>
      <w:bookmarkStart w:id="1" w:name="_GoBack"/>
      <w:bookmarkEnd w:id="1"/>
      <w:r w:rsidRPr="0078024E">
        <w:rPr>
          <w:noProof/>
        </w:rPr>
        <w:drawing>
          <wp:anchor distT="0" distB="0" distL="114300" distR="114300" simplePos="0" relativeHeight="251659264" behindDoc="1" locked="0" layoutInCell="1" allowOverlap="1" wp14:anchorId="14882ED2" wp14:editId="4778FD57">
            <wp:simplePos x="0" y="0"/>
            <wp:positionH relativeFrom="column">
              <wp:posOffset>-1002204</wp:posOffset>
            </wp:positionH>
            <wp:positionV relativeFrom="paragraph">
              <wp:posOffset>-935355</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78024E" w:rsidRDefault="0078024E" w:rsidP="0078024E">
      <w:pPr>
        <w:pStyle w:val="AERtitle1"/>
      </w:pPr>
    </w:p>
    <w:p w:rsidR="0078024E" w:rsidRDefault="0078024E" w:rsidP="0078024E">
      <w:pPr>
        <w:pStyle w:val="AERtitle1"/>
      </w:pPr>
    </w:p>
    <w:p w:rsidR="0078024E" w:rsidRDefault="0078024E" w:rsidP="0078024E">
      <w:pPr>
        <w:pStyle w:val="AERtitle1"/>
      </w:pPr>
    </w:p>
    <w:p w:rsidR="0078024E" w:rsidRDefault="0078024E" w:rsidP="0078024E">
      <w:pPr>
        <w:pStyle w:val="AERtitle1"/>
      </w:pPr>
    </w:p>
    <w:p w:rsidR="0078024E" w:rsidRPr="000A33B4" w:rsidRDefault="0078024E" w:rsidP="0078024E">
      <w:pPr>
        <w:pStyle w:val="AERtitle1"/>
      </w:pPr>
      <w:r>
        <w:t>Draft Decision</w:t>
      </w:r>
    </w:p>
    <w:p w:rsidR="0078024E" w:rsidRDefault="0078024E" w:rsidP="0078024E">
      <w:pPr>
        <w:pStyle w:val="AERtitle1"/>
      </w:pPr>
      <w:r>
        <w:t>Ausgrid distribution determination</w:t>
      </w:r>
    </w:p>
    <w:p w:rsidR="0078024E" w:rsidRPr="000A33B4" w:rsidRDefault="0078024E" w:rsidP="0078024E">
      <w:pPr>
        <w:pStyle w:val="AERtitle1"/>
      </w:pPr>
      <w:r>
        <w:t>2015–16</w:t>
      </w:r>
      <w:r w:rsidRPr="000A33B4">
        <w:t xml:space="preserve"> to 201</w:t>
      </w:r>
      <w:r>
        <w:t>8–</w:t>
      </w:r>
      <w:r w:rsidRPr="000A33B4">
        <w:t>1</w:t>
      </w:r>
      <w:r>
        <w:t>9</w:t>
      </w:r>
    </w:p>
    <w:p w:rsidR="0078024E" w:rsidRPr="000A33B4" w:rsidRDefault="0078024E" w:rsidP="0078024E">
      <w:pPr>
        <w:pStyle w:val="AERtitle1"/>
      </w:pPr>
      <w:r>
        <w:t>Attachment 9: Efficiency benefit sharing scheme</w:t>
      </w:r>
    </w:p>
    <w:p w:rsidR="0078024E" w:rsidRDefault="0078024E" w:rsidP="0011483F">
      <w:pPr>
        <w:pStyle w:val="AERbodytext"/>
        <w:numPr>
          <w:ilvl w:val="0"/>
          <w:numId w:val="0"/>
        </w:numPr>
      </w:pPr>
    </w:p>
    <w:p w:rsidR="0011483F" w:rsidRPr="000A33B4" w:rsidRDefault="0011483F" w:rsidP="0011483F">
      <w:pPr>
        <w:pStyle w:val="AERbodytext"/>
        <w:numPr>
          <w:ilvl w:val="0"/>
          <w:numId w:val="0"/>
        </w:numPr>
      </w:pPr>
    </w:p>
    <w:p w:rsidR="0078024E" w:rsidRDefault="0078024E" w:rsidP="0078024E">
      <w:pPr>
        <w:pStyle w:val="AERtitle2"/>
      </w:pPr>
      <w:r w:rsidRPr="000A33B4">
        <w:t>November 2014</w:t>
      </w:r>
    </w:p>
    <w:p w:rsidR="0078024E" w:rsidRPr="0078024E" w:rsidRDefault="0078024E" w:rsidP="0078024E">
      <w:r>
        <w:br w:type="page"/>
      </w:r>
    </w:p>
    <w:p w:rsidR="0078024E" w:rsidRPr="000A33B4" w:rsidRDefault="0078024E" w:rsidP="0078024E">
      <w:pPr>
        <w:pStyle w:val="AERbodytextnospace"/>
        <w:rPr>
          <w:rStyle w:val="AERtextbold"/>
        </w:rPr>
      </w:pPr>
      <w:r w:rsidRPr="000A33B4">
        <w:rPr>
          <w:rStyle w:val="AERtextbold"/>
        </w:rPr>
        <w:lastRenderedPageBreak/>
        <w:t>© Commonwealth of Australia 2014</w:t>
      </w:r>
    </w:p>
    <w:p w:rsidR="0078024E" w:rsidRPr="000A33B4" w:rsidRDefault="0078024E" w:rsidP="0078024E">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78024E" w:rsidRPr="000A33B4" w:rsidRDefault="0078024E" w:rsidP="0078024E">
      <w:pPr>
        <w:pStyle w:val="AERbulletlistfirststyle"/>
      </w:pPr>
      <w:r w:rsidRPr="000A33B4">
        <w:t>the Commonwealth Coat of Arms</w:t>
      </w:r>
    </w:p>
    <w:p w:rsidR="0078024E" w:rsidRDefault="0078024E" w:rsidP="0078024E">
      <w:pPr>
        <w:pStyle w:val="AERbulletlistfirststyle"/>
      </w:pPr>
      <w:r w:rsidRPr="000A33B4">
        <w:t>the ACCC and AER logos</w:t>
      </w:r>
    </w:p>
    <w:p w:rsidR="0078024E" w:rsidRPr="000A33B4" w:rsidRDefault="0078024E" w:rsidP="0078024E">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78024E" w:rsidRPr="000A33B4" w:rsidRDefault="0078024E" w:rsidP="0078024E">
      <w:pPr>
        <w:pStyle w:val="AERbodytext"/>
      </w:pPr>
      <w:r w:rsidRPr="000A33B4">
        <w:t>The details of the relevant licence conditions are available on the Creative Commons website, as is the full legal code for the CC BY 3.0 AU licence.</w:t>
      </w:r>
    </w:p>
    <w:p w:rsidR="0078024E" w:rsidRPr="000A33B4" w:rsidRDefault="0078024E" w:rsidP="0078024E">
      <w:pPr>
        <w:pStyle w:val="AERbodytext"/>
      </w:pPr>
      <w:r w:rsidRPr="000A33B4">
        <w:t>Requests and inquiries concerning reproduction and rights should be addressed to the Director, Corporate Communications, ACCC, GPO Box 3131, Canberra ACT 2601, or</w:t>
      </w:r>
      <w:r>
        <w:t xml:space="preserve"> </w:t>
      </w:r>
      <w:hyperlink r:id="rId9" w:history="1">
        <w:r w:rsidRPr="000A33B4">
          <w:t>publishing.unit@accc.gov.au</w:t>
        </w:r>
      </w:hyperlink>
      <w:r w:rsidRPr="000A33B4">
        <w:t>.</w:t>
      </w:r>
    </w:p>
    <w:p w:rsidR="0078024E" w:rsidRPr="000A33B4" w:rsidRDefault="0078024E" w:rsidP="0078024E">
      <w:pPr>
        <w:pStyle w:val="AERbodytext"/>
      </w:pPr>
      <w:r w:rsidRPr="000A33B4">
        <w:t>Inquiries about this document should be addressed to:</w:t>
      </w:r>
    </w:p>
    <w:p w:rsidR="0078024E" w:rsidRPr="000A33B4" w:rsidRDefault="0078024E" w:rsidP="0078024E">
      <w:pPr>
        <w:pStyle w:val="AERbodytextnospace"/>
      </w:pPr>
      <w:r w:rsidRPr="000A33B4">
        <w:t>Australian Energy Regulator</w:t>
      </w:r>
    </w:p>
    <w:p w:rsidR="0078024E" w:rsidRPr="000A33B4" w:rsidRDefault="0078024E" w:rsidP="0078024E">
      <w:pPr>
        <w:pStyle w:val="AERbodytextnospace"/>
      </w:pPr>
      <w:r w:rsidRPr="000A33B4">
        <w:t>GPO Box 520</w:t>
      </w:r>
    </w:p>
    <w:p w:rsidR="0078024E" w:rsidRPr="000A33B4" w:rsidRDefault="0078024E" w:rsidP="0078024E">
      <w:pPr>
        <w:pStyle w:val="AERbodytextnospace"/>
      </w:pPr>
      <w:r w:rsidRPr="000A33B4">
        <w:t>Melbourne  Vic  3001</w:t>
      </w:r>
    </w:p>
    <w:p w:rsidR="0078024E" w:rsidRPr="000A33B4" w:rsidRDefault="0078024E" w:rsidP="0078024E">
      <w:pPr>
        <w:pStyle w:val="AERbodytextnospace"/>
      </w:pPr>
      <w:r w:rsidRPr="000A33B4">
        <w:t>Tel: (03) 9290 1444</w:t>
      </w:r>
    </w:p>
    <w:p w:rsidR="0078024E" w:rsidRPr="000A33B4" w:rsidRDefault="0078024E" w:rsidP="0078024E">
      <w:pPr>
        <w:pStyle w:val="AERbodytextnospace"/>
      </w:pPr>
      <w:r w:rsidRPr="000A33B4">
        <w:t>Fax: (03) 9290 1457</w:t>
      </w:r>
    </w:p>
    <w:p w:rsidR="0078024E" w:rsidRPr="000A33B4" w:rsidRDefault="0078024E" w:rsidP="0078024E">
      <w:pPr>
        <w:pStyle w:val="AERbodytextnospace"/>
      </w:pPr>
      <w:r w:rsidRPr="000A33B4">
        <w:t xml:space="preserve">Email: </w:t>
      </w:r>
      <w:hyperlink r:id="rId10" w:history="1">
        <w:r w:rsidRPr="000A33B4">
          <w:rPr>
            <w:rStyle w:val="Hyperlink"/>
          </w:rPr>
          <w:t>AERInquiry@aer.gov.au</w:t>
        </w:r>
      </w:hyperlink>
    </w:p>
    <w:p w:rsidR="0078024E" w:rsidRPr="000A33B4" w:rsidRDefault="0078024E" w:rsidP="0078024E">
      <w:pPr>
        <w:pStyle w:val="AERbodytext"/>
      </w:pPr>
    </w:p>
    <w:p w:rsidR="0078024E" w:rsidRDefault="0078024E" w:rsidP="0078024E">
      <w:pPr>
        <w:pStyle w:val="AERbodytext"/>
        <w:rPr>
          <w:rStyle w:val="AERbody"/>
        </w:rPr>
      </w:pPr>
      <w:r w:rsidRPr="000A33B4">
        <w:t>AER reference</w:t>
      </w:r>
      <w:r w:rsidRPr="000A33B4">
        <w:rPr>
          <w:rStyle w:val="AERbody"/>
        </w:rPr>
        <w:t xml:space="preserve">:  </w:t>
      </w:r>
      <w:r>
        <w:rPr>
          <w:rStyle w:val="AERbody"/>
        </w:rPr>
        <w:t>52294</w:t>
      </w:r>
    </w:p>
    <w:p w:rsidR="0078024E" w:rsidRDefault="0078024E" w:rsidP="0078024E">
      <w:pPr>
        <w:pStyle w:val="UnnumberedHeading"/>
      </w:pPr>
      <w:bookmarkStart w:id="2" w:name="_Toc404354899"/>
      <w:bookmarkStart w:id="3" w:name="_Toc404353070"/>
      <w:bookmarkStart w:id="4" w:name="_Toc404363755"/>
      <w:r>
        <w:lastRenderedPageBreak/>
        <w:t>Note</w:t>
      </w:r>
      <w:bookmarkEnd w:id="2"/>
      <w:bookmarkEnd w:id="3"/>
      <w:bookmarkEnd w:id="4"/>
    </w:p>
    <w:p w:rsidR="0078024E" w:rsidRDefault="0078024E" w:rsidP="0078024E">
      <w:pPr>
        <w:pStyle w:val="AERbodytext"/>
      </w:pPr>
      <w:r>
        <w:t>This attachment forms part of the AER's draft decision on Ausgrid’s 2015–19 distribution determination. It should be read with other parts of the draft decision.</w:t>
      </w:r>
    </w:p>
    <w:p w:rsidR="0078024E" w:rsidRDefault="0078024E" w:rsidP="0078024E">
      <w:pPr>
        <w:pStyle w:val="AERbodytext"/>
      </w:pPr>
      <w:r>
        <w:t>The draft decision includes the following documents:</w:t>
      </w:r>
    </w:p>
    <w:p w:rsidR="0078024E" w:rsidRDefault="0078024E" w:rsidP="0078024E">
      <w:pPr>
        <w:pStyle w:val="AERbodytext"/>
      </w:pPr>
      <w:r>
        <w:t>Overview</w:t>
      </w:r>
    </w:p>
    <w:p w:rsidR="0078024E" w:rsidRDefault="0078024E" w:rsidP="0078024E">
      <w:pPr>
        <w:pStyle w:val="AERbodytext"/>
      </w:pPr>
      <w:r>
        <w:t>Attachment 1 – Annual revenue requirement</w:t>
      </w:r>
    </w:p>
    <w:p w:rsidR="0078024E" w:rsidRDefault="0078024E" w:rsidP="0078024E">
      <w:pPr>
        <w:pStyle w:val="AERbodytext"/>
      </w:pPr>
      <w:r>
        <w:t>Attachment 2 – Regulatory asset base</w:t>
      </w:r>
    </w:p>
    <w:p w:rsidR="0078024E" w:rsidRDefault="0078024E" w:rsidP="0078024E">
      <w:pPr>
        <w:pStyle w:val="AERbodytext"/>
      </w:pPr>
      <w:r>
        <w:t>Attachment 3 – Rate of return</w:t>
      </w:r>
    </w:p>
    <w:p w:rsidR="0078024E" w:rsidRDefault="0078024E" w:rsidP="0078024E">
      <w:pPr>
        <w:pStyle w:val="AERbodytext"/>
      </w:pPr>
      <w:r>
        <w:t>Attachment 4 – Value of imputation credits</w:t>
      </w:r>
    </w:p>
    <w:p w:rsidR="0078024E" w:rsidRDefault="0078024E" w:rsidP="0078024E">
      <w:pPr>
        <w:pStyle w:val="AERbodytext"/>
      </w:pPr>
      <w:r>
        <w:t>Attachment 5 – Regulatory depreciation</w:t>
      </w:r>
    </w:p>
    <w:p w:rsidR="0078024E" w:rsidRDefault="0078024E" w:rsidP="0078024E">
      <w:pPr>
        <w:pStyle w:val="AERbodytext"/>
      </w:pPr>
      <w:r>
        <w:t xml:space="preserve">Attachment 6 – Capital expenditure </w:t>
      </w:r>
    </w:p>
    <w:p w:rsidR="0078024E" w:rsidRDefault="0078024E" w:rsidP="0078024E">
      <w:pPr>
        <w:pStyle w:val="AERbodytext"/>
      </w:pPr>
      <w:r>
        <w:t>Attachment 7 – Operating expenditure</w:t>
      </w:r>
    </w:p>
    <w:p w:rsidR="0078024E" w:rsidRDefault="0078024E" w:rsidP="0078024E">
      <w:pPr>
        <w:pStyle w:val="AERbodytext"/>
      </w:pPr>
      <w:r>
        <w:t>Attachment 8 – Corporate income tax</w:t>
      </w:r>
    </w:p>
    <w:p w:rsidR="0078024E" w:rsidRDefault="0078024E" w:rsidP="0078024E">
      <w:pPr>
        <w:pStyle w:val="AERbodytext"/>
      </w:pPr>
      <w:r>
        <w:t>Attachment 9 – Efficiency benefit sharing scheme</w:t>
      </w:r>
    </w:p>
    <w:p w:rsidR="0078024E" w:rsidRDefault="0078024E" w:rsidP="0078024E">
      <w:pPr>
        <w:pStyle w:val="AERbodytext"/>
      </w:pPr>
      <w:r>
        <w:t>Attachment 10 – Capital expenditure sharing scheme</w:t>
      </w:r>
    </w:p>
    <w:p w:rsidR="0078024E" w:rsidRDefault="0078024E" w:rsidP="0078024E">
      <w:pPr>
        <w:pStyle w:val="AERbodytext"/>
      </w:pPr>
      <w:r>
        <w:t>Attachment 11 – Service target performance incentive scheme</w:t>
      </w:r>
    </w:p>
    <w:p w:rsidR="0078024E" w:rsidRDefault="0078024E" w:rsidP="0078024E">
      <w:pPr>
        <w:pStyle w:val="AERbodytext"/>
      </w:pPr>
      <w:r>
        <w:t>Attachment 12 – Demand management incentive scheme</w:t>
      </w:r>
    </w:p>
    <w:p w:rsidR="0078024E" w:rsidRDefault="0078024E" w:rsidP="0078024E">
      <w:pPr>
        <w:pStyle w:val="AERbodytext"/>
      </w:pPr>
      <w:r>
        <w:t>Attachment 13 – Classification of services</w:t>
      </w:r>
    </w:p>
    <w:p w:rsidR="0078024E" w:rsidRDefault="0078024E" w:rsidP="0078024E">
      <w:pPr>
        <w:pStyle w:val="AERbodytext"/>
      </w:pPr>
      <w:r>
        <w:t>Attachment 14 – Control mechanism</w:t>
      </w:r>
    </w:p>
    <w:p w:rsidR="0078024E" w:rsidRDefault="0078024E" w:rsidP="0078024E">
      <w:pPr>
        <w:pStyle w:val="AERbodytext"/>
      </w:pPr>
      <w:r>
        <w:t>Attachment 15 – Pass through events</w:t>
      </w:r>
    </w:p>
    <w:p w:rsidR="0078024E" w:rsidRDefault="0078024E" w:rsidP="0078024E">
      <w:pPr>
        <w:pStyle w:val="AERbodytext"/>
      </w:pPr>
      <w:r>
        <w:t>Attachment 16 – Alternative control services</w:t>
      </w:r>
    </w:p>
    <w:p w:rsidR="0078024E" w:rsidRDefault="0078024E" w:rsidP="0078024E">
      <w:pPr>
        <w:pStyle w:val="AERbodytext"/>
      </w:pPr>
      <w:r>
        <w:t>Attachment 17 – Negotiated services framework and criteria</w:t>
      </w:r>
    </w:p>
    <w:p w:rsidR="0078024E" w:rsidRPr="008B6C33" w:rsidRDefault="0078024E" w:rsidP="0078024E">
      <w:pPr>
        <w:pStyle w:val="AERbodytext"/>
      </w:pPr>
      <w:r>
        <w:t>Attachment 18 – Connection methodology</w:t>
      </w:r>
    </w:p>
    <w:p w:rsidR="0078024E" w:rsidRDefault="0078024E" w:rsidP="0078024E">
      <w:pPr>
        <w:pStyle w:val="AERbodytext"/>
      </w:pPr>
      <w:r>
        <w:t>Attachment 19 – Pricing methodology</w:t>
      </w:r>
    </w:p>
    <w:p w:rsidR="0078024E" w:rsidRDefault="0078024E" w:rsidP="0078024E">
      <w:pPr>
        <w:pStyle w:val="UnnumberedHeading"/>
      </w:pPr>
      <w:bookmarkStart w:id="5" w:name="_Toc404363756"/>
      <w:r>
        <w:lastRenderedPageBreak/>
        <w:t>Contents</w:t>
      </w:r>
      <w:bookmarkEnd w:id="5"/>
    </w:p>
    <w:sdt>
      <w:sdtPr>
        <w:rPr>
          <w:rFonts w:ascii="Arial" w:eastAsiaTheme="minorHAnsi" w:hAnsi="Arial" w:cstheme="minorBidi"/>
          <w:b w:val="0"/>
          <w:bCs w:val="0"/>
          <w:noProof/>
          <w:sz w:val="22"/>
          <w:szCs w:val="22"/>
          <w:lang w:val="en-US" w:eastAsia="ja-JP"/>
        </w:rPr>
        <w:id w:val="-1683822123"/>
        <w:docPartObj>
          <w:docPartGallery w:val="Table of Contents"/>
          <w:docPartUnique/>
        </w:docPartObj>
      </w:sdtPr>
      <w:sdtEndPr>
        <w:rPr>
          <w:rFonts w:ascii="Gautami" w:eastAsia="Times New Roman" w:hAnsi="Gautami" w:cs="Times New Roman"/>
          <w:noProof w:val="0"/>
          <w:sz w:val="20"/>
          <w:szCs w:val="24"/>
          <w:lang w:val="en-AU" w:eastAsia="en-US"/>
        </w:rPr>
      </w:sdtEndPr>
      <w:sdtContent>
        <w:p w:rsidR="0078024E" w:rsidRDefault="0078024E">
          <w:pPr>
            <w:pStyle w:val="TOC1"/>
            <w:tabs>
              <w:tab w:val="right" w:leader="dot" w:pos="9016"/>
            </w:tabs>
            <w:rPr>
              <w:rFonts w:asciiTheme="minorHAnsi" w:eastAsiaTheme="minorEastAsia" w:hAnsiTheme="minorHAnsi" w:cstheme="minorBidi"/>
              <w:b w:val="0"/>
              <w:bCs w:val="0"/>
              <w:noProof/>
              <w:sz w:val="22"/>
              <w:szCs w:val="22"/>
              <w:lang w:eastAsia="en-AU"/>
            </w:rPr>
          </w:pPr>
          <w:r>
            <w:rPr>
              <w:rFonts w:ascii="Arial" w:eastAsiaTheme="minorHAnsi" w:hAnsi="Arial" w:cstheme="minorBidi"/>
              <w:bCs w:val="0"/>
              <w:noProof/>
              <w:sz w:val="22"/>
              <w:szCs w:val="22"/>
              <w:lang w:val="en-US" w:eastAsia="ja-JP"/>
            </w:rPr>
            <w:fldChar w:fldCharType="begin"/>
          </w:r>
          <w:r>
            <w:instrText xml:space="preserve"> TOC \o \h \z \u </w:instrText>
          </w:r>
          <w:r>
            <w:rPr>
              <w:rFonts w:ascii="Arial" w:eastAsiaTheme="minorHAnsi" w:hAnsi="Arial" w:cstheme="minorBidi"/>
              <w:bCs w:val="0"/>
              <w:noProof/>
              <w:sz w:val="22"/>
              <w:szCs w:val="22"/>
              <w:lang w:val="en-US" w:eastAsia="ja-JP"/>
            </w:rPr>
            <w:fldChar w:fldCharType="separate"/>
          </w:r>
          <w:hyperlink w:anchor="_Toc404363755" w:history="1">
            <w:r w:rsidRPr="005573CE">
              <w:rPr>
                <w:rStyle w:val="Hyperlink"/>
                <w:noProof/>
              </w:rPr>
              <w:t>Note</w:t>
            </w:r>
            <w:r>
              <w:rPr>
                <w:noProof/>
                <w:webHidden/>
              </w:rPr>
              <w:tab/>
              <w:t>9-</w:t>
            </w:r>
            <w:r>
              <w:rPr>
                <w:noProof/>
                <w:webHidden/>
              </w:rPr>
              <w:fldChar w:fldCharType="begin"/>
            </w:r>
            <w:r>
              <w:rPr>
                <w:noProof/>
                <w:webHidden/>
              </w:rPr>
              <w:instrText xml:space="preserve"> PAGEREF _Toc404363755 \h </w:instrText>
            </w:r>
            <w:r>
              <w:rPr>
                <w:noProof/>
                <w:webHidden/>
              </w:rPr>
            </w:r>
            <w:r>
              <w:rPr>
                <w:noProof/>
                <w:webHidden/>
              </w:rPr>
              <w:fldChar w:fldCharType="separate"/>
            </w:r>
            <w:r>
              <w:rPr>
                <w:noProof/>
                <w:webHidden/>
              </w:rPr>
              <w:t>3</w:t>
            </w:r>
            <w:r>
              <w:rPr>
                <w:noProof/>
                <w:webHidden/>
              </w:rPr>
              <w:fldChar w:fldCharType="end"/>
            </w:r>
          </w:hyperlink>
        </w:p>
        <w:p w:rsidR="0078024E" w:rsidRDefault="003900BF">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363756" w:history="1">
            <w:r w:rsidR="0078024E" w:rsidRPr="005573CE">
              <w:rPr>
                <w:rStyle w:val="Hyperlink"/>
                <w:noProof/>
              </w:rPr>
              <w:t>Contents</w:t>
            </w:r>
            <w:r w:rsidR="0078024E">
              <w:rPr>
                <w:noProof/>
                <w:webHidden/>
              </w:rPr>
              <w:tab/>
              <w:t>9-</w:t>
            </w:r>
            <w:r w:rsidR="0078024E">
              <w:rPr>
                <w:noProof/>
                <w:webHidden/>
              </w:rPr>
              <w:fldChar w:fldCharType="begin"/>
            </w:r>
            <w:r w:rsidR="0078024E">
              <w:rPr>
                <w:noProof/>
                <w:webHidden/>
              </w:rPr>
              <w:instrText xml:space="preserve"> PAGEREF _Toc404363756 \h </w:instrText>
            </w:r>
            <w:r w:rsidR="0078024E">
              <w:rPr>
                <w:noProof/>
                <w:webHidden/>
              </w:rPr>
            </w:r>
            <w:r w:rsidR="0078024E">
              <w:rPr>
                <w:noProof/>
                <w:webHidden/>
              </w:rPr>
              <w:fldChar w:fldCharType="separate"/>
            </w:r>
            <w:r w:rsidR="0078024E">
              <w:rPr>
                <w:noProof/>
                <w:webHidden/>
              </w:rPr>
              <w:t>4</w:t>
            </w:r>
            <w:r w:rsidR="0078024E">
              <w:rPr>
                <w:noProof/>
                <w:webHidden/>
              </w:rPr>
              <w:fldChar w:fldCharType="end"/>
            </w:r>
          </w:hyperlink>
        </w:p>
        <w:p w:rsidR="0078024E" w:rsidRDefault="003900BF">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363757" w:history="1">
            <w:r w:rsidR="0078024E" w:rsidRPr="005573CE">
              <w:rPr>
                <w:rStyle w:val="Hyperlink"/>
                <w:noProof/>
              </w:rPr>
              <w:t>Shortened forms</w:t>
            </w:r>
            <w:r w:rsidR="0078024E">
              <w:rPr>
                <w:noProof/>
                <w:webHidden/>
              </w:rPr>
              <w:tab/>
              <w:t>9-</w:t>
            </w:r>
            <w:r w:rsidR="0078024E">
              <w:rPr>
                <w:noProof/>
                <w:webHidden/>
              </w:rPr>
              <w:fldChar w:fldCharType="begin"/>
            </w:r>
            <w:r w:rsidR="0078024E">
              <w:rPr>
                <w:noProof/>
                <w:webHidden/>
              </w:rPr>
              <w:instrText xml:space="preserve"> PAGEREF _Toc404363757 \h </w:instrText>
            </w:r>
            <w:r w:rsidR="0078024E">
              <w:rPr>
                <w:noProof/>
                <w:webHidden/>
              </w:rPr>
            </w:r>
            <w:r w:rsidR="0078024E">
              <w:rPr>
                <w:noProof/>
                <w:webHidden/>
              </w:rPr>
              <w:fldChar w:fldCharType="separate"/>
            </w:r>
            <w:r w:rsidR="0078024E">
              <w:rPr>
                <w:noProof/>
                <w:webHidden/>
              </w:rPr>
              <w:t>5</w:t>
            </w:r>
            <w:r w:rsidR="0078024E">
              <w:rPr>
                <w:noProof/>
                <w:webHidden/>
              </w:rPr>
              <w:fldChar w:fldCharType="end"/>
            </w:r>
          </w:hyperlink>
        </w:p>
        <w:p w:rsidR="0078024E" w:rsidRDefault="003900B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363758" w:history="1">
            <w:r w:rsidR="0078024E" w:rsidRPr="005573CE">
              <w:rPr>
                <w:rStyle w:val="Hyperlink"/>
                <w:noProof/>
              </w:rPr>
              <w:t>9</w:t>
            </w:r>
            <w:r w:rsidR="0078024E">
              <w:rPr>
                <w:rFonts w:asciiTheme="minorHAnsi" w:eastAsiaTheme="minorEastAsia" w:hAnsiTheme="minorHAnsi" w:cstheme="minorBidi"/>
                <w:b w:val="0"/>
                <w:bCs w:val="0"/>
                <w:noProof/>
                <w:sz w:val="22"/>
                <w:szCs w:val="22"/>
                <w:lang w:eastAsia="en-AU"/>
              </w:rPr>
              <w:tab/>
            </w:r>
            <w:r w:rsidR="0078024E" w:rsidRPr="005573CE">
              <w:rPr>
                <w:rStyle w:val="Hyperlink"/>
                <w:noProof/>
              </w:rPr>
              <w:t>Efficiency benefit sharing scheme</w:t>
            </w:r>
            <w:r w:rsidR="0078024E">
              <w:rPr>
                <w:noProof/>
                <w:webHidden/>
              </w:rPr>
              <w:tab/>
              <w:t>9-</w:t>
            </w:r>
            <w:r w:rsidR="0078024E">
              <w:rPr>
                <w:noProof/>
                <w:webHidden/>
              </w:rPr>
              <w:fldChar w:fldCharType="begin"/>
            </w:r>
            <w:r w:rsidR="0078024E">
              <w:rPr>
                <w:noProof/>
                <w:webHidden/>
              </w:rPr>
              <w:instrText xml:space="preserve"> PAGEREF _Toc404363758 \h </w:instrText>
            </w:r>
            <w:r w:rsidR="0078024E">
              <w:rPr>
                <w:noProof/>
                <w:webHidden/>
              </w:rPr>
            </w:r>
            <w:r w:rsidR="0078024E">
              <w:rPr>
                <w:noProof/>
                <w:webHidden/>
              </w:rPr>
              <w:fldChar w:fldCharType="separate"/>
            </w:r>
            <w:r w:rsidR="0078024E">
              <w:rPr>
                <w:noProof/>
                <w:webHidden/>
              </w:rPr>
              <w:t>7</w:t>
            </w:r>
            <w:r w:rsidR="0078024E">
              <w:rPr>
                <w:noProof/>
                <w:webHidden/>
              </w:rPr>
              <w:fldChar w:fldCharType="end"/>
            </w:r>
          </w:hyperlink>
        </w:p>
        <w:p w:rsidR="0078024E" w:rsidRDefault="003900B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63759" w:history="1">
            <w:r w:rsidR="0078024E" w:rsidRPr="005573CE">
              <w:rPr>
                <w:rStyle w:val="Hyperlink"/>
                <w:noProof/>
              </w:rPr>
              <w:t>9.1</w:t>
            </w:r>
            <w:r w:rsidR="0078024E">
              <w:rPr>
                <w:rFonts w:asciiTheme="minorHAnsi" w:eastAsiaTheme="minorEastAsia" w:hAnsiTheme="minorHAnsi" w:cstheme="minorBidi"/>
                <w:iCs w:val="0"/>
                <w:noProof/>
                <w:sz w:val="22"/>
                <w:szCs w:val="22"/>
                <w:lang w:eastAsia="en-AU"/>
              </w:rPr>
              <w:tab/>
            </w:r>
            <w:r w:rsidR="0078024E" w:rsidRPr="005573CE">
              <w:rPr>
                <w:rStyle w:val="Hyperlink"/>
                <w:noProof/>
              </w:rPr>
              <w:t>Draft decision</w:t>
            </w:r>
            <w:r w:rsidR="0078024E">
              <w:rPr>
                <w:noProof/>
                <w:webHidden/>
              </w:rPr>
              <w:tab/>
              <w:t>9-</w:t>
            </w:r>
            <w:r w:rsidR="0078024E">
              <w:rPr>
                <w:noProof/>
                <w:webHidden/>
              </w:rPr>
              <w:fldChar w:fldCharType="begin"/>
            </w:r>
            <w:r w:rsidR="0078024E">
              <w:rPr>
                <w:noProof/>
                <w:webHidden/>
              </w:rPr>
              <w:instrText xml:space="preserve"> PAGEREF _Toc404363759 \h </w:instrText>
            </w:r>
            <w:r w:rsidR="0078024E">
              <w:rPr>
                <w:noProof/>
                <w:webHidden/>
              </w:rPr>
            </w:r>
            <w:r w:rsidR="0078024E">
              <w:rPr>
                <w:noProof/>
                <w:webHidden/>
              </w:rPr>
              <w:fldChar w:fldCharType="separate"/>
            </w:r>
            <w:r w:rsidR="0078024E">
              <w:rPr>
                <w:noProof/>
                <w:webHidden/>
              </w:rPr>
              <w:t>7</w:t>
            </w:r>
            <w:r w:rsidR="0078024E">
              <w:rPr>
                <w:noProof/>
                <w:webHidden/>
              </w:rPr>
              <w:fldChar w:fldCharType="end"/>
            </w:r>
          </w:hyperlink>
        </w:p>
        <w:p w:rsidR="0078024E" w:rsidRDefault="003900B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63760" w:history="1">
            <w:r w:rsidR="0078024E" w:rsidRPr="005573CE">
              <w:rPr>
                <w:rStyle w:val="Hyperlink"/>
                <w:noProof/>
              </w:rPr>
              <w:t>9.2</w:t>
            </w:r>
            <w:r w:rsidR="0078024E">
              <w:rPr>
                <w:rFonts w:asciiTheme="minorHAnsi" w:eastAsiaTheme="minorEastAsia" w:hAnsiTheme="minorHAnsi" w:cstheme="minorBidi"/>
                <w:iCs w:val="0"/>
                <w:noProof/>
                <w:sz w:val="22"/>
                <w:szCs w:val="22"/>
                <w:lang w:eastAsia="en-AU"/>
              </w:rPr>
              <w:tab/>
            </w:r>
            <w:r w:rsidR="0078024E" w:rsidRPr="005573CE">
              <w:rPr>
                <w:rStyle w:val="Hyperlink"/>
                <w:noProof/>
              </w:rPr>
              <w:t>Proposal</w:t>
            </w:r>
            <w:r w:rsidR="0078024E">
              <w:rPr>
                <w:noProof/>
                <w:webHidden/>
              </w:rPr>
              <w:tab/>
              <w:t>9-</w:t>
            </w:r>
            <w:r w:rsidR="0078024E">
              <w:rPr>
                <w:noProof/>
                <w:webHidden/>
              </w:rPr>
              <w:fldChar w:fldCharType="begin"/>
            </w:r>
            <w:r w:rsidR="0078024E">
              <w:rPr>
                <w:noProof/>
                <w:webHidden/>
              </w:rPr>
              <w:instrText xml:space="preserve"> PAGEREF _Toc404363760 \h </w:instrText>
            </w:r>
            <w:r w:rsidR="0078024E">
              <w:rPr>
                <w:noProof/>
                <w:webHidden/>
              </w:rPr>
            </w:r>
            <w:r w:rsidR="0078024E">
              <w:rPr>
                <w:noProof/>
                <w:webHidden/>
              </w:rPr>
              <w:fldChar w:fldCharType="separate"/>
            </w:r>
            <w:r w:rsidR="0078024E">
              <w:rPr>
                <w:noProof/>
                <w:webHidden/>
              </w:rPr>
              <w:t>7</w:t>
            </w:r>
            <w:r w:rsidR="0078024E">
              <w:rPr>
                <w:noProof/>
                <w:webHidden/>
              </w:rPr>
              <w:fldChar w:fldCharType="end"/>
            </w:r>
          </w:hyperlink>
        </w:p>
        <w:p w:rsidR="0078024E" w:rsidRDefault="003900B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63761" w:history="1">
            <w:r w:rsidR="0078024E" w:rsidRPr="005573CE">
              <w:rPr>
                <w:rStyle w:val="Hyperlink"/>
                <w:noProof/>
              </w:rPr>
              <w:t>9.3</w:t>
            </w:r>
            <w:r w:rsidR="0078024E">
              <w:rPr>
                <w:rFonts w:asciiTheme="minorHAnsi" w:eastAsiaTheme="minorEastAsia" w:hAnsiTheme="minorHAnsi" w:cstheme="minorBidi"/>
                <w:iCs w:val="0"/>
                <w:noProof/>
                <w:sz w:val="22"/>
                <w:szCs w:val="22"/>
                <w:lang w:eastAsia="en-AU"/>
              </w:rPr>
              <w:tab/>
            </w:r>
            <w:r w:rsidR="0078024E" w:rsidRPr="005573CE">
              <w:rPr>
                <w:rStyle w:val="Hyperlink"/>
                <w:noProof/>
              </w:rPr>
              <w:t>Assessment approach</w:t>
            </w:r>
            <w:r w:rsidR="0078024E">
              <w:rPr>
                <w:noProof/>
                <w:webHidden/>
              </w:rPr>
              <w:tab/>
              <w:t>9-</w:t>
            </w:r>
            <w:r w:rsidR="0078024E">
              <w:rPr>
                <w:noProof/>
                <w:webHidden/>
              </w:rPr>
              <w:fldChar w:fldCharType="begin"/>
            </w:r>
            <w:r w:rsidR="0078024E">
              <w:rPr>
                <w:noProof/>
                <w:webHidden/>
              </w:rPr>
              <w:instrText xml:space="preserve"> PAGEREF _Toc404363761 \h </w:instrText>
            </w:r>
            <w:r w:rsidR="0078024E">
              <w:rPr>
                <w:noProof/>
                <w:webHidden/>
              </w:rPr>
            </w:r>
            <w:r w:rsidR="0078024E">
              <w:rPr>
                <w:noProof/>
                <w:webHidden/>
              </w:rPr>
              <w:fldChar w:fldCharType="separate"/>
            </w:r>
            <w:r w:rsidR="0078024E">
              <w:rPr>
                <w:noProof/>
                <w:webHidden/>
              </w:rPr>
              <w:t>8</w:t>
            </w:r>
            <w:r w:rsidR="0078024E">
              <w:rPr>
                <w:noProof/>
                <w:webHidden/>
              </w:rPr>
              <w:fldChar w:fldCharType="end"/>
            </w:r>
          </w:hyperlink>
        </w:p>
        <w:p w:rsidR="0078024E" w:rsidRDefault="003900B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63762" w:history="1">
            <w:r w:rsidR="0078024E" w:rsidRPr="005573CE">
              <w:rPr>
                <w:rStyle w:val="Hyperlink"/>
                <w:noProof/>
              </w:rPr>
              <w:t>9.4</w:t>
            </w:r>
            <w:r w:rsidR="0078024E">
              <w:rPr>
                <w:rFonts w:asciiTheme="minorHAnsi" w:eastAsiaTheme="minorEastAsia" w:hAnsiTheme="minorHAnsi" w:cstheme="minorBidi"/>
                <w:iCs w:val="0"/>
                <w:noProof/>
                <w:sz w:val="22"/>
                <w:szCs w:val="22"/>
                <w:lang w:eastAsia="en-AU"/>
              </w:rPr>
              <w:tab/>
            </w:r>
            <w:r w:rsidR="0078024E" w:rsidRPr="005573CE">
              <w:rPr>
                <w:rStyle w:val="Hyperlink"/>
                <w:noProof/>
              </w:rPr>
              <w:t>Interrelationships</w:t>
            </w:r>
            <w:r w:rsidR="0078024E">
              <w:rPr>
                <w:noProof/>
                <w:webHidden/>
              </w:rPr>
              <w:tab/>
              <w:t>9-</w:t>
            </w:r>
            <w:r w:rsidR="0078024E">
              <w:rPr>
                <w:noProof/>
                <w:webHidden/>
              </w:rPr>
              <w:fldChar w:fldCharType="begin"/>
            </w:r>
            <w:r w:rsidR="0078024E">
              <w:rPr>
                <w:noProof/>
                <w:webHidden/>
              </w:rPr>
              <w:instrText xml:space="preserve"> PAGEREF _Toc404363762 \h </w:instrText>
            </w:r>
            <w:r w:rsidR="0078024E">
              <w:rPr>
                <w:noProof/>
                <w:webHidden/>
              </w:rPr>
            </w:r>
            <w:r w:rsidR="0078024E">
              <w:rPr>
                <w:noProof/>
                <w:webHidden/>
              </w:rPr>
              <w:fldChar w:fldCharType="separate"/>
            </w:r>
            <w:r w:rsidR="0078024E">
              <w:rPr>
                <w:noProof/>
                <w:webHidden/>
              </w:rPr>
              <w:t>8</w:t>
            </w:r>
            <w:r w:rsidR="0078024E">
              <w:rPr>
                <w:noProof/>
                <w:webHidden/>
              </w:rPr>
              <w:fldChar w:fldCharType="end"/>
            </w:r>
          </w:hyperlink>
        </w:p>
        <w:p w:rsidR="0078024E" w:rsidRDefault="003900B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63763" w:history="1">
            <w:r w:rsidR="0078024E" w:rsidRPr="005573CE">
              <w:rPr>
                <w:rStyle w:val="Hyperlink"/>
                <w:noProof/>
              </w:rPr>
              <w:t>9.5</w:t>
            </w:r>
            <w:r w:rsidR="0078024E">
              <w:rPr>
                <w:rFonts w:asciiTheme="minorHAnsi" w:eastAsiaTheme="minorEastAsia" w:hAnsiTheme="minorHAnsi" w:cstheme="minorBidi"/>
                <w:iCs w:val="0"/>
                <w:noProof/>
                <w:sz w:val="22"/>
                <w:szCs w:val="22"/>
                <w:lang w:eastAsia="en-AU"/>
              </w:rPr>
              <w:tab/>
            </w:r>
            <w:r w:rsidR="0078024E" w:rsidRPr="005573CE">
              <w:rPr>
                <w:rStyle w:val="Hyperlink"/>
                <w:noProof/>
              </w:rPr>
              <w:t>Reasons for draft decision</w:t>
            </w:r>
            <w:r w:rsidR="0078024E">
              <w:rPr>
                <w:noProof/>
                <w:webHidden/>
              </w:rPr>
              <w:tab/>
              <w:t>9-</w:t>
            </w:r>
            <w:r w:rsidR="0078024E">
              <w:rPr>
                <w:noProof/>
                <w:webHidden/>
              </w:rPr>
              <w:fldChar w:fldCharType="begin"/>
            </w:r>
            <w:r w:rsidR="0078024E">
              <w:rPr>
                <w:noProof/>
                <w:webHidden/>
              </w:rPr>
              <w:instrText xml:space="preserve"> PAGEREF _Toc404363763 \h </w:instrText>
            </w:r>
            <w:r w:rsidR="0078024E">
              <w:rPr>
                <w:noProof/>
                <w:webHidden/>
              </w:rPr>
            </w:r>
            <w:r w:rsidR="0078024E">
              <w:rPr>
                <w:noProof/>
                <w:webHidden/>
              </w:rPr>
              <w:fldChar w:fldCharType="separate"/>
            </w:r>
            <w:r w:rsidR="0078024E">
              <w:rPr>
                <w:noProof/>
                <w:webHidden/>
              </w:rPr>
              <w:t>9</w:t>
            </w:r>
            <w:r w:rsidR="0078024E">
              <w:rPr>
                <w:noProof/>
                <w:webHidden/>
              </w:rPr>
              <w:fldChar w:fldCharType="end"/>
            </w:r>
          </w:hyperlink>
        </w:p>
        <w:p w:rsidR="0078024E" w:rsidRDefault="003900B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63764" w:history="1">
            <w:r w:rsidR="0078024E" w:rsidRPr="005573CE">
              <w:rPr>
                <w:rStyle w:val="Hyperlink"/>
                <w:noProof/>
              </w:rPr>
              <w:t>9.5.1</w:t>
            </w:r>
            <w:r w:rsidR="0078024E">
              <w:rPr>
                <w:rFonts w:asciiTheme="minorHAnsi" w:eastAsiaTheme="minorEastAsia" w:hAnsiTheme="minorHAnsi" w:cstheme="minorBidi"/>
                <w:noProof/>
                <w:sz w:val="22"/>
                <w:szCs w:val="22"/>
                <w:lang w:eastAsia="en-AU"/>
              </w:rPr>
              <w:tab/>
            </w:r>
            <w:r w:rsidR="0078024E" w:rsidRPr="005573CE">
              <w:rPr>
                <w:rStyle w:val="Hyperlink"/>
                <w:noProof/>
              </w:rPr>
              <w:t>Carryover amounts accrued during the 2009–14 regulatory control period</w:t>
            </w:r>
            <w:r w:rsidR="0078024E">
              <w:rPr>
                <w:noProof/>
                <w:webHidden/>
              </w:rPr>
              <w:tab/>
              <w:t>9-</w:t>
            </w:r>
            <w:r w:rsidR="0078024E">
              <w:rPr>
                <w:noProof/>
                <w:webHidden/>
              </w:rPr>
              <w:fldChar w:fldCharType="begin"/>
            </w:r>
            <w:r w:rsidR="0078024E">
              <w:rPr>
                <w:noProof/>
                <w:webHidden/>
              </w:rPr>
              <w:instrText xml:space="preserve"> PAGEREF _Toc404363764 \h </w:instrText>
            </w:r>
            <w:r w:rsidR="0078024E">
              <w:rPr>
                <w:noProof/>
                <w:webHidden/>
              </w:rPr>
            </w:r>
            <w:r w:rsidR="0078024E">
              <w:rPr>
                <w:noProof/>
                <w:webHidden/>
              </w:rPr>
              <w:fldChar w:fldCharType="separate"/>
            </w:r>
            <w:r w:rsidR="0078024E">
              <w:rPr>
                <w:noProof/>
                <w:webHidden/>
              </w:rPr>
              <w:t>9</w:t>
            </w:r>
            <w:r w:rsidR="0078024E">
              <w:rPr>
                <w:noProof/>
                <w:webHidden/>
              </w:rPr>
              <w:fldChar w:fldCharType="end"/>
            </w:r>
          </w:hyperlink>
        </w:p>
        <w:p w:rsidR="0078024E" w:rsidRDefault="003900B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63765" w:history="1">
            <w:r w:rsidR="0078024E" w:rsidRPr="005573CE">
              <w:rPr>
                <w:rStyle w:val="Hyperlink"/>
                <w:noProof/>
              </w:rPr>
              <w:t>9.5.2</w:t>
            </w:r>
            <w:r w:rsidR="0078024E">
              <w:rPr>
                <w:rFonts w:asciiTheme="minorHAnsi" w:eastAsiaTheme="minorEastAsia" w:hAnsiTheme="minorHAnsi" w:cstheme="minorBidi"/>
                <w:noProof/>
                <w:sz w:val="22"/>
                <w:szCs w:val="22"/>
                <w:lang w:eastAsia="en-AU"/>
              </w:rPr>
              <w:tab/>
            </w:r>
            <w:r w:rsidR="0078024E" w:rsidRPr="005573CE">
              <w:rPr>
                <w:rStyle w:val="Hyperlink"/>
                <w:noProof/>
              </w:rPr>
              <w:t>Decision on how to apply the EBSS to Ausgrid in 2015–19 regulatory control period</w:t>
            </w:r>
            <w:r w:rsidR="0078024E">
              <w:rPr>
                <w:noProof/>
                <w:webHidden/>
              </w:rPr>
              <w:tab/>
              <w:t>9-</w:t>
            </w:r>
            <w:r w:rsidR="0078024E">
              <w:rPr>
                <w:noProof/>
                <w:webHidden/>
              </w:rPr>
              <w:fldChar w:fldCharType="begin"/>
            </w:r>
            <w:r w:rsidR="0078024E">
              <w:rPr>
                <w:noProof/>
                <w:webHidden/>
              </w:rPr>
              <w:instrText xml:space="preserve"> PAGEREF _Toc404363765 \h </w:instrText>
            </w:r>
            <w:r w:rsidR="0078024E">
              <w:rPr>
                <w:noProof/>
                <w:webHidden/>
              </w:rPr>
            </w:r>
            <w:r w:rsidR="0078024E">
              <w:rPr>
                <w:noProof/>
                <w:webHidden/>
              </w:rPr>
              <w:fldChar w:fldCharType="separate"/>
            </w:r>
            <w:r w:rsidR="0078024E">
              <w:rPr>
                <w:noProof/>
                <w:webHidden/>
              </w:rPr>
              <w:t>10</w:t>
            </w:r>
            <w:r w:rsidR="0078024E">
              <w:rPr>
                <w:noProof/>
                <w:webHidden/>
              </w:rPr>
              <w:fldChar w:fldCharType="end"/>
            </w:r>
          </w:hyperlink>
        </w:p>
        <w:p w:rsidR="0078024E" w:rsidRPr="0078024E" w:rsidRDefault="0078024E" w:rsidP="0078024E">
          <w:pPr>
            <w:pStyle w:val="AERbodytext"/>
          </w:pPr>
          <w:r>
            <w:fldChar w:fldCharType="end"/>
          </w:r>
        </w:p>
      </w:sdtContent>
    </w:sdt>
    <w:p w:rsidR="0078024E" w:rsidRPr="0078024E" w:rsidRDefault="0078024E" w:rsidP="0078024E">
      <w:pPr>
        <w:pStyle w:val="AERbodytext"/>
      </w:pPr>
    </w:p>
    <w:p w:rsidR="0078024E" w:rsidRDefault="0078024E" w:rsidP="0078024E">
      <w:pPr>
        <w:pStyle w:val="UnnumberedHeading"/>
      </w:pPr>
      <w:bookmarkStart w:id="6" w:name="_Toc402538524"/>
      <w:bookmarkStart w:id="7" w:name="_Toc404354901"/>
      <w:bookmarkStart w:id="8" w:name="_Toc404353072"/>
      <w:bookmarkStart w:id="9" w:name="_Toc404363757"/>
      <w:r>
        <w:lastRenderedPageBreak/>
        <w:t>Shortened forms</w:t>
      </w:r>
      <w:bookmarkEnd w:id="6"/>
      <w:bookmarkEnd w:id="7"/>
      <w:bookmarkEnd w:id="8"/>
      <w:bookmarkEnd w:id="9"/>
    </w:p>
    <w:tbl>
      <w:tblPr>
        <w:tblStyle w:val="AERtable-numbers"/>
        <w:tblW w:w="0" w:type="auto"/>
        <w:tblLook w:val="04A0" w:firstRow="1" w:lastRow="0" w:firstColumn="1" w:lastColumn="0" w:noHBand="0" w:noVBand="1"/>
      </w:tblPr>
      <w:tblGrid>
        <w:gridCol w:w="4621"/>
        <w:gridCol w:w="4621"/>
      </w:tblGrid>
      <w:tr w:rsidR="0078024E" w:rsidTr="00E727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Shortened form</w:t>
            </w:r>
          </w:p>
        </w:tc>
        <w:tc>
          <w:tcPr>
            <w:tcW w:w="4621" w:type="dxa"/>
          </w:tcPr>
          <w:p w:rsidR="0078024E" w:rsidRDefault="0078024E" w:rsidP="0078024E">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78024E" w:rsidTr="00E727F2">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AARR</w:t>
            </w:r>
          </w:p>
        </w:tc>
        <w:tc>
          <w:tcPr>
            <w:tcW w:w="4621" w:type="dxa"/>
          </w:tcPr>
          <w:p w:rsidR="0078024E" w:rsidRDefault="0078024E" w:rsidP="0078024E">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78024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AEMC</w:t>
            </w:r>
          </w:p>
        </w:tc>
        <w:tc>
          <w:tcPr>
            <w:tcW w:w="4621" w:type="dxa"/>
          </w:tcPr>
          <w:p w:rsidR="0078024E" w:rsidRDefault="0078024E" w:rsidP="0078024E">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78024E" w:rsidTr="00E727F2">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AEMO</w:t>
            </w:r>
          </w:p>
        </w:tc>
        <w:tc>
          <w:tcPr>
            <w:tcW w:w="4621" w:type="dxa"/>
          </w:tcPr>
          <w:p w:rsidR="0078024E" w:rsidRDefault="0078024E" w:rsidP="0078024E">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78024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AER</w:t>
            </w:r>
          </w:p>
        </w:tc>
        <w:tc>
          <w:tcPr>
            <w:tcW w:w="4621" w:type="dxa"/>
          </w:tcPr>
          <w:p w:rsidR="0078024E" w:rsidRDefault="0078024E" w:rsidP="0078024E">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78024E" w:rsidTr="00E727F2">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ASRR</w:t>
            </w:r>
          </w:p>
        </w:tc>
        <w:tc>
          <w:tcPr>
            <w:tcW w:w="4621" w:type="dxa"/>
          </w:tcPr>
          <w:p w:rsidR="0078024E" w:rsidRDefault="0078024E" w:rsidP="0078024E">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78024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augex</w:t>
            </w:r>
          </w:p>
        </w:tc>
        <w:tc>
          <w:tcPr>
            <w:tcW w:w="4621" w:type="dxa"/>
          </w:tcPr>
          <w:p w:rsidR="0078024E" w:rsidRDefault="0078024E" w:rsidP="0078024E">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78024E" w:rsidTr="00E727F2">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capex</w:t>
            </w:r>
          </w:p>
        </w:tc>
        <w:tc>
          <w:tcPr>
            <w:tcW w:w="4621" w:type="dxa"/>
          </w:tcPr>
          <w:p w:rsidR="0078024E" w:rsidRDefault="0078024E" w:rsidP="0078024E">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78024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CCP</w:t>
            </w:r>
          </w:p>
        </w:tc>
        <w:tc>
          <w:tcPr>
            <w:tcW w:w="4621" w:type="dxa"/>
          </w:tcPr>
          <w:p w:rsidR="0078024E" w:rsidRDefault="0078024E" w:rsidP="0078024E">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78024E" w:rsidTr="00E727F2">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CESS</w:t>
            </w:r>
          </w:p>
        </w:tc>
        <w:tc>
          <w:tcPr>
            <w:tcW w:w="4621" w:type="dxa"/>
          </w:tcPr>
          <w:p w:rsidR="0078024E" w:rsidRDefault="0078024E" w:rsidP="0078024E">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78024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CPI</w:t>
            </w:r>
          </w:p>
        </w:tc>
        <w:tc>
          <w:tcPr>
            <w:tcW w:w="4621" w:type="dxa"/>
          </w:tcPr>
          <w:p w:rsidR="0078024E" w:rsidRDefault="0078024E" w:rsidP="0078024E">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78024E" w:rsidTr="00E727F2">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CPI-X</w:t>
            </w:r>
          </w:p>
        </w:tc>
        <w:tc>
          <w:tcPr>
            <w:tcW w:w="4621" w:type="dxa"/>
          </w:tcPr>
          <w:p w:rsidR="0078024E" w:rsidRDefault="0078024E" w:rsidP="0078024E">
            <w:pPr>
              <w:pStyle w:val="AERbodytext"/>
              <w:cnfStyle w:val="000000000000" w:firstRow="0" w:lastRow="0" w:firstColumn="0" w:lastColumn="0" w:oddVBand="0" w:evenVBand="0" w:oddHBand="0" w:evenHBand="0" w:firstRowFirstColumn="0" w:firstRowLastColumn="0" w:lastRowFirstColumn="0" w:lastRowLastColumn="0"/>
            </w:pPr>
            <w:r>
              <w:t>consumer price index minus X</w:t>
            </w:r>
          </w:p>
        </w:tc>
      </w:tr>
      <w:tr w:rsidR="0078024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DRP</w:t>
            </w:r>
          </w:p>
        </w:tc>
        <w:tc>
          <w:tcPr>
            <w:tcW w:w="4621" w:type="dxa"/>
          </w:tcPr>
          <w:p w:rsidR="0078024E" w:rsidRDefault="0078024E" w:rsidP="0078024E">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r w:rsidR="0078024E" w:rsidTr="00E727F2">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DMIA</w:t>
            </w:r>
          </w:p>
        </w:tc>
        <w:tc>
          <w:tcPr>
            <w:tcW w:w="4621" w:type="dxa"/>
          </w:tcPr>
          <w:p w:rsidR="0078024E" w:rsidRDefault="0078024E" w:rsidP="0078024E">
            <w:pPr>
              <w:pStyle w:val="AERbodytext"/>
              <w:cnfStyle w:val="000000000000" w:firstRow="0" w:lastRow="0" w:firstColumn="0" w:lastColumn="0" w:oddVBand="0" w:evenVBand="0" w:oddHBand="0" w:evenHBand="0" w:firstRowFirstColumn="0" w:firstRowLastColumn="0" w:lastRowFirstColumn="0" w:lastRowLastColumn="0"/>
            </w:pPr>
            <w:r>
              <w:t>demand management innovation allowance</w:t>
            </w:r>
          </w:p>
        </w:tc>
      </w:tr>
      <w:tr w:rsidR="0078024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DMIS</w:t>
            </w:r>
          </w:p>
        </w:tc>
        <w:tc>
          <w:tcPr>
            <w:tcW w:w="4621" w:type="dxa"/>
          </w:tcPr>
          <w:p w:rsidR="0078024E" w:rsidRDefault="0078024E" w:rsidP="0078024E">
            <w:pPr>
              <w:pStyle w:val="AERbodytext"/>
              <w:cnfStyle w:val="000000010000" w:firstRow="0" w:lastRow="0" w:firstColumn="0" w:lastColumn="0" w:oddVBand="0" w:evenVBand="0" w:oddHBand="0" w:evenHBand="1" w:firstRowFirstColumn="0" w:firstRowLastColumn="0" w:lastRowFirstColumn="0" w:lastRowLastColumn="0"/>
            </w:pPr>
            <w:r>
              <w:t>demand management incentive scheme</w:t>
            </w:r>
          </w:p>
        </w:tc>
      </w:tr>
      <w:tr w:rsidR="0078024E" w:rsidTr="00E727F2">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distributor</w:t>
            </w:r>
          </w:p>
        </w:tc>
        <w:tc>
          <w:tcPr>
            <w:tcW w:w="4621" w:type="dxa"/>
          </w:tcPr>
          <w:p w:rsidR="0078024E" w:rsidRDefault="0078024E" w:rsidP="0078024E">
            <w:pPr>
              <w:pStyle w:val="AERbodytext"/>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78024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DUoS</w:t>
            </w:r>
          </w:p>
        </w:tc>
        <w:tc>
          <w:tcPr>
            <w:tcW w:w="4621" w:type="dxa"/>
          </w:tcPr>
          <w:p w:rsidR="0078024E" w:rsidRDefault="0078024E" w:rsidP="0078024E">
            <w:pPr>
              <w:pStyle w:val="AERbodytext"/>
              <w:cnfStyle w:val="000000010000" w:firstRow="0" w:lastRow="0" w:firstColumn="0" w:lastColumn="0" w:oddVBand="0" w:evenVBand="0" w:oddHBand="0" w:evenHBand="1" w:firstRowFirstColumn="0" w:firstRowLastColumn="0" w:lastRowFirstColumn="0" w:lastRowLastColumn="0"/>
            </w:pPr>
            <w:r>
              <w:t>distribution use of system</w:t>
            </w:r>
          </w:p>
        </w:tc>
      </w:tr>
      <w:tr w:rsidR="0078024E" w:rsidTr="00E727F2">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EBSS</w:t>
            </w:r>
          </w:p>
        </w:tc>
        <w:tc>
          <w:tcPr>
            <w:tcW w:w="4621" w:type="dxa"/>
          </w:tcPr>
          <w:p w:rsidR="0078024E" w:rsidRDefault="0078024E" w:rsidP="0078024E">
            <w:pPr>
              <w:pStyle w:val="AERbodytext"/>
              <w:cnfStyle w:val="000000000000" w:firstRow="0" w:lastRow="0" w:firstColumn="0" w:lastColumn="0" w:oddVBand="0" w:evenVBand="0" w:oddHBand="0" w:evenHBand="0" w:firstRowFirstColumn="0" w:firstRowLastColumn="0" w:lastRowFirstColumn="0" w:lastRowLastColumn="0"/>
            </w:pPr>
            <w:r>
              <w:t>efficiency benefit sharing scheme</w:t>
            </w:r>
          </w:p>
        </w:tc>
      </w:tr>
      <w:tr w:rsidR="0078024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ERP</w:t>
            </w:r>
          </w:p>
        </w:tc>
        <w:tc>
          <w:tcPr>
            <w:tcW w:w="4621" w:type="dxa"/>
          </w:tcPr>
          <w:p w:rsidR="0078024E" w:rsidRDefault="0078024E" w:rsidP="0078024E">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78024E" w:rsidTr="00E727F2">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expenditure assessment guideline</w:t>
            </w:r>
          </w:p>
        </w:tc>
        <w:tc>
          <w:tcPr>
            <w:tcW w:w="4621" w:type="dxa"/>
          </w:tcPr>
          <w:p w:rsidR="0078024E" w:rsidRDefault="0078024E" w:rsidP="0078024E">
            <w:pPr>
              <w:pStyle w:val="AERbodytext"/>
              <w:cnfStyle w:val="000000000000" w:firstRow="0" w:lastRow="0" w:firstColumn="0" w:lastColumn="0" w:oddVBand="0" w:evenVBand="0" w:oddHBand="0" w:evenHBand="0" w:firstRowFirstColumn="0" w:firstRowLastColumn="0" w:lastRowFirstColumn="0" w:lastRowLastColumn="0"/>
            </w:pPr>
            <w:r>
              <w:t>expenditure forecast assessment guideline for electricity distribution</w:t>
            </w:r>
          </w:p>
        </w:tc>
      </w:tr>
      <w:tr w:rsidR="0078024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F&amp;A</w:t>
            </w:r>
          </w:p>
        </w:tc>
        <w:tc>
          <w:tcPr>
            <w:tcW w:w="4621" w:type="dxa"/>
          </w:tcPr>
          <w:p w:rsidR="0078024E" w:rsidRDefault="0078024E" w:rsidP="0078024E">
            <w:pPr>
              <w:pStyle w:val="AERbodytext"/>
              <w:cnfStyle w:val="000000010000" w:firstRow="0" w:lastRow="0" w:firstColumn="0" w:lastColumn="0" w:oddVBand="0" w:evenVBand="0" w:oddHBand="0" w:evenHBand="1" w:firstRowFirstColumn="0" w:firstRowLastColumn="0" w:lastRowFirstColumn="0" w:lastRowLastColumn="0"/>
            </w:pPr>
            <w:r>
              <w:t>framework and approach</w:t>
            </w:r>
          </w:p>
        </w:tc>
      </w:tr>
      <w:tr w:rsidR="0078024E" w:rsidTr="00E727F2">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MRP</w:t>
            </w:r>
          </w:p>
        </w:tc>
        <w:tc>
          <w:tcPr>
            <w:tcW w:w="4621" w:type="dxa"/>
          </w:tcPr>
          <w:p w:rsidR="0078024E" w:rsidRDefault="0078024E" w:rsidP="0078024E">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78024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lastRenderedPageBreak/>
              <w:t>NEL</w:t>
            </w:r>
          </w:p>
        </w:tc>
        <w:tc>
          <w:tcPr>
            <w:tcW w:w="4621" w:type="dxa"/>
          </w:tcPr>
          <w:p w:rsidR="0078024E" w:rsidRDefault="0078024E" w:rsidP="0078024E">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78024E" w:rsidTr="00E727F2">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NEM</w:t>
            </w:r>
          </w:p>
        </w:tc>
        <w:tc>
          <w:tcPr>
            <w:tcW w:w="4621" w:type="dxa"/>
          </w:tcPr>
          <w:p w:rsidR="0078024E" w:rsidRDefault="0078024E" w:rsidP="0078024E">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78024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NEO</w:t>
            </w:r>
          </w:p>
        </w:tc>
        <w:tc>
          <w:tcPr>
            <w:tcW w:w="4621" w:type="dxa"/>
          </w:tcPr>
          <w:p w:rsidR="0078024E" w:rsidRDefault="0078024E" w:rsidP="0078024E">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78024E" w:rsidTr="00E727F2">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NER</w:t>
            </w:r>
          </w:p>
        </w:tc>
        <w:tc>
          <w:tcPr>
            <w:tcW w:w="4621" w:type="dxa"/>
          </w:tcPr>
          <w:p w:rsidR="0078024E" w:rsidRDefault="0078024E" w:rsidP="0078024E">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78024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NSP</w:t>
            </w:r>
          </w:p>
        </w:tc>
        <w:tc>
          <w:tcPr>
            <w:tcW w:w="4621" w:type="dxa"/>
          </w:tcPr>
          <w:p w:rsidR="0078024E" w:rsidRDefault="0078024E" w:rsidP="0078024E">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78024E" w:rsidTr="00E727F2">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opex</w:t>
            </w:r>
          </w:p>
        </w:tc>
        <w:tc>
          <w:tcPr>
            <w:tcW w:w="4621" w:type="dxa"/>
          </w:tcPr>
          <w:p w:rsidR="0078024E" w:rsidRDefault="0078024E" w:rsidP="0078024E">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78024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PPI</w:t>
            </w:r>
          </w:p>
        </w:tc>
        <w:tc>
          <w:tcPr>
            <w:tcW w:w="4621" w:type="dxa"/>
          </w:tcPr>
          <w:p w:rsidR="0078024E" w:rsidRDefault="0078024E" w:rsidP="0078024E">
            <w:pPr>
              <w:pStyle w:val="AERbodytext"/>
              <w:cnfStyle w:val="000000010000" w:firstRow="0" w:lastRow="0" w:firstColumn="0" w:lastColumn="0" w:oddVBand="0" w:evenVBand="0" w:oddHBand="0" w:evenHBand="1" w:firstRowFirstColumn="0" w:firstRowLastColumn="0" w:lastRowFirstColumn="0" w:lastRowLastColumn="0"/>
            </w:pPr>
            <w:r>
              <w:t>partial performance indicators</w:t>
            </w:r>
          </w:p>
        </w:tc>
      </w:tr>
      <w:tr w:rsidR="0078024E" w:rsidTr="00E727F2">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PTRM</w:t>
            </w:r>
          </w:p>
        </w:tc>
        <w:tc>
          <w:tcPr>
            <w:tcW w:w="4621" w:type="dxa"/>
          </w:tcPr>
          <w:p w:rsidR="0078024E" w:rsidRDefault="0078024E" w:rsidP="0078024E">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78024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RAB</w:t>
            </w:r>
          </w:p>
        </w:tc>
        <w:tc>
          <w:tcPr>
            <w:tcW w:w="4621" w:type="dxa"/>
          </w:tcPr>
          <w:p w:rsidR="0078024E" w:rsidRDefault="0078024E" w:rsidP="0078024E">
            <w:pPr>
              <w:pStyle w:val="AERbodytext"/>
              <w:cnfStyle w:val="000000010000" w:firstRow="0" w:lastRow="0" w:firstColumn="0" w:lastColumn="0" w:oddVBand="0" w:evenVBand="0" w:oddHBand="0" w:evenHBand="1" w:firstRowFirstColumn="0" w:firstRowLastColumn="0" w:lastRowFirstColumn="0" w:lastRowLastColumn="0"/>
            </w:pPr>
            <w:r>
              <w:t>regulatory asset base</w:t>
            </w:r>
          </w:p>
        </w:tc>
      </w:tr>
      <w:tr w:rsidR="0078024E" w:rsidTr="00E727F2">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RBA</w:t>
            </w:r>
          </w:p>
        </w:tc>
        <w:tc>
          <w:tcPr>
            <w:tcW w:w="4621" w:type="dxa"/>
          </w:tcPr>
          <w:p w:rsidR="0078024E" w:rsidRDefault="0078024E" w:rsidP="0078024E">
            <w:pPr>
              <w:pStyle w:val="AERbodytext"/>
              <w:cnfStyle w:val="000000000000" w:firstRow="0" w:lastRow="0" w:firstColumn="0" w:lastColumn="0" w:oddVBand="0" w:evenVBand="0" w:oddHBand="0" w:evenHBand="0" w:firstRowFirstColumn="0" w:firstRowLastColumn="0" w:lastRowFirstColumn="0" w:lastRowLastColumn="0"/>
            </w:pPr>
            <w:r>
              <w:t>Reserve Bank of Australia</w:t>
            </w:r>
          </w:p>
        </w:tc>
      </w:tr>
      <w:tr w:rsidR="0078024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repex</w:t>
            </w:r>
          </w:p>
        </w:tc>
        <w:tc>
          <w:tcPr>
            <w:tcW w:w="4621" w:type="dxa"/>
          </w:tcPr>
          <w:p w:rsidR="0078024E" w:rsidRDefault="0078024E" w:rsidP="0078024E">
            <w:pPr>
              <w:pStyle w:val="AERbodytext"/>
              <w:cnfStyle w:val="000000010000" w:firstRow="0" w:lastRow="0" w:firstColumn="0" w:lastColumn="0" w:oddVBand="0" w:evenVBand="0" w:oddHBand="0" w:evenHBand="1" w:firstRowFirstColumn="0" w:firstRowLastColumn="0" w:lastRowFirstColumn="0" w:lastRowLastColumn="0"/>
            </w:pPr>
            <w:r>
              <w:t>replacement expenditure</w:t>
            </w:r>
          </w:p>
        </w:tc>
      </w:tr>
      <w:tr w:rsidR="0078024E" w:rsidTr="00E727F2">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RFM</w:t>
            </w:r>
          </w:p>
        </w:tc>
        <w:tc>
          <w:tcPr>
            <w:tcW w:w="4621" w:type="dxa"/>
          </w:tcPr>
          <w:p w:rsidR="0078024E" w:rsidRDefault="0078024E" w:rsidP="0078024E">
            <w:pPr>
              <w:pStyle w:val="AERbodytext"/>
              <w:cnfStyle w:val="000000000000" w:firstRow="0" w:lastRow="0" w:firstColumn="0" w:lastColumn="0" w:oddVBand="0" w:evenVBand="0" w:oddHBand="0" w:evenHBand="0" w:firstRowFirstColumn="0" w:firstRowLastColumn="0" w:lastRowFirstColumn="0" w:lastRowLastColumn="0"/>
            </w:pPr>
            <w:r>
              <w:t>roll forward model</w:t>
            </w:r>
          </w:p>
        </w:tc>
      </w:tr>
      <w:tr w:rsidR="0078024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RIN</w:t>
            </w:r>
          </w:p>
        </w:tc>
        <w:tc>
          <w:tcPr>
            <w:tcW w:w="4621" w:type="dxa"/>
          </w:tcPr>
          <w:p w:rsidR="0078024E" w:rsidRDefault="0078024E" w:rsidP="0078024E">
            <w:pPr>
              <w:pStyle w:val="AERbodytext"/>
              <w:cnfStyle w:val="000000010000" w:firstRow="0" w:lastRow="0" w:firstColumn="0" w:lastColumn="0" w:oddVBand="0" w:evenVBand="0" w:oddHBand="0" w:evenHBand="1" w:firstRowFirstColumn="0" w:firstRowLastColumn="0" w:lastRowFirstColumn="0" w:lastRowLastColumn="0"/>
            </w:pPr>
            <w:r>
              <w:t>regulatory information notice</w:t>
            </w:r>
          </w:p>
        </w:tc>
      </w:tr>
      <w:tr w:rsidR="0078024E" w:rsidTr="00E727F2">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RPP</w:t>
            </w:r>
          </w:p>
        </w:tc>
        <w:tc>
          <w:tcPr>
            <w:tcW w:w="4621" w:type="dxa"/>
          </w:tcPr>
          <w:p w:rsidR="0078024E" w:rsidRDefault="0078024E" w:rsidP="0078024E">
            <w:pPr>
              <w:pStyle w:val="AERbodytext"/>
              <w:cnfStyle w:val="000000000000" w:firstRow="0" w:lastRow="0" w:firstColumn="0" w:lastColumn="0" w:oddVBand="0" w:evenVBand="0" w:oddHBand="0" w:evenHBand="0" w:firstRowFirstColumn="0" w:firstRowLastColumn="0" w:lastRowFirstColumn="0" w:lastRowLastColumn="0"/>
            </w:pPr>
            <w:r>
              <w:t>revenue pricing principles</w:t>
            </w:r>
          </w:p>
        </w:tc>
      </w:tr>
      <w:tr w:rsidR="0078024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SAIDI</w:t>
            </w:r>
          </w:p>
        </w:tc>
        <w:tc>
          <w:tcPr>
            <w:tcW w:w="4621" w:type="dxa"/>
          </w:tcPr>
          <w:p w:rsidR="0078024E" w:rsidRDefault="0078024E" w:rsidP="0078024E">
            <w:pPr>
              <w:pStyle w:val="AERbodytext"/>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78024E" w:rsidTr="00E727F2">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SAIFI</w:t>
            </w:r>
          </w:p>
        </w:tc>
        <w:tc>
          <w:tcPr>
            <w:tcW w:w="4621" w:type="dxa"/>
          </w:tcPr>
          <w:p w:rsidR="0078024E" w:rsidRDefault="0078024E" w:rsidP="0078024E">
            <w:pPr>
              <w:pStyle w:val="AERbodytext"/>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78024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SLCAPM</w:t>
            </w:r>
          </w:p>
        </w:tc>
        <w:tc>
          <w:tcPr>
            <w:tcW w:w="4621" w:type="dxa"/>
          </w:tcPr>
          <w:p w:rsidR="0078024E" w:rsidRDefault="0078024E" w:rsidP="0078024E">
            <w:pPr>
              <w:pStyle w:val="AERbodytext"/>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78024E" w:rsidTr="00E727F2">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STPIS</w:t>
            </w:r>
          </w:p>
        </w:tc>
        <w:tc>
          <w:tcPr>
            <w:tcW w:w="4621" w:type="dxa"/>
          </w:tcPr>
          <w:p w:rsidR="0078024E" w:rsidRDefault="0078024E" w:rsidP="0078024E">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78024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024E" w:rsidRDefault="0078024E" w:rsidP="0078024E">
            <w:pPr>
              <w:pStyle w:val="AERbodytext"/>
            </w:pPr>
            <w:r>
              <w:t>WACC</w:t>
            </w:r>
          </w:p>
        </w:tc>
        <w:tc>
          <w:tcPr>
            <w:tcW w:w="4621" w:type="dxa"/>
          </w:tcPr>
          <w:p w:rsidR="0078024E" w:rsidRDefault="0078024E" w:rsidP="0078024E">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78024E" w:rsidRPr="00271F7C" w:rsidRDefault="0078024E" w:rsidP="0078024E">
      <w:pPr>
        <w:pStyle w:val="AERbodytext"/>
      </w:pPr>
    </w:p>
    <w:p w:rsidR="0078024E" w:rsidRPr="0078024E" w:rsidRDefault="0078024E" w:rsidP="0078024E">
      <w:pPr>
        <w:pStyle w:val="AERbodytext"/>
      </w:pPr>
    </w:p>
    <w:p w:rsidR="0028673E" w:rsidRDefault="0028673E" w:rsidP="0078024E">
      <w:pPr>
        <w:pStyle w:val="Heading1"/>
        <w:numPr>
          <w:ilvl w:val="1"/>
          <w:numId w:val="45"/>
        </w:numPr>
      </w:pPr>
      <w:bookmarkStart w:id="10" w:name="_Toc404363758"/>
      <w:r>
        <w:lastRenderedPageBreak/>
        <w:t>Efficiency benefit sharing scheme</w:t>
      </w:r>
      <w:bookmarkEnd w:id="0"/>
      <w:bookmarkEnd w:id="10"/>
    </w:p>
    <w:p w:rsidR="000C2EF1" w:rsidRPr="000C2EF1" w:rsidRDefault="00BD6729" w:rsidP="000C2EF1">
      <w:pPr>
        <w:rPr>
          <w:rStyle w:val="AERbody"/>
        </w:rPr>
      </w:pPr>
      <w:bookmarkStart w:id="11" w:name="_Toc387916851"/>
      <w:r w:rsidRPr="00BD6729">
        <w:rPr>
          <w:rStyle w:val="AERbody"/>
        </w:rPr>
        <w:t>The efficiency benefit sharing scheme (EBSS) provides a</w:t>
      </w:r>
      <w:r w:rsidR="005A4EBB">
        <w:rPr>
          <w:rStyle w:val="AERbody"/>
        </w:rPr>
        <w:t xml:space="preserve">n additional </w:t>
      </w:r>
      <w:r w:rsidRPr="00BD6729">
        <w:rPr>
          <w:rStyle w:val="AERbody"/>
        </w:rPr>
        <w:t xml:space="preserve">incentive for </w:t>
      </w:r>
      <w:r w:rsidR="004932D2">
        <w:rPr>
          <w:rStyle w:val="AERbody"/>
        </w:rPr>
        <w:t>service providers</w:t>
      </w:r>
      <w:r w:rsidR="004932D2" w:rsidRPr="00BD6729">
        <w:rPr>
          <w:rStyle w:val="AERbody"/>
        </w:rPr>
        <w:t xml:space="preserve"> </w:t>
      </w:r>
      <w:r w:rsidRPr="00BD6729">
        <w:rPr>
          <w:rStyle w:val="AERbody"/>
        </w:rPr>
        <w:t>to pursue efficiency improve</w:t>
      </w:r>
      <w:r>
        <w:rPr>
          <w:rStyle w:val="AERbody"/>
        </w:rPr>
        <w:t>ments in ope</w:t>
      </w:r>
      <w:r w:rsidR="00301110">
        <w:rPr>
          <w:rStyle w:val="AERbody"/>
        </w:rPr>
        <w:t>x</w:t>
      </w:r>
      <w:r>
        <w:rPr>
          <w:rStyle w:val="AERbody"/>
        </w:rPr>
        <w:t>.</w:t>
      </w:r>
      <w:r w:rsidR="000C2EF1" w:rsidRPr="000C2EF1">
        <w:rPr>
          <w:rStyle w:val="AERbody"/>
        </w:rPr>
        <w:t xml:space="preserve"> </w:t>
      </w:r>
    </w:p>
    <w:p w:rsidR="000C2EF1" w:rsidRPr="000C2EF1" w:rsidRDefault="000C2EF1" w:rsidP="000C2EF1">
      <w:pPr>
        <w:rPr>
          <w:rStyle w:val="AERbody"/>
        </w:rPr>
      </w:pPr>
      <w:r w:rsidRPr="000C2EF1">
        <w:rPr>
          <w:rStyle w:val="AERbody"/>
        </w:rPr>
        <w:t xml:space="preserve">To encourage a </w:t>
      </w:r>
      <w:r w:rsidR="0089591C">
        <w:rPr>
          <w:rStyle w:val="AERbody"/>
        </w:rPr>
        <w:t>service provider</w:t>
      </w:r>
      <w:r w:rsidRPr="000C2EF1">
        <w:rPr>
          <w:rStyle w:val="AERbody"/>
        </w:rPr>
        <w:t xml:space="preserve"> to become more efficient it is allowed to keep any </w:t>
      </w:r>
      <w:r w:rsidR="006D4631">
        <w:t>difference between its approved forecast and its actual opex during</w:t>
      </w:r>
      <w:r w:rsidRPr="000C2EF1">
        <w:rPr>
          <w:rStyle w:val="AERbody"/>
        </w:rPr>
        <w:t xml:space="preserve"> a regulatory control period. This is supplemented by the EBSS which provides the </w:t>
      </w:r>
      <w:r w:rsidR="0089591C">
        <w:rPr>
          <w:rStyle w:val="AERbody"/>
        </w:rPr>
        <w:t>service provider</w:t>
      </w:r>
      <w:r w:rsidRPr="000C2EF1">
        <w:rPr>
          <w:rStyle w:val="AERbody"/>
        </w:rPr>
        <w:t xml:space="preserve"> with an additional reward for reductions in opex it makes and </w:t>
      </w:r>
      <w:r w:rsidR="00EC3AA1">
        <w:rPr>
          <w:rStyle w:val="AERbody"/>
        </w:rPr>
        <w:t>additional penalties for in</w:t>
      </w:r>
      <w:r w:rsidRPr="000C2EF1">
        <w:rPr>
          <w:rStyle w:val="AERbody"/>
        </w:rPr>
        <w:t xml:space="preserve">creases in opex. In total these rewards and penalties work together to provide a constant incentive for a </w:t>
      </w:r>
      <w:r w:rsidR="0089591C">
        <w:rPr>
          <w:rStyle w:val="AERbody"/>
        </w:rPr>
        <w:t>service provider</w:t>
      </w:r>
      <w:r w:rsidRPr="000C2EF1">
        <w:rPr>
          <w:rStyle w:val="AERbody"/>
        </w:rPr>
        <w:t xml:space="preserve"> to pursue efficiency gains over the regulatory control period. The EBSS also discourages a </w:t>
      </w:r>
      <w:r w:rsidR="0089591C">
        <w:rPr>
          <w:rStyle w:val="AERbody"/>
        </w:rPr>
        <w:t>service provider</w:t>
      </w:r>
      <w:r w:rsidRPr="000C2EF1">
        <w:rPr>
          <w:rStyle w:val="AERbody"/>
        </w:rPr>
        <w:t xml:space="preserve"> from </w:t>
      </w:r>
      <w:r w:rsidR="006D4631">
        <w:t xml:space="preserve">incurring opex </w:t>
      </w:r>
      <w:r w:rsidRPr="000C2EF1">
        <w:rPr>
          <w:rStyle w:val="AERbody"/>
        </w:rPr>
        <w:t>in the expected base year in order to receive a higher opex allowance in the following regulatory control period.</w:t>
      </w:r>
    </w:p>
    <w:p w:rsidR="0089591C" w:rsidRPr="000C2EF1" w:rsidRDefault="000C2EF1" w:rsidP="000C2EF1">
      <w:pPr>
        <w:rPr>
          <w:rStyle w:val="AERbody"/>
        </w:rPr>
      </w:pPr>
      <w:r w:rsidRPr="000C2EF1">
        <w:rPr>
          <w:rStyle w:val="AERbody"/>
        </w:rPr>
        <w:t xml:space="preserve">During the 2009–14 regulatory control period </w:t>
      </w:r>
      <w:r w:rsidR="0089591C">
        <w:rPr>
          <w:rStyle w:val="AERbody"/>
        </w:rPr>
        <w:t>Ausgrid</w:t>
      </w:r>
      <w:r w:rsidRPr="000C2EF1">
        <w:rPr>
          <w:rStyle w:val="AERbody"/>
        </w:rPr>
        <w:t xml:space="preserve"> operated under the </w:t>
      </w:r>
      <w:r w:rsidRPr="009120D0">
        <w:t xml:space="preserve">EBSS </w:t>
      </w:r>
      <w:r w:rsidR="006F0324" w:rsidRPr="009120D0">
        <w:t>for the ACT and NSW 2009 distribution determinations</w:t>
      </w:r>
      <w:r w:rsidR="006F0324">
        <w:rPr>
          <w:rStyle w:val="AERbody"/>
        </w:rPr>
        <w:t xml:space="preserve">, </w:t>
      </w:r>
      <w:r w:rsidRPr="000C2EF1">
        <w:rPr>
          <w:rStyle w:val="AERbody"/>
        </w:rPr>
        <w:t xml:space="preserve">which was </w:t>
      </w:r>
      <w:r w:rsidR="0089591C">
        <w:rPr>
          <w:rStyle w:val="AERbody"/>
        </w:rPr>
        <w:t>released in February 2008</w:t>
      </w:r>
      <w:r w:rsidRPr="000C2EF1">
        <w:rPr>
          <w:rStyle w:val="AERbody"/>
        </w:rPr>
        <w:t>.</w:t>
      </w:r>
      <w:r w:rsidR="006F0324">
        <w:rPr>
          <w:rStyle w:val="FootnoteReference"/>
        </w:rPr>
        <w:footnoteReference w:id="1"/>
      </w:r>
      <w:r w:rsidRPr="000C2EF1">
        <w:rPr>
          <w:rStyle w:val="AERbody"/>
        </w:rPr>
        <w:t xml:space="preserve">  </w:t>
      </w:r>
    </w:p>
    <w:p w:rsidR="0028673E" w:rsidRDefault="0028673E" w:rsidP="000C2EF1">
      <w:pPr>
        <w:pStyle w:val="Heading2"/>
      </w:pPr>
      <w:bookmarkStart w:id="12" w:name="_Toc404363759"/>
      <w:r>
        <w:t>D</w:t>
      </w:r>
      <w:r w:rsidRPr="00525604">
        <w:t>raft decision</w:t>
      </w:r>
      <w:bookmarkEnd w:id="11"/>
      <w:bookmarkEnd w:id="12"/>
    </w:p>
    <w:p w:rsidR="006F0324" w:rsidRDefault="006F0324" w:rsidP="00327E47">
      <w:pPr>
        <w:pStyle w:val="AERbodytext"/>
      </w:pPr>
      <w:bookmarkStart w:id="13" w:name="_Toc387916852"/>
      <w:r>
        <w:t>We are not</w:t>
      </w:r>
      <w:r w:rsidRPr="00BD4587">
        <w:t xml:space="preserve"> satisfied </w:t>
      </w:r>
      <w:r>
        <w:t xml:space="preserve">Ausgrid's </w:t>
      </w:r>
      <w:r w:rsidRPr="00BD4587">
        <w:t>proposed EBSS carryover amounts comply with the requirements in the EBSS</w:t>
      </w:r>
      <w:r w:rsidR="00403B7F">
        <w:t xml:space="preserve"> Ausgrid </w:t>
      </w:r>
      <w:r w:rsidR="004932D2">
        <w:t xml:space="preserve">operated under </w:t>
      </w:r>
      <w:r w:rsidR="00403B7F">
        <w:t>during the 2009–14 regulatory control period</w:t>
      </w:r>
      <w:r w:rsidRPr="00BD4587">
        <w:t xml:space="preserve">. </w:t>
      </w:r>
      <w:r w:rsidR="00D736F9">
        <w:t>The difference between our calculation</w:t>
      </w:r>
      <w:r w:rsidR="006005CE">
        <w:t>s</w:t>
      </w:r>
      <w:r w:rsidR="00D736F9">
        <w:t xml:space="preserve"> of the EBSS carryover amounts</w:t>
      </w:r>
      <w:r w:rsidR="00327E47">
        <w:t xml:space="preserve"> and Ausgrid's proposal</w:t>
      </w:r>
      <w:r w:rsidR="00D736F9">
        <w:t xml:space="preserve"> </w:t>
      </w:r>
      <w:r w:rsidR="000421BA">
        <w:t xml:space="preserve">is </w:t>
      </w:r>
      <w:r w:rsidR="00327E47">
        <w:t>due to the</w:t>
      </w:r>
      <w:r w:rsidR="000E058D">
        <w:t xml:space="preserve"> </w:t>
      </w:r>
      <w:r w:rsidR="000421BA">
        <w:t>treatment of expenditure recorded as a provision.</w:t>
      </w:r>
      <w:r w:rsidR="00327E47">
        <w:t xml:space="preserve"> Our draft decision for the </w:t>
      </w:r>
      <w:r w:rsidR="00327E47" w:rsidRPr="00327E47">
        <w:t xml:space="preserve">EBSS carryover amounts </w:t>
      </w:r>
      <w:r w:rsidR="00327E47">
        <w:t xml:space="preserve">from the </w:t>
      </w:r>
      <w:r w:rsidR="00327E47" w:rsidRPr="00BD4587">
        <w:t>2009–14 period</w:t>
      </w:r>
      <w:r w:rsidR="00327E47">
        <w:t xml:space="preserve"> is outlined in </w:t>
      </w:r>
      <w:r w:rsidR="000E058D">
        <w:t>t</w:t>
      </w:r>
      <w:r w:rsidR="00327E47">
        <w:t xml:space="preserve">able </w:t>
      </w:r>
      <w:r w:rsidR="009120D0">
        <w:t>9</w:t>
      </w:r>
      <w:r w:rsidR="00327E47">
        <w:t>.</w:t>
      </w:r>
      <w:r w:rsidR="00327E47" w:rsidRPr="006F0324">
        <w:fldChar w:fldCharType="begin"/>
      </w:r>
      <w:r w:rsidR="00327E47">
        <w:instrText xml:space="preserve"> SEQ Table \* ARABIC \s 1 </w:instrText>
      </w:r>
      <w:r w:rsidR="00327E47" w:rsidRPr="006F0324">
        <w:fldChar w:fldCharType="separate"/>
      </w:r>
      <w:r w:rsidR="00B92ABE">
        <w:rPr>
          <w:noProof/>
        </w:rPr>
        <w:t>1</w:t>
      </w:r>
      <w:r w:rsidR="00327E47" w:rsidRPr="006F0324">
        <w:fldChar w:fldCharType="end"/>
      </w:r>
      <w:r w:rsidR="00327E47">
        <w:t>.</w:t>
      </w:r>
    </w:p>
    <w:p w:rsidR="006F0324" w:rsidRDefault="006F0324" w:rsidP="006F0324">
      <w:pPr>
        <w:pStyle w:val="Caption"/>
      </w:pPr>
      <w:bookmarkStart w:id="14" w:name="_Ref387739423"/>
      <w:r>
        <w:t xml:space="preserve">Table </w:t>
      </w:r>
      <w:r w:rsidR="009120D0">
        <w:t>9-</w:t>
      </w:r>
      <w:r w:rsidRPr="006F0324">
        <w:fldChar w:fldCharType="begin"/>
      </w:r>
      <w:r>
        <w:instrText xml:space="preserve"> SEQ Table \* ARABIC \s 1 </w:instrText>
      </w:r>
      <w:r w:rsidRPr="006F0324">
        <w:fldChar w:fldCharType="separate"/>
      </w:r>
      <w:r w:rsidRPr="006F0324">
        <w:rPr>
          <w:noProof/>
        </w:rPr>
        <w:t>1</w:t>
      </w:r>
      <w:r w:rsidRPr="006F0324">
        <w:fldChar w:fldCharType="end"/>
      </w:r>
      <w:bookmarkEnd w:id="14"/>
      <w:r>
        <w:tab/>
        <w:t xml:space="preserve">AER’s draft </w:t>
      </w:r>
      <w:r w:rsidRPr="00A3346F">
        <w:t xml:space="preserve">decision on </w:t>
      </w:r>
      <w:r>
        <w:t>Ausgrid</w:t>
      </w:r>
      <w:r w:rsidRPr="00A3346F">
        <w:t xml:space="preserve">'s </w:t>
      </w:r>
      <w:r w:rsidR="001B1A22">
        <w:t xml:space="preserve">EBSS </w:t>
      </w:r>
      <w:r>
        <w:t>carryover amounts ($ million, 2013–14)</w:t>
      </w:r>
    </w:p>
    <w:tbl>
      <w:tblPr>
        <w:tblStyle w:val="AERtable-numbers"/>
        <w:tblW w:w="5000" w:type="pct"/>
        <w:tblLook w:val="04A0" w:firstRow="1" w:lastRow="0" w:firstColumn="1" w:lastColumn="0" w:noHBand="0" w:noVBand="1"/>
      </w:tblPr>
      <w:tblGrid>
        <w:gridCol w:w="2802"/>
        <w:gridCol w:w="1074"/>
        <w:gridCol w:w="1074"/>
        <w:gridCol w:w="1074"/>
        <w:gridCol w:w="1074"/>
        <w:gridCol w:w="1074"/>
        <w:gridCol w:w="1070"/>
      </w:tblGrid>
      <w:tr w:rsidR="006F0324" w:rsidTr="006F03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pct"/>
          </w:tcPr>
          <w:p w:rsidR="006F0324" w:rsidRDefault="006F0324" w:rsidP="006F0324">
            <w:pPr>
              <w:pStyle w:val="AERtabletextleft"/>
            </w:pPr>
          </w:p>
        </w:tc>
        <w:tc>
          <w:tcPr>
            <w:tcW w:w="581" w:type="pct"/>
          </w:tcPr>
          <w:p w:rsidR="006F0324" w:rsidRPr="006F0324" w:rsidRDefault="006F0324" w:rsidP="006F0324">
            <w:pPr>
              <w:pStyle w:val="AERtabletextright"/>
              <w:cnfStyle w:val="100000000000" w:firstRow="1" w:lastRow="0" w:firstColumn="0" w:lastColumn="0" w:oddVBand="0" w:evenVBand="0" w:oddHBand="0" w:evenHBand="0" w:firstRowFirstColumn="0" w:firstRowLastColumn="0" w:lastRowFirstColumn="0" w:lastRowLastColumn="0"/>
            </w:pPr>
            <w:r w:rsidRPr="005B7AD2">
              <w:t>2014</w:t>
            </w:r>
            <w:r w:rsidRPr="006F0324">
              <w:t>–15</w:t>
            </w:r>
          </w:p>
        </w:tc>
        <w:tc>
          <w:tcPr>
            <w:tcW w:w="581" w:type="pct"/>
          </w:tcPr>
          <w:p w:rsidR="006F0324" w:rsidRPr="006F0324" w:rsidRDefault="006F0324" w:rsidP="006F0324">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581" w:type="pct"/>
          </w:tcPr>
          <w:p w:rsidR="006F0324" w:rsidRPr="006F0324" w:rsidRDefault="006F0324" w:rsidP="006F0324">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581" w:type="pct"/>
          </w:tcPr>
          <w:p w:rsidR="006F0324" w:rsidRPr="006F0324" w:rsidRDefault="006F0324" w:rsidP="006F0324">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581" w:type="pct"/>
          </w:tcPr>
          <w:p w:rsidR="006F0324" w:rsidRDefault="006F0324" w:rsidP="006F0324">
            <w:pPr>
              <w:pStyle w:val="AERtabletextright"/>
              <w:cnfStyle w:val="100000000000" w:firstRow="1" w:lastRow="0" w:firstColumn="0" w:lastColumn="0" w:oddVBand="0" w:evenVBand="0" w:oddHBand="0" w:evenHBand="0" w:firstRowFirstColumn="0" w:firstRowLastColumn="0" w:lastRowFirstColumn="0" w:lastRowLastColumn="0"/>
            </w:pPr>
            <w:r>
              <w:t>2018–19</w:t>
            </w:r>
          </w:p>
        </w:tc>
        <w:tc>
          <w:tcPr>
            <w:tcW w:w="579" w:type="pct"/>
          </w:tcPr>
          <w:p w:rsidR="006F0324" w:rsidRPr="006F0324" w:rsidRDefault="006F0324" w:rsidP="006F0324">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6F0324" w:rsidTr="006F0324">
        <w:tc>
          <w:tcPr>
            <w:cnfStyle w:val="001000000000" w:firstRow="0" w:lastRow="0" w:firstColumn="1" w:lastColumn="0" w:oddVBand="0" w:evenVBand="0" w:oddHBand="0" w:evenHBand="0" w:firstRowFirstColumn="0" w:firstRowLastColumn="0" w:lastRowFirstColumn="0" w:lastRowLastColumn="0"/>
            <w:tcW w:w="1516" w:type="pct"/>
          </w:tcPr>
          <w:p w:rsidR="006F0324" w:rsidRPr="006F0324" w:rsidRDefault="006F0324" w:rsidP="006F0324">
            <w:pPr>
              <w:pStyle w:val="AERtabletextleft"/>
            </w:pPr>
            <w:r>
              <w:t>Ausgrid</w:t>
            </w:r>
            <w:r w:rsidRPr="006F0324">
              <w:t>'s proposed  carryover</w:t>
            </w:r>
            <w:r w:rsidR="00B92ABE">
              <w:t xml:space="preserve"> </w:t>
            </w:r>
          </w:p>
        </w:tc>
        <w:tc>
          <w:tcPr>
            <w:tcW w:w="581" w:type="pct"/>
          </w:tcPr>
          <w:p w:rsidR="006F0324" w:rsidRDefault="00C31352" w:rsidP="006F0324">
            <w:pPr>
              <w:pStyle w:val="AERtabletextright"/>
              <w:cnfStyle w:val="000000000000" w:firstRow="0" w:lastRow="0" w:firstColumn="0" w:lastColumn="0" w:oddVBand="0" w:evenVBand="0" w:oddHBand="0" w:evenHBand="0" w:firstRowFirstColumn="0" w:firstRowLastColumn="0" w:lastRowFirstColumn="0" w:lastRowLastColumn="0"/>
            </w:pPr>
            <w:r>
              <w:t>100.0</w:t>
            </w:r>
          </w:p>
        </w:tc>
        <w:tc>
          <w:tcPr>
            <w:tcW w:w="581" w:type="pct"/>
          </w:tcPr>
          <w:p w:rsidR="006F0324" w:rsidRDefault="00C31352" w:rsidP="006F0324">
            <w:pPr>
              <w:pStyle w:val="AERtabletextright"/>
              <w:cnfStyle w:val="000000000000" w:firstRow="0" w:lastRow="0" w:firstColumn="0" w:lastColumn="0" w:oddVBand="0" w:evenVBand="0" w:oddHBand="0" w:evenHBand="0" w:firstRowFirstColumn="0" w:firstRowLastColumn="0" w:lastRowFirstColumn="0" w:lastRowLastColumn="0"/>
            </w:pPr>
            <w:r>
              <w:t>109.2</w:t>
            </w:r>
          </w:p>
        </w:tc>
        <w:tc>
          <w:tcPr>
            <w:tcW w:w="581" w:type="pct"/>
          </w:tcPr>
          <w:p w:rsidR="006F0324" w:rsidRDefault="00C31352" w:rsidP="006F0324">
            <w:pPr>
              <w:pStyle w:val="AERtabletextright"/>
              <w:cnfStyle w:val="000000000000" w:firstRow="0" w:lastRow="0" w:firstColumn="0" w:lastColumn="0" w:oddVBand="0" w:evenVBand="0" w:oddHBand="0" w:evenHBand="0" w:firstRowFirstColumn="0" w:firstRowLastColumn="0" w:lastRowFirstColumn="0" w:lastRowLastColumn="0"/>
            </w:pPr>
            <w:r>
              <w:t>83.6</w:t>
            </w:r>
          </w:p>
        </w:tc>
        <w:tc>
          <w:tcPr>
            <w:tcW w:w="581" w:type="pct"/>
          </w:tcPr>
          <w:p w:rsidR="006F0324" w:rsidRDefault="00C31352" w:rsidP="006F0324">
            <w:pPr>
              <w:pStyle w:val="AERtabletextright"/>
              <w:cnfStyle w:val="000000000000" w:firstRow="0" w:lastRow="0" w:firstColumn="0" w:lastColumn="0" w:oddVBand="0" w:evenVBand="0" w:oddHBand="0" w:evenHBand="0" w:firstRowFirstColumn="0" w:firstRowLastColumn="0" w:lastRowFirstColumn="0" w:lastRowLastColumn="0"/>
            </w:pPr>
            <w:r>
              <w:t>134.6</w:t>
            </w:r>
          </w:p>
        </w:tc>
        <w:tc>
          <w:tcPr>
            <w:tcW w:w="581" w:type="pct"/>
          </w:tcPr>
          <w:p w:rsidR="006F0324" w:rsidRDefault="00C31352" w:rsidP="006F0324">
            <w:pPr>
              <w:pStyle w:val="AERtabletextright"/>
              <w:cnfStyle w:val="000000000000" w:firstRow="0" w:lastRow="0" w:firstColumn="0" w:lastColumn="0" w:oddVBand="0" w:evenVBand="0" w:oddHBand="0" w:evenHBand="0" w:firstRowFirstColumn="0" w:firstRowLastColumn="0" w:lastRowFirstColumn="0" w:lastRowLastColumn="0"/>
            </w:pPr>
            <w:r>
              <w:t>0.0</w:t>
            </w:r>
          </w:p>
        </w:tc>
        <w:tc>
          <w:tcPr>
            <w:tcW w:w="579" w:type="pct"/>
          </w:tcPr>
          <w:p w:rsidR="006F0324" w:rsidRDefault="00C31352" w:rsidP="006F0324">
            <w:pPr>
              <w:pStyle w:val="AERtabletextright"/>
              <w:cnfStyle w:val="000000000000" w:firstRow="0" w:lastRow="0" w:firstColumn="0" w:lastColumn="0" w:oddVBand="0" w:evenVBand="0" w:oddHBand="0" w:evenHBand="0" w:firstRowFirstColumn="0" w:firstRowLastColumn="0" w:lastRowFirstColumn="0" w:lastRowLastColumn="0"/>
            </w:pPr>
            <w:r>
              <w:t>427.5</w:t>
            </w:r>
          </w:p>
        </w:tc>
      </w:tr>
      <w:tr w:rsidR="006F0324" w:rsidTr="006F03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pct"/>
          </w:tcPr>
          <w:p w:rsidR="006F0324" w:rsidRPr="006F0324" w:rsidRDefault="00B92ABE" w:rsidP="006F0324">
            <w:pPr>
              <w:pStyle w:val="AERtabletextleft"/>
            </w:pPr>
            <w:r>
              <w:t>Draft decision</w:t>
            </w:r>
            <w:r w:rsidR="006F0324" w:rsidRPr="005B7AD2">
              <w:t xml:space="preserve"> </w:t>
            </w:r>
          </w:p>
        </w:tc>
        <w:tc>
          <w:tcPr>
            <w:tcW w:w="581" w:type="pct"/>
          </w:tcPr>
          <w:p w:rsidR="006F0324" w:rsidRDefault="00473B51" w:rsidP="006F0324">
            <w:pPr>
              <w:pStyle w:val="AERtabletextright"/>
              <w:cnfStyle w:val="000000010000" w:firstRow="0" w:lastRow="0" w:firstColumn="0" w:lastColumn="0" w:oddVBand="0" w:evenVBand="0" w:oddHBand="0" w:evenHBand="1" w:firstRowFirstColumn="0" w:firstRowLastColumn="0" w:lastRowFirstColumn="0" w:lastRowLastColumn="0"/>
            </w:pPr>
            <w:r>
              <w:t>83.9</w:t>
            </w:r>
          </w:p>
        </w:tc>
        <w:tc>
          <w:tcPr>
            <w:tcW w:w="581" w:type="pct"/>
          </w:tcPr>
          <w:p w:rsidR="006F0324" w:rsidRDefault="00473B51" w:rsidP="006F0324">
            <w:pPr>
              <w:pStyle w:val="AERtabletextright"/>
              <w:cnfStyle w:val="000000010000" w:firstRow="0" w:lastRow="0" w:firstColumn="0" w:lastColumn="0" w:oddVBand="0" w:evenVBand="0" w:oddHBand="0" w:evenHBand="1" w:firstRowFirstColumn="0" w:firstRowLastColumn="0" w:lastRowFirstColumn="0" w:lastRowLastColumn="0"/>
            </w:pPr>
            <w:r>
              <w:t>75.7</w:t>
            </w:r>
          </w:p>
        </w:tc>
        <w:tc>
          <w:tcPr>
            <w:tcW w:w="581" w:type="pct"/>
          </w:tcPr>
          <w:p w:rsidR="006F0324" w:rsidRDefault="00930583" w:rsidP="006F0324">
            <w:pPr>
              <w:pStyle w:val="AERtabletextright"/>
              <w:cnfStyle w:val="000000010000" w:firstRow="0" w:lastRow="0" w:firstColumn="0" w:lastColumn="0" w:oddVBand="0" w:evenVBand="0" w:oddHBand="0" w:evenHBand="1" w:firstRowFirstColumn="0" w:firstRowLastColumn="0" w:lastRowFirstColumn="0" w:lastRowLastColumn="0"/>
            </w:pPr>
            <w:r>
              <w:t>5</w:t>
            </w:r>
            <w:r w:rsidR="00473B51">
              <w:t>9</w:t>
            </w:r>
            <w:r>
              <w:t>.5</w:t>
            </w:r>
          </w:p>
        </w:tc>
        <w:tc>
          <w:tcPr>
            <w:tcW w:w="581" w:type="pct"/>
          </w:tcPr>
          <w:p w:rsidR="006F0324" w:rsidRDefault="00473B51" w:rsidP="006F0324">
            <w:pPr>
              <w:pStyle w:val="AERtabletextright"/>
              <w:cnfStyle w:val="000000010000" w:firstRow="0" w:lastRow="0" w:firstColumn="0" w:lastColumn="0" w:oddVBand="0" w:evenVBand="0" w:oddHBand="0" w:evenHBand="1" w:firstRowFirstColumn="0" w:firstRowLastColumn="0" w:lastRowFirstColumn="0" w:lastRowLastColumn="0"/>
            </w:pPr>
            <w:r>
              <w:t>41.2</w:t>
            </w:r>
          </w:p>
        </w:tc>
        <w:tc>
          <w:tcPr>
            <w:tcW w:w="581" w:type="pct"/>
          </w:tcPr>
          <w:p w:rsidR="006F0324" w:rsidRDefault="00930583" w:rsidP="006F0324">
            <w:pPr>
              <w:pStyle w:val="AERtabletextright"/>
              <w:cnfStyle w:val="000000010000" w:firstRow="0" w:lastRow="0" w:firstColumn="0" w:lastColumn="0" w:oddVBand="0" w:evenVBand="0" w:oddHBand="0" w:evenHBand="1" w:firstRowFirstColumn="0" w:firstRowLastColumn="0" w:lastRowFirstColumn="0" w:lastRowLastColumn="0"/>
            </w:pPr>
            <w:r>
              <w:t>0.0</w:t>
            </w:r>
          </w:p>
        </w:tc>
        <w:tc>
          <w:tcPr>
            <w:tcW w:w="579" w:type="pct"/>
          </w:tcPr>
          <w:p w:rsidR="006F0324" w:rsidRDefault="00473B51" w:rsidP="006F0324">
            <w:pPr>
              <w:pStyle w:val="AERtabletextright"/>
              <w:cnfStyle w:val="000000010000" w:firstRow="0" w:lastRow="0" w:firstColumn="0" w:lastColumn="0" w:oddVBand="0" w:evenVBand="0" w:oddHBand="0" w:evenHBand="1" w:firstRowFirstColumn="0" w:firstRowLastColumn="0" w:lastRowFirstColumn="0" w:lastRowLastColumn="0"/>
            </w:pPr>
            <w:r>
              <w:t>260.3</w:t>
            </w:r>
          </w:p>
        </w:tc>
      </w:tr>
    </w:tbl>
    <w:p w:rsidR="006F0324" w:rsidRDefault="00C31352" w:rsidP="00C31352">
      <w:pPr>
        <w:pStyle w:val="AERtablesource"/>
      </w:pPr>
      <w:r>
        <w:t>Source:</w:t>
      </w:r>
      <w:r>
        <w:tab/>
      </w:r>
      <w:r w:rsidRPr="00C31352">
        <w:rPr>
          <w:rStyle w:val="AERtextitalic"/>
        </w:rPr>
        <w:t>Ausgrid, RIN template response</w:t>
      </w:r>
      <w:r>
        <w:t>, table 7.51.</w:t>
      </w:r>
      <w:r w:rsidR="00547EDD">
        <w:rPr>
          <w:rStyle w:val="FootnoteReference"/>
        </w:rPr>
        <w:footnoteReference w:id="2"/>
      </w:r>
    </w:p>
    <w:p w:rsidR="006F0324" w:rsidRDefault="003576C2" w:rsidP="006F0324">
      <w:pPr>
        <w:pStyle w:val="AERbodytext"/>
        <w:numPr>
          <w:ilvl w:val="0"/>
          <w:numId w:val="0"/>
        </w:numPr>
      </w:pPr>
      <w:r>
        <w:t xml:space="preserve">As </w:t>
      </w:r>
      <w:r w:rsidRPr="003576C2">
        <w:t>it is uncertain whether</w:t>
      </w:r>
      <w:r>
        <w:t>,</w:t>
      </w:r>
      <w:r w:rsidRPr="003576C2">
        <w:t xml:space="preserve"> and to what extent</w:t>
      </w:r>
      <w:r>
        <w:t>,</w:t>
      </w:r>
      <w:r w:rsidRPr="003576C2">
        <w:t xml:space="preserve"> we are likely to rely on Ausgr</w:t>
      </w:r>
      <w:r w:rsidR="003C7A61">
        <w:t>id's revealed costs in the 2014–</w:t>
      </w:r>
      <w:r w:rsidRPr="003576C2">
        <w:t xml:space="preserve">19 period in forecasting </w:t>
      </w:r>
      <w:r w:rsidR="00301110">
        <w:t xml:space="preserve">Ausgrid's efficient </w:t>
      </w:r>
      <w:r w:rsidRPr="003576C2">
        <w:t xml:space="preserve">opex in the </w:t>
      </w:r>
      <w:r w:rsidR="00E13047">
        <w:t>future</w:t>
      </w:r>
      <w:r w:rsidR="002C3FA3" w:rsidRPr="002C3FA3">
        <w:t xml:space="preserve">, </w:t>
      </w:r>
      <w:r w:rsidR="002C3FA3">
        <w:t xml:space="preserve">our draft decision is that </w:t>
      </w:r>
      <w:r w:rsidR="002C3FA3" w:rsidRPr="002C3FA3">
        <w:t>no expenditure will be subject to the EBSS during the 2015</w:t>
      </w:r>
      <w:r w:rsidR="00E300B6">
        <w:t>–</w:t>
      </w:r>
      <w:r w:rsidR="002C3FA3" w:rsidRPr="002C3FA3">
        <w:t>19 regulatory control period.</w:t>
      </w:r>
      <w:r w:rsidR="004932D2">
        <w:rPr>
          <w:rStyle w:val="FootnoteReference"/>
        </w:rPr>
        <w:footnoteReference w:id="3"/>
      </w:r>
      <w:r w:rsidR="002C3FA3" w:rsidRPr="002C3FA3">
        <w:t xml:space="preserve"> </w:t>
      </w:r>
    </w:p>
    <w:p w:rsidR="0028673E" w:rsidRPr="00415D2F" w:rsidRDefault="000421BA" w:rsidP="00415D2F">
      <w:pPr>
        <w:pStyle w:val="Heading2"/>
      </w:pPr>
      <w:bookmarkStart w:id="15" w:name="_Toc404363760"/>
      <w:r>
        <w:t>P</w:t>
      </w:r>
      <w:r w:rsidR="0028673E" w:rsidRPr="00415D2F">
        <w:t>roposal</w:t>
      </w:r>
      <w:bookmarkEnd w:id="13"/>
      <w:bookmarkEnd w:id="15"/>
    </w:p>
    <w:p w:rsidR="00120DC0" w:rsidRDefault="00120DC0" w:rsidP="00120DC0">
      <w:pPr>
        <w:pStyle w:val="HeadingBoldBlue"/>
      </w:pPr>
      <w:r>
        <w:t>Carryover amounts accrued during the 2009</w:t>
      </w:r>
      <w:r w:rsidRPr="00D06BEA">
        <w:t>–14 regulatory control period</w:t>
      </w:r>
    </w:p>
    <w:p w:rsidR="000D2D10" w:rsidRDefault="000D2D10" w:rsidP="005B746E">
      <w:pPr>
        <w:pStyle w:val="AERbodytext"/>
        <w:numPr>
          <w:ilvl w:val="0"/>
          <w:numId w:val="0"/>
        </w:numPr>
      </w:pPr>
      <w:r>
        <w:t>Ausgrid</w:t>
      </w:r>
      <w:r w:rsidRPr="000D2D10">
        <w:t xml:space="preserve"> </w:t>
      </w:r>
      <w:r w:rsidR="000421BA">
        <w:t>pro</w:t>
      </w:r>
      <w:r w:rsidR="008C1A7B">
        <w:t>p</w:t>
      </w:r>
      <w:r w:rsidR="000421BA">
        <w:t>osed</w:t>
      </w:r>
      <w:r w:rsidRPr="000D2D10">
        <w:t xml:space="preserve"> </w:t>
      </w:r>
      <w:r w:rsidR="00FB2ADB">
        <w:t>a total</w:t>
      </w:r>
      <w:r w:rsidR="000421BA">
        <w:t xml:space="preserve"> EBSS carryover </w:t>
      </w:r>
      <w:r w:rsidR="00327E47">
        <w:t xml:space="preserve">amount </w:t>
      </w:r>
      <w:r w:rsidR="00FB2ADB">
        <w:t>of $427.5 million</w:t>
      </w:r>
      <w:r w:rsidR="00D41128">
        <w:t xml:space="preserve"> ($2013–14)</w:t>
      </w:r>
      <w:r w:rsidR="000421BA">
        <w:t xml:space="preserve"> </w:t>
      </w:r>
      <w:r w:rsidR="00DD6380">
        <w:t>be added to its regulated revenue in the 2014–19 period</w:t>
      </w:r>
      <w:r w:rsidR="00DD6380" w:rsidRPr="00DD6380">
        <w:t xml:space="preserve"> </w:t>
      </w:r>
      <w:r w:rsidR="00DD6380">
        <w:t xml:space="preserve">arising </w:t>
      </w:r>
      <w:r w:rsidR="000421BA">
        <w:t xml:space="preserve">from </w:t>
      </w:r>
      <w:r w:rsidR="00FB2ADB">
        <w:t xml:space="preserve">the application of the EBSS in </w:t>
      </w:r>
      <w:r w:rsidR="000421BA">
        <w:t xml:space="preserve">the </w:t>
      </w:r>
      <w:r w:rsidR="000421BA" w:rsidRPr="000D2D10">
        <w:t xml:space="preserve">2009–14 </w:t>
      </w:r>
      <w:r w:rsidR="00CA5234">
        <w:t xml:space="preserve">regulatory control </w:t>
      </w:r>
      <w:r w:rsidR="000421BA" w:rsidRPr="000D2D10">
        <w:t>period</w:t>
      </w:r>
      <w:r w:rsidRPr="000D2D10">
        <w:t>.</w:t>
      </w:r>
      <w:r w:rsidR="00F743BA">
        <w:rPr>
          <w:rStyle w:val="FootnoteReference"/>
        </w:rPr>
        <w:footnoteReference w:id="4"/>
      </w:r>
    </w:p>
    <w:p w:rsidR="00120DC0" w:rsidRPr="00D06BEA" w:rsidRDefault="00120DC0" w:rsidP="00120DC0">
      <w:pPr>
        <w:pStyle w:val="HeadingBoldBlue"/>
      </w:pPr>
      <w:r w:rsidRPr="00D06BEA">
        <w:lastRenderedPageBreak/>
        <w:t>Ap</w:t>
      </w:r>
      <w:r>
        <w:t xml:space="preserve">plication of </w:t>
      </w:r>
      <w:r w:rsidR="001C7F3E">
        <w:t>the EBSS in the 2015</w:t>
      </w:r>
      <w:r>
        <w:t>–19</w:t>
      </w:r>
      <w:r w:rsidR="001C7F3E">
        <w:t xml:space="preserve"> regulatory control</w:t>
      </w:r>
      <w:r>
        <w:t xml:space="preserve"> period</w:t>
      </w:r>
    </w:p>
    <w:p w:rsidR="00120DC0" w:rsidRDefault="00AE5D36" w:rsidP="00120DC0">
      <w:pPr>
        <w:pStyle w:val="AERbodytext"/>
        <w:numPr>
          <w:ilvl w:val="0"/>
          <w:numId w:val="0"/>
        </w:numPr>
      </w:pPr>
      <w:r>
        <w:t xml:space="preserve">Ausgrid proposed that version </w:t>
      </w:r>
      <w:r w:rsidR="006005CE">
        <w:t>two</w:t>
      </w:r>
      <w:r>
        <w:t xml:space="preserve"> of the EBSS </w:t>
      </w:r>
      <w:r w:rsidR="00CA5234">
        <w:t xml:space="preserve">should be applied </w:t>
      </w:r>
      <w:r>
        <w:t xml:space="preserve">in the </w:t>
      </w:r>
      <w:r w:rsidR="001C7F3E">
        <w:t>2015</w:t>
      </w:r>
      <w:r>
        <w:t>–19</w:t>
      </w:r>
      <w:r w:rsidR="001C7F3E">
        <w:t xml:space="preserve"> regulatory control</w:t>
      </w:r>
      <w:r>
        <w:t xml:space="preserve"> period </w:t>
      </w:r>
      <w:r w:rsidR="00CA5234">
        <w:t xml:space="preserve">with a modification. It proposed that </w:t>
      </w:r>
      <w:r>
        <w:t xml:space="preserve">actual opex should be adjusted for actual actuarial assessment for long service leave obligations. </w:t>
      </w:r>
      <w:r w:rsidR="00F743BA">
        <w:t>It did not propose any other adjustments.</w:t>
      </w:r>
      <w:r w:rsidR="00F743BA">
        <w:rPr>
          <w:rStyle w:val="FootnoteReference"/>
        </w:rPr>
        <w:footnoteReference w:id="5"/>
      </w:r>
      <w:r w:rsidR="00F743BA">
        <w:t xml:space="preserve"> </w:t>
      </w:r>
    </w:p>
    <w:p w:rsidR="0028673E" w:rsidRPr="00415D2F" w:rsidRDefault="002547A4" w:rsidP="00415D2F">
      <w:pPr>
        <w:pStyle w:val="Heading2"/>
      </w:pPr>
      <w:bookmarkStart w:id="16" w:name="_Toc387916853"/>
      <w:bookmarkStart w:id="17" w:name="_Toc404363761"/>
      <w:r>
        <w:t>A</w:t>
      </w:r>
      <w:r w:rsidR="0028673E" w:rsidRPr="00415D2F">
        <w:t>ssessment approach</w:t>
      </w:r>
      <w:bookmarkEnd w:id="16"/>
      <w:bookmarkEnd w:id="17"/>
    </w:p>
    <w:p w:rsidR="008C1A7B" w:rsidRPr="002D16B9" w:rsidRDefault="008C1A7B" w:rsidP="008C1A7B">
      <w:pPr>
        <w:pStyle w:val="AERbodytext"/>
      </w:pPr>
      <w:bookmarkStart w:id="18" w:name="_Toc387916854"/>
      <w:r>
        <w:t>Under t</w:t>
      </w:r>
      <w:r w:rsidRPr="002D16B9">
        <w:t xml:space="preserve">he National Electricity Rules (NER) </w:t>
      </w:r>
      <w:r>
        <w:t xml:space="preserve">we must </w:t>
      </w:r>
      <w:r w:rsidRPr="002D16B9">
        <w:t xml:space="preserve">decide: </w:t>
      </w:r>
    </w:p>
    <w:p w:rsidR="008C1A7B" w:rsidRPr="002D16B9" w:rsidRDefault="008C1A7B" w:rsidP="008C1A7B">
      <w:pPr>
        <w:pStyle w:val="AERnumberedlistfirststyle"/>
      </w:pPr>
      <w:r w:rsidRPr="002D16B9">
        <w:t xml:space="preserve">the </w:t>
      </w:r>
      <w:r w:rsidRPr="00061D4E">
        <w:t xml:space="preserve">revenue increments or decrements (if any) for each regulatory year </w:t>
      </w:r>
      <w:r w:rsidR="001F1261">
        <w:t xml:space="preserve">of the 2014–19 period </w:t>
      </w:r>
      <w:r w:rsidRPr="00061D4E">
        <w:t xml:space="preserve">arising from the application of the EBSS during the </w:t>
      </w:r>
      <w:r>
        <w:t>20</w:t>
      </w:r>
      <w:r w:rsidR="001F1261">
        <w:t>09</w:t>
      </w:r>
      <w:r w:rsidR="00DD6380">
        <w:t>–</w:t>
      </w:r>
      <w:r>
        <w:t>1</w:t>
      </w:r>
      <w:r w:rsidR="001F1261">
        <w:t>4</w:t>
      </w:r>
      <w:r w:rsidRPr="00061D4E">
        <w:t xml:space="preserve"> </w:t>
      </w:r>
      <w:r w:rsidR="00766F72">
        <w:t>r</w:t>
      </w:r>
      <w:r w:rsidR="00DD6380">
        <w:t xml:space="preserve">egulatory </w:t>
      </w:r>
      <w:r w:rsidR="00766F72">
        <w:t>c</w:t>
      </w:r>
      <w:r w:rsidR="00DD6380">
        <w:t>ontrol</w:t>
      </w:r>
      <w:r w:rsidR="00766F72">
        <w:t xml:space="preserve"> </w:t>
      </w:r>
      <w:r w:rsidRPr="00061D4E">
        <w:t>period</w:t>
      </w:r>
      <w:r w:rsidR="00FB2ADB">
        <w:rPr>
          <w:rStyle w:val="FootnoteReference"/>
        </w:rPr>
        <w:footnoteReference w:id="6"/>
      </w:r>
    </w:p>
    <w:p w:rsidR="0089591C" w:rsidRDefault="001F1261" w:rsidP="0089591C">
      <w:pPr>
        <w:pStyle w:val="AERnumberedlistfirststyle"/>
      </w:pPr>
      <w:r>
        <w:t>how</w:t>
      </w:r>
      <w:r w:rsidR="0089591C">
        <w:t xml:space="preserve"> </w:t>
      </w:r>
      <w:r w:rsidR="00CA5234">
        <w:t>any applicable</w:t>
      </w:r>
      <w:r w:rsidR="00CA5234" w:rsidRPr="002D16B9">
        <w:t xml:space="preserve"> </w:t>
      </w:r>
      <w:r w:rsidR="0089591C" w:rsidRPr="002D16B9">
        <w:t xml:space="preserve">EBSS </w:t>
      </w:r>
      <w:r w:rsidR="00CA5234">
        <w:t>is to</w:t>
      </w:r>
      <w:r w:rsidR="00CA5234" w:rsidRPr="002D16B9">
        <w:t xml:space="preserve"> </w:t>
      </w:r>
      <w:r w:rsidR="0089591C" w:rsidRPr="002D16B9">
        <w:t>a</w:t>
      </w:r>
      <w:r w:rsidR="0089591C">
        <w:t>pply to Ausgrid in the 2014–19</w:t>
      </w:r>
      <w:r w:rsidR="0089591C" w:rsidRPr="002D16B9">
        <w:t xml:space="preserve"> period.</w:t>
      </w:r>
      <w:r w:rsidR="0089591C">
        <w:rPr>
          <w:rStyle w:val="FootnoteReference"/>
        </w:rPr>
        <w:footnoteReference w:id="7"/>
      </w:r>
    </w:p>
    <w:p w:rsidR="0089591C" w:rsidRDefault="0089591C" w:rsidP="0089591C">
      <w:pPr>
        <w:pStyle w:val="AERbodytext"/>
      </w:pPr>
      <w:r>
        <w:rPr>
          <w:rStyle w:val="AERbody"/>
        </w:rPr>
        <w:t>The EBSS must provide for a fair sharing between service providers and network users of opex efficiency gains and efficiency losses.</w:t>
      </w:r>
      <w:r>
        <w:rPr>
          <w:rStyle w:val="FootnoteReference"/>
        </w:rPr>
        <w:footnoteReference w:id="8"/>
      </w:r>
      <w:r>
        <w:rPr>
          <w:rStyle w:val="AERbody"/>
        </w:rPr>
        <w:t xml:space="preserve"> We must also have regard to the following factors when implementing the EBSS</w:t>
      </w:r>
      <w:r>
        <w:t>:</w:t>
      </w:r>
      <w:r>
        <w:rPr>
          <w:rStyle w:val="FootnoteReference"/>
        </w:rPr>
        <w:footnoteReference w:id="9"/>
      </w:r>
    </w:p>
    <w:p w:rsidR="00AE42F8" w:rsidRDefault="00AE42F8" w:rsidP="0089591C">
      <w:pPr>
        <w:pStyle w:val="AERbulletlistfirststyle"/>
      </w:pPr>
      <w:r>
        <w:t>the need to ensure that benefits to electricity consumers likely to result from the scheme are sufficient to warrant any reward or penalty under the scheme</w:t>
      </w:r>
    </w:p>
    <w:p w:rsidR="0089591C" w:rsidRPr="007439B9" w:rsidRDefault="0089591C" w:rsidP="0089591C">
      <w:pPr>
        <w:pStyle w:val="AERbulletlistfirststyle"/>
      </w:pPr>
      <w:r w:rsidRPr="007439B9">
        <w:t xml:space="preserve">the need to provide </w:t>
      </w:r>
      <w:r w:rsidR="005B73E0">
        <w:t>the service providers</w:t>
      </w:r>
      <w:r w:rsidRPr="007439B9">
        <w:t xml:space="preserve"> with continuous incentives to reduce opex </w:t>
      </w:r>
    </w:p>
    <w:p w:rsidR="0089591C" w:rsidRPr="007439B9" w:rsidRDefault="0089591C" w:rsidP="0089591C">
      <w:pPr>
        <w:pStyle w:val="AERbulletlistfirststyle"/>
      </w:pPr>
      <w:r w:rsidRPr="007439B9">
        <w:t xml:space="preserve">the desirability of both rewarding the </w:t>
      </w:r>
      <w:r>
        <w:t>service providers</w:t>
      </w:r>
      <w:r w:rsidRPr="007439B9">
        <w:t xml:space="preserve"> for efficiency gains and penali</w:t>
      </w:r>
      <w:r w:rsidR="00706A9D">
        <w:t>sing them for efficiency losses</w:t>
      </w:r>
      <w:r w:rsidRPr="007439B9">
        <w:t xml:space="preserve"> </w:t>
      </w:r>
    </w:p>
    <w:p w:rsidR="0089591C" w:rsidRPr="007439B9" w:rsidRDefault="0089591C" w:rsidP="0089591C">
      <w:pPr>
        <w:pStyle w:val="AERbulletlistfirststyle"/>
      </w:pPr>
      <w:r w:rsidRPr="007439B9">
        <w:t>any incentives that service providers may have to capitalise expenditure</w:t>
      </w:r>
    </w:p>
    <w:p w:rsidR="009A7159" w:rsidRDefault="0089591C" w:rsidP="00DC57D9">
      <w:pPr>
        <w:pStyle w:val="AERbulletlistfirststyle"/>
      </w:pPr>
      <w:r w:rsidRPr="00DC57D9">
        <w:t>the possible effects of the scheme on incentives for the implementation of non–network alternatives.</w:t>
      </w:r>
    </w:p>
    <w:p w:rsidR="0028673E" w:rsidRDefault="0028673E" w:rsidP="009A7159">
      <w:pPr>
        <w:pStyle w:val="Heading2"/>
      </w:pPr>
      <w:bookmarkStart w:id="19" w:name="_Toc404363762"/>
      <w:r w:rsidRPr="00DC57D9">
        <w:t>Interrelationships</w:t>
      </w:r>
      <w:bookmarkEnd w:id="18"/>
      <w:bookmarkEnd w:id="19"/>
      <w:r w:rsidRPr="00DC57D9">
        <w:t xml:space="preserve"> </w:t>
      </w:r>
    </w:p>
    <w:p w:rsidR="003C2406" w:rsidRDefault="009A7159" w:rsidP="0014379E">
      <w:pPr>
        <w:pStyle w:val="AERbodytext"/>
      </w:pPr>
      <w:r w:rsidRPr="009A7159">
        <w:t xml:space="preserve">The EBSS is intrinsically linked to </w:t>
      </w:r>
      <w:r w:rsidR="00301110">
        <w:t>a</w:t>
      </w:r>
      <w:r w:rsidRPr="009A7159">
        <w:t xml:space="preserve"> revealed cost forecasting approach</w:t>
      </w:r>
      <w:r w:rsidR="00301110">
        <w:t xml:space="preserve"> for opex</w:t>
      </w:r>
      <w:r w:rsidRPr="009A7159">
        <w:t xml:space="preserve">. </w:t>
      </w:r>
      <w:r w:rsidR="003C2406">
        <w:t>Under</w:t>
      </w:r>
      <w:r w:rsidR="00327E47" w:rsidRPr="00327E47">
        <w:t xml:space="preserve"> this forecasting approach</w:t>
      </w:r>
      <w:r w:rsidR="003C2406">
        <w:t>, the</w:t>
      </w:r>
      <w:r w:rsidR="00327E47" w:rsidRPr="00327E47">
        <w:t xml:space="preserve"> EBSS</w:t>
      </w:r>
      <w:r w:rsidR="003C2406">
        <w:t xml:space="preserve"> has two specific functions:</w:t>
      </w:r>
    </w:p>
    <w:p w:rsidR="003C2406" w:rsidRDefault="003C2406" w:rsidP="0014379E">
      <w:pPr>
        <w:pStyle w:val="AERbulletlistfirststyle"/>
      </w:pPr>
      <w:r>
        <w:t xml:space="preserve">To mitigate the incentive for a service provider </w:t>
      </w:r>
      <w:r w:rsidR="00327E47" w:rsidRPr="00327E47">
        <w:t>to increase opex in the expected 'base year' to increase its forecast opex allowance for the following regulatory control period.</w:t>
      </w:r>
    </w:p>
    <w:p w:rsidR="0014379E" w:rsidRDefault="003C2406" w:rsidP="0014379E">
      <w:pPr>
        <w:pStyle w:val="AERbulletlistfirststyle"/>
      </w:pPr>
      <w:r>
        <w:t xml:space="preserve">To provide a continuous incentive for a service provider to make efficiency gains - service providers receive </w:t>
      </w:r>
      <w:r w:rsidR="00327E47" w:rsidRPr="00327E47">
        <w:t>the same reward for an underspend and the same penalty for an overspend in each year of the regulatory control period.</w:t>
      </w:r>
    </w:p>
    <w:p w:rsidR="009A7159" w:rsidRPr="009A7159" w:rsidRDefault="009A7159" w:rsidP="0014379E">
      <w:pPr>
        <w:numPr>
          <w:ilvl w:val="0"/>
          <w:numId w:val="13"/>
        </w:numPr>
      </w:pPr>
      <w:r w:rsidRPr="009A7159">
        <w:t xml:space="preserve">Where </w:t>
      </w:r>
      <w:r w:rsidR="00245AFD">
        <w:t>we do</w:t>
      </w:r>
      <w:r w:rsidRPr="009A7159">
        <w:t xml:space="preserve"> not</w:t>
      </w:r>
      <w:r w:rsidR="009449F6">
        <w:t xml:space="preserve"> propose to rely on the revealed costs of a servi</w:t>
      </w:r>
      <w:r w:rsidR="00E40790">
        <w:t>ce provider in forecasting opex</w:t>
      </w:r>
      <w:r w:rsidRPr="009A7159">
        <w:t xml:space="preserve"> this has consequences for the </w:t>
      </w:r>
      <w:r w:rsidR="00245AFD">
        <w:t>service provider's</w:t>
      </w:r>
      <w:r w:rsidRPr="009A7159">
        <w:t xml:space="preserve"> incentives to make productivity improvements and consequently </w:t>
      </w:r>
      <w:r w:rsidR="00245AFD">
        <w:t>our</w:t>
      </w:r>
      <w:r w:rsidRPr="009A7159">
        <w:t xml:space="preserve"> decision on </w:t>
      </w:r>
      <w:r w:rsidR="001A7E3D">
        <w:t>how we</w:t>
      </w:r>
      <w:r w:rsidRPr="009A7159">
        <w:t xml:space="preserve"> apply the EBSS.</w:t>
      </w:r>
    </w:p>
    <w:p w:rsidR="0028673E" w:rsidRPr="00415D2F" w:rsidRDefault="0028673E" w:rsidP="00415D2F">
      <w:pPr>
        <w:pStyle w:val="Heading2"/>
      </w:pPr>
      <w:bookmarkStart w:id="20" w:name="_Toc387916855"/>
      <w:bookmarkStart w:id="21" w:name="_Toc404363763"/>
      <w:r w:rsidRPr="00415D2F">
        <w:lastRenderedPageBreak/>
        <w:t>Reasons for draft decision</w:t>
      </w:r>
      <w:bookmarkEnd w:id="20"/>
      <w:bookmarkEnd w:id="21"/>
    </w:p>
    <w:p w:rsidR="00DD6380" w:rsidRPr="008D4C45" w:rsidRDefault="00DC57D9" w:rsidP="0014379E">
      <w:pPr>
        <w:pStyle w:val="AERbodytext"/>
        <w:rPr>
          <w:rStyle w:val="AERbody"/>
        </w:rPr>
      </w:pPr>
      <w:r>
        <w:t xml:space="preserve">This section provides the reasons for our draft decision on </w:t>
      </w:r>
      <w:r w:rsidRPr="002D16B9">
        <w:t>the</w:t>
      </w:r>
      <w:r>
        <w:t xml:space="preserve"> EBSS</w:t>
      </w:r>
      <w:r w:rsidRPr="002D16B9">
        <w:t xml:space="preserve"> carryover amounts </w:t>
      </w:r>
      <w:r>
        <w:t>from the 2009</w:t>
      </w:r>
      <w:r w:rsidRPr="002D16B9">
        <w:t>–14 regulatory control period</w:t>
      </w:r>
      <w:r w:rsidR="008C1A7B">
        <w:t xml:space="preserve"> and the reasons </w:t>
      </w:r>
      <w:r w:rsidR="001A7E3D">
        <w:t>why no expenditure will be subject to</w:t>
      </w:r>
      <w:r>
        <w:t xml:space="preserve"> </w:t>
      </w:r>
      <w:r w:rsidRPr="002D16B9">
        <w:t xml:space="preserve">the EBSS </w:t>
      </w:r>
      <w:r>
        <w:t>for the 2014–19</w:t>
      </w:r>
      <w:r w:rsidRPr="002D16B9">
        <w:t xml:space="preserve"> period.</w:t>
      </w:r>
    </w:p>
    <w:p w:rsidR="00DC57D9" w:rsidRPr="00415D2F" w:rsidRDefault="00DC57D9" w:rsidP="00415D2F">
      <w:pPr>
        <w:pStyle w:val="Heading3"/>
      </w:pPr>
      <w:bookmarkStart w:id="22" w:name="_Ref396311803"/>
      <w:bookmarkStart w:id="23" w:name="_Toc404363764"/>
      <w:r w:rsidRPr="00415D2F">
        <w:t xml:space="preserve">Carryover amounts </w:t>
      </w:r>
      <w:r w:rsidR="00F7660E">
        <w:t>accrued during</w:t>
      </w:r>
      <w:r w:rsidRPr="00415D2F">
        <w:t xml:space="preserve"> the 2009–14 regulatory control period</w:t>
      </w:r>
      <w:bookmarkEnd w:id="22"/>
      <w:bookmarkEnd w:id="23"/>
    </w:p>
    <w:p w:rsidR="00042340" w:rsidRDefault="00042340" w:rsidP="00042340">
      <w:pPr>
        <w:pStyle w:val="AERbodytext"/>
      </w:pPr>
      <w:r>
        <w:t>W</w:t>
      </w:r>
      <w:r w:rsidRPr="005D1B25">
        <w:t xml:space="preserve">e </w:t>
      </w:r>
      <w:r>
        <w:t>consider Ausgrid should receive EBSS carryover amount</w:t>
      </w:r>
      <w:r w:rsidR="00B92ABE">
        <w:t>s</w:t>
      </w:r>
      <w:r>
        <w:t xml:space="preserve"> of $</w:t>
      </w:r>
      <w:r w:rsidR="00930583">
        <w:t>2</w:t>
      </w:r>
      <w:r w:rsidR="00BE1302">
        <w:t>60</w:t>
      </w:r>
      <w:r w:rsidR="00930583">
        <w:t>.</w:t>
      </w:r>
      <w:r w:rsidR="00BE1302">
        <w:t>3</w:t>
      </w:r>
      <w:r>
        <w:t xml:space="preserve"> million </w:t>
      </w:r>
      <w:r w:rsidR="00D41128">
        <w:t xml:space="preserve">($2013–14) </w:t>
      </w:r>
      <w:r>
        <w:t xml:space="preserve">from the application of the EBSS during the </w:t>
      </w:r>
      <w:r w:rsidRPr="003C3CBA">
        <w:t>2009–14 regulatory control period</w:t>
      </w:r>
      <w:r>
        <w:t>. Our calculation is in accordance with section 2.3 of the EBSS for the ACT and NSW 2009 distribution determinations.</w:t>
      </w:r>
      <w:r>
        <w:rPr>
          <w:rStyle w:val="FootnoteReference"/>
        </w:rPr>
        <w:footnoteReference w:id="10"/>
      </w:r>
    </w:p>
    <w:p w:rsidR="00042340" w:rsidRDefault="00042340" w:rsidP="00042340">
      <w:pPr>
        <w:pStyle w:val="AERbodytext"/>
      </w:pPr>
      <w:r>
        <w:t>In the 2009–</w:t>
      </w:r>
      <w:r w:rsidRPr="00135689">
        <w:t xml:space="preserve">14 </w:t>
      </w:r>
      <w:r>
        <w:t>regulatory control period, Ausgrid was subject to t</w:t>
      </w:r>
      <w:r w:rsidRPr="000C2EF1">
        <w:rPr>
          <w:rStyle w:val="AERbody"/>
        </w:rPr>
        <w:t xml:space="preserve">he </w:t>
      </w:r>
      <w:r w:rsidRPr="009120D0">
        <w:t>EBSS for the ACT and NSW 2009 distribution determinations.</w:t>
      </w:r>
      <w:r w:rsidR="001A7E3D">
        <w:rPr>
          <w:rStyle w:val="FootnoteReference"/>
        </w:rPr>
        <w:footnoteReference w:id="11"/>
      </w:r>
      <w:r>
        <w:t xml:space="preserve"> Under this scheme the EBSS carryover amounts are to be based on the difference between:</w:t>
      </w:r>
    </w:p>
    <w:p w:rsidR="00042340" w:rsidRDefault="00042340" w:rsidP="00042340">
      <w:pPr>
        <w:pStyle w:val="AERbulletlistfirststyle"/>
      </w:pPr>
      <w:r>
        <w:t>approved forecast opex which is set out in our determination for Ausgrid for the 2009–</w:t>
      </w:r>
      <w:r w:rsidRPr="00135689">
        <w:t>14</w:t>
      </w:r>
      <w:r>
        <w:t xml:space="preserve"> regulatory control period</w:t>
      </w:r>
    </w:p>
    <w:p w:rsidR="00042340" w:rsidRDefault="00042340" w:rsidP="00042340">
      <w:pPr>
        <w:pStyle w:val="AERbulletlistfirststyle"/>
      </w:pPr>
      <w:r>
        <w:t>actual opex for the  regulatory years from 2009–10</w:t>
      </w:r>
      <w:r w:rsidRPr="00135689">
        <w:t xml:space="preserve"> </w:t>
      </w:r>
      <w:r>
        <w:t>to 2012–13</w:t>
      </w:r>
      <w:r w:rsidRPr="00135689">
        <w:t xml:space="preserve"> </w:t>
      </w:r>
      <w:r>
        <w:t>less excluded cost categories.</w:t>
      </w:r>
    </w:p>
    <w:p w:rsidR="00D24A5B" w:rsidRDefault="00042340" w:rsidP="007A596B">
      <w:pPr>
        <w:pStyle w:val="AERbodytext"/>
        <w:rPr>
          <w:rStyle w:val="AERbody"/>
        </w:rPr>
      </w:pPr>
      <w:r>
        <w:rPr>
          <w:rStyle w:val="AERbody"/>
        </w:rPr>
        <w:t>T</w:t>
      </w:r>
      <w:r w:rsidRPr="008D4C45">
        <w:rPr>
          <w:rStyle w:val="AERbody"/>
        </w:rPr>
        <w:t xml:space="preserve">he </w:t>
      </w:r>
      <w:r w:rsidR="007A596B" w:rsidRPr="008D4C45">
        <w:rPr>
          <w:rStyle w:val="AERbody"/>
        </w:rPr>
        <w:t>formul</w:t>
      </w:r>
      <w:r w:rsidR="007A596B">
        <w:rPr>
          <w:rStyle w:val="AERbody"/>
        </w:rPr>
        <w:t>ae</w:t>
      </w:r>
      <w:r w:rsidRPr="008D4C45">
        <w:rPr>
          <w:rStyle w:val="AERbody"/>
        </w:rPr>
        <w:t xml:space="preserve"> for calculating the carryover amounts are set out in this scheme.</w:t>
      </w:r>
      <w:r>
        <w:rPr>
          <w:rStyle w:val="FootnoteReference"/>
        </w:rPr>
        <w:footnoteReference w:id="12"/>
      </w:r>
    </w:p>
    <w:p w:rsidR="00403B7F" w:rsidRDefault="00281A69" w:rsidP="00BE1302">
      <w:r>
        <w:t xml:space="preserve">The difference </w:t>
      </w:r>
      <w:r w:rsidR="00800544">
        <w:t xml:space="preserve">between </w:t>
      </w:r>
      <w:r>
        <w:t>Ausgrid</w:t>
      </w:r>
      <w:r w:rsidR="00800544">
        <w:t>'s</w:t>
      </w:r>
      <w:r>
        <w:t xml:space="preserve"> </w:t>
      </w:r>
      <w:r w:rsidR="00800544">
        <w:t xml:space="preserve">proposed EBSS carryover amount </w:t>
      </w:r>
      <w:r>
        <w:t>calculated</w:t>
      </w:r>
      <w:r w:rsidR="00DC57D9">
        <w:t xml:space="preserve"> </w:t>
      </w:r>
      <w:r w:rsidR="00415D2F">
        <w:t xml:space="preserve">for the </w:t>
      </w:r>
      <w:r w:rsidR="00415D2F" w:rsidRPr="005D1B25">
        <w:t>200</w:t>
      </w:r>
      <w:r w:rsidR="00415D2F">
        <w:t>9–</w:t>
      </w:r>
      <w:r w:rsidR="00415D2F" w:rsidRPr="005D1B25">
        <w:t xml:space="preserve">14 </w:t>
      </w:r>
      <w:r w:rsidR="00415D2F">
        <w:t xml:space="preserve">regulatory control period </w:t>
      </w:r>
      <w:r w:rsidR="006F15B0">
        <w:t xml:space="preserve">($427.5 million) </w:t>
      </w:r>
      <w:r>
        <w:t xml:space="preserve">and the </w:t>
      </w:r>
      <w:r w:rsidR="00403B7F">
        <w:t xml:space="preserve">EBSS </w:t>
      </w:r>
      <w:r>
        <w:t>carryover amount we calculated</w:t>
      </w:r>
      <w:r w:rsidR="00DC57D9">
        <w:t xml:space="preserve"> </w:t>
      </w:r>
      <w:r w:rsidR="006F15B0">
        <w:t>($</w:t>
      </w:r>
      <w:r w:rsidR="00930583">
        <w:t>2</w:t>
      </w:r>
      <w:r w:rsidR="00473B51">
        <w:t>60</w:t>
      </w:r>
      <w:r w:rsidR="00930583">
        <w:t>.</w:t>
      </w:r>
      <w:r w:rsidR="00473B51">
        <w:t>3</w:t>
      </w:r>
      <w:r w:rsidR="008F62C7">
        <w:t> </w:t>
      </w:r>
      <w:r w:rsidR="006F15B0">
        <w:t xml:space="preserve">million) </w:t>
      </w:r>
      <w:r>
        <w:t xml:space="preserve">is </w:t>
      </w:r>
      <w:r w:rsidR="00C57D34">
        <w:t xml:space="preserve">due to </w:t>
      </w:r>
      <w:r w:rsidR="001A7E3D">
        <w:t xml:space="preserve">the treatment of </w:t>
      </w:r>
      <w:r w:rsidR="00C57D34">
        <w:t>provisions.</w:t>
      </w:r>
      <w:r w:rsidR="00800544" w:rsidRPr="00800544">
        <w:t xml:space="preserve"> </w:t>
      </w:r>
    </w:p>
    <w:p w:rsidR="00C57D34" w:rsidRPr="001E07B9" w:rsidRDefault="00C57D34" w:rsidP="00C57D34">
      <w:pPr>
        <w:pStyle w:val="AERbodytext"/>
      </w:pPr>
      <w:r w:rsidRPr="001E07B9">
        <w:t xml:space="preserve">A provision is a type of accrual accounting practice. </w:t>
      </w:r>
      <w:r>
        <w:t xml:space="preserve">A business records an increase in a provision where it expects it will incur a future cost. </w:t>
      </w:r>
      <w:r w:rsidRPr="001E07B9">
        <w:t>Increases in provisions are often allocated to expenditure, and in particular, to opex.</w:t>
      </w:r>
      <w:r>
        <w:t xml:space="preserve"> Accordingly if a business considers it is likely it will incur a future cost, or it expects the future cost will be different </w:t>
      </w:r>
      <w:r w:rsidR="008D4C45">
        <w:t xml:space="preserve">to </w:t>
      </w:r>
      <w:r>
        <w:t xml:space="preserve">that it has previously recorded, reported actual expenditure will increase. This means a business </w:t>
      </w:r>
      <w:r w:rsidR="00B92ABE">
        <w:t xml:space="preserve">may sometimes </w:t>
      </w:r>
      <w:r>
        <w:t>record increases in expenditure when it estimates there is a change in a liability it faces. It may not actually expect to incur the cost for some time</w:t>
      </w:r>
      <w:r w:rsidR="00B938B6">
        <w:t xml:space="preserve"> and the cost will not necessarily eventuate in the amount predicted</w:t>
      </w:r>
      <w:r>
        <w:t>.</w:t>
      </w:r>
    </w:p>
    <w:p w:rsidR="00C57D34" w:rsidRDefault="00C57D34" w:rsidP="00C57D34">
      <w:r>
        <w:t>In the 2009–14 regulatory control period, Aus</w:t>
      </w:r>
      <w:r w:rsidR="006005CE">
        <w:t>g</w:t>
      </w:r>
      <w:r>
        <w:t>rid reported increases in provisions for long service leave, annual leave and workers compensation as actual opex. This affected the reported EBSS carryover amounts - particularly changes in provisions for long service leave.</w:t>
      </w:r>
    </w:p>
    <w:p w:rsidR="004932D2" w:rsidRDefault="004932D2" w:rsidP="004932D2">
      <w:r>
        <w:t>W</w:t>
      </w:r>
      <w:r w:rsidRPr="00800544">
        <w:t xml:space="preserve">e </w:t>
      </w:r>
      <w:r>
        <w:t>consider that</w:t>
      </w:r>
      <w:r w:rsidRPr="00800544">
        <w:t xml:space="preserve"> movement</w:t>
      </w:r>
      <w:r>
        <w:t>s</w:t>
      </w:r>
      <w:r w:rsidRPr="00800544">
        <w:t xml:space="preserve"> in provisions should be </w:t>
      </w:r>
      <w:r>
        <w:t>excluded from EBSS calculations. This is because the increases in provisions do not represent the actual cost incurred in delivering network services when calculating efficiency gains or losses. This is consistent with the applicable EBSS.</w:t>
      </w:r>
    </w:p>
    <w:p w:rsidR="004932D2" w:rsidRDefault="004932D2" w:rsidP="004932D2">
      <w:pPr>
        <w:pStyle w:val="AERquote"/>
      </w:pPr>
      <w:r w:rsidRPr="008C131F">
        <w:t>In calculating carryover gains or losses, the AER must be satisfied that the actual and</w:t>
      </w:r>
      <w:r>
        <w:t xml:space="preserve"> </w:t>
      </w:r>
      <w:r w:rsidRPr="008C131F">
        <w:t>forecast opex accurately reflects the costs faced by the DNSP in the regulatory control</w:t>
      </w:r>
      <w:r>
        <w:t xml:space="preserve"> </w:t>
      </w:r>
      <w:r w:rsidRPr="008C131F">
        <w:t>period.</w:t>
      </w:r>
      <w:r>
        <w:rPr>
          <w:rStyle w:val="FootnoteReference"/>
        </w:rPr>
        <w:footnoteReference w:id="13"/>
      </w:r>
    </w:p>
    <w:p w:rsidR="00C57D34" w:rsidRPr="001424A9" w:rsidRDefault="00C57D34" w:rsidP="007B3B30">
      <w:r w:rsidRPr="001424A9">
        <w:t xml:space="preserve">The EBSS is designed to reward businesses for becoming more efficient over time and penalise them for becoming less efficient. It is the actual costs a </w:t>
      </w:r>
      <w:r w:rsidR="0069241C">
        <w:t>service provider</w:t>
      </w:r>
      <w:r w:rsidRPr="001424A9">
        <w:t xml:space="preserve"> incurs that we are concerned about when measuring efficiency improvements. In contrast, provisions are estimates of future costs a </w:t>
      </w:r>
      <w:r w:rsidRPr="001424A9">
        <w:lastRenderedPageBreak/>
        <w:t>business expects to incur. A change in a provision is, in essence, a revised estimate. Estimating future costs usually involves making assumptions. These assumptions often change over time as new information becomes available, creating forecasting uncertainty. The uncertainty about provisions is what distinguishes them from other liabilities in the accounting standards.</w:t>
      </w:r>
      <w:r w:rsidRPr="001424A9">
        <w:rPr>
          <w:rStyle w:val="FootnoteReference"/>
        </w:rPr>
        <w:footnoteReference w:id="14"/>
      </w:r>
      <w:r w:rsidRPr="001424A9">
        <w:t xml:space="preserve"> </w:t>
      </w:r>
    </w:p>
    <w:p w:rsidR="00C57D34" w:rsidRDefault="00C57D34" w:rsidP="00C57D34">
      <w:pPr>
        <w:pStyle w:val="AERbodytext"/>
      </w:pPr>
      <w:r w:rsidRPr="001424A9">
        <w:t xml:space="preserve">For example, </w:t>
      </w:r>
      <w:r>
        <w:t>t</w:t>
      </w:r>
      <w:r w:rsidRPr="001424A9">
        <w:t>o calculate the change in provisions</w:t>
      </w:r>
      <w:r>
        <w:t xml:space="preserve"> for employee entitlements</w:t>
      </w:r>
      <w:r w:rsidRPr="001424A9">
        <w:t xml:space="preserve">, a business must make assumptions about how much its current workers will be paid in the future, when it expects them to leave or retire, the rate at which they will take leave, as well as the time value of money. Significant discretion and judgment is involved in forming these assumptions. The valuation of the future liability can be very sensitive to small changes in assumptions. Accordingly, the amount charged to opex could change significantly with relatively minor changes in assumptions. </w:t>
      </w:r>
    </w:p>
    <w:p w:rsidR="006F15B0" w:rsidRDefault="00C57D34">
      <w:pPr>
        <w:pStyle w:val="AERbodytext"/>
      </w:pPr>
      <w:r w:rsidRPr="001424A9">
        <w:t xml:space="preserve">To reward or penalise a </w:t>
      </w:r>
      <w:r>
        <w:t>service provider</w:t>
      </w:r>
      <w:r w:rsidRPr="001424A9">
        <w:t xml:space="preserve"> for changes in provisions would reward or penalise it for changes in assumptions, not efficiency improvements. This undermines what the EBSS is intended to do, namely reward efficiency improvements and penalise declines in efficiency. While provisions might need to be treated in a particular way for accounting purposes, for regulatory pricing purposes</w:t>
      </w:r>
      <w:r>
        <w:t>,</w:t>
      </w:r>
      <w:r w:rsidRPr="001424A9">
        <w:t xml:space="preserve"> treating provisions as actual costs can lead to perverse outcomes. </w:t>
      </w:r>
      <w:r>
        <w:t xml:space="preserve">Based on Ausgrid's calculations its consumers would </w:t>
      </w:r>
      <w:r w:rsidR="00D33191">
        <w:t xml:space="preserve">pay </w:t>
      </w:r>
      <w:r>
        <w:t xml:space="preserve">for efficiency carryover amounts that do not reflect changes in the underlying </w:t>
      </w:r>
      <w:r w:rsidR="00B938B6">
        <w:t xml:space="preserve">level of </w:t>
      </w:r>
      <w:r>
        <w:t xml:space="preserve">efficiency in providing </w:t>
      </w:r>
      <w:r w:rsidR="00BE1302">
        <w:t>standard control services</w:t>
      </w:r>
      <w:r w:rsidR="00B938B6">
        <w:t xml:space="preserve"> during</w:t>
      </w:r>
      <w:r w:rsidR="00D33191">
        <w:t xml:space="preserve"> the 2009–14 </w:t>
      </w:r>
      <w:r w:rsidR="00B938B6">
        <w:t xml:space="preserve">regulatory control </w:t>
      </w:r>
      <w:r w:rsidR="00D33191">
        <w:t>period</w:t>
      </w:r>
      <w:r>
        <w:t>. Instead</w:t>
      </w:r>
      <w:r w:rsidR="004932D2">
        <w:t>,</w:t>
      </w:r>
      <w:r>
        <w:t xml:space="preserve"> a significant proportion of the proposed amount simply represents changes in assumptions Ausgrid used in valuing its long service leave obligations</w:t>
      </w:r>
      <w:r w:rsidR="00D33191">
        <w:t xml:space="preserve"> during that period</w:t>
      </w:r>
      <w:r>
        <w:t xml:space="preserve">. </w:t>
      </w:r>
      <w:r w:rsidR="00301110">
        <w:t xml:space="preserve">To significantly reward Ausgrid for changes in assumptions </w:t>
      </w:r>
      <w:r w:rsidRPr="001424A9">
        <w:t>would be contrary to the aims of the EBSS under the NER.</w:t>
      </w:r>
    </w:p>
    <w:p w:rsidR="00C57D34" w:rsidRPr="001424A9" w:rsidRDefault="007A596B">
      <w:pPr>
        <w:pStyle w:val="AERbodytext"/>
      </w:pPr>
      <w:r w:rsidRPr="007A596B">
        <w:t>Many stakeholders raised concerns about</w:t>
      </w:r>
      <w:r w:rsidR="00DF6466">
        <w:t xml:space="preserve"> Ausgrid's </w:t>
      </w:r>
      <w:r w:rsidRPr="007A596B">
        <w:t>proposed EBSS carryover of $427.5 million</w:t>
      </w:r>
      <w:r w:rsidR="00D41128">
        <w:t xml:space="preserve"> ($2013–14)</w:t>
      </w:r>
      <w:r w:rsidRPr="007A596B">
        <w:t>. Submissions questioned if this carryover amount was a result of</w:t>
      </w:r>
      <w:r w:rsidR="00DF6466">
        <w:t xml:space="preserve"> </w:t>
      </w:r>
      <w:r w:rsidRPr="007A596B">
        <w:t>genuine efficiency gains that would benefit consumers.</w:t>
      </w:r>
      <w:r w:rsidRPr="007A596B">
        <w:rPr>
          <w:rStyle w:val="FootnoteReference"/>
        </w:rPr>
        <w:footnoteReference w:id="15"/>
      </w:r>
      <w:r w:rsidRPr="007A596B">
        <w:t xml:space="preserve"> Stakeholders were also concerned that considering the NSW distribution service providers' generally poor </w:t>
      </w:r>
      <w:r w:rsidR="0001585A">
        <w:t>efficiency</w:t>
      </w:r>
      <w:r w:rsidRPr="007A596B">
        <w:t xml:space="preserve">, the large EBSS carryover amounts reflected an overly generous opex allowance rather than genuine efficiency savings. </w:t>
      </w:r>
      <w:r w:rsidR="005B01D3">
        <w:t xml:space="preserve">As discussed above, a significant share of the carryover amounts was driven by the treatment of provisions which we have addressed. </w:t>
      </w:r>
    </w:p>
    <w:p w:rsidR="00415D2F" w:rsidRPr="00415D2F" w:rsidRDefault="00D33191" w:rsidP="00415D2F">
      <w:pPr>
        <w:pStyle w:val="Heading3"/>
      </w:pPr>
      <w:bookmarkStart w:id="24" w:name="_Toc404363765"/>
      <w:r>
        <w:t xml:space="preserve">Decision </w:t>
      </w:r>
      <w:r w:rsidR="008C131F">
        <w:t>on how to apply the</w:t>
      </w:r>
      <w:r>
        <w:t xml:space="preserve"> EBSS to Ausgrid </w:t>
      </w:r>
      <w:r w:rsidR="00EA3A45">
        <w:t xml:space="preserve">in </w:t>
      </w:r>
      <w:r>
        <w:t>the 201</w:t>
      </w:r>
      <w:r w:rsidR="00177D8E">
        <w:t>5</w:t>
      </w:r>
      <w:r>
        <w:t xml:space="preserve">–19 </w:t>
      </w:r>
      <w:r w:rsidR="00177D8E">
        <w:t xml:space="preserve">regulatory control </w:t>
      </w:r>
      <w:r>
        <w:t>period</w:t>
      </w:r>
      <w:bookmarkEnd w:id="24"/>
    </w:p>
    <w:p w:rsidR="008C131F" w:rsidRDefault="00D33191" w:rsidP="00CC2620">
      <w:pPr>
        <w:pStyle w:val="AERbodytext"/>
      </w:pPr>
      <w:r>
        <w:t xml:space="preserve">Our draft decision is </w:t>
      </w:r>
      <w:r w:rsidR="008C131F">
        <w:t xml:space="preserve">that </w:t>
      </w:r>
      <w:r w:rsidR="008C131F" w:rsidRPr="002C3FA3">
        <w:t>no expenditure will be subject to the EBSS during the 201</w:t>
      </w:r>
      <w:r w:rsidR="00177D8E">
        <w:t>5</w:t>
      </w:r>
      <w:r w:rsidR="003C7A61">
        <w:t>–</w:t>
      </w:r>
      <w:r w:rsidR="008C131F" w:rsidRPr="002C3FA3">
        <w:t xml:space="preserve">19 </w:t>
      </w:r>
      <w:r w:rsidR="00177D8E">
        <w:t xml:space="preserve">regulatory control </w:t>
      </w:r>
      <w:r w:rsidR="008C131F" w:rsidRPr="002C3FA3">
        <w:t>period.</w:t>
      </w:r>
      <w:r w:rsidR="00403B7F">
        <w:rPr>
          <w:rStyle w:val="FootnoteReference"/>
        </w:rPr>
        <w:footnoteReference w:id="16"/>
      </w:r>
      <w:r w:rsidR="008C131F" w:rsidRPr="002C3FA3">
        <w:t xml:space="preserve"> </w:t>
      </w:r>
    </w:p>
    <w:p w:rsidR="00D33191" w:rsidRDefault="00D33191" w:rsidP="00CC2620">
      <w:pPr>
        <w:pStyle w:val="AERbodytext"/>
      </w:pPr>
      <w:r>
        <w:t xml:space="preserve">In </w:t>
      </w:r>
      <w:r w:rsidR="00FD4BDD">
        <w:t>implementing</w:t>
      </w:r>
      <w:r>
        <w:t xml:space="preserve"> the EBSS we </w:t>
      </w:r>
      <w:r w:rsidR="000D6C48">
        <w:t>must consider whether</w:t>
      </w:r>
      <w:r w:rsidRPr="00D33191">
        <w:t xml:space="preserve"> benefits to electricity consumers likely to result from the scheme are sufficient to warrant any reward or penalty under the scheme</w:t>
      </w:r>
      <w:r>
        <w:t>.</w:t>
      </w:r>
      <w:r w:rsidRPr="00D33191">
        <w:t xml:space="preserve"> </w:t>
      </w:r>
      <w:r w:rsidR="000D2ACE">
        <w:t>Several stakeholders asked us to review the benefit to consumers of applying the EBSS</w:t>
      </w:r>
      <w:r w:rsidR="000D2ACE">
        <w:rPr>
          <w:rStyle w:val="FootnoteReference"/>
        </w:rPr>
        <w:footnoteReference w:id="17"/>
      </w:r>
      <w:r w:rsidR="000D2ACE">
        <w:t xml:space="preserve"> and some </w:t>
      </w:r>
      <w:r w:rsidR="000D2ACE">
        <w:lastRenderedPageBreak/>
        <w:t>submitted that we should not apply it.</w:t>
      </w:r>
      <w:r w:rsidR="000D2ACE">
        <w:rPr>
          <w:rStyle w:val="FootnoteReference"/>
        </w:rPr>
        <w:footnoteReference w:id="18"/>
      </w:r>
      <w:r w:rsidR="000D2ACE" w:rsidRPr="000D2ACE">
        <w:t xml:space="preserve"> </w:t>
      </w:r>
      <w:r w:rsidR="000D2ACE">
        <w:t xml:space="preserve">We </w:t>
      </w:r>
      <w:r w:rsidR="00E438AD">
        <w:t xml:space="preserve">discuss why we </w:t>
      </w:r>
      <w:r w:rsidR="000D2ACE">
        <w:t xml:space="preserve">do not consider Ausgrid's </w:t>
      </w:r>
      <w:r w:rsidR="00E438AD">
        <w:t xml:space="preserve">customers </w:t>
      </w:r>
      <w:r w:rsidR="000D2ACE">
        <w:t xml:space="preserve">would benefit from us applying the </w:t>
      </w:r>
      <w:r w:rsidR="00E438AD">
        <w:t>EBSS</w:t>
      </w:r>
      <w:r w:rsidR="008C131F">
        <w:t xml:space="preserve"> </w:t>
      </w:r>
      <w:r w:rsidR="000D2ACE">
        <w:t>in the</w:t>
      </w:r>
      <w:r w:rsidR="00E438AD">
        <w:t xml:space="preserve"> </w:t>
      </w:r>
      <w:r w:rsidR="000D2ACE">
        <w:t>201</w:t>
      </w:r>
      <w:r w:rsidR="00177D8E">
        <w:t>5</w:t>
      </w:r>
      <w:r w:rsidR="000D2ACE">
        <w:t xml:space="preserve">–19 </w:t>
      </w:r>
      <w:r w:rsidR="00177D8E">
        <w:t xml:space="preserve">regulatory control </w:t>
      </w:r>
      <w:r w:rsidR="000D2ACE">
        <w:t>period</w:t>
      </w:r>
      <w:r w:rsidR="00E438AD">
        <w:t xml:space="preserve"> below</w:t>
      </w:r>
      <w:r w:rsidR="000D2ACE">
        <w:t xml:space="preserve">.  </w:t>
      </w:r>
    </w:p>
    <w:p w:rsidR="001E14BE" w:rsidRPr="001E14BE" w:rsidRDefault="001E14BE" w:rsidP="001E14BE">
      <w:r w:rsidRPr="001E14BE">
        <w:t>The E</w:t>
      </w:r>
      <w:r w:rsidR="004E6ADC">
        <w:t>BSS is intrinsically linked to the revealed cost</w:t>
      </w:r>
      <w:r w:rsidRPr="001E14BE">
        <w:t xml:space="preserve"> forecasting approach for opex. If a </w:t>
      </w:r>
      <w:r>
        <w:t xml:space="preserve">service provider </w:t>
      </w:r>
      <w:r w:rsidRPr="001E14BE">
        <w:t xml:space="preserve">has operated under an effective incentive framework, and sought to maximise its profits, the actual opex incurred in a base year should be a good indicator of the efficient opex required. In those cases, we rely on the revealed costs in the base year as the basis for our opex forecast. </w:t>
      </w:r>
    </w:p>
    <w:p w:rsidR="001E14BE" w:rsidRPr="001E14BE" w:rsidRDefault="001E14BE" w:rsidP="001E14BE">
      <w:r w:rsidRPr="001E14BE">
        <w:t>There are two potential incentive problems with this forecasting approach when an EBSS is not in place:</w:t>
      </w:r>
    </w:p>
    <w:p w:rsidR="001E14BE" w:rsidRPr="001E14BE" w:rsidRDefault="00A35AA5" w:rsidP="00C93A62">
      <w:pPr>
        <w:pStyle w:val="AERnumberedlistfirststyle"/>
      </w:pPr>
      <w:r>
        <w:t>A service provider</w:t>
      </w:r>
      <w:r w:rsidR="001E14BE" w:rsidRPr="001E14BE">
        <w:t xml:space="preserve"> has an incentive to</w:t>
      </w:r>
      <w:r w:rsidR="001E14BE">
        <w:t xml:space="preserve"> increase opex in the expected base year</w:t>
      </w:r>
      <w:r w:rsidR="001E14BE" w:rsidRPr="001E14BE">
        <w:t xml:space="preserve"> to increase its forecast opex allowance for the following regulatory control period.</w:t>
      </w:r>
    </w:p>
    <w:p w:rsidR="001E14BE" w:rsidRPr="001E14BE" w:rsidRDefault="00A35AA5" w:rsidP="00C93A62">
      <w:pPr>
        <w:pStyle w:val="AERnumberedlistfirststyle"/>
      </w:pPr>
      <w:r>
        <w:t>A service provider</w:t>
      </w:r>
      <w:r w:rsidR="001E14BE" w:rsidRPr="001E14BE">
        <w:t xml:space="preserve">'s incentive to make sustainable change to its practices, and reduce its recurrent opex, declines as the regulatory control period progresses. It then increases again after the base year used to forecast opex for the following regulatory control period. </w:t>
      </w:r>
    </w:p>
    <w:p w:rsidR="00A35AA5" w:rsidRDefault="001E14BE" w:rsidP="001E14BE">
      <w:r w:rsidRPr="001E14BE">
        <w:t xml:space="preserve">We address these issues by applying an EBSS in combination with a revealed cost forecasting approach. </w:t>
      </w:r>
      <w:r w:rsidR="00A35AA5">
        <w:t xml:space="preserve">Therefore, the EBSS serves </w:t>
      </w:r>
      <w:r w:rsidR="00DF6466">
        <w:t xml:space="preserve">these </w:t>
      </w:r>
      <w:r w:rsidR="00A35AA5">
        <w:t>specific functions based on the way opex is forecast in future periods.</w:t>
      </w:r>
      <w:r w:rsidR="008C131F">
        <w:t xml:space="preserve"> The current national version of the EBSS that has been made by the AER after consultation with relevant stakeholders is inherently based on forecasts of operating expenditure from a service provider's revealed costs.</w:t>
      </w:r>
    </w:p>
    <w:p w:rsidR="00403B7F" w:rsidRPr="009915A3" w:rsidRDefault="00403B7F" w:rsidP="00403B7F">
      <w:pPr>
        <w:pStyle w:val="AERbodytext"/>
      </w:pPr>
      <w:r w:rsidRPr="009915A3">
        <w:t xml:space="preserve">In our </w:t>
      </w:r>
      <w:r w:rsidRPr="009120D0">
        <w:t>Expenditure forecast assessment guideline</w:t>
      </w:r>
      <w:r w:rsidRPr="009915A3">
        <w:t>, we stated our preference is to continue with the revealed cost forecasting approach for forecasting opex. However, we noted that we will test whether the revealed costs of a service provider are efficient. If we find that the base year opex is materially inefficient, we will make an adjustment. This means that where we have evidence that a service provider's opex is materially inefficient, we will place less weight on its revealed costs in forecasting opex.</w:t>
      </w:r>
    </w:p>
    <w:p w:rsidR="00403B7F" w:rsidRPr="009915A3" w:rsidRDefault="00403B7F" w:rsidP="00403B7F">
      <w:pPr>
        <w:pStyle w:val="AERbodytext"/>
      </w:pPr>
      <w:r w:rsidRPr="009915A3">
        <w:t>Economic benchmark</w:t>
      </w:r>
      <w:r w:rsidR="00670E42">
        <w:t>ing</w:t>
      </w:r>
      <w:r w:rsidRPr="009915A3">
        <w:t xml:space="preserve"> indicate</w:t>
      </w:r>
      <w:r w:rsidR="00670E42">
        <w:t>s</w:t>
      </w:r>
      <w:r w:rsidRPr="009915A3">
        <w:t xml:space="preserve"> that </w:t>
      </w:r>
      <w:r w:rsidR="004932D2">
        <w:t>Ausgrid</w:t>
      </w:r>
      <w:r w:rsidR="0058364D">
        <w:t xml:space="preserve">'s opex is higher than opex incurred by a benchmark </w:t>
      </w:r>
      <w:r w:rsidR="00670E42">
        <w:t>efficient</w:t>
      </w:r>
      <w:r w:rsidRPr="009915A3">
        <w:t xml:space="preserve"> service provider. This is discussed in the </w:t>
      </w:r>
      <w:r w:rsidR="00DD35D7">
        <w:t xml:space="preserve">base opex appendix to </w:t>
      </w:r>
      <w:r w:rsidR="00DD35D7" w:rsidRPr="00DD35D7">
        <w:rPr>
          <w:rStyle w:val="AERbody"/>
        </w:rPr>
        <w:t>attachment 7</w:t>
      </w:r>
      <w:r w:rsidRPr="009915A3">
        <w:t xml:space="preserve">. We also note that </w:t>
      </w:r>
      <w:r w:rsidR="004932D2">
        <w:t>Ausgrid</w:t>
      </w:r>
      <w:r w:rsidRPr="009915A3">
        <w:t xml:space="preserve"> has just over three years before it submits its next regulatory proposal. Based on these factors it is uncertain whether</w:t>
      </w:r>
      <w:r w:rsidR="00670E42">
        <w:t>,</w:t>
      </w:r>
      <w:r w:rsidRPr="009915A3">
        <w:t xml:space="preserve"> and to what extent</w:t>
      </w:r>
      <w:r w:rsidR="00670E42">
        <w:t>,</w:t>
      </w:r>
      <w:r w:rsidRPr="009915A3">
        <w:t xml:space="preserve"> we are likely to rely on </w:t>
      </w:r>
      <w:r w:rsidR="004932D2">
        <w:t>Ausgrid's</w:t>
      </w:r>
      <w:r>
        <w:t xml:space="preserve"> revealed costs in the 2014–</w:t>
      </w:r>
      <w:r w:rsidRPr="009915A3">
        <w:t xml:space="preserve">19 period in forecasting opex in the </w:t>
      </w:r>
      <w:r w:rsidR="00670E42">
        <w:t>following</w:t>
      </w:r>
      <w:r w:rsidR="00670E42" w:rsidRPr="009915A3">
        <w:t xml:space="preserve"> </w:t>
      </w:r>
      <w:r w:rsidRPr="009915A3">
        <w:t xml:space="preserve">regulatory control period. </w:t>
      </w:r>
    </w:p>
    <w:p w:rsidR="00403B7F" w:rsidRDefault="00403B7F" w:rsidP="00403B7F">
      <w:pPr>
        <w:pStyle w:val="AERbodytext"/>
      </w:pPr>
      <w:r w:rsidRPr="009915A3">
        <w:t xml:space="preserve">If we do not use </w:t>
      </w:r>
      <w:r>
        <w:t xml:space="preserve">a </w:t>
      </w:r>
      <w:r w:rsidRPr="009915A3">
        <w:t>revealed costs approach for forecasting opex</w:t>
      </w:r>
      <w:r>
        <w:t xml:space="preserve"> in the future</w:t>
      </w:r>
      <w:r w:rsidRPr="009915A3">
        <w:t xml:space="preserve">, there is </w:t>
      </w:r>
      <w:r>
        <w:t>not a strong reason to</w:t>
      </w:r>
      <w:r w:rsidRPr="009915A3">
        <w:t xml:space="preserve"> apply the current version </w:t>
      </w:r>
      <w:r>
        <w:t xml:space="preserve">of the </w:t>
      </w:r>
      <w:r w:rsidRPr="009915A3">
        <w:t xml:space="preserve">EBSS. </w:t>
      </w:r>
    </w:p>
    <w:p w:rsidR="00403B7F" w:rsidRDefault="00403B7F" w:rsidP="00403B7F">
      <w:pPr>
        <w:pStyle w:val="AERbodytext"/>
      </w:pPr>
      <w:r>
        <w:t xml:space="preserve">For instance we consider </w:t>
      </w:r>
      <w:r w:rsidR="004932D2">
        <w:t>Ausgrid</w:t>
      </w:r>
      <w:r>
        <w:t xml:space="preserve"> will already face an incentive to make efficiency improvements while its actual opex is more than </w:t>
      </w:r>
      <w:r w:rsidR="0063423B">
        <w:t xml:space="preserve">that of </w:t>
      </w:r>
      <w:r>
        <w:t>a benchmark efficient service provider. We do not need to apply an EBSS to further strengthen its incentives.</w:t>
      </w:r>
    </w:p>
    <w:p w:rsidR="00403B7F" w:rsidRPr="009915A3" w:rsidRDefault="00403B7F" w:rsidP="00403B7F">
      <w:pPr>
        <w:pStyle w:val="AERbodytext"/>
      </w:pPr>
      <w:r>
        <w:t>I</w:t>
      </w:r>
      <w:r w:rsidRPr="009915A3">
        <w:t>n the case where we apply the EBSS in the 201</w:t>
      </w:r>
      <w:r w:rsidR="00177D8E">
        <w:t>5</w:t>
      </w:r>
      <w:r w:rsidRPr="009915A3">
        <w:t xml:space="preserve">–19 </w:t>
      </w:r>
      <w:r w:rsidR="00177D8E">
        <w:t xml:space="preserve">regulatory control </w:t>
      </w:r>
      <w:r w:rsidRPr="009915A3">
        <w:t>period but do</w:t>
      </w:r>
      <w:r>
        <w:t xml:space="preserve"> not</w:t>
      </w:r>
      <w:r w:rsidRPr="009915A3">
        <w:t xml:space="preserve"> rely on revealed costs to set forecast opex in the next regulatory control period, there are some potentially perverse outcomes</w:t>
      </w:r>
      <w:r>
        <w:t>. For instance</w:t>
      </w:r>
      <w:r w:rsidRPr="009915A3">
        <w:t xml:space="preserve"> a service provider will face high penalties if it continues to make incremental efficiency losses. It will receive negative EBSS carryovers as well as a </w:t>
      </w:r>
      <w:r>
        <w:t xml:space="preserve">benchmark opex </w:t>
      </w:r>
      <w:r>
        <w:lastRenderedPageBreak/>
        <w:t>allowance</w:t>
      </w:r>
      <w:r w:rsidRPr="009915A3">
        <w:t xml:space="preserve">. </w:t>
      </w:r>
      <w:r>
        <w:t>This</w:t>
      </w:r>
      <w:r w:rsidRPr="009915A3">
        <w:t xml:space="preserve"> outcome is </w:t>
      </w:r>
      <w:r>
        <w:t xml:space="preserve">not </w:t>
      </w:r>
      <w:r w:rsidRPr="009915A3">
        <w:t xml:space="preserve">consistent with what we are seeking to achieve with the application of the </w:t>
      </w:r>
      <w:r w:rsidRPr="00A35AA5">
        <w:t>EBSS</w:t>
      </w:r>
      <w:r>
        <w:t xml:space="preserve"> nor is it consistent with the implementation requirements for an EBSS set out in the NER</w:t>
      </w:r>
      <w:r w:rsidRPr="00A35AA5">
        <w:t>.</w:t>
      </w:r>
      <w:r>
        <w:rPr>
          <w:rStyle w:val="FootnoteReference"/>
        </w:rPr>
        <w:footnoteReference w:id="19"/>
      </w:r>
    </w:p>
    <w:p w:rsidR="001E14BE" w:rsidRDefault="0016551C" w:rsidP="007D109A">
      <w:r>
        <w:t xml:space="preserve">Ausgrid could make efficiency improvements such that it benchmarks well compared to </w:t>
      </w:r>
      <w:r w:rsidR="0058364D">
        <w:t xml:space="preserve">a benchmark </w:t>
      </w:r>
      <w:r w:rsidR="008F62C7">
        <w:t>efficient</w:t>
      </w:r>
      <w:r w:rsidRPr="0016551C">
        <w:t xml:space="preserve"> service provider</w:t>
      </w:r>
      <w:r w:rsidR="00CD5575">
        <w:t xml:space="preserve"> in the future</w:t>
      </w:r>
      <w:r>
        <w:t xml:space="preserve">. In </w:t>
      </w:r>
      <w:r w:rsidR="00A47603">
        <w:t xml:space="preserve">that </w:t>
      </w:r>
      <w:r>
        <w:t xml:space="preserve">case, we would </w:t>
      </w:r>
      <w:r w:rsidR="00A47603" w:rsidRPr="00CB14B3">
        <w:t>intend</w:t>
      </w:r>
      <w:r w:rsidR="00DD35D7" w:rsidRPr="00CB14B3">
        <w:t xml:space="preserve"> to </w:t>
      </w:r>
      <w:r w:rsidRPr="00CB14B3">
        <w:t xml:space="preserve">rely on its revealed costs to forecast opex, consistent with our </w:t>
      </w:r>
      <w:r w:rsidR="00F00659" w:rsidRPr="00CB14B3">
        <w:t xml:space="preserve">preferred approach in </w:t>
      </w:r>
      <w:r w:rsidR="00301110" w:rsidRPr="00CB14B3">
        <w:t xml:space="preserve">the </w:t>
      </w:r>
      <w:r w:rsidR="00F00659" w:rsidRPr="00CB14B3">
        <w:t xml:space="preserve">Expenditure </w:t>
      </w:r>
      <w:r w:rsidR="004E442F" w:rsidRPr="00CB14B3">
        <w:t>f</w:t>
      </w:r>
      <w:r w:rsidR="00F00659" w:rsidRPr="00CB14B3">
        <w:t xml:space="preserve">orecast </w:t>
      </w:r>
      <w:r w:rsidR="004E442F" w:rsidRPr="00CB14B3">
        <w:t>a</w:t>
      </w:r>
      <w:r w:rsidR="00F00659" w:rsidRPr="00CB14B3">
        <w:t xml:space="preserve">ssessment </w:t>
      </w:r>
      <w:r w:rsidR="004E442F" w:rsidRPr="00CB14B3">
        <w:t>g</w:t>
      </w:r>
      <w:r w:rsidR="00F00659" w:rsidRPr="00CB14B3">
        <w:t>uideline.</w:t>
      </w:r>
      <w:r w:rsidR="00F00659">
        <w:t xml:space="preserve"> </w:t>
      </w:r>
    </w:p>
    <w:p w:rsidR="00015B66" w:rsidRDefault="00015B66"/>
    <w:sectPr w:rsidR="00015B66" w:rsidSect="00456081">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1E6" w:rsidRPr="00AB4345" w:rsidRDefault="002471E6" w:rsidP="00AB4345">
      <w:r>
        <w:separator/>
      </w:r>
    </w:p>
  </w:endnote>
  <w:endnote w:type="continuationSeparator" w:id="0">
    <w:p w:rsidR="002471E6" w:rsidRPr="00AB4345" w:rsidRDefault="002471E6"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2471E6" w:rsidRPr="00824CC8" w:rsidRDefault="0078024E" w:rsidP="00824CC8">
        <w:pPr>
          <w:pStyle w:val="Footer"/>
        </w:pPr>
        <w:r>
          <w:t>9-</w:t>
        </w:r>
        <w:r w:rsidR="002471E6" w:rsidRPr="00824CC8">
          <w:fldChar w:fldCharType="begin"/>
        </w:r>
        <w:r w:rsidR="002471E6" w:rsidRPr="00824CC8">
          <w:instrText xml:space="preserve"> PAGE   \* MERGEFORMAT </w:instrText>
        </w:r>
        <w:r w:rsidR="002471E6" w:rsidRPr="00824CC8">
          <w:fldChar w:fldCharType="separate"/>
        </w:r>
        <w:r w:rsidR="003900BF">
          <w:rPr>
            <w:noProof/>
          </w:rPr>
          <w:t>2</w:t>
        </w:r>
        <w:r w:rsidR="002471E6" w:rsidRPr="00824CC8">
          <w:fldChar w:fldCharType="end"/>
        </w:r>
        <w:r w:rsidR="002471E6" w:rsidRPr="00824CC8">
          <w:tab/>
        </w:r>
        <w:r>
          <w:t xml:space="preserve">                                                          </w:t>
        </w:r>
        <w:r w:rsidRPr="000A7330">
          <w:rPr>
            <w:rStyle w:val="AERbody"/>
          </w:rPr>
          <w:t xml:space="preserve">Attachment </w:t>
        </w:r>
        <w:r>
          <w:rPr>
            <w:rStyle w:val="AERbody"/>
          </w:rPr>
          <w:t>9</w:t>
        </w:r>
        <w:r w:rsidRPr="000A7330">
          <w:rPr>
            <w:rStyle w:val="AERbody"/>
          </w:rPr>
          <w:t xml:space="preserve">: </w:t>
        </w:r>
        <w:r>
          <w:rPr>
            <w:rStyle w:val="AERbody"/>
          </w:rPr>
          <w:t>EBSS</w:t>
        </w:r>
        <w:r w:rsidRPr="000A7330">
          <w:rPr>
            <w:rStyle w:val="AERbody"/>
          </w:rPr>
          <w:t xml:space="preserve"> </w:t>
        </w:r>
        <w:r w:rsidRPr="00824CC8">
          <w:rPr>
            <w:rStyle w:val="AERbody"/>
          </w:rPr>
          <w:t xml:space="preserve">| </w:t>
        </w:r>
        <w:r>
          <w:rPr>
            <w:rStyle w:val="AERbody"/>
          </w:rPr>
          <w:t>Ausgrid draft decision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1E6" w:rsidRPr="00824CC8" w:rsidRDefault="0078024E" w:rsidP="00824CC8">
    <w:pPr>
      <w:pStyle w:val="Footer"/>
      <w:rPr>
        <w:rStyle w:val="AERbody"/>
      </w:rPr>
    </w:pPr>
    <w:r w:rsidRPr="000A7330">
      <w:rPr>
        <w:rStyle w:val="AERbody"/>
      </w:rPr>
      <w:t xml:space="preserve">Attachment </w:t>
    </w:r>
    <w:r>
      <w:rPr>
        <w:rStyle w:val="AERbody"/>
      </w:rPr>
      <w:t>9</w:t>
    </w:r>
    <w:r w:rsidRPr="000A7330">
      <w:rPr>
        <w:rStyle w:val="AERbody"/>
      </w:rPr>
      <w:t xml:space="preserve">: </w:t>
    </w:r>
    <w:r>
      <w:rPr>
        <w:rStyle w:val="AERbody"/>
      </w:rPr>
      <w:t>EBSS</w:t>
    </w:r>
    <w:r w:rsidRPr="000A7330">
      <w:rPr>
        <w:rStyle w:val="AERbody"/>
      </w:rPr>
      <w:t xml:space="preserve"> </w:t>
    </w:r>
    <w:r w:rsidRPr="00824CC8">
      <w:rPr>
        <w:rStyle w:val="AERbody"/>
      </w:rPr>
      <w:t xml:space="preserve">| </w:t>
    </w:r>
    <w:r>
      <w:rPr>
        <w:rStyle w:val="AERbody"/>
      </w:rPr>
      <w:t>Ausgrid draft decision</w:t>
    </w:r>
    <w:r w:rsidR="002471E6" w:rsidRPr="00210880">
      <w:rPr>
        <w:rStyle w:val="AERbody"/>
      </w:rPr>
      <w:tab/>
    </w:r>
    <w:r>
      <w:rPr>
        <w:rStyle w:val="AERbody"/>
      </w:rPr>
      <w:tab/>
      <w:t>9-</w:t>
    </w:r>
    <w:r w:rsidR="002471E6" w:rsidRPr="00824CC8">
      <w:rPr>
        <w:rStyle w:val="AERbody"/>
      </w:rPr>
      <w:fldChar w:fldCharType="begin"/>
    </w:r>
    <w:r w:rsidR="002471E6" w:rsidRPr="00824CC8">
      <w:rPr>
        <w:rStyle w:val="AERbody"/>
      </w:rPr>
      <w:instrText xml:space="preserve"> PAGE   \* MERGEFORMAT </w:instrText>
    </w:r>
    <w:r w:rsidR="002471E6" w:rsidRPr="00824CC8">
      <w:rPr>
        <w:rStyle w:val="AERbody"/>
      </w:rPr>
      <w:fldChar w:fldCharType="separate"/>
    </w:r>
    <w:r w:rsidR="003900BF">
      <w:rPr>
        <w:rStyle w:val="AERbody"/>
        <w:noProof/>
      </w:rPr>
      <w:t>1</w:t>
    </w:r>
    <w:r w:rsidR="002471E6"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1E6" w:rsidRPr="00AB4345" w:rsidRDefault="002471E6" w:rsidP="00AB4345">
      <w:r>
        <w:separator/>
      </w:r>
    </w:p>
  </w:footnote>
  <w:footnote w:type="continuationSeparator" w:id="0">
    <w:p w:rsidR="002471E6" w:rsidRPr="00AB4345" w:rsidRDefault="002471E6" w:rsidP="00AB4345">
      <w:r>
        <w:continuationSeparator/>
      </w:r>
    </w:p>
  </w:footnote>
  <w:footnote w:id="1">
    <w:p w:rsidR="006F0324" w:rsidRDefault="006F0324">
      <w:pPr>
        <w:pStyle w:val="FootnoteText"/>
      </w:pPr>
      <w:r>
        <w:rPr>
          <w:rStyle w:val="FootnoteReference"/>
        </w:rPr>
        <w:footnoteRef/>
      </w:r>
      <w:r>
        <w:t xml:space="preserve"> </w:t>
      </w:r>
      <w:r>
        <w:tab/>
        <w:t xml:space="preserve">AER, </w:t>
      </w:r>
      <w:r w:rsidRPr="006F0324">
        <w:rPr>
          <w:rStyle w:val="AERtextitalic"/>
        </w:rPr>
        <w:t>Efficiency benefit sharing scheme for the ACT and NSW 2009 distribution determinations</w:t>
      </w:r>
      <w:r>
        <w:t>, February 2008.</w:t>
      </w:r>
    </w:p>
  </w:footnote>
  <w:footnote w:id="2">
    <w:p w:rsidR="00547EDD" w:rsidRDefault="00547EDD">
      <w:pPr>
        <w:pStyle w:val="FootnoteText"/>
      </w:pPr>
      <w:r>
        <w:rPr>
          <w:rStyle w:val="FootnoteReference"/>
        </w:rPr>
        <w:footnoteRef/>
      </w:r>
      <w:r>
        <w:t xml:space="preserve"> </w:t>
      </w:r>
      <w:r>
        <w:tab/>
        <w:t xml:space="preserve">Note. In the PTRM Ausgrid </w:t>
      </w:r>
      <w:r w:rsidR="00B47321">
        <w:t>estimated</w:t>
      </w:r>
      <w:r>
        <w:t xml:space="preserve"> EBSS carryovers of $426.3 million ($2013–14)</w:t>
      </w:r>
      <w:r w:rsidR="009120D0">
        <w:t>.</w:t>
      </w:r>
    </w:p>
  </w:footnote>
  <w:footnote w:id="3">
    <w:p w:rsidR="004932D2" w:rsidRDefault="004932D2">
      <w:pPr>
        <w:pStyle w:val="FootnoteText"/>
      </w:pPr>
      <w:r>
        <w:rPr>
          <w:rStyle w:val="FootnoteReference"/>
        </w:rPr>
        <w:footnoteRef/>
      </w:r>
      <w:r>
        <w:t xml:space="preserve"> </w:t>
      </w:r>
      <w:r>
        <w:tab/>
        <w:t>We have previously determined that the EBSS would apply to Ausgrid in the 2014–15 regulatory control</w:t>
      </w:r>
      <w:r w:rsidRPr="00CA5234">
        <w:t xml:space="preserve"> period as if it were the first year of the 2015</w:t>
      </w:r>
      <w:r>
        <w:t>–</w:t>
      </w:r>
      <w:r w:rsidRPr="00CA5234">
        <w:t>19 regulatory control period (that is,</w:t>
      </w:r>
      <w:r>
        <w:t xml:space="preserve"> the first year in a period running from 2014–19).</w:t>
      </w:r>
      <w:r w:rsidRPr="001A7E3D">
        <w:rPr>
          <w:rStyle w:val="FootnoteReference"/>
        </w:rPr>
        <w:footnoteRef/>
      </w:r>
      <w:r w:rsidRPr="00CA5234">
        <w:t xml:space="preserve">  The effect of our draft decision is that no expenditure will </w:t>
      </w:r>
      <w:r>
        <w:t xml:space="preserve">therefore </w:t>
      </w:r>
      <w:r w:rsidRPr="00CA5234">
        <w:t>be subject to the EBSS during the 2014</w:t>
      </w:r>
      <w:r>
        <w:t>–</w:t>
      </w:r>
      <w:r w:rsidRPr="00CA5234">
        <w:t>19</w:t>
      </w:r>
      <w:r w:rsidRPr="001A7E3D">
        <w:t xml:space="preserve"> period</w:t>
      </w:r>
      <w:r w:rsidRPr="00CA5234">
        <w:t>.</w:t>
      </w:r>
      <w:r w:rsidRPr="004932D2">
        <w:t xml:space="preserve"> </w:t>
      </w:r>
      <w:r>
        <w:t xml:space="preserve">See </w:t>
      </w:r>
      <w:r w:rsidRPr="004932D2">
        <w:t xml:space="preserve">AER, </w:t>
      </w:r>
      <w:r w:rsidRPr="004932D2">
        <w:rPr>
          <w:rStyle w:val="AERtextitalic"/>
        </w:rPr>
        <w:t>Ausgrid, Endeavour Energy, Essential Energy, ActewAGL - Transitional distribution decision 2014–15</w:t>
      </w:r>
      <w:r w:rsidRPr="004932D2">
        <w:t>, 16 April 2014, pp. 47</w:t>
      </w:r>
      <w:r w:rsidR="009120D0">
        <w:rPr>
          <w:rFonts w:cs="Gautami"/>
        </w:rPr>
        <w:t>–</w:t>
      </w:r>
      <w:r w:rsidRPr="004932D2">
        <w:t>48.</w:t>
      </w:r>
    </w:p>
  </w:footnote>
  <w:footnote w:id="4">
    <w:p w:rsidR="00F743BA" w:rsidRDefault="00F743BA" w:rsidP="00F97FD2">
      <w:pPr>
        <w:pStyle w:val="FootnoteText"/>
      </w:pPr>
      <w:r>
        <w:rPr>
          <w:rStyle w:val="FootnoteReference"/>
        </w:rPr>
        <w:footnoteRef/>
      </w:r>
      <w:r>
        <w:t xml:space="preserve"> </w:t>
      </w:r>
      <w:r>
        <w:tab/>
      </w:r>
      <w:r w:rsidR="00F97FD2" w:rsidRPr="00F97FD2">
        <w:t>Ausgrid</w:t>
      </w:r>
      <w:r w:rsidR="00F97FD2" w:rsidRPr="00C31352">
        <w:rPr>
          <w:rStyle w:val="AERtextitalic"/>
        </w:rPr>
        <w:t>, RIN template response</w:t>
      </w:r>
      <w:r w:rsidR="00F97FD2">
        <w:t xml:space="preserve">, table 7.51; </w:t>
      </w:r>
      <w:r>
        <w:t xml:space="preserve">Ausgrid, </w:t>
      </w:r>
      <w:r w:rsidRPr="00F743BA">
        <w:rPr>
          <w:rStyle w:val="AERtextitalic"/>
        </w:rPr>
        <w:t>Revenue proposal</w:t>
      </w:r>
      <w:r>
        <w:t xml:space="preserve">, </w:t>
      </w:r>
      <w:r w:rsidR="00F97FD2">
        <w:t xml:space="preserve">May 2014, </w:t>
      </w:r>
      <w:r>
        <w:t>p</w:t>
      </w:r>
      <w:r w:rsidR="00F97FD2">
        <w:t>p</w:t>
      </w:r>
      <w:r>
        <w:t xml:space="preserve">. </w:t>
      </w:r>
      <w:r w:rsidR="00F97FD2">
        <w:t xml:space="preserve">22, </w:t>
      </w:r>
      <w:r>
        <w:t>54. Ausgrid calculated a total carryover of $</w:t>
      </w:r>
      <w:r w:rsidR="002A30B8">
        <w:t>454</w:t>
      </w:r>
      <w:r>
        <w:t>.</w:t>
      </w:r>
      <w:r w:rsidR="002A30B8">
        <w:t xml:space="preserve">7 </w:t>
      </w:r>
      <w:r>
        <w:t>million ($ nominal) which is equal to $427.5 million ($2013-14).</w:t>
      </w:r>
    </w:p>
  </w:footnote>
  <w:footnote w:id="5">
    <w:p w:rsidR="00F743BA" w:rsidRDefault="00F743BA">
      <w:pPr>
        <w:pStyle w:val="FootnoteText"/>
      </w:pPr>
      <w:r>
        <w:rPr>
          <w:rStyle w:val="FootnoteReference"/>
        </w:rPr>
        <w:footnoteRef/>
      </w:r>
      <w:r>
        <w:t xml:space="preserve"> </w:t>
      </w:r>
      <w:r>
        <w:tab/>
        <w:t xml:space="preserve">Ausgrid, </w:t>
      </w:r>
      <w:r w:rsidRPr="00F743BA">
        <w:rPr>
          <w:rStyle w:val="AERtextitalic"/>
        </w:rPr>
        <w:t>Revenue proposal</w:t>
      </w:r>
      <w:r>
        <w:t xml:space="preserve">, </w:t>
      </w:r>
      <w:r w:rsidR="00F97FD2">
        <w:t xml:space="preserve">May 2014, </w:t>
      </w:r>
      <w:r>
        <w:t>p. 18.</w:t>
      </w:r>
    </w:p>
  </w:footnote>
  <w:footnote w:id="6">
    <w:p w:rsidR="00FB2ADB" w:rsidRDefault="00FB2ADB" w:rsidP="00FB2ADB">
      <w:pPr>
        <w:pStyle w:val="FootnoteText"/>
      </w:pPr>
      <w:r>
        <w:rPr>
          <w:rStyle w:val="FootnoteReference"/>
        </w:rPr>
        <w:footnoteRef/>
      </w:r>
      <w:r w:rsidR="009120D0">
        <w:t xml:space="preserve"> </w:t>
      </w:r>
      <w:r w:rsidR="009120D0">
        <w:tab/>
        <w:t>NER, cl.</w:t>
      </w:r>
      <w:r>
        <w:t xml:space="preserve"> 6.4.3(a)(5).</w:t>
      </w:r>
    </w:p>
  </w:footnote>
  <w:footnote w:id="7">
    <w:p w:rsidR="0089591C" w:rsidRDefault="0089591C" w:rsidP="0089591C">
      <w:pPr>
        <w:pStyle w:val="FootnoteText"/>
      </w:pPr>
      <w:r>
        <w:rPr>
          <w:rStyle w:val="FootnoteReference"/>
        </w:rPr>
        <w:footnoteRef/>
      </w:r>
      <w:r w:rsidR="009120D0">
        <w:t xml:space="preserve"> </w:t>
      </w:r>
      <w:r w:rsidR="009120D0">
        <w:tab/>
        <w:t>NER, cl. 6.3.2(a)(3); cl.</w:t>
      </w:r>
      <w:r w:rsidR="00B6582C">
        <w:t xml:space="preserve"> 6.12.1(9</w:t>
      </w:r>
      <w:r>
        <w:t>).</w:t>
      </w:r>
    </w:p>
  </w:footnote>
  <w:footnote w:id="8">
    <w:p w:rsidR="0089591C" w:rsidRDefault="0089591C" w:rsidP="0089591C">
      <w:pPr>
        <w:pStyle w:val="FootnoteText"/>
      </w:pPr>
      <w:r>
        <w:rPr>
          <w:rStyle w:val="FootnoteReference"/>
        </w:rPr>
        <w:footnoteRef/>
      </w:r>
      <w:r w:rsidR="009120D0">
        <w:t xml:space="preserve"> </w:t>
      </w:r>
      <w:r w:rsidR="009120D0">
        <w:tab/>
        <w:t>NER, cl.</w:t>
      </w:r>
      <w:r w:rsidR="00B6582C">
        <w:t xml:space="preserve"> 6.5.8</w:t>
      </w:r>
      <w:r>
        <w:t>(a).</w:t>
      </w:r>
    </w:p>
  </w:footnote>
  <w:footnote w:id="9">
    <w:p w:rsidR="0089591C" w:rsidRDefault="0089591C" w:rsidP="0089591C">
      <w:pPr>
        <w:pStyle w:val="FootnoteText"/>
      </w:pPr>
      <w:r>
        <w:rPr>
          <w:rStyle w:val="FootnoteReference"/>
        </w:rPr>
        <w:footnoteRef/>
      </w:r>
      <w:r w:rsidR="009120D0">
        <w:t xml:space="preserve"> </w:t>
      </w:r>
      <w:r w:rsidR="009120D0">
        <w:tab/>
        <w:t xml:space="preserve">NER, cl. </w:t>
      </w:r>
      <w:r w:rsidR="00B6582C">
        <w:t>6.5.8(c</w:t>
      </w:r>
      <w:r>
        <w:t>).</w:t>
      </w:r>
    </w:p>
  </w:footnote>
  <w:footnote w:id="10">
    <w:p w:rsidR="00042340" w:rsidRDefault="00042340" w:rsidP="00042340">
      <w:pPr>
        <w:pStyle w:val="FootnoteText"/>
      </w:pPr>
      <w:r>
        <w:rPr>
          <w:rStyle w:val="FootnoteReference"/>
        </w:rPr>
        <w:footnoteRef/>
      </w:r>
      <w:r>
        <w:t xml:space="preserve"> </w:t>
      </w:r>
      <w:r>
        <w:tab/>
        <w:t xml:space="preserve">AER, </w:t>
      </w:r>
      <w:r w:rsidRPr="006F0324">
        <w:rPr>
          <w:rStyle w:val="AERtextitalic"/>
        </w:rPr>
        <w:t>Efficiency benefit sharing scheme for the ACT and NSW 2009 distribution determinations</w:t>
      </w:r>
      <w:r>
        <w:t>, February 2008, pp. 4</w:t>
      </w:r>
      <w:r w:rsidR="009120D0">
        <w:rPr>
          <w:rFonts w:cs="Gautami"/>
        </w:rPr>
        <w:t>–</w:t>
      </w:r>
      <w:r>
        <w:t>5.</w:t>
      </w:r>
    </w:p>
  </w:footnote>
  <w:footnote w:id="11">
    <w:p w:rsidR="001A7E3D" w:rsidRDefault="001A7E3D">
      <w:pPr>
        <w:pStyle w:val="FootnoteText"/>
      </w:pPr>
      <w:r>
        <w:rPr>
          <w:rStyle w:val="FootnoteReference"/>
        </w:rPr>
        <w:footnoteRef/>
      </w:r>
      <w:r>
        <w:t xml:space="preserve"> </w:t>
      </w:r>
      <w:r>
        <w:tab/>
        <w:t xml:space="preserve">AER, </w:t>
      </w:r>
      <w:r w:rsidRPr="006F0324">
        <w:rPr>
          <w:rStyle w:val="AERtextitalic"/>
        </w:rPr>
        <w:t>Efficiency benefit sharing scheme for the ACT and NSW 2009 distribution determinations</w:t>
      </w:r>
      <w:r>
        <w:t>, February 2008</w:t>
      </w:r>
      <w:r w:rsidR="00D00D25">
        <w:t>.</w:t>
      </w:r>
    </w:p>
  </w:footnote>
  <w:footnote w:id="12">
    <w:p w:rsidR="00042340" w:rsidRDefault="00042340" w:rsidP="00042340">
      <w:pPr>
        <w:pStyle w:val="FootnoteText"/>
      </w:pPr>
      <w:r>
        <w:rPr>
          <w:rStyle w:val="FootnoteReference"/>
        </w:rPr>
        <w:footnoteRef/>
      </w:r>
      <w:r>
        <w:t xml:space="preserve"> </w:t>
      </w:r>
      <w:r>
        <w:tab/>
        <w:t xml:space="preserve">AER, </w:t>
      </w:r>
      <w:r w:rsidRPr="006F0324">
        <w:rPr>
          <w:rStyle w:val="AERtextitalic"/>
        </w:rPr>
        <w:t>Efficiency benefit sharing scheme for the ACT and NSW 2009 distribution determinations</w:t>
      </w:r>
      <w:r>
        <w:t>, February 2008, pp. 4</w:t>
      </w:r>
      <w:r w:rsidR="009120D0">
        <w:rPr>
          <w:rFonts w:cs="Gautami"/>
        </w:rPr>
        <w:t>–</w:t>
      </w:r>
      <w:r>
        <w:t>5.</w:t>
      </w:r>
    </w:p>
  </w:footnote>
  <w:footnote w:id="13">
    <w:p w:rsidR="004932D2" w:rsidRDefault="004932D2" w:rsidP="004932D2">
      <w:pPr>
        <w:pStyle w:val="FootnoteText"/>
      </w:pPr>
      <w:r>
        <w:rPr>
          <w:rStyle w:val="FootnoteReference"/>
        </w:rPr>
        <w:footnoteRef/>
      </w:r>
      <w:r>
        <w:t xml:space="preserve"> </w:t>
      </w:r>
      <w:r>
        <w:tab/>
        <w:t xml:space="preserve">AER, </w:t>
      </w:r>
      <w:r w:rsidRPr="006F0324">
        <w:rPr>
          <w:rStyle w:val="AERtextitalic"/>
        </w:rPr>
        <w:t>Efficiency benefit sharing scheme for the ACT and NSW 2009 distribution determinations</w:t>
      </w:r>
      <w:r>
        <w:t>, February 2008</w:t>
      </w:r>
      <w:r w:rsidR="00F57BA3">
        <w:t>,</w:t>
      </w:r>
      <w:r>
        <w:t xml:space="preserve"> p.</w:t>
      </w:r>
      <w:r w:rsidR="00F57BA3">
        <w:t xml:space="preserve"> </w:t>
      </w:r>
      <w:r>
        <w:t>6.</w:t>
      </w:r>
    </w:p>
  </w:footnote>
  <w:footnote w:id="14">
    <w:p w:rsidR="00C57D34" w:rsidRDefault="00C57D34" w:rsidP="00C57D34">
      <w:pPr>
        <w:pStyle w:val="FootnoteText"/>
      </w:pPr>
      <w:r>
        <w:rPr>
          <w:rStyle w:val="FootnoteReference"/>
        </w:rPr>
        <w:footnoteRef/>
      </w:r>
      <w:r>
        <w:t xml:space="preserve"> </w:t>
      </w:r>
      <w:r>
        <w:tab/>
        <w:t>AASB 137, clause 11, p. 13.</w:t>
      </w:r>
    </w:p>
  </w:footnote>
  <w:footnote w:id="15">
    <w:p w:rsidR="007A596B" w:rsidRDefault="007A596B" w:rsidP="00301110">
      <w:pPr>
        <w:pStyle w:val="FootnoteText"/>
      </w:pPr>
      <w:r>
        <w:rPr>
          <w:rStyle w:val="FootnoteReference"/>
        </w:rPr>
        <w:footnoteRef/>
      </w:r>
      <w:r>
        <w:t xml:space="preserve"> </w:t>
      </w:r>
      <w:r>
        <w:tab/>
        <w:t xml:space="preserve">CCP, </w:t>
      </w:r>
      <w:r w:rsidRPr="002600B1">
        <w:rPr>
          <w:rStyle w:val="AERtextitalic"/>
        </w:rPr>
        <w:t>Submission on NSW DNSPs regulatory proposals 2014</w:t>
      </w:r>
      <w:r>
        <w:rPr>
          <w:rStyle w:val="AERtextitalic"/>
        </w:rPr>
        <w:t>-</w:t>
      </w:r>
      <w:r w:rsidRPr="002600B1">
        <w:rPr>
          <w:rStyle w:val="AERtextitalic"/>
        </w:rPr>
        <w:t>19 (updated)</w:t>
      </w:r>
      <w:r>
        <w:t>,</w:t>
      </w:r>
      <w:r w:rsidRPr="002600B1">
        <w:t>15 August 2014</w:t>
      </w:r>
      <w:r>
        <w:t>, p. 30.</w:t>
      </w:r>
      <w:r w:rsidR="00301110">
        <w:t xml:space="preserve"> </w:t>
      </w:r>
      <w:r w:rsidRPr="00911848">
        <w:t>AGL</w:t>
      </w:r>
      <w:r>
        <w:t xml:space="preserve">, </w:t>
      </w:r>
      <w:r w:rsidRPr="00911848">
        <w:rPr>
          <w:rStyle w:val="AERtextitalic"/>
        </w:rPr>
        <w:t>Submission on NSW DNSPs regulatory proposals</w:t>
      </w:r>
      <w:r>
        <w:t>,</w:t>
      </w:r>
      <w:r w:rsidRPr="00911848">
        <w:t xml:space="preserve"> 8 August 2014</w:t>
      </w:r>
      <w:r w:rsidR="009120D0">
        <w:t>, pp.15</w:t>
      </w:r>
      <w:r w:rsidR="009120D0">
        <w:rPr>
          <w:rFonts w:cs="Gautami"/>
        </w:rPr>
        <w:t>–</w:t>
      </w:r>
      <w:r>
        <w:t>18.</w:t>
      </w:r>
      <w:r w:rsidR="00301110">
        <w:t xml:space="preserve"> </w:t>
      </w:r>
      <w:r>
        <w:t>EMRF,</w:t>
      </w:r>
      <w:r w:rsidRPr="008052A9">
        <w:t xml:space="preserve"> </w:t>
      </w:r>
      <w:r w:rsidRPr="000D37D6">
        <w:rPr>
          <w:rStyle w:val="AERtextitalic"/>
        </w:rPr>
        <w:t>Submission to NSW DNSPs regulatory proposals</w:t>
      </w:r>
      <w:r>
        <w:t>, July</w:t>
      </w:r>
      <w:r w:rsidRPr="008052A9">
        <w:t xml:space="preserve"> 2014</w:t>
      </w:r>
      <w:r>
        <w:t>, p 44.</w:t>
      </w:r>
      <w:r w:rsidR="00301110">
        <w:t xml:space="preserve"> </w:t>
      </w:r>
      <w:r>
        <w:t xml:space="preserve">EUAA, </w:t>
      </w:r>
      <w:r w:rsidRPr="00911848">
        <w:rPr>
          <w:rStyle w:val="AERtextitalic"/>
        </w:rPr>
        <w:t>Submission on NSW DNSPs regulatory proposals</w:t>
      </w:r>
      <w:r>
        <w:t>,</w:t>
      </w:r>
      <w:r w:rsidRPr="00911848">
        <w:t xml:space="preserve"> 8 August 2014</w:t>
      </w:r>
      <w:r>
        <w:t>, pp. 3, 11.</w:t>
      </w:r>
      <w:r w:rsidR="00301110">
        <w:t xml:space="preserve"> </w:t>
      </w:r>
      <w:r>
        <w:t xml:space="preserve">NGF, </w:t>
      </w:r>
      <w:r w:rsidRPr="000D37D6">
        <w:rPr>
          <w:rStyle w:val="AERtextitalic"/>
        </w:rPr>
        <w:t>Submission to NSW DNSPs regulatory proposals</w:t>
      </w:r>
      <w:r>
        <w:t>, 30 June</w:t>
      </w:r>
      <w:r w:rsidRPr="008052A9">
        <w:t xml:space="preserve"> 2014</w:t>
      </w:r>
      <w:r>
        <w:t>, pp. 1, 9-10.</w:t>
      </w:r>
      <w:r w:rsidR="00301110">
        <w:t xml:space="preserve"> </w:t>
      </w:r>
      <w:r>
        <w:t xml:space="preserve">PIAC, </w:t>
      </w:r>
      <w:r w:rsidRPr="000D37D6">
        <w:rPr>
          <w:rStyle w:val="AERtextitalic"/>
        </w:rPr>
        <w:t>Submission to NSW DNSPs regulatory proposals</w:t>
      </w:r>
      <w:r>
        <w:t>, 8 August</w:t>
      </w:r>
      <w:r w:rsidRPr="008052A9">
        <w:t xml:space="preserve"> 2014</w:t>
      </w:r>
      <w:r w:rsidR="009120D0">
        <w:t>, pp. 16</w:t>
      </w:r>
      <w:r w:rsidR="009120D0">
        <w:rPr>
          <w:rFonts w:cs="Gautami"/>
        </w:rPr>
        <w:t>–</w:t>
      </w:r>
      <w:r>
        <w:t>17.</w:t>
      </w:r>
    </w:p>
  </w:footnote>
  <w:footnote w:id="16">
    <w:p w:rsidR="00403B7F" w:rsidRDefault="00403B7F">
      <w:pPr>
        <w:pStyle w:val="FootnoteText"/>
      </w:pPr>
      <w:r>
        <w:rPr>
          <w:rStyle w:val="FootnoteReference"/>
        </w:rPr>
        <w:footnoteRef/>
      </w:r>
      <w:r>
        <w:t xml:space="preserve"> </w:t>
      </w:r>
      <w:r>
        <w:tab/>
        <w:t>We have previously determined that the EBSS will apply to Ausgrid in the 2014–15 regulatory control</w:t>
      </w:r>
      <w:r w:rsidRPr="00CA5234">
        <w:t xml:space="preserve"> period as if it were the first year of the 2015</w:t>
      </w:r>
      <w:r>
        <w:t>–</w:t>
      </w:r>
      <w:r w:rsidRPr="00CA5234">
        <w:t>19 regulatory control period (that is,</w:t>
      </w:r>
      <w:r>
        <w:t xml:space="preserve"> the first year in a period running from 2014–19).</w:t>
      </w:r>
      <w:r w:rsidRPr="00CA5234">
        <w:t xml:space="preserve"> The effect of our draft decision is that no expenditure will </w:t>
      </w:r>
      <w:r>
        <w:t xml:space="preserve">therefore </w:t>
      </w:r>
      <w:r w:rsidRPr="00CA5234">
        <w:t>be subject to the EBSS during the 2014</w:t>
      </w:r>
      <w:r>
        <w:t>–</w:t>
      </w:r>
      <w:r w:rsidRPr="00CA5234">
        <w:t>19</w:t>
      </w:r>
      <w:r w:rsidRPr="001A7E3D">
        <w:t xml:space="preserve"> period</w:t>
      </w:r>
      <w:r w:rsidRPr="00CA5234">
        <w:t>.</w:t>
      </w:r>
      <w:r w:rsidRPr="00403B7F">
        <w:t xml:space="preserve"> </w:t>
      </w:r>
      <w:r>
        <w:t xml:space="preserve">See AER, </w:t>
      </w:r>
      <w:r w:rsidRPr="001405C3">
        <w:rPr>
          <w:rStyle w:val="AERtextitalic"/>
        </w:rPr>
        <w:t>Ausgrid</w:t>
      </w:r>
      <w:r>
        <w:rPr>
          <w:rStyle w:val="AERtextitalic"/>
        </w:rPr>
        <w:t xml:space="preserve">, </w:t>
      </w:r>
      <w:r w:rsidRPr="001405C3">
        <w:rPr>
          <w:rStyle w:val="AERtextitalic"/>
        </w:rPr>
        <w:t>Endeavour Energy</w:t>
      </w:r>
      <w:r>
        <w:rPr>
          <w:rStyle w:val="AERtextitalic"/>
        </w:rPr>
        <w:t xml:space="preserve">, </w:t>
      </w:r>
      <w:r w:rsidRPr="001405C3">
        <w:rPr>
          <w:rStyle w:val="AERtextitalic"/>
        </w:rPr>
        <w:t>Essential Energy</w:t>
      </w:r>
      <w:r>
        <w:rPr>
          <w:rStyle w:val="AERtextitalic"/>
        </w:rPr>
        <w:t xml:space="preserve">, </w:t>
      </w:r>
      <w:r w:rsidRPr="001405C3">
        <w:rPr>
          <w:rStyle w:val="AERtextitalic"/>
        </w:rPr>
        <w:t>ActewAGL</w:t>
      </w:r>
      <w:r>
        <w:rPr>
          <w:rStyle w:val="AERtextitalic"/>
        </w:rPr>
        <w:t xml:space="preserve"> - </w:t>
      </w:r>
      <w:r w:rsidRPr="001405C3">
        <w:rPr>
          <w:rStyle w:val="AERtextitalic"/>
        </w:rPr>
        <w:t>Tra</w:t>
      </w:r>
      <w:r>
        <w:rPr>
          <w:rStyle w:val="AERtextitalic"/>
        </w:rPr>
        <w:t xml:space="preserve">nsitional distribution decision </w:t>
      </w:r>
      <w:r w:rsidRPr="001405C3">
        <w:rPr>
          <w:rStyle w:val="AERtextitalic"/>
        </w:rPr>
        <w:t>2014–15</w:t>
      </w:r>
      <w:r>
        <w:t>,</w:t>
      </w:r>
      <w:r w:rsidRPr="001405C3">
        <w:t xml:space="preserve"> 16 April 2014</w:t>
      </w:r>
      <w:r w:rsidR="009120D0">
        <w:t>, pp. 47</w:t>
      </w:r>
      <w:r w:rsidR="009120D0">
        <w:rPr>
          <w:rFonts w:cs="Gautami"/>
        </w:rPr>
        <w:t>–</w:t>
      </w:r>
      <w:r>
        <w:t>48.</w:t>
      </w:r>
    </w:p>
  </w:footnote>
  <w:footnote w:id="17">
    <w:p w:rsidR="000D2ACE" w:rsidRDefault="000D2ACE" w:rsidP="00301110">
      <w:pPr>
        <w:pStyle w:val="FootnoteText"/>
      </w:pPr>
      <w:r>
        <w:rPr>
          <w:rStyle w:val="FootnoteReference"/>
        </w:rPr>
        <w:footnoteRef/>
      </w:r>
      <w:r>
        <w:t xml:space="preserve"> </w:t>
      </w:r>
      <w:r>
        <w:tab/>
        <w:t xml:space="preserve">CCP, </w:t>
      </w:r>
      <w:r w:rsidRPr="002600B1">
        <w:rPr>
          <w:rStyle w:val="AERtextitalic"/>
        </w:rPr>
        <w:t>Submission on NSW DNSPs regulatory proposals 2014</w:t>
      </w:r>
      <w:r>
        <w:rPr>
          <w:rStyle w:val="AERtextitalic"/>
        </w:rPr>
        <w:t>-</w:t>
      </w:r>
      <w:r w:rsidRPr="002600B1">
        <w:rPr>
          <w:rStyle w:val="AERtextitalic"/>
        </w:rPr>
        <w:t>19 (updated)</w:t>
      </w:r>
      <w:r>
        <w:t>,</w:t>
      </w:r>
      <w:r w:rsidRPr="002600B1">
        <w:t>15 August 2014</w:t>
      </w:r>
      <w:r>
        <w:t>, p. 30.</w:t>
      </w:r>
      <w:r w:rsidR="00301110">
        <w:t xml:space="preserve"> </w:t>
      </w:r>
      <w:r w:rsidRPr="00911848">
        <w:t>AGL</w:t>
      </w:r>
      <w:r>
        <w:t xml:space="preserve">, </w:t>
      </w:r>
      <w:r w:rsidRPr="00911848">
        <w:rPr>
          <w:rStyle w:val="AERtextitalic"/>
        </w:rPr>
        <w:t>Submission on NSW DNSPs regulatory proposals</w:t>
      </w:r>
      <w:r>
        <w:t>,</w:t>
      </w:r>
      <w:r w:rsidRPr="00911848">
        <w:t xml:space="preserve"> 8 August 2014</w:t>
      </w:r>
      <w:r>
        <w:t>, pp.15-18.</w:t>
      </w:r>
      <w:r w:rsidR="00301110">
        <w:t xml:space="preserve"> </w:t>
      </w:r>
      <w:r>
        <w:t xml:space="preserve">PIAC, </w:t>
      </w:r>
      <w:r w:rsidRPr="000D37D6">
        <w:rPr>
          <w:rStyle w:val="AERtextitalic"/>
        </w:rPr>
        <w:t>Submission to NSW DNSPs regulatory proposals</w:t>
      </w:r>
      <w:r>
        <w:t>, 8 August</w:t>
      </w:r>
      <w:r w:rsidRPr="008052A9">
        <w:t xml:space="preserve"> 2014</w:t>
      </w:r>
      <w:r w:rsidR="009120D0">
        <w:t>, pp. 16</w:t>
      </w:r>
      <w:r w:rsidR="009120D0">
        <w:rPr>
          <w:rFonts w:cs="Gautami"/>
        </w:rPr>
        <w:t>–</w:t>
      </w:r>
      <w:r>
        <w:t>17.</w:t>
      </w:r>
    </w:p>
  </w:footnote>
  <w:footnote w:id="18">
    <w:p w:rsidR="000D2ACE" w:rsidRDefault="000D2ACE" w:rsidP="000D2ACE">
      <w:pPr>
        <w:pStyle w:val="FootnoteText"/>
      </w:pPr>
      <w:r>
        <w:rPr>
          <w:rStyle w:val="FootnoteReference"/>
        </w:rPr>
        <w:footnoteRef/>
      </w:r>
      <w:r>
        <w:t xml:space="preserve"> </w:t>
      </w:r>
      <w:r>
        <w:tab/>
        <w:t xml:space="preserve">EUAA, </w:t>
      </w:r>
      <w:r w:rsidRPr="00911848">
        <w:rPr>
          <w:rStyle w:val="AERtextitalic"/>
        </w:rPr>
        <w:t>Submission on NSW DNSPs regulatory proposals</w:t>
      </w:r>
      <w:r>
        <w:t>,</w:t>
      </w:r>
      <w:r w:rsidRPr="00911848">
        <w:t xml:space="preserve"> 8 August 2014</w:t>
      </w:r>
      <w:r>
        <w:t>, pp. 3, 11.</w:t>
      </w:r>
    </w:p>
  </w:footnote>
  <w:footnote w:id="19">
    <w:p w:rsidR="00403B7F" w:rsidRDefault="00403B7F" w:rsidP="00403B7F">
      <w:pPr>
        <w:pStyle w:val="FootnoteText"/>
      </w:pPr>
      <w:r>
        <w:rPr>
          <w:rStyle w:val="FootnoteReference"/>
        </w:rPr>
        <w:footnoteRef/>
      </w:r>
      <w:r>
        <w:t xml:space="preserve"> </w:t>
      </w:r>
      <w:r>
        <w:tab/>
        <w:t>NER, cl</w:t>
      </w:r>
      <w:r w:rsidR="00CB14B3">
        <w:t>.</w:t>
      </w:r>
      <w:r>
        <w:t>.6.5.8</w:t>
      </w:r>
      <w:r w:rsidR="00D41128">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9"/>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1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removePersonalInformation/>
  <w:removeDateAndTime/>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5484\AER14 428  NSW  ACT Electricity DNSPs resets 2014-19 - Draft decision - Corporate income tax(2).DOCX"/>
  </w:docVars>
  <w:rsids>
    <w:rsidRoot w:val="000C052F"/>
    <w:rsid w:val="0000484C"/>
    <w:rsid w:val="00011129"/>
    <w:rsid w:val="0001585A"/>
    <w:rsid w:val="00015B66"/>
    <w:rsid w:val="00022606"/>
    <w:rsid w:val="000265AD"/>
    <w:rsid w:val="00040599"/>
    <w:rsid w:val="00040749"/>
    <w:rsid w:val="000421BA"/>
    <w:rsid w:val="00042340"/>
    <w:rsid w:val="000938EB"/>
    <w:rsid w:val="000A1CC2"/>
    <w:rsid w:val="000A5342"/>
    <w:rsid w:val="000B15CA"/>
    <w:rsid w:val="000C052F"/>
    <w:rsid w:val="000C2EF1"/>
    <w:rsid w:val="000C3430"/>
    <w:rsid w:val="000D03C2"/>
    <w:rsid w:val="000D04B1"/>
    <w:rsid w:val="000D147B"/>
    <w:rsid w:val="000D2ACE"/>
    <w:rsid w:val="000D2D10"/>
    <w:rsid w:val="000D37D6"/>
    <w:rsid w:val="000D401F"/>
    <w:rsid w:val="000D6C48"/>
    <w:rsid w:val="000D76C0"/>
    <w:rsid w:val="000E058D"/>
    <w:rsid w:val="000E1A25"/>
    <w:rsid w:val="000E6418"/>
    <w:rsid w:val="000F3A6A"/>
    <w:rsid w:val="001033B3"/>
    <w:rsid w:val="00105636"/>
    <w:rsid w:val="0011483F"/>
    <w:rsid w:val="00120DC0"/>
    <w:rsid w:val="0013022D"/>
    <w:rsid w:val="00131287"/>
    <w:rsid w:val="001351A1"/>
    <w:rsid w:val="001405C3"/>
    <w:rsid w:val="0014379E"/>
    <w:rsid w:val="00153BEA"/>
    <w:rsid w:val="001543D2"/>
    <w:rsid w:val="0016551C"/>
    <w:rsid w:val="00166917"/>
    <w:rsid w:val="001704D3"/>
    <w:rsid w:val="001708CC"/>
    <w:rsid w:val="001716E9"/>
    <w:rsid w:val="00174026"/>
    <w:rsid w:val="00177D8E"/>
    <w:rsid w:val="00183D1A"/>
    <w:rsid w:val="001856EE"/>
    <w:rsid w:val="00194C3C"/>
    <w:rsid w:val="00195356"/>
    <w:rsid w:val="001A7E3D"/>
    <w:rsid w:val="001B1A22"/>
    <w:rsid w:val="001B6619"/>
    <w:rsid w:val="001C12E5"/>
    <w:rsid w:val="001C1EC5"/>
    <w:rsid w:val="001C3B9D"/>
    <w:rsid w:val="001C5F1F"/>
    <w:rsid w:val="001C7F3E"/>
    <w:rsid w:val="001E14BE"/>
    <w:rsid w:val="001F1261"/>
    <w:rsid w:val="002020DA"/>
    <w:rsid w:val="002023C1"/>
    <w:rsid w:val="0020711E"/>
    <w:rsid w:val="00210880"/>
    <w:rsid w:val="002257B9"/>
    <w:rsid w:val="00226467"/>
    <w:rsid w:val="0023137D"/>
    <w:rsid w:val="0024538A"/>
    <w:rsid w:val="00245AFD"/>
    <w:rsid w:val="002471E6"/>
    <w:rsid w:val="00251EEC"/>
    <w:rsid w:val="002547A4"/>
    <w:rsid w:val="002562DF"/>
    <w:rsid w:val="002600B1"/>
    <w:rsid w:val="00266710"/>
    <w:rsid w:val="00266ACE"/>
    <w:rsid w:val="002805B8"/>
    <w:rsid w:val="00281A69"/>
    <w:rsid w:val="002827C3"/>
    <w:rsid w:val="0028673E"/>
    <w:rsid w:val="00291DB9"/>
    <w:rsid w:val="00292CCD"/>
    <w:rsid w:val="002938CE"/>
    <w:rsid w:val="002A30B8"/>
    <w:rsid w:val="002B04A2"/>
    <w:rsid w:val="002B6640"/>
    <w:rsid w:val="002C3FA3"/>
    <w:rsid w:val="002C7A0A"/>
    <w:rsid w:val="002D61AC"/>
    <w:rsid w:val="002E0AEF"/>
    <w:rsid w:val="002E0F05"/>
    <w:rsid w:val="002E4720"/>
    <w:rsid w:val="002E719C"/>
    <w:rsid w:val="00301110"/>
    <w:rsid w:val="00303452"/>
    <w:rsid w:val="003068CF"/>
    <w:rsid w:val="00313052"/>
    <w:rsid w:val="0032767A"/>
    <w:rsid w:val="00327E47"/>
    <w:rsid w:val="003324F7"/>
    <w:rsid w:val="00334F88"/>
    <w:rsid w:val="00340B63"/>
    <w:rsid w:val="00342341"/>
    <w:rsid w:val="00342FEA"/>
    <w:rsid w:val="003439E6"/>
    <w:rsid w:val="003576C2"/>
    <w:rsid w:val="0036460E"/>
    <w:rsid w:val="003707DB"/>
    <w:rsid w:val="00375AEC"/>
    <w:rsid w:val="00376236"/>
    <w:rsid w:val="0037652C"/>
    <w:rsid w:val="003800E4"/>
    <w:rsid w:val="00380D74"/>
    <w:rsid w:val="00380FF5"/>
    <w:rsid w:val="00386AD1"/>
    <w:rsid w:val="003900BF"/>
    <w:rsid w:val="003A51B3"/>
    <w:rsid w:val="003A6174"/>
    <w:rsid w:val="003C2406"/>
    <w:rsid w:val="003C7A61"/>
    <w:rsid w:val="003D7343"/>
    <w:rsid w:val="003D78F4"/>
    <w:rsid w:val="003F032F"/>
    <w:rsid w:val="003F1297"/>
    <w:rsid w:val="003F1ED0"/>
    <w:rsid w:val="003F3251"/>
    <w:rsid w:val="003F3C18"/>
    <w:rsid w:val="004030AB"/>
    <w:rsid w:val="00403B7F"/>
    <w:rsid w:val="004112CB"/>
    <w:rsid w:val="00411433"/>
    <w:rsid w:val="00412282"/>
    <w:rsid w:val="0041587B"/>
    <w:rsid w:val="00415D2F"/>
    <w:rsid w:val="004256BA"/>
    <w:rsid w:val="00431999"/>
    <w:rsid w:val="00433475"/>
    <w:rsid w:val="00435682"/>
    <w:rsid w:val="00436C61"/>
    <w:rsid w:val="00442D5D"/>
    <w:rsid w:val="00456081"/>
    <w:rsid w:val="004571CD"/>
    <w:rsid w:val="00464F5D"/>
    <w:rsid w:val="00472AC1"/>
    <w:rsid w:val="00473B51"/>
    <w:rsid w:val="00474FBD"/>
    <w:rsid w:val="00480855"/>
    <w:rsid w:val="004809ED"/>
    <w:rsid w:val="00491D7D"/>
    <w:rsid w:val="004932D2"/>
    <w:rsid w:val="004964DB"/>
    <w:rsid w:val="004A6A69"/>
    <w:rsid w:val="004C115A"/>
    <w:rsid w:val="004C3F45"/>
    <w:rsid w:val="004D1168"/>
    <w:rsid w:val="004E40EF"/>
    <w:rsid w:val="004E442F"/>
    <w:rsid w:val="004E6ADC"/>
    <w:rsid w:val="004E73F7"/>
    <w:rsid w:val="004F0DAD"/>
    <w:rsid w:val="004F14F5"/>
    <w:rsid w:val="004F76A0"/>
    <w:rsid w:val="00500E7F"/>
    <w:rsid w:val="00502CF9"/>
    <w:rsid w:val="0052179D"/>
    <w:rsid w:val="00522FF4"/>
    <w:rsid w:val="00525604"/>
    <w:rsid w:val="00526633"/>
    <w:rsid w:val="005456A9"/>
    <w:rsid w:val="00547EDD"/>
    <w:rsid w:val="00555D52"/>
    <w:rsid w:val="005566D7"/>
    <w:rsid w:val="00560D0A"/>
    <w:rsid w:val="00561F7F"/>
    <w:rsid w:val="00566B35"/>
    <w:rsid w:val="00567539"/>
    <w:rsid w:val="005732CC"/>
    <w:rsid w:val="00574C87"/>
    <w:rsid w:val="00575422"/>
    <w:rsid w:val="0058364D"/>
    <w:rsid w:val="005837BD"/>
    <w:rsid w:val="00590BBE"/>
    <w:rsid w:val="005938C6"/>
    <w:rsid w:val="005A0431"/>
    <w:rsid w:val="005A4EBB"/>
    <w:rsid w:val="005A59A4"/>
    <w:rsid w:val="005B01D3"/>
    <w:rsid w:val="005B07B0"/>
    <w:rsid w:val="005B0B74"/>
    <w:rsid w:val="005B24E9"/>
    <w:rsid w:val="005B3752"/>
    <w:rsid w:val="005B61C2"/>
    <w:rsid w:val="005B73E0"/>
    <w:rsid w:val="005B746E"/>
    <w:rsid w:val="005C2C47"/>
    <w:rsid w:val="005D0D7E"/>
    <w:rsid w:val="005D26B7"/>
    <w:rsid w:val="005D4AA1"/>
    <w:rsid w:val="005D707C"/>
    <w:rsid w:val="005E1D65"/>
    <w:rsid w:val="005E3E0C"/>
    <w:rsid w:val="005E4DED"/>
    <w:rsid w:val="005F6F60"/>
    <w:rsid w:val="006005CE"/>
    <w:rsid w:val="0060146C"/>
    <w:rsid w:val="0060207D"/>
    <w:rsid w:val="006039F2"/>
    <w:rsid w:val="00603A13"/>
    <w:rsid w:val="006061B0"/>
    <w:rsid w:val="0060732E"/>
    <w:rsid w:val="006076A9"/>
    <w:rsid w:val="00611238"/>
    <w:rsid w:val="006136B7"/>
    <w:rsid w:val="006341BE"/>
    <w:rsid w:val="0063423B"/>
    <w:rsid w:val="00634270"/>
    <w:rsid w:val="0065125A"/>
    <w:rsid w:val="006518A3"/>
    <w:rsid w:val="006544EA"/>
    <w:rsid w:val="00655A0F"/>
    <w:rsid w:val="00661616"/>
    <w:rsid w:val="0066569F"/>
    <w:rsid w:val="00670E42"/>
    <w:rsid w:val="00672440"/>
    <w:rsid w:val="0068527A"/>
    <w:rsid w:val="0069004B"/>
    <w:rsid w:val="0069241C"/>
    <w:rsid w:val="00695A99"/>
    <w:rsid w:val="00696406"/>
    <w:rsid w:val="006A2370"/>
    <w:rsid w:val="006B08EB"/>
    <w:rsid w:val="006B481F"/>
    <w:rsid w:val="006B4F7E"/>
    <w:rsid w:val="006B73B4"/>
    <w:rsid w:val="006D1D29"/>
    <w:rsid w:val="006D4631"/>
    <w:rsid w:val="006F0324"/>
    <w:rsid w:val="006F15B0"/>
    <w:rsid w:val="006F2585"/>
    <w:rsid w:val="006F638E"/>
    <w:rsid w:val="00703E42"/>
    <w:rsid w:val="00706A9D"/>
    <w:rsid w:val="00715A23"/>
    <w:rsid w:val="00717C73"/>
    <w:rsid w:val="00723DC7"/>
    <w:rsid w:val="00723F60"/>
    <w:rsid w:val="007368AD"/>
    <w:rsid w:val="00747E2A"/>
    <w:rsid w:val="00751D2A"/>
    <w:rsid w:val="007545AB"/>
    <w:rsid w:val="00754C68"/>
    <w:rsid w:val="00755095"/>
    <w:rsid w:val="00766F72"/>
    <w:rsid w:val="00774F6F"/>
    <w:rsid w:val="0078024E"/>
    <w:rsid w:val="0078192D"/>
    <w:rsid w:val="00796A07"/>
    <w:rsid w:val="00796BAA"/>
    <w:rsid w:val="007A4601"/>
    <w:rsid w:val="007A596B"/>
    <w:rsid w:val="007A5C52"/>
    <w:rsid w:val="007B3B30"/>
    <w:rsid w:val="007C78E4"/>
    <w:rsid w:val="007D109A"/>
    <w:rsid w:val="007D7230"/>
    <w:rsid w:val="007F10E3"/>
    <w:rsid w:val="007F2C0E"/>
    <w:rsid w:val="007F6ED8"/>
    <w:rsid w:val="00800544"/>
    <w:rsid w:val="00804AEB"/>
    <w:rsid w:val="008052A9"/>
    <w:rsid w:val="0081277D"/>
    <w:rsid w:val="008159D5"/>
    <w:rsid w:val="00824CC8"/>
    <w:rsid w:val="00824D80"/>
    <w:rsid w:val="008328E7"/>
    <w:rsid w:val="00834D0B"/>
    <w:rsid w:val="00836D17"/>
    <w:rsid w:val="00840A55"/>
    <w:rsid w:val="00841E25"/>
    <w:rsid w:val="00841F19"/>
    <w:rsid w:val="00842BFC"/>
    <w:rsid w:val="0084378B"/>
    <w:rsid w:val="008464CD"/>
    <w:rsid w:val="008515EE"/>
    <w:rsid w:val="00861C4E"/>
    <w:rsid w:val="00866D21"/>
    <w:rsid w:val="00872D85"/>
    <w:rsid w:val="00872EA3"/>
    <w:rsid w:val="00883DDA"/>
    <w:rsid w:val="00887FF1"/>
    <w:rsid w:val="00891DDA"/>
    <w:rsid w:val="00891FF9"/>
    <w:rsid w:val="00893367"/>
    <w:rsid w:val="00893D07"/>
    <w:rsid w:val="0089591C"/>
    <w:rsid w:val="008A48A6"/>
    <w:rsid w:val="008A64ED"/>
    <w:rsid w:val="008B1EC6"/>
    <w:rsid w:val="008B7956"/>
    <w:rsid w:val="008C131F"/>
    <w:rsid w:val="008C1A7B"/>
    <w:rsid w:val="008C3134"/>
    <w:rsid w:val="008C3722"/>
    <w:rsid w:val="008C3B67"/>
    <w:rsid w:val="008C3F48"/>
    <w:rsid w:val="008C4CDB"/>
    <w:rsid w:val="008C70E8"/>
    <w:rsid w:val="008D49B4"/>
    <w:rsid w:val="008D4C45"/>
    <w:rsid w:val="008D513A"/>
    <w:rsid w:val="008D5D7C"/>
    <w:rsid w:val="008D7498"/>
    <w:rsid w:val="008E0282"/>
    <w:rsid w:val="008E6E3D"/>
    <w:rsid w:val="008F1621"/>
    <w:rsid w:val="008F2B65"/>
    <w:rsid w:val="008F62C7"/>
    <w:rsid w:val="008F7938"/>
    <w:rsid w:val="00901329"/>
    <w:rsid w:val="0091042D"/>
    <w:rsid w:val="00911848"/>
    <w:rsid w:val="009120D0"/>
    <w:rsid w:val="0092119B"/>
    <w:rsid w:val="009245B9"/>
    <w:rsid w:val="00930583"/>
    <w:rsid w:val="00932E96"/>
    <w:rsid w:val="00934217"/>
    <w:rsid w:val="009418E6"/>
    <w:rsid w:val="0094235F"/>
    <w:rsid w:val="0094279F"/>
    <w:rsid w:val="009449F6"/>
    <w:rsid w:val="00946B98"/>
    <w:rsid w:val="0095052A"/>
    <w:rsid w:val="009516DF"/>
    <w:rsid w:val="00951884"/>
    <w:rsid w:val="009658F0"/>
    <w:rsid w:val="00971655"/>
    <w:rsid w:val="00971C63"/>
    <w:rsid w:val="00972175"/>
    <w:rsid w:val="00976607"/>
    <w:rsid w:val="00992F0F"/>
    <w:rsid w:val="00994009"/>
    <w:rsid w:val="009A4AE9"/>
    <w:rsid w:val="009A7159"/>
    <w:rsid w:val="009B03FD"/>
    <w:rsid w:val="009B3D47"/>
    <w:rsid w:val="009C71D5"/>
    <w:rsid w:val="009D0222"/>
    <w:rsid w:val="009F030C"/>
    <w:rsid w:val="009F1BEB"/>
    <w:rsid w:val="009F6F9D"/>
    <w:rsid w:val="009F7CE4"/>
    <w:rsid w:val="00A021D6"/>
    <w:rsid w:val="00A03768"/>
    <w:rsid w:val="00A11162"/>
    <w:rsid w:val="00A139A3"/>
    <w:rsid w:val="00A17D14"/>
    <w:rsid w:val="00A236C0"/>
    <w:rsid w:val="00A240E0"/>
    <w:rsid w:val="00A249E0"/>
    <w:rsid w:val="00A35AA5"/>
    <w:rsid w:val="00A43227"/>
    <w:rsid w:val="00A46CCD"/>
    <w:rsid w:val="00A47603"/>
    <w:rsid w:val="00A50423"/>
    <w:rsid w:val="00A6495B"/>
    <w:rsid w:val="00A65133"/>
    <w:rsid w:val="00A652C5"/>
    <w:rsid w:val="00A73B0C"/>
    <w:rsid w:val="00A85C5A"/>
    <w:rsid w:val="00A96A08"/>
    <w:rsid w:val="00AA0161"/>
    <w:rsid w:val="00AA2BBB"/>
    <w:rsid w:val="00AA4132"/>
    <w:rsid w:val="00AB0E9D"/>
    <w:rsid w:val="00AB1D08"/>
    <w:rsid w:val="00AB4345"/>
    <w:rsid w:val="00AB43A1"/>
    <w:rsid w:val="00AB5BD7"/>
    <w:rsid w:val="00AC0135"/>
    <w:rsid w:val="00AC054B"/>
    <w:rsid w:val="00AC070D"/>
    <w:rsid w:val="00AC1B94"/>
    <w:rsid w:val="00AD0616"/>
    <w:rsid w:val="00AD34FF"/>
    <w:rsid w:val="00AD39C8"/>
    <w:rsid w:val="00AD4DE6"/>
    <w:rsid w:val="00AE0205"/>
    <w:rsid w:val="00AE350D"/>
    <w:rsid w:val="00AE42F8"/>
    <w:rsid w:val="00AE5AB2"/>
    <w:rsid w:val="00AE5D36"/>
    <w:rsid w:val="00AE6DBC"/>
    <w:rsid w:val="00AE7F1D"/>
    <w:rsid w:val="00AF3529"/>
    <w:rsid w:val="00AF3E95"/>
    <w:rsid w:val="00AF7C67"/>
    <w:rsid w:val="00B0113D"/>
    <w:rsid w:val="00B05F37"/>
    <w:rsid w:val="00B06418"/>
    <w:rsid w:val="00B06E9B"/>
    <w:rsid w:val="00B15FE9"/>
    <w:rsid w:val="00B2697F"/>
    <w:rsid w:val="00B372DB"/>
    <w:rsid w:val="00B47321"/>
    <w:rsid w:val="00B51281"/>
    <w:rsid w:val="00B51883"/>
    <w:rsid w:val="00B524E6"/>
    <w:rsid w:val="00B542BC"/>
    <w:rsid w:val="00B61FD4"/>
    <w:rsid w:val="00B6582C"/>
    <w:rsid w:val="00B66ABD"/>
    <w:rsid w:val="00B674DB"/>
    <w:rsid w:val="00B82E8D"/>
    <w:rsid w:val="00B85C83"/>
    <w:rsid w:val="00B91AE0"/>
    <w:rsid w:val="00B9264D"/>
    <w:rsid w:val="00B92ABE"/>
    <w:rsid w:val="00B938B6"/>
    <w:rsid w:val="00B94774"/>
    <w:rsid w:val="00B94D99"/>
    <w:rsid w:val="00B96B5A"/>
    <w:rsid w:val="00BB3FA1"/>
    <w:rsid w:val="00BB62BB"/>
    <w:rsid w:val="00BB72CE"/>
    <w:rsid w:val="00BC05C5"/>
    <w:rsid w:val="00BC2DCB"/>
    <w:rsid w:val="00BC3F6C"/>
    <w:rsid w:val="00BD04BE"/>
    <w:rsid w:val="00BD47D3"/>
    <w:rsid w:val="00BD6729"/>
    <w:rsid w:val="00BE0630"/>
    <w:rsid w:val="00BE1302"/>
    <w:rsid w:val="00BE2434"/>
    <w:rsid w:val="00BE6F28"/>
    <w:rsid w:val="00BF29FA"/>
    <w:rsid w:val="00BF473D"/>
    <w:rsid w:val="00BF5342"/>
    <w:rsid w:val="00BF68B6"/>
    <w:rsid w:val="00C04D2B"/>
    <w:rsid w:val="00C120AE"/>
    <w:rsid w:val="00C168E4"/>
    <w:rsid w:val="00C2635C"/>
    <w:rsid w:val="00C31352"/>
    <w:rsid w:val="00C33951"/>
    <w:rsid w:val="00C33A93"/>
    <w:rsid w:val="00C35015"/>
    <w:rsid w:val="00C40FD7"/>
    <w:rsid w:val="00C557F2"/>
    <w:rsid w:val="00C57D34"/>
    <w:rsid w:val="00C60D18"/>
    <w:rsid w:val="00C65A70"/>
    <w:rsid w:val="00C662F1"/>
    <w:rsid w:val="00C732D8"/>
    <w:rsid w:val="00C737C5"/>
    <w:rsid w:val="00C81EBF"/>
    <w:rsid w:val="00C8280E"/>
    <w:rsid w:val="00C86F3F"/>
    <w:rsid w:val="00C913E9"/>
    <w:rsid w:val="00C925EA"/>
    <w:rsid w:val="00C93A62"/>
    <w:rsid w:val="00CA3540"/>
    <w:rsid w:val="00CA5234"/>
    <w:rsid w:val="00CA6DED"/>
    <w:rsid w:val="00CB14B3"/>
    <w:rsid w:val="00CC2620"/>
    <w:rsid w:val="00CC49D4"/>
    <w:rsid w:val="00CD5575"/>
    <w:rsid w:val="00CE06F4"/>
    <w:rsid w:val="00CE6397"/>
    <w:rsid w:val="00CE6F5A"/>
    <w:rsid w:val="00CF3B46"/>
    <w:rsid w:val="00CF42CF"/>
    <w:rsid w:val="00CF5AE7"/>
    <w:rsid w:val="00D00D25"/>
    <w:rsid w:val="00D01345"/>
    <w:rsid w:val="00D047B7"/>
    <w:rsid w:val="00D102E9"/>
    <w:rsid w:val="00D1688F"/>
    <w:rsid w:val="00D2117F"/>
    <w:rsid w:val="00D213B7"/>
    <w:rsid w:val="00D24A5B"/>
    <w:rsid w:val="00D25317"/>
    <w:rsid w:val="00D27150"/>
    <w:rsid w:val="00D27B98"/>
    <w:rsid w:val="00D30626"/>
    <w:rsid w:val="00D33191"/>
    <w:rsid w:val="00D40DE5"/>
    <w:rsid w:val="00D41128"/>
    <w:rsid w:val="00D41AF6"/>
    <w:rsid w:val="00D56118"/>
    <w:rsid w:val="00D66E8B"/>
    <w:rsid w:val="00D71208"/>
    <w:rsid w:val="00D736F9"/>
    <w:rsid w:val="00D85715"/>
    <w:rsid w:val="00D8706C"/>
    <w:rsid w:val="00DA4C62"/>
    <w:rsid w:val="00DB6A17"/>
    <w:rsid w:val="00DC57D9"/>
    <w:rsid w:val="00DD18AE"/>
    <w:rsid w:val="00DD35D7"/>
    <w:rsid w:val="00DD4E84"/>
    <w:rsid w:val="00DD5520"/>
    <w:rsid w:val="00DD6380"/>
    <w:rsid w:val="00DD7D1D"/>
    <w:rsid w:val="00DE22F1"/>
    <w:rsid w:val="00DF16C2"/>
    <w:rsid w:val="00DF6466"/>
    <w:rsid w:val="00E00F76"/>
    <w:rsid w:val="00E01204"/>
    <w:rsid w:val="00E05438"/>
    <w:rsid w:val="00E13047"/>
    <w:rsid w:val="00E13084"/>
    <w:rsid w:val="00E21E75"/>
    <w:rsid w:val="00E300B6"/>
    <w:rsid w:val="00E40790"/>
    <w:rsid w:val="00E438AD"/>
    <w:rsid w:val="00E46779"/>
    <w:rsid w:val="00E519DC"/>
    <w:rsid w:val="00E564D0"/>
    <w:rsid w:val="00E642CC"/>
    <w:rsid w:val="00E647D8"/>
    <w:rsid w:val="00E6571F"/>
    <w:rsid w:val="00E754CA"/>
    <w:rsid w:val="00E807DA"/>
    <w:rsid w:val="00E82A47"/>
    <w:rsid w:val="00E83156"/>
    <w:rsid w:val="00E84E3A"/>
    <w:rsid w:val="00E94C06"/>
    <w:rsid w:val="00E95299"/>
    <w:rsid w:val="00E9578C"/>
    <w:rsid w:val="00EA05AF"/>
    <w:rsid w:val="00EA0B37"/>
    <w:rsid w:val="00EA0C5E"/>
    <w:rsid w:val="00EA3A45"/>
    <w:rsid w:val="00EA7EF9"/>
    <w:rsid w:val="00EB110A"/>
    <w:rsid w:val="00EB21E8"/>
    <w:rsid w:val="00EB5CDF"/>
    <w:rsid w:val="00EC3AA1"/>
    <w:rsid w:val="00EC43B9"/>
    <w:rsid w:val="00EC603F"/>
    <w:rsid w:val="00ED4D69"/>
    <w:rsid w:val="00EE362F"/>
    <w:rsid w:val="00EF0E19"/>
    <w:rsid w:val="00F00659"/>
    <w:rsid w:val="00F01E19"/>
    <w:rsid w:val="00F06ED3"/>
    <w:rsid w:val="00F114AE"/>
    <w:rsid w:val="00F11E60"/>
    <w:rsid w:val="00F245A5"/>
    <w:rsid w:val="00F43BC6"/>
    <w:rsid w:val="00F43CA0"/>
    <w:rsid w:val="00F505C4"/>
    <w:rsid w:val="00F54216"/>
    <w:rsid w:val="00F55030"/>
    <w:rsid w:val="00F57BA3"/>
    <w:rsid w:val="00F743BA"/>
    <w:rsid w:val="00F74A6D"/>
    <w:rsid w:val="00F74FCD"/>
    <w:rsid w:val="00F751C4"/>
    <w:rsid w:val="00F7660E"/>
    <w:rsid w:val="00F7696F"/>
    <w:rsid w:val="00F8209B"/>
    <w:rsid w:val="00F8634A"/>
    <w:rsid w:val="00F86A2B"/>
    <w:rsid w:val="00F94232"/>
    <w:rsid w:val="00F942E0"/>
    <w:rsid w:val="00F947E9"/>
    <w:rsid w:val="00F94899"/>
    <w:rsid w:val="00F95E26"/>
    <w:rsid w:val="00F97CD9"/>
    <w:rsid w:val="00F97FD2"/>
    <w:rsid w:val="00FA0576"/>
    <w:rsid w:val="00FB2ADB"/>
    <w:rsid w:val="00FB4941"/>
    <w:rsid w:val="00FB50B4"/>
    <w:rsid w:val="00FD4B97"/>
    <w:rsid w:val="00FD4BDD"/>
    <w:rsid w:val="00FD685B"/>
    <w:rsid w:val="00FD7678"/>
    <w:rsid w:val="00FD770A"/>
    <w:rsid w:val="00FD77D9"/>
    <w:rsid w:val="00FE55EB"/>
    <w:rsid w:val="00FF04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E40790"/>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2"/>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aliases w:val="ACCC Table"/>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locked/>
    <w:rsid w:val="00AF3E95"/>
    <w:pPr>
      <w:spacing w:after="0"/>
      <w:ind w:left="600"/>
      <w:jc w:val="left"/>
    </w:pPr>
    <w:rPr>
      <w:rFonts w:ascii="Calibri" w:hAnsi="Calibri"/>
    </w:rPr>
  </w:style>
  <w:style w:type="paragraph" w:styleId="TOC5">
    <w:name w:val="toc 5"/>
    <w:basedOn w:val="Normal"/>
    <w:next w:val="Normal"/>
    <w:autoRedefine/>
    <w:uiPriority w:val="39"/>
    <w:locked/>
    <w:rsid w:val="00AF3E95"/>
    <w:pPr>
      <w:spacing w:after="0"/>
      <w:ind w:left="800"/>
      <w:jc w:val="left"/>
    </w:pPr>
    <w:rPr>
      <w:rFonts w:ascii="Calibri" w:hAnsi="Calibri"/>
    </w:rPr>
  </w:style>
  <w:style w:type="paragraph" w:styleId="TOC6">
    <w:name w:val="toc 6"/>
    <w:basedOn w:val="Normal"/>
    <w:next w:val="Normal"/>
    <w:autoRedefine/>
    <w:uiPriority w:val="39"/>
    <w:locked/>
    <w:rsid w:val="00AF3E95"/>
    <w:pPr>
      <w:spacing w:after="0"/>
      <w:ind w:left="1000"/>
      <w:jc w:val="left"/>
    </w:pPr>
    <w:rPr>
      <w:rFonts w:ascii="Calibri" w:hAnsi="Calibri"/>
    </w:rPr>
  </w:style>
  <w:style w:type="paragraph" w:styleId="TOC7">
    <w:name w:val="toc 7"/>
    <w:basedOn w:val="Normal"/>
    <w:next w:val="Normal"/>
    <w:autoRedefine/>
    <w:uiPriority w:val="39"/>
    <w:locked/>
    <w:rsid w:val="00AF3E95"/>
    <w:pPr>
      <w:spacing w:after="0"/>
      <w:ind w:left="1200"/>
      <w:jc w:val="left"/>
    </w:pPr>
    <w:rPr>
      <w:rFonts w:ascii="Calibri" w:hAnsi="Calibri"/>
    </w:rPr>
  </w:style>
  <w:style w:type="paragraph" w:styleId="TOC8">
    <w:name w:val="toc 8"/>
    <w:basedOn w:val="Normal"/>
    <w:next w:val="Normal"/>
    <w:autoRedefine/>
    <w:uiPriority w:val="39"/>
    <w:locked/>
    <w:rsid w:val="00AF3E95"/>
    <w:pPr>
      <w:spacing w:after="0"/>
      <w:ind w:left="1400"/>
      <w:jc w:val="left"/>
    </w:pPr>
    <w:rPr>
      <w:rFonts w:ascii="Calibri" w:hAnsi="Calibri"/>
    </w:rPr>
  </w:style>
  <w:style w:type="paragraph" w:styleId="TOC9">
    <w:name w:val="toc 9"/>
    <w:basedOn w:val="Normal"/>
    <w:next w:val="Normal"/>
    <w:autoRedefine/>
    <w:uiPriority w:val="39"/>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394560">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793864349">
      <w:bodyDiv w:val="1"/>
      <w:marLeft w:val="0"/>
      <w:marRight w:val="0"/>
      <w:marTop w:val="0"/>
      <w:marBottom w:val="0"/>
      <w:divBdr>
        <w:top w:val="none" w:sz="0" w:space="0" w:color="auto"/>
        <w:left w:val="none" w:sz="0" w:space="0" w:color="auto"/>
        <w:bottom w:val="none" w:sz="0" w:space="0" w:color="auto"/>
        <w:right w:val="none" w:sz="0" w:space="0" w:color="auto"/>
      </w:divBdr>
      <w:divsChild>
        <w:div w:id="571282349">
          <w:marLeft w:val="0"/>
          <w:marRight w:val="0"/>
          <w:marTop w:val="0"/>
          <w:marBottom w:val="0"/>
          <w:divBdr>
            <w:top w:val="none" w:sz="0" w:space="0" w:color="auto"/>
            <w:left w:val="none" w:sz="0" w:space="0" w:color="auto"/>
            <w:bottom w:val="none" w:sz="0" w:space="0" w:color="auto"/>
            <w:right w:val="none" w:sz="0" w:space="0" w:color="auto"/>
          </w:divBdr>
          <w:divsChild>
            <w:div w:id="1617826995">
              <w:marLeft w:val="0"/>
              <w:marRight w:val="0"/>
              <w:marTop w:val="0"/>
              <w:marBottom w:val="0"/>
              <w:divBdr>
                <w:top w:val="none" w:sz="0" w:space="0" w:color="auto"/>
                <w:left w:val="none" w:sz="0" w:space="0" w:color="auto"/>
                <w:bottom w:val="none" w:sz="0" w:space="0" w:color="auto"/>
                <w:right w:val="none" w:sz="0" w:space="0" w:color="auto"/>
              </w:divBdr>
              <w:divsChild>
                <w:div w:id="11953775">
                  <w:marLeft w:val="0"/>
                  <w:marRight w:val="0"/>
                  <w:marTop w:val="0"/>
                  <w:marBottom w:val="0"/>
                  <w:divBdr>
                    <w:top w:val="none" w:sz="0" w:space="0" w:color="auto"/>
                    <w:left w:val="none" w:sz="0" w:space="0" w:color="auto"/>
                    <w:bottom w:val="none" w:sz="0" w:space="0" w:color="auto"/>
                    <w:right w:val="none" w:sz="0" w:space="0" w:color="auto"/>
                  </w:divBdr>
                  <w:divsChild>
                    <w:div w:id="469328673">
                      <w:marLeft w:val="0"/>
                      <w:marRight w:val="0"/>
                      <w:marTop w:val="0"/>
                      <w:marBottom w:val="0"/>
                      <w:divBdr>
                        <w:top w:val="none" w:sz="0" w:space="0" w:color="auto"/>
                        <w:left w:val="none" w:sz="0" w:space="0" w:color="auto"/>
                        <w:bottom w:val="none" w:sz="0" w:space="0" w:color="auto"/>
                        <w:right w:val="none" w:sz="0" w:space="0" w:color="auto"/>
                      </w:divBdr>
                      <w:divsChild>
                        <w:div w:id="656113023">
                          <w:marLeft w:val="0"/>
                          <w:marRight w:val="0"/>
                          <w:marTop w:val="0"/>
                          <w:marBottom w:val="0"/>
                          <w:divBdr>
                            <w:top w:val="none" w:sz="0" w:space="0" w:color="auto"/>
                            <w:left w:val="none" w:sz="0" w:space="0" w:color="auto"/>
                            <w:bottom w:val="none" w:sz="0" w:space="0" w:color="auto"/>
                            <w:right w:val="none" w:sz="0" w:space="0" w:color="auto"/>
                          </w:divBdr>
                          <w:divsChild>
                            <w:div w:id="25252687">
                              <w:marLeft w:val="0"/>
                              <w:marRight w:val="0"/>
                              <w:marTop w:val="0"/>
                              <w:marBottom w:val="0"/>
                              <w:divBdr>
                                <w:top w:val="none" w:sz="0" w:space="0" w:color="auto"/>
                                <w:left w:val="none" w:sz="0" w:space="0" w:color="auto"/>
                                <w:bottom w:val="none" w:sz="0" w:space="0" w:color="auto"/>
                                <w:right w:val="none" w:sz="0" w:space="0" w:color="auto"/>
                              </w:divBdr>
                              <w:divsChild>
                                <w:div w:id="946544022">
                                  <w:marLeft w:val="0"/>
                                  <w:marRight w:val="0"/>
                                  <w:marTop w:val="0"/>
                                  <w:marBottom w:val="0"/>
                                  <w:divBdr>
                                    <w:top w:val="none" w:sz="0" w:space="0" w:color="auto"/>
                                    <w:left w:val="none" w:sz="0" w:space="0" w:color="auto"/>
                                    <w:bottom w:val="none" w:sz="0" w:space="0" w:color="auto"/>
                                    <w:right w:val="none" w:sz="0" w:space="0" w:color="auto"/>
                                  </w:divBdr>
                                  <w:divsChild>
                                    <w:div w:id="768086212">
                                      <w:marLeft w:val="240"/>
                                      <w:marRight w:val="240"/>
                                      <w:marTop w:val="240"/>
                                      <w:marBottom w:val="0"/>
                                      <w:divBdr>
                                        <w:top w:val="none" w:sz="0" w:space="0" w:color="auto"/>
                                        <w:left w:val="none" w:sz="0" w:space="0" w:color="auto"/>
                                        <w:bottom w:val="none" w:sz="0" w:space="0" w:color="auto"/>
                                        <w:right w:val="none" w:sz="0" w:space="0" w:color="auto"/>
                                      </w:divBdr>
                                      <w:divsChild>
                                        <w:div w:id="773328985">
                                          <w:marLeft w:val="0"/>
                                          <w:marRight w:val="0"/>
                                          <w:marTop w:val="0"/>
                                          <w:marBottom w:val="0"/>
                                          <w:divBdr>
                                            <w:top w:val="none" w:sz="0" w:space="0" w:color="auto"/>
                                            <w:left w:val="none" w:sz="0" w:space="0" w:color="auto"/>
                                            <w:bottom w:val="none" w:sz="0" w:space="0" w:color="auto"/>
                                            <w:right w:val="none" w:sz="0" w:space="0" w:color="auto"/>
                                          </w:divBdr>
                                          <w:divsChild>
                                            <w:div w:id="846478398">
                                              <w:marLeft w:val="0"/>
                                              <w:marRight w:val="0"/>
                                              <w:marTop w:val="0"/>
                                              <w:marBottom w:val="0"/>
                                              <w:divBdr>
                                                <w:top w:val="none" w:sz="0" w:space="0" w:color="auto"/>
                                                <w:left w:val="none" w:sz="0" w:space="0" w:color="auto"/>
                                                <w:bottom w:val="none" w:sz="0" w:space="0" w:color="auto"/>
                                                <w:right w:val="none" w:sz="0" w:space="0" w:color="auto"/>
                                              </w:divBdr>
                                              <w:divsChild>
                                                <w:div w:id="1831672034">
                                                  <w:marLeft w:val="0"/>
                                                  <w:marRight w:val="0"/>
                                                  <w:marTop w:val="0"/>
                                                  <w:marBottom w:val="0"/>
                                                  <w:divBdr>
                                                    <w:top w:val="none" w:sz="0" w:space="0" w:color="auto"/>
                                                    <w:left w:val="none" w:sz="0" w:space="0" w:color="auto"/>
                                                    <w:bottom w:val="none" w:sz="0" w:space="0" w:color="auto"/>
                                                    <w:right w:val="none" w:sz="0" w:space="0" w:color="auto"/>
                                                  </w:divBdr>
                                                  <w:divsChild>
                                                    <w:div w:id="1273706569">
                                                      <w:marLeft w:val="0"/>
                                                      <w:marRight w:val="0"/>
                                                      <w:marTop w:val="0"/>
                                                      <w:marBottom w:val="0"/>
                                                      <w:divBdr>
                                                        <w:top w:val="none" w:sz="0" w:space="0" w:color="auto"/>
                                                        <w:left w:val="none" w:sz="0" w:space="0" w:color="auto"/>
                                                        <w:bottom w:val="none" w:sz="0" w:space="0" w:color="auto"/>
                                                        <w:right w:val="none" w:sz="0" w:space="0" w:color="auto"/>
                                                      </w:divBdr>
                                                      <w:divsChild>
                                                        <w:div w:id="1089305077">
                                                          <w:marLeft w:val="0"/>
                                                          <w:marRight w:val="0"/>
                                                          <w:marTop w:val="0"/>
                                                          <w:marBottom w:val="0"/>
                                                          <w:divBdr>
                                                            <w:top w:val="none" w:sz="0" w:space="0" w:color="auto"/>
                                                            <w:left w:val="none" w:sz="0" w:space="0" w:color="auto"/>
                                                            <w:bottom w:val="none" w:sz="0" w:space="0" w:color="auto"/>
                                                            <w:right w:val="none" w:sz="0" w:space="0" w:color="auto"/>
                                                          </w:divBdr>
                                                          <w:divsChild>
                                                            <w:div w:id="32459369">
                                                              <w:marLeft w:val="0"/>
                                                              <w:marRight w:val="0"/>
                                                              <w:marTop w:val="0"/>
                                                              <w:marBottom w:val="0"/>
                                                              <w:divBdr>
                                                                <w:top w:val="none" w:sz="0" w:space="0" w:color="auto"/>
                                                                <w:left w:val="none" w:sz="0" w:space="0" w:color="auto"/>
                                                                <w:bottom w:val="none" w:sz="0" w:space="0" w:color="auto"/>
                                                                <w:right w:val="none" w:sz="0" w:space="0" w:color="auto"/>
                                                              </w:divBdr>
                                                              <w:divsChild>
                                                                <w:div w:id="1021667202">
                                                                  <w:marLeft w:val="0"/>
                                                                  <w:marRight w:val="0"/>
                                                                  <w:marTop w:val="0"/>
                                                                  <w:marBottom w:val="0"/>
                                                                  <w:divBdr>
                                                                    <w:top w:val="none" w:sz="0" w:space="0" w:color="auto"/>
                                                                    <w:left w:val="none" w:sz="0" w:space="0" w:color="auto"/>
                                                                    <w:bottom w:val="none" w:sz="0" w:space="0" w:color="auto"/>
                                                                    <w:right w:val="none" w:sz="0" w:space="0" w:color="auto"/>
                                                                  </w:divBdr>
                                                                  <w:divsChild>
                                                                    <w:div w:id="1045759268">
                                                                      <w:marLeft w:val="0"/>
                                                                      <w:marRight w:val="0"/>
                                                                      <w:marTop w:val="0"/>
                                                                      <w:marBottom w:val="0"/>
                                                                      <w:divBdr>
                                                                        <w:top w:val="none" w:sz="0" w:space="0" w:color="auto"/>
                                                                        <w:left w:val="none" w:sz="0" w:space="0" w:color="auto"/>
                                                                        <w:bottom w:val="none" w:sz="0" w:space="0" w:color="auto"/>
                                                                        <w:right w:val="none" w:sz="0" w:space="0" w:color="auto"/>
                                                                      </w:divBdr>
                                                                      <w:divsChild>
                                                                        <w:div w:id="617564413">
                                                                          <w:marLeft w:val="0"/>
                                                                          <w:marRight w:val="0"/>
                                                                          <w:marTop w:val="0"/>
                                                                          <w:marBottom w:val="120"/>
                                                                          <w:divBdr>
                                                                            <w:top w:val="none" w:sz="0" w:space="0" w:color="auto"/>
                                                                            <w:left w:val="none" w:sz="0" w:space="0" w:color="auto"/>
                                                                            <w:bottom w:val="none" w:sz="0" w:space="0" w:color="auto"/>
                                                                            <w:right w:val="none" w:sz="0" w:space="0" w:color="auto"/>
                                                                          </w:divBdr>
                                                                          <w:divsChild>
                                                                            <w:div w:id="947007532">
                                                                              <w:marLeft w:val="0"/>
                                                                              <w:marRight w:val="0"/>
                                                                              <w:marTop w:val="0"/>
                                                                              <w:marBottom w:val="0"/>
                                                                              <w:divBdr>
                                                                                <w:top w:val="none" w:sz="0" w:space="0" w:color="auto"/>
                                                                                <w:left w:val="none" w:sz="0" w:space="0" w:color="auto"/>
                                                                                <w:bottom w:val="none" w:sz="0" w:space="0" w:color="auto"/>
                                                                                <w:right w:val="none" w:sz="0" w:space="0" w:color="auto"/>
                                                                              </w:divBdr>
                                                                              <w:divsChild>
                                                                                <w:div w:id="1403942178">
                                                                                  <w:marLeft w:val="0"/>
                                                                                  <w:marRight w:val="0"/>
                                                                                  <w:marTop w:val="0"/>
                                                                                  <w:marBottom w:val="0"/>
                                                                                  <w:divBdr>
                                                                                    <w:top w:val="none" w:sz="0" w:space="0" w:color="auto"/>
                                                                                    <w:left w:val="none" w:sz="0" w:space="0" w:color="auto"/>
                                                                                    <w:bottom w:val="none" w:sz="0" w:space="0" w:color="auto"/>
                                                                                    <w:right w:val="none" w:sz="0" w:space="0" w:color="auto"/>
                                                                                  </w:divBdr>
                                                                                  <w:divsChild>
                                                                                    <w:div w:id="32730582">
                                                                                      <w:marLeft w:val="0"/>
                                                                                      <w:marRight w:val="0"/>
                                                                                      <w:marTop w:val="0"/>
                                                                                      <w:marBottom w:val="0"/>
                                                                                      <w:divBdr>
                                                                                        <w:top w:val="none" w:sz="0" w:space="0" w:color="auto"/>
                                                                                        <w:left w:val="none" w:sz="0" w:space="0" w:color="auto"/>
                                                                                        <w:bottom w:val="none" w:sz="0" w:space="0" w:color="auto"/>
                                                                                        <w:right w:val="none" w:sz="0" w:space="0" w:color="auto"/>
                                                                                      </w:divBdr>
                                                                                      <w:divsChild>
                                                                                        <w:div w:id="696661830">
                                                                                          <w:marLeft w:val="0"/>
                                                                                          <w:marRight w:val="0"/>
                                                                                          <w:marTop w:val="0"/>
                                                                                          <w:marBottom w:val="0"/>
                                                                                          <w:divBdr>
                                                                                            <w:top w:val="none" w:sz="0" w:space="0" w:color="auto"/>
                                                                                            <w:left w:val="none" w:sz="0" w:space="0" w:color="auto"/>
                                                                                            <w:bottom w:val="none" w:sz="0" w:space="0" w:color="auto"/>
                                                                                            <w:right w:val="none" w:sz="0" w:space="0" w:color="auto"/>
                                                                                          </w:divBdr>
                                                                                          <w:divsChild>
                                                                                            <w:div w:id="1438211683">
                                                                                              <w:marLeft w:val="0"/>
                                                                                              <w:marRight w:val="0"/>
                                                                                              <w:marTop w:val="0"/>
                                                                                              <w:marBottom w:val="0"/>
                                                                                              <w:divBdr>
                                                                                                <w:top w:val="none" w:sz="0" w:space="0" w:color="auto"/>
                                                                                                <w:left w:val="none" w:sz="0" w:space="0" w:color="auto"/>
                                                                                                <w:bottom w:val="none" w:sz="0" w:space="0" w:color="auto"/>
                                                                                                <w:right w:val="none" w:sz="0" w:space="0" w:color="auto"/>
                                                                                              </w:divBdr>
                                                                                              <w:divsChild>
                                                                                                <w:div w:id="383985015">
                                                                                                  <w:marLeft w:val="0"/>
                                                                                                  <w:marRight w:val="0"/>
                                                                                                  <w:marTop w:val="0"/>
                                                                                                  <w:marBottom w:val="0"/>
                                                                                                  <w:divBdr>
                                                                                                    <w:top w:val="none" w:sz="0" w:space="0" w:color="auto"/>
                                                                                                    <w:left w:val="none" w:sz="0" w:space="0" w:color="auto"/>
                                                                                                    <w:bottom w:val="none" w:sz="0" w:space="0" w:color="auto"/>
                                                                                                    <w:right w:val="none" w:sz="0" w:space="0" w:color="auto"/>
                                                                                                  </w:divBdr>
                                                                                                  <w:divsChild>
                                                                                                    <w:div w:id="1346634232">
                                                                                                      <w:marLeft w:val="0"/>
                                                                                                      <w:marRight w:val="0"/>
                                                                                                      <w:marTop w:val="0"/>
                                                                                                      <w:marBottom w:val="0"/>
                                                                                                      <w:divBdr>
                                                                                                        <w:top w:val="none" w:sz="0" w:space="0" w:color="auto"/>
                                                                                                        <w:left w:val="none" w:sz="0" w:space="0" w:color="auto"/>
                                                                                                        <w:bottom w:val="none" w:sz="0" w:space="0" w:color="auto"/>
                                                                                                        <w:right w:val="none" w:sz="0" w:space="0" w:color="auto"/>
                                                                                                      </w:divBdr>
                                                                                                      <w:divsChild>
                                                                                                        <w:div w:id="113447489">
                                                                                                          <w:marLeft w:val="0"/>
                                                                                                          <w:marRight w:val="0"/>
                                                                                                          <w:marTop w:val="0"/>
                                                                                                          <w:marBottom w:val="120"/>
                                                                                                          <w:divBdr>
                                                                                                            <w:top w:val="none" w:sz="0" w:space="0" w:color="auto"/>
                                                                                                            <w:left w:val="none" w:sz="0" w:space="0" w:color="auto"/>
                                                                                                            <w:bottom w:val="none" w:sz="0" w:space="0" w:color="auto"/>
                                                                                                            <w:right w:val="none" w:sz="0" w:space="0" w:color="auto"/>
                                                                                                          </w:divBdr>
                                                                                                          <w:divsChild>
                                                                                                            <w:div w:id="588851760">
                                                                                                              <w:marLeft w:val="0"/>
                                                                                                              <w:marRight w:val="0"/>
                                                                                                              <w:marTop w:val="0"/>
                                                                                                              <w:marBottom w:val="0"/>
                                                                                                              <w:divBdr>
                                                                                                                <w:top w:val="none" w:sz="0" w:space="0" w:color="auto"/>
                                                                                                                <w:left w:val="none" w:sz="0" w:space="0" w:color="auto"/>
                                                                                                                <w:bottom w:val="none" w:sz="0" w:space="0" w:color="auto"/>
                                                                                                                <w:right w:val="none" w:sz="0" w:space="0" w:color="auto"/>
                                                                                                              </w:divBdr>
                                                                                                              <w:divsChild>
                                                                                                                <w:div w:id="225261850">
                                                                                                                  <w:marLeft w:val="0"/>
                                                                                                                  <w:marRight w:val="0"/>
                                                                                                                  <w:marTop w:val="0"/>
                                                                                                                  <w:marBottom w:val="0"/>
                                                                                                                  <w:divBdr>
                                                                                                                    <w:top w:val="none" w:sz="0" w:space="0" w:color="auto"/>
                                                                                                                    <w:left w:val="none" w:sz="0" w:space="0" w:color="auto"/>
                                                                                                                    <w:bottom w:val="none" w:sz="0" w:space="0" w:color="auto"/>
                                                                                                                    <w:right w:val="none" w:sz="0" w:space="0" w:color="auto"/>
                                                                                                                  </w:divBdr>
                                                                                                                  <w:divsChild>
                                                                                                                    <w:div w:id="1555000061">
                                                                                                                      <w:marLeft w:val="0"/>
                                                                                                                      <w:marRight w:val="0"/>
                                                                                                                      <w:marTop w:val="0"/>
                                                                                                                      <w:marBottom w:val="0"/>
                                                                                                                      <w:divBdr>
                                                                                                                        <w:top w:val="none" w:sz="0" w:space="0" w:color="auto"/>
                                                                                                                        <w:left w:val="none" w:sz="0" w:space="0" w:color="auto"/>
                                                                                                                        <w:bottom w:val="none" w:sz="0" w:space="0" w:color="auto"/>
                                                                                                                        <w:right w:val="none" w:sz="0" w:space="0" w:color="auto"/>
                                                                                                                      </w:divBdr>
                                                                                                                      <w:divsChild>
                                                                                                                        <w:div w:id="1553691175">
                                                                                                                          <w:marLeft w:val="0"/>
                                                                                                                          <w:marRight w:val="0"/>
                                                                                                                          <w:marTop w:val="0"/>
                                                                                                                          <w:marBottom w:val="0"/>
                                                                                                                          <w:divBdr>
                                                                                                                            <w:top w:val="none" w:sz="0" w:space="0" w:color="auto"/>
                                                                                                                            <w:left w:val="none" w:sz="0" w:space="0" w:color="auto"/>
                                                                                                                            <w:bottom w:val="none" w:sz="0" w:space="0" w:color="auto"/>
                                                                                                                            <w:right w:val="none" w:sz="0" w:space="0" w:color="auto"/>
                                                                                                                          </w:divBdr>
                                                                                                                          <w:divsChild>
                                                                                                                            <w:div w:id="231041593">
                                                                                                                              <w:marLeft w:val="0"/>
                                                                                                                              <w:marRight w:val="0"/>
                                                                                                                              <w:marTop w:val="0"/>
                                                                                                                              <w:marBottom w:val="0"/>
                                                                                                                              <w:divBdr>
                                                                                                                                <w:top w:val="none" w:sz="0" w:space="0" w:color="auto"/>
                                                                                                                                <w:left w:val="none" w:sz="0" w:space="0" w:color="auto"/>
                                                                                                                                <w:bottom w:val="none" w:sz="0" w:space="0" w:color="auto"/>
                                                                                                                                <w:right w:val="none" w:sz="0" w:space="0" w:color="auto"/>
                                                                                                                              </w:divBdr>
                                                                                                                              <w:divsChild>
                                                                                                                                <w:div w:id="14651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A7E23162.dotm</Template>
  <TotalTime>0</TotalTime>
  <Pages>12</Pages>
  <Words>2929</Words>
  <Characters>16701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19591</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2014-11-26T06:53:00Z</dcterms:created>
  <dcterms:modified xsi:type="dcterms:W3CDTF">2014-11-26T06:53:00Z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8196099</vt:lpwstr>
  </property>
</Properties>
</file>