
<file path=[Content_Types].xml><?xml version="1.0" encoding="utf-8"?>
<Types xmlns="http://schemas.openxmlformats.org/package/2006/content-types">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charts/chart3.xml" ContentType="application/vnd.openxmlformats-officedocument.drawingml.chart+xml"/>
  <Override PartName="/word/charts/chart4.xml" ContentType="application/vnd.openxmlformats-officedocument.drawingml.chart+xml"/>
  <Override PartName="/word/theme/themeOverride1.xml" ContentType="application/vnd.openxmlformats-officedocument.themeOverride+xml"/>
  <Override PartName="/word/drawings/drawing1.xml" ContentType="application/vnd.openxmlformats-officedocument.drawingml.chartshap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262F" w:rsidRDefault="003E262F" w:rsidP="003E262F">
      <w:pPr>
        <w:jc w:val="center"/>
        <w:rPr>
          <w:rFonts w:eastAsia="Times New Roman"/>
          <w:b/>
          <w:sz w:val="40"/>
          <w:szCs w:val="24"/>
          <w:lang w:eastAsia="en-AU"/>
        </w:rPr>
      </w:pPr>
      <w:bookmarkStart w:id="0" w:name="_Toc387916916"/>
      <w:r w:rsidRPr="00A628B6">
        <w:rPr>
          <w:noProof/>
          <w:lang w:eastAsia="en-AU"/>
        </w:rPr>
        <w:drawing>
          <wp:anchor distT="0" distB="0" distL="114300" distR="114300" simplePos="0" relativeHeight="251659264" behindDoc="1" locked="0" layoutInCell="1" allowOverlap="1" wp14:anchorId="3BEC320E" wp14:editId="6F4916B4">
            <wp:simplePos x="0" y="0"/>
            <wp:positionH relativeFrom="column">
              <wp:posOffset>-909955</wp:posOffset>
            </wp:positionH>
            <wp:positionV relativeFrom="paragraph">
              <wp:posOffset>-909955</wp:posOffset>
            </wp:positionV>
            <wp:extent cx="7657465" cy="10791825"/>
            <wp:effectExtent l="0" t="0" r="0" b="0"/>
            <wp:wrapNone/>
            <wp:docPr id="2" name="Picture 2" descr="AER-draft-br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ER-draft-brown"/>
                    <pic:cNvPicPr>
                      <a:picLocks noChangeAspect="1" noChangeArrowheads="1"/>
                    </pic:cNvPicPr>
                  </pic:nvPicPr>
                  <pic:blipFill>
                    <a:blip r:embed="rId8" cstate="print"/>
                    <a:srcRect/>
                    <a:stretch>
                      <a:fillRect/>
                    </a:stretch>
                  </pic:blipFill>
                  <pic:spPr bwMode="auto">
                    <a:xfrm>
                      <a:off x="0" y="0"/>
                      <a:ext cx="7657465" cy="10791825"/>
                    </a:xfrm>
                    <a:prstGeom prst="rect">
                      <a:avLst/>
                    </a:prstGeom>
                    <a:noFill/>
                    <a:ln w="9525">
                      <a:noFill/>
                      <a:miter lim="800000"/>
                      <a:headEnd/>
                      <a:tailEnd/>
                    </a:ln>
                  </pic:spPr>
                </pic:pic>
              </a:graphicData>
            </a:graphic>
          </wp:anchor>
        </w:drawing>
      </w:r>
    </w:p>
    <w:p w:rsidR="003E262F" w:rsidRDefault="003E262F" w:rsidP="003E262F">
      <w:pPr>
        <w:jc w:val="center"/>
        <w:rPr>
          <w:rFonts w:eastAsia="Times New Roman"/>
          <w:b/>
          <w:sz w:val="40"/>
          <w:szCs w:val="24"/>
          <w:lang w:eastAsia="en-AU"/>
        </w:rPr>
      </w:pPr>
    </w:p>
    <w:p w:rsidR="003E262F" w:rsidRDefault="003E262F" w:rsidP="003E262F">
      <w:pPr>
        <w:jc w:val="center"/>
        <w:rPr>
          <w:rFonts w:eastAsia="Times New Roman"/>
          <w:b/>
          <w:sz w:val="40"/>
          <w:szCs w:val="24"/>
          <w:lang w:eastAsia="en-AU"/>
        </w:rPr>
      </w:pPr>
    </w:p>
    <w:p w:rsidR="003E262F" w:rsidRDefault="003E262F" w:rsidP="003E262F">
      <w:pPr>
        <w:jc w:val="center"/>
      </w:pPr>
    </w:p>
    <w:p w:rsidR="003E262F" w:rsidRDefault="003E262F" w:rsidP="003E262F">
      <w:pPr>
        <w:jc w:val="center"/>
      </w:pPr>
    </w:p>
    <w:p w:rsidR="003E262F" w:rsidRDefault="003E262F" w:rsidP="003E262F">
      <w:pPr>
        <w:jc w:val="center"/>
        <w:rPr>
          <w:rFonts w:eastAsia="Times New Roman"/>
          <w:b/>
          <w:sz w:val="40"/>
          <w:szCs w:val="24"/>
          <w:lang w:eastAsia="en-AU"/>
        </w:rPr>
      </w:pPr>
    </w:p>
    <w:p w:rsidR="003E262F" w:rsidRPr="00BA5160" w:rsidRDefault="003E262F" w:rsidP="003E262F">
      <w:pPr>
        <w:jc w:val="center"/>
        <w:rPr>
          <w:rFonts w:eastAsia="Times New Roman"/>
          <w:b/>
          <w:sz w:val="40"/>
          <w:szCs w:val="24"/>
          <w:lang w:eastAsia="en-AU"/>
        </w:rPr>
      </w:pPr>
      <w:r w:rsidRPr="00BA5160">
        <w:rPr>
          <w:rFonts w:eastAsia="Times New Roman"/>
          <w:b/>
          <w:sz w:val="40"/>
          <w:szCs w:val="24"/>
          <w:lang w:eastAsia="en-AU"/>
        </w:rPr>
        <w:t>Draft decision</w:t>
      </w:r>
    </w:p>
    <w:p w:rsidR="003E262F" w:rsidRPr="00BA5160" w:rsidRDefault="003E262F" w:rsidP="003E262F">
      <w:pPr>
        <w:jc w:val="center"/>
        <w:rPr>
          <w:rFonts w:eastAsia="Times New Roman"/>
          <w:b/>
          <w:sz w:val="40"/>
          <w:szCs w:val="24"/>
          <w:lang w:eastAsia="en-AU"/>
        </w:rPr>
      </w:pPr>
      <w:r w:rsidRPr="00BA5160">
        <w:rPr>
          <w:rFonts w:eastAsia="Times New Roman"/>
          <w:b/>
          <w:sz w:val="40"/>
          <w:szCs w:val="24"/>
          <w:lang w:eastAsia="en-AU"/>
        </w:rPr>
        <w:t>Endeavour Energy distribution determination</w:t>
      </w:r>
    </w:p>
    <w:p w:rsidR="003E262F" w:rsidRPr="00BA5160" w:rsidRDefault="003E262F" w:rsidP="003E262F">
      <w:pPr>
        <w:jc w:val="center"/>
        <w:rPr>
          <w:rFonts w:eastAsia="Times New Roman"/>
          <w:b/>
          <w:sz w:val="40"/>
          <w:szCs w:val="24"/>
          <w:lang w:eastAsia="en-AU"/>
        </w:rPr>
      </w:pPr>
      <w:r w:rsidRPr="00BA5160">
        <w:rPr>
          <w:rFonts w:eastAsia="Times New Roman"/>
          <w:b/>
          <w:sz w:val="40"/>
          <w:szCs w:val="24"/>
          <w:lang w:eastAsia="en-AU"/>
        </w:rPr>
        <w:t>2015–16 to 2018–19</w:t>
      </w:r>
    </w:p>
    <w:p w:rsidR="003E262F" w:rsidRDefault="003E262F" w:rsidP="003E262F">
      <w:pPr>
        <w:jc w:val="center"/>
        <w:rPr>
          <w:rFonts w:eastAsia="Times New Roman"/>
          <w:b/>
          <w:sz w:val="40"/>
          <w:szCs w:val="24"/>
          <w:lang w:eastAsia="en-AU"/>
        </w:rPr>
      </w:pPr>
      <w:r w:rsidRPr="00BA5160">
        <w:rPr>
          <w:rFonts w:eastAsia="Times New Roman"/>
          <w:b/>
          <w:sz w:val="40"/>
          <w:szCs w:val="24"/>
          <w:lang w:eastAsia="en-AU"/>
        </w:rPr>
        <w:t>Attachment 1</w:t>
      </w:r>
      <w:r>
        <w:rPr>
          <w:rFonts w:eastAsia="Times New Roman"/>
          <w:b/>
          <w:sz w:val="40"/>
          <w:szCs w:val="24"/>
          <w:lang w:eastAsia="en-AU"/>
        </w:rPr>
        <w:t xml:space="preserve">6: </w:t>
      </w:r>
      <w:r w:rsidRPr="003E262F">
        <w:rPr>
          <w:rFonts w:eastAsia="Times New Roman"/>
          <w:b/>
          <w:sz w:val="40"/>
          <w:szCs w:val="24"/>
          <w:lang w:eastAsia="en-AU"/>
        </w:rPr>
        <w:t>Alternative control services</w:t>
      </w:r>
    </w:p>
    <w:p w:rsidR="003E262F" w:rsidRDefault="003E262F" w:rsidP="003E262F">
      <w:pPr>
        <w:jc w:val="center"/>
        <w:rPr>
          <w:rFonts w:eastAsia="Times New Roman"/>
          <w:b/>
          <w:sz w:val="40"/>
          <w:szCs w:val="24"/>
          <w:lang w:eastAsia="en-AU"/>
        </w:rPr>
      </w:pPr>
    </w:p>
    <w:p w:rsidR="003E262F" w:rsidRDefault="003E262F" w:rsidP="003E262F">
      <w:pPr>
        <w:jc w:val="center"/>
        <w:rPr>
          <w:rFonts w:eastAsia="Times New Roman"/>
          <w:b/>
          <w:sz w:val="40"/>
          <w:szCs w:val="24"/>
          <w:lang w:eastAsia="en-AU"/>
        </w:rPr>
      </w:pPr>
    </w:p>
    <w:p w:rsidR="003E262F" w:rsidRPr="00BA5160" w:rsidRDefault="003E262F" w:rsidP="003E262F">
      <w:pPr>
        <w:pStyle w:val="AERtitle2"/>
        <w:rPr>
          <w:b/>
          <w:sz w:val="40"/>
          <w:lang w:eastAsia="en-AU"/>
        </w:rPr>
      </w:pPr>
      <w:r>
        <w:t>November 2014</w:t>
      </w:r>
    </w:p>
    <w:p w:rsidR="003E262F" w:rsidRDefault="003E262F" w:rsidP="003E262F">
      <w:pPr>
        <w:pStyle w:val="AERbodytext"/>
      </w:pPr>
      <w:r>
        <w:br w:type="page"/>
      </w:r>
    </w:p>
    <w:p w:rsidR="003E262F" w:rsidRPr="000A33B4" w:rsidRDefault="003E262F" w:rsidP="003E262F">
      <w:pPr>
        <w:pStyle w:val="AERbodytextnospace"/>
        <w:rPr>
          <w:rStyle w:val="AERtextbold"/>
        </w:rPr>
      </w:pPr>
      <w:r w:rsidRPr="000A33B4">
        <w:rPr>
          <w:rStyle w:val="AERtextbold"/>
        </w:rPr>
        <w:lastRenderedPageBreak/>
        <w:t>© Commonwealth of Australia 2014</w:t>
      </w:r>
    </w:p>
    <w:p w:rsidR="003E262F" w:rsidRPr="000A33B4" w:rsidRDefault="003E262F" w:rsidP="003E262F">
      <w:pPr>
        <w:pStyle w:val="AERbodytext"/>
      </w:pPr>
      <w:r w:rsidRPr="000A33B4">
        <w:t>This work is copyright. In addition to any use permitted under the Copyright Act 1968, all material contained within this work is provided under a Creative Commons Attribution 3.0 Australia licence, with the exception of:</w:t>
      </w:r>
    </w:p>
    <w:p w:rsidR="003E262F" w:rsidRPr="000A33B4" w:rsidRDefault="003E262F" w:rsidP="003E262F">
      <w:pPr>
        <w:pStyle w:val="AERbulletlistfirststyle"/>
      </w:pPr>
      <w:r w:rsidRPr="000A33B4">
        <w:t>the Commonwealth Coat of Arms</w:t>
      </w:r>
    </w:p>
    <w:p w:rsidR="003E262F" w:rsidRDefault="003E262F" w:rsidP="003E262F">
      <w:pPr>
        <w:pStyle w:val="AERbulletlistfirststyle"/>
      </w:pPr>
      <w:r w:rsidRPr="000A33B4">
        <w:t>the ACCC and AER logos</w:t>
      </w:r>
    </w:p>
    <w:p w:rsidR="003E262F" w:rsidRPr="000A33B4" w:rsidRDefault="003E262F" w:rsidP="003E262F">
      <w:pPr>
        <w:pStyle w:val="AERbulletlistfirststyle"/>
      </w:pPr>
      <w:r w:rsidRPr="000A33B4">
        <w:t>any illustration, diagram, photograph or graphic over which the Australian Competition and Consumer Commission does not hold copyright, but which may be part of or contained within this publication.</w:t>
      </w:r>
    </w:p>
    <w:p w:rsidR="003E262F" w:rsidRPr="000A33B4" w:rsidRDefault="003E262F" w:rsidP="003E262F">
      <w:pPr>
        <w:pStyle w:val="AERbodytext"/>
      </w:pPr>
      <w:r w:rsidRPr="000A33B4">
        <w:t>The details of the relevant licence conditions are available on the Creative Commons website, as is the full legal code for the CC BY 3.0 AU licence.</w:t>
      </w:r>
    </w:p>
    <w:p w:rsidR="003E262F" w:rsidRPr="000A33B4" w:rsidRDefault="003E262F" w:rsidP="003E262F">
      <w:pPr>
        <w:pStyle w:val="AERbodytext"/>
      </w:pPr>
      <w:r w:rsidRPr="000A33B4">
        <w:t>Requests and inquiries concerning reproduction and rights should be addressed to the Director, Corporate Communications, ACCC, GPO Box 3131, Canberra ACT 2601, or</w:t>
      </w:r>
    </w:p>
    <w:p w:rsidR="003E262F" w:rsidRPr="000A33B4" w:rsidRDefault="003E262F" w:rsidP="003E262F">
      <w:pPr>
        <w:pStyle w:val="AERbodytext"/>
      </w:pPr>
      <w:r w:rsidRPr="000A33B4">
        <w:t xml:space="preserve"> </w:t>
      </w:r>
      <w:r>
        <w:tab/>
      </w:r>
      <w:hyperlink r:id="rId9" w:history="1">
        <w:r w:rsidRPr="000A33B4">
          <w:t>publishing.unit@accc.gov.au</w:t>
        </w:r>
      </w:hyperlink>
      <w:r w:rsidRPr="000A33B4">
        <w:t xml:space="preserve"> .</w:t>
      </w:r>
    </w:p>
    <w:p w:rsidR="003E262F" w:rsidRPr="000A33B4" w:rsidRDefault="003E262F" w:rsidP="003E262F">
      <w:pPr>
        <w:pStyle w:val="AERbodytext"/>
      </w:pPr>
      <w:r w:rsidRPr="000A33B4">
        <w:t>Inquiries about this document should be addressed to:</w:t>
      </w:r>
    </w:p>
    <w:p w:rsidR="003E262F" w:rsidRPr="000A33B4" w:rsidRDefault="003E262F" w:rsidP="003E262F">
      <w:pPr>
        <w:pStyle w:val="AERbodytextnospace"/>
      </w:pPr>
      <w:r w:rsidRPr="000A33B4">
        <w:t>Australian Energy Regulator</w:t>
      </w:r>
    </w:p>
    <w:p w:rsidR="003E262F" w:rsidRPr="000A33B4" w:rsidRDefault="003E262F" w:rsidP="003E262F">
      <w:pPr>
        <w:pStyle w:val="AERbodytextnospace"/>
      </w:pPr>
      <w:r w:rsidRPr="000A33B4">
        <w:t>GPO Box 520</w:t>
      </w:r>
    </w:p>
    <w:p w:rsidR="003E262F" w:rsidRPr="000A33B4" w:rsidRDefault="003E262F" w:rsidP="003E262F">
      <w:pPr>
        <w:pStyle w:val="AERbodytextnospace"/>
      </w:pPr>
      <w:r w:rsidRPr="000A33B4">
        <w:t>Melbourne  Vic  3001</w:t>
      </w:r>
    </w:p>
    <w:p w:rsidR="003E262F" w:rsidRPr="000A33B4" w:rsidRDefault="003E262F" w:rsidP="003E262F">
      <w:pPr>
        <w:pStyle w:val="AERbodytextnospace"/>
      </w:pPr>
      <w:r w:rsidRPr="000A33B4">
        <w:t>Tel: (03) 9290 1444</w:t>
      </w:r>
    </w:p>
    <w:p w:rsidR="003E262F" w:rsidRDefault="003E262F" w:rsidP="003E262F">
      <w:pPr>
        <w:pStyle w:val="AERbodytextnospace"/>
      </w:pPr>
      <w:r w:rsidRPr="000A33B4">
        <w:t>Fax: (03) 9290 1457</w:t>
      </w:r>
    </w:p>
    <w:p w:rsidR="003E262F" w:rsidRDefault="003E262F" w:rsidP="003E262F">
      <w:pPr>
        <w:pStyle w:val="AERbodytextnospace"/>
      </w:pPr>
      <w:r w:rsidRPr="000A33B4">
        <w:t xml:space="preserve">Email: </w:t>
      </w:r>
      <w:hyperlink r:id="rId10" w:history="1">
        <w:r w:rsidRPr="000A33B4">
          <w:rPr>
            <w:rStyle w:val="Hyperlink"/>
          </w:rPr>
          <w:t>AERInquiry@aer.gov.au</w:t>
        </w:r>
      </w:hyperlink>
    </w:p>
    <w:p w:rsidR="003E262F" w:rsidRDefault="003E262F" w:rsidP="003E262F"/>
    <w:p w:rsidR="003E262F" w:rsidRDefault="003E262F" w:rsidP="003E262F">
      <w:r>
        <w:t>AER reference: 54420</w:t>
      </w:r>
    </w:p>
    <w:p w:rsidR="003E262F" w:rsidRDefault="003E262F" w:rsidP="003E262F"/>
    <w:p w:rsidR="003E262F" w:rsidRDefault="003E262F" w:rsidP="003E262F"/>
    <w:p w:rsidR="003E262F" w:rsidRDefault="003E262F" w:rsidP="003E262F">
      <w:pPr>
        <w:spacing w:after="0" w:line="240" w:lineRule="auto"/>
        <w:jc w:val="left"/>
      </w:pPr>
      <w:r>
        <w:br w:type="page"/>
      </w:r>
    </w:p>
    <w:p w:rsidR="003E262F" w:rsidRPr="006B36C8" w:rsidRDefault="003E262F" w:rsidP="003E262F">
      <w:pPr>
        <w:pStyle w:val="UnnumberedHeading"/>
        <w:numPr>
          <w:ilvl w:val="0"/>
          <w:numId w:val="55"/>
        </w:numPr>
        <w:rPr>
          <w:rStyle w:val="AERtextorange"/>
        </w:rPr>
      </w:pPr>
      <w:bookmarkStart w:id="1" w:name="_Toc404324945"/>
      <w:r w:rsidRPr="006B36C8">
        <w:rPr>
          <w:rStyle w:val="AERtextorange"/>
        </w:rPr>
        <w:lastRenderedPageBreak/>
        <w:t>Note</w:t>
      </w:r>
      <w:bookmarkEnd w:id="1"/>
    </w:p>
    <w:p w:rsidR="003E262F" w:rsidRDefault="003E262F" w:rsidP="003E262F">
      <w:r>
        <w:t>This attachment forms part of the AER's draft decision on Endeavour Energy's 2015–19 distribution determination. It should be read with other parts of the draft decision.</w:t>
      </w:r>
    </w:p>
    <w:p w:rsidR="003E262F" w:rsidRDefault="003E262F" w:rsidP="003E262F">
      <w:r>
        <w:t>The draft decision includes the following documents:</w:t>
      </w:r>
    </w:p>
    <w:p w:rsidR="003E262F" w:rsidRDefault="003E262F" w:rsidP="003E262F">
      <w:r>
        <w:t>Overview</w:t>
      </w:r>
    </w:p>
    <w:p w:rsidR="003E262F" w:rsidRDefault="003E262F" w:rsidP="003E262F">
      <w:r>
        <w:t>Attachment 1 – Annual revenue requirement</w:t>
      </w:r>
    </w:p>
    <w:p w:rsidR="003E262F" w:rsidRDefault="003E262F" w:rsidP="003E262F">
      <w:r>
        <w:t>Attachment 2 – Regulatory asset base</w:t>
      </w:r>
    </w:p>
    <w:p w:rsidR="003E262F" w:rsidRDefault="003E262F" w:rsidP="003E262F">
      <w:r>
        <w:t>Attachment 3 – Rate of return</w:t>
      </w:r>
    </w:p>
    <w:p w:rsidR="003E262F" w:rsidRDefault="003E262F" w:rsidP="003E262F">
      <w:r>
        <w:t>Attachment 4 – Value of imputation credits</w:t>
      </w:r>
    </w:p>
    <w:p w:rsidR="003E262F" w:rsidRDefault="003E262F" w:rsidP="003E262F">
      <w:r>
        <w:t>Attachment 5 – Regulatory depreciation</w:t>
      </w:r>
    </w:p>
    <w:p w:rsidR="003E262F" w:rsidRDefault="003E262F" w:rsidP="003E262F">
      <w:r>
        <w:t>Attachment 6 – Capital expenditure</w:t>
      </w:r>
      <w:r w:rsidRPr="0012445F">
        <w:t xml:space="preserve"> </w:t>
      </w:r>
    </w:p>
    <w:p w:rsidR="003E262F" w:rsidRDefault="003E262F" w:rsidP="003E262F">
      <w:r>
        <w:t>Attachment 7 – Operating expenditure</w:t>
      </w:r>
    </w:p>
    <w:p w:rsidR="003E262F" w:rsidRDefault="003E262F" w:rsidP="003E262F">
      <w:r>
        <w:t>Attachment 8 – Corporate income tax</w:t>
      </w:r>
    </w:p>
    <w:p w:rsidR="003E262F" w:rsidRDefault="003E262F" w:rsidP="003E262F">
      <w:r>
        <w:t>Attachment 9 – Efficiency benefit sharing scheme</w:t>
      </w:r>
    </w:p>
    <w:p w:rsidR="003E262F" w:rsidRDefault="003E262F" w:rsidP="003E262F">
      <w:r w:rsidRPr="00DF268E">
        <w:t xml:space="preserve">Attachment </w:t>
      </w:r>
      <w:r>
        <w:t>10</w:t>
      </w:r>
      <w:r w:rsidRPr="00DF268E">
        <w:t xml:space="preserve"> –</w:t>
      </w:r>
      <w:r>
        <w:t xml:space="preserve"> C</w:t>
      </w:r>
      <w:r w:rsidRPr="00FB0F49">
        <w:t>apital expenditure sharing scheme</w:t>
      </w:r>
    </w:p>
    <w:p w:rsidR="003E262F" w:rsidRDefault="003E262F" w:rsidP="003E262F">
      <w:r w:rsidRPr="00DF268E">
        <w:t>Attachment 1</w:t>
      </w:r>
      <w:r>
        <w:t>1 – S</w:t>
      </w:r>
      <w:r w:rsidRPr="00FB0F49">
        <w:t>ervice target performance incentive scheme</w:t>
      </w:r>
    </w:p>
    <w:p w:rsidR="003E262F" w:rsidRDefault="003E262F" w:rsidP="003E262F">
      <w:r w:rsidRPr="00DF268E">
        <w:t>Attachment 1</w:t>
      </w:r>
      <w:r>
        <w:t>2</w:t>
      </w:r>
      <w:r w:rsidRPr="00DF268E">
        <w:t xml:space="preserve"> –</w:t>
      </w:r>
      <w:r>
        <w:t xml:space="preserve"> Demand management incentive scheme</w:t>
      </w:r>
    </w:p>
    <w:p w:rsidR="003E262F" w:rsidRPr="0012445F" w:rsidRDefault="003E262F" w:rsidP="003E262F">
      <w:r w:rsidRPr="00DF268E">
        <w:t>Attachment 1</w:t>
      </w:r>
      <w:r>
        <w:t>3</w:t>
      </w:r>
      <w:r w:rsidRPr="00DF268E">
        <w:t xml:space="preserve"> –</w:t>
      </w:r>
      <w:r>
        <w:t xml:space="preserve"> Classification of services</w:t>
      </w:r>
    </w:p>
    <w:p w:rsidR="003E262F" w:rsidRDefault="003E262F" w:rsidP="003E262F">
      <w:r w:rsidRPr="00DF268E">
        <w:t>Attachment 1</w:t>
      </w:r>
      <w:r>
        <w:t>4</w:t>
      </w:r>
      <w:r w:rsidRPr="00DF268E">
        <w:t xml:space="preserve"> –</w:t>
      </w:r>
      <w:r>
        <w:t xml:space="preserve"> Control mechanisms</w:t>
      </w:r>
    </w:p>
    <w:p w:rsidR="003E262F" w:rsidRDefault="003E262F" w:rsidP="003E262F">
      <w:r w:rsidRPr="00DF268E">
        <w:t>Attachment 1</w:t>
      </w:r>
      <w:r>
        <w:t>5</w:t>
      </w:r>
      <w:r w:rsidRPr="00DF268E">
        <w:t xml:space="preserve"> –</w:t>
      </w:r>
      <w:r>
        <w:t xml:space="preserve"> Pass through events</w:t>
      </w:r>
    </w:p>
    <w:p w:rsidR="003E262F" w:rsidRDefault="003E262F" w:rsidP="003E262F">
      <w:r w:rsidRPr="00DF268E">
        <w:t>Attachment 1</w:t>
      </w:r>
      <w:r>
        <w:t>6</w:t>
      </w:r>
      <w:r w:rsidRPr="00DF268E">
        <w:t xml:space="preserve"> –</w:t>
      </w:r>
      <w:r>
        <w:t xml:space="preserve"> Alternative control services</w:t>
      </w:r>
    </w:p>
    <w:p w:rsidR="003E262F" w:rsidRDefault="003E262F" w:rsidP="003E262F">
      <w:r w:rsidRPr="00DF268E">
        <w:t>Attachment 1</w:t>
      </w:r>
      <w:r>
        <w:t>7</w:t>
      </w:r>
      <w:r w:rsidRPr="00DF268E">
        <w:t xml:space="preserve"> –</w:t>
      </w:r>
      <w:r>
        <w:t xml:space="preserve"> Negotiated services framework and criteria</w:t>
      </w:r>
    </w:p>
    <w:p w:rsidR="003E262F" w:rsidRDefault="003E262F" w:rsidP="003E262F">
      <w:r w:rsidRPr="00DF268E">
        <w:t>Attachment 1</w:t>
      </w:r>
      <w:r>
        <w:t>8</w:t>
      </w:r>
      <w:r w:rsidRPr="00DF268E">
        <w:t xml:space="preserve"> –</w:t>
      </w:r>
      <w:r>
        <w:t xml:space="preserve"> Connection policy</w:t>
      </w:r>
    </w:p>
    <w:p w:rsidR="003E262F" w:rsidRDefault="003E262F" w:rsidP="003E262F">
      <w:pPr>
        <w:pStyle w:val="AERbodytext"/>
      </w:pPr>
      <w:r>
        <w:br w:type="page"/>
      </w:r>
    </w:p>
    <w:p w:rsidR="003E262F" w:rsidRPr="00A628B6" w:rsidRDefault="003E262F" w:rsidP="003E262F">
      <w:pPr>
        <w:pStyle w:val="UnnumberedHeading"/>
        <w:numPr>
          <w:ilvl w:val="0"/>
          <w:numId w:val="55"/>
        </w:numPr>
      </w:pPr>
      <w:bookmarkStart w:id="2" w:name="_Toc404324946"/>
      <w:r>
        <w:t>Contents</w:t>
      </w:r>
      <w:bookmarkEnd w:id="2"/>
    </w:p>
    <w:sdt>
      <w:sdtPr>
        <w:id w:val="-830675811"/>
        <w:docPartObj>
          <w:docPartGallery w:val="Table of Contents"/>
          <w:docPartUnique/>
        </w:docPartObj>
      </w:sdtPr>
      <w:sdtEndPr/>
      <w:sdtContent>
        <w:p w:rsidR="00736A34" w:rsidRDefault="003E262F">
          <w:pPr>
            <w:pStyle w:val="TOC1"/>
            <w:tabs>
              <w:tab w:val="right" w:leader="dot" w:pos="9016"/>
            </w:tabs>
            <w:rPr>
              <w:rFonts w:asciiTheme="minorHAnsi" w:eastAsiaTheme="minorEastAsia" w:hAnsiTheme="minorHAnsi" w:cstheme="minorBidi"/>
              <w:b w:val="0"/>
              <w:bCs w:val="0"/>
              <w:noProof/>
              <w:sz w:val="22"/>
              <w:szCs w:val="22"/>
              <w:lang w:eastAsia="en-AU"/>
            </w:rPr>
          </w:pPr>
          <w:r>
            <w:rPr>
              <w:lang w:val="en-US" w:eastAsia="ja-JP"/>
            </w:rPr>
            <w:fldChar w:fldCharType="begin"/>
          </w:r>
          <w:r>
            <w:rPr>
              <w:lang w:val="en-US" w:eastAsia="ja-JP"/>
            </w:rPr>
            <w:instrText xml:space="preserve"> TOC \o "1-3" \h \z \u \t "Heading 7,1,Heading 8,2,Heading 9,3" </w:instrText>
          </w:r>
          <w:r>
            <w:rPr>
              <w:lang w:val="en-US" w:eastAsia="ja-JP"/>
            </w:rPr>
            <w:fldChar w:fldCharType="separate"/>
          </w:r>
          <w:hyperlink w:anchor="_Toc404324945" w:history="1">
            <w:r w:rsidR="00736A34" w:rsidRPr="001663E6">
              <w:rPr>
                <w:rStyle w:val="Hyperlink"/>
                <w:noProof/>
              </w:rPr>
              <w:t>Note</w:t>
            </w:r>
            <w:r w:rsidR="00736A34">
              <w:rPr>
                <w:noProof/>
                <w:webHidden/>
              </w:rPr>
              <w:tab/>
            </w:r>
            <w:r w:rsidR="00736A34">
              <w:rPr>
                <w:noProof/>
                <w:webHidden/>
              </w:rPr>
              <w:fldChar w:fldCharType="begin"/>
            </w:r>
            <w:r w:rsidR="00736A34">
              <w:rPr>
                <w:noProof/>
                <w:webHidden/>
              </w:rPr>
              <w:instrText xml:space="preserve"> PAGEREF _Toc404324945 \h </w:instrText>
            </w:r>
            <w:r w:rsidR="00736A34">
              <w:rPr>
                <w:noProof/>
                <w:webHidden/>
              </w:rPr>
            </w:r>
            <w:r w:rsidR="00736A34">
              <w:rPr>
                <w:noProof/>
                <w:webHidden/>
              </w:rPr>
              <w:fldChar w:fldCharType="separate"/>
            </w:r>
            <w:r w:rsidR="00736A34">
              <w:rPr>
                <w:noProof/>
                <w:webHidden/>
              </w:rPr>
              <w:t>16-3</w:t>
            </w:r>
            <w:r w:rsidR="00736A34">
              <w:rPr>
                <w:noProof/>
                <w:webHidden/>
              </w:rPr>
              <w:fldChar w:fldCharType="end"/>
            </w:r>
          </w:hyperlink>
        </w:p>
        <w:p w:rsidR="00736A34" w:rsidRDefault="004667DE">
          <w:pPr>
            <w:pStyle w:val="TOC1"/>
            <w:tabs>
              <w:tab w:val="right" w:leader="dot" w:pos="9016"/>
            </w:tabs>
            <w:rPr>
              <w:rFonts w:asciiTheme="minorHAnsi" w:eastAsiaTheme="minorEastAsia" w:hAnsiTheme="minorHAnsi" w:cstheme="minorBidi"/>
              <w:b w:val="0"/>
              <w:bCs w:val="0"/>
              <w:noProof/>
              <w:sz w:val="22"/>
              <w:szCs w:val="22"/>
              <w:lang w:eastAsia="en-AU"/>
            </w:rPr>
          </w:pPr>
          <w:hyperlink w:anchor="_Toc404324946" w:history="1">
            <w:r w:rsidR="00736A34" w:rsidRPr="001663E6">
              <w:rPr>
                <w:rStyle w:val="Hyperlink"/>
                <w:noProof/>
              </w:rPr>
              <w:t>Contents</w:t>
            </w:r>
            <w:r w:rsidR="00736A34">
              <w:rPr>
                <w:noProof/>
                <w:webHidden/>
              </w:rPr>
              <w:tab/>
            </w:r>
            <w:r w:rsidR="00736A34">
              <w:rPr>
                <w:noProof/>
                <w:webHidden/>
              </w:rPr>
              <w:fldChar w:fldCharType="begin"/>
            </w:r>
            <w:r w:rsidR="00736A34">
              <w:rPr>
                <w:noProof/>
                <w:webHidden/>
              </w:rPr>
              <w:instrText xml:space="preserve"> PAGEREF _Toc404324946 \h </w:instrText>
            </w:r>
            <w:r w:rsidR="00736A34">
              <w:rPr>
                <w:noProof/>
                <w:webHidden/>
              </w:rPr>
            </w:r>
            <w:r w:rsidR="00736A34">
              <w:rPr>
                <w:noProof/>
                <w:webHidden/>
              </w:rPr>
              <w:fldChar w:fldCharType="separate"/>
            </w:r>
            <w:r w:rsidR="00736A34">
              <w:rPr>
                <w:noProof/>
                <w:webHidden/>
              </w:rPr>
              <w:t>16-4</w:t>
            </w:r>
            <w:r w:rsidR="00736A34">
              <w:rPr>
                <w:noProof/>
                <w:webHidden/>
              </w:rPr>
              <w:fldChar w:fldCharType="end"/>
            </w:r>
          </w:hyperlink>
        </w:p>
        <w:p w:rsidR="00736A34" w:rsidRDefault="004667DE">
          <w:pPr>
            <w:pStyle w:val="TOC1"/>
            <w:tabs>
              <w:tab w:val="right" w:leader="dot" w:pos="9016"/>
            </w:tabs>
            <w:rPr>
              <w:rFonts w:asciiTheme="minorHAnsi" w:eastAsiaTheme="minorEastAsia" w:hAnsiTheme="minorHAnsi" w:cstheme="minorBidi"/>
              <w:b w:val="0"/>
              <w:bCs w:val="0"/>
              <w:noProof/>
              <w:sz w:val="22"/>
              <w:szCs w:val="22"/>
              <w:lang w:eastAsia="en-AU"/>
            </w:rPr>
          </w:pPr>
          <w:hyperlink w:anchor="_Toc404324947" w:history="1">
            <w:r w:rsidR="00736A34" w:rsidRPr="001663E6">
              <w:rPr>
                <w:rStyle w:val="Hyperlink"/>
                <w:noProof/>
              </w:rPr>
              <w:t>Shortened forms</w:t>
            </w:r>
            <w:r w:rsidR="00736A34">
              <w:rPr>
                <w:noProof/>
                <w:webHidden/>
              </w:rPr>
              <w:tab/>
            </w:r>
            <w:r w:rsidR="00736A34">
              <w:rPr>
                <w:noProof/>
                <w:webHidden/>
              </w:rPr>
              <w:fldChar w:fldCharType="begin"/>
            </w:r>
            <w:r w:rsidR="00736A34">
              <w:rPr>
                <w:noProof/>
                <w:webHidden/>
              </w:rPr>
              <w:instrText xml:space="preserve"> PAGEREF _Toc404324947 \h </w:instrText>
            </w:r>
            <w:r w:rsidR="00736A34">
              <w:rPr>
                <w:noProof/>
                <w:webHidden/>
              </w:rPr>
            </w:r>
            <w:r w:rsidR="00736A34">
              <w:rPr>
                <w:noProof/>
                <w:webHidden/>
              </w:rPr>
              <w:fldChar w:fldCharType="separate"/>
            </w:r>
            <w:r w:rsidR="00736A34">
              <w:rPr>
                <w:noProof/>
                <w:webHidden/>
              </w:rPr>
              <w:t>16-5</w:t>
            </w:r>
            <w:r w:rsidR="00736A34">
              <w:rPr>
                <w:noProof/>
                <w:webHidden/>
              </w:rPr>
              <w:fldChar w:fldCharType="end"/>
            </w:r>
          </w:hyperlink>
        </w:p>
        <w:p w:rsidR="00736A34" w:rsidRDefault="004667DE">
          <w:pPr>
            <w:pStyle w:val="TOC1"/>
            <w:tabs>
              <w:tab w:val="left" w:pos="600"/>
              <w:tab w:val="right" w:leader="dot" w:pos="9016"/>
            </w:tabs>
            <w:rPr>
              <w:rFonts w:asciiTheme="minorHAnsi" w:eastAsiaTheme="minorEastAsia" w:hAnsiTheme="minorHAnsi" w:cstheme="minorBidi"/>
              <w:b w:val="0"/>
              <w:bCs w:val="0"/>
              <w:noProof/>
              <w:sz w:val="22"/>
              <w:szCs w:val="22"/>
              <w:lang w:eastAsia="en-AU"/>
            </w:rPr>
          </w:pPr>
          <w:hyperlink w:anchor="_Toc404324948" w:history="1">
            <w:r w:rsidR="00736A34" w:rsidRPr="001663E6">
              <w:rPr>
                <w:rStyle w:val="Hyperlink"/>
                <w:noProof/>
              </w:rPr>
              <w:t>16</w:t>
            </w:r>
            <w:r w:rsidR="00736A34">
              <w:rPr>
                <w:rFonts w:asciiTheme="minorHAnsi" w:eastAsiaTheme="minorEastAsia" w:hAnsiTheme="minorHAnsi" w:cstheme="minorBidi"/>
                <w:b w:val="0"/>
                <w:bCs w:val="0"/>
                <w:noProof/>
                <w:sz w:val="22"/>
                <w:szCs w:val="22"/>
                <w:lang w:eastAsia="en-AU"/>
              </w:rPr>
              <w:tab/>
            </w:r>
            <w:r w:rsidR="00736A34" w:rsidRPr="001663E6">
              <w:rPr>
                <w:rStyle w:val="Hyperlink"/>
                <w:noProof/>
              </w:rPr>
              <w:t>Alternative control services</w:t>
            </w:r>
            <w:r w:rsidR="00736A34">
              <w:rPr>
                <w:noProof/>
                <w:webHidden/>
              </w:rPr>
              <w:tab/>
            </w:r>
            <w:r w:rsidR="00736A34">
              <w:rPr>
                <w:noProof/>
                <w:webHidden/>
              </w:rPr>
              <w:fldChar w:fldCharType="begin"/>
            </w:r>
            <w:r w:rsidR="00736A34">
              <w:rPr>
                <w:noProof/>
                <w:webHidden/>
              </w:rPr>
              <w:instrText xml:space="preserve"> PAGEREF _Toc404324948 \h </w:instrText>
            </w:r>
            <w:r w:rsidR="00736A34">
              <w:rPr>
                <w:noProof/>
                <w:webHidden/>
              </w:rPr>
            </w:r>
            <w:r w:rsidR="00736A34">
              <w:rPr>
                <w:noProof/>
                <w:webHidden/>
              </w:rPr>
              <w:fldChar w:fldCharType="separate"/>
            </w:r>
            <w:r w:rsidR="00736A34">
              <w:rPr>
                <w:noProof/>
                <w:webHidden/>
              </w:rPr>
              <w:t>16-7</w:t>
            </w:r>
            <w:r w:rsidR="00736A34">
              <w:rPr>
                <w:noProof/>
                <w:webHidden/>
              </w:rPr>
              <w:fldChar w:fldCharType="end"/>
            </w:r>
          </w:hyperlink>
        </w:p>
        <w:p w:rsidR="00736A34" w:rsidRDefault="004667DE">
          <w:pPr>
            <w:pStyle w:val="TOC2"/>
            <w:tabs>
              <w:tab w:val="left" w:pos="1000"/>
              <w:tab w:val="right" w:leader="dot" w:pos="9016"/>
            </w:tabs>
            <w:rPr>
              <w:rFonts w:asciiTheme="minorHAnsi" w:eastAsiaTheme="minorEastAsia" w:hAnsiTheme="minorHAnsi" w:cstheme="minorBidi"/>
              <w:iCs w:val="0"/>
              <w:noProof/>
              <w:sz w:val="22"/>
              <w:szCs w:val="22"/>
              <w:lang w:eastAsia="en-AU"/>
            </w:rPr>
          </w:pPr>
          <w:hyperlink w:anchor="_Toc404324949" w:history="1">
            <w:r w:rsidR="00736A34" w:rsidRPr="001663E6">
              <w:rPr>
                <w:rStyle w:val="Hyperlink"/>
                <w:noProof/>
              </w:rPr>
              <w:t>16.1</w:t>
            </w:r>
            <w:r w:rsidR="00736A34">
              <w:rPr>
                <w:rFonts w:asciiTheme="minorHAnsi" w:eastAsiaTheme="minorEastAsia" w:hAnsiTheme="minorHAnsi" w:cstheme="minorBidi"/>
                <w:iCs w:val="0"/>
                <w:noProof/>
                <w:sz w:val="22"/>
                <w:szCs w:val="22"/>
                <w:lang w:eastAsia="en-AU"/>
              </w:rPr>
              <w:tab/>
            </w:r>
            <w:r w:rsidR="00736A34" w:rsidRPr="001663E6">
              <w:rPr>
                <w:rStyle w:val="Hyperlink"/>
                <w:noProof/>
              </w:rPr>
              <w:t>Draft decision</w:t>
            </w:r>
            <w:r w:rsidR="00736A34">
              <w:rPr>
                <w:noProof/>
                <w:webHidden/>
              </w:rPr>
              <w:tab/>
            </w:r>
            <w:r w:rsidR="00736A34">
              <w:rPr>
                <w:noProof/>
                <w:webHidden/>
              </w:rPr>
              <w:fldChar w:fldCharType="begin"/>
            </w:r>
            <w:r w:rsidR="00736A34">
              <w:rPr>
                <w:noProof/>
                <w:webHidden/>
              </w:rPr>
              <w:instrText xml:space="preserve"> PAGEREF _Toc404324949 \h </w:instrText>
            </w:r>
            <w:r w:rsidR="00736A34">
              <w:rPr>
                <w:noProof/>
                <w:webHidden/>
              </w:rPr>
            </w:r>
            <w:r w:rsidR="00736A34">
              <w:rPr>
                <w:noProof/>
                <w:webHidden/>
              </w:rPr>
              <w:fldChar w:fldCharType="separate"/>
            </w:r>
            <w:r w:rsidR="00736A34">
              <w:rPr>
                <w:noProof/>
                <w:webHidden/>
              </w:rPr>
              <w:t>16-7</w:t>
            </w:r>
            <w:r w:rsidR="00736A34">
              <w:rPr>
                <w:noProof/>
                <w:webHidden/>
              </w:rPr>
              <w:fldChar w:fldCharType="end"/>
            </w:r>
          </w:hyperlink>
        </w:p>
        <w:p w:rsidR="00736A34" w:rsidRDefault="004667DE">
          <w:pPr>
            <w:pStyle w:val="TOC2"/>
            <w:tabs>
              <w:tab w:val="left" w:pos="1000"/>
              <w:tab w:val="right" w:leader="dot" w:pos="9016"/>
            </w:tabs>
            <w:rPr>
              <w:rFonts w:asciiTheme="minorHAnsi" w:eastAsiaTheme="minorEastAsia" w:hAnsiTheme="minorHAnsi" w:cstheme="minorBidi"/>
              <w:iCs w:val="0"/>
              <w:noProof/>
              <w:sz w:val="22"/>
              <w:szCs w:val="22"/>
              <w:lang w:eastAsia="en-AU"/>
            </w:rPr>
          </w:pPr>
          <w:hyperlink w:anchor="_Toc404324950" w:history="1">
            <w:r w:rsidR="00736A34" w:rsidRPr="001663E6">
              <w:rPr>
                <w:rStyle w:val="Hyperlink"/>
                <w:noProof/>
              </w:rPr>
              <w:t>16.2</w:t>
            </w:r>
            <w:r w:rsidR="00736A34">
              <w:rPr>
                <w:rFonts w:asciiTheme="minorHAnsi" w:eastAsiaTheme="minorEastAsia" w:hAnsiTheme="minorHAnsi" w:cstheme="minorBidi"/>
                <w:iCs w:val="0"/>
                <w:noProof/>
                <w:sz w:val="22"/>
                <w:szCs w:val="22"/>
                <w:lang w:eastAsia="en-AU"/>
              </w:rPr>
              <w:tab/>
            </w:r>
            <w:r w:rsidR="00736A34" w:rsidRPr="001663E6">
              <w:rPr>
                <w:rStyle w:val="Hyperlink"/>
                <w:noProof/>
              </w:rPr>
              <w:t>Proposal</w:t>
            </w:r>
            <w:r w:rsidR="00736A34">
              <w:rPr>
                <w:noProof/>
                <w:webHidden/>
              </w:rPr>
              <w:tab/>
            </w:r>
            <w:r w:rsidR="00736A34">
              <w:rPr>
                <w:noProof/>
                <w:webHidden/>
              </w:rPr>
              <w:fldChar w:fldCharType="begin"/>
            </w:r>
            <w:r w:rsidR="00736A34">
              <w:rPr>
                <w:noProof/>
                <w:webHidden/>
              </w:rPr>
              <w:instrText xml:space="preserve"> PAGEREF _Toc404324950 \h </w:instrText>
            </w:r>
            <w:r w:rsidR="00736A34">
              <w:rPr>
                <w:noProof/>
                <w:webHidden/>
              </w:rPr>
            </w:r>
            <w:r w:rsidR="00736A34">
              <w:rPr>
                <w:noProof/>
                <w:webHidden/>
              </w:rPr>
              <w:fldChar w:fldCharType="separate"/>
            </w:r>
            <w:r w:rsidR="00736A34">
              <w:rPr>
                <w:noProof/>
                <w:webHidden/>
              </w:rPr>
              <w:t>16-7</w:t>
            </w:r>
            <w:r w:rsidR="00736A34">
              <w:rPr>
                <w:noProof/>
                <w:webHidden/>
              </w:rPr>
              <w:fldChar w:fldCharType="end"/>
            </w:r>
          </w:hyperlink>
        </w:p>
        <w:p w:rsidR="00736A34" w:rsidRDefault="004667DE">
          <w:pPr>
            <w:pStyle w:val="TOC2"/>
            <w:tabs>
              <w:tab w:val="left" w:pos="1000"/>
              <w:tab w:val="right" w:leader="dot" w:pos="9016"/>
            </w:tabs>
            <w:rPr>
              <w:rFonts w:asciiTheme="minorHAnsi" w:eastAsiaTheme="minorEastAsia" w:hAnsiTheme="minorHAnsi" w:cstheme="minorBidi"/>
              <w:iCs w:val="0"/>
              <w:noProof/>
              <w:sz w:val="22"/>
              <w:szCs w:val="22"/>
              <w:lang w:eastAsia="en-AU"/>
            </w:rPr>
          </w:pPr>
          <w:hyperlink w:anchor="_Toc404324951" w:history="1">
            <w:r w:rsidR="00736A34" w:rsidRPr="001663E6">
              <w:rPr>
                <w:rStyle w:val="Hyperlink"/>
                <w:noProof/>
              </w:rPr>
              <w:t>16.3</w:t>
            </w:r>
            <w:r w:rsidR="00736A34">
              <w:rPr>
                <w:rFonts w:asciiTheme="minorHAnsi" w:eastAsiaTheme="minorEastAsia" w:hAnsiTheme="minorHAnsi" w:cstheme="minorBidi"/>
                <w:iCs w:val="0"/>
                <w:noProof/>
                <w:sz w:val="22"/>
                <w:szCs w:val="22"/>
                <w:lang w:eastAsia="en-AU"/>
              </w:rPr>
              <w:tab/>
            </w:r>
            <w:r w:rsidR="00736A34" w:rsidRPr="001663E6">
              <w:rPr>
                <w:rStyle w:val="Hyperlink"/>
                <w:noProof/>
              </w:rPr>
              <w:t>AER's assessment approach</w:t>
            </w:r>
            <w:r w:rsidR="00736A34">
              <w:rPr>
                <w:noProof/>
                <w:webHidden/>
              </w:rPr>
              <w:tab/>
            </w:r>
            <w:r w:rsidR="00736A34">
              <w:rPr>
                <w:noProof/>
                <w:webHidden/>
              </w:rPr>
              <w:fldChar w:fldCharType="begin"/>
            </w:r>
            <w:r w:rsidR="00736A34">
              <w:rPr>
                <w:noProof/>
                <w:webHidden/>
              </w:rPr>
              <w:instrText xml:space="preserve"> PAGEREF _Toc404324951 \h </w:instrText>
            </w:r>
            <w:r w:rsidR="00736A34">
              <w:rPr>
                <w:noProof/>
                <w:webHidden/>
              </w:rPr>
            </w:r>
            <w:r w:rsidR="00736A34">
              <w:rPr>
                <w:noProof/>
                <w:webHidden/>
              </w:rPr>
              <w:fldChar w:fldCharType="separate"/>
            </w:r>
            <w:r w:rsidR="00736A34">
              <w:rPr>
                <w:noProof/>
                <w:webHidden/>
              </w:rPr>
              <w:t>16-8</w:t>
            </w:r>
            <w:r w:rsidR="00736A34">
              <w:rPr>
                <w:noProof/>
                <w:webHidden/>
              </w:rPr>
              <w:fldChar w:fldCharType="end"/>
            </w:r>
          </w:hyperlink>
        </w:p>
        <w:p w:rsidR="00736A34" w:rsidRDefault="004667DE">
          <w:pPr>
            <w:pStyle w:val="TOC2"/>
            <w:tabs>
              <w:tab w:val="left" w:pos="1000"/>
              <w:tab w:val="right" w:leader="dot" w:pos="9016"/>
            </w:tabs>
            <w:rPr>
              <w:rFonts w:asciiTheme="minorHAnsi" w:eastAsiaTheme="minorEastAsia" w:hAnsiTheme="minorHAnsi" w:cstheme="minorBidi"/>
              <w:iCs w:val="0"/>
              <w:noProof/>
              <w:sz w:val="22"/>
              <w:szCs w:val="22"/>
              <w:lang w:eastAsia="en-AU"/>
            </w:rPr>
          </w:pPr>
          <w:hyperlink w:anchor="_Toc404324952" w:history="1">
            <w:r w:rsidR="00736A34" w:rsidRPr="001663E6">
              <w:rPr>
                <w:rStyle w:val="Hyperlink"/>
                <w:noProof/>
              </w:rPr>
              <w:t>16.4</w:t>
            </w:r>
            <w:r w:rsidR="00736A34">
              <w:rPr>
                <w:rFonts w:asciiTheme="minorHAnsi" w:eastAsiaTheme="minorEastAsia" w:hAnsiTheme="minorHAnsi" w:cstheme="minorBidi"/>
                <w:iCs w:val="0"/>
                <w:noProof/>
                <w:sz w:val="22"/>
                <w:szCs w:val="22"/>
                <w:lang w:eastAsia="en-AU"/>
              </w:rPr>
              <w:tab/>
            </w:r>
            <w:r w:rsidR="00736A34" w:rsidRPr="001663E6">
              <w:rPr>
                <w:rStyle w:val="Hyperlink"/>
                <w:noProof/>
              </w:rPr>
              <w:t>Inter relationships</w:t>
            </w:r>
            <w:r w:rsidR="00736A34">
              <w:rPr>
                <w:noProof/>
                <w:webHidden/>
              </w:rPr>
              <w:tab/>
            </w:r>
            <w:r w:rsidR="00736A34">
              <w:rPr>
                <w:noProof/>
                <w:webHidden/>
              </w:rPr>
              <w:fldChar w:fldCharType="begin"/>
            </w:r>
            <w:r w:rsidR="00736A34">
              <w:rPr>
                <w:noProof/>
                <w:webHidden/>
              </w:rPr>
              <w:instrText xml:space="preserve"> PAGEREF _Toc404324952 \h </w:instrText>
            </w:r>
            <w:r w:rsidR="00736A34">
              <w:rPr>
                <w:noProof/>
                <w:webHidden/>
              </w:rPr>
            </w:r>
            <w:r w:rsidR="00736A34">
              <w:rPr>
                <w:noProof/>
                <w:webHidden/>
              </w:rPr>
              <w:fldChar w:fldCharType="separate"/>
            </w:r>
            <w:r w:rsidR="00736A34">
              <w:rPr>
                <w:noProof/>
                <w:webHidden/>
              </w:rPr>
              <w:t>16-9</w:t>
            </w:r>
            <w:r w:rsidR="00736A34">
              <w:rPr>
                <w:noProof/>
                <w:webHidden/>
              </w:rPr>
              <w:fldChar w:fldCharType="end"/>
            </w:r>
          </w:hyperlink>
        </w:p>
        <w:p w:rsidR="00736A34" w:rsidRDefault="004667DE">
          <w:pPr>
            <w:pStyle w:val="TOC2"/>
            <w:tabs>
              <w:tab w:val="left" w:pos="1000"/>
              <w:tab w:val="right" w:leader="dot" w:pos="9016"/>
            </w:tabs>
            <w:rPr>
              <w:rFonts w:asciiTheme="minorHAnsi" w:eastAsiaTheme="minorEastAsia" w:hAnsiTheme="minorHAnsi" w:cstheme="minorBidi"/>
              <w:iCs w:val="0"/>
              <w:noProof/>
              <w:sz w:val="22"/>
              <w:szCs w:val="22"/>
              <w:lang w:eastAsia="en-AU"/>
            </w:rPr>
          </w:pPr>
          <w:hyperlink w:anchor="_Toc404324953" w:history="1">
            <w:r w:rsidR="00736A34" w:rsidRPr="001663E6">
              <w:rPr>
                <w:rStyle w:val="Hyperlink"/>
                <w:noProof/>
              </w:rPr>
              <w:t>16.5</w:t>
            </w:r>
            <w:r w:rsidR="00736A34">
              <w:rPr>
                <w:rFonts w:asciiTheme="minorHAnsi" w:eastAsiaTheme="minorEastAsia" w:hAnsiTheme="minorHAnsi" w:cstheme="minorBidi"/>
                <w:iCs w:val="0"/>
                <w:noProof/>
                <w:sz w:val="22"/>
                <w:szCs w:val="22"/>
                <w:lang w:eastAsia="en-AU"/>
              </w:rPr>
              <w:tab/>
            </w:r>
            <w:r w:rsidR="00736A34" w:rsidRPr="001663E6">
              <w:rPr>
                <w:rStyle w:val="Hyperlink"/>
                <w:noProof/>
              </w:rPr>
              <w:t>Ancillary network services</w:t>
            </w:r>
            <w:r w:rsidR="00736A34">
              <w:rPr>
                <w:noProof/>
                <w:webHidden/>
              </w:rPr>
              <w:tab/>
            </w:r>
            <w:r w:rsidR="00736A34">
              <w:rPr>
                <w:noProof/>
                <w:webHidden/>
              </w:rPr>
              <w:fldChar w:fldCharType="begin"/>
            </w:r>
            <w:r w:rsidR="00736A34">
              <w:rPr>
                <w:noProof/>
                <w:webHidden/>
              </w:rPr>
              <w:instrText xml:space="preserve"> PAGEREF _Toc404324953 \h </w:instrText>
            </w:r>
            <w:r w:rsidR="00736A34">
              <w:rPr>
                <w:noProof/>
                <w:webHidden/>
              </w:rPr>
            </w:r>
            <w:r w:rsidR="00736A34">
              <w:rPr>
                <w:noProof/>
                <w:webHidden/>
              </w:rPr>
              <w:fldChar w:fldCharType="separate"/>
            </w:r>
            <w:r w:rsidR="00736A34">
              <w:rPr>
                <w:noProof/>
                <w:webHidden/>
              </w:rPr>
              <w:t>16-10</w:t>
            </w:r>
            <w:r w:rsidR="00736A34">
              <w:rPr>
                <w:noProof/>
                <w:webHidden/>
              </w:rPr>
              <w:fldChar w:fldCharType="end"/>
            </w:r>
          </w:hyperlink>
        </w:p>
        <w:p w:rsidR="00736A34" w:rsidRDefault="004667DE">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324954" w:history="1">
            <w:r w:rsidR="00736A34" w:rsidRPr="001663E6">
              <w:rPr>
                <w:rStyle w:val="Hyperlink"/>
                <w:noProof/>
              </w:rPr>
              <w:t>16.5.1</w:t>
            </w:r>
            <w:r w:rsidR="00736A34">
              <w:rPr>
                <w:rFonts w:asciiTheme="minorHAnsi" w:eastAsiaTheme="minorEastAsia" w:hAnsiTheme="minorHAnsi" w:cstheme="minorBidi"/>
                <w:noProof/>
                <w:sz w:val="22"/>
                <w:szCs w:val="22"/>
                <w:lang w:eastAsia="en-AU"/>
              </w:rPr>
              <w:tab/>
            </w:r>
            <w:r w:rsidR="00736A34" w:rsidRPr="001663E6">
              <w:rPr>
                <w:rStyle w:val="Hyperlink"/>
                <w:noProof/>
              </w:rPr>
              <w:t>Draft Decision</w:t>
            </w:r>
            <w:r w:rsidR="00736A34">
              <w:rPr>
                <w:noProof/>
                <w:webHidden/>
              </w:rPr>
              <w:tab/>
            </w:r>
            <w:r w:rsidR="00736A34">
              <w:rPr>
                <w:noProof/>
                <w:webHidden/>
              </w:rPr>
              <w:fldChar w:fldCharType="begin"/>
            </w:r>
            <w:r w:rsidR="00736A34">
              <w:rPr>
                <w:noProof/>
                <w:webHidden/>
              </w:rPr>
              <w:instrText xml:space="preserve"> PAGEREF _Toc404324954 \h </w:instrText>
            </w:r>
            <w:r w:rsidR="00736A34">
              <w:rPr>
                <w:noProof/>
                <w:webHidden/>
              </w:rPr>
            </w:r>
            <w:r w:rsidR="00736A34">
              <w:rPr>
                <w:noProof/>
                <w:webHidden/>
              </w:rPr>
              <w:fldChar w:fldCharType="separate"/>
            </w:r>
            <w:r w:rsidR="00736A34">
              <w:rPr>
                <w:noProof/>
                <w:webHidden/>
              </w:rPr>
              <w:t>16-12</w:t>
            </w:r>
            <w:r w:rsidR="00736A34">
              <w:rPr>
                <w:noProof/>
                <w:webHidden/>
              </w:rPr>
              <w:fldChar w:fldCharType="end"/>
            </w:r>
          </w:hyperlink>
        </w:p>
        <w:p w:rsidR="00736A34" w:rsidRDefault="004667DE">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324955" w:history="1">
            <w:r w:rsidR="00736A34" w:rsidRPr="001663E6">
              <w:rPr>
                <w:rStyle w:val="Hyperlink"/>
                <w:noProof/>
              </w:rPr>
              <w:t>16.5.2</w:t>
            </w:r>
            <w:r w:rsidR="00736A34">
              <w:rPr>
                <w:rFonts w:asciiTheme="minorHAnsi" w:eastAsiaTheme="minorEastAsia" w:hAnsiTheme="minorHAnsi" w:cstheme="minorBidi"/>
                <w:noProof/>
                <w:sz w:val="22"/>
                <w:szCs w:val="22"/>
                <w:lang w:eastAsia="en-AU"/>
              </w:rPr>
              <w:tab/>
            </w:r>
            <w:r w:rsidR="00736A34" w:rsidRPr="001663E6">
              <w:rPr>
                <w:rStyle w:val="Hyperlink"/>
                <w:noProof/>
              </w:rPr>
              <w:t>Proposal</w:t>
            </w:r>
            <w:r w:rsidR="00736A34">
              <w:rPr>
                <w:noProof/>
                <w:webHidden/>
              </w:rPr>
              <w:tab/>
            </w:r>
            <w:r w:rsidR="00736A34">
              <w:rPr>
                <w:noProof/>
                <w:webHidden/>
              </w:rPr>
              <w:fldChar w:fldCharType="begin"/>
            </w:r>
            <w:r w:rsidR="00736A34">
              <w:rPr>
                <w:noProof/>
                <w:webHidden/>
              </w:rPr>
              <w:instrText xml:space="preserve"> PAGEREF _Toc404324955 \h </w:instrText>
            </w:r>
            <w:r w:rsidR="00736A34">
              <w:rPr>
                <w:noProof/>
                <w:webHidden/>
              </w:rPr>
            </w:r>
            <w:r w:rsidR="00736A34">
              <w:rPr>
                <w:noProof/>
                <w:webHidden/>
              </w:rPr>
              <w:fldChar w:fldCharType="separate"/>
            </w:r>
            <w:r w:rsidR="00736A34">
              <w:rPr>
                <w:noProof/>
                <w:webHidden/>
              </w:rPr>
              <w:t>16-15</w:t>
            </w:r>
            <w:r w:rsidR="00736A34">
              <w:rPr>
                <w:noProof/>
                <w:webHidden/>
              </w:rPr>
              <w:fldChar w:fldCharType="end"/>
            </w:r>
          </w:hyperlink>
        </w:p>
        <w:p w:rsidR="00736A34" w:rsidRDefault="004667DE">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324956" w:history="1">
            <w:r w:rsidR="00736A34" w:rsidRPr="001663E6">
              <w:rPr>
                <w:rStyle w:val="Hyperlink"/>
                <w:noProof/>
              </w:rPr>
              <w:t>16.5.3</w:t>
            </w:r>
            <w:r w:rsidR="00736A34">
              <w:rPr>
                <w:rFonts w:asciiTheme="minorHAnsi" w:eastAsiaTheme="minorEastAsia" w:hAnsiTheme="minorHAnsi" w:cstheme="minorBidi"/>
                <w:noProof/>
                <w:sz w:val="22"/>
                <w:szCs w:val="22"/>
                <w:lang w:eastAsia="en-AU"/>
              </w:rPr>
              <w:tab/>
            </w:r>
            <w:r w:rsidR="00736A34" w:rsidRPr="001663E6">
              <w:rPr>
                <w:rStyle w:val="Hyperlink"/>
                <w:noProof/>
              </w:rPr>
              <w:t>Submissions</w:t>
            </w:r>
            <w:r w:rsidR="00736A34">
              <w:rPr>
                <w:noProof/>
                <w:webHidden/>
              </w:rPr>
              <w:tab/>
            </w:r>
            <w:r w:rsidR="00736A34">
              <w:rPr>
                <w:noProof/>
                <w:webHidden/>
              </w:rPr>
              <w:fldChar w:fldCharType="begin"/>
            </w:r>
            <w:r w:rsidR="00736A34">
              <w:rPr>
                <w:noProof/>
                <w:webHidden/>
              </w:rPr>
              <w:instrText xml:space="preserve"> PAGEREF _Toc404324956 \h </w:instrText>
            </w:r>
            <w:r w:rsidR="00736A34">
              <w:rPr>
                <w:noProof/>
                <w:webHidden/>
              </w:rPr>
            </w:r>
            <w:r w:rsidR="00736A34">
              <w:rPr>
                <w:noProof/>
                <w:webHidden/>
              </w:rPr>
              <w:fldChar w:fldCharType="separate"/>
            </w:r>
            <w:r w:rsidR="00736A34">
              <w:rPr>
                <w:noProof/>
                <w:webHidden/>
              </w:rPr>
              <w:t>16-16</w:t>
            </w:r>
            <w:r w:rsidR="00736A34">
              <w:rPr>
                <w:noProof/>
                <w:webHidden/>
              </w:rPr>
              <w:fldChar w:fldCharType="end"/>
            </w:r>
          </w:hyperlink>
        </w:p>
        <w:p w:rsidR="00736A34" w:rsidRDefault="004667DE">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324957" w:history="1">
            <w:r w:rsidR="00736A34" w:rsidRPr="001663E6">
              <w:rPr>
                <w:rStyle w:val="Hyperlink"/>
                <w:noProof/>
              </w:rPr>
              <w:t>16.5.4</w:t>
            </w:r>
            <w:r w:rsidR="00736A34">
              <w:rPr>
                <w:rFonts w:asciiTheme="minorHAnsi" w:eastAsiaTheme="minorEastAsia" w:hAnsiTheme="minorHAnsi" w:cstheme="minorBidi"/>
                <w:noProof/>
                <w:sz w:val="22"/>
                <w:szCs w:val="22"/>
                <w:lang w:eastAsia="en-AU"/>
              </w:rPr>
              <w:tab/>
            </w:r>
            <w:r w:rsidR="00736A34" w:rsidRPr="001663E6">
              <w:rPr>
                <w:rStyle w:val="Hyperlink"/>
                <w:noProof/>
              </w:rPr>
              <w:t>Assessment Approach</w:t>
            </w:r>
            <w:r w:rsidR="00736A34">
              <w:rPr>
                <w:noProof/>
                <w:webHidden/>
              </w:rPr>
              <w:tab/>
            </w:r>
            <w:r w:rsidR="00736A34">
              <w:rPr>
                <w:noProof/>
                <w:webHidden/>
              </w:rPr>
              <w:fldChar w:fldCharType="begin"/>
            </w:r>
            <w:r w:rsidR="00736A34">
              <w:rPr>
                <w:noProof/>
                <w:webHidden/>
              </w:rPr>
              <w:instrText xml:space="preserve"> PAGEREF _Toc404324957 \h </w:instrText>
            </w:r>
            <w:r w:rsidR="00736A34">
              <w:rPr>
                <w:noProof/>
                <w:webHidden/>
              </w:rPr>
            </w:r>
            <w:r w:rsidR="00736A34">
              <w:rPr>
                <w:noProof/>
                <w:webHidden/>
              </w:rPr>
              <w:fldChar w:fldCharType="separate"/>
            </w:r>
            <w:r w:rsidR="00736A34">
              <w:rPr>
                <w:noProof/>
                <w:webHidden/>
              </w:rPr>
              <w:t>16-17</w:t>
            </w:r>
            <w:r w:rsidR="00736A34">
              <w:rPr>
                <w:noProof/>
                <w:webHidden/>
              </w:rPr>
              <w:fldChar w:fldCharType="end"/>
            </w:r>
          </w:hyperlink>
        </w:p>
        <w:p w:rsidR="00736A34" w:rsidRDefault="004667DE">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324958" w:history="1">
            <w:r w:rsidR="00736A34" w:rsidRPr="001663E6">
              <w:rPr>
                <w:rStyle w:val="Hyperlink"/>
                <w:noProof/>
              </w:rPr>
              <w:t>16.5.5</w:t>
            </w:r>
            <w:r w:rsidR="00736A34">
              <w:rPr>
                <w:rFonts w:asciiTheme="minorHAnsi" w:eastAsiaTheme="minorEastAsia" w:hAnsiTheme="minorHAnsi" w:cstheme="minorBidi"/>
                <w:noProof/>
                <w:sz w:val="22"/>
                <w:szCs w:val="22"/>
                <w:lang w:eastAsia="en-AU"/>
              </w:rPr>
              <w:tab/>
            </w:r>
            <w:r w:rsidR="00736A34" w:rsidRPr="001663E6">
              <w:rPr>
                <w:rStyle w:val="Hyperlink"/>
                <w:noProof/>
              </w:rPr>
              <w:t>Reasons for draft decision</w:t>
            </w:r>
            <w:r w:rsidR="00736A34">
              <w:rPr>
                <w:noProof/>
                <w:webHidden/>
              </w:rPr>
              <w:tab/>
            </w:r>
            <w:r w:rsidR="00736A34">
              <w:rPr>
                <w:noProof/>
                <w:webHidden/>
              </w:rPr>
              <w:fldChar w:fldCharType="begin"/>
            </w:r>
            <w:r w:rsidR="00736A34">
              <w:rPr>
                <w:noProof/>
                <w:webHidden/>
              </w:rPr>
              <w:instrText xml:space="preserve"> PAGEREF _Toc404324958 \h </w:instrText>
            </w:r>
            <w:r w:rsidR="00736A34">
              <w:rPr>
                <w:noProof/>
                <w:webHidden/>
              </w:rPr>
            </w:r>
            <w:r w:rsidR="00736A34">
              <w:rPr>
                <w:noProof/>
                <w:webHidden/>
              </w:rPr>
              <w:fldChar w:fldCharType="separate"/>
            </w:r>
            <w:r w:rsidR="00736A34">
              <w:rPr>
                <w:noProof/>
                <w:webHidden/>
              </w:rPr>
              <w:t>16-18</w:t>
            </w:r>
            <w:r w:rsidR="00736A34">
              <w:rPr>
                <w:noProof/>
                <w:webHidden/>
              </w:rPr>
              <w:fldChar w:fldCharType="end"/>
            </w:r>
          </w:hyperlink>
        </w:p>
        <w:p w:rsidR="00736A34" w:rsidRDefault="004667DE">
          <w:pPr>
            <w:pStyle w:val="TOC2"/>
            <w:tabs>
              <w:tab w:val="left" w:pos="1000"/>
              <w:tab w:val="right" w:leader="dot" w:pos="9016"/>
            </w:tabs>
            <w:rPr>
              <w:rFonts w:asciiTheme="minorHAnsi" w:eastAsiaTheme="minorEastAsia" w:hAnsiTheme="minorHAnsi" w:cstheme="minorBidi"/>
              <w:iCs w:val="0"/>
              <w:noProof/>
              <w:sz w:val="22"/>
              <w:szCs w:val="22"/>
              <w:lang w:eastAsia="en-AU"/>
            </w:rPr>
          </w:pPr>
          <w:hyperlink w:anchor="_Toc404324959" w:history="1">
            <w:r w:rsidR="00736A34" w:rsidRPr="001663E6">
              <w:rPr>
                <w:rStyle w:val="Hyperlink"/>
                <w:noProof/>
              </w:rPr>
              <w:t>16.6</w:t>
            </w:r>
            <w:r w:rsidR="00736A34">
              <w:rPr>
                <w:rFonts w:asciiTheme="minorHAnsi" w:eastAsiaTheme="minorEastAsia" w:hAnsiTheme="minorHAnsi" w:cstheme="minorBidi"/>
                <w:iCs w:val="0"/>
                <w:noProof/>
                <w:sz w:val="22"/>
                <w:szCs w:val="22"/>
                <w:lang w:eastAsia="en-AU"/>
              </w:rPr>
              <w:tab/>
            </w:r>
            <w:r w:rsidR="00736A34" w:rsidRPr="001663E6">
              <w:rPr>
                <w:rStyle w:val="Hyperlink"/>
                <w:noProof/>
              </w:rPr>
              <w:t>Metering</w:t>
            </w:r>
            <w:r w:rsidR="00736A34">
              <w:rPr>
                <w:noProof/>
                <w:webHidden/>
              </w:rPr>
              <w:tab/>
            </w:r>
            <w:r w:rsidR="00736A34">
              <w:rPr>
                <w:noProof/>
                <w:webHidden/>
              </w:rPr>
              <w:fldChar w:fldCharType="begin"/>
            </w:r>
            <w:r w:rsidR="00736A34">
              <w:rPr>
                <w:noProof/>
                <w:webHidden/>
              </w:rPr>
              <w:instrText xml:space="preserve"> PAGEREF _Toc404324959 \h </w:instrText>
            </w:r>
            <w:r w:rsidR="00736A34">
              <w:rPr>
                <w:noProof/>
                <w:webHidden/>
              </w:rPr>
            </w:r>
            <w:r w:rsidR="00736A34">
              <w:rPr>
                <w:noProof/>
                <w:webHidden/>
              </w:rPr>
              <w:fldChar w:fldCharType="separate"/>
            </w:r>
            <w:r w:rsidR="00736A34">
              <w:rPr>
                <w:noProof/>
                <w:webHidden/>
              </w:rPr>
              <w:t>16-27</w:t>
            </w:r>
            <w:r w:rsidR="00736A34">
              <w:rPr>
                <w:noProof/>
                <w:webHidden/>
              </w:rPr>
              <w:fldChar w:fldCharType="end"/>
            </w:r>
          </w:hyperlink>
        </w:p>
        <w:p w:rsidR="00736A34" w:rsidRDefault="004667DE">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324960" w:history="1">
            <w:r w:rsidR="00736A34" w:rsidRPr="001663E6">
              <w:rPr>
                <w:rStyle w:val="Hyperlink"/>
                <w:noProof/>
              </w:rPr>
              <w:t>16.6.1</w:t>
            </w:r>
            <w:r w:rsidR="00736A34">
              <w:rPr>
                <w:rFonts w:asciiTheme="minorHAnsi" w:eastAsiaTheme="minorEastAsia" w:hAnsiTheme="minorHAnsi" w:cstheme="minorBidi"/>
                <w:noProof/>
                <w:sz w:val="22"/>
                <w:szCs w:val="22"/>
                <w:lang w:eastAsia="en-AU"/>
              </w:rPr>
              <w:tab/>
            </w:r>
            <w:r w:rsidR="00736A34" w:rsidRPr="001663E6">
              <w:rPr>
                <w:rStyle w:val="Hyperlink"/>
                <w:noProof/>
              </w:rPr>
              <w:t>Draft decision</w:t>
            </w:r>
            <w:r w:rsidR="00736A34">
              <w:rPr>
                <w:noProof/>
                <w:webHidden/>
              </w:rPr>
              <w:tab/>
            </w:r>
            <w:r w:rsidR="00736A34">
              <w:rPr>
                <w:noProof/>
                <w:webHidden/>
              </w:rPr>
              <w:fldChar w:fldCharType="begin"/>
            </w:r>
            <w:r w:rsidR="00736A34">
              <w:rPr>
                <w:noProof/>
                <w:webHidden/>
              </w:rPr>
              <w:instrText xml:space="preserve"> PAGEREF _Toc404324960 \h </w:instrText>
            </w:r>
            <w:r w:rsidR="00736A34">
              <w:rPr>
                <w:noProof/>
                <w:webHidden/>
              </w:rPr>
            </w:r>
            <w:r w:rsidR="00736A34">
              <w:rPr>
                <w:noProof/>
                <w:webHidden/>
              </w:rPr>
              <w:fldChar w:fldCharType="separate"/>
            </w:r>
            <w:r w:rsidR="00736A34">
              <w:rPr>
                <w:noProof/>
                <w:webHidden/>
              </w:rPr>
              <w:t>16-28</w:t>
            </w:r>
            <w:r w:rsidR="00736A34">
              <w:rPr>
                <w:noProof/>
                <w:webHidden/>
              </w:rPr>
              <w:fldChar w:fldCharType="end"/>
            </w:r>
          </w:hyperlink>
        </w:p>
        <w:p w:rsidR="00736A34" w:rsidRDefault="004667DE">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324961" w:history="1">
            <w:r w:rsidR="00736A34" w:rsidRPr="001663E6">
              <w:rPr>
                <w:rStyle w:val="Hyperlink"/>
                <w:noProof/>
              </w:rPr>
              <w:t>16.6.2</w:t>
            </w:r>
            <w:r w:rsidR="00736A34">
              <w:rPr>
                <w:rFonts w:asciiTheme="minorHAnsi" w:eastAsiaTheme="minorEastAsia" w:hAnsiTheme="minorHAnsi" w:cstheme="minorBidi"/>
                <w:noProof/>
                <w:sz w:val="22"/>
                <w:szCs w:val="22"/>
                <w:lang w:eastAsia="en-AU"/>
              </w:rPr>
              <w:tab/>
            </w:r>
            <w:r w:rsidR="00736A34" w:rsidRPr="001663E6">
              <w:rPr>
                <w:rStyle w:val="Hyperlink"/>
                <w:noProof/>
              </w:rPr>
              <w:t>Proposal</w:t>
            </w:r>
            <w:r w:rsidR="00736A34">
              <w:rPr>
                <w:noProof/>
                <w:webHidden/>
              </w:rPr>
              <w:tab/>
            </w:r>
            <w:r w:rsidR="00736A34">
              <w:rPr>
                <w:noProof/>
                <w:webHidden/>
              </w:rPr>
              <w:fldChar w:fldCharType="begin"/>
            </w:r>
            <w:r w:rsidR="00736A34">
              <w:rPr>
                <w:noProof/>
                <w:webHidden/>
              </w:rPr>
              <w:instrText xml:space="preserve"> PAGEREF _Toc404324961 \h </w:instrText>
            </w:r>
            <w:r w:rsidR="00736A34">
              <w:rPr>
                <w:noProof/>
                <w:webHidden/>
              </w:rPr>
            </w:r>
            <w:r w:rsidR="00736A34">
              <w:rPr>
                <w:noProof/>
                <w:webHidden/>
              </w:rPr>
              <w:fldChar w:fldCharType="separate"/>
            </w:r>
            <w:r w:rsidR="00736A34">
              <w:rPr>
                <w:noProof/>
                <w:webHidden/>
              </w:rPr>
              <w:t>16-29</w:t>
            </w:r>
            <w:r w:rsidR="00736A34">
              <w:rPr>
                <w:noProof/>
                <w:webHidden/>
              </w:rPr>
              <w:fldChar w:fldCharType="end"/>
            </w:r>
          </w:hyperlink>
        </w:p>
        <w:p w:rsidR="00736A34" w:rsidRDefault="004667DE">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324962" w:history="1">
            <w:r w:rsidR="00736A34" w:rsidRPr="001663E6">
              <w:rPr>
                <w:rStyle w:val="Hyperlink"/>
                <w:noProof/>
              </w:rPr>
              <w:t>16.6.3</w:t>
            </w:r>
            <w:r w:rsidR="00736A34">
              <w:rPr>
                <w:rFonts w:asciiTheme="minorHAnsi" w:eastAsiaTheme="minorEastAsia" w:hAnsiTheme="minorHAnsi" w:cstheme="minorBidi"/>
                <w:noProof/>
                <w:sz w:val="22"/>
                <w:szCs w:val="22"/>
                <w:lang w:eastAsia="en-AU"/>
              </w:rPr>
              <w:tab/>
            </w:r>
            <w:r w:rsidR="00736A34" w:rsidRPr="001663E6">
              <w:rPr>
                <w:rStyle w:val="Hyperlink"/>
                <w:noProof/>
              </w:rPr>
              <w:t>Assessment approach</w:t>
            </w:r>
            <w:r w:rsidR="00736A34">
              <w:rPr>
                <w:noProof/>
                <w:webHidden/>
              </w:rPr>
              <w:tab/>
            </w:r>
            <w:r w:rsidR="00736A34">
              <w:rPr>
                <w:noProof/>
                <w:webHidden/>
              </w:rPr>
              <w:fldChar w:fldCharType="begin"/>
            </w:r>
            <w:r w:rsidR="00736A34">
              <w:rPr>
                <w:noProof/>
                <w:webHidden/>
              </w:rPr>
              <w:instrText xml:space="preserve"> PAGEREF _Toc404324962 \h </w:instrText>
            </w:r>
            <w:r w:rsidR="00736A34">
              <w:rPr>
                <w:noProof/>
                <w:webHidden/>
              </w:rPr>
            </w:r>
            <w:r w:rsidR="00736A34">
              <w:rPr>
                <w:noProof/>
                <w:webHidden/>
              </w:rPr>
              <w:fldChar w:fldCharType="separate"/>
            </w:r>
            <w:r w:rsidR="00736A34">
              <w:rPr>
                <w:noProof/>
                <w:webHidden/>
              </w:rPr>
              <w:t>16-32</w:t>
            </w:r>
            <w:r w:rsidR="00736A34">
              <w:rPr>
                <w:noProof/>
                <w:webHidden/>
              </w:rPr>
              <w:fldChar w:fldCharType="end"/>
            </w:r>
          </w:hyperlink>
        </w:p>
        <w:p w:rsidR="00736A34" w:rsidRDefault="004667DE">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324963" w:history="1">
            <w:r w:rsidR="00736A34" w:rsidRPr="001663E6">
              <w:rPr>
                <w:rStyle w:val="Hyperlink"/>
                <w:noProof/>
              </w:rPr>
              <w:t>16.6.4</w:t>
            </w:r>
            <w:r w:rsidR="00736A34">
              <w:rPr>
                <w:rFonts w:asciiTheme="minorHAnsi" w:eastAsiaTheme="minorEastAsia" w:hAnsiTheme="minorHAnsi" w:cstheme="minorBidi"/>
                <w:noProof/>
                <w:sz w:val="22"/>
                <w:szCs w:val="22"/>
                <w:lang w:eastAsia="en-AU"/>
              </w:rPr>
              <w:tab/>
            </w:r>
            <w:r w:rsidR="00736A34" w:rsidRPr="001663E6">
              <w:rPr>
                <w:rStyle w:val="Hyperlink"/>
                <w:noProof/>
              </w:rPr>
              <w:t>Reasons for draft decision</w:t>
            </w:r>
            <w:r w:rsidR="00736A34">
              <w:rPr>
                <w:noProof/>
                <w:webHidden/>
              </w:rPr>
              <w:tab/>
            </w:r>
            <w:r w:rsidR="00736A34">
              <w:rPr>
                <w:noProof/>
                <w:webHidden/>
              </w:rPr>
              <w:fldChar w:fldCharType="begin"/>
            </w:r>
            <w:r w:rsidR="00736A34">
              <w:rPr>
                <w:noProof/>
                <w:webHidden/>
              </w:rPr>
              <w:instrText xml:space="preserve"> PAGEREF _Toc404324963 \h </w:instrText>
            </w:r>
            <w:r w:rsidR="00736A34">
              <w:rPr>
                <w:noProof/>
                <w:webHidden/>
              </w:rPr>
            </w:r>
            <w:r w:rsidR="00736A34">
              <w:rPr>
                <w:noProof/>
                <w:webHidden/>
              </w:rPr>
              <w:fldChar w:fldCharType="separate"/>
            </w:r>
            <w:r w:rsidR="00736A34">
              <w:rPr>
                <w:noProof/>
                <w:webHidden/>
              </w:rPr>
              <w:t>16-35</w:t>
            </w:r>
            <w:r w:rsidR="00736A34">
              <w:rPr>
                <w:noProof/>
                <w:webHidden/>
              </w:rPr>
              <w:fldChar w:fldCharType="end"/>
            </w:r>
          </w:hyperlink>
        </w:p>
        <w:p w:rsidR="00736A34" w:rsidRDefault="004667DE">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324964" w:history="1">
            <w:r w:rsidR="00736A34" w:rsidRPr="001663E6">
              <w:rPr>
                <w:rStyle w:val="Hyperlink"/>
                <w:noProof/>
              </w:rPr>
              <w:t>16.6.5</w:t>
            </w:r>
            <w:r w:rsidR="00736A34">
              <w:rPr>
                <w:rFonts w:asciiTheme="minorHAnsi" w:eastAsiaTheme="minorEastAsia" w:hAnsiTheme="minorHAnsi" w:cstheme="minorBidi"/>
                <w:noProof/>
                <w:sz w:val="22"/>
                <w:szCs w:val="22"/>
                <w:lang w:eastAsia="en-AU"/>
              </w:rPr>
              <w:tab/>
            </w:r>
            <w:r w:rsidR="00736A34" w:rsidRPr="001663E6">
              <w:rPr>
                <w:rStyle w:val="Hyperlink"/>
                <w:noProof/>
              </w:rPr>
              <w:t>Control mechanism for metering</w:t>
            </w:r>
            <w:r w:rsidR="00736A34">
              <w:rPr>
                <w:noProof/>
                <w:webHidden/>
              </w:rPr>
              <w:tab/>
            </w:r>
            <w:r w:rsidR="00736A34">
              <w:rPr>
                <w:noProof/>
                <w:webHidden/>
              </w:rPr>
              <w:fldChar w:fldCharType="begin"/>
            </w:r>
            <w:r w:rsidR="00736A34">
              <w:rPr>
                <w:noProof/>
                <w:webHidden/>
              </w:rPr>
              <w:instrText xml:space="preserve"> PAGEREF _Toc404324964 \h </w:instrText>
            </w:r>
            <w:r w:rsidR="00736A34">
              <w:rPr>
                <w:noProof/>
                <w:webHidden/>
              </w:rPr>
            </w:r>
            <w:r w:rsidR="00736A34">
              <w:rPr>
                <w:noProof/>
                <w:webHidden/>
              </w:rPr>
              <w:fldChar w:fldCharType="separate"/>
            </w:r>
            <w:r w:rsidR="00736A34">
              <w:rPr>
                <w:noProof/>
                <w:webHidden/>
              </w:rPr>
              <w:t>16-49</w:t>
            </w:r>
            <w:r w:rsidR="00736A34">
              <w:rPr>
                <w:noProof/>
                <w:webHidden/>
              </w:rPr>
              <w:fldChar w:fldCharType="end"/>
            </w:r>
          </w:hyperlink>
        </w:p>
        <w:p w:rsidR="00736A34" w:rsidRDefault="004667DE">
          <w:pPr>
            <w:pStyle w:val="TOC2"/>
            <w:tabs>
              <w:tab w:val="left" w:pos="1000"/>
              <w:tab w:val="right" w:leader="dot" w:pos="9016"/>
            </w:tabs>
            <w:rPr>
              <w:rFonts w:asciiTheme="minorHAnsi" w:eastAsiaTheme="minorEastAsia" w:hAnsiTheme="minorHAnsi" w:cstheme="minorBidi"/>
              <w:iCs w:val="0"/>
              <w:noProof/>
              <w:sz w:val="22"/>
              <w:szCs w:val="22"/>
              <w:lang w:eastAsia="en-AU"/>
            </w:rPr>
          </w:pPr>
          <w:hyperlink w:anchor="_Toc404324965" w:history="1">
            <w:r w:rsidR="00736A34" w:rsidRPr="001663E6">
              <w:rPr>
                <w:rStyle w:val="Hyperlink"/>
                <w:noProof/>
              </w:rPr>
              <w:t>16.7</w:t>
            </w:r>
            <w:r w:rsidR="00736A34">
              <w:rPr>
                <w:rFonts w:asciiTheme="minorHAnsi" w:eastAsiaTheme="minorEastAsia" w:hAnsiTheme="minorHAnsi" w:cstheme="minorBidi"/>
                <w:iCs w:val="0"/>
                <w:noProof/>
                <w:sz w:val="22"/>
                <w:szCs w:val="22"/>
                <w:lang w:eastAsia="en-AU"/>
              </w:rPr>
              <w:tab/>
            </w:r>
            <w:r w:rsidR="00736A34" w:rsidRPr="001663E6">
              <w:rPr>
                <w:rStyle w:val="Hyperlink"/>
                <w:noProof/>
              </w:rPr>
              <w:t>Public Lighting</w:t>
            </w:r>
            <w:r w:rsidR="00736A34">
              <w:rPr>
                <w:noProof/>
                <w:webHidden/>
              </w:rPr>
              <w:tab/>
            </w:r>
            <w:r w:rsidR="00736A34">
              <w:rPr>
                <w:noProof/>
                <w:webHidden/>
              </w:rPr>
              <w:fldChar w:fldCharType="begin"/>
            </w:r>
            <w:r w:rsidR="00736A34">
              <w:rPr>
                <w:noProof/>
                <w:webHidden/>
              </w:rPr>
              <w:instrText xml:space="preserve"> PAGEREF _Toc404324965 \h </w:instrText>
            </w:r>
            <w:r w:rsidR="00736A34">
              <w:rPr>
                <w:noProof/>
                <w:webHidden/>
              </w:rPr>
            </w:r>
            <w:r w:rsidR="00736A34">
              <w:rPr>
                <w:noProof/>
                <w:webHidden/>
              </w:rPr>
              <w:fldChar w:fldCharType="separate"/>
            </w:r>
            <w:r w:rsidR="00736A34">
              <w:rPr>
                <w:noProof/>
                <w:webHidden/>
              </w:rPr>
              <w:t>16-49</w:t>
            </w:r>
            <w:r w:rsidR="00736A34">
              <w:rPr>
                <w:noProof/>
                <w:webHidden/>
              </w:rPr>
              <w:fldChar w:fldCharType="end"/>
            </w:r>
          </w:hyperlink>
        </w:p>
        <w:p w:rsidR="00736A34" w:rsidRDefault="004667DE">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324966" w:history="1">
            <w:r w:rsidR="00736A34" w:rsidRPr="001663E6">
              <w:rPr>
                <w:rStyle w:val="Hyperlink"/>
                <w:noProof/>
              </w:rPr>
              <w:t>16.7.1</w:t>
            </w:r>
            <w:r w:rsidR="00736A34">
              <w:rPr>
                <w:rFonts w:asciiTheme="minorHAnsi" w:eastAsiaTheme="minorEastAsia" w:hAnsiTheme="minorHAnsi" w:cstheme="minorBidi"/>
                <w:noProof/>
                <w:sz w:val="22"/>
                <w:szCs w:val="22"/>
                <w:lang w:eastAsia="en-AU"/>
              </w:rPr>
              <w:tab/>
            </w:r>
            <w:r w:rsidR="00736A34" w:rsidRPr="001663E6">
              <w:rPr>
                <w:rStyle w:val="Hyperlink"/>
                <w:noProof/>
              </w:rPr>
              <w:t>Draft Decision</w:t>
            </w:r>
            <w:r w:rsidR="00736A34">
              <w:rPr>
                <w:noProof/>
                <w:webHidden/>
              </w:rPr>
              <w:tab/>
            </w:r>
            <w:r w:rsidR="00736A34">
              <w:rPr>
                <w:noProof/>
                <w:webHidden/>
              </w:rPr>
              <w:fldChar w:fldCharType="begin"/>
            </w:r>
            <w:r w:rsidR="00736A34">
              <w:rPr>
                <w:noProof/>
                <w:webHidden/>
              </w:rPr>
              <w:instrText xml:space="preserve"> PAGEREF _Toc404324966 \h </w:instrText>
            </w:r>
            <w:r w:rsidR="00736A34">
              <w:rPr>
                <w:noProof/>
                <w:webHidden/>
              </w:rPr>
            </w:r>
            <w:r w:rsidR="00736A34">
              <w:rPr>
                <w:noProof/>
                <w:webHidden/>
              </w:rPr>
              <w:fldChar w:fldCharType="separate"/>
            </w:r>
            <w:r w:rsidR="00736A34">
              <w:rPr>
                <w:noProof/>
                <w:webHidden/>
              </w:rPr>
              <w:t>16-50</w:t>
            </w:r>
            <w:r w:rsidR="00736A34">
              <w:rPr>
                <w:noProof/>
                <w:webHidden/>
              </w:rPr>
              <w:fldChar w:fldCharType="end"/>
            </w:r>
          </w:hyperlink>
        </w:p>
        <w:p w:rsidR="00736A34" w:rsidRDefault="004667DE">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324967" w:history="1">
            <w:r w:rsidR="00736A34" w:rsidRPr="001663E6">
              <w:rPr>
                <w:rStyle w:val="Hyperlink"/>
                <w:noProof/>
              </w:rPr>
              <w:t>16.7.2</w:t>
            </w:r>
            <w:r w:rsidR="00736A34">
              <w:rPr>
                <w:rFonts w:asciiTheme="minorHAnsi" w:eastAsiaTheme="minorEastAsia" w:hAnsiTheme="minorHAnsi" w:cstheme="minorBidi"/>
                <w:noProof/>
                <w:sz w:val="22"/>
                <w:szCs w:val="22"/>
                <w:lang w:eastAsia="en-AU"/>
              </w:rPr>
              <w:tab/>
            </w:r>
            <w:r w:rsidR="00736A34" w:rsidRPr="001663E6">
              <w:rPr>
                <w:rStyle w:val="Hyperlink"/>
                <w:noProof/>
              </w:rPr>
              <w:t>Proposal</w:t>
            </w:r>
            <w:r w:rsidR="00736A34">
              <w:rPr>
                <w:noProof/>
                <w:webHidden/>
              </w:rPr>
              <w:tab/>
            </w:r>
            <w:r w:rsidR="00736A34">
              <w:rPr>
                <w:noProof/>
                <w:webHidden/>
              </w:rPr>
              <w:fldChar w:fldCharType="begin"/>
            </w:r>
            <w:r w:rsidR="00736A34">
              <w:rPr>
                <w:noProof/>
                <w:webHidden/>
              </w:rPr>
              <w:instrText xml:space="preserve"> PAGEREF _Toc404324967 \h </w:instrText>
            </w:r>
            <w:r w:rsidR="00736A34">
              <w:rPr>
                <w:noProof/>
                <w:webHidden/>
              </w:rPr>
            </w:r>
            <w:r w:rsidR="00736A34">
              <w:rPr>
                <w:noProof/>
                <w:webHidden/>
              </w:rPr>
              <w:fldChar w:fldCharType="separate"/>
            </w:r>
            <w:r w:rsidR="00736A34">
              <w:rPr>
                <w:noProof/>
                <w:webHidden/>
              </w:rPr>
              <w:t>16-51</w:t>
            </w:r>
            <w:r w:rsidR="00736A34">
              <w:rPr>
                <w:noProof/>
                <w:webHidden/>
              </w:rPr>
              <w:fldChar w:fldCharType="end"/>
            </w:r>
          </w:hyperlink>
        </w:p>
        <w:p w:rsidR="00736A34" w:rsidRDefault="004667DE">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324968" w:history="1">
            <w:r w:rsidR="00736A34" w:rsidRPr="001663E6">
              <w:rPr>
                <w:rStyle w:val="Hyperlink"/>
                <w:noProof/>
              </w:rPr>
              <w:t>16.7.3</w:t>
            </w:r>
            <w:r w:rsidR="00736A34">
              <w:rPr>
                <w:rFonts w:asciiTheme="minorHAnsi" w:eastAsiaTheme="minorEastAsia" w:hAnsiTheme="minorHAnsi" w:cstheme="minorBidi"/>
                <w:noProof/>
                <w:sz w:val="22"/>
                <w:szCs w:val="22"/>
                <w:lang w:eastAsia="en-AU"/>
              </w:rPr>
              <w:tab/>
            </w:r>
            <w:r w:rsidR="00736A34" w:rsidRPr="001663E6">
              <w:rPr>
                <w:rStyle w:val="Hyperlink"/>
                <w:noProof/>
              </w:rPr>
              <w:t>Assessment approach</w:t>
            </w:r>
            <w:r w:rsidR="00736A34">
              <w:rPr>
                <w:noProof/>
                <w:webHidden/>
              </w:rPr>
              <w:tab/>
            </w:r>
            <w:r w:rsidR="00736A34">
              <w:rPr>
                <w:noProof/>
                <w:webHidden/>
              </w:rPr>
              <w:fldChar w:fldCharType="begin"/>
            </w:r>
            <w:r w:rsidR="00736A34">
              <w:rPr>
                <w:noProof/>
                <w:webHidden/>
              </w:rPr>
              <w:instrText xml:space="preserve"> PAGEREF _Toc404324968 \h </w:instrText>
            </w:r>
            <w:r w:rsidR="00736A34">
              <w:rPr>
                <w:noProof/>
                <w:webHidden/>
              </w:rPr>
            </w:r>
            <w:r w:rsidR="00736A34">
              <w:rPr>
                <w:noProof/>
                <w:webHidden/>
              </w:rPr>
              <w:fldChar w:fldCharType="separate"/>
            </w:r>
            <w:r w:rsidR="00736A34">
              <w:rPr>
                <w:noProof/>
                <w:webHidden/>
              </w:rPr>
              <w:t>16-52</w:t>
            </w:r>
            <w:r w:rsidR="00736A34">
              <w:rPr>
                <w:noProof/>
                <w:webHidden/>
              </w:rPr>
              <w:fldChar w:fldCharType="end"/>
            </w:r>
          </w:hyperlink>
        </w:p>
        <w:p w:rsidR="00736A34" w:rsidRDefault="004667DE">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324969" w:history="1">
            <w:r w:rsidR="00736A34" w:rsidRPr="001663E6">
              <w:rPr>
                <w:rStyle w:val="Hyperlink"/>
                <w:noProof/>
              </w:rPr>
              <w:t>16.7.4</w:t>
            </w:r>
            <w:r w:rsidR="00736A34">
              <w:rPr>
                <w:rFonts w:asciiTheme="minorHAnsi" w:eastAsiaTheme="minorEastAsia" w:hAnsiTheme="minorHAnsi" w:cstheme="minorBidi"/>
                <w:noProof/>
                <w:sz w:val="22"/>
                <w:szCs w:val="22"/>
                <w:lang w:eastAsia="en-AU"/>
              </w:rPr>
              <w:tab/>
            </w:r>
            <w:r w:rsidR="00736A34" w:rsidRPr="001663E6">
              <w:rPr>
                <w:rStyle w:val="Hyperlink"/>
                <w:noProof/>
              </w:rPr>
              <w:t>Submissions</w:t>
            </w:r>
            <w:r w:rsidR="00736A34">
              <w:rPr>
                <w:noProof/>
                <w:webHidden/>
              </w:rPr>
              <w:tab/>
            </w:r>
            <w:r w:rsidR="00736A34">
              <w:rPr>
                <w:noProof/>
                <w:webHidden/>
              </w:rPr>
              <w:fldChar w:fldCharType="begin"/>
            </w:r>
            <w:r w:rsidR="00736A34">
              <w:rPr>
                <w:noProof/>
                <w:webHidden/>
              </w:rPr>
              <w:instrText xml:space="preserve"> PAGEREF _Toc404324969 \h </w:instrText>
            </w:r>
            <w:r w:rsidR="00736A34">
              <w:rPr>
                <w:noProof/>
                <w:webHidden/>
              </w:rPr>
            </w:r>
            <w:r w:rsidR="00736A34">
              <w:rPr>
                <w:noProof/>
                <w:webHidden/>
              </w:rPr>
              <w:fldChar w:fldCharType="separate"/>
            </w:r>
            <w:r w:rsidR="00736A34">
              <w:rPr>
                <w:noProof/>
                <w:webHidden/>
              </w:rPr>
              <w:t>16-53</w:t>
            </w:r>
            <w:r w:rsidR="00736A34">
              <w:rPr>
                <w:noProof/>
                <w:webHidden/>
              </w:rPr>
              <w:fldChar w:fldCharType="end"/>
            </w:r>
          </w:hyperlink>
        </w:p>
        <w:p w:rsidR="00736A34" w:rsidRDefault="004667DE">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324970" w:history="1">
            <w:r w:rsidR="00736A34" w:rsidRPr="001663E6">
              <w:rPr>
                <w:rStyle w:val="Hyperlink"/>
                <w:noProof/>
              </w:rPr>
              <w:t>16.7.5</w:t>
            </w:r>
            <w:r w:rsidR="00736A34">
              <w:rPr>
                <w:rFonts w:asciiTheme="minorHAnsi" w:eastAsiaTheme="minorEastAsia" w:hAnsiTheme="minorHAnsi" w:cstheme="minorBidi"/>
                <w:noProof/>
                <w:sz w:val="22"/>
                <w:szCs w:val="22"/>
                <w:lang w:eastAsia="en-AU"/>
              </w:rPr>
              <w:tab/>
            </w:r>
            <w:r w:rsidR="00736A34" w:rsidRPr="001663E6">
              <w:rPr>
                <w:rStyle w:val="Hyperlink"/>
                <w:noProof/>
              </w:rPr>
              <w:t>Reasons for draft decision</w:t>
            </w:r>
            <w:r w:rsidR="00736A34">
              <w:rPr>
                <w:noProof/>
                <w:webHidden/>
              </w:rPr>
              <w:tab/>
            </w:r>
            <w:r w:rsidR="00736A34">
              <w:rPr>
                <w:noProof/>
                <w:webHidden/>
              </w:rPr>
              <w:fldChar w:fldCharType="begin"/>
            </w:r>
            <w:r w:rsidR="00736A34">
              <w:rPr>
                <w:noProof/>
                <w:webHidden/>
              </w:rPr>
              <w:instrText xml:space="preserve"> PAGEREF _Toc404324970 \h </w:instrText>
            </w:r>
            <w:r w:rsidR="00736A34">
              <w:rPr>
                <w:noProof/>
                <w:webHidden/>
              </w:rPr>
            </w:r>
            <w:r w:rsidR="00736A34">
              <w:rPr>
                <w:noProof/>
                <w:webHidden/>
              </w:rPr>
              <w:fldChar w:fldCharType="separate"/>
            </w:r>
            <w:r w:rsidR="00736A34">
              <w:rPr>
                <w:noProof/>
                <w:webHidden/>
              </w:rPr>
              <w:t>16-54</w:t>
            </w:r>
            <w:r w:rsidR="00736A34">
              <w:rPr>
                <w:noProof/>
                <w:webHidden/>
              </w:rPr>
              <w:fldChar w:fldCharType="end"/>
            </w:r>
          </w:hyperlink>
        </w:p>
        <w:p w:rsidR="00736A34" w:rsidRDefault="004667DE">
          <w:pPr>
            <w:pStyle w:val="TOC1"/>
            <w:tabs>
              <w:tab w:val="left" w:pos="400"/>
              <w:tab w:val="right" w:leader="dot" w:pos="9016"/>
            </w:tabs>
            <w:rPr>
              <w:rFonts w:asciiTheme="minorHAnsi" w:eastAsiaTheme="minorEastAsia" w:hAnsiTheme="minorHAnsi" w:cstheme="minorBidi"/>
              <w:b w:val="0"/>
              <w:bCs w:val="0"/>
              <w:noProof/>
              <w:sz w:val="22"/>
              <w:szCs w:val="22"/>
              <w:lang w:eastAsia="en-AU"/>
            </w:rPr>
          </w:pPr>
          <w:hyperlink w:anchor="_Toc404324971" w:history="1">
            <w:r w:rsidR="00736A34" w:rsidRPr="001663E6">
              <w:rPr>
                <w:rStyle w:val="Hyperlink"/>
                <w:noProof/>
              </w:rPr>
              <w:t>A</w:t>
            </w:r>
            <w:r w:rsidR="00736A34">
              <w:rPr>
                <w:rFonts w:asciiTheme="minorHAnsi" w:eastAsiaTheme="minorEastAsia" w:hAnsiTheme="minorHAnsi" w:cstheme="minorBidi"/>
                <w:b w:val="0"/>
                <w:bCs w:val="0"/>
                <w:noProof/>
                <w:sz w:val="22"/>
                <w:szCs w:val="22"/>
                <w:lang w:eastAsia="en-AU"/>
              </w:rPr>
              <w:tab/>
            </w:r>
            <w:r w:rsidR="00736A34" w:rsidRPr="001663E6">
              <w:rPr>
                <w:rStyle w:val="Hyperlink"/>
                <w:noProof/>
              </w:rPr>
              <w:t>Appendix 1</w:t>
            </w:r>
            <w:r w:rsidR="00736A34">
              <w:rPr>
                <w:noProof/>
                <w:webHidden/>
              </w:rPr>
              <w:tab/>
            </w:r>
            <w:r w:rsidR="00736A34">
              <w:rPr>
                <w:noProof/>
                <w:webHidden/>
              </w:rPr>
              <w:fldChar w:fldCharType="begin"/>
            </w:r>
            <w:r w:rsidR="00736A34">
              <w:rPr>
                <w:noProof/>
                <w:webHidden/>
              </w:rPr>
              <w:instrText xml:space="preserve"> PAGEREF _Toc404324971 \h </w:instrText>
            </w:r>
            <w:r w:rsidR="00736A34">
              <w:rPr>
                <w:noProof/>
                <w:webHidden/>
              </w:rPr>
            </w:r>
            <w:r w:rsidR="00736A34">
              <w:rPr>
                <w:noProof/>
                <w:webHidden/>
              </w:rPr>
              <w:fldChar w:fldCharType="separate"/>
            </w:r>
            <w:r w:rsidR="00736A34">
              <w:rPr>
                <w:noProof/>
                <w:webHidden/>
              </w:rPr>
              <w:t>57</w:t>
            </w:r>
            <w:r w:rsidR="00736A34">
              <w:rPr>
                <w:noProof/>
                <w:webHidden/>
              </w:rPr>
              <w:fldChar w:fldCharType="end"/>
            </w:r>
          </w:hyperlink>
        </w:p>
        <w:p w:rsidR="00736A34" w:rsidRDefault="004667DE">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404324972" w:history="1">
            <w:r w:rsidR="00736A34" w:rsidRPr="001663E6">
              <w:rPr>
                <w:rStyle w:val="Hyperlink"/>
                <w:noProof/>
              </w:rPr>
              <w:t>A.1</w:t>
            </w:r>
            <w:r w:rsidR="00736A34">
              <w:rPr>
                <w:rFonts w:asciiTheme="minorHAnsi" w:eastAsiaTheme="minorEastAsia" w:hAnsiTheme="minorHAnsi" w:cstheme="minorBidi"/>
                <w:iCs w:val="0"/>
                <w:noProof/>
                <w:sz w:val="22"/>
                <w:szCs w:val="22"/>
                <w:lang w:eastAsia="en-AU"/>
              </w:rPr>
              <w:tab/>
            </w:r>
            <w:r w:rsidR="00736A34" w:rsidRPr="001663E6">
              <w:rPr>
                <w:rStyle w:val="Hyperlink"/>
                <w:noProof/>
              </w:rPr>
              <w:t>Alternative Control services</w:t>
            </w:r>
            <w:r w:rsidR="00736A34">
              <w:rPr>
                <w:noProof/>
                <w:webHidden/>
              </w:rPr>
              <w:tab/>
            </w:r>
            <w:r w:rsidR="00736A34">
              <w:rPr>
                <w:noProof/>
                <w:webHidden/>
              </w:rPr>
              <w:fldChar w:fldCharType="begin"/>
            </w:r>
            <w:r w:rsidR="00736A34">
              <w:rPr>
                <w:noProof/>
                <w:webHidden/>
              </w:rPr>
              <w:instrText xml:space="preserve"> PAGEREF _Toc404324972 \h </w:instrText>
            </w:r>
            <w:r w:rsidR="00736A34">
              <w:rPr>
                <w:noProof/>
                <w:webHidden/>
              </w:rPr>
            </w:r>
            <w:r w:rsidR="00736A34">
              <w:rPr>
                <w:noProof/>
                <w:webHidden/>
              </w:rPr>
              <w:fldChar w:fldCharType="separate"/>
            </w:r>
            <w:r w:rsidR="00736A34">
              <w:rPr>
                <w:noProof/>
                <w:webHidden/>
              </w:rPr>
              <w:t>57</w:t>
            </w:r>
            <w:r w:rsidR="00736A34">
              <w:rPr>
                <w:noProof/>
                <w:webHidden/>
              </w:rPr>
              <w:fldChar w:fldCharType="end"/>
            </w:r>
          </w:hyperlink>
        </w:p>
        <w:p w:rsidR="00736A34" w:rsidRDefault="004667DE">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324973" w:history="1">
            <w:r w:rsidR="00736A34" w:rsidRPr="001663E6">
              <w:rPr>
                <w:rStyle w:val="Hyperlink"/>
                <w:noProof/>
              </w:rPr>
              <w:t>A.1.1</w:t>
            </w:r>
            <w:r w:rsidR="00736A34">
              <w:rPr>
                <w:rFonts w:asciiTheme="minorHAnsi" w:eastAsiaTheme="minorEastAsia" w:hAnsiTheme="minorHAnsi" w:cstheme="minorBidi"/>
                <w:noProof/>
                <w:sz w:val="22"/>
                <w:szCs w:val="22"/>
                <w:lang w:eastAsia="en-AU"/>
              </w:rPr>
              <w:tab/>
            </w:r>
            <w:r w:rsidR="00736A34" w:rsidRPr="001663E6">
              <w:rPr>
                <w:rStyle w:val="Hyperlink"/>
                <w:noProof/>
              </w:rPr>
              <w:t>Ancillary Network Services</w:t>
            </w:r>
            <w:r w:rsidR="00736A34">
              <w:rPr>
                <w:noProof/>
                <w:webHidden/>
              </w:rPr>
              <w:tab/>
            </w:r>
            <w:r w:rsidR="00736A34">
              <w:rPr>
                <w:noProof/>
                <w:webHidden/>
              </w:rPr>
              <w:fldChar w:fldCharType="begin"/>
            </w:r>
            <w:r w:rsidR="00736A34">
              <w:rPr>
                <w:noProof/>
                <w:webHidden/>
              </w:rPr>
              <w:instrText xml:space="preserve"> PAGEREF _Toc404324973 \h </w:instrText>
            </w:r>
            <w:r w:rsidR="00736A34">
              <w:rPr>
                <w:noProof/>
                <w:webHidden/>
              </w:rPr>
            </w:r>
            <w:r w:rsidR="00736A34">
              <w:rPr>
                <w:noProof/>
                <w:webHidden/>
              </w:rPr>
              <w:fldChar w:fldCharType="separate"/>
            </w:r>
            <w:r w:rsidR="00736A34">
              <w:rPr>
                <w:noProof/>
                <w:webHidden/>
              </w:rPr>
              <w:t>57</w:t>
            </w:r>
            <w:r w:rsidR="00736A34">
              <w:rPr>
                <w:noProof/>
                <w:webHidden/>
              </w:rPr>
              <w:fldChar w:fldCharType="end"/>
            </w:r>
          </w:hyperlink>
        </w:p>
        <w:p w:rsidR="00736A34" w:rsidRDefault="004667DE">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324974" w:history="1">
            <w:r w:rsidR="00736A34" w:rsidRPr="001663E6">
              <w:rPr>
                <w:rStyle w:val="Hyperlink"/>
                <w:noProof/>
              </w:rPr>
              <w:t>A.1.2</w:t>
            </w:r>
            <w:r w:rsidR="00736A34">
              <w:rPr>
                <w:rFonts w:asciiTheme="minorHAnsi" w:eastAsiaTheme="minorEastAsia" w:hAnsiTheme="minorHAnsi" w:cstheme="minorBidi"/>
                <w:noProof/>
                <w:sz w:val="22"/>
                <w:szCs w:val="22"/>
                <w:lang w:eastAsia="en-AU"/>
              </w:rPr>
              <w:tab/>
            </w:r>
            <w:r w:rsidR="00736A34" w:rsidRPr="001663E6">
              <w:rPr>
                <w:rStyle w:val="Hyperlink"/>
                <w:noProof/>
              </w:rPr>
              <w:t>Metering Services</w:t>
            </w:r>
            <w:r w:rsidR="00736A34">
              <w:rPr>
                <w:noProof/>
                <w:webHidden/>
              </w:rPr>
              <w:tab/>
            </w:r>
            <w:r w:rsidR="00736A34">
              <w:rPr>
                <w:noProof/>
                <w:webHidden/>
              </w:rPr>
              <w:fldChar w:fldCharType="begin"/>
            </w:r>
            <w:r w:rsidR="00736A34">
              <w:rPr>
                <w:noProof/>
                <w:webHidden/>
              </w:rPr>
              <w:instrText xml:space="preserve"> PAGEREF _Toc404324974 \h </w:instrText>
            </w:r>
            <w:r w:rsidR="00736A34">
              <w:rPr>
                <w:noProof/>
                <w:webHidden/>
              </w:rPr>
            </w:r>
            <w:r w:rsidR="00736A34">
              <w:rPr>
                <w:noProof/>
                <w:webHidden/>
              </w:rPr>
              <w:fldChar w:fldCharType="separate"/>
            </w:r>
            <w:r w:rsidR="00736A34">
              <w:rPr>
                <w:noProof/>
                <w:webHidden/>
              </w:rPr>
              <w:t>75</w:t>
            </w:r>
            <w:r w:rsidR="00736A34">
              <w:rPr>
                <w:noProof/>
                <w:webHidden/>
              </w:rPr>
              <w:fldChar w:fldCharType="end"/>
            </w:r>
          </w:hyperlink>
        </w:p>
        <w:p w:rsidR="00736A34" w:rsidRDefault="004667DE">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324975" w:history="1">
            <w:r w:rsidR="00736A34" w:rsidRPr="001663E6">
              <w:rPr>
                <w:rStyle w:val="Hyperlink"/>
                <w:noProof/>
              </w:rPr>
              <w:t>A.1.3</w:t>
            </w:r>
            <w:r w:rsidR="00736A34">
              <w:rPr>
                <w:rFonts w:asciiTheme="minorHAnsi" w:eastAsiaTheme="minorEastAsia" w:hAnsiTheme="minorHAnsi" w:cstheme="minorBidi"/>
                <w:noProof/>
                <w:sz w:val="22"/>
                <w:szCs w:val="22"/>
                <w:lang w:eastAsia="en-AU"/>
              </w:rPr>
              <w:tab/>
            </w:r>
            <w:r w:rsidR="00736A34" w:rsidRPr="001663E6">
              <w:rPr>
                <w:rStyle w:val="Hyperlink"/>
                <w:noProof/>
              </w:rPr>
              <w:t>Public Lighting</w:t>
            </w:r>
            <w:r w:rsidR="00736A34">
              <w:rPr>
                <w:noProof/>
                <w:webHidden/>
              </w:rPr>
              <w:tab/>
            </w:r>
            <w:r w:rsidR="00736A34">
              <w:rPr>
                <w:noProof/>
                <w:webHidden/>
              </w:rPr>
              <w:fldChar w:fldCharType="begin"/>
            </w:r>
            <w:r w:rsidR="00736A34">
              <w:rPr>
                <w:noProof/>
                <w:webHidden/>
              </w:rPr>
              <w:instrText xml:space="preserve"> PAGEREF _Toc404324975 \h </w:instrText>
            </w:r>
            <w:r w:rsidR="00736A34">
              <w:rPr>
                <w:noProof/>
                <w:webHidden/>
              </w:rPr>
            </w:r>
            <w:r w:rsidR="00736A34">
              <w:rPr>
                <w:noProof/>
                <w:webHidden/>
              </w:rPr>
              <w:fldChar w:fldCharType="separate"/>
            </w:r>
            <w:r w:rsidR="00736A34">
              <w:rPr>
                <w:noProof/>
                <w:webHidden/>
              </w:rPr>
              <w:t>77</w:t>
            </w:r>
            <w:r w:rsidR="00736A34">
              <w:rPr>
                <w:noProof/>
                <w:webHidden/>
              </w:rPr>
              <w:fldChar w:fldCharType="end"/>
            </w:r>
          </w:hyperlink>
        </w:p>
        <w:p w:rsidR="003E262F" w:rsidRDefault="003E262F" w:rsidP="003E262F">
          <w:pPr>
            <w:pStyle w:val="TOC1"/>
            <w:tabs>
              <w:tab w:val="right" w:leader="dot" w:pos="9016"/>
            </w:tabs>
          </w:pPr>
          <w:r>
            <w:rPr>
              <w:lang w:val="en-US" w:eastAsia="ja-JP"/>
            </w:rPr>
            <w:fldChar w:fldCharType="end"/>
          </w:r>
        </w:p>
      </w:sdtContent>
    </w:sdt>
    <w:p w:rsidR="003E262F" w:rsidRDefault="003E262F" w:rsidP="003E262F">
      <w:pPr>
        <w:pStyle w:val="AERbodytext"/>
      </w:pPr>
    </w:p>
    <w:p w:rsidR="003E262F" w:rsidRDefault="003E262F" w:rsidP="003E262F">
      <w:pPr>
        <w:pStyle w:val="UnnumberedHeading"/>
        <w:numPr>
          <w:ilvl w:val="0"/>
          <w:numId w:val="55"/>
        </w:numPr>
      </w:pPr>
      <w:bookmarkStart w:id="3" w:name="_Toc402537455"/>
      <w:bookmarkStart w:id="4" w:name="_Toc403479638"/>
      <w:bookmarkStart w:id="5" w:name="_Toc403564409"/>
      <w:bookmarkStart w:id="6" w:name="_Toc403565520"/>
      <w:bookmarkStart w:id="7" w:name="_Toc404257455"/>
      <w:bookmarkStart w:id="8" w:name="_Toc404324947"/>
      <w:r>
        <w:t>Shortened forms</w:t>
      </w:r>
      <w:bookmarkEnd w:id="3"/>
      <w:bookmarkEnd w:id="4"/>
      <w:bookmarkEnd w:id="5"/>
      <w:bookmarkEnd w:id="6"/>
      <w:bookmarkEnd w:id="7"/>
      <w:bookmarkEnd w:id="8"/>
    </w:p>
    <w:tbl>
      <w:tblPr>
        <w:tblStyle w:val="AERtable-numbers"/>
        <w:tblW w:w="0" w:type="auto"/>
        <w:tblLook w:val="04A0" w:firstRow="1" w:lastRow="0" w:firstColumn="1" w:lastColumn="0" w:noHBand="0" w:noVBand="1"/>
      </w:tblPr>
      <w:tblGrid>
        <w:gridCol w:w="4621"/>
        <w:gridCol w:w="4621"/>
      </w:tblGrid>
      <w:tr w:rsidR="003E262F" w:rsidTr="00D2749E">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Shortened form</w:t>
            </w:r>
          </w:p>
        </w:tc>
        <w:tc>
          <w:tcPr>
            <w:tcW w:w="4621" w:type="dxa"/>
          </w:tcPr>
          <w:p w:rsidR="003E262F" w:rsidRDefault="003E262F" w:rsidP="00D2749E">
            <w:pPr>
              <w:pStyle w:val="AERbodytext"/>
              <w:cnfStyle w:val="100000000000" w:firstRow="1" w:lastRow="0" w:firstColumn="0" w:lastColumn="0" w:oddVBand="0" w:evenVBand="0" w:oddHBand="0" w:evenHBand="0" w:firstRowFirstColumn="0" w:firstRowLastColumn="0" w:lastRowFirstColumn="0" w:lastRowLastColumn="0"/>
            </w:pPr>
            <w:r>
              <w:t>Extended form</w:t>
            </w:r>
          </w:p>
        </w:tc>
      </w:tr>
      <w:tr w:rsidR="003E262F" w:rsidTr="00D2749E">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AARR</w:t>
            </w:r>
          </w:p>
        </w:tc>
        <w:tc>
          <w:tcPr>
            <w:tcW w:w="4621" w:type="dxa"/>
          </w:tcPr>
          <w:p w:rsidR="003E262F" w:rsidRDefault="003E262F" w:rsidP="00D2749E">
            <w:pPr>
              <w:pStyle w:val="AERbodytext"/>
              <w:cnfStyle w:val="000000000000" w:firstRow="0" w:lastRow="0" w:firstColumn="0" w:lastColumn="0" w:oddVBand="0" w:evenVBand="0" w:oddHBand="0" w:evenHBand="0" w:firstRowFirstColumn="0" w:firstRowLastColumn="0" w:lastRowFirstColumn="0" w:lastRowLastColumn="0"/>
            </w:pPr>
            <w:r>
              <w:t>aggregate annual revenue requirement</w:t>
            </w:r>
          </w:p>
        </w:tc>
      </w:tr>
      <w:tr w:rsidR="003E262F" w:rsidTr="00D274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AEMC</w:t>
            </w:r>
          </w:p>
        </w:tc>
        <w:tc>
          <w:tcPr>
            <w:tcW w:w="4621" w:type="dxa"/>
          </w:tcPr>
          <w:p w:rsidR="003E262F" w:rsidRDefault="003E262F" w:rsidP="00D2749E">
            <w:pPr>
              <w:pStyle w:val="AERbodytext"/>
              <w:cnfStyle w:val="000000010000" w:firstRow="0" w:lastRow="0" w:firstColumn="0" w:lastColumn="0" w:oddVBand="0" w:evenVBand="0" w:oddHBand="0" w:evenHBand="1" w:firstRowFirstColumn="0" w:firstRowLastColumn="0" w:lastRowFirstColumn="0" w:lastRowLastColumn="0"/>
            </w:pPr>
            <w:r>
              <w:t>Australian Energy Market Commission</w:t>
            </w:r>
          </w:p>
        </w:tc>
      </w:tr>
      <w:tr w:rsidR="003E262F" w:rsidTr="00D2749E">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AEMO</w:t>
            </w:r>
          </w:p>
        </w:tc>
        <w:tc>
          <w:tcPr>
            <w:tcW w:w="4621" w:type="dxa"/>
          </w:tcPr>
          <w:p w:rsidR="003E262F" w:rsidRDefault="003E262F" w:rsidP="00D2749E">
            <w:pPr>
              <w:pStyle w:val="AERbodytext"/>
              <w:cnfStyle w:val="000000000000" w:firstRow="0" w:lastRow="0" w:firstColumn="0" w:lastColumn="0" w:oddVBand="0" w:evenVBand="0" w:oddHBand="0" w:evenHBand="0" w:firstRowFirstColumn="0" w:firstRowLastColumn="0" w:lastRowFirstColumn="0" w:lastRowLastColumn="0"/>
            </w:pPr>
            <w:r>
              <w:t>Australian Energy Market Operator</w:t>
            </w:r>
          </w:p>
        </w:tc>
      </w:tr>
      <w:tr w:rsidR="003E262F" w:rsidTr="00D274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AER</w:t>
            </w:r>
          </w:p>
        </w:tc>
        <w:tc>
          <w:tcPr>
            <w:tcW w:w="4621" w:type="dxa"/>
          </w:tcPr>
          <w:p w:rsidR="003E262F" w:rsidRDefault="003E262F" w:rsidP="00D2749E">
            <w:pPr>
              <w:pStyle w:val="AERbodytext"/>
              <w:cnfStyle w:val="000000010000" w:firstRow="0" w:lastRow="0" w:firstColumn="0" w:lastColumn="0" w:oddVBand="0" w:evenVBand="0" w:oddHBand="0" w:evenHBand="1" w:firstRowFirstColumn="0" w:firstRowLastColumn="0" w:lastRowFirstColumn="0" w:lastRowLastColumn="0"/>
            </w:pPr>
            <w:r>
              <w:t>Australian Energy Regulator</w:t>
            </w:r>
          </w:p>
        </w:tc>
      </w:tr>
      <w:tr w:rsidR="003E262F" w:rsidTr="00D2749E">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ASRR</w:t>
            </w:r>
          </w:p>
        </w:tc>
        <w:tc>
          <w:tcPr>
            <w:tcW w:w="4621" w:type="dxa"/>
          </w:tcPr>
          <w:p w:rsidR="003E262F" w:rsidRDefault="003E262F" w:rsidP="00D2749E">
            <w:pPr>
              <w:pStyle w:val="AERbodytext"/>
              <w:cnfStyle w:val="000000000000" w:firstRow="0" w:lastRow="0" w:firstColumn="0" w:lastColumn="0" w:oddVBand="0" w:evenVBand="0" w:oddHBand="0" w:evenHBand="0" w:firstRowFirstColumn="0" w:firstRowLastColumn="0" w:lastRowFirstColumn="0" w:lastRowLastColumn="0"/>
            </w:pPr>
            <w:r>
              <w:t>aggregate service revenue requirement</w:t>
            </w:r>
          </w:p>
        </w:tc>
      </w:tr>
      <w:tr w:rsidR="003E262F" w:rsidTr="00D274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augex</w:t>
            </w:r>
          </w:p>
        </w:tc>
        <w:tc>
          <w:tcPr>
            <w:tcW w:w="4621" w:type="dxa"/>
          </w:tcPr>
          <w:p w:rsidR="003E262F" w:rsidRDefault="003E262F" w:rsidP="00D2749E">
            <w:pPr>
              <w:pStyle w:val="AERbodytext"/>
              <w:cnfStyle w:val="000000010000" w:firstRow="0" w:lastRow="0" w:firstColumn="0" w:lastColumn="0" w:oddVBand="0" w:evenVBand="0" w:oddHBand="0" w:evenHBand="1" w:firstRowFirstColumn="0" w:firstRowLastColumn="0" w:lastRowFirstColumn="0" w:lastRowLastColumn="0"/>
            </w:pPr>
            <w:r>
              <w:t>augmentation expenditure</w:t>
            </w:r>
          </w:p>
        </w:tc>
      </w:tr>
      <w:tr w:rsidR="003E262F" w:rsidTr="00D2749E">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capex</w:t>
            </w:r>
          </w:p>
        </w:tc>
        <w:tc>
          <w:tcPr>
            <w:tcW w:w="4621" w:type="dxa"/>
          </w:tcPr>
          <w:p w:rsidR="003E262F" w:rsidRDefault="003E262F" w:rsidP="00D2749E">
            <w:pPr>
              <w:pStyle w:val="AERbodytext"/>
              <w:cnfStyle w:val="000000000000" w:firstRow="0" w:lastRow="0" w:firstColumn="0" w:lastColumn="0" w:oddVBand="0" w:evenVBand="0" w:oddHBand="0" w:evenHBand="0" w:firstRowFirstColumn="0" w:firstRowLastColumn="0" w:lastRowFirstColumn="0" w:lastRowLastColumn="0"/>
            </w:pPr>
            <w:r>
              <w:t>capital expenditure</w:t>
            </w:r>
          </w:p>
        </w:tc>
      </w:tr>
      <w:tr w:rsidR="003E262F" w:rsidTr="00D274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CCP</w:t>
            </w:r>
          </w:p>
        </w:tc>
        <w:tc>
          <w:tcPr>
            <w:tcW w:w="4621" w:type="dxa"/>
          </w:tcPr>
          <w:p w:rsidR="003E262F" w:rsidRDefault="003E262F" w:rsidP="00D2749E">
            <w:pPr>
              <w:pStyle w:val="AERbodytext"/>
              <w:cnfStyle w:val="000000010000" w:firstRow="0" w:lastRow="0" w:firstColumn="0" w:lastColumn="0" w:oddVBand="0" w:evenVBand="0" w:oddHBand="0" w:evenHBand="1" w:firstRowFirstColumn="0" w:firstRowLastColumn="0" w:lastRowFirstColumn="0" w:lastRowLastColumn="0"/>
            </w:pPr>
            <w:r>
              <w:t>Consumer Challenge Panel</w:t>
            </w:r>
          </w:p>
        </w:tc>
      </w:tr>
      <w:tr w:rsidR="003E262F" w:rsidTr="00D2749E">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CESS</w:t>
            </w:r>
          </w:p>
        </w:tc>
        <w:tc>
          <w:tcPr>
            <w:tcW w:w="4621" w:type="dxa"/>
          </w:tcPr>
          <w:p w:rsidR="003E262F" w:rsidRDefault="003E262F" w:rsidP="00D2749E">
            <w:pPr>
              <w:pStyle w:val="AERbodytext"/>
              <w:cnfStyle w:val="000000000000" w:firstRow="0" w:lastRow="0" w:firstColumn="0" w:lastColumn="0" w:oddVBand="0" w:evenVBand="0" w:oddHBand="0" w:evenHBand="0" w:firstRowFirstColumn="0" w:firstRowLastColumn="0" w:lastRowFirstColumn="0" w:lastRowLastColumn="0"/>
            </w:pPr>
            <w:r>
              <w:t>capital expenditure sharing scheme</w:t>
            </w:r>
          </w:p>
        </w:tc>
      </w:tr>
      <w:tr w:rsidR="003E262F" w:rsidTr="00D274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CPI</w:t>
            </w:r>
          </w:p>
        </w:tc>
        <w:tc>
          <w:tcPr>
            <w:tcW w:w="4621" w:type="dxa"/>
          </w:tcPr>
          <w:p w:rsidR="003E262F" w:rsidRDefault="003E262F" w:rsidP="00D2749E">
            <w:pPr>
              <w:pStyle w:val="AERbodytext"/>
              <w:cnfStyle w:val="000000010000" w:firstRow="0" w:lastRow="0" w:firstColumn="0" w:lastColumn="0" w:oddVBand="0" w:evenVBand="0" w:oddHBand="0" w:evenHBand="1" w:firstRowFirstColumn="0" w:firstRowLastColumn="0" w:lastRowFirstColumn="0" w:lastRowLastColumn="0"/>
            </w:pPr>
            <w:r>
              <w:t>consumer price index</w:t>
            </w:r>
          </w:p>
        </w:tc>
      </w:tr>
      <w:tr w:rsidR="003E262F" w:rsidTr="00D2749E">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CPI-X</w:t>
            </w:r>
          </w:p>
        </w:tc>
        <w:tc>
          <w:tcPr>
            <w:tcW w:w="4621" w:type="dxa"/>
          </w:tcPr>
          <w:p w:rsidR="003E262F" w:rsidRDefault="003E262F" w:rsidP="00D2749E">
            <w:pPr>
              <w:pStyle w:val="AERbodytext"/>
              <w:cnfStyle w:val="000000000000" w:firstRow="0" w:lastRow="0" w:firstColumn="0" w:lastColumn="0" w:oddVBand="0" w:evenVBand="0" w:oddHBand="0" w:evenHBand="0" w:firstRowFirstColumn="0" w:firstRowLastColumn="0" w:lastRowFirstColumn="0" w:lastRowLastColumn="0"/>
            </w:pPr>
            <w:r>
              <w:t>consumer price index minus X</w:t>
            </w:r>
          </w:p>
        </w:tc>
      </w:tr>
      <w:tr w:rsidR="003E262F" w:rsidTr="00D274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DRP</w:t>
            </w:r>
          </w:p>
        </w:tc>
        <w:tc>
          <w:tcPr>
            <w:tcW w:w="4621" w:type="dxa"/>
          </w:tcPr>
          <w:p w:rsidR="003E262F" w:rsidRDefault="003E262F" w:rsidP="00D2749E">
            <w:pPr>
              <w:pStyle w:val="AERbodytext"/>
              <w:cnfStyle w:val="000000010000" w:firstRow="0" w:lastRow="0" w:firstColumn="0" w:lastColumn="0" w:oddVBand="0" w:evenVBand="0" w:oddHBand="0" w:evenHBand="1" w:firstRowFirstColumn="0" w:firstRowLastColumn="0" w:lastRowFirstColumn="0" w:lastRowLastColumn="0"/>
            </w:pPr>
            <w:r>
              <w:t>debt risk premium</w:t>
            </w:r>
          </w:p>
        </w:tc>
      </w:tr>
      <w:tr w:rsidR="003E262F" w:rsidTr="00D2749E">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DMIA</w:t>
            </w:r>
          </w:p>
        </w:tc>
        <w:tc>
          <w:tcPr>
            <w:tcW w:w="4621" w:type="dxa"/>
          </w:tcPr>
          <w:p w:rsidR="003E262F" w:rsidRDefault="003E262F" w:rsidP="00D2749E">
            <w:pPr>
              <w:pStyle w:val="AERbodytext"/>
              <w:cnfStyle w:val="000000000000" w:firstRow="0" w:lastRow="0" w:firstColumn="0" w:lastColumn="0" w:oddVBand="0" w:evenVBand="0" w:oddHBand="0" w:evenHBand="0" w:firstRowFirstColumn="0" w:firstRowLastColumn="0" w:lastRowFirstColumn="0" w:lastRowLastColumn="0"/>
            </w:pPr>
            <w:r>
              <w:t>demand management innovation allowance</w:t>
            </w:r>
          </w:p>
        </w:tc>
      </w:tr>
      <w:tr w:rsidR="003E262F" w:rsidTr="00D274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DMIS</w:t>
            </w:r>
          </w:p>
        </w:tc>
        <w:tc>
          <w:tcPr>
            <w:tcW w:w="4621" w:type="dxa"/>
          </w:tcPr>
          <w:p w:rsidR="003E262F" w:rsidRDefault="003E262F" w:rsidP="00D2749E">
            <w:pPr>
              <w:pStyle w:val="AERbodytext"/>
              <w:cnfStyle w:val="000000010000" w:firstRow="0" w:lastRow="0" w:firstColumn="0" w:lastColumn="0" w:oddVBand="0" w:evenVBand="0" w:oddHBand="0" w:evenHBand="1" w:firstRowFirstColumn="0" w:firstRowLastColumn="0" w:lastRowFirstColumn="0" w:lastRowLastColumn="0"/>
            </w:pPr>
            <w:r>
              <w:t>demand management incentive scheme</w:t>
            </w:r>
          </w:p>
        </w:tc>
      </w:tr>
      <w:tr w:rsidR="003E262F" w:rsidTr="00D2749E">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distributor</w:t>
            </w:r>
          </w:p>
        </w:tc>
        <w:tc>
          <w:tcPr>
            <w:tcW w:w="4621" w:type="dxa"/>
          </w:tcPr>
          <w:p w:rsidR="003E262F" w:rsidRDefault="003E262F" w:rsidP="00D2749E">
            <w:pPr>
              <w:pStyle w:val="AERbodytext"/>
              <w:cnfStyle w:val="000000000000" w:firstRow="0" w:lastRow="0" w:firstColumn="0" w:lastColumn="0" w:oddVBand="0" w:evenVBand="0" w:oddHBand="0" w:evenHBand="0" w:firstRowFirstColumn="0" w:firstRowLastColumn="0" w:lastRowFirstColumn="0" w:lastRowLastColumn="0"/>
            </w:pPr>
            <w:r>
              <w:t>distribution network service provider</w:t>
            </w:r>
          </w:p>
        </w:tc>
      </w:tr>
      <w:tr w:rsidR="003E262F" w:rsidTr="00D274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DUoS</w:t>
            </w:r>
          </w:p>
        </w:tc>
        <w:tc>
          <w:tcPr>
            <w:tcW w:w="4621" w:type="dxa"/>
          </w:tcPr>
          <w:p w:rsidR="003E262F" w:rsidRDefault="003E262F" w:rsidP="00D2749E">
            <w:pPr>
              <w:pStyle w:val="AERbodytext"/>
              <w:cnfStyle w:val="000000010000" w:firstRow="0" w:lastRow="0" w:firstColumn="0" w:lastColumn="0" w:oddVBand="0" w:evenVBand="0" w:oddHBand="0" w:evenHBand="1" w:firstRowFirstColumn="0" w:firstRowLastColumn="0" w:lastRowFirstColumn="0" w:lastRowLastColumn="0"/>
            </w:pPr>
            <w:r>
              <w:t>distribution use of system</w:t>
            </w:r>
          </w:p>
        </w:tc>
      </w:tr>
      <w:tr w:rsidR="003E262F" w:rsidTr="00D2749E">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EBSS</w:t>
            </w:r>
          </w:p>
        </w:tc>
        <w:tc>
          <w:tcPr>
            <w:tcW w:w="4621" w:type="dxa"/>
          </w:tcPr>
          <w:p w:rsidR="003E262F" w:rsidRDefault="003E262F" w:rsidP="00D2749E">
            <w:pPr>
              <w:pStyle w:val="AERbodytext"/>
              <w:cnfStyle w:val="000000000000" w:firstRow="0" w:lastRow="0" w:firstColumn="0" w:lastColumn="0" w:oddVBand="0" w:evenVBand="0" w:oddHBand="0" w:evenHBand="0" w:firstRowFirstColumn="0" w:firstRowLastColumn="0" w:lastRowFirstColumn="0" w:lastRowLastColumn="0"/>
            </w:pPr>
            <w:r>
              <w:t>efficiency benefit sharing scheme</w:t>
            </w:r>
          </w:p>
        </w:tc>
      </w:tr>
      <w:tr w:rsidR="003E262F" w:rsidTr="00D274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ERP</w:t>
            </w:r>
          </w:p>
        </w:tc>
        <w:tc>
          <w:tcPr>
            <w:tcW w:w="4621" w:type="dxa"/>
          </w:tcPr>
          <w:p w:rsidR="003E262F" w:rsidRDefault="003E262F" w:rsidP="00D2749E">
            <w:pPr>
              <w:pStyle w:val="AERbodytext"/>
              <w:cnfStyle w:val="000000010000" w:firstRow="0" w:lastRow="0" w:firstColumn="0" w:lastColumn="0" w:oddVBand="0" w:evenVBand="0" w:oddHBand="0" w:evenHBand="1" w:firstRowFirstColumn="0" w:firstRowLastColumn="0" w:lastRowFirstColumn="0" w:lastRowLastColumn="0"/>
            </w:pPr>
            <w:r>
              <w:t>equity risk premium</w:t>
            </w:r>
          </w:p>
        </w:tc>
      </w:tr>
      <w:tr w:rsidR="003E262F" w:rsidTr="00D2749E">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expenditure assessment guideline</w:t>
            </w:r>
          </w:p>
        </w:tc>
        <w:tc>
          <w:tcPr>
            <w:tcW w:w="4621" w:type="dxa"/>
          </w:tcPr>
          <w:p w:rsidR="003E262F" w:rsidRDefault="003E262F" w:rsidP="00D2749E">
            <w:pPr>
              <w:pStyle w:val="AERbodytext"/>
              <w:cnfStyle w:val="000000000000" w:firstRow="0" w:lastRow="0" w:firstColumn="0" w:lastColumn="0" w:oddVBand="0" w:evenVBand="0" w:oddHBand="0" w:evenHBand="0" w:firstRowFirstColumn="0" w:firstRowLastColumn="0" w:lastRowFirstColumn="0" w:lastRowLastColumn="0"/>
            </w:pPr>
            <w:r>
              <w:t>expenditure forecast assessment guideline for electricity distribution</w:t>
            </w:r>
          </w:p>
        </w:tc>
      </w:tr>
      <w:tr w:rsidR="003E262F" w:rsidTr="00D274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F&amp;A</w:t>
            </w:r>
          </w:p>
        </w:tc>
        <w:tc>
          <w:tcPr>
            <w:tcW w:w="4621" w:type="dxa"/>
          </w:tcPr>
          <w:p w:rsidR="003E262F" w:rsidRDefault="003E262F" w:rsidP="00D2749E">
            <w:pPr>
              <w:pStyle w:val="AERbodytext"/>
              <w:cnfStyle w:val="000000010000" w:firstRow="0" w:lastRow="0" w:firstColumn="0" w:lastColumn="0" w:oddVBand="0" w:evenVBand="0" w:oddHBand="0" w:evenHBand="1" w:firstRowFirstColumn="0" w:firstRowLastColumn="0" w:lastRowFirstColumn="0" w:lastRowLastColumn="0"/>
            </w:pPr>
            <w:r>
              <w:t>framework and approach</w:t>
            </w:r>
          </w:p>
        </w:tc>
      </w:tr>
      <w:tr w:rsidR="003E262F" w:rsidTr="00D2749E">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MRP</w:t>
            </w:r>
          </w:p>
        </w:tc>
        <w:tc>
          <w:tcPr>
            <w:tcW w:w="4621" w:type="dxa"/>
          </w:tcPr>
          <w:p w:rsidR="003E262F" w:rsidRDefault="003E262F" w:rsidP="00D2749E">
            <w:pPr>
              <w:pStyle w:val="AERbodytext"/>
              <w:cnfStyle w:val="000000000000" w:firstRow="0" w:lastRow="0" w:firstColumn="0" w:lastColumn="0" w:oddVBand="0" w:evenVBand="0" w:oddHBand="0" w:evenHBand="0" w:firstRowFirstColumn="0" w:firstRowLastColumn="0" w:lastRowFirstColumn="0" w:lastRowLastColumn="0"/>
            </w:pPr>
            <w:r>
              <w:t>market risk premium</w:t>
            </w:r>
          </w:p>
        </w:tc>
      </w:tr>
      <w:tr w:rsidR="003E262F" w:rsidTr="00D274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NEL</w:t>
            </w:r>
          </w:p>
        </w:tc>
        <w:tc>
          <w:tcPr>
            <w:tcW w:w="4621" w:type="dxa"/>
          </w:tcPr>
          <w:p w:rsidR="003E262F" w:rsidRDefault="003E262F" w:rsidP="00D2749E">
            <w:pPr>
              <w:pStyle w:val="AERbodytext"/>
              <w:cnfStyle w:val="000000010000" w:firstRow="0" w:lastRow="0" w:firstColumn="0" w:lastColumn="0" w:oddVBand="0" w:evenVBand="0" w:oddHBand="0" w:evenHBand="1" w:firstRowFirstColumn="0" w:firstRowLastColumn="0" w:lastRowFirstColumn="0" w:lastRowLastColumn="0"/>
            </w:pPr>
            <w:r>
              <w:t>national electricity law</w:t>
            </w:r>
          </w:p>
        </w:tc>
      </w:tr>
      <w:tr w:rsidR="003E262F" w:rsidTr="00D2749E">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NEM</w:t>
            </w:r>
          </w:p>
        </w:tc>
        <w:tc>
          <w:tcPr>
            <w:tcW w:w="4621" w:type="dxa"/>
          </w:tcPr>
          <w:p w:rsidR="003E262F" w:rsidRDefault="003E262F" w:rsidP="00D2749E">
            <w:pPr>
              <w:pStyle w:val="AERbodytext"/>
              <w:cnfStyle w:val="000000000000" w:firstRow="0" w:lastRow="0" w:firstColumn="0" w:lastColumn="0" w:oddVBand="0" w:evenVBand="0" w:oddHBand="0" w:evenHBand="0" w:firstRowFirstColumn="0" w:firstRowLastColumn="0" w:lastRowFirstColumn="0" w:lastRowLastColumn="0"/>
            </w:pPr>
            <w:r>
              <w:t>national electricity market</w:t>
            </w:r>
          </w:p>
        </w:tc>
      </w:tr>
      <w:tr w:rsidR="003E262F" w:rsidTr="00D274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NEO</w:t>
            </w:r>
          </w:p>
        </w:tc>
        <w:tc>
          <w:tcPr>
            <w:tcW w:w="4621" w:type="dxa"/>
          </w:tcPr>
          <w:p w:rsidR="003E262F" w:rsidRDefault="003E262F" w:rsidP="00D2749E">
            <w:pPr>
              <w:pStyle w:val="AERbodytext"/>
              <w:cnfStyle w:val="000000010000" w:firstRow="0" w:lastRow="0" w:firstColumn="0" w:lastColumn="0" w:oddVBand="0" w:evenVBand="0" w:oddHBand="0" w:evenHBand="1" w:firstRowFirstColumn="0" w:firstRowLastColumn="0" w:lastRowFirstColumn="0" w:lastRowLastColumn="0"/>
            </w:pPr>
            <w:r>
              <w:t>national electricity objective</w:t>
            </w:r>
          </w:p>
        </w:tc>
      </w:tr>
      <w:tr w:rsidR="003E262F" w:rsidTr="00D2749E">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NER</w:t>
            </w:r>
          </w:p>
        </w:tc>
        <w:tc>
          <w:tcPr>
            <w:tcW w:w="4621" w:type="dxa"/>
          </w:tcPr>
          <w:p w:rsidR="003E262F" w:rsidRDefault="003E262F" w:rsidP="00D2749E">
            <w:pPr>
              <w:pStyle w:val="AERbodytext"/>
              <w:cnfStyle w:val="000000000000" w:firstRow="0" w:lastRow="0" w:firstColumn="0" w:lastColumn="0" w:oddVBand="0" w:evenVBand="0" w:oddHBand="0" w:evenHBand="0" w:firstRowFirstColumn="0" w:firstRowLastColumn="0" w:lastRowFirstColumn="0" w:lastRowLastColumn="0"/>
            </w:pPr>
            <w:r>
              <w:t>national electricity rules</w:t>
            </w:r>
          </w:p>
        </w:tc>
      </w:tr>
      <w:tr w:rsidR="003E262F" w:rsidTr="00D274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NSP</w:t>
            </w:r>
          </w:p>
        </w:tc>
        <w:tc>
          <w:tcPr>
            <w:tcW w:w="4621" w:type="dxa"/>
          </w:tcPr>
          <w:p w:rsidR="003E262F" w:rsidRDefault="003E262F" w:rsidP="00D2749E">
            <w:pPr>
              <w:pStyle w:val="AERbodytext"/>
              <w:cnfStyle w:val="000000010000" w:firstRow="0" w:lastRow="0" w:firstColumn="0" w:lastColumn="0" w:oddVBand="0" w:evenVBand="0" w:oddHBand="0" w:evenHBand="1" w:firstRowFirstColumn="0" w:firstRowLastColumn="0" w:lastRowFirstColumn="0" w:lastRowLastColumn="0"/>
            </w:pPr>
            <w:r>
              <w:t>network service provider</w:t>
            </w:r>
          </w:p>
        </w:tc>
      </w:tr>
      <w:tr w:rsidR="003E262F" w:rsidTr="00D2749E">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opex</w:t>
            </w:r>
          </w:p>
        </w:tc>
        <w:tc>
          <w:tcPr>
            <w:tcW w:w="4621" w:type="dxa"/>
          </w:tcPr>
          <w:p w:rsidR="003E262F" w:rsidRDefault="003E262F" w:rsidP="00D2749E">
            <w:pPr>
              <w:pStyle w:val="AERbodytext"/>
              <w:cnfStyle w:val="000000000000" w:firstRow="0" w:lastRow="0" w:firstColumn="0" w:lastColumn="0" w:oddVBand="0" w:evenVBand="0" w:oddHBand="0" w:evenHBand="0" w:firstRowFirstColumn="0" w:firstRowLastColumn="0" w:lastRowFirstColumn="0" w:lastRowLastColumn="0"/>
            </w:pPr>
            <w:r>
              <w:t>operating expenditure</w:t>
            </w:r>
          </w:p>
        </w:tc>
      </w:tr>
      <w:tr w:rsidR="003E262F" w:rsidTr="00D274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PPI</w:t>
            </w:r>
          </w:p>
        </w:tc>
        <w:tc>
          <w:tcPr>
            <w:tcW w:w="4621" w:type="dxa"/>
          </w:tcPr>
          <w:p w:rsidR="003E262F" w:rsidRDefault="003E262F" w:rsidP="00D2749E">
            <w:pPr>
              <w:pStyle w:val="AERbodytext"/>
              <w:cnfStyle w:val="000000010000" w:firstRow="0" w:lastRow="0" w:firstColumn="0" w:lastColumn="0" w:oddVBand="0" w:evenVBand="0" w:oddHBand="0" w:evenHBand="1" w:firstRowFirstColumn="0" w:firstRowLastColumn="0" w:lastRowFirstColumn="0" w:lastRowLastColumn="0"/>
            </w:pPr>
            <w:r>
              <w:t>partial performance indicators</w:t>
            </w:r>
          </w:p>
        </w:tc>
      </w:tr>
      <w:tr w:rsidR="003E262F" w:rsidTr="00D2749E">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PTRM</w:t>
            </w:r>
          </w:p>
        </w:tc>
        <w:tc>
          <w:tcPr>
            <w:tcW w:w="4621" w:type="dxa"/>
          </w:tcPr>
          <w:p w:rsidR="003E262F" w:rsidRDefault="003E262F" w:rsidP="00D2749E">
            <w:pPr>
              <w:pStyle w:val="AERbodytext"/>
              <w:cnfStyle w:val="000000000000" w:firstRow="0" w:lastRow="0" w:firstColumn="0" w:lastColumn="0" w:oddVBand="0" w:evenVBand="0" w:oddHBand="0" w:evenHBand="0" w:firstRowFirstColumn="0" w:firstRowLastColumn="0" w:lastRowFirstColumn="0" w:lastRowLastColumn="0"/>
            </w:pPr>
            <w:r>
              <w:t>post-tax revenue model</w:t>
            </w:r>
          </w:p>
        </w:tc>
      </w:tr>
      <w:tr w:rsidR="003E262F" w:rsidTr="00D274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RAB</w:t>
            </w:r>
          </w:p>
        </w:tc>
        <w:tc>
          <w:tcPr>
            <w:tcW w:w="4621" w:type="dxa"/>
          </w:tcPr>
          <w:p w:rsidR="003E262F" w:rsidRDefault="003E262F" w:rsidP="00D2749E">
            <w:pPr>
              <w:pStyle w:val="AERbodytext"/>
              <w:cnfStyle w:val="000000010000" w:firstRow="0" w:lastRow="0" w:firstColumn="0" w:lastColumn="0" w:oddVBand="0" w:evenVBand="0" w:oddHBand="0" w:evenHBand="1" w:firstRowFirstColumn="0" w:firstRowLastColumn="0" w:lastRowFirstColumn="0" w:lastRowLastColumn="0"/>
            </w:pPr>
            <w:r>
              <w:t>regulatory asset base</w:t>
            </w:r>
          </w:p>
        </w:tc>
      </w:tr>
      <w:tr w:rsidR="003E262F" w:rsidTr="00D2749E">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RBA</w:t>
            </w:r>
          </w:p>
        </w:tc>
        <w:tc>
          <w:tcPr>
            <w:tcW w:w="4621" w:type="dxa"/>
          </w:tcPr>
          <w:p w:rsidR="003E262F" w:rsidRDefault="003E262F" w:rsidP="00D2749E">
            <w:pPr>
              <w:pStyle w:val="AERbodytext"/>
              <w:cnfStyle w:val="000000000000" w:firstRow="0" w:lastRow="0" w:firstColumn="0" w:lastColumn="0" w:oddVBand="0" w:evenVBand="0" w:oddHBand="0" w:evenHBand="0" w:firstRowFirstColumn="0" w:firstRowLastColumn="0" w:lastRowFirstColumn="0" w:lastRowLastColumn="0"/>
            </w:pPr>
            <w:r>
              <w:t>Reserve Bank of Australia</w:t>
            </w:r>
          </w:p>
        </w:tc>
      </w:tr>
      <w:tr w:rsidR="003E262F" w:rsidTr="00D274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repex</w:t>
            </w:r>
          </w:p>
        </w:tc>
        <w:tc>
          <w:tcPr>
            <w:tcW w:w="4621" w:type="dxa"/>
          </w:tcPr>
          <w:p w:rsidR="003E262F" w:rsidRDefault="003E262F" w:rsidP="00D2749E">
            <w:pPr>
              <w:pStyle w:val="AERbodytext"/>
              <w:cnfStyle w:val="000000010000" w:firstRow="0" w:lastRow="0" w:firstColumn="0" w:lastColumn="0" w:oddVBand="0" w:evenVBand="0" w:oddHBand="0" w:evenHBand="1" w:firstRowFirstColumn="0" w:firstRowLastColumn="0" w:lastRowFirstColumn="0" w:lastRowLastColumn="0"/>
            </w:pPr>
            <w:r>
              <w:t>replacement expenditure</w:t>
            </w:r>
          </w:p>
        </w:tc>
      </w:tr>
      <w:tr w:rsidR="003E262F" w:rsidTr="00D2749E">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RFM</w:t>
            </w:r>
          </w:p>
        </w:tc>
        <w:tc>
          <w:tcPr>
            <w:tcW w:w="4621" w:type="dxa"/>
          </w:tcPr>
          <w:p w:rsidR="003E262F" w:rsidRDefault="003E262F" w:rsidP="00D2749E">
            <w:pPr>
              <w:pStyle w:val="AERbodytext"/>
              <w:cnfStyle w:val="000000000000" w:firstRow="0" w:lastRow="0" w:firstColumn="0" w:lastColumn="0" w:oddVBand="0" w:evenVBand="0" w:oddHBand="0" w:evenHBand="0" w:firstRowFirstColumn="0" w:firstRowLastColumn="0" w:lastRowFirstColumn="0" w:lastRowLastColumn="0"/>
            </w:pPr>
            <w:r>
              <w:t>roll forward model</w:t>
            </w:r>
          </w:p>
        </w:tc>
      </w:tr>
      <w:tr w:rsidR="003E262F" w:rsidTr="00D274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RIN</w:t>
            </w:r>
          </w:p>
        </w:tc>
        <w:tc>
          <w:tcPr>
            <w:tcW w:w="4621" w:type="dxa"/>
          </w:tcPr>
          <w:p w:rsidR="003E262F" w:rsidRDefault="003E262F" w:rsidP="00D2749E">
            <w:pPr>
              <w:pStyle w:val="AERbodytext"/>
              <w:cnfStyle w:val="000000010000" w:firstRow="0" w:lastRow="0" w:firstColumn="0" w:lastColumn="0" w:oddVBand="0" w:evenVBand="0" w:oddHBand="0" w:evenHBand="1" w:firstRowFirstColumn="0" w:firstRowLastColumn="0" w:lastRowFirstColumn="0" w:lastRowLastColumn="0"/>
            </w:pPr>
            <w:r>
              <w:t>regulatory information notice</w:t>
            </w:r>
          </w:p>
        </w:tc>
      </w:tr>
      <w:tr w:rsidR="003E262F" w:rsidTr="00D2749E">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RPP</w:t>
            </w:r>
          </w:p>
        </w:tc>
        <w:tc>
          <w:tcPr>
            <w:tcW w:w="4621" w:type="dxa"/>
          </w:tcPr>
          <w:p w:rsidR="003E262F" w:rsidRDefault="003E262F" w:rsidP="00D2749E">
            <w:pPr>
              <w:pStyle w:val="AERbodytext"/>
              <w:cnfStyle w:val="000000000000" w:firstRow="0" w:lastRow="0" w:firstColumn="0" w:lastColumn="0" w:oddVBand="0" w:evenVBand="0" w:oddHBand="0" w:evenHBand="0" w:firstRowFirstColumn="0" w:firstRowLastColumn="0" w:lastRowFirstColumn="0" w:lastRowLastColumn="0"/>
            </w:pPr>
            <w:r>
              <w:t>revenue pricing principles</w:t>
            </w:r>
          </w:p>
        </w:tc>
      </w:tr>
      <w:tr w:rsidR="003E262F" w:rsidTr="00D274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SAIDI</w:t>
            </w:r>
          </w:p>
        </w:tc>
        <w:tc>
          <w:tcPr>
            <w:tcW w:w="4621" w:type="dxa"/>
          </w:tcPr>
          <w:p w:rsidR="003E262F" w:rsidRDefault="003E262F" w:rsidP="00D2749E">
            <w:pPr>
              <w:pStyle w:val="AERbodytext"/>
              <w:cnfStyle w:val="000000010000" w:firstRow="0" w:lastRow="0" w:firstColumn="0" w:lastColumn="0" w:oddVBand="0" w:evenVBand="0" w:oddHBand="0" w:evenHBand="1" w:firstRowFirstColumn="0" w:firstRowLastColumn="0" w:lastRowFirstColumn="0" w:lastRowLastColumn="0"/>
            </w:pPr>
            <w:r>
              <w:t>system average interruption duration index</w:t>
            </w:r>
          </w:p>
        </w:tc>
      </w:tr>
      <w:tr w:rsidR="003E262F" w:rsidTr="00D2749E">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SAIFI</w:t>
            </w:r>
          </w:p>
        </w:tc>
        <w:tc>
          <w:tcPr>
            <w:tcW w:w="4621" w:type="dxa"/>
          </w:tcPr>
          <w:p w:rsidR="003E262F" w:rsidRDefault="003E262F" w:rsidP="00D2749E">
            <w:pPr>
              <w:pStyle w:val="AERbodytext"/>
              <w:cnfStyle w:val="000000000000" w:firstRow="0" w:lastRow="0" w:firstColumn="0" w:lastColumn="0" w:oddVBand="0" w:evenVBand="0" w:oddHBand="0" w:evenHBand="0" w:firstRowFirstColumn="0" w:firstRowLastColumn="0" w:lastRowFirstColumn="0" w:lastRowLastColumn="0"/>
            </w:pPr>
            <w:r>
              <w:t>system average interruption frequency index</w:t>
            </w:r>
          </w:p>
        </w:tc>
      </w:tr>
      <w:tr w:rsidR="003E262F" w:rsidTr="00D274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SLCAPM</w:t>
            </w:r>
          </w:p>
        </w:tc>
        <w:tc>
          <w:tcPr>
            <w:tcW w:w="4621" w:type="dxa"/>
          </w:tcPr>
          <w:p w:rsidR="003E262F" w:rsidRDefault="003E262F" w:rsidP="00D2749E">
            <w:pPr>
              <w:pStyle w:val="AERbodytext"/>
              <w:cnfStyle w:val="000000010000" w:firstRow="0" w:lastRow="0" w:firstColumn="0" w:lastColumn="0" w:oddVBand="0" w:evenVBand="0" w:oddHBand="0" w:evenHBand="1" w:firstRowFirstColumn="0" w:firstRowLastColumn="0" w:lastRowFirstColumn="0" w:lastRowLastColumn="0"/>
            </w:pPr>
            <w:r>
              <w:t>Sharpe-Lintner capital asset pricing model</w:t>
            </w:r>
          </w:p>
        </w:tc>
      </w:tr>
      <w:tr w:rsidR="003E262F" w:rsidTr="00D2749E">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STPIS</w:t>
            </w:r>
          </w:p>
        </w:tc>
        <w:tc>
          <w:tcPr>
            <w:tcW w:w="4621" w:type="dxa"/>
          </w:tcPr>
          <w:p w:rsidR="003E262F" w:rsidRDefault="003E262F" w:rsidP="00D2749E">
            <w:pPr>
              <w:pStyle w:val="AERbodytext"/>
              <w:cnfStyle w:val="000000000000" w:firstRow="0" w:lastRow="0" w:firstColumn="0" w:lastColumn="0" w:oddVBand="0" w:evenVBand="0" w:oddHBand="0" w:evenHBand="0" w:firstRowFirstColumn="0" w:firstRowLastColumn="0" w:lastRowFirstColumn="0" w:lastRowLastColumn="0"/>
            </w:pPr>
            <w:r>
              <w:t>service target performance incentive scheme</w:t>
            </w:r>
          </w:p>
        </w:tc>
      </w:tr>
      <w:tr w:rsidR="003E262F" w:rsidTr="00D274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3E262F" w:rsidRDefault="003E262F" w:rsidP="00D2749E">
            <w:pPr>
              <w:pStyle w:val="AERbodytext"/>
            </w:pPr>
            <w:r>
              <w:t>WACC</w:t>
            </w:r>
          </w:p>
        </w:tc>
        <w:tc>
          <w:tcPr>
            <w:tcW w:w="4621" w:type="dxa"/>
          </w:tcPr>
          <w:p w:rsidR="003E262F" w:rsidRDefault="003E262F" w:rsidP="00D2749E">
            <w:pPr>
              <w:pStyle w:val="AERbodytext"/>
              <w:cnfStyle w:val="000000010000" w:firstRow="0" w:lastRow="0" w:firstColumn="0" w:lastColumn="0" w:oddVBand="0" w:evenVBand="0" w:oddHBand="0" w:evenHBand="1" w:firstRowFirstColumn="0" w:firstRowLastColumn="0" w:lastRowFirstColumn="0" w:lastRowLastColumn="0"/>
            </w:pPr>
            <w:r>
              <w:t>weighted average cost of capital</w:t>
            </w:r>
          </w:p>
        </w:tc>
      </w:tr>
    </w:tbl>
    <w:p w:rsidR="003E262F" w:rsidRDefault="003E262F" w:rsidP="003E262F"/>
    <w:p w:rsidR="003E262F" w:rsidRDefault="003E262F">
      <w:pPr>
        <w:spacing w:after="0" w:line="240" w:lineRule="auto"/>
        <w:jc w:val="left"/>
        <w:rPr>
          <w:rFonts w:eastAsia="Times New Roman"/>
          <w:szCs w:val="24"/>
        </w:rPr>
      </w:pPr>
      <w:r>
        <w:br w:type="page"/>
      </w:r>
    </w:p>
    <w:p w:rsidR="00F365D3" w:rsidRDefault="00F365D3" w:rsidP="003E262F">
      <w:pPr>
        <w:pStyle w:val="Heading1"/>
      </w:pPr>
      <w:bookmarkStart w:id="9" w:name="_Toc404324948"/>
      <w:r>
        <w:t>Alternative control services</w:t>
      </w:r>
      <w:bookmarkEnd w:id="0"/>
      <w:bookmarkEnd w:id="9"/>
    </w:p>
    <w:p w:rsidR="00F66AC3" w:rsidRDefault="00F66AC3" w:rsidP="00F66AC3">
      <w:pPr>
        <w:pStyle w:val="AERbodytext"/>
      </w:pPr>
      <w:bookmarkStart w:id="10" w:name="_Toc387916917"/>
      <w:r>
        <w:t xml:space="preserve">This attachment sets out the Australian Energy Regulator's draft decision on Endeavour Energy’s alternative control services: ancillary network services, metering and public lighting. </w:t>
      </w:r>
    </w:p>
    <w:p w:rsidR="00F66AC3" w:rsidRDefault="00F66AC3" w:rsidP="00F66AC3">
      <w:pPr>
        <w:pStyle w:val="AERbodytext"/>
      </w:pPr>
      <w:r>
        <w:t xml:space="preserve">As discussed in our Stage 1 Framework and Approach for the 2014–15 and 2015–19 regulatory control periods, alternative control services </w:t>
      </w:r>
      <w:r>
        <w:rPr>
          <w:rFonts w:ascii="Arial" w:hAnsi="Arial" w:cs="Arial"/>
          <w:lang w:eastAsia="en-AU"/>
        </w:rPr>
        <w:t>are customer specific or customer requested services and so the full cost of the service is attributed to that particular customer</w:t>
      </w:r>
      <w:r>
        <w:t>.</w:t>
      </w:r>
      <w:r>
        <w:rPr>
          <w:rStyle w:val="FootnoteReference"/>
        </w:rPr>
        <w:footnoteReference w:id="1"/>
      </w:r>
      <w:r>
        <w:t xml:space="preserve"> This is in contrast to standard control services where costs are spread across the general network customer base. </w:t>
      </w:r>
    </w:p>
    <w:p w:rsidR="00F365D3" w:rsidRDefault="00F365D3" w:rsidP="003E262F">
      <w:pPr>
        <w:pStyle w:val="Heading2"/>
        <w:numPr>
          <w:ilvl w:val="2"/>
          <w:numId w:val="89"/>
        </w:numPr>
      </w:pPr>
      <w:bookmarkStart w:id="11" w:name="_Toc404324949"/>
      <w:r>
        <w:t>D</w:t>
      </w:r>
      <w:r w:rsidRPr="00525604">
        <w:t>raft decision</w:t>
      </w:r>
      <w:bookmarkEnd w:id="10"/>
      <w:bookmarkEnd w:id="11"/>
    </w:p>
    <w:p w:rsidR="00F66AC3" w:rsidRDefault="00F66AC3" w:rsidP="00F66AC3">
      <w:pPr>
        <w:pStyle w:val="AERbodytext"/>
      </w:pPr>
      <w:r>
        <w:t xml:space="preserve">Our draft decision is to classify ancillary network services, metering and public lighting as alternative control services, as proposed in our Stage 1 Framework and Approach, with one exception. In our metering decision, we reclassify the residual </w:t>
      </w:r>
      <w:r w:rsidR="00D8446A">
        <w:t xml:space="preserve">metering </w:t>
      </w:r>
      <w:r>
        <w:t xml:space="preserve">capital costs as a standard control service. This means that when customers exit regulated metering, the residual capital costs (the capital costs the customer would have paid through annual metering charges had they remained a regulated metering customer) will be recovered from the general customer base through network tariffs. </w:t>
      </w:r>
    </w:p>
    <w:p w:rsidR="00F66AC3" w:rsidDel="003D6DB1" w:rsidRDefault="00F66AC3" w:rsidP="00F66AC3">
      <w:pPr>
        <w:pStyle w:val="AERbodytext"/>
      </w:pPr>
      <w:r>
        <w:t xml:space="preserve">Our draft decision also maintains our Stage 1 Framework and Approach position to </w:t>
      </w:r>
      <w:r w:rsidRPr="00CA684F">
        <w:t xml:space="preserve">apply caps on the prices of individual services in the next regulatory control period to all alternative control services. </w:t>
      </w:r>
      <w:r>
        <w:t xml:space="preserve">We consider </w:t>
      </w:r>
      <w:r w:rsidRPr="00CA684F">
        <w:t xml:space="preserve">the benefit of capping individual services prices </w:t>
      </w:r>
      <w:r>
        <w:t xml:space="preserve">is that it </w:t>
      </w:r>
      <w:r w:rsidRPr="00CA684F">
        <w:t>promotes cost reflective pricing</w:t>
      </w:r>
      <w:r>
        <w:t xml:space="preserve"> which</w:t>
      </w:r>
      <w:r w:rsidRPr="00CA684F">
        <w:t xml:space="preserve"> outweighs any detriment from increased administration costs. </w:t>
      </w:r>
    </w:p>
    <w:p w:rsidR="00F66AC3" w:rsidRDefault="00F66AC3" w:rsidP="00F66AC3">
      <w:pPr>
        <w:pStyle w:val="AERbodytext"/>
      </w:pPr>
      <w:r>
        <w:t>Our draft decision is to not approve some elements of Endeavour Energy’s proposed fees for ancillary network services, metering and public lighting where the proposed fees exceed the efficient cost of providing the services. Our substitute price caps are set in appendix</w:t>
      </w:r>
      <w:r w:rsidR="00F92C29">
        <w:t xml:space="preserve"> </w:t>
      </w:r>
      <w:r w:rsidR="00F92C29">
        <w:fldChar w:fldCharType="begin"/>
      </w:r>
      <w:r w:rsidR="00F92C29">
        <w:instrText xml:space="preserve"> REF _Ref403663103 \n \h </w:instrText>
      </w:r>
      <w:r w:rsidR="00F92C29">
        <w:fldChar w:fldCharType="separate"/>
      </w:r>
      <w:r w:rsidR="000A6EFE">
        <w:t>A.1</w:t>
      </w:r>
      <w:r w:rsidR="00F92C29">
        <w:fldChar w:fldCharType="end"/>
      </w:r>
      <w:r>
        <w:t>.</w:t>
      </w:r>
    </w:p>
    <w:p w:rsidR="00F66AC3" w:rsidRDefault="00F66AC3" w:rsidP="00F66AC3">
      <w:pPr>
        <w:pStyle w:val="AERbodytext"/>
      </w:pPr>
      <w:r>
        <w:t>The detail of our draft decision is set out in the following:</w:t>
      </w:r>
    </w:p>
    <w:p w:rsidR="00F66AC3" w:rsidRDefault="00F66AC3" w:rsidP="00F66AC3">
      <w:pPr>
        <w:pStyle w:val="AERbulletlistfirststyle"/>
      </w:pPr>
      <w:r>
        <w:t>Section</w:t>
      </w:r>
      <w:r w:rsidR="00A66D77">
        <w:fldChar w:fldCharType="begin"/>
      </w:r>
      <w:r w:rsidR="00A66D77">
        <w:instrText xml:space="preserve"> REF _Ref402522987 \n \h </w:instrText>
      </w:r>
      <w:r w:rsidR="00A66D77">
        <w:fldChar w:fldCharType="separate"/>
      </w:r>
      <w:r w:rsidR="000A6EFE">
        <w:t>1.5</w:t>
      </w:r>
      <w:r w:rsidR="00A66D77">
        <w:fldChar w:fldCharType="end"/>
      </w:r>
      <w:r>
        <w:t xml:space="preserve"> – Ancillary Network Services</w:t>
      </w:r>
    </w:p>
    <w:p w:rsidR="00F66AC3" w:rsidRDefault="00F66AC3" w:rsidP="00F66AC3">
      <w:pPr>
        <w:pStyle w:val="AERbulletlistfirststyle"/>
      </w:pPr>
      <w:r>
        <w:t xml:space="preserve">Section </w:t>
      </w:r>
      <w:r w:rsidR="00A66D77">
        <w:fldChar w:fldCharType="begin"/>
      </w:r>
      <w:r w:rsidR="00A66D77">
        <w:instrText xml:space="preserve"> REF _Ref402523049 \n \h </w:instrText>
      </w:r>
      <w:r w:rsidR="00A66D77">
        <w:fldChar w:fldCharType="separate"/>
      </w:r>
      <w:r w:rsidR="000A6EFE">
        <w:t>1.6</w:t>
      </w:r>
      <w:r w:rsidR="00A66D77">
        <w:fldChar w:fldCharType="end"/>
      </w:r>
      <w:r w:rsidR="00EA2813">
        <w:t xml:space="preserve"> </w:t>
      </w:r>
      <w:r>
        <w:t>– Metering</w:t>
      </w:r>
    </w:p>
    <w:p w:rsidR="00F66AC3" w:rsidRPr="009C3C0C" w:rsidRDefault="00F66AC3" w:rsidP="00F66AC3">
      <w:pPr>
        <w:pStyle w:val="AERbulletlistfirststyle"/>
        <w:rPr>
          <w:rStyle w:val="AERbody"/>
        </w:rPr>
      </w:pPr>
      <w:r w:rsidRPr="009C3C0C">
        <w:rPr>
          <w:rStyle w:val="AERbody"/>
        </w:rPr>
        <w:t xml:space="preserve">Section </w:t>
      </w:r>
      <w:r w:rsidR="00A66D77">
        <w:rPr>
          <w:rStyle w:val="AERbody"/>
        </w:rPr>
        <w:fldChar w:fldCharType="begin"/>
      </w:r>
      <w:r w:rsidR="00A66D77">
        <w:rPr>
          <w:rStyle w:val="AERbody"/>
        </w:rPr>
        <w:instrText xml:space="preserve"> REF _Ref402523374 \n \h </w:instrText>
      </w:r>
      <w:r w:rsidR="00A66D77">
        <w:rPr>
          <w:rStyle w:val="AERbody"/>
        </w:rPr>
      </w:r>
      <w:r w:rsidR="00A66D77">
        <w:rPr>
          <w:rStyle w:val="AERbody"/>
        </w:rPr>
        <w:fldChar w:fldCharType="separate"/>
      </w:r>
      <w:r w:rsidR="000A6EFE">
        <w:rPr>
          <w:rStyle w:val="AERbody"/>
        </w:rPr>
        <w:t>1.7</w:t>
      </w:r>
      <w:r w:rsidR="00A66D77">
        <w:rPr>
          <w:rStyle w:val="AERbody"/>
        </w:rPr>
        <w:fldChar w:fldCharType="end"/>
      </w:r>
      <w:r>
        <w:rPr>
          <w:rStyle w:val="AERbody"/>
        </w:rPr>
        <w:t>–</w:t>
      </w:r>
      <w:r w:rsidRPr="009C3C0C">
        <w:rPr>
          <w:rStyle w:val="AERbody"/>
        </w:rPr>
        <w:t xml:space="preserve"> Public lighting</w:t>
      </w:r>
    </w:p>
    <w:p w:rsidR="00855127" w:rsidRDefault="00855127" w:rsidP="00855127">
      <w:pPr>
        <w:pStyle w:val="Heading2"/>
      </w:pPr>
      <w:bookmarkStart w:id="12" w:name="_Toc404324950"/>
      <w:r w:rsidRPr="00F8634A">
        <w:t>Proposal</w:t>
      </w:r>
      <w:bookmarkEnd w:id="12"/>
    </w:p>
    <w:p w:rsidR="001E65C7" w:rsidRDefault="00F54C94" w:rsidP="00337A3F">
      <w:pPr>
        <w:pStyle w:val="AERbulletlistfirststyle"/>
        <w:numPr>
          <w:ilvl w:val="0"/>
          <w:numId w:val="0"/>
        </w:numPr>
      </w:pPr>
      <w:r>
        <w:t>We received separate proposals from Endeavour Energy</w:t>
      </w:r>
      <w:r w:rsidR="00691C98">
        <w:t xml:space="preserve"> for</w:t>
      </w:r>
      <w:r>
        <w:t xml:space="preserve"> public lighting, metering a</w:t>
      </w:r>
      <w:r w:rsidR="00337A3F">
        <w:t>nd ancillary network services.</w:t>
      </w:r>
      <w:r w:rsidR="00D8446A">
        <w:t xml:space="preserve"> They adopted the </w:t>
      </w:r>
      <w:r w:rsidR="001E65C7">
        <w:t xml:space="preserve">alternative control service </w:t>
      </w:r>
      <w:r w:rsidR="00D8446A">
        <w:t xml:space="preserve">classification for these services </w:t>
      </w:r>
      <w:r w:rsidR="001E65C7">
        <w:t>and the use of price caps on individual services as the control mechanism as set out in our</w:t>
      </w:r>
      <w:r w:rsidR="00D8446A">
        <w:t xml:space="preserve"> Stage 1 Framework and Approach paper.</w:t>
      </w:r>
    </w:p>
    <w:p w:rsidR="00337A3F" w:rsidRPr="00337A3F" w:rsidRDefault="003E262F" w:rsidP="00337A3F">
      <w:pPr>
        <w:pStyle w:val="AERbulletlistfirststyle"/>
        <w:numPr>
          <w:ilvl w:val="0"/>
          <w:numId w:val="0"/>
        </w:numPr>
      </w:pPr>
      <w:r>
        <w:fldChar w:fldCharType="begin"/>
      </w:r>
      <w:r>
        <w:instrText xml:space="preserve"> REF _Ref404279431 \h </w:instrText>
      </w:r>
      <w:r>
        <w:fldChar w:fldCharType="separate"/>
      </w:r>
      <w:r>
        <w:t xml:space="preserve">Figure </w:t>
      </w:r>
      <w:r>
        <w:rPr>
          <w:noProof/>
        </w:rPr>
        <w:t>16</w:t>
      </w:r>
      <w:r>
        <w:noBreakHyphen/>
      </w:r>
      <w:r>
        <w:rPr>
          <w:noProof/>
        </w:rPr>
        <w:t>1</w:t>
      </w:r>
      <w:r>
        <w:fldChar w:fldCharType="end"/>
      </w:r>
      <w:r w:rsidR="00337A3F">
        <w:t xml:space="preserve"> </w:t>
      </w:r>
      <w:r w:rsidR="00337A3F" w:rsidRPr="000B395D">
        <w:t xml:space="preserve">shows </w:t>
      </w:r>
      <w:r w:rsidR="00337A3F">
        <w:t>Endeavour Energy's</w:t>
      </w:r>
      <w:r w:rsidR="00337A3F" w:rsidRPr="000B395D">
        <w:t xml:space="preserve"> historical (2008–09 to 2012–13), estimated (2013–14) and proposed annual expenditure (2014–15 to 2018–19). This is for each category of alter</w:t>
      </w:r>
      <w:r w:rsidR="00337A3F">
        <w:t xml:space="preserve">native control services. </w:t>
      </w:r>
      <w:r>
        <w:fldChar w:fldCharType="begin"/>
      </w:r>
      <w:r>
        <w:instrText xml:space="preserve"> REF _Ref401918055 \h </w:instrText>
      </w:r>
      <w:r>
        <w:fldChar w:fldCharType="separate"/>
      </w:r>
      <w:r>
        <w:t xml:space="preserve">Figure </w:t>
      </w:r>
      <w:r>
        <w:rPr>
          <w:noProof/>
        </w:rPr>
        <w:t>16</w:t>
      </w:r>
      <w:r>
        <w:noBreakHyphen/>
      </w:r>
      <w:r>
        <w:rPr>
          <w:noProof/>
        </w:rPr>
        <w:t>2</w:t>
      </w:r>
      <w:r>
        <w:fldChar w:fldCharType="end"/>
      </w:r>
      <w:r w:rsidR="00337A3F">
        <w:t xml:space="preserve"> </w:t>
      </w:r>
      <w:r w:rsidR="00337A3F" w:rsidRPr="00337A3F">
        <w:t xml:space="preserve">compares that expenditure as a percentage of </w:t>
      </w:r>
      <w:r w:rsidR="00337A3F">
        <w:t>Endeavour Energy's</w:t>
      </w:r>
      <w:r w:rsidR="00337A3F" w:rsidRPr="00337A3F">
        <w:t xml:space="preserve"> total expenditure for all direct control services.</w:t>
      </w:r>
      <w:r w:rsidR="00337A3F" w:rsidRPr="00337A3F">
        <w:rPr>
          <w:rStyle w:val="FootnoteReference"/>
        </w:rPr>
        <w:footnoteReference w:id="2"/>
      </w:r>
    </w:p>
    <w:p w:rsidR="00337A3F" w:rsidRDefault="003E262F" w:rsidP="003E262F">
      <w:pPr>
        <w:pStyle w:val="Caption"/>
      </w:pPr>
      <w:bookmarkStart w:id="13" w:name="_Ref404279431"/>
      <w:r>
        <w:t xml:space="preserve">Figure </w:t>
      </w:r>
      <w:r w:rsidR="004667DE">
        <w:fldChar w:fldCharType="begin"/>
      </w:r>
      <w:r w:rsidR="004667DE">
        <w:instrText xml:space="preserve"> STYLEREF 1 \s </w:instrText>
      </w:r>
      <w:r w:rsidR="004667DE">
        <w:fldChar w:fldCharType="separate"/>
      </w:r>
      <w:r>
        <w:rPr>
          <w:noProof/>
        </w:rPr>
        <w:t>16</w:t>
      </w:r>
      <w:r w:rsidR="004667DE">
        <w:rPr>
          <w:noProof/>
        </w:rPr>
        <w:fldChar w:fldCharType="end"/>
      </w:r>
      <w:r>
        <w:noBreakHyphen/>
      </w:r>
      <w:r w:rsidR="004667DE">
        <w:fldChar w:fldCharType="begin"/>
      </w:r>
      <w:r w:rsidR="004667DE">
        <w:instrText xml:space="preserve"> SEQ Figure \* ARABIC \s 1 </w:instrText>
      </w:r>
      <w:r w:rsidR="004667DE">
        <w:fldChar w:fldCharType="separate"/>
      </w:r>
      <w:r>
        <w:rPr>
          <w:noProof/>
        </w:rPr>
        <w:t>1</w:t>
      </w:r>
      <w:r w:rsidR="004667DE">
        <w:rPr>
          <w:noProof/>
        </w:rPr>
        <w:fldChar w:fldCharType="end"/>
      </w:r>
      <w:bookmarkEnd w:id="13"/>
      <w:r w:rsidR="00337A3F">
        <w:tab/>
        <w:t>Endeavour Energy's</w:t>
      </w:r>
      <w:r w:rsidR="00337A3F" w:rsidRPr="001F1BA2">
        <w:t xml:space="preserve"> alternative control services expenditure ($000</w:t>
      </w:r>
      <w:r w:rsidR="00337A3F">
        <w:t>, 2014–15</w:t>
      </w:r>
      <w:r w:rsidR="00337A3F" w:rsidRPr="001F1BA2">
        <w:t>)</w:t>
      </w:r>
    </w:p>
    <w:p w:rsidR="00EB6E3E" w:rsidRDefault="00EB6E3E" w:rsidP="00F54C94">
      <w:pPr>
        <w:pStyle w:val="AERbodytext"/>
      </w:pPr>
      <w:r w:rsidRPr="00EB6E3E">
        <w:rPr>
          <w:noProof/>
          <w:lang w:eastAsia="en-AU"/>
        </w:rPr>
        <w:drawing>
          <wp:inline distT="0" distB="0" distL="0" distR="0" wp14:anchorId="2A76B607" wp14:editId="2731F3C0">
            <wp:extent cx="4572000" cy="2743200"/>
            <wp:effectExtent l="0" t="0" r="0" b="0"/>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EA7E47" w:rsidRPr="00EA7E47" w:rsidRDefault="00EA7E47" w:rsidP="00EA7E47">
      <w:pPr>
        <w:pStyle w:val="AERtablesource"/>
      </w:pPr>
      <w:bookmarkStart w:id="14" w:name="_Ref401918055"/>
      <w:r>
        <w:t>Source:</w:t>
      </w:r>
      <w:r>
        <w:tab/>
      </w:r>
      <w:r w:rsidRPr="00EA7E47">
        <w:t xml:space="preserve">AER analysis; Endeavour Energy, </w:t>
      </w:r>
      <w:r w:rsidRPr="00EA7E47">
        <w:rPr>
          <w:i/>
        </w:rPr>
        <w:t>Response to reset regulatory information notice (consolidated)</w:t>
      </w:r>
      <w:r w:rsidRPr="00EA7E47">
        <w:t>, May 2014.</w:t>
      </w:r>
    </w:p>
    <w:p w:rsidR="00337A3F" w:rsidRDefault="00337A3F" w:rsidP="00337A3F">
      <w:pPr>
        <w:pStyle w:val="Caption"/>
      </w:pPr>
      <w:r>
        <w:t xml:space="preserve">Figure </w:t>
      </w:r>
      <w:r w:rsidR="004667DE">
        <w:fldChar w:fldCharType="begin"/>
      </w:r>
      <w:r w:rsidR="004667DE">
        <w:instrText xml:space="preserve"> STYLEREF 1 \s </w:instrText>
      </w:r>
      <w:r w:rsidR="004667DE">
        <w:fldChar w:fldCharType="separate"/>
      </w:r>
      <w:r w:rsidR="003E262F">
        <w:rPr>
          <w:noProof/>
        </w:rPr>
        <w:t>16</w:t>
      </w:r>
      <w:r w:rsidR="004667DE">
        <w:rPr>
          <w:noProof/>
        </w:rPr>
        <w:fldChar w:fldCharType="end"/>
      </w:r>
      <w:r w:rsidR="003E262F">
        <w:noBreakHyphen/>
      </w:r>
      <w:r w:rsidR="004667DE">
        <w:fldChar w:fldCharType="begin"/>
      </w:r>
      <w:r w:rsidR="004667DE">
        <w:instrText xml:space="preserve"> SEQ Figure \* ARABIC \s 1 </w:instrText>
      </w:r>
      <w:r w:rsidR="004667DE">
        <w:fldChar w:fldCharType="separate"/>
      </w:r>
      <w:r w:rsidR="003E262F">
        <w:rPr>
          <w:noProof/>
        </w:rPr>
        <w:t>2</w:t>
      </w:r>
      <w:r w:rsidR="004667DE">
        <w:rPr>
          <w:noProof/>
        </w:rPr>
        <w:fldChar w:fldCharType="end"/>
      </w:r>
      <w:bookmarkEnd w:id="14"/>
      <w:r>
        <w:tab/>
        <w:t>Endeavour Energy's</w:t>
      </w:r>
      <w:r w:rsidRPr="001F1BA2">
        <w:t xml:space="preserve"> alternative control expenditure as a percentage of </w:t>
      </w:r>
      <w:r w:rsidRPr="000B395D">
        <w:t>total direct control expenditure (standard and alternative control)</w:t>
      </w:r>
    </w:p>
    <w:p w:rsidR="00EA7E47" w:rsidRDefault="00EB6E3E" w:rsidP="00EA7E47">
      <w:pPr>
        <w:pStyle w:val="AERbodytext"/>
      </w:pPr>
      <w:r w:rsidRPr="00EB6E3E">
        <w:rPr>
          <w:noProof/>
          <w:lang w:eastAsia="en-AU"/>
        </w:rPr>
        <w:drawing>
          <wp:inline distT="0" distB="0" distL="0" distR="0" wp14:anchorId="01F569F6" wp14:editId="3EEEBADD">
            <wp:extent cx="4572000" cy="2743200"/>
            <wp:effectExtent l="0" t="0" r="0" b="0"/>
            <wp:docPr id="7"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bookmarkStart w:id="15" w:name="_Toc387916919"/>
      <w:bookmarkStart w:id="16" w:name="_Toc404324951"/>
    </w:p>
    <w:p w:rsidR="00EA7E47" w:rsidRDefault="00EA7E47" w:rsidP="00EA7E47">
      <w:pPr>
        <w:pStyle w:val="AERtablesource"/>
      </w:pPr>
      <w:r w:rsidRPr="00EA7E47">
        <w:t>Source:</w:t>
      </w:r>
      <w:r w:rsidRPr="00EA7E47">
        <w:tab/>
        <w:t xml:space="preserve">AER analysis; Endeavour Energy, </w:t>
      </w:r>
      <w:r w:rsidRPr="00EA7E47">
        <w:rPr>
          <w:i/>
        </w:rPr>
        <w:t>Response to reset regulatory information notice (consolidated)</w:t>
      </w:r>
      <w:r w:rsidRPr="00EA7E47">
        <w:t>, May 2014.</w:t>
      </w:r>
    </w:p>
    <w:p w:rsidR="00F365D3" w:rsidRDefault="00F365D3" w:rsidP="00EB6E3E">
      <w:pPr>
        <w:pStyle w:val="Heading2"/>
      </w:pPr>
      <w:r w:rsidRPr="00EB6E3E">
        <w:t>AER's assessment approach</w:t>
      </w:r>
      <w:bookmarkEnd w:id="15"/>
      <w:bookmarkEnd w:id="16"/>
    </w:p>
    <w:p w:rsidR="00F66AC3" w:rsidRPr="00F8517A" w:rsidRDefault="00F66AC3" w:rsidP="00F66AC3">
      <w:pPr>
        <w:pStyle w:val="AERbodytext"/>
      </w:pPr>
      <w:bookmarkStart w:id="17" w:name="_Toc387916920"/>
      <w:r>
        <w:t xml:space="preserve">The rules are less </w:t>
      </w:r>
      <w:r w:rsidRPr="00F8517A">
        <w:t xml:space="preserve">prescriptive </w:t>
      </w:r>
      <w:r>
        <w:t xml:space="preserve">and afford more discretion </w:t>
      </w:r>
      <w:r w:rsidRPr="00F8517A">
        <w:t xml:space="preserve">for determining </w:t>
      </w:r>
      <w:r>
        <w:t xml:space="preserve">the control mechanism for </w:t>
      </w:r>
      <w:r w:rsidRPr="00F8517A">
        <w:t>alternative control services</w:t>
      </w:r>
      <w:r>
        <w:t xml:space="preserve"> than</w:t>
      </w:r>
      <w:r w:rsidRPr="00F8517A">
        <w:t xml:space="preserve"> those set out for standard control services. </w:t>
      </w:r>
      <w:r>
        <w:t xml:space="preserve"> For example, there is no requirement to establish a full building block model to set the revenue to be earned from the services as there is for standard control services. The control mechanism may be either a control on the price of the service, or the revenue to be earned from the service, or both.  As a general principle we attempt to regulate alternative control services in a lighter handed manner than standard control services.</w:t>
      </w:r>
    </w:p>
    <w:p w:rsidR="00F66AC3" w:rsidRPr="009D4DCD" w:rsidRDefault="00F66AC3" w:rsidP="00F66AC3">
      <w:pPr>
        <w:pStyle w:val="AERbodytext"/>
      </w:pPr>
      <w:r w:rsidRPr="009D4DCD">
        <w:t>Our distribution determination must state the basis of the control mechanism to apply to alternative control services.</w:t>
      </w:r>
      <w:r w:rsidR="00030E3D" w:rsidRPr="009D4DCD">
        <w:rPr>
          <w:rStyle w:val="FootnoteReference"/>
        </w:rPr>
        <w:footnoteReference w:id="3"/>
      </w:r>
      <w:r w:rsidR="00030E3D" w:rsidRPr="009D4DCD">
        <w:t xml:space="preserve"> </w:t>
      </w:r>
      <w:r w:rsidRPr="009D4DCD">
        <w:t>Our decision on the form of control mechanism for alternative control services must be in accordance with our framework and approach paper.</w:t>
      </w:r>
      <w:r w:rsidR="00030E3D" w:rsidRPr="009D4DCD">
        <w:rPr>
          <w:rStyle w:val="FootnoteReference"/>
        </w:rPr>
        <w:footnoteReference w:id="4"/>
      </w:r>
      <w:r w:rsidR="00030E3D" w:rsidRPr="009D4DCD">
        <w:t xml:space="preserve"> </w:t>
      </w:r>
      <w:r w:rsidRPr="009D4DCD">
        <w:t>The formulae that give effect to the form of control must be as set out in the framework and approach paper unless we consider that unforeseen circumstances justify a departure.</w:t>
      </w:r>
      <w:r w:rsidR="00030E3D" w:rsidRPr="009D4DCD">
        <w:rPr>
          <w:rStyle w:val="FootnoteReference"/>
        </w:rPr>
        <w:footnoteReference w:id="5"/>
      </w:r>
    </w:p>
    <w:p w:rsidR="00F66AC3" w:rsidRDefault="00F66AC3" w:rsidP="00F66AC3">
      <w:pPr>
        <w:pStyle w:val="AERbodytext"/>
      </w:pPr>
      <w:r w:rsidRPr="009D4DCD">
        <w:t>In deciding on a control mechanism for alternative control services, we must have regard to potential competition in the relevant market, administrative costs, applicable regulatory arrangements, consistency between regulatory arrangements, and any other relevant factor.</w:t>
      </w:r>
      <w:r w:rsidR="00030E3D" w:rsidRPr="009D4DCD">
        <w:rPr>
          <w:rStyle w:val="FootnoteReference"/>
        </w:rPr>
        <w:footnoteReference w:id="6"/>
      </w:r>
      <w:r w:rsidRPr="009D4DCD">
        <w:t xml:space="preserve"> The control mechanism for alternative control services may use elements of </w:t>
      </w:r>
      <w:r>
        <w:t xml:space="preserve">the building block model for standard control services but there is no requirement to apply the building block model exactly as it is set out in </w:t>
      </w:r>
      <w:r w:rsidRPr="009D4DCD">
        <w:t xml:space="preserve">Part C of the </w:t>
      </w:r>
      <w:r>
        <w:t>rules</w:t>
      </w:r>
      <w:r w:rsidRPr="009D4DCD">
        <w:t>.</w:t>
      </w:r>
    </w:p>
    <w:p w:rsidR="00F66AC3" w:rsidRDefault="00F66AC3" w:rsidP="00F66AC3">
      <w:pPr>
        <w:pStyle w:val="AERbodytext"/>
      </w:pPr>
      <w:r>
        <w:t xml:space="preserve">The different regulatory requirements for alternative control services compared to standard control services recognise their different characteristics. Standard control services are central to electricity supply and are relied on by all customers. In contrast, alternative control services are customer specific. Accordingly our approach to assessing alternative control services is different to that of standard control services. </w:t>
      </w:r>
    </w:p>
    <w:p w:rsidR="00F66AC3" w:rsidRDefault="00F66AC3" w:rsidP="00F66AC3">
      <w:pPr>
        <w:pStyle w:val="AERbodytext"/>
      </w:pPr>
      <w:r>
        <w:t xml:space="preserve">For ancillary network services we undertook a bottom up cost assessment. For metering and public lighting we used a limited building block analysis for our cost assessment. </w:t>
      </w:r>
    </w:p>
    <w:p w:rsidR="00776C57" w:rsidRDefault="00776C57" w:rsidP="005D10C3">
      <w:pPr>
        <w:pStyle w:val="Heading2"/>
      </w:pPr>
      <w:bookmarkStart w:id="18" w:name="_Toc404324952"/>
      <w:bookmarkEnd w:id="17"/>
      <w:r>
        <w:t>Inter relationships</w:t>
      </w:r>
      <w:bookmarkEnd w:id="18"/>
    </w:p>
    <w:p w:rsidR="00F66AC3" w:rsidRDefault="00F66AC3" w:rsidP="00F66AC3">
      <w:pPr>
        <w:pStyle w:val="AERbodytext"/>
      </w:pPr>
      <w:r w:rsidRPr="001B5E02">
        <w:t>In the transitional regulatory control period 2014–15 alternative control service charges were increased by CPI of 2.5 per cent from the previous year</w:t>
      </w:r>
      <w:r>
        <w:t>, regardless of the costs incurred to provide those services</w:t>
      </w:r>
      <w:r w:rsidRPr="001B5E02">
        <w:t>.</w:t>
      </w:r>
      <w:r>
        <w:t xml:space="preserve"> </w:t>
      </w:r>
    </w:p>
    <w:p w:rsidR="00F66AC3" w:rsidRDefault="00F66AC3" w:rsidP="00F66AC3">
      <w:pPr>
        <w:pStyle w:val="AERbodytext"/>
      </w:pPr>
      <w:r>
        <w:t xml:space="preserve">We will apply a true up for ancillary network service and metering but not for public lighting. We are not applying a true up for public lighting because on average we are reducing the public lighting charges. The mechanism required would be complex and, unlike ancillary network services and metering which have been reclassified from standard control to alternative control services, public lighting is currently and is continuing to be classified as an alternative control service. </w:t>
      </w:r>
    </w:p>
    <w:p w:rsidR="00F66AC3" w:rsidRDefault="00F66AC3" w:rsidP="00F66AC3">
      <w:pPr>
        <w:pStyle w:val="AERbodytext"/>
      </w:pPr>
      <w:r>
        <w:t xml:space="preserve">Although ancillary network services and metering have changed classification since the 2009-14 regulatory control period, for the purposes of the 2014-15 transitional regulatory control period, the existing classification applied i.e. standard control service. Therefore we had </w:t>
      </w:r>
      <w:r w:rsidR="00030E3D">
        <w:t xml:space="preserve">to </w:t>
      </w:r>
      <w:r>
        <w:t>determine whether the true up for ancillary network services and metering should be returned or recovered to the general customer base or alternative control service users.</w:t>
      </w:r>
    </w:p>
    <w:p w:rsidR="00F66AC3" w:rsidRPr="001B5E02" w:rsidRDefault="00F66AC3" w:rsidP="00F66AC3">
      <w:pPr>
        <w:pStyle w:val="AERbodytext"/>
      </w:pPr>
      <w:r w:rsidRPr="001B5E02">
        <w:t>Ausgrid, Endeavo</w:t>
      </w:r>
      <w:r>
        <w:t xml:space="preserve">ur Energy and Essential Energy </w:t>
      </w:r>
      <w:r w:rsidRPr="001B5E02">
        <w:t>all proposed a similar true up mechanism</w:t>
      </w:r>
      <w:r>
        <w:t xml:space="preserve"> to account for differences between the prices charged for ancillary network services and metering with the actual costs incurred in the transitional regulatory control period</w:t>
      </w:r>
      <w:r w:rsidRPr="001B5E02">
        <w:t>. In summary they propose:</w:t>
      </w:r>
    </w:p>
    <w:p w:rsidR="00F66AC3" w:rsidRPr="001B5E02" w:rsidRDefault="00F66AC3" w:rsidP="00F66AC3">
      <w:pPr>
        <w:pStyle w:val="AERbulletlistfirststyle"/>
      </w:pPr>
      <w:r>
        <w:t>That i</w:t>
      </w:r>
      <w:r w:rsidRPr="001B5E02">
        <w:t xml:space="preserve">t would be technically correct to true up under and over recovery via an adjustment of ancillary network service </w:t>
      </w:r>
      <w:r>
        <w:t xml:space="preserve">and metering </w:t>
      </w:r>
      <w:r w:rsidRPr="001B5E02">
        <w:t xml:space="preserve">charges in one or more years of the 2015-19 </w:t>
      </w:r>
      <w:proofErr w:type="gramStart"/>
      <w:r w:rsidRPr="001B5E02">
        <w:t>period</w:t>
      </w:r>
      <w:proofErr w:type="gramEnd"/>
      <w:r w:rsidRPr="001B5E02">
        <w:t xml:space="preserve">. However, from a fairness perspective the businesses </w:t>
      </w:r>
      <w:r>
        <w:t>proposed</w:t>
      </w:r>
      <w:r w:rsidRPr="001B5E02">
        <w:t xml:space="preserve"> that the amount should be returned or recovered from the customer group that incurred the charges in the transitional year (in this case the general customer base i.e. </w:t>
      </w:r>
      <w:r>
        <w:t>distribution use of system (</w:t>
      </w:r>
      <w:r w:rsidRPr="001B5E02">
        <w:t>DUoS</w:t>
      </w:r>
      <w:r>
        <w:t>)</w:t>
      </w:r>
      <w:r w:rsidR="008E0136">
        <w:t xml:space="preserve"> charges)</w:t>
      </w:r>
    </w:p>
    <w:p w:rsidR="00F66AC3" w:rsidRPr="001B5E02" w:rsidRDefault="00F66AC3" w:rsidP="00F66AC3">
      <w:pPr>
        <w:pStyle w:val="AERbulletlistfirststyle"/>
      </w:pPr>
      <w:r w:rsidRPr="001B5E02">
        <w:t xml:space="preserve">This would also ensure that charges are cost reflective for ancillary network services </w:t>
      </w:r>
      <w:r>
        <w:t xml:space="preserve">and metering </w:t>
      </w:r>
      <w:r w:rsidRPr="001B5E02">
        <w:t>and avoid the situation where a customer in the 2015-19 period has to pay a substantial uplift in charges for unrecovered amounts. The impact of the adjustment would be far more diluted when applied to a large customer base (i</w:t>
      </w:r>
      <w:r w:rsidR="00EA2813">
        <w:t>.</w:t>
      </w:r>
      <w:r w:rsidRPr="001B5E02">
        <w:t>e. D</w:t>
      </w:r>
      <w:r>
        <w:t>U</w:t>
      </w:r>
      <w:r w:rsidRPr="001B5E02">
        <w:t>o</w:t>
      </w:r>
      <w:r>
        <w:t>S</w:t>
      </w:r>
      <w:r w:rsidRPr="001B5E02">
        <w:t xml:space="preserve"> charges).</w:t>
      </w:r>
    </w:p>
    <w:p w:rsidR="00F66AC3" w:rsidRDefault="00F66AC3" w:rsidP="00F66AC3">
      <w:pPr>
        <w:pStyle w:val="AERbodytext"/>
      </w:pPr>
      <w:r>
        <w:t xml:space="preserve">We agree in general terms with the proposals put forward by the NSW service providers for a true-up of ancillary network services and metering through DUoS charges. We had regard to the following rules in making our decision.   </w:t>
      </w:r>
    </w:p>
    <w:p w:rsidR="00F66AC3" w:rsidRPr="001B5E02" w:rsidRDefault="00F66AC3" w:rsidP="00F66AC3">
      <w:pPr>
        <w:pStyle w:val="AERbodytext"/>
      </w:pPr>
      <w:r>
        <w:t>C</w:t>
      </w:r>
      <w:r w:rsidRPr="001B5E02">
        <w:t>lause 11.56.3(</w:t>
      </w:r>
      <w:proofErr w:type="spellStart"/>
      <w:r w:rsidRPr="001B5E02">
        <w:t>i</w:t>
      </w:r>
      <w:proofErr w:type="spellEnd"/>
      <w:r w:rsidRPr="001B5E02">
        <w:t>) provides:</w:t>
      </w:r>
    </w:p>
    <w:p w:rsidR="00F66AC3" w:rsidRPr="001B5E02" w:rsidRDefault="00F66AC3" w:rsidP="00F66AC3">
      <w:pPr>
        <w:pStyle w:val="AERquote"/>
      </w:pPr>
      <w:r w:rsidRPr="001B5E02">
        <w:t xml:space="preserve">For the purposes of the application of clause 6.15.2(7) of transitional chapter 6, the transitional regulatory control period must be treated as if it were the last regulatory year of the current </w:t>
      </w:r>
      <w:r>
        <w:t>[</w:t>
      </w:r>
      <w:proofErr w:type="spellStart"/>
      <w:r>
        <w:t>ie</w:t>
      </w:r>
      <w:proofErr w:type="spellEnd"/>
      <w:r>
        <w:t xml:space="preserve"> 2009-2014] </w:t>
      </w:r>
      <w:r w:rsidRPr="001B5E02">
        <w:t>regulatory control period of the affected DNSP, and not a separate regulatory control period.</w:t>
      </w:r>
    </w:p>
    <w:p w:rsidR="00F66AC3" w:rsidRPr="001B5E02" w:rsidRDefault="00F66AC3" w:rsidP="00F66AC3">
      <w:pPr>
        <w:pStyle w:val="AERbodytext"/>
      </w:pPr>
      <w:r w:rsidRPr="001B5E02">
        <w:t>Clause 6.15.2(7) provides:</w:t>
      </w:r>
    </w:p>
    <w:p w:rsidR="00F66AC3" w:rsidRPr="001B5E02" w:rsidRDefault="00F66AC3" w:rsidP="00F66AC3">
      <w:pPr>
        <w:pStyle w:val="AERquote"/>
      </w:pPr>
      <w:r w:rsidRPr="001B5E02">
        <w:tab/>
      </w:r>
      <w:r w:rsidRPr="001B5E02">
        <w:tab/>
        <w:t xml:space="preserve">(7) </w:t>
      </w:r>
      <w:r w:rsidRPr="001B5E02">
        <w:tab/>
      </w:r>
      <w:proofErr w:type="gramStart"/>
      <w:r w:rsidRPr="001B5E02">
        <w:t>costs</w:t>
      </w:r>
      <w:proofErr w:type="gramEnd"/>
      <w:r w:rsidRPr="001B5E02">
        <w:t xml:space="preserve"> which have been allocated to a particular service cannot be reallocated to another service during the course of a regulatory control period.</w:t>
      </w:r>
    </w:p>
    <w:p w:rsidR="0076172D" w:rsidRPr="00F66AC3" w:rsidRDefault="00F66AC3" w:rsidP="00F66AC3">
      <w:pPr>
        <w:pStyle w:val="AERbodytext"/>
        <w:rPr>
          <w:highlight w:val="yellow"/>
        </w:rPr>
      </w:pPr>
      <w:r w:rsidRPr="001B5E02">
        <w:t xml:space="preserve">We consider the combination of these provisions means that if costs for a service were attributable to standard control services in the </w:t>
      </w:r>
      <w:r>
        <w:t>2009-2014</w:t>
      </w:r>
      <w:r w:rsidRPr="001B5E02">
        <w:t xml:space="preserve"> regulatory control </w:t>
      </w:r>
      <w:proofErr w:type="gramStart"/>
      <w:r w:rsidRPr="001B5E02">
        <w:t>period</w:t>
      </w:r>
      <w:proofErr w:type="gramEnd"/>
      <w:r w:rsidRPr="001B5E02">
        <w:t xml:space="preserve">, then they must be allocated to standard control services in the transitional year. </w:t>
      </w:r>
      <w:r>
        <w:t xml:space="preserve">This is regardless of how the service </w:t>
      </w:r>
      <w:r w:rsidRPr="001B5E02">
        <w:t>might be classified in t</w:t>
      </w:r>
      <w:r>
        <w:t>he transitional year and how</w:t>
      </w:r>
      <w:r w:rsidRPr="001B5E02">
        <w:t xml:space="preserve"> prices might be established</w:t>
      </w:r>
      <w:r>
        <w:t xml:space="preserve">. </w:t>
      </w:r>
      <w:r w:rsidRPr="001B5E02">
        <w:t>Accordingly any under or over recovered costs associated with metering and ancillary network services in the transitional regulatory control period as a result of prices being adjusted by CPI would need to be recovered or removed from the standard control revenue in the 2014–15 regulatory control period.</w:t>
      </w:r>
      <w:r>
        <w:t xml:space="preserve">  Our consideration of the mechanics of the true-up is </w:t>
      </w:r>
      <w:r w:rsidR="007F7D5C">
        <w:t>discussed in more detail in the Revenue Attachment 1.</w:t>
      </w:r>
    </w:p>
    <w:p w:rsidR="00D311E7" w:rsidRPr="00EB6E3E" w:rsidRDefault="00D311E7" w:rsidP="00D311E7">
      <w:pPr>
        <w:pStyle w:val="Heading2"/>
      </w:pPr>
      <w:bookmarkStart w:id="19" w:name="_Ref402522987"/>
      <w:bookmarkStart w:id="20" w:name="_Toc404324953"/>
      <w:r w:rsidRPr="00EB6E3E">
        <w:t>Ancillary network services</w:t>
      </w:r>
      <w:bookmarkEnd w:id="19"/>
      <w:bookmarkEnd w:id="20"/>
    </w:p>
    <w:p w:rsidR="00D311E7" w:rsidRDefault="00D311E7" w:rsidP="00D311E7">
      <w:pPr>
        <w:pStyle w:val="AERbodytext"/>
      </w:pPr>
      <w:r>
        <w:t>Ancillary network services</w:t>
      </w:r>
      <w:r w:rsidRPr="009D4DCD">
        <w:t xml:space="preserve"> are non-routine services provided to individual customers on an 'as needs' basis</w:t>
      </w:r>
      <w:r>
        <w:t>. Ancillary network</w:t>
      </w:r>
      <w:r w:rsidRPr="009D4DCD">
        <w:t xml:space="preserve"> services comprise </w:t>
      </w:r>
      <w:r>
        <w:t>about six per cent of Endeavour Energy's total regulated revenue.</w:t>
      </w:r>
    </w:p>
    <w:p w:rsidR="00D311E7" w:rsidRDefault="00D311E7" w:rsidP="00D311E7">
      <w:pPr>
        <w:pStyle w:val="AERbodytext"/>
      </w:pPr>
      <w:r w:rsidRPr="007A17EF">
        <w:t xml:space="preserve">In the 2009–14 regulatory control period ancillary network services were classified by us as standard control services and were given the name 'miscellaneous' services and 'monopoly' services by </w:t>
      </w:r>
      <w:r w:rsidR="007929CF">
        <w:t>Endeavour Energy</w:t>
      </w:r>
      <w:r w:rsidRPr="007A17EF">
        <w:t>. The fees and labour rates for these servi</w:t>
      </w:r>
      <w:r w:rsidR="008E0136">
        <w:t>ces were originally set by the Independent Pricing and Regulatory T</w:t>
      </w:r>
      <w:r w:rsidRPr="007A17EF">
        <w:t>ribunal</w:t>
      </w:r>
      <w:r w:rsidR="008E0136">
        <w:t xml:space="preserve"> (IPART)</w:t>
      </w:r>
      <w:r w:rsidRPr="007A17EF">
        <w:t xml:space="preserve"> in 1999</w:t>
      </w:r>
      <w:r w:rsidR="00C01A43">
        <w:t>.</w:t>
      </w:r>
      <w:r w:rsidRPr="006171FF">
        <w:t xml:space="preserve"> </w:t>
      </w:r>
      <w:r w:rsidRPr="00A958A0">
        <w:t xml:space="preserve">Since that time, the fees </w:t>
      </w:r>
      <w:r>
        <w:t>have</w:t>
      </w:r>
      <w:r w:rsidRPr="00A958A0">
        <w:t xml:space="preserve"> been indexed by inflation</w:t>
      </w:r>
      <w:r>
        <w:t xml:space="preserve"> (in 2009 labour escalation was also taken into account).</w:t>
      </w:r>
      <w:r>
        <w:rPr>
          <w:rStyle w:val="FootnoteReference"/>
        </w:rPr>
        <w:footnoteReference w:id="7"/>
      </w:r>
      <w:r>
        <w:t xml:space="preserve"> </w:t>
      </w:r>
    </w:p>
    <w:p w:rsidR="00D311E7" w:rsidRPr="00A958A0" w:rsidRDefault="00D311E7" w:rsidP="00D311E7">
      <w:pPr>
        <w:pStyle w:val="AERbodytext"/>
      </w:pPr>
      <w:r w:rsidRPr="00A958A0">
        <w:t xml:space="preserve">In </w:t>
      </w:r>
      <w:r>
        <w:t>our</w:t>
      </w:r>
      <w:r w:rsidRPr="00A958A0">
        <w:t xml:space="preserve"> final </w:t>
      </w:r>
      <w:r>
        <w:t xml:space="preserve">2009–14 final </w:t>
      </w:r>
      <w:r w:rsidRPr="00A958A0">
        <w:t xml:space="preserve">decision </w:t>
      </w:r>
      <w:r>
        <w:t>we accepted</w:t>
      </w:r>
      <w:r w:rsidRPr="00A958A0">
        <w:t xml:space="preserve"> that there may be some prices for </w:t>
      </w:r>
      <w:r>
        <w:t>miscellaneous and monopoly</w:t>
      </w:r>
      <w:r w:rsidRPr="00A958A0">
        <w:t xml:space="preserve"> services that are currently not fully cost reflective or</w:t>
      </w:r>
      <w:r>
        <w:t xml:space="preserve"> </w:t>
      </w:r>
      <w:r w:rsidRPr="00A958A0">
        <w:t xml:space="preserve">may become less </w:t>
      </w:r>
      <w:r>
        <w:t>so</w:t>
      </w:r>
      <w:r w:rsidRPr="00A958A0">
        <w:t xml:space="preserve"> over the course of the next regulatory control period. </w:t>
      </w:r>
      <w:r>
        <w:t>We</w:t>
      </w:r>
      <w:r w:rsidRPr="00A958A0">
        <w:t xml:space="preserve"> noted that there were time constraints preventing a detailed assessment of the pricing of </w:t>
      </w:r>
      <w:r>
        <w:t>miscellaneous and monopoly</w:t>
      </w:r>
      <w:r w:rsidRPr="00A958A0">
        <w:t xml:space="preserve"> services across all the NSW </w:t>
      </w:r>
      <w:r>
        <w:t>distributors</w:t>
      </w:r>
      <w:r w:rsidRPr="00A958A0">
        <w:t xml:space="preserve"> and ActewAGL</w:t>
      </w:r>
      <w:r>
        <w:t xml:space="preserve"> at the time</w:t>
      </w:r>
      <w:r w:rsidRPr="00A958A0">
        <w:t xml:space="preserve">. </w:t>
      </w:r>
      <w:r>
        <w:t>It was decided</w:t>
      </w:r>
      <w:r w:rsidRPr="00A958A0">
        <w:t xml:space="preserve"> to look more closely at </w:t>
      </w:r>
      <w:r>
        <w:t>miscellaneous and monopoly</w:t>
      </w:r>
      <w:r w:rsidRPr="00A958A0">
        <w:t xml:space="preserve"> services pricing for the 2014–2019 regulatory control period.</w:t>
      </w:r>
    </w:p>
    <w:p w:rsidR="00D311E7" w:rsidRDefault="00D311E7" w:rsidP="00D311E7">
      <w:pPr>
        <w:pStyle w:val="AERbodytext"/>
      </w:pPr>
      <w:r>
        <w:t>The</w:t>
      </w:r>
      <w:r w:rsidRPr="009E5BF0">
        <w:t xml:space="preserve"> miscellaneous fees which have now been re-classified as ancillary network services</w:t>
      </w:r>
      <w:r>
        <w:t xml:space="preserve"> include:</w:t>
      </w:r>
    </w:p>
    <w:p w:rsidR="00D311E7" w:rsidRDefault="00D311E7" w:rsidP="00D311E7">
      <w:pPr>
        <w:pStyle w:val="AERbulletlistsecondstyle"/>
      </w:pPr>
      <w:r>
        <w:t>Special meter read</w:t>
      </w:r>
    </w:p>
    <w:p w:rsidR="00D311E7" w:rsidRDefault="00D311E7" w:rsidP="00D311E7">
      <w:pPr>
        <w:pStyle w:val="AERbulletlistsecondstyle"/>
      </w:pPr>
      <w:r>
        <w:t>Special meter read for transfer</w:t>
      </w:r>
    </w:p>
    <w:p w:rsidR="00D311E7" w:rsidRDefault="00D311E7" w:rsidP="00D311E7">
      <w:pPr>
        <w:pStyle w:val="AERbulletlistsecondstyle"/>
      </w:pPr>
      <w:r>
        <w:t>Meter test</w:t>
      </w:r>
    </w:p>
    <w:p w:rsidR="00D311E7" w:rsidRDefault="00D311E7" w:rsidP="00D311E7">
      <w:pPr>
        <w:pStyle w:val="AERbulletlistsecondstyle"/>
      </w:pPr>
      <w:r>
        <w:t>Supp</w:t>
      </w:r>
      <w:r w:rsidR="00C01A43">
        <w:t>l</w:t>
      </w:r>
      <w:r>
        <w:t xml:space="preserve">y of </w:t>
      </w:r>
      <w:proofErr w:type="spellStart"/>
      <w:r>
        <w:t>conveyancing</w:t>
      </w:r>
      <w:proofErr w:type="spellEnd"/>
      <w:r>
        <w:t xml:space="preserve"> </w:t>
      </w:r>
      <w:r w:rsidR="00C01A43">
        <w:t>information</w:t>
      </w:r>
      <w:r>
        <w:t xml:space="preserve"> - desk inquiry</w:t>
      </w:r>
    </w:p>
    <w:p w:rsidR="00D311E7" w:rsidRDefault="00D311E7" w:rsidP="00D311E7">
      <w:pPr>
        <w:pStyle w:val="AERbulletlistsecondstyle"/>
      </w:pPr>
      <w:r>
        <w:t xml:space="preserve">Supply of </w:t>
      </w:r>
      <w:proofErr w:type="spellStart"/>
      <w:r>
        <w:t>conveyancing</w:t>
      </w:r>
      <w:proofErr w:type="spellEnd"/>
      <w:r>
        <w:t xml:space="preserve"> information - field test</w:t>
      </w:r>
    </w:p>
    <w:p w:rsidR="00D311E7" w:rsidRDefault="00D311E7" w:rsidP="00D311E7">
      <w:pPr>
        <w:pStyle w:val="AERbulletlistsecondstyle"/>
      </w:pPr>
      <w:r>
        <w:t>Off-peak conversion</w:t>
      </w:r>
    </w:p>
    <w:p w:rsidR="00D311E7" w:rsidRDefault="00D311E7" w:rsidP="00D311E7">
      <w:pPr>
        <w:pStyle w:val="AERbulletlistsecondstyle"/>
      </w:pPr>
      <w:r>
        <w:t>Disconnection visit</w:t>
      </w:r>
    </w:p>
    <w:p w:rsidR="00D311E7" w:rsidRDefault="00D311E7" w:rsidP="00D311E7">
      <w:pPr>
        <w:pStyle w:val="AERbulletlistsecondstyle"/>
      </w:pPr>
      <w:r>
        <w:t>Disconnection at meter box</w:t>
      </w:r>
    </w:p>
    <w:p w:rsidR="00D311E7" w:rsidRDefault="00D311E7" w:rsidP="00D311E7">
      <w:pPr>
        <w:pStyle w:val="AERbulletlistsecondstyle"/>
      </w:pPr>
      <w:r>
        <w:t>Disconnection at pole top / pillar box</w:t>
      </w:r>
    </w:p>
    <w:p w:rsidR="00D311E7" w:rsidRDefault="00D311E7" w:rsidP="00D311E7">
      <w:pPr>
        <w:pStyle w:val="AERbulletlistsecondstyle"/>
      </w:pPr>
      <w:r>
        <w:t>Ratification of illegal connection</w:t>
      </w:r>
    </w:p>
    <w:p w:rsidR="00D311E7" w:rsidRPr="009E5BF0" w:rsidRDefault="00D311E7" w:rsidP="00D311E7">
      <w:pPr>
        <w:pStyle w:val="AERbulletlistsecondstyle"/>
      </w:pPr>
      <w:r>
        <w:t>Re-connection outsider normal business hours</w:t>
      </w:r>
      <w:r w:rsidR="008E0136">
        <w:t>.</w:t>
      </w:r>
    </w:p>
    <w:p w:rsidR="00D311E7" w:rsidRDefault="00D311E7" w:rsidP="00D311E7">
      <w:r>
        <w:t>The monopoly services which have now been re-classified as ancillary networks services are:</w:t>
      </w:r>
    </w:p>
    <w:p w:rsidR="00D311E7" w:rsidRDefault="00D311E7" w:rsidP="00D311E7">
      <w:pPr>
        <w:pStyle w:val="AERbulletlistsecondstyle"/>
      </w:pPr>
      <w:r>
        <w:t>Administration fee</w:t>
      </w:r>
    </w:p>
    <w:p w:rsidR="00D311E7" w:rsidRDefault="00D311E7" w:rsidP="00D311E7">
      <w:pPr>
        <w:pStyle w:val="AERbulletlistsecondstyle"/>
      </w:pPr>
      <w:r>
        <w:t>Design information fee</w:t>
      </w:r>
    </w:p>
    <w:p w:rsidR="00D311E7" w:rsidRDefault="00D311E7" w:rsidP="00D311E7">
      <w:pPr>
        <w:pStyle w:val="AERbulletlistsecondstyle"/>
      </w:pPr>
      <w:r>
        <w:t>Design certification fee</w:t>
      </w:r>
    </w:p>
    <w:p w:rsidR="00D311E7" w:rsidRDefault="00D311E7" w:rsidP="00D311E7">
      <w:pPr>
        <w:pStyle w:val="AERbulletlistsecondstyle"/>
      </w:pPr>
      <w:r>
        <w:t>Design re-certification fee</w:t>
      </w:r>
    </w:p>
    <w:p w:rsidR="00D311E7" w:rsidRDefault="00D311E7" w:rsidP="00D311E7">
      <w:pPr>
        <w:pStyle w:val="AERbulletlistsecondstyle"/>
      </w:pPr>
      <w:r>
        <w:t>Notification of arrangement</w:t>
      </w:r>
    </w:p>
    <w:p w:rsidR="00D311E7" w:rsidRDefault="00D311E7" w:rsidP="00D311E7">
      <w:pPr>
        <w:pStyle w:val="AERbulletlistsecondstyle"/>
      </w:pPr>
      <w:r>
        <w:t>Compliance Certificate</w:t>
      </w:r>
    </w:p>
    <w:p w:rsidR="00D311E7" w:rsidRDefault="00D311E7" w:rsidP="00D311E7">
      <w:pPr>
        <w:pStyle w:val="AERbulletlistsecondstyle"/>
      </w:pPr>
      <w:r>
        <w:t>Inspection fee</w:t>
      </w:r>
    </w:p>
    <w:p w:rsidR="00D311E7" w:rsidRDefault="00D311E7" w:rsidP="00D311E7">
      <w:pPr>
        <w:pStyle w:val="AERbulletlistsecondstyle"/>
      </w:pPr>
      <w:r>
        <w:t>Inspection fee (outside normal business hours)</w:t>
      </w:r>
    </w:p>
    <w:p w:rsidR="00D311E7" w:rsidRDefault="00D311E7" w:rsidP="00D311E7">
      <w:pPr>
        <w:pStyle w:val="AERbulletlistsecondstyle"/>
      </w:pPr>
      <w:r>
        <w:t>Re-inspection fee (level 1 and level 2 work)</w:t>
      </w:r>
    </w:p>
    <w:p w:rsidR="00D311E7" w:rsidRDefault="00D311E7" w:rsidP="00D311E7">
      <w:pPr>
        <w:pStyle w:val="AERbulletlistsecondstyle"/>
      </w:pPr>
      <w:r>
        <w:t>Inspection of service work (level 2 work)</w:t>
      </w:r>
    </w:p>
    <w:p w:rsidR="00D311E7" w:rsidRDefault="00D311E7" w:rsidP="00D311E7">
      <w:pPr>
        <w:pStyle w:val="AERbulletlistsecondstyle"/>
      </w:pPr>
      <w:r>
        <w:t>Provision of access fee</w:t>
      </w:r>
    </w:p>
    <w:p w:rsidR="00D311E7" w:rsidRDefault="00D311E7" w:rsidP="00D311E7">
      <w:pPr>
        <w:pStyle w:val="AERbulletlistsecondstyle"/>
      </w:pPr>
      <w:r>
        <w:t>Access permits</w:t>
      </w:r>
    </w:p>
    <w:p w:rsidR="00D311E7" w:rsidRDefault="00D311E7" w:rsidP="00D311E7">
      <w:pPr>
        <w:pStyle w:val="AERbulletlistsecondstyle"/>
      </w:pPr>
      <w:r>
        <w:t>Substation commission fee</w:t>
      </w:r>
    </w:p>
    <w:p w:rsidR="00D311E7" w:rsidRDefault="00D311E7" w:rsidP="00D311E7">
      <w:pPr>
        <w:pStyle w:val="AERbulletlistsecondstyle"/>
      </w:pPr>
      <w:r>
        <w:t>Authorisations renewal</w:t>
      </w:r>
    </w:p>
    <w:p w:rsidR="00D311E7" w:rsidRPr="00D200AB" w:rsidRDefault="00D311E7" w:rsidP="00D311E7">
      <w:pPr>
        <w:pStyle w:val="AERbulletlistsecondstyle"/>
      </w:pPr>
      <w:r>
        <w:t>Site establishment fee.</w:t>
      </w:r>
    </w:p>
    <w:p w:rsidR="00D311E7" w:rsidRPr="00FD5EB6" w:rsidRDefault="00D311E7" w:rsidP="00D311E7">
      <w:pPr>
        <w:pStyle w:val="AERbodytext"/>
        <w:rPr>
          <w:rStyle w:val="AERbody"/>
        </w:rPr>
      </w:pPr>
      <w:r>
        <w:t>The c</w:t>
      </w:r>
      <w:r w:rsidRPr="00D200AB">
        <w:t xml:space="preserve">urrent fees </w:t>
      </w:r>
      <w:r>
        <w:t>for monopoly services were</w:t>
      </w:r>
      <w:r w:rsidRPr="00D200AB">
        <w:t xml:space="preserve"> calculated by multiplying the time taken to provide the service by the hourly labour rate.</w:t>
      </w:r>
      <w:r>
        <w:t xml:space="preserve"> </w:t>
      </w:r>
      <w:r w:rsidRPr="00FD5EB6">
        <w:rPr>
          <w:rStyle w:val="AERbody"/>
        </w:rPr>
        <w:t>For the avoidance of doubt, this draft decision considers ancillary network services (current miscellaneous and monopoly services) for which a fee is calculated to be fee based services. That is a fee has been determined based on the cost of providing the service (labour rates) and the average time taken to perform the service. For these services the fee is fixed and applies irrespective of the actual time taken on site to perform it varies from the benchmark set in this decision.</w:t>
      </w:r>
    </w:p>
    <w:p w:rsidR="00D311E7" w:rsidRPr="00FD5EB6" w:rsidRDefault="00D311E7" w:rsidP="00D311E7">
      <w:pPr>
        <w:pStyle w:val="AERbodytext"/>
        <w:rPr>
          <w:rStyle w:val="AERbody"/>
        </w:rPr>
      </w:pPr>
      <w:r w:rsidRPr="00FD5EB6">
        <w:rPr>
          <w:rStyle w:val="AERbody"/>
        </w:rPr>
        <w:t>By contrast, quoted services are those which are once off and specific to a particular customer's request. The cost of this service will depend on the actual (rather than benchmark draft decision) time taken to perform the service.</w:t>
      </w:r>
    </w:p>
    <w:p w:rsidR="00D311E7" w:rsidRDefault="00D311E7" w:rsidP="00D311E7">
      <w:pPr>
        <w:pStyle w:val="Heading3"/>
      </w:pPr>
      <w:bookmarkStart w:id="21" w:name="_Toc404324954"/>
      <w:r>
        <w:t>Draft Decision</w:t>
      </w:r>
      <w:bookmarkEnd w:id="21"/>
    </w:p>
    <w:p w:rsidR="00D311E7" w:rsidRPr="0030416D" w:rsidRDefault="00D311E7" w:rsidP="00D311E7">
      <w:pPr>
        <w:pStyle w:val="AERbodytext"/>
        <w:rPr>
          <w:rStyle w:val="AERtextbold"/>
        </w:rPr>
      </w:pPr>
      <w:r w:rsidRPr="0030416D">
        <w:rPr>
          <w:rStyle w:val="AERtextbold"/>
        </w:rPr>
        <w:t>Fee based services</w:t>
      </w:r>
    </w:p>
    <w:p w:rsidR="00D311E7" w:rsidRDefault="00D311E7" w:rsidP="00D311E7">
      <w:pPr>
        <w:pStyle w:val="AERbodytext"/>
        <w:rPr>
          <w:rStyle w:val="AERtexthighlight"/>
        </w:rPr>
      </w:pPr>
      <w:r>
        <w:t xml:space="preserve">Our draft decision is to not approve Endeavour Energy's proposed fees for ancillary network services. We consider the proposed fees are higher than fees based on maximum benchmark labour rates and overhead which we consider more appropriately reflect efficient costs. </w:t>
      </w:r>
    </w:p>
    <w:p w:rsidR="00D311E7" w:rsidRDefault="003E262F" w:rsidP="00D311E7">
      <w:pPr>
        <w:pStyle w:val="AERbodytext"/>
      </w:pPr>
      <w:r>
        <w:rPr>
          <w:rStyle w:val="AERbody"/>
        </w:rPr>
        <w:fldChar w:fldCharType="begin"/>
      </w:r>
      <w:r>
        <w:rPr>
          <w:rStyle w:val="AERbody"/>
        </w:rPr>
        <w:instrText xml:space="preserve"> REF _Ref404279528 \h </w:instrText>
      </w:r>
      <w:r>
        <w:rPr>
          <w:rStyle w:val="AERbody"/>
        </w:rPr>
      </w:r>
      <w:r>
        <w:rPr>
          <w:rStyle w:val="AERbody"/>
        </w:rPr>
        <w:fldChar w:fldCharType="separate"/>
      </w:r>
      <w:r>
        <w:t xml:space="preserve">Table </w:t>
      </w:r>
      <w:r>
        <w:rPr>
          <w:noProof/>
        </w:rPr>
        <w:t>16</w:t>
      </w:r>
      <w:r>
        <w:noBreakHyphen/>
      </w:r>
      <w:r>
        <w:rPr>
          <w:noProof/>
        </w:rPr>
        <w:t>1</w:t>
      </w:r>
      <w:r>
        <w:rPr>
          <w:rStyle w:val="AERbody"/>
        </w:rPr>
        <w:fldChar w:fldCharType="end"/>
      </w:r>
      <w:r w:rsidR="00D311E7">
        <w:rPr>
          <w:rStyle w:val="AERbody"/>
        </w:rPr>
        <w:t xml:space="preserve"> below sets out our draft decision for maximum prices for the most frequently requested fee based ancillary network services.</w:t>
      </w:r>
      <w:r w:rsidR="00072E4E">
        <w:rPr>
          <w:rStyle w:val="AERbody"/>
        </w:rPr>
        <w:t xml:space="preserve"> Appendix </w:t>
      </w:r>
      <w:r w:rsidR="00F92C29">
        <w:rPr>
          <w:rStyle w:val="AERbody"/>
        </w:rPr>
        <w:fldChar w:fldCharType="begin"/>
      </w:r>
      <w:r w:rsidR="00F92C29">
        <w:rPr>
          <w:rStyle w:val="AERbody"/>
        </w:rPr>
        <w:instrText xml:space="preserve"> REF _Ref403663103 \n \h </w:instrText>
      </w:r>
      <w:r w:rsidR="00F92C29">
        <w:rPr>
          <w:rStyle w:val="AERbody"/>
        </w:rPr>
      </w:r>
      <w:r w:rsidR="00F92C29">
        <w:rPr>
          <w:rStyle w:val="AERbody"/>
        </w:rPr>
        <w:fldChar w:fldCharType="separate"/>
      </w:r>
      <w:r w:rsidR="000A6EFE">
        <w:rPr>
          <w:rStyle w:val="AERbody"/>
        </w:rPr>
        <w:t>A.1</w:t>
      </w:r>
      <w:r w:rsidR="00F92C29">
        <w:rPr>
          <w:rStyle w:val="AERbody"/>
        </w:rPr>
        <w:fldChar w:fldCharType="end"/>
      </w:r>
      <w:r w:rsidR="00F92C29">
        <w:rPr>
          <w:rStyle w:val="AERbody"/>
        </w:rPr>
        <w:t xml:space="preserve"> </w:t>
      </w:r>
      <w:r w:rsidR="00D311E7">
        <w:rPr>
          <w:rStyle w:val="AERbody"/>
        </w:rPr>
        <w:t xml:space="preserve">sets a full list of our decision on maximum prices for ancillary network services. </w:t>
      </w:r>
    </w:p>
    <w:p w:rsidR="00D311E7" w:rsidRPr="00275D4C" w:rsidRDefault="003E262F" w:rsidP="003E262F">
      <w:pPr>
        <w:pStyle w:val="Caption"/>
      </w:pPr>
      <w:bookmarkStart w:id="22" w:name="_Ref404279528"/>
      <w:r>
        <w:t xml:space="preserve">Table </w:t>
      </w:r>
      <w:r w:rsidR="004667DE">
        <w:fldChar w:fldCharType="begin"/>
      </w:r>
      <w:r w:rsidR="004667DE">
        <w:instrText xml:space="preserve"> STYLEREF 1 \s </w:instrText>
      </w:r>
      <w:r w:rsidR="004667DE">
        <w:fldChar w:fldCharType="separate"/>
      </w:r>
      <w:r>
        <w:rPr>
          <w:noProof/>
        </w:rPr>
        <w:t>16</w:t>
      </w:r>
      <w:r w:rsidR="004667DE">
        <w:rPr>
          <w:noProof/>
        </w:rPr>
        <w:fldChar w:fldCharType="end"/>
      </w:r>
      <w:r>
        <w:noBreakHyphen/>
      </w:r>
      <w:r w:rsidR="004667DE">
        <w:fldChar w:fldCharType="begin"/>
      </w:r>
      <w:r w:rsidR="004667DE">
        <w:instrText xml:space="preserve"> SEQ Table \* ARABIC \s 1 </w:instrText>
      </w:r>
      <w:r w:rsidR="004667DE">
        <w:fldChar w:fldCharType="separate"/>
      </w:r>
      <w:r>
        <w:rPr>
          <w:noProof/>
        </w:rPr>
        <w:t>1</w:t>
      </w:r>
      <w:r w:rsidR="004667DE">
        <w:rPr>
          <w:noProof/>
        </w:rPr>
        <w:fldChar w:fldCharType="end"/>
      </w:r>
      <w:bookmarkEnd w:id="22"/>
      <w:r>
        <w:tab/>
      </w:r>
      <w:r w:rsidR="00D311E7" w:rsidRPr="00275D4C">
        <w:t xml:space="preserve">Endeavour Energy proposed fees and </w:t>
      </w:r>
      <w:r w:rsidR="00547BD8">
        <w:t>AER draft decision fees</w:t>
      </w:r>
      <w:r w:rsidR="00EA2813">
        <w:t xml:space="preserve"> ($2014–15)</w:t>
      </w:r>
    </w:p>
    <w:tbl>
      <w:tblPr>
        <w:tblStyle w:val="AERtable-numbers"/>
        <w:tblW w:w="5000" w:type="pct"/>
        <w:tblLook w:val="04A0" w:firstRow="1" w:lastRow="0" w:firstColumn="1" w:lastColumn="0" w:noHBand="0" w:noVBand="1"/>
      </w:tblPr>
      <w:tblGrid>
        <w:gridCol w:w="2162"/>
        <w:gridCol w:w="1148"/>
        <w:gridCol w:w="1425"/>
        <w:gridCol w:w="1421"/>
        <w:gridCol w:w="1312"/>
        <w:gridCol w:w="1774"/>
      </w:tblGrid>
      <w:tr w:rsidR="003B7D3B" w:rsidRPr="003B7D3B" w:rsidTr="003B7D3B">
        <w:trPr>
          <w:cnfStyle w:val="100000000000" w:firstRow="1" w:lastRow="0" w:firstColumn="0" w:lastColumn="0" w:oddVBand="0" w:evenVBand="0" w:oddHBand="0" w:evenHBand="0" w:firstRowFirstColumn="0" w:firstRowLastColumn="0" w:lastRowFirstColumn="0" w:lastRowLastColumn="0"/>
          <w:trHeight w:val="1200"/>
        </w:trPr>
        <w:tc>
          <w:tcPr>
            <w:cnfStyle w:val="001000000000" w:firstRow="0" w:lastRow="0" w:firstColumn="1" w:lastColumn="0" w:oddVBand="0" w:evenVBand="0" w:oddHBand="0" w:evenHBand="0" w:firstRowFirstColumn="0" w:firstRowLastColumn="0" w:lastRowFirstColumn="0" w:lastRowLastColumn="0"/>
            <w:tcW w:w="1169" w:type="pct"/>
            <w:hideMark/>
          </w:tcPr>
          <w:p w:rsidR="003B7D3B" w:rsidRPr="003B7D3B" w:rsidRDefault="003B7D3B" w:rsidP="003B7D3B">
            <w:pPr>
              <w:pStyle w:val="AERtabletextleft"/>
            </w:pPr>
            <w:r w:rsidRPr="003B7D3B">
              <w:t>Current miscellaneous service</w:t>
            </w:r>
          </w:p>
        </w:tc>
        <w:tc>
          <w:tcPr>
            <w:tcW w:w="621" w:type="pct"/>
            <w:hideMark/>
          </w:tcPr>
          <w:p w:rsidR="003B7D3B" w:rsidRPr="003B7D3B" w:rsidRDefault="003B7D3B" w:rsidP="003B7D3B">
            <w:pPr>
              <w:pStyle w:val="AERtabletextright"/>
              <w:cnfStyle w:val="100000000000" w:firstRow="1" w:lastRow="0" w:firstColumn="0" w:lastColumn="0" w:oddVBand="0" w:evenVBand="0" w:oddHBand="0" w:evenHBand="0" w:firstRowFirstColumn="0" w:firstRowLastColumn="0" w:lastRowFirstColumn="0" w:lastRowLastColumn="0"/>
            </w:pPr>
            <w:r w:rsidRPr="003B7D3B">
              <w:t xml:space="preserve">Current fees (2014–15) </w:t>
            </w:r>
          </w:p>
        </w:tc>
        <w:tc>
          <w:tcPr>
            <w:tcW w:w="771" w:type="pct"/>
            <w:hideMark/>
          </w:tcPr>
          <w:p w:rsidR="003B7D3B" w:rsidRPr="003B7D3B" w:rsidRDefault="003B7D3B" w:rsidP="003B7D3B">
            <w:pPr>
              <w:pStyle w:val="AERtabletextright"/>
              <w:cnfStyle w:val="100000000000" w:firstRow="1" w:lastRow="0" w:firstColumn="0" w:lastColumn="0" w:oddVBand="0" w:evenVBand="0" w:oddHBand="0" w:evenHBand="0" w:firstRowFirstColumn="0" w:firstRowLastColumn="0" w:lastRowFirstColumn="0" w:lastRowLastColumn="0"/>
            </w:pPr>
            <w:r w:rsidRPr="003B7D3B">
              <w:t>Endeavour proposed</w:t>
            </w:r>
          </w:p>
        </w:tc>
        <w:tc>
          <w:tcPr>
            <w:tcW w:w="769" w:type="pct"/>
            <w:hideMark/>
          </w:tcPr>
          <w:p w:rsidR="003B7D3B" w:rsidRPr="003B7D3B" w:rsidRDefault="003B7D3B" w:rsidP="003B7D3B">
            <w:pPr>
              <w:pStyle w:val="AERtabletextright"/>
              <w:cnfStyle w:val="100000000000" w:firstRow="1" w:lastRow="0" w:firstColumn="0" w:lastColumn="0" w:oddVBand="0" w:evenVBand="0" w:oddHBand="0" w:evenHBand="0" w:firstRowFirstColumn="0" w:firstRowLastColumn="0" w:lastRowFirstColumn="0" w:lastRowLastColumn="0"/>
            </w:pPr>
            <w:r w:rsidRPr="003B7D3B">
              <w:t xml:space="preserve">(proposed </w:t>
            </w:r>
            <w:proofErr w:type="spellStart"/>
            <w:r w:rsidRPr="003B7D3B">
              <w:t>cf</w:t>
            </w:r>
            <w:proofErr w:type="spellEnd"/>
            <w:r w:rsidRPr="003B7D3B">
              <w:t xml:space="preserve"> current, per cent)</w:t>
            </w:r>
          </w:p>
        </w:tc>
        <w:tc>
          <w:tcPr>
            <w:tcW w:w="710" w:type="pct"/>
            <w:hideMark/>
          </w:tcPr>
          <w:p w:rsidR="003B7D3B" w:rsidRPr="003B7D3B" w:rsidRDefault="003B7D3B" w:rsidP="003B7D3B">
            <w:pPr>
              <w:pStyle w:val="AERtabletextright"/>
              <w:cnfStyle w:val="100000000000" w:firstRow="1" w:lastRow="0" w:firstColumn="0" w:lastColumn="0" w:oddVBand="0" w:evenVBand="0" w:oddHBand="0" w:evenHBand="0" w:firstRowFirstColumn="0" w:firstRowLastColumn="0" w:lastRowFirstColumn="0" w:lastRowLastColumn="0"/>
            </w:pPr>
            <w:r w:rsidRPr="003B7D3B">
              <w:t>AER draft decision</w:t>
            </w:r>
          </w:p>
        </w:tc>
        <w:tc>
          <w:tcPr>
            <w:tcW w:w="961" w:type="pct"/>
            <w:hideMark/>
          </w:tcPr>
          <w:p w:rsidR="003B7D3B" w:rsidRPr="003B7D3B" w:rsidRDefault="003B7D3B" w:rsidP="003B7D3B">
            <w:pPr>
              <w:pStyle w:val="AERtabletextright"/>
              <w:cnfStyle w:val="100000000000" w:firstRow="1" w:lastRow="0" w:firstColumn="0" w:lastColumn="0" w:oddVBand="0" w:evenVBand="0" w:oddHBand="0" w:evenHBand="0" w:firstRowFirstColumn="0" w:firstRowLastColumn="0" w:lastRowFirstColumn="0" w:lastRowLastColumn="0"/>
            </w:pPr>
            <w:r w:rsidRPr="003B7D3B">
              <w:t xml:space="preserve"> (draft </w:t>
            </w:r>
            <w:proofErr w:type="spellStart"/>
            <w:r w:rsidRPr="003B7D3B">
              <w:t>cf</w:t>
            </w:r>
            <w:proofErr w:type="spellEnd"/>
            <w:r w:rsidRPr="003B7D3B">
              <w:t xml:space="preserve"> proposed, per cent)</w:t>
            </w:r>
          </w:p>
        </w:tc>
      </w:tr>
      <w:tr w:rsidR="003B7D3B" w:rsidRPr="003B7D3B" w:rsidTr="003B7D3B">
        <w:trPr>
          <w:trHeight w:val="600"/>
        </w:trPr>
        <w:tc>
          <w:tcPr>
            <w:cnfStyle w:val="001000000000" w:firstRow="0" w:lastRow="0" w:firstColumn="1" w:lastColumn="0" w:oddVBand="0" w:evenVBand="0" w:oddHBand="0" w:evenHBand="0" w:firstRowFirstColumn="0" w:firstRowLastColumn="0" w:lastRowFirstColumn="0" w:lastRowLastColumn="0"/>
            <w:tcW w:w="1169" w:type="pct"/>
            <w:hideMark/>
          </w:tcPr>
          <w:p w:rsidR="003B7D3B" w:rsidRPr="003B7D3B" w:rsidRDefault="003B7D3B" w:rsidP="003B7D3B">
            <w:pPr>
              <w:pStyle w:val="AERtabletextleft"/>
            </w:pPr>
            <w:r w:rsidRPr="003B7D3B">
              <w:t>Special meter read</w:t>
            </w:r>
          </w:p>
        </w:tc>
        <w:tc>
          <w:tcPr>
            <w:tcW w:w="621" w:type="pct"/>
            <w:hideMark/>
          </w:tcPr>
          <w:p w:rsidR="003B7D3B" w:rsidRPr="003B7D3B" w:rsidRDefault="003B7D3B" w:rsidP="003B7D3B">
            <w:pPr>
              <w:pStyle w:val="AERtabletextright"/>
              <w:cnfStyle w:val="000000000000" w:firstRow="0" w:lastRow="0" w:firstColumn="0" w:lastColumn="0" w:oddVBand="0" w:evenVBand="0" w:oddHBand="0" w:evenHBand="0" w:firstRowFirstColumn="0" w:firstRowLastColumn="0" w:lastRowFirstColumn="0" w:lastRowLastColumn="0"/>
            </w:pPr>
            <w:r w:rsidRPr="003B7D3B">
              <w:t>45.1</w:t>
            </w:r>
          </w:p>
        </w:tc>
        <w:tc>
          <w:tcPr>
            <w:tcW w:w="771" w:type="pct"/>
            <w:hideMark/>
          </w:tcPr>
          <w:p w:rsidR="003B7D3B" w:rsidRPr="003B7D3B" w:rsidRDefault="003B7D3B" w:rsidP="003B7D3B">
            <w:pPr>
              <w:pStyle w:val="AERtabletextright"/>
              <w:cnfStyle w:val="000000000000" w:firstRow="0" w:lastRow="0" w:firstColumn="0" w:lastColumn="0" w:oddVBand="0" w:evenVBand="0" w:oddHBand="0" w:evenHBand="0" w:firstRowFirstColumn="0" w:firstRowLastColumn="0" w:lastRowFirstColumn="0" w:lastRowLastColumn="0"/>
            </w:pPr>
            <w:r w:rsidRPr="003B7D3B">
              <w:t>33.77</w:t>
            </w:r>
          </w:p>
        </w:tc>
        <w:tc>
          <w:tcPr>
            <w:tcW w:w="769" w:type="pct"/>
            <w:hideMark/>
          </w:tcPr>
          <w:p w:rsidR="003B7D3B" w:rsidRPr="003B7D3B" w:rsidRDefault="003B7D3B" w:rsidP="003B7D3B">
            <w:pPr>
              <w:pStyle w:val="AERtabletextright"/>
              <w:cnfStyle w:val="000000000000" w:firstRow="0" w:lastRow="0" w:firstColumn="0" w:lastColumn="0" w:oddVBand="0" w:evenVBand="0" w:oddHBand="0" w:evenHBand="0" w:firstRowFirstColumn="0" w:firstRowLastColumn="0" w:lastRowFirstColumn="0" w:lastRowLastColumn="0"/>
            </w:pPr>
            <w:r w:rsidRPr="003B7D3B">
              <w:t>-25.1</w:t>
            </w:r>
          </w:p>
        </w:tc>
        <w:tc>
          <w:tcPr>
            <w:tcW w:w="710" w:type="pct"/>
            <w:hideMark/>
          </w:tcPr>
          <w:p w:rsidR="003B7D3B" w:rsidRPr="003B7D3B" w:rsidRDefault="003B7D3B" w:rsidP="003B7D3B">
            <w:pPr>
              <w:pStyle w:val="AERtabletextright"/>
              <w:cnfStyle w:val="000000000000" w:firstRow="0" w:lastRow="0" w:firstColumn="0" w:lastColumn="0" w:oddVBand="0" w:evenVBand="0" w:oddHBand="0" w:evenHBand="0" w:firstRowFirstColumn="0" w:firstRowLastColumn="0" w:lastRowFirstColumn="0" w:lastRowLastColumn="0"/>
            </w:pPr>
            <w:r w:rsidRPr="003B7D3B">
              <w:t>33.45</w:t>
            </w:r>
          </w:p>
        </w:tc>
        <w:tc>
          <w:tcPr>
            <w:tcW w:w="961" w:type="pct"/>
            <w:hideMark/>
          </w:tcPr>
          <w:p w:rsidR="003B7D3B" w:rsidRPr="003B7D3B" w:rsidRDefault="003B7D3B" w:rsidP="003B7D3B">
            <w:pPr>
              <w:pStyle w:val="AERtabletextright"/>
              <w:cnfStyle w:val="000000000000" w:firstRow="0" w:lastRow="0" w:firstColumn="0" w:lastColumn="0" w:oddVBand="0" w:evenVBand="0" w:oddHBand="0" w:evenHBand="0" w:firstRowFirstColumn="0" w:firstRowLastColumn="0" w:lastRowFirstColumn="0" w:lastRowLastColumn="0"/>
            </w:pPr>
            <w:r w:rsidRPr="003B7D3B">
              <w:t>-0.9</w:t>
            </w:r>
          </w:p>
        </w:tc>
      </w:tr>
      <w:tr w:rsidR="003B7D3B" w:rsidRPr="003B7D3B" w:rsidTr="003B7D3B">
        <w:trPr>
          <w:cnfStyle w:val="000000010000" w:firstRow="0" w:lastRow="0" w:firstColumn="0" w:lastColumn="0" w:oddVBand="0" w:evenVBand="0" w:oddHBand="0" w:evenHBand="1" w:firstRowFirstColumn="0" w:firstRowLastColumn="0" w:lastRowFirstColumn="0" w:lastRowLastColumn="0"/>
          <w:trHeight w:val="900"/>
        </w:trPr>
        <w:tc>
          <w:tcPr>
            <w:cnfStyle w:val="001000000000" w:firstRow="0" w:lastRow="0" w:firstColumn="1" w:lastColumn="0" w:oddVBand="0" w:evenVBand="0" w:oddHBand="0" w:evenHBand="0" w:firstRowFirstColumn="0" w:firstRowLastColumn="0" w:lastRowFirstColumn="0" w:lastRowLastColumn="0"/>
            <w:tcW w:w="1169" w:type="pct"/>
            <w:hideMark/>
          </w:tcPr>
          <w:p w:rsidR="003B7D3B" w:rsidRPr="003B7D3B" w:rsidRDefault="003B7D3B" w:rsidP="003B7D3B">
            <w:pPr>
              <w:pStyle w:val="AERtabletextleft"/>
            </w:pPr>
            <w:r w:rsidRPr="003B7D3B">
              <w:t>Special meter read for transfer</w:t>
            </w:r>
          </w:p>
        </w:tc>
        <w:tc>
          <w:tcPr>
            <w:tcW w:w="621" w:type="pct"/>
            <w:hideMark/>
          </w:tcPr>
          <w:p w:rsidR="003B7D3B" w:rsidRPr="003B7D3B" w:rsidRDefault="003B7D3B" w:rsidP="003B7D3B">
            <w:pPr>
              <w:pStyle w:val="AERtabletextright"/>
              <w:cnfStyle w:val="000000010000" w:firstRow="0" w:lastRow="0" w:firstColumn="0" w:lastColumn="0" w:oddVBand="0" w:evenVBand="0" w:oddHBand="0" w:evenHBand="1" w:firstRowFirstColumn="0" w:firstRowLastColumn="0" w:lastRowFirstColumn="0" w:lastRowLastColumn="0"/>
            </w:pPr>
            <w:r w:rsidRPr="003B7D3B">
              <w:t>45.1</w:t>
            </w:r>
          </w:p>
        </w:tc>
        <w:tc>
          <w:tcPr>
            <w:tcW w:w="771" w:type="pct"/>
            <w:hideMark/>
          </w:tcPr>
          <w:p w:rsidR="003B7D3B" w:rsidRPr="003B7D3B" w:rsidRDefault="003B7D3B" w:rsidP="003B7D3B">
            <w:pPr>
              <w:pStyle w:val="AERtabletextright"/>
              <w:cnfStyle w:val="000000010000" w:firstRow="0" w:lastRow="0" w:firstColumn="0" w:lastColumn="0" w:oddVBand="0" w:evenVBand="0" w:oddHBand="0" w:evenHBand="1" w:firstRowFirstColumn="0" w:firstRowLastColumn="0" w:lastRowFirstColumn="0" w:lastRowLastColumn="0"/>
            </w:pPr>
            <w:r w:rsidRPr="003B7D3B">
              <w:t>33.77</w:t>
            </w:r>
          </w:p>
        </w:tc>
        <w:tc>
          <w:tcPr>
            <w:tcW w:w="769" w:type="pct"/>
            <w:hideMark/>
          </w:tcPr>
          <w:p w:rsidR="003B7D3B" w:rsidRPr="003B7D3B" w:rsidRDefault="003B7D3B" w:rsidP="003B7D3B">
            <w:pPr>
              <w:pStyle w:val="AERtabletextright"/>
              <w:cnfStyle w:val="000000010000" w:firstRow="0" w:lastRow="0" w:firstColumn="0" w:lastColumn="0" w:oddVBand="0" w:evenVBand="0" w:oddHBand="0" w:evenHBand="1" w:firstRowFirstColumn="0" w:firstRowLastColumn="0" w:lastRowFirstColumn="0" w:lastRowLastColumn="0"/>
            </w:pPr>
            <w:r w:rsidRPr="003B7D3B">
              <w:t>-25.1</w:t>
            </w:r>
          </w:p>
        </w:tc>
        <w:tc>
          <w:tcPr>
            <w:tcW w:w="710" w:type="pct"/>
            <w:hideMark/>
          </w:tcPr>
          <w:p w:rsidR="003B7D3B" w:rsidRPr="003B7D3B" w:rsidRDefault="003B7D3B" w:rsidP="003B7D3B">
            <w:pPr>
              <w:pStyle w:val="AERtabletextright"/>
              <w:cnfStyle w:val="000000010000" w:firstRow="0" w:lastRow="0" w:firstColumn="0" w:lastColumn="0" w:oddVBand="0" w:evenVBand="0" w:oddHBand="0" w:evenHBand="1" w:firstRowFirstColumn="0" w:firstRowLastColumn="0" w:lastRowFirstColumn="0" w:lastRowLastColumn="0"/>
            </w:pPr>
            <w:r w:rsidRPr="003B7D3B">
              <w:t>33.45</w:t>
            </w:r>
          </w:p>
        </w:tc>
        <w:tc>
          <w:tcPr>
            <w:tcW w:w="961" w:type="pct"/>
            <w:hideMark/>
          </w:tcPr>
          <w:p w:rsidR="003B7D3B" w:rsidRPr="003B7D3B" w:rsidRDefault="003B7D3B" w:rsidP="003B7D3B">
            <w:pPr>
              <w:pStyle w:val="AERtabletextright"/>
              <w:cnfStyle w:val="000000010000" w:firstRow="0" w:lastRow="0" w:firstColumn="0" w:lastColumn="0" w:oddVBand="0" w:evenVBand="0" w:oddHBand="0" w:evenHBand="1" w:firstRowFirstColumn="0" w:firstRowLastColumn="0" w:lastRowFirstColumn="0" w:lastRowLastColumn="0"/>
            </w:pPr>
            <w:r w:rsidRPr="003B7D3B">
              <w:t>-0.9</w:t>
            </w:r>
          </w:p>
        </w:tc>
      </w:tr>
      <w:tr w:rsidR="003B7D3B" w:rsidRPr="003B7D3B" w:rsidTr="003B7D3B">
        <w:trPr>
          <w:trHeight w:val="300"/>
        </w:trPr>
        <w:tc>
          <w:tcPr>
            <w:cnfStyle w:val="001000000000" w:firstRow="0" w:lastRow="0" w:firstColumn="1" w:lastColumn="0" w:oddVBand="0" w:evenVBand="0" w:oddHBand="0" w:evenHBand="0" w:firstRowFirstColumn="0" w:firstRowLastColumn="0" w:lastRowFirstColumn="0" w:lastRowLastColumn="0"/>
            <w:tcW w:w="1169" w:type="pct"/>
            <w:hideMark/>
          </w:tcPr>
          <w:p w:rsidR="003B7D3B" w:rsidRPr="003B7D3B" w:rsidRDefault="003B7D3B" w:rsidP="003B7D3B">
            <w:pPr>
              <w:pStyle w:val="AERtabletextleft"/>
            </w:pPr>
            <w:r w:rsidRPr="003B7D3B">
              <w:t>Meter test</w:t>
            </w:r>
          </w:p>
        </w:tc>
        <w:tc>
          <w:tcPr>
            <w:tcW w:w="621" w:type="pct"/>
            <w:hideMark/>
          </w:tcPr>
          <w:p w:rsidR="003B7D3B" w:rsidRPr="003B7D3B" w:rsidRDefault="003B7D3B" w:rsidP="003B7D3B">
            <w:pPr>
              <w:pStyle w:val="AERtabletextright"/>
              <w:cnfStyle w:val="000000000000" w:firstRow="0" w:lastRow="0" w:firstColumn="0" w:lastColumn="0" w:oddVBand="0" w:evenVBand="0" w:oddHBand="0" w:evenHBand="0" w:firstRowFirstColumn="0" w:firstRowLastColumn="0" w:lastRowFirstColumn="0" w:lastRowLastColumn="0"/>
            </w:pPr>
            <w:r w:rsidRPr="003B7D3B">
              <w:t>74.83</w:t>
            </w:r>
          </w:p>
        </w:tc>
        <w:tc>
          <w:tcPr>
            <w:tcW w:w="771" w:type="pct"/>
            <w:hideMark/>
          </w:tcPr>
          <w:p w:rsidR="003B7D3B" w:rsidRPr="003B7D3B" w:rsidRDefault="003B7D3B" w:rsidP="003B7D3B">
            <w:pPr>
              <w:pStyle w:val="AERtabletextright"/>
              <w:cnfStyle w:val="000000000000" w:firstRow="0" w:lastRow="0" w:firstColumn="0" w:lastColumn="0" w:oddVBand="0" w:evenVBand="0" w:oddHBand="0" w:evenHBand="0" w:firstRowFirstColumn="0" w:firstRowLastColumn="0" w:lastRowFirstColumn="0" w:lastRowLastColumn="0"/>
            </w:pPr>
            <w:r w:rsidRPr="003B7D3B">
              <w:t>607.33</w:t>
            </w:r>
          </w:p>
        </w:tc>
        <w:tc>
          <w:tcPr>
            <w:tcW w:w="769" w:type="pct"/>
            <w:hideMark/>
          </w:tcPr>
          <w:p w:rsidR="003B7D3B" w:rsidRPr="003B7D3B" w:rsidRDefault="003B7D3B" w:rsidP="003B7D3B">
            <w:pPr>
              <w:pStyle w:val="AERtabletextright"/>
              <w:cnfStyle w:val="000000000000" w:firstRow="0" w:lastRow="0" w:firstColumn="0" w:lastColumn="0" w:oddVBand="0" w:evenVBand="0" w:oddHBand="0" w:evenHBand="0" w:firstRowFirstColumn="0" w:firstRowLastColumn="0" w:lastRowFirstColumn="0" w:lastRowLastColumn="0"/>
            </w:pPr>
            <w:r w:rsidRPr="003B7D3B">
              <w:t>711.6</w:t>
            </w:r>
          </w:p>
        </w:tc>
        <w:tc>
          <w:tcPr>
            <w:tcW w:w="710" w:type="pct"/>
            <w:hideMark/>
          </w:tcPr>
          <w:p w:rsidR="003B7D3B" w:rsidRPr="003B7D3B" w:rsidRDefault="003B7D3B" w:rsidP="003B7D3B">
            <w:pPr>
              <w:pStyle w:val="AERtabletextright"/>
              <w:cnfStyle w:val="000000000000" w:firstRow="0" w:lastRow="0" w:firstColumn="0" w:lastColumn="0" w:oddVBand="0" w:evenVBand="0" w:oddHBand="0" w:evenHBand="0" w:firstRowFirstColumn="0" w:firstRowLastColumn="0" w:lastRowFirstColumn="0" w:lastRowLastColumn="0"/>
            </w:pPr>
            <w:r w:rsidRPr="003B7D3B">
              <w:t>401.39</w:t>
            </w:r>
          </w:p>
        </w:tc>
        <w:tc>
          <w:tcPr>
            <w:tcW w:w="961" w:type="pct"/>
            <w:hideMark/>
          </w:tcPr>
          <w:p w:rsidR="003B7D3B" w:rsidRPr="003B7D3B" w:rsidRDefault="003B7D3B" w:rsidP="003B7D3B">
            <w:pPr>
              <w:pStyle w:val="AERtabletextright"/>
              <w:cnfStyle w:val="000000000000" w:firstRow="0" w:lastRow="0" w:firstColumn="0" w:lastColumn="0" w:oddVBand="0" w:evenVBand="0" w:oddHBand="0" w:evenHBand="0" w:firstRowFirstColumn="0" w:firstRowLastColumn="0" w:lastRowFirstColumn="0" w:lastRowLastColumn="0"/>
            </w:pPr>
            <w:r w:rsidRPr="003B7D3B">
              <w:t>-33.9</w:t>
            </w:r>
          </w:p>
        </w:tc>
      </w:tr>
      <w:tr w:rsidR="003B7D3B" w:rsidRPr="003B7D3B" w:rsidTr="003B7D3B">
        <w:trPr>
          <w:cnfStyle w:val="000000010000" w:firstRow="0" w:lastRow="0" w:firstColumn="0" w:lastColumn="0" w:oddVBand="0" w:evenVBand="0" w:oddHBand="0" w:evenHBand="1" w:firstRowFirstColumn="0" w:firstRowLastColumn="0" w:lastRowFirstColumn="0" w:lastRowLastColumn="0"/>
          <w:trHeight w:val="1200"/>
        </w:trPr>
        <w:tc>
          <w:tcPr>
            <w:cnfStyle w:val="001000000000" w:firstRow="0" w:lastRow="0" w:firstColumn="1" w:lastColumn="0" w:oddVBand="0" w:evenVBand="0" w:oddHBand="0" w:evenHBand="0" w:firstRowFirstColumn="0" w:firstRowLastColumn="0" w:lastRowFirstColumn="0" w:lastRowLastColumn="0"/>
            <w:tcW w:w="1169" w:type="pct"/>
            <w:hideMark/>
          </w:tcPr>
          <w:p w:rsidR="003B7D3B" w:rsidRPr="003B7D3B" w:rsidRDefault="003B7D3B" w:rsidP="003B7D3B">
            <w:pPr>
              <w:pStyle w:val="AERtabletextleft"/>
            </w:pPr>
            <w:r w:rsidRPr="003B7D3B">
              <w:t xml:space="preserve">Supply of </w:t>
            </w:r>
            <w:proofErr w:type="spellStart"/>
            <w:r w:rsidRPr="003B7D3B">
              <w:t>conveyancing</w:t>
            </w:r>
            <w:proofErr w:type="spellEnd"/>
            <w:r w:rsidRPr="003B7D3B">
              <w:t xml:space="preserve"> information – desk inquiry</w:t>
            </w:r>
          </w:p>
        </w:tc>
        <w:tc>
          <w:tcPr>
            <w:tcW w:w="621" w:type="pct"/>
            <w:hideMark/>
          </w:tcPr>
          <w:p w:rsidR="003B7D3B" w:rsidRPr="003B7D3B" w:rsidRDefault="003B7D3B" w:rsidP="003B7D3B">
            <w:pPr>
              <w:pStyle w:val="AERtabletextright"/>
              <w:cnfStyle w:val="000000010000" w:firstRow="0" w:lastRow="0" w:firstColumn="0" w:lastColumn="0" w:oddVBand="0" w:evenVBand="0" w:oddHBand="0" w:evenHBand="1" w:firstRowFirstColumn="0" w:firstRowLastColumn="0" w:lastRowFirstColumn="0" w:lastRowLastColumn="0"/>
            </w:pPr>
            <w:r w:rsidRPr="003B7D3B">
              <w:t>37.93</w:t>
            </w:r>
          </w:p>
        </w:tc>
        <w:tc>
          <w:tcPr>
            <w:tcW w:w="771" w:type="pct"/>
            <w:hideMark/>
          </w:tcPr>
          <w:p w:rsidR="003B7D3B" w:rsidRPr="003B7D3B" w:rsidRDefault="003B7D3B" w:rsidP="003B7D3B">
            <w:pPr>
              <w:pStyle w:val="AERtabletextright"/>
              <w:cnfStyle w:val="000000010000" w:firstRow="0" w:lastRow="0" w:firstColumn="0" w:lastColumn="0" w:oddVBand="0" w:evenVBand="0" w:oddHBand="0" w:evenHBand="1" w:firstRowFirstColumn="0" w:firstRowLastColumn="0" w:lastRowFirstColumn="0" w:lastRowLastColumn="0"/>
            </w:pPr>
            <w:r w:rsidRPr="003B7D3B">
              <w:t>76.25</w:t>
            </w:r>
          </w:p>
        </w:tc>
        <w:tc>
          <w:tcPr>
            <w:tcW w:w="769" w:type="pct"/>
            <w:hideMark/>
          </w:tcPr>
          <w:p w:rsidR="003B7D3B" w:rsidRPr="003B7D3B" w:rsidRDefault="003B7D3B" w:rsidP="003B7D3B">
            <w:pPr>
              <w:pStyle w:val="AERtabletextright"/>
              <w:cnfStyle w:val="000000010000" w:firstRow="0" w:lastRow="0" w:firstColumn="0" w:lastColumn="0" w:oddVBand="0" w:evenVBand="0" w:oddHBand="0" w:evenHBand="1" w:firstRowFirstColumn="0" w:firstRowLastColumn="0" w:lastRowFirstColumn="0" w:lastRowLastColumn="0"/>
            </w:pPr>
            <w:r w:rsidRPr="003B7D3B">
              <w:t>101.0</w:t>
            </w:r>
          </w:p>
        </w:tc>
        <w:tc>
          <w:tcPr>
            <w:tcW w:w="710" w:type="pct"/>
            <w:hideMark/>
          </w:tcPr>
          <w:p w:rsidR="003B7D3B" w:rsidRPr="003B7D3B" w:rsidRDefault="003B7D3B" w:rsidP="003B7D3B">
            <w:pPr>
              <w:pStyle w:val="AERtabletextright"/>
              <w:cnfStyle w:val="000000010000" w:firstRow="0" w:lastRow="0" w:firstColumn="0" w:lastColumn="0" w:oddVBand="0" w:evenVBand="0" w:oddHBand="0" w:evenHBand="1" w:firstRowFirstColumn="0" w:firstRowLastColumn="0" w:lastRowFirstColumn="0" w:lastRowLastColumn="0"/>
            </w:pPr>
            <w:r w:rsidRPr="003B7D3B">
              <w:t>59.27</w:t>
            </w:r>
          </w:p>
        </w:tc>
        <w:tc>
          <w:tcPr>
            <w:tcW w:w="961" w:type="pct"/>
            <w:hideMark/>
          </w:tcPr>
          <w:p w:rsidR="003B7D3B" w:rsidRPr="003B7D3B" w:rsidRDefault="003B7D3B" w:rsidP="003B7D3B">
            <w:pPr>
              <w:pStyle w:val="AERtabletextright"/>
              <w:cnfStyle w:val="000000010000" w:firstRow="0" w:lastRow="0" w:firstColumn="0" w:lastColumn="0" w:oddVBand="0" w:evenVBand="0" w:oddHBand="0" w:evenHBand="1" w:firstRowFirstColumn="0" w:firstRowLastColumn="0" w:lastRowFirstColumn="0" w:lastRowLastColumn="0"/>
            </w:pPr>
            <w:r w:rsidRPr="003B7D3B">
              <w:t>-22.3</w:t>
            </w:r>
          </w:p>
        </w:tc>
      </w:tr>
      <w:tr w:rsidR="003B7D3B" w:rsidRPr="003B7D3B" w:rsidTr="003B7D3B">
        <w:trPr>
          <w:trHeight w:val="1200"/>
        </w:trPr>
        <w:tc>
          <w:tcPr>
            <w:cnfStyle w:val="001000000000" w:firstRow="0" w:lastRow="0" w:firstColumn="1" w:lastColumn="0" w:oddVBand="0" w:evenVBand="0" w:oddHBand="0" w:evenHBand="0" w:firstRowFirstColumn="0" w:firstRowLastColumn="0" w:lastRowFirstColumn="0" w:lastRowLastColumn="0"/>
            <w:tcW w:w="1169" w:type="pct"/>
            <w:hideMark/>
          </w:tcPr>
          <w:p w:rsidR="003B7D3B" w:rsidRPr="003B7D3B" w:rsidRDefault="003B7D3B" w:rsidP="003B7D3B">
            <w:pPr>
              <w:pStyle w:val="AERtabletextleft"/>
            </w:pPr>
            <w:r w:rsidRPr="003B7D3B">
              <w:t xml:space="preserve">Supply of </w:t>
            </w:r>
            <w:proofErr w:type="spellStart"/>
            <w:r w:rsidRPr="003B7D3B">
              <w:t>conveyancing</w:t>
            </w:r>
            <w:proofErr w:type="spellEnd"/>
            <w:r w:rsidRPr="003B7D3B">
              <w:t xml:space="preserve"> information – field test</w:t>
            </w:r>
          </w:p>
        </w:tc>
        <w:tc>
          <w:tcPr>
            <w:tcW w:w="621" w:type="pct"/>
            <w:hideMark/>
          </w:tcPr>
          <w:p w:rsidR="003B7D3B" w:rsidRPr="003B7D3B" w:rsidRDefault="003B7D3B" w:rsidP="003B7D3B">
            <w:pPr>
              <w:pStyle w:val="AERtabletextright"/>
              <w:cnfStyle w:val="000000000000" w:firstRow="0" w:lastRow="0" w:firstColumn="0" w:lastColumn="0" w:oddVBand="0" w:evenVBand="0" w:oddHBand="0" w:evenHBand="0" w:firstRowFirstColumn="0" w:firstRowLastColumn="0" w:lastRowFirstColumn="0" w:lastRowLastColumn="0"/>
            </w:pPr>
            <w:r w:rsidRPr="003B7D3B">
              <w:t>74.83</w:t>
            </w:r>
          </w:p>
        </w:tc>
        <w:tc>
          <w:tcPr>
            <w:tcW w:w="771" w:type="pct"/>
            <w:hideMark/>
          </w:tcPr>
          <w:p w:rsidR="003B7D3B" w:rsidRPr="003B7D3B" w:rsidRDefault="003B7D3B" w:rsidP="003B7D3B">
            <w:pPr>
              <w:pStyle w:val="AERtabletextright"/>
              <w:cnfStyle w:val="000000000000" w:firstRow="0" w:lastRow="0" w:firstColumn="0" w:lastColumn="0" w:oddVBand="0" w:evenVBand="0" w:oddHBand="0" w:evenHBand="0" w:firstRowFirstColumn="0" w:firstRowLastColumn="0" w:lastRowFirstColumn="0" w:lastRowLastColumn="0"/>
            </w:pPr>
            <w:r w:rsidRPr="003B7D3B">
              <w:t>76.25</w:t>
            </w:r>
          </w:p>
        </w:tc>
        <w:tc>
          <w:tcPr>
            <w:tcW w:w="769" w:type="pct"/>
            <w:hideMark/>
          </w:tcPr>
          <w:p w:rsidR="003B7D3B" w:rsidRPr="003B7D3B" w:rsidRDefault="003B7D3B" w:rsidP="003B7D3B">
            <w:pPr>
              <w:pStyle w:val="AERtabletextright"/>
              <w:cnfStyle w:val="000000000000" w:firstRow="0" w:lastRow="0" w:firstColumn="0" w:lastColumn="0" w:oddVBand="0" w:evenVBand="0" w:oddHBand="0" w:evenHBand="0" w:firstRowFirstColumn="0" w:firstRowLastColumn="0" w:lastRowFirstColumn="0" w:lastRowLastColumn="0"/>
            </w:pPr>
            <w:r w:rsidRPr="003B7D3B">
              <w:t>1.9</w:t>
            </w:r>
          </w:p>
        </w:tc>
        <w:tc>
          <w:tcPr>
            <w:tcW w:w="710" w:type="pct"/>
            <w:hideMark/>
          </w:tcPr>
          <w:p w:rsidR="003B7D3B" w:rsidRPr="003B7D3B" w:rsidRDefault="003B7D3B" w:rsidP="003B7D3B">
            <w:pPr>
              <w:pStyle w:val="AERtabletextright"/>
              <w:cnfStyle w:val="000000000000" w:firstRow="0" w:lastRow="0" w:firstColumn="0" w:lastColumn="0" w:oddVBand="0" w:evenVBand="0" w:oddHBand="0" w:evenHBand="0" w:firstRowFirstColumn="0" w:firstRowLastColumn="0" w:lastRowFirstColumn="0" w:lastRowLastColumn="0"/>
            </w:pPr>
            <w:r w:rsidRPr="003B7D3B">
              <w:t>59.27</w:t>
            </w:r>
          </w:p>
        </w:tc>
        <w:tc>
          <w:tcPr>
            <w:tcW w:w="961" w:type="pct"/>
            <w:hideMark/>
          </w:tcPr>
          <w:p w:rsidR="003B7D3B" w:rsidRPr="003B7D3B" w:rsidRDefault="003B7D3B" w:rsidP="003B7D3B">
            <w:pPr>
              <w:pStyle w:val="AERtabletextright"/>
              <w:cnfStyle w:val="000000000000" w:firstRow="0" w:lastRow="0" w:firstColumn="0" w:lastColumn="0" w:oddVBand="0" w:evenVBand="0" w:oddHBand="0" w:evenHBand="0" w:firstRowFirstColumn="0" w:firstRowLastColumn="0" w:lastRowFirstColumn="0" w:lastRowLastColumn="0"/>
            </w:pPr>
            <w:r w:rsidRPr="003B7D3B">
              <w:t>-22.3</w:t>
            </w:r>
          </w:p>
        </w:tc>
      </w:tr>
      <w:tr w:rsidR="003B7D3B" w:rsidRPr="003B7D3B" w:rsidTr="003B7D3B">
        <w:trPr>
          <w:cnfStyle w:val="000000010000" w:firstRow="0" w:lastRow="0" w:firstColumn="0" w:lastColumn="0" w:oddVBand="0" w:evenVBand="0" w:oddHBand="0" w:evenHBand="1" w:firstRowFirstColumn="0" w:firstRowLastColumn="0" w:lastRowFirstColumn="0" w:lastRowLastColumn="0"/>
          <w:trHeight w:val="600"/>
        </w:trPr>
        <w:tc>
          <w:tcPr>
            <w:cnfStyle w:val="001000000000" w:firstRow="0" w:lastRow="0" w:firstColumn="1" w:lastColumn="0" w:oddVBand="0" w:evenVBand="0" w:oddHBand="0" w:evenHBand="0" w:firstRowFirstColumn="0" w:firstRowLastColumn="0" w:lastRowFirstColumn="0" w:lastRowLastColumn="0"/>
            <w:tcW w:w="1169" w:type="pct"/>
            <w:hideMark/>
          </w:tcPr>
          <w:p w:rsidR="003B7D3B" w:rsidRPr="003B7D3B" w:rsidRDefault="003B7D3B" w:rsidP="003B7D3B">
            <w:pPr>
              <w:pStyle w:val="AERtabletextleft"/>
            </w:pPr>
            <w:r w:rsidRPr="003B7D3B">
              <w:t>Off-peak conversion</w:t>
            </w:r>
          </w:p>
        </w:tc>
        <w:tc>
          <w:tcPr>
            <w:tcW w:w="621" w:type="pct"/>
            <w:hideMark/>
          </w:tcPr>
          <w:p w:rsidR="003B7D3B" w:rsidRPr="003B7D3B" w:rsidRDefault="003B7D3B" w:rsidP="003B7D3B">
            <w:pPr>
              <w:pStyle w:val="AERtabletextright"/>
              <w:cnfStyle w:val="000000010000" w:firstRow="0" w:lastRow="0" w:firstColumn="0" w:lastColumn="0" w:oddVBand="0" w:evenVBand="0" w:oddHBand="0" w:evenHBand="1" w:firstRowFirstColumn="0" w:firstRowLastColumn="0" w:lastRowFirstColumn="0" w:lastRowLastColumn="0"/>
            </w:pPr>
            <w:r w:rsidRPr="003B7D3B">
              <w:t>60.48</w:t>
            </w:r>
          </w:p>
        </w:tc>
        <w:tc>
          <w:tcPr>
            <w:tcW w:w="771" w:type="pct"/>
            <w:hideMark/>
          </w:tcPr>
          <w:p w:rsidR="003B7D3B" w:rsidRPr="003B7D3B" w:rsidRDefault="003B7D3B" w:rsidP="003B7D3B">
            <w:pPr>
              <w:pStyle w:val="AERtabletextright"/>
              <w:cnfStyle w:val="000000010000" w:firstRow="0" w:lastRow="0" w:firstColumn="0" w:lastColumn="0" w:oddVBand="0" w:evenVBand="0" w:oddHBand="0" w:evenHBand="1" w:firstRowFirstColumn="0" w:firstRowLastColumn="0" w:lastRowFirstColumn="0" w:lastRowLastColumn="0"/>
            </w:pPr>
            <w:r w:rsidRPr="003B7D3B">
              <w:t>115.04</w:t>
            </w:r>
          </w:p>
        </w:tc>
        <w:tc>
          <w:tcPr>
            <w:tcW w:w="769" w:type="pct"/>
            <w:hideMark/>
          </w:tcPr>
          <w:p w:rsidR="003B7D3B" w:rsidRPr="003B7D3B" w:rsidRDefault="003B7D3B" w:rsidP="003B7D3B">
            <w:pPr>
              <w:pStyle w:val="AERtabletextright"/>
              <w:cnfStyle w:val="000000010000" w:firstRow="0" w:lastRow="0" w:firstColumn="0" w:lastColumn="0" w:oddVBand="0" w:evenVBand="0" w:oddHBand="0" w:evenHBand="1" w:firstRowFirstColumn="0" w:firstRowLastColumn="0" w:lastRowFirstColumn="0" w:lastRowLastColumn="0"/>
            </w:pPr>
            <w:r w:rsidRPr="003B7D3B">
              <w:t>90.2</w:t>
            </w:r>
          </w:p>
        </w:tc>
        <w:tc>
          <w:tcPr>
            <w:tcW w:w="710" w:type="pct"/>
            <w:hideMark/>
          </w:tcPr>
          <w:p w:rsidR="003B7D3B" w:rsidRPr="003B7D3B" w:rsidRDefault="003B7D3B" w:rsidP="003B7D3B">
            <w:pPr>
              <w:pStyle w:val="AERtabletextright"/>
              <w:cnfStyle w:val="000000010000" w:firstRow="0" w:lastRow="0" w:firstColumn="0" w:lastColumn="0" w:oddVBand="0" w:evenVBand="0" w:oddHBand="0" w:evenHBand="1" w:firstRowFirstColumn="0" w:firstRowLastColumn="0" w:lastRowFirstColumn="0" w:lastRowLastColumn="0"/>
            </w:pPr>
            <w:r w:rsidRPr="003B7D3B">
              <w:t>111.5</w:t>
            </w:r>
          </w:p>
        </w:tc>
        <w:tc>
          <w:tcPr>
            <w:tcW w:w="961" w:type="pct"/>
            <w:hideMark/>
          </w:tcPr>
          <w:p w:rsidR="003B7D3B" w:rsidRPr="003B7D3B" w:rsidRDefault="003B7D3B" w:rsidP="003B7D3B">
            <w:pPr>
              <w:pStyle w:val="AERtabletextright"/>
              <w:cnfStyle w:val="000000010000" w:firstRow="0" w:lastRow="0" w:firstColumn="0" w:lastColumn="0" w:oddVBand="0" w:evenVBand="0" w:oddHBand="0" w:evenHBand="1" w:firstRowFirstColumn="0" w:firstRowLastColumn="0" w:lastRowFirstColumn="0" w:lastRowLastColumn="0"/>
            </w:pPr>
            <w:r w:rsidRPr="003B7D3B">
              <w:t>-3.1</w:t>
            </w:r>
          </w:p>
        </w:tc>
      </w:tr>
      <w:tr w:rsidR="003B7D3B" w:rsidRPr="003B7D3B" w:rsidTr="003B7D3B">
        <w:trPr>
          <w:trHeight w:val="600"/>
        </w:trPr>
        <w:tc>
          <w:tcPr>
            <w:cnfStyle w:val="001000000000" w:firstRow="0" w:lastRow="0" w:firstColumn="1" w:lastColumn="0" w:oddVBand="0" w:evenVBand="0" w:oddHBand="0" w:evenHBand="0" w:firstRowFirstColumn="0" w:firstRowLastColumn="0" w:lastRowFirstColumn="0" w:lastRowLastColumn="0"/>
            <w:tcW w:w="1169" w:type="pct"/>
            <w:hideMark/>
          </w:tcPr>
          <w:p w:rsidR="003B7D3B" w:rsidRPr="003B7D3B" w:rsidRDefault="003B7D3B" w:rsidP="003B7D3B">
            <w:pPr>
              <w:pStyle w:val="AERtabletextleft"/>
            </w:pPr>
            <w:r w:rsidRPr="003B7D3B">
              <w:t>Disconnection visit</w:t>
            </w:r>
          </w:p>
        </w:tc>
        <w:tc>
          <w:tcPr>
            <w:tcW w:w="621" w:type="pct"/>
            <w:hideMark/>
          </w:tcPr>
          <w:p w:rsidR="003B7D3B" w:rsidRPr="003B7D3B" w:rsidRDefault="003B7D3B" w:rsidP="003B7D3B">
            <w:pPr>
              <w:pStyle w:val="AERtabletextright"/>
              <w:cnfStyle w:val="000000000000" w:firstRow="0" w:lastRow="0" w:firstColumn="0" w:lastColumn="0" w:oddVBand="0" w:evenVBand="0" w:oddHBand="0" w:evenHBand="0" w:firstRowFirstColumn="0" w:firstRowLastColumn="0" w:lastRowFirstColumn="0" w:lastRowLastColumn="0"/>
            </w:pPr>
            <w:r w:rsidRPr="003B7D3B">
              <w:t>45.1</w:t>
            </w:r>
          </w:p>
        </w:tc>
        <w:tc>
          <w:tcPr>
            <w:tcW w:w="771" w:type="pct"/>
            <w:hideMark/>
          </w:tcPr>
          <w:p w:rsidR="003B7D3B" w:rsidRPr="003B7D3B" w:rsidRDefault="003B7D3B" w:rsidP="003B7D3B">
            <w:pPr>
              <w:pStyle w:val="AERtabletextright"/>
              <w:cnfStyle w:val="000000000000" w:firstRow="0" w:lastRow="0" w:firstColumn="0" w:lastColumn="0" w:oddVBand="0" w:evenVBand="0" w:oddHBand="0" w:evenHBand="0" w:firstRowFirstColumn="0" w:firstRowLastColumn="0" w:lastRowFirstColumn="0" w:lastRowLastColumn="0"/>
            </w:pPr>
            <w:r w:rsidRPr="003B7D3B">
              <w:t>69.29</w:t>
            </w:r>
          </w:p>
        </w:tc>
        <w:tc>
          <w:tcPr>
            <w:tcW w:w="769" w:type="pct"/>
            <w:hideMark/>
          </w:tcPr>
          <w:p w:rsidR="003B7D3B" w:rsidRPr="003B7D3B" w:rsidRDefault="003B7D3B" w:rsidP="003B7D3B">
            <w:pPr>
              <w:pStyle w:val="AERtabletextright"/>
              <w:cnfStyle w:val="000000000000" w:firstRow="0" w:lastRow="0" w:firstColumn="0" w:lastColumn="0" w:oddVBand="0" w:evenVBand="0" w:oddHBand="0" w:evenHBand="0" w:firstRowFirstColumn="0" w:firstRowLastColumn="0" w:lastRowFirstColumn="0" w:lastRowLastColumn="0"/>
            </w:pPr>
            <w:r w:rsidRPr="003B7D3B">
              <w:t>53.6</w:t>
            </w:r>
          </w:p>
        </w:tc>
        <w:tc>
          <w:tcPr>
            <w:tcW w:w="710" w:type="pct"/>
            <w:hideMark/>
          </w:tcPr>
          <w:p w:rsidR="003B7D3B" w:rsidRPr="003B7D3B" w:rsidRDefault="003B7D3B" w:rsidP="003B7D3B">
            <w:pPr>
              <w:pStyle w:val="AERtabletextright"/>
              <w:cnfStyle w:val="000000000000" w:firstRow="0" w:lastRow="0" w:firstColumn="0" w:lastColumn="0" w:oddVBand="0" w:evenVBand="0" w:oddHBand="0" w:evenHBand="0" w:firstRowFirstColumn="0" w:firstRowLastColumn="0" w:lastRowFirstColumn="0" w:lastRowLastColumn="0"/>
            </w:pPr>
            <w:r w:rsidRPr="003B7D3B">
              <w:t>69.29</w:t>
            </w:r>
          </w:p>
        </w:tc>
        <w:tc>
          <w:tcPr>
            <w:tcW w:w="961" w:type="pct"/>
            <w:hideMark/>
          </w:tcPr>
          <w:p w:rsidR="003B7D3B" w:rsidRPr="003B7D3B" w:rsidRDefault="003B7D3B" w:rsidP="003B7D3B">
            <w:pPr>
              <w:pStyle w:val="AERtabletextright"/>
              <w:cnfStyle w:val="000000000000" w:firstRow="0" w:lastRow="0" w:firstColumn="0" w:lastColumn="0" w:oddVBand="0" w:evenVBand="0" w:oddHBand="0" w:evenHBand="0" w:firstRowFirstColumn="0" w:firstRowLastColumn="0" w:lastRowFirstColumn="0" w:lastRowLastColumn="0"/>
            </w:pPr>
            <w:r w:rsidRPr="003B7D3B">
              <w:t>0.0</w:t>
            </w:r>
          </w:p>
        </w:tc>
      </w:tr>
      <w:tr w:rsidR="003B7D3B" w:rsidRPr="003B7D3B" w:rsidTr="003B7D3B">
        <w:trPr>
          <w:cnfStyle w:val="000000010000" w:firstRow="0" w:lastRow="0" w:firstColumn="0" w:lastColumn="0" w:oddVBand="0" w:evenVBand="0" w:oddHBand="0" w:evenHBand="1" w:firstRowFirstColumn="0" w:firstRowLastColumn="0" w:lastRowFirstColumn="0" w:lastRowLastColumn="0"/>
          <w:trHeight w:val="600"/>
        </w:trPr>
        <w:tc>
          <w:tcPr>
            <w:cnfStyle w:val="001000000000" w:firstRow="0" w:lastRow="0" w:firstColumn="1" w:lastColumn="0" w:oddVBand="0" w:evenVBand="0" w:oddHBand="0" w:evenHBand="0" w:firstRowFirstColumn="0" w:firstRowLastColumn="0" w:lastRowFirstColumn="0" w:lastRowLastColumn="0"/>
            <w:tcW w:w="1169" w:type="pct"/>
            <w:hideMark/>
          </w:tcPr>
          <w:p w:rsidR="003B7D3B" w:rsidRPr="003B7D3B" w:rsidRDefault="003B7D3B" w:rsidP="003B7D3B">
            <w:pPr>
              <w:pStyle w:val="AERtabletextleft"/>
            </w:pPr>
            <w:r w:rsidRPr="003B7D3B">
              <w:t>Disconnection at meter box</w:t>
            </w:r>
          </w:p>
        </w:tc>
        <w:tc>
          <w:tcPr>
            <w:tcW w:w="621" w:type="pct"/>
            <w:hideMark/>
          </w:tcPr>
          <w:p w:rsidR="003B7D3B" w:rsidRPr="003B7D3B" w:rsidRDefault="003B7D3B" w:rsidP="003B7D3B">
            <w:pPr>
              <w:pStyle w:val="AERtabletextright"/>
              <w:cnfStyle w:val="000000010000" w:firstRow="0" w:lastRow="0" w:firstColumn="0" w:lastColumn="0" w:oddVBand="0" w:evenVBand="0" w:oddHBand="0" w:evenHBand="1" w:firstRowFirstColumn="0" w:firstRowLastColumn="0" w:lastRowFirstColumn="0" w:lastRowLastColumn="0"/>
            </w:pPr>
            <w:r w:rsidRPr="003B7D3B">
              <w:t>90.2</w:t>
            </w:r>
          </w:p>
        </w:tc>
        <w:tc>
          <w:tcPr>
            <w:tcW w:w="771" w:type="pct"/>
            <w:hideMark/>
          </w:tcPr>
          <w:p w:rsidR="003B7D3B" w:rsidRPr="003B7D3B" w:rsidRDefault="003B7D3B" w:rsidP="003B7D3B">
            <w:pPr>
              <w:pStyle w:val="AERtabletextright"/>
              <w:cnfStyle w:val="000000010000" w:firstRow="0" w:lastRow="0" w:firstColumn="0" w:lastColumn="0" w:oddVBand="0" w:evenVBand="0" w:oddHBand="0" w:evenHBand="1" w:firstRowFirstColumn="0" w:firstRowLastColumn="0" w:lastRowFirstColumn="0" w:lastRowLastColumn="0"/>
            </w:pPr>
            <w:r w:rsidRPr="003B7D3B">
              <w:t>208.68</w:t>
            </w:r>
          </w:p>
        </w:tc>
        <w:tc>
          <w:tcPr>
            <w:tcW w:w="769" w:type="pct"/>
            <w:hideMark/>
          </w:tcPr>
          <w:p w:rsidR="003B7D3B" w:rsidRPr="003B7D3B" w:rsidRDefault="003B7D3B" w:rsidP="003B7D3B">
            <w:pPr>
              <w:pStyle w:val="AERtabletextright"/>
              <w:cnfStyle w:val="000000010000" w:firstRow="0" w:lastRow="0" w:firstColumn="0" w:lastColumn="0" w:oddVBand="0" w:evenVBand="0" w:oddHBand="0" w:evenHBand="1" w:firstRowFirstColumn="0" w:firstRowLastColumn="0" w:lastRowFirstColumn="0" w:lastRowLastColumn="0"/>
            </w:pPr>
            <w:r w:rsidRPr="003B7D3B">
              <w:t>131.4</w:t>
            </w:r>
          </w:p>
        </w:tc>
        <w:tc>
          <w:tcPr>
            <w:tcW w:w="710" w:type="pct"/>
            <w:hideMark/>
          </w:tcPr>
          <w:p w:rsidR="003B7D3B" w:rsidRPr="003B7D3B" w:rsidRDefault="003B7D3B" w:rsidP="003B7D3B">
            <w:pPr>
              <w:pStyle w:val="AERtabletextright"/>
              <w:cnfStyle w:val="000000010000" w:firstRow="0" w:lastRow="0" w:firstColumn="0" w:lastColumn="0" w:oddVBand="0" w:evenVBand="0" w:oddHBand="0" w:evenHBand="1" w:firstRowFirstColumn="0" w:firstRowLastColumn="0" w:lastRowFirstColumn="0" w:lastRowLastColumn="0"/>
            </w:pPr>
            <w:r w:rsidRPr="003B7D3B">
              <w:t>63.94</w:t>
            </w:r>
          </w:p>
        </w:tc>
        <w:tc>
          <w:tcPr>
            <w:tcW w:w="961" w:type="pct"/>
            <w:hideMark/>
          </w:tcPr>
          <w:p w:rsidR="003B7D3B" w:rsidRPr="003B7D3B" w:rsidRDefault="003B7D3B" w:rsidP="003B7D3B">
            <w:pPr>
              <w:pStyle w:val="AERtabletextright"/>
              <w:cnfStyle w:val="000000010000" w:firstRow="0" w:lastRow="0" w:firstColumn="0" w:lastColumn="0" w:oddVBand="0" w:evenVBand="0" w:oddHBand="0" w:evenHBand="1" w:firstRowFirstColumn="0" w:firstRowLastColumn="0" w:lastRowFirstColumn="0" w:lastRowLastColumn="0"/>
            </w:pPr>
            <w:r w:rsidRPr="003B7D3B">
              <w:t>-69.4</w:t>
            </w:r>
          </w:p>
        </w:tc>
      </w:tr>
      <w:tr w:rsidR="003B7D3B" w:rsidRPr="003B7D3B" w:rsidTr="003B7D3B">
        <w:trPr>
          <w:trHeight w:val="900"/>
        </w:trPr>
        <w:tc>
          <w:tcPr>
            <w:cnfStyle w:val="001000000000" w:firstRow="0" w:lastRow="0" w:firstColumn="1" w:lastColumn="0" w:oddVBand="0" w:evenVBand="0" w:oddHBand="0" w:evenHBand="0" w:firstRowFirstColumn="0" w:firstRowLastColumn="0" w:lastRowFirstColumn="0" w:lastRowLastColumn="0"/>
            <w:tcW w:w="1169" w:type="pct"/>
            <w:hideMark/>
          </w:tcPr>
          <w:p w:rsidR="003B7D3B" w:rsidRPr="003B7D3B" w:rsidRDefault="003B7D3B" w:rsidP="003B7D3B">
            <w:pPr>
              <w:pStyle w:val="AERtabletextleft"/>
            </w:pPr>
            <w:r w:rsidRPr="003B7D3B">
              <w:t>Disconnection at pole top / pillar box</w:t>
            </w:r>
          </w:p>
        </w:tc>
        <w:tc>
          <w:tcPr>
            <w:tcW w:w="621" w:type="pct"/>
            <w:hideMark/>
          </w:tcPr>
          <w:p w:rsidR="003B7D3B" w:rsidRPr="003B7D3B" w:rsidRDefault="003B7D3B" w:rsidP="003B7D3B">
            <w:pPr>
              <w:pStyle w:val="AERtabletextright"/>
              <w:cnfStyle w:val="000000000000" w:firstRow="0" w:lastRow="0" w:firstColumn="0" w:lastColumn="0" w:oddVBand="0" w:evenVBand="0" w:oddHBand="0" w:evenHBand="0" w:firstRowFirstColumn="0" w:firstRowLastColumn="0" w:lastRowFirstColumn="0" w:lastRowLastColumn="0"/>
            </w:pPr>
            <w:r w:rsidRPr="003B7D3B">
              <w:t>151.7</w:t>
            </w:r>
          </w:p>
        </w:tc>
        <w:tc>
          <w:tcPr>
            <w:tcW w:w="771" w:type="pct"/>
            <w:hideMark/>
          </w:tcPr>
          <w:p w:rsidR="003B7D3B" w:rsidRPr="003B7D3B" w:rsidRDefault="003B7D3B" w:rsidP="003B7D3B">
            <w:pPr>
              <w:pStyle w:val="AERtabletextright"/>
              <w:cnfStyle w:val="000000000000" w:firstRow="0" w:lastRow="0" w:firstColumn="0" w:lastColumn="0" w:oddVBand="0" w:evenVBand="0" w:oddHBand="0" w:evenHBand="0" w:firstRowFirstColumn="0" w:firstRowLastColumn="0" w:lastRowFirstColumn="0" w:lastRowLastColumn="0"/>
            </w:pPr>
            <w:r w:rsidRPr="003B7D3B">
              <w:t>430.78</w:t>
            </w:r>
          </w:p>
        </w:tc>
        <w:tc>
          <w:tcPr>
            <w:tcW w:w="769" w:type="pct"/>
            <w:hideMark/>
          </w:tcPr>
          <w:p w:rsidR="003B7D3B" w:rsidRPr="003B7D3B" w:rsidRDefault="003B7D3B" w:rsidP="003B7D3B">
            <w:pPr>
              <w:pStyle w:val="AERtabletextright"/>
              <w:cnfStyle w:val="000000000000" w:firstRow="0" w:lastRow="0" w:firstColumn="0" w:lastColumn="0" w:oddVBand="0" w:evenVBand="0" w:oddHBand="0" w:evenHBand="0" w:firstRowFirstColumn="0" w:firstRowLastColumn="0" w:lastRowFirstColumn="0" w:lastRowLastColumn="0"/>
            </w:pPr>
            <w:r w:rsidRPr="003B7D3B">
              <w:t>184.0</w:t>
            </w:r>
          </w:p>
        </w:tc>
        <w:tc>
          <w:tcPr>
            <w:tcW w:w="710" w:type="pct"/>
            <w:hideMark/>
          </w:tcPr>
          <w:p w:rsidR="003B7D3B" w:rsidRPr="003B7D3B" w:rsidRDefault="003B7D3B" w:rsidP="003B7D3B">
            <w:pPr>
              <w:pStyle w:val="AERtabletextright"/>
              <w:cnfStyle w:val="000000000000" w:firstRow="0" w:lastRow="0" w:firstColumn="0" w:lastColumn="0" w:oddVBand="0" w:evenVBand="0" w:oddHBand="0" w:evenHBand="0" w:firstRowFirstColumn="0" w:firstRowLastColumn="0" w:lastRowFirstColumn="0" w:lastRowLastColumn="0"/>
            </w:pPr>
            <w:r w:rsidRPr="003B7D3B">
              <w:t>417.96</w:t>
            </w:r>
          </w:p>
        </w:tc>
        <w:tc>
          <w:tcPr>
            <w:tcW w:w="961" w:type="pct"/>
            <w:hideMark/>
          </w:tcPr>
          <w:p w:rsidR="003B7D3B" w:rsidRPr="003B7D3B" w:rsidRDefault="003B7D3B" w:rsidP="003B7D3B">
            <w:pPr>
              <w:pStyle w:val="AERtabletextright"/>
              <w:cnfStyle w:val="000000000000" w:firstRow="0" w:lastRow="0" w:firstColumn="0" w:lastColumn="0" w:oddVBand="0" w:evenVBand="0" w:oddHBand="0" w:evenHBand="0" w:firstRowFirstColumn="0" w:firstRowLastColumn="0" w:lastRowFirstColumn="0" w:lastRowLastColumn="0"/>
            </w:pPr>
            <w:r w:rsidRPr="003B7D3B">
              <w:t>-3.0</w:t>
            </w:r>
          </w:p>
        </w:tc>
      </w:tr>
      <w:tr w:rsidR="003B7D3B" w:rsidRPr="003B7D3B" w:rsidTr="003B7D3B">
        <w:trPr>
          <w:cnfStyle w:val="000000010000" w:firstRow="0" w:lastRow="0" w:firstColumn="0" w:lastColumn="0" w:oddVBand="0" w:evenVBand="0" w:oddHBand="0" w:evenHBand="1" w:firstRowFirstColumn="0" w:firstRowLastColumn="0" w:lastRowFirstColumn="0" w:lastRowLastColumn="0"/>
          <w:trHeight w:val="900"/>
        </w:trPr>
        <w:tc>
          <w:tcPr>
            <w:cnfStyle w:val="001000000000" w:firstRow="0" w:lastRow="0" w:firstColumn="1" w:lastColumn="0" w:oddVBand="0" w:evenVBand="0" w:oddHBand="0" w:evenHBand="0" w:firstRowFirstColumn="0" w:firstRowLastColumn="0" w:lastRowFirstColumn="0" w:lastRowLastColumn="0"/>
            <w:tcW w:w="1169" w:type="pct"/>
            <w:hideMark/>
          </w:tcPr>
          <w:p w:rsidR="003B7D3B" w:rsidRPr="003B7D3B" w:rsidRDefault="003B7D3B" w:rsidP="003B7D3B">
            <w:pPr>
              <w:pStyle w:val="AERtabletextleft"/>
            </w:pPr>
            <w:r w:rsidRPr="003B7D3B">
              <w:t>Rectification of illegal connection</w:t>
            </w:r>
          </w:p>
        </w:tc>
        <w:tc>
          <w:tcPr>
            <w:tcW w:w="621" w:type="pct"/>
            <w:hideMark/>
          </w:tcPr>
          <w:p w:rsidR="003B7D3B" w:rsidRPr="003B7D3B" w:rsidRDefault="003B7D3B" w:rsidP="003B7D3B">
            <w:pPr>
              <w:pStyle w:val="AERtabletextright"/>
              <w:cnfStyle w:val="000000010000" w:firstRow="0" w:lastRow="0" w:firstColumn="0" w:lastColumn="0" w:oddVBand="0" w:evenVBand="0" w:oddHBand="0" w:evenHBand="1" w:firstRowFirstColumn="0" w:firstRowLastColumn="0" w:lastRowFirstColumn="0" w:lastRowLastColumn="0"/>
            </w:pPr>
            <w:r w:rsidRPr="003B7D3B">
              <w:t>226.53</w:t>
            </w:r>
          </w:p>
        </w:tc>
        <w:tc>
          <w:tcPr>
            <w:tcW w:w="771" w:type="pct"/>
            <w:hideMark/>
          </w:tcPr>
          <w:p w:rsidR="003B7D3B" w:rsidRPr="003B7D3B" w:rsidRDefault="003B7D3B" w:rsidP="003B7D3B">
            <w:pPr>
              <w:pStyle w:val="AERtabletextright"/>
              <w:cnfStyle w:val="000000010000" w:firstRow="0" w:lastRow="0" w:firstColumn="0" w:lastColumn="0" w:oddVBand="0" w:evenVBand="0" w:oddHBand="0" w:evenHBand="1" w:firstRowFirstColumn="0" w:firstRowLastColumn="0" w:lastRowFirstColumn="0" w:lastRowLastColumn="0"/>
            </w:pPr>
            <w:r w:rsidRPr="003B7D3B">
              <w:t>569.25</w:t>
            </w:r>
          </w:p>
        </w:tc>
        <w:tc>
          <w:tcPr>
            <w:tcW w:w="769" w:type="pct"/>
            <w:hideMark/>
          </w:tcPr>
          <w:p w:rsidR="003B7D3B" w:rsidRPr="003B7D3B" w:rsidRDefault="003B7D3B" w:rsidP="003B7D3B">
            <w:pPr>
              <w:pStyle w:val="AERtabletextright"/>
              <w:cnfStyle w:val="000000010000" w:firstRow="0" w:lastRow="0" w:firstColumn="0" w:lastColumn="0" w:oddVBand="0" w:evenVBand="0" w:oddHBand="0" w:evenHBand="1" w:firstRowFirstColumn="0" w:firstRowLastColumn="0" w:lastRowFirstColumn="0" w:lastRowLastColumn="0"/>
            </w:pPr>
            <w:r w:rsidRPr="003B7D3B">
              <w:t>151.3</w:t>
            </w:r>
          </w:p>
        </w:tc>
        <w:tc>
          <w:tcPr>
            <w:tcW w:w="710" w:type="pct"/>
            <w:hideMark/>
          </w:tcPr>
          <w:p w:rsidR="003B7D3B" w:rsidRPr="003B7D3B" w:rsidRDefault="003B7D3B" w:rsidP="003B7D3B">
            <w:pPr>
              <w:pStyle w:val="AERtabletextright"/>
              <w:cnfStyle w:val="000000010000" w:firstRow="0" w:lastRow="0" w:firstColumn="0" w:lastColumn="0" w:oddVBand="0" w:evenVBand="0" w:oddHBand="0" w:evenHBand="1" w:firstRowFirstColumn="0" w:firstRowLastColumn="0" w:lastRowFirstColumn="0" w:lastRowLastColumn="0"/>
            </w:pPr>
            <w:r w:rsidRPr="003B7D3B">
              <w:t>535.2</w:t>
            </w:r>
          </w:p>
        </w:tc>
        <w:tc>
          <w:tcPr>
            <w:tcW w:w="961" w:type="pct"/>
            <w:hideMark/>
          </w:tcPr>
          <w:p w:rsidR="003B7D3B" w:rsidRPr="003B7D3B" w:rsidRDefault="003B7D3B" w:rsidP="003B7D3B">
            <w:pPr>
              <w:pStyle w:val="AERtabletextright"/>
              <w:cnfStyle w:val="000000010000" w:firstRow="0" w:lastRow="0" w:firstColumn="0" w:lastColumn="0" w:oddVBand="0" w:evenVBand="0" w:oddHBand="0" w:evenHBand="1" w:firstRowFirstColumn="0" w:firstRowLastColumn="0" w:lastRowFirstColumn="0" w:lastRowLastColumn="0"/>
            </w:pPr>
            <w:r w:rsidRPr="003B7D3B">
              <w:t>-6.0</w:t>
            </w:r>
          </w:p>
        </w:tc>
      </w:tr>
      <w:tr w:rsidR="003B7D3B" w:rsidRPr="003B7D3B" w:rsidTr="003B7D3B">
        <w:trPr>
          <w:trHeight w:val="900"/>
        </w:trPr>
        <w:tc>
          <w:tcPr>
            <w:cnfStyle w:val="001000000000" w:firstRow="0" w:lastRow="0" w:firstColumn="1" w:lastColumn="0" w:oddVBand="0" w:evenVBand="0" w:oddHBand="0" w:evenHBand="0" w:firstRowFirstColumn="0" w:firstRowLastColumn="0" w:lastRowFirstColumn="0" w:lastRowLastColumn="0"/>
            <w:tcW w:w="1169" w:type="pct"/>
            <w:hideMark/>
          </w:tcPr>
          <w:p w:rsidR="003B7D3B" w:rsidRPr="003B7D3B" w:rsidRDefault="003B7D3B" w:rsidP="003B7D3B">
            <w:pPr>
              <w:pStyle w:val="AERtabletextleft"/>
            </w:pPr>
            <w:r w:rsidRPr="003B7D3B">
              <w:t>Reconnection outside normal business hours</w:t>
            </w:r>
          </w:p>
        </w:tc>
        <w:tc>
          <w:tcPr>
            <w:tcW w:w="621" w:type="pct"/>
            <w:hideMark/>
          </w:tcPr>
          <w:p w:rsidR="003B7D3B" w:rsidRPr="003B7D3B" w:rsidRDefault="003B7D3B" w:rsidP="003B7D3B">
            <w:pPr>
              <w:pStyle w:val="AERtabletextright"/>
              <w:cnfStyle w:val="000000000000" w:firstRow="0" w:lastRow="0" w:firstColumn="0" w:lastColumn="0" w:oddVBand="0" w:evenVBand="0" w:oddHBand="0" w:evenHBand="0" w:firstRowFirstColumn="0" w:firstRowLastColumn="0" w:lastRowFirstColumn="0" w:lastRowLastColumn="0"/>
            </w:pPr>
            <w:r w:rsidRPr="003B7D3B">
              <w:t>97.38</w:t>
            </w:r>
          </w:p>
        </w:tc>
        <w:tc>
          <w:tcPr>
            <w:tcW w:w="771" w:type="pct"/>
            <w:hideMark/>
          </w:tcPr>
          <w:p w:rsidR="003B7D3B" w:rsidRPr="003B7D3B" w:rsidRDefault="003B7D3B" w:rsidP="003B7D3B">
            <w:pPr>
              <w:pStyle w:val="AERtabletextright"/>
              <w:cnfStyle w:val="000000000000" w:firstRow="0" w:lastRow="0" w:firstColumn="0" w:lastColumn="0" w:oddVBand="0" w:evenVBand="0" w:oddHBand="0" w:evenHBand="0" w:firstRowFirstColumn="0" w:firstRowLastColumn="0" w:lastRowFirstColumn="0" w:lastRowLastColumn="0"/>
            </w:pPr>
            <w:r w:rsidRPr="003B7D3B">
              <w:t>78.25</w:t>
            </w:r>
          </w:p>
        </w:tc>
        <w:tc>
          <w:tcPr>
            <w:tcW w:w="769" w:type="pct"/>
            <w:hideMark/>
          </w:tcPr>
          <w:p w:rsidR="003B7D3B" w:rsidRPr="003B7D3B" w:rsidRDefault="003B7D3B" w:rsidP="003B7D3B">
            <w:pPr>
              <w:pStyle w:val="AERtabletextright"/>
              <w:cnfStyle w:val="000000000000" w:firstRow="0" w:lastRow="0" w:firstColumn="0" w:lastColumn="0" w:oddVBand="0" w:evenVBand="0" w:oddHBand="0" w:evenHBand="0" w:firstRowFirstColumn="0" w:firstRowLastColumn="0" w:lastRowFirstColumn="0" w:lastRowLastColumn="0"/>
            </w:pPr>
            <w:r w:rsidRPr="003B7D3B">
              <w:t>-19.6</w:t>
            </w:r>
          </w:p>
        </w:tc>
        <w:tc>
          <w:tcPr>
            <w:tcW w:w="710" w:type="pct"/>
            <w:hideMark/>
          </w:tcPr>
          <w:p w:rsidR="003B7D3B" w:rsidRPr="003B7D3B" w:rsidRDefault="003B7D3B" w:rsidP="003B7D3B">
            <w:pPr>
              <w:pStyle w:val="AERtabletextright"/>
              <w:cnfStyle w:val="000000000000" w:firstRow="0" w:lastRow="0" w:firstColumn="0" w:lastColumn="0" w:oddVBand="0" w:evenVBand="0" w:oddHBand="0" w:evenHBand="0" w:firstRowFirstColumn="0" w:firstRowLastColumn="0" w:lastRowFirstColumn="0" w:lastRowLastColumn="0"/>
            </w:pPr>
            <w:r w:rsidRPr="003B7D3B">
              <w:t>78.25</w:t>
            </w:r>
          </w:p>
        </w:tc>
        <w:tc>
          <w:tcPr>
            <w:tcW w:w="961" w:type="pct"/>
            <w:hideMark/>
          </w:tcPr>
          <w:p w:rsidR="003B7D3B" w:rsidRPr="003B7D3B" w:rsidRDefault="003B7D3B" w:rsidP="003B7D3B">
            <w:pPr>
              <w:pStyle w:val="AERtabletextright"/>
              <w:cnfStyle w:val="000000000000" w:firstRow="0" w:lastRow="0" w:firstColumn="0" w:lastColumn="0" w:oddVBand="0" w:evenVBand="0" w:oddHBand="0" w:evenHBand="0" w:firstRowFirstColumn="0" w:firstRowLastColumn="0" w:lastRowFirstColumn="0" w:lastRowLastColumn="0"/>
            </w:pPr>
            <w:r w:rsidRPr="003B7D3B">
              <w:t>0.0</w:t>
            </w:r>
          </w:p>
        </w:tc>
      </w:tr>
    </w:tbl>
    <w:p w:rsidR="003B7D3B" w:rsidRPr="002C37DA" w:rsidRDefault="003B7D3B" w:rsidP="003B7D3B">
      <w:pPr>
        <w:pStyle w:val="AERtablesource"/>
      </w:pPr>
      <w:r>
        <w:t>Note:</w:t>
      </w:r>
      <w:r>
        <w:tab/>
      </w:r>
      <w:r w:rsidRPr="002C37DA">
        <w:t>This is not a full set of all the ancillary network services</w:t>
      </w:r>
      <w:r>
        <w:t>.</w:t>
      </w:r>
    </w:p>
    <w:p w:rsidR="00D311E7" w:rsidRPr="0030416D" w:rsidRDefault="00D311E7" w:rsidP="008E0136">
      <w:pPr>
        <w:pStyle w:val="AERbodytext"/>
        <w:rPr>
          <w:rStyle w:val="AERtextbold"/>
        </w:rPr>
      </w:pPr>
      <w:r w:rsidRPr="0030416D">
        <w:rPr>
          <w:rStyle w:val="AERtextbold"/>
        </w:rPr>
        <w:t>Quoted services</w:t>
      </w:r>
    </w:p>
    <w:p w:rsidR="00D311E7" w:rsidRDefault="00D311E7" w:rsidP="00EA2813">
      <w:pPr>
        <w:pStyle w:val="AERbodytext"/>
        <w:rPr>
          <w:rStyle w:val="AERbody"/>
        </w:rPr>
      </w:pPr>
      <w:r w:rsidRPr="00E762D6">
        <w:t>Prices for certain ancillary network services will be determined on a quoted basis. Typically, prices for quoted services are based on quantities of labour and materials with the quantities dependent on the particular task</w:t>
      </w:r>
      <w:r>
        <w:t xml:space="preserve"> to be performed</w:t>
      </w:r>
      <w:r w:rsidRPr="00E762D6">
        <w:t xml:space="preserve">. </w:t>
      </w:r>
      <w:r w:rsidRPr="00AA7FCC">
        <w:t xml:space="preserve">Our draft decision for </w:t>
      </w:r>
      <w:r>
        <w:t xml:space="preserve">Endeavour Energy's hourly </w:t>
      </w:r>
      <w:r w:rsidRPr="00AA7FCC">
        <w:t xml:space="preserve">labour rates is set out in </w:t>
      </w:r>
      <w:r w:rsidR="003E262F">
        <w:rPr>
          <w:rStyle w:val="AERtexthighlight"/>
        </w:rPr>
        <w:fldChar w:fldCharType="begin"/>
      </w:r>
      <w:r w:rsidR="003E262F">
        <w:instrText xml:space="preserve"> REF _Ref401861356 \h </w:instrText>
      </w:r>
      <w:r w:rsidR="003E262F">
        <w:rPr>
          <w:rStyle w:val="AERtexthighlight"/>
        </w:rPr>
      </w:r>
      <w:r w:rsidR="003E262F">
        <w:rPr>
          <w:rStyle w:val="AERtexthighlight"/>
        </w:rPr>
        <w:fldChar w:fldCharType="separate"/>
      </w:r>
      <w:r w:rsidR="003E262F">
        <w:t xml:space="preserve">Table </w:t>
      </w:r>
      <w:r w:rsidR="003E262F">
        <w:rPr>
          <w:noProof/>
        </w:rPr>
        <w:t>16</w:t>
      </w:r>
      <w:r w:rsidR="003E262F">
        <w:noBreakHyphen/>
      </w:r>
      <w:r w:rsidR="003E262F">
        <w:rPr>
          <w:noProof/>
        </w:rPr>
        <w:t>2</w:t>
      </w:r>
      <w:r w:rsidR="003E262F">
        <w:rPr>
          <w:rStyle w:val="AERtexthighlight"/>
        </w:rPr>
        <w:fldChar w:fldCharType="end"/>
      </w:r>
      <w:r w:rsidRPr="00AA7FCC">
        <w:t xml:space="preserve"> below.</w:t>
      </w:r>
      <w:r>
        <w:t xml:space="preserve"> These hourly labour rates are maximum rates that should apply for the calculation of charges for quotation ancillary network service. </w:t>
      </w:r>
    </w:p>
    <w:p w:rsidR="00D311E7" w:rsidRPr="00275D4C" w:rsidRDefault="00D311E7" w:rsidP="00D311E7">
      <w:pPr>
        <w:pStyle w:val="Caption"/>
      </w:pPr>
      <w:bookmarkStart w:id="23" w:name="_Ref401861356"/>
      <w:r>
        <w:t xml:space="preserve">Table </w:t>
      </w:r>
      <w:r w:rsidR="004667DE">
        <w:fldChar w:fldCharType="begin"/>
      </w:r>
      <w:r w:rsidR="004667DE">
        <w:instrText xml:space="preserve"> STYLEREF 1 \s </w:instrText>
      </w:r>
      <w:r w:rsidR="004667DE">
        <w:fldChar w:fldCharType="separate"/>
      </w:r>
      <w:r w:rsidR="003E262F">
        <w:rPr>
          <w:noProof/>
        </w:rPr>
        <w:t>16</w:t>
      </w:r>
      <w:r w:rsidR="004667DE">
        <w:rPr>
          <w:noProof/>
        </w:rPr>
        <w:fldChar w:fldCharType="end"/>
      </w:r>
      <w:r w:rsidR="003E262F">
        <w:noBreakHyphen/>
      </w:r>
      <w:r w:rsidR="004667DE">
        <w:fldChar w:fldCharType="begin"/>
      </w:r>
      <w:r w:rsidR="004667DE">
        <w:instrText xml:space="preserve"> SEQ Table \* ARABIC</w:instrText>
      </w:r>
      <w:r w:rsidR="004667DE">
        <w:instrText xml:space="preserve"> \s 1 </w:instrText>
      </w:r>
      <w:r w:rsidR="004667DE">
        <w:fldChar w:fldCharType="separate"/>
      </w:r>
      <w:r w:rsidR="003E262F">
        <w:rPr>
          <w:noProof/>
        </w:rPr>
        <w:t>2</w:t>
      </w:r>
      <w:r w:rsidR="004667DE">
        <w:rPr>
          <w:noProof/>
        </w:rPr>
        <w:fldChar w:fldCharType="end"/>
      </w:r>
      <w:bookmarkEnd w:id="23"/>
      <w:r>
        <w:t xml:space="preserve"> </w:t>
      </w:r>
      <w:r w:rsidRPr="00275D4C">
        <w:rPr>
          <w:rStyle w:val="AERbody"/>
        </w:rPr>
        <w:t>AER maximum hourly labour rates</w:t>
      </w:r>
      <w:r w:rsidR="003D0A3E">
        <w:rPr>
          <w:rStyle w:val="AERbody"/>
        </w:rPr>
        <w:t>, Endeavour Energy,</w:t>
      </w:r>
      <w:r w:rsidRPr="00275D4C">
        <w:rPr>
          <w:rStyle w:val="AERbody"/>
        </w:rPr>
        <w:t xml:space="preserve"> (including on-costs and overhead) for quoted services</w:t>
      </w:r>
      <w:r w:rsidR="003D0A3E">
        <w:rPr>
          <w:rStyle w:val="AERbody"/>
        </w:rPr>
        <w:t>, ($2014–15)</w:t>
      </w:r>
    </w:p>
    <w:tbl>
      <w:tblPr>
        <w:tblStyle w:val="AERtable-numbers"/>
        <w:tblW w:w="0" w:type="auto"/>
        <w:tblLook w:val="04A0" w:firstRow="1" w:lastRow="0" w:firstColumn="1" w:lastColumn="0" w:noHBand="0" w:noVBand="1"/>
      </w:tblPr>
      <w:tblGrid>
        <w:gridCol w:w="4092"/>
        <w:gridCol w:w="5088"/>
      </w:tblGrid>
      <w:tr w:rsidR="00EA2813" w:rsidTr="003E262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092" w:type="dxa"/>
          </w:tcPr>
          <w:p w:rsidR="00EA2813" w:rsidRPr="00AA7FCC" w:rsidRDefault="00EA2813" w:rsidP="007848A6">
            <w:pPr>
              <w:pStyle w:val="AERtabletextleft"/>
            </w:pPr>
            <w:r w:rsidRPr="00AA7FCC">
              <w:t>Classification</w:t>
            </w:r>
          </w:p>
        </w:tc>
        <w:tc>
          <w:tcPr>
            <w:tcW w:w="5088" w:type="dxa"/>
          </w:tcPr>
          <w:p w:rsidR="00EA2813" w:rsidRPr="00760327" w:rsidRDefault="00EA2813" w:rsidP="003D0A3E">
            <w:pPr>
              <w:pStyle w:val="AERtabletextright"/>
              <w:cnfStyle w:val="100000000000" w:firstRow="1" w:lastRow="0" w:firstColumn="0" w:lastColumn="0" w:oddVBand="0" w:evenVBand="0" w:oddHBand="0" w:evenHBand="0" w:firstRowFirstColumn="0" w:firstRowLastColumn="0" w:lastRowFirstColumn="0" w:lastRowLastColumn="0"/>
            </w:pPr>
            <w:r w:rsidRPr="006C1FDB">
              <w:t xml:space="preserve">Draft Decision maximum labour rate - includes </w:t>
            </w:r>
            <w:r>
              <w:t xml:space="preserve">on-cost and </w:t>
            </w:r>
            <w:r w:rsidRPr="006C1FDB">
              <w:t xml:space="preserve">overhead </w:t>
            </w:r>
          </w:p>
        </w:tc>
      </w:tr>
      <w:tr w:rsidR="00EA2813" w:rsidTr="003E262F">
        <w:tc>
          <w:tcPr>
            <w:cnfStyle w:val="001000000000" w:firstRow="0" w:lastRow="0" w:firstColumn="1" w:lastColumn="0" w:oddVBand="0" w:evenVBand="0" w:oddHBand="0" w:evenHBand="0" w:firstRowFirstColumn="0" w:firstRowLastColumn="0" w:lastRowFirstColumn="0" w:lastRowLastColumn="0"/>
            <w:tcW w:w="4092" w:type="dxa"/>
          </w:tcPr>
          <w:p w:rsidR="00EA2813" w:rsidRPr="00AA7FCC" w:rsidRDefault="00EA2813" w:rsidP="007848A6">
            <w:pPr>
              <w:pStyle w:val="AERtabletextleft"/>
            </w:pPr>
            <w:r>
              <w:t>Admin</w:t>
            </w:r>
          </w:p>
        </w:tc>
        <w:tc>
          <w:tcPr>
            <w:tcW w:w="5088" w:type="dxa"/>
          </w:tcPr>
          <w:p w:rsidR="00EA2813" w:rsidRPr="003D0A3E" w:rsidRDefault="00EA2813"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bold"/>
                <w:b w:val="0"/>
              </w:rPr>
            </w:pPr>
            <w:r w:rsidRPr="003D0A3E">
              <w:rPr>
                <w:rStyle w:val="AERtextbold"/>
                <w:b w:val="0"/>
              </w:rPr>
              <w:t>88.98</w:t>
            </w:r>
          </w:p>
        </w:tc>
      </w:tr>
      <w:tr w:rsidR="00EA2813" w:rsidTr="003E262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092" w:type="dxa"/>
          </w:tcPr>
          <w:p w:rsidR="00EA2813" w:rsidRPr="00AA7FCC" w:rsidRDefault="00EA2813" w:rsidP="007848A6">
            <w:pPr>
              <w:pStyle w:val="AERtabletextleft"/>
            </w:pPr>
            <w:r>
              <w:t>Technical specialist</w:t>
            </w:r>
          </w:p>
        </w:tc>
        <w:tc>
          <w:tcPr>
            <w:tcW w:w="5088" w:type="dxa"/>
          </w:tcPr>
          <w:p w:rsidR="00EA2813" w:rsidRPr="003D0A3E" w:rsidRDefault="00EA2813"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bold"/>
                <w:b w:val="0"/>
              </w:rPr>
            </w:pPr>
            <w:r w:rsidRPr="003D0A3E">
              <w:rPr>
                <w:rStyle w:val="AERtextbold"/>
                <w:b w:val="0"/>
              </w:rPr>
              <w:t>142.49</w:t>
            </w:r>
          </w:p>
        </w:tc>
      </w:tr>
      <w:tr w:rsidR="00EA2813" w:rsidTr="003E262F">
        <w:tc>
          <w:tcPr>
            <w:cnfStyle w:val="001000000000" w:firstRow="0" w:lastRow="0" w:firstColumn="1" w:lastColumn="0" w:oddVBand="0" w:evenVBand="0" w:oddHBand="0" w:evenHBand="0" w:firstRowFirstColumn="0" w:firstRowLastColumn="0" w:lastRowFirstColumn="0" w:lastRowLastColumn="0"/>
            <w:tcW w:w="4092" w:type="dxa"/>
          </w:tcPr>
          <w:p w:rsidR="00EA2813" w:rsidRPr="00AA7FCC" w:rsidRDefault="00EA2813" w:rsidP="007848A6">
            <w:pPr>
              <w:pStyle w:val="AERtabletextleft"/>
            </w:pPr>
            <w:r>
              <w:t>EO 7/Engineer</w:t>
            </w:r>
          </w:p>
        </w:tc>
        <w:tc>
          <w:tcPr>
            <w:tcW w:w="5088" w:type="dxa"/>
          </w:tcPr>
          <w:p w:rsidR="00EA2813" w:rsidRPr="003D0A3E" w:rsidRDefault="00EA2813"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bold"/>
                <w:b w:val="0"/>
              </w:rPr>
            </w:pPr>
            <w:r w:rsidRPr="003D0A3E">
              <w:rPr>
                <w:rStyle w:val="AERtextbold"/>
                <w:b w:val="0"/>
              </w:rPr>
              <w:t>165.75</w:t>
            </w:r>
          </w:p>
        </w:tc>
      </w:tr>
      <w:tr w:rsidR="00EA2813" w:rsidTr="003E262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092" w:type="dxa"/>
          </w:tcPr>
          <w:p w:rsidR="00EA2813" w:rsidRPr="00AA7FCC" w:rsidRDefault="00EA2813" w:rsidP="007848A6">
            <w:pPr>
              <w:pStyle w:val="AERtabletextleft"/>
            </w:pPr>
            <w:r>
              <w:t>Field worker R4</w:t>
            </w:r>
          </w:p>
        </w:tc>
        <w:tc>
          <w:tcPr>
            <w:tcW w:w="5088" w:type="dxa"/>
          </w:tcPr>
          <w:p w:rsidR="00EA2813" w:rsidRPr="003D0A3E" w:rsidRDefault="00EA2813"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bold"/>
                <w:b w:val="0"/>
              </w:rPr>
            </w:pPr>
            <w:r w:rsidRPr="003D0A3E">
              <w:rPr>
                <w:rStyle w:val="AERtextbold"/>
                <w:b w:val="0"/>
              </w:rPr>
              <w:t>112.65</w:t>
            </w:r>
          </w:p>
        </w:tc>
      </w:tr>
      <w:tr w:rsidR="00EA2813" w:rsidTr="003E262F">
        <w:tc>
          <w:tcPr>
            <w:cnfStyle w:val="001000000000" w:firstRow="0" w:lastRow="0" w:firstColumn="1" w:lastColumn="0" w:oddVBand="0" w:evenVBand="0" w:oddHBand="0" w:evenHBand="0" w:firstRowFirstColumn="0" w:firstRowLastColumn="0" w:lastRowFirstColumn="0" w:lastRowLastColumn="0"/>
            <w:tcW w:w="4092" w:type="dxa"/>
          </w:tcPr>
          <w:p w:rsidR="00EA2813" w:rsidRPr="00AA7FCC" w:rsidRDefault="00EA2813" w:rsidP="007848A6">
            <w:pPr>
              <w:pStyle w:val="AERtabletextleft"/>
            </w:pPr>
            <w:r>
              <w:t>Senior Engineer</w:t>
            </w:r>
          </w:p>
        </w:tc>
        <w:tc>
          <w:tcPr>
            <w:tcW w:w="5088" w:type="dxa"/>
          </w:tcPr>
          <w:p w:rsidR="00EA2813" w:rsidRPr="003D0A3E" w:rsidRDefault="00EA2813"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bold"/>
                <w:b w:val="0"/>
              </w:rPr>
            </w:pPr>
            <w:r w:rsidRPr="003D0A3E">
              <w:rPr>
                <w:rStyle w:val="AERtextbold"/>
                <w:b w:val="0"/>
              </w:rPr>
              <w:t>169.40</w:t>
            </w:r>
          </w:p>
        </w:tc>
      </w:tr>
    </w:tbl>
    <w:p w:rsidR="00D311E7" w:rsidRPr="003D0A3E" w:rsidRDefault="00D311E7" w:rsidP="003D0A3E">
      <w:pPr>
        <w:pStyle w:val="AERtablesource"/>
      </w:pPr>
      <w:r w:rsidRPr="003D0A3E">
        <w:t>Source:</w:t>
      </w:r>
      <w:r w:rsidR="003D0A3E">
        <w:t xml:space="preserve"> Marsden Jacob.</w:t>
      </w:r>
      <w:r w:rsidRPr="003D0A3E">
        <w:t xml:space="preserve"> </w:t>
      </w:r>
    </w:p>
    <w:p w:rsidR="00D311E7" w:rsidRPr="0030416D" w:rsidRDefault="00D311E7" w:rsidP="00D311E7">
      <w:pPr>
        <w:pStyle w:val="AERbodytext"/>
        <w:rPr>
          <w:rStyle w:val="AERtextbold"/>
        </w:rPr>
      </w:pPr>
      <w:r w:rsidRPr="0030416D">
        <w:rPr>
          <w:rStyle w:val="AERtextbold"/>
        </w:rPr>
        <w:t>Form of control</w:t>
      </w:r>
      <w:r>
        <w:rPr>
          <w:rStyle w:val="AERtextbold"/>
        </w:rPr>
        <w:t xml:space="preserve"> – Fee based services</w:t>
      </w:r>
    </w:p>
    <w:p w:rsidR="00D311E7" w:rsidRDefault="008E0136" w:rsidP="00D311E7">
      <w:pPr>
        <w:pStyle w:val="AERbodytext"/>
      </w:pPr>
      <w:proofErr w:type="gramStart"/>
      <w:r>
        <w:t>The our</w:t>
      </w:r>
      <w:proofErr w:type="gramEnd"/>
      <w:r>
        <w:t xml:space="preserve"> </w:t>
      </w:r>
      <w:r w:rsidR="00D311E7" w:rsidRPr="002C37DA">
        <w:t>draft decision is to apply a price cap for the form of control to fee based services. Under this form of control a schedule of prices is set for the first year. For the following years the previous year</w:t>
      </w:r>
      <w:r w:rsidR="00D311E7">
        <w:t>'</w:t>
      </w:r>
      <w:r w:rsidR="00D311E7" w:rsidRPr="002C37DA">
        <w:t xml:space="preserve">s prices are adjusted by CPI and an X factor. </w:t>
      </w:r>
    </w:p>
    <w:p w:rsidR="00D311E7" w:rsidRPr="002C37DA" w:rsidRDefault="00D311E7" w:rsidP="00D311E7">
      <w:pPr>
        <w:pStyle w:val="AERbodytext"/>
      </w:pPr>
      <w:r w:rsidRPr="002C37DA">
        <w:t>The form of control for fee based ancillary network services is</w:t>
      </w:r>
      <w:r w:rsidR="003D0A3E">
        <w:t>:</w:t>
      </w:r>
      <w:r w:rsidRPr="002C37DA">
        <w:t xml:space="preserve"> </w:t>
      </w:r>
    </w:p>
    <w:p w:rsidR="00D311E7" w:rsidRPr="00AA7FCC" w:rsidRDefault="00D311E7" w:rsidP="00D311E7">
      <w:pPr>
        <w:pStyle w:val="AERbodytext"/>
      </w:pPr>
      <w:r w:rsidRPr="00AA7FCC">
        <w:t xml:space="preserve"> </w:t>
      </w:r>
      <w:proofErr w:type="spellStart"/>
      <w:r w:rsidRPr="00AA7FCC">
        <w:t>i</w:t>
      </w:r>
      <w:proofErr w:type="spellEnd"/>
      <w:r w:rsidRPr="00AA7FCC">
        <w:t>=1,...,n and t=1,..,4,</w:t>
      </w:r>
    </w:p>
    <w:p w:rsidR="00D311E7" w:rsidRDefault="00D311E7" w:rsidP="00D311E7">
      <w:pPr>
        <w:pStyle w:val="AERbodytext"/>
      </w:pPr>
      <w:r w:rsidRPr="001762C7">
        <w:object w:dxaOrig="3080" w:dyaOrig="3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3.85pt;height:19.75pt" o:ole="">
            <v:imagedata r:id="rId13" o:title=""/>
          </v:shape>
          <o:OLEObject Type="Embed" ProgID="Equation.3" ShapeID="_x0000_i1025" DrawAspect="Content" ObjectID="_1478531699" r:id="rId14"/>
        </w:object>
      </w:r>
    </w:p>
    <w:p w:rsidR="00D311E7" w:rsidRPr="00AA7FCC" w:rsidRDefault="00D311E7" w:rsidP="00D311E7">
      <w:pPr>
        <w:pStyle w:val="AERbodytext"/>
      </w:pPr>
      <w:r w:rsidRPr="00AA7FCC">
        <w:t>Where:</w:t>
      </w:r>
    </w:p>
    <w:p w:rsidR="00F92C29" w:rsidRDefault="00D311E7" w:rsidP="00D311E7">
      <w:pPr>
        <w:pStyle w:val="AERbodytext"/>
      </w:pPr>
      <w:r w:rsidRPr="00AA7FCC">
        <w:object w:dxaOrig="279" w:dyaOrig="380">
          <v:shape id="_x0000_i1026" type="#_x0000_t75" style="width:13.8pt;height:17.75pt" o:ole="">
            <v:imagedata r:id="rId15" o:title=""/>
          </v:shape>
          <o:OLEObject Type="Embed" ProgID="Equation.3" ShapeID="_x0000_i1026" DrawAspect="Content" ObjectID="_1478531700" r:id="rId16"/>
        </w:object>
      </w:r>
      <w:proofErr w:type="gramStart"/>
      <w:r w:rsidRPr="00AA7FCC">
        <w:t>is</w:t>
      </w:r>
      <w:proofErr w:type="gramEnd"/>
      <w:r w:rsidRPr="00AA7FCC">
        <w:t xml:space="preserve"> the cap on the price of service </w:t>
      </w:r>
      <w:proofErr w:type="spellStart"/>
      <w:r w:rsidRPr="00AA7FCC">
        <w:t>i</w:t>
      </w:r>
      <w:proofErr w:type="spellEnd"/>
      <w:r w:rsidRPr="00AA7FCC">
        <w:t xml:space="preserve"> in year t.</w:t>
      </w:r>
      <w:r>
        <w:t xml:space="preserve"> However, for 2015–16 this is the price as determined in</w:t>
      </w:r>
      <w:r w:rsidR="00072E4E">
        <w:t xml:space="preserve"> appendix </w:t>
      </w:r>
      <w:r w:rsidR="00F92C29">
        <w:fldChar w:fldCharType="begin"/>
      </w:r>
      <w:r w:rsidR="00F92C29">
        <w:instrText xml:space="preserve"> REF _Ref403663103 \n \h </w:instrText>
      </w:r>
      <w:r w:rsidR="00F92C29">
        <w:fldChar w:fldCharType="separate"/>
      </w:r>
      <w:r w:rsidR="000A6EFE">
        <w:t>A.1</w:t>
      </w:r>
      <w:r w:rsidR="00F92C29">
        <w:fldChar w:fldCharType="end"/>
      </w:r>
    </w:p>
    <w:p w:rsidR="00D311E7" w:rsidRPr="00AA7FCC" w:rsidRDefault="00D311E7" w:rsidP="00D311E7">
      <w:pPr>
        <w:pStyle w:val="AERbodytext"/>
      </w:pPr>
      <w:r w:rsidRPr="00AA7FCC">
        <w:object w:dxaOrig="279" w:dyaOrig="380">
          <v:shape id="_x0000_i1027" type="#_x0000_t75" style="width:13.8pt;height:17.75pt" o:ole="">
            <v:imagedata r:id="rId17" o:title=""/>
          </v:shape>
          <o:OLEObject Type="Embed" ProgID="Equation.3" ShapeID="_x0000_i1027" DrawAspect="Content" ObjectID="_1478531701" r:id="rId18"/>
        </w:object>
      </w:r>
      <w:proofErr w:type="gramStart"/>
      <w:r w:rsidRPr="00AA7FCC">
        <w:t>is</w:t>
      </w:r>
      <w:proofErr w:type="gramEnd"/>
      <w:r w:rsidRPr="00AA7FCC">
        <w:t xml:space="preserve"> the price of service </w:t>
      </w:r>
      <w:proofErr w:type="spellStart"/>
      <w:r w:rsidRPr="00AA7FCC">
        <w:t>i</w:t>
      </w:r>
      <w:proofErr w:type="spellEnd"/>
      <w:r w:rsidRPr="00AA7FCC">
        <w:t xml:space="preserve"> in year </w:t>
      </w:r>
      <w:r w:rsidRPr="007F7D5C">
        <w:rPr>
          <w:rStyle w:val="AERtextitalic"/>
        </w:rPr>
        <w:t>t</w:t>
      </w:r>
      <w:r w:rsidRPr="00AA7FCC">
        <w:t>.</w:t>
      </w:r>
    </w:p>
    <w:p w:rsidR="00D311E7" w:rsidRDefault="00D311E7" w:rsidP="00D311E7">
      <w:pPr>
        <w:pStyle w:val="AERbodytext"/>
      </w:pPr>
      <w:r w:rsidRPr="00AA7FCC">
        <w:object w:dxaOrig="520" w:dyaOrig="360">
          <v:shape id="_x0000_i1028" type="#_x0000_t75" style="width:26.65pt;height:17.75pt" o:ole="">
            <v:imagedata r:id="rId19" o:title=""/>
          </v:shape>
          <o:OLEObject Type="Embed" ProgID="Equation.3" ShapeID="_x0000_i1028" DrawAspect="Content" ObjectID="_1478531702" r:id="rId20"/>
        </w:object>
      </w:r>
      <w:r w:rsidRPr="00AA7FCC">
        <w:t>is the percentage increase in the consumer price index</w:t>
      </w:r>
      <w:r>
        <w:t xml:space="preserve"> calculated as follows:</w:t>
      </w:r>
    </w:p>
    <w:p w:rsidR="00D311E7" w:rsidRPr="00CD713E" w:rsidRDefault="00D311E7" w:rsidP="00D311E7">
      <w:r w:rsidRPr="002455B1">
        <w:t>The Consumer Price Index, All Groups Index Number (weighted average of</w:t>
      </w:r>
      <w:r>
        <w:t xml:space="preserve"> </w:t>
      </w:r>
      <w:r w:rsidRPr="002455B1">
        <w:t xml:space="preserve">eight capital cities) published by the Australia Bureau of Statistics for </w:t>
      </w:r>
      <w:r w:rsidR="00CD713E">
        <w:t xml:space="preserve">the December </w:t>
      </w:r>
      <w:r w:rsidRPr="00CD713E">
        <w:t>Quarter immediately preceding the start of regulatory year t;</w:t>
      </w:r>
    </w:p>
    <w:p w:rsidR="00D311E7" w:rsidRPr="00CD713E" w:rsidRDefault="00D311E7" w:rsidP="00D311E7">
      <w:proofErr w:type="gramStart"/>
      <w:r w:rsidRPr="00CD713E">
        <w:t>divided</w:t>
      </w:r>
      <w:proofErr w:type="gramEnd"/>
      <w:r w:rsidRPr="00CD713E">
        <w:t xml:space="preserve"> by</w:t>
      </w:r>
    </w:p>
    <w:p w:rsidR="00D311E7" w:rsidRPr="002455B1" w:rsidRDefault="00D311E7" w:rsidP="00D311E7">
      <w:r w:rsidRPr="00CD713E">
        <w:t xml:space="preserve">The Consumer Price Index, All Groups Index Number (weighted average of eight capital cities) published by the Australia Bureau of Statistics for the </w:t>
      </w:r>
      <w:r w:rsidR="00CD713E">
        <w:t xml:space="preserve">December </w:t>
      </w:r>
      <w:r w:rsidRPr="002455B1">
        <w:t>Quarter immediately preceding the start of regulatory year t-1;</w:t>
      </w:r>
    </w:p>
    <w:p w:rsidR="00D311E7" w:rsidRDefault="00D311E7" w:rsidP="00D311E7">
      <w:pPr>
        <w:pStyle w:val="AERbodytext"/>
      </w:pPr>
      <w:proofErr w:type="gramStart"/>
      <w:r w:rsidRPr="002455B1">
        <w:t>minus</w:t>
      </w:r>
      <w:proofErr w:type="gramEnd"/>
      <w:r w:rsidRPr="002455B1">
        <w:t xml:space="preserve"> one.</w:t>
      </w:r>
    </w:p>
    <w:p w:rsidR="00D311E7" w:rsidRDefault="00D311E7" w:rsidP="00D311E7">
      <w:pPr>
        <w:pStyle w:val="AERbodytext"/>
      </w:pPr>
      <w:r w:rsidRPr="00AA7FCC">
        <w:object w:dxaOrig="340" w:dyaOrig="380">
          <v:shape id="_x0000_i1029" type="#_x0000_t75" style="width:17.75pt;height:17.75pt" o:ole="">
            <v:imagedata r:id="rId21" o:title=""/>
          </v:shape>
          <o:OLEObject Type="Embed" ProgID="Equation.3" ShapeID="_x0000_i1029" DrawAspect="Content" ObjectID="_1478531703" r:id="rId22"/>
        </w:object>
      </w:r>
      <w:proofErr w:type="gramStart"/>
      <w:r w:rsidRPr="00AA7FCC">
        <w:t>is</w:t>
      </w:r>
      <w:proofErr w:type="gramEnd"/>
      <w:r w:rsidRPr="00AA7FCC">
        <w:t xml:space="preserve"> the </w:t>
      </w:r>
      <w:r>
        <w:t xml:space="preserve">value of X for the year t in the regulatory control period, as set out in </w:t>
      </w:r>
      <w:r w:rsidR="003E262F">
        <w:fldChar w:fldCharType="begin"/>
      </w:r>
      <w:r w:rsidR="003E262F">
        <w:instrText xml:space="preserve"> REF _Ref401861400 \h </w:instrText>
      </w:r>
      <w:r w:rsidR="003E262F">
        <w:fldChar w:fldCharType="separate"/>
      </w:r>
      <w:r w:rsidR="003E262F">
        <w:t xml:space="preserve">Table </w:t>
      </w:r>
      <w:r w:rsidR="003E262F">
        <w:rPr>
          <w:noProof/>
        </w:rPr>
        <w:t>16</w:t>
      </w:r>
      <w:r w:rsidR="003E262F">
        <w:noBreakHyphen/>
      </w:r>
      <w:r w:rsidR="003E262F">
        <w:rPr>
          <w:noProof/>
        </w:rPr>
        <w:t>3</w:t>
      </w:r>
      <w:r w:rsidR="003E262F">
        <w:fldChar w:fldCharType="end"/>
      </w:r>
      <w:r w:rsidRPr="00AA7FCC">
        <w:t xml:space="preserve">. </w:t>
      </w:r>
    </w:p>
    <w:p w:rsidR="00D311E7" w:rsidRDefault="00D311E7" w:rsidP="00D311E7">
      <w:pPr>
        <w:pStyle w:val="Caption"/>
      </w:pPr>
      <w:bookmarkStart w:id="24" w:name="_Ref401861400"/>
      <w:r>
        <w:t xml:space="preserve">Table </w:t>
      </w:r>
      <w:r w:rsidR="004667DE">
        <w:fldChar w:fldCharType="begin"/>
      </w:r>
      <w:r w:rsidR="004667DE">
        <w:instrText xml:space="preserve"> STYLEREF 1 \s </w:instrText>
      </w:r>
      <w:r w:rsidR="004667DE">
        <w:fldChar w:fldCharType="separate"/>
      </w:r>
      <w:r w:rsidR="003E262F">
        <w:rPr>
          <w:noProof/>
        </w:rPr>
        <w:t>16</w:t>
      </w:r>
      <w:r w:rsidR="004667DE">
        <w:rPr>
          <w:noProof/>
        </w:rPr>
        <w:fldChar w:fldCharType="end"/>
      </w:r>
      <w:r w:rsidR="003E262F">
        <w:noBreakHyphen/>
      </w:r>
      <w:r w:rsidR="004667DE">
        <w:fldChar w:fldCharType="begin"/>
      </w:r>
      <w:r w:rsidR="004667DE">
        <w:instrText xml:space="preserve"> SEQ Table \* ARABIC \s 1 </w:instrText>
      </w:r>
      <w:r w:rsidR="004667DE">
        <w:fldChar w:fldCharType="separate"/>
      </w:r>
      <w:r w:rsidR="003E262F">
        <w:rPr>
          <w:noProof/>
        </w:rPr>
        <w:t>3</w:t>
      </w:r>
      <w:r w:rsidR="004667DE">
        <w:rPr>
          <w:noProof/>
        </w:rPr>
        <w:fldChar w:fldCharType="end"/>
      </w:r>
      <w:bookmarkEnd w:id="24"/>
      <w:r>
        <w:t xml:space="preserve"> </w:t>
      </w:r>
      <w:r w:rsidR="003E262F">
        <w:tab/>
      </w:r>
      <w:r>
        <w:t>AER draft decision on X factors for each year of the regulatory control period</w:t>
      </w:r>
    </w:p>
    <w:tbl>
      <w:tblPr>
        <w:tblStyle w:val="AERtable-numbers"/>
        <w:tblW w:w="9180" w:type="dxa"/>
        <w:tblLook w:val="04A0" w:firstRow="1" w:lastRow="0" w:firstColumn="1" w:lastColumn="0" w:noHBand="0" w:noVBand="1"/>
      </w:tblPr>
      <w:tblGrid>
        <w:gridCol w:w="2180"/>
        <w:gridCol w:w="960"/>
        <w:gridCol w:w="960"/>
        <w:gridCol w:w="960"/>
        <w:gridCol w:w="4120"/>
      </w:tblGrid>
      <w:tr w:rsidR="00D311E7" w:rsidTr="003E262F">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180" w:type="dxa"/>
            <w:noWrap/>
            <w:hideMark/>
          </w:tcPr>
          <w:p w:rsidR="00D311E7" w:rsidRPr="00A57F7F" w:rsidRDefault="00D311E7" w:rsidP="007848A6">
            <w:pPr>
              <w:pStyle w:val="AERtabletextleft"/>
            </w:pPr>
            <w:r w:rsidRPr="00A57F7F">
              <w:t> </w:t>
            </w:r>
          </w:p>
        </w:tc>
        <w:tc>
          <w:tcPr>
            <w:tcW w:w="960" w:type="dxa"/>
            <w:hideMark/>
          </w:tcPr>
          <w:p w:rsidR="00D311E7" w:rsidRPr="00A57F7F" w:rsidRDefault="00D311E7" w:rsidP="007F7D5C">
            <w:pPr>
              <w:pStyle w:val="AERtabletextright"/>
              <w:cnfStyle w:val="100000000000" w:firstRow="1" w:lastRow="0" w:firstColumn="0" w:lastColumn="0" w:oddVBand="0" w:evenVBand="0" w:oddHBand="0" w:evenHBand="0" w:firstRowFirstColumn="0" w:firstRowLastColumn="0" w:lastRowFirstColumn="0" w:lastRowLastColumn="0"/>
            </w:pPr>
            <w:r w:rsidRPr="00AB2D97">
              <w:t>2015–16</w:t>
            </w:r>
          </w:p>
        </w:tc>
        <w:tc>
          <w:tcPr>
            <w:tcW w:w="960" w:type="dxa"/>
            <w:hideMark/>
          </w:tcPr>
          <w:p w:rsidR="00D311E7" w:rsidRPr="00A57F7F" w:rsidRDefault="00D311E7" w:rsidP="007F7D5C">
            <w:pPr>
              <w:pStyle w:val="AERtabletextright"/>
              <w:cnfStyle w:val="100000000000" w:firstRow="1" w:lastRow="0" w:firstColumn="0" w:lastColumn="0" w:oddVBand="0" w:evenVBand="0" w:oddHBand="0" w:evenHBand="0" w:firstRowFirstColumn="0" w:firstRowLastColumn="0" w:lastRowFirstColumn="0" w:lastRowLastColumn="0"/>
            </w:pPr>
            <w:r w:rsidRPr="00AB2D97">
              <w:t>2016–17</w:t>
            </w:r>
          </w:p>
        </w:tc>
        <w:tc>
          <w:tcPr>
            <w:tcW w:w="960" w:type="dxa"/>
            <w:hideMark/>
          </w:tcPr>
          <w:p w:rsidR="00D311E7" w:rsidRPr="00A57F7F" w:rsidRDefault="00D311E7" w:rsidP="007F7D5C">
            <w:pPr>
              <w:pStyle w:val="AERtabletextright"/>
              <w:cnfStyle w:val="100000000000" w:firstRow="1" w:lastRow="0" w:firstColumn="0" w:lastColumn="0" w:oddVBand="0" w:evenVBand="0" w:oddHBand="0" w:evenHBand="0" w:firstRowFirstColumn="0" w:firstRowLastColumn="0" w:lastRowFirstColumn="0" w:lastRowLastColumn="0"/>
            </w:pPr>
            <w:r w:rsidRPr="00AB2D97">
              <w:t>2017–18</w:t>
            </w:r>
          </w:p>
        </w:tc>
        <w:tc>
          <w:tcPr>
            <w:tcW w:w="4120" w:type="dxa"/>
            <w:hideMark/>
          </w:tcPr>
          <w:p w:rsidR="00D311E7" w:rsidRPr="00A57F7F" w:rsidRDefault="00D311E7" w:rsidP="007F7D5C">
            <w:pPr>
              <w:pStyle w:val="AERtabletextright"/>
              <w:cnfStyle w:val="100000000000" w:firstRow="1" w:lastRow="0" w:firstColumn="0" w:lastColumn="0" w:oddVBand="0" w:evenVBand="0" w:oddHBand="0" w:evenHBand="0" w:firstRowFirstColumn="0" w:firstRowLastColumn="0" w:lastRowFirstColumn="0" w:lastRowLastColumn="0"/>
            </w:pPr>
            <w:r w:rsidRPr="00AB2D97">
              <w:t>2018–19</w:t>
            </w:r>
          </w:p>
        </w:tc>
      </w:tr>
      <w:tr w:rsidR="00D311E7" w:rsidTr="003E262F">
        <w:trPr>
          <w:trHeight w:val="300"/>
        </w:trPr>
        <w:tc>
          <w:tcPr>
            <w:cnfStyle w:val="001000000000" w:firstRow="0" w:lastRow="0" w:firstColumn="1" w:lastColumn="0" w:oddVBand="0" w:evenVBand="0" w:oddHBand="0" w:evenHBand="0" w:firstRowFirstColumn="0" w:firstRowLastColumn="0" w:lastRowFirstColumn="0" w:lastRowLastColumn="0"/>
            <w:tcW w:w="2180" w:type="dxa"/>
            <w:noWrap/>
            <w:hideMark/>
          </w:tcPr>
          <w:p w:rsidR="00D311E7" w:rsidRPr="00A57F7F" w:rsidRDefault="00D311E7" w:rsidP="007848A6">
            <w:pPr>
              <w:pStyle w:val="AERtabletextleft"/>
            </w:pPr>
            <w:r>
              <w:t>X factor</w:t>
            </w:r>
          </w:p>
        </w:tc>
        <w:tc>
          <w:tcPr>
            <w:tcW w:w="960" w:type="dxa"/>
            <w:noWrap/>
            <w:hideMark/>
          </w:tcPr>
          <w:p w:rsidR="00D311E7" w:rsidRPr="00A57F7F" w:rsidRDefault="00D311E7" w:rsidP="007F7D5C">
            <w:pPr>
              <w:pStyle w:val="AERtabletextright"/>
              <w:cnfStyle w:val="000000000000" w:firstRow="0" w:lastRow="0" w:firstColumn="0" w:lastColumn="0" w:oddVBand="0" w:evenVBand="0" w:oddHBand="0" w:evenHBand="0" w:firstRowFirstColumn="0" w:firstRowLastColumn="0" w:lastRowFirstColumn="0" w:lastRowLastColumn="0"/>
            </w:pPr>
            <w:r>
              <w:t>-</w:t>
            </w:r>
            <w:r w:rsidRPr="00AB2D97">
              <w:t>0.54</w:t>
            </w:r>
          </w:p>
        </w:tc>
        <w:tc>
          <w:tcPr>
            <w:tcW w:w="960" w:type="dxa"/>
            <w:noWrap/>
            <w:hideMark/>
          </w:tcPr>
          <w:p w:rsidR="00D311E7" w:rsidRPr="00A57F7F" w:rsidRDefault="00D311E7" w:rsidP="007F7D5C">
            <w:pPr>
              <w:pStyle w:val="AERtabletextright"/>
              <w:cnfStyle w:val="000000000000" w:firstRow="0" w:lastRow="0" w:firstColumn="0" w:lastColumn="0" w:oddVBand="0" w:evenVBand="0" w:oddHBand="0" w:evenHBand="0" w:firstRowFirstColumn="0" w:firstRowLastColumn="0" w:lastRowFirstColumn="0" w:lastRowLastColumn="0"/>
            </w:pPr>
            <w:r>
              <w:t>-</w:t>
            </w:r>
            <w:r w:rsidRPr="00AB2D97">
              <w:t>0.87</w:t>
            </w:r>
          </w:p>
        </w:tc>
        <w:tc>
          <w:tcPr>
            <w:tcW w:w="960" w:type="dxa"/>
            <w:noWrap/>
            <w:hideMark/>
          </w:tcPr>
          <w:p w:rsidR="00D311E7" w:rsidRPr="00A57F7F" w:rsidRDefault="00D311E7" w:rsidP="007F7D5C">
            <w:pPr>
              <w:pStyle w:val="AERtabletextright"/>
              <w:cnfStyle w:val="000000000000" w:firstRow="0" w:lastRow="0" w:firstColumn="0" w:lastColumn="0" w:oddVBand="0" w:evenVBand="0" w:oddHBand="0" w:evenHBand="0" w:firstRowFirstColumn="0" w:firstRowLastColumn="0" w:lastRowFirstColumn="0" w:lastRowLastColumn="0"/>
            </w:pPr>
            <w:r>
              <w:t>-</w:t>
            </w:r>
            <w:r w:rsidRPr="00AB2D97">
              <w:t>1.00</w:t>
            </w:r>
          </w:p>
        </w:tc>
        <w:tc>
          <w:tcPr>
            <w:tcW w:w="4120" w:type="dxa"/>
            <w:noWrap/>
            <w:hideMark/>
          </w:tcPr>
          <w:p w:rsidR="00D311E7" w:rsidRPr="00A57F7F" w:rsidRDefault="00D311E7" w:rsidP="007F7D5C">
            <w:pPr>
              <w:pStyle w:val="AERtabletextright"/>
              <w:cnfStyle w:val="000000000000" w:firstRow="0" w:lastRow="0" w:firstColumn="0" w:lastColumn="0" w:oddVBand="0" w:evenVBand="0" w:oddHBand="0" w:evenHBand="0" w:firstRowFirstColumn="0" w:firstRowLastColumn="0" w:lastRowFirstColumn="0" w:lastRowLastColumn="0"/>
            </w:pPr>
            <w:r>
              <w:t>-</w:t>
            </w:r>
            <w:r w:rsidRPr="00AB2D97">
              <w:t>0.89</w:t>
            </w:r>
          </w:p>
        </w:tc>
      </w:tr>
    </w:tbl>
    <w:p w:rsidR="00D311E7" w:rsidRPr="00FD5EB6" w:rsidRDefault="00D311E7" w:rsidP="00D311E7">
      <w:pPr>
        <w:pStyle w:val="AERtablesource"/>
        <w:rPr>
          <w:rStyle w:val="AERsuperscript"/>
          <w:vertAlign w:val="baseline"/>
        </w:rPr>
      </w:pPr>
      <w:r w:rsidRPr="00FD5EB6">
        <w:rPr>
          <w:rStyle w:val="AERsuperscript"/>
          <w:vertAlign w:val="baseline"/>
        </w:rPr>
        <w:t xml:space="preserve">Note: </w:t>
      </w:r>
      <w:r w:rsidR="008E0136">
        <w:rPr>
          <w:rStyle w:val="AERsuperscript"/>
          <w:vertAlign w:val="baseline"/>
        </w:rPr>
        <w:tab/>
      </w:r>
      <w:r w:rsidRPr="00FD5EB6">
        <w:rPr>
          <w:rStyle w:val="AERsuperscript"/>
          <w:vertAlign w:val="baseline"/>
        </w:rPr>
        <w:t>these x factors are consistent with the AER draft decision on labour escalation factors as set out in Opex Attachment. By adopting the labour escalation rate as X factor we are allowing for increases in labour cost in addition to CPI over the next regulatory period.</w:t>
      </w:r>
    </w:p>
    <w:p w:rsidR="00D311E7" w:rsidRDefault="00D311E7" w:rsidP="00D311E7">
      <w:pPr>
        <w:pStyle w:val="AERbodytext"/>
        <w:rPr>
          <w:rStyle w:val="AERtexthighlight"/>
        </w:rPr>
      </w:pPr>
      <w:r w:rsidRPr="00AA7FCC">
        <w:object w:dxaOrig="279" w:dyaOrig="380">
          <v:shape id="_x0000_i1030" type="#_x0000_t75" style="width:13.8pt;height:17.75pt" o:ole="">
            <v:imagedata r:id="rId23" o:title=""/>
          </v:shape>
          <o:OLEObject Type="Embed" ProgID="Equation.3" ShapeID="_x0000_i1030" DrawAspect="Content" ObjectID="_1478531704" r:id="rId24"/>
        </w:object>
      </w:r>
      <w:proofErr w:type="gramStart"/>
      <w:r w:rsidRPr="00AA7FCC">
        <w:t>is</w:t>
      </w:r>
      <w:proofErr w:type="gramEnd"/>
      <w:r w:rsidRPr="00AA7FCC">
        <w:t xml:space="preserve"> the cap on the price of service </w:t>
      </w:r>
      <w:proofErr w:type="spellStart"/>
      <w:r w:rsidRPr="00AA7FCC">
        <w:t>i</w:t>
      </w:r>
      <w:proofErr w:type="spellEnd"/>
      <w:r w:rsidRPr="00AA7FCC">
        <w:t xml:space="preserve"> in the first year of the subsequent regulatory control period. </w:t>
      </w:r>
      <w:r>
        <w:t>As set out in</w:t>
      </w:r>
      <w:r w:rsidR="00072E4E">
        <w:t xml:space="preserve"> appendix </w:t>
      </w:r>
      <w:r w:rsidR="00F92C29">
        <w:fldChar w:fldCharType="begin"/>
      </w:r>
      <w:r w:rsidR="00F92C29">
        <w:instrText xml:space="preserve"> REF _Ref403663103 \n \h </w:instrText>
      </w:r>
      <w:r w:rsidR="00F92C29">
        <w:fldChar w:fldCharType="separate"/>
      </w:r>
      <w:r w:rsidR="000A6EFE">
        <w:t>A.1</w:t>
      </w:r>
      <w:r w:rsidR="00F92C29">
        <w:fldChar w:fldCharType="end"/>
      </w:r>
    </w:p>
    <w:p w:rsidR="00D311E7" w:rsidRDefault="00D311E7" w:rsidP="00D311E7">
      <w:pPr>
        <w:pStyle w:val="AERbodytext"/>
      </w:pPr>
      <w:r w:rsidRPr="00FD5EB6">
        <w:object w:dxaOrig="300" w:dyaOrig="380">
          <v:shape id="_x0000_i1031" type="#_x0000_t75" style="width:14.8pt;height:19.75pt" o:ole="">
            <v:imagedata r:id="rId25" o:title=""/>
          </v:shape>
          <o:OLEObject Type="Embed" ProgID="Equation.3" ShapeID="_x0000_i1031" DrawAspect="Content" ObjectID="_1478531705" r:id="rId26"/>
        </w:object>
      </w:r>
      <w:proofErr w:type="gramStart"/>
      <w:r>
        <w:t>is</w:t>
      </w:r>
      <w:proofErr w:type="gramEnd"/>
      <w:r>
        <w:t xml:space="preserve"> an adjustment factor. Likely to include, but not limited to adjustments for residual charges when customers choose to replace assets before the end of their economic </w:t>
      </w:r>
      <w:r w:rsidR="008E0136">
        <w:t xml:space="preserve">life. </w:t>
      </w:r>
      <w:r>
        <w:t>For ancillary network services we c</w:t>
      </w:r>
      <w:r w:rsidR="008E0136">
        <w:t>onsider the value for A is zero</w:t>
      </w:r>
      <w:r>
        <w:t>.</w:t>
      </w:r>
    </w:p>
    <w:p w:rsidR="00D311E7" w:rsidRPr="0030416D" w:rsidRDefault="00D311E7" w:rsidP="00D311E7">
      <w:pPr>
        <w:pStyle w:val="AERbodytext"/>
        <w:rPr>
          <w:rStyle w:val="AERtextbold"/>
        </w:rPr>
      </w:pPr>
      <w:r w:rsidRPr="0030416D">
        <w:rPr>
          <w:rStyle w:val="AERtextbold"/>
        </w:rPr>
        <w:t>Form of control</w:t>
      </w:r>
      <w:r>
        <w:rPr>
          <w:rStyle w:val="AERtextbold"/>
        </w:rPr>
        <w:t xml:space="preserve"> – quoted services </w:t>
      </w:r>
    </w:p>
    <w:p w:rsidR="00D311E7" w:rsidRPr="00AC6415" w:rsidRDefault="00D311E7" w:rsidP="00D311E7">
      <w:pPr>
        <w:pStyle w:val="AERbodytext"/>
        <w:rPr>
          <w:rStyle w:val="AERtextitalic"/>
          <w:i w:val="0"/>
        </w:rPr>
      </w:pPr>
      <w:r w:rsidRPr="00AA7FCC">
        <w:rPr>
          <w:rStyle w:val="AERtextitalic"/>
        </w:rPr>
        <w:t xml:space="preserve">Price = labour + </w:t>
      </w:r>
      <w:r>
        <w:rPr>
          <w:rStyle w:val="AERtextitalic"/>
        </w:rPr>
        <w:t xml:space="preserve">contractor services + </w:t>
      </w:r>
      <w:r w:rsidRPr="00AA7FCC">
        <w:rPr>
          <w:rStyle w:val="AERtextitalic"/>
        </w:rPr>
        <w:t xml:space="preserve">materials </w:t>
      </w:r>
    </w:p>
    <w:p w:rsidR="00D311E7" w:rsidRPr="003770F7" w:rsidRDefault="00D311E7" w:rsidP="00D311E7">
      <w:pPr>
        <w:pStyle w:val="AERbodytext"/>
      </w:pPr>
      <w:r w:rsidRPr="003770F7">
        <w:t xml:space="preserve">Contractor services (including overheads)—reflects all costs associated with the use of external labour in the provision of the service, including overheads and any direct costs incurred as part of performing the service. The contracted services charge applies the rates under existing contractual arrangements. Direct costs incurred as part of performing the service, for example permits for road closures or footpath access, are passed on to the customer. </w:t>
      </w:r>
    </w:p>
    <w:p w:rsidR="00D311E7" w:rsidRDefault="00D311E7" w:rsidP="00D311E7">
      <w:r w:rsidRPr="003770F7">
        <w:t>Materials (including overheads)—reflects the cost of materials directly incurred in the provision of the service, material storage and logistics on costs and overheads</w:t>
      </w:r>
      <w:r>
        <w:t>.</w:t>
      </w:r>
    </w:p>
    <w:p w:rsidR="00D311E7" w:rsidRDefault="00D311E7" w:rsidP="00D311E7">
      <w:r>
        <w:t xml:space="preserve">Labour is the maximum hourly charge out rate including on-costs and overhead as set out in </w:t>
      </w:r>
      <w:r w:rsidR="00D2749E">
        <w:rPr>
          <w:rStyle w:val="AERtexthighlight"/>
        </w:rPr>
        <w:fldChar w:fldCharType="begin"/>
      </w:r>
      <w:r w:rsidR="00D2749E">
        <w:instrText xml:space="preserve"> REF _Ref401861456 \h </w:instrText>
      </w:r>
      <w:r w:rsidR="00D2749E">
        <w:rPr>
          <w:rStyle w:val="AERtexthighlight"/>
        </w:rPr>
      </w:r>
      <w:r w:rsidR="00D2749E">
        <w:rPr>
          <w:rStyle w:val="AERtexthighlight"/>
        </w:rPr>
        <w:fldChar w:fldCharType="separate"/>
      </w:r>
      <w:r w:rsidR="00D2749E">
        <w:t xml:space="preserve">Table </w:t>
      </w:r>
      <w:r w:rsidR="00D2749E">
        <w:rPr>
          <w:noProof/>
        </w:rPr>
        <w:t>16</w:t>
      </w:r>
      <w:r w:rsidR="00D2749E">
        <w:noBreakHyphen/>
      </w:r>
      <w:r w:rsidR="00D2749E">
        <w:rPr>
          <w:noProof/>
        </w:rPr>
        <w:t>4</w:t>
      </w:r>
      <w:r w:rsidR="00D2749E">
        <w:rPr>
          <w:rStyle w:val="AERtexthighlight"/>
        </w:rPr>
        <w:fldChar w:fldCharType="end"/>
      </w:r>
      <w:r w:rsidR="00D2749E">
        <w:rPr>
          <w:rStyle w:val="AERtexthighlight"/>
        </w:rPr>
        <w:t>.</w:t>
      </w:r>
    </w:p>
    <w:p w:rsidR="00D311E7" w:rsidRDefault="00D311E7" w:rsidP="00D311E7">
      <w:pPr>
        <w:pStyle w:val="Caption"/>
      </w:pPr>
      <w:bookmarkStart w:id="25" w:name="_Ref401861456"/>
      <w:r>
        <w:t xml:space="preserve">Table </w:t>
      </w:r>
      <w:r w:rsidR="004667DE">
        <w:fldChar w:fldCharType="begin"/>
      </w:r>
      <w:r w:rsidR="004667DE">
        <w:instrText xml:space="preserve"> STYLEREF 1 \s </w:instrText>
      </w:r>
      <w:r w:rsidR="004667DE">
        <w:fldChar w:fldCharType="separate"/>
      </w:r>
      <w:r w:rsidR="003E262F">
        <w:rPr>
          <w:noProof/>
        </w:rPr>
        <w:t>16</w:t>
      </w:r>
      <w:r w:rsidR="004667DE">
        <w:rPr>
          <w:noProof/>
        </w:rPr>
        <w:fldChar w:fldCharType="end"/>
      </w:r>
      <w:r w:rsidR="003E262F">
        <w:noBreakHyphen/>
      </w:r>
      <w:r w:rsidR="004667DE">
        <w:fldChar w:fldCharType="begin"/>
      </w:r>
      <w:r w:rsidR="004667DE">
        <w:instrText xml:space="preserve"> SEQ Table \* ARABIC \s 1 </w:instrText>
      </w:r>
      <w:r w:rsidR="004667DE">
        <w:fldChar w:fldCharType="separate"/>
      </w:r>
      <w:r w:rsidR="003E262F">
        <w:rPr>
          <w:noProof/>
        </w:rPr>
        <w:t>4</w:t>
      </w:r>
      <w:r w:rsidR="004667DE">
        <w:rPr>
          <w:noProof/>
        </w:rPr>
        <w:fldChar w:fldCharType="end"/>
      </w:r>
      <w:bookmarkEnd w:id="25"/>
      <w:r>
        <w:t xml:space="preserve"> AER draft decision on </w:t>
      </w:r>
      <w:r w:rsidR="003D0A3E">
        <w:t xml:space="preserve">Endeavour Energy </w:t>
      </w:r>
      <w:r>
        <w:t>maximum labour charge rates</w:t>
      </w:r>
      <w:r w:rsidR="003D0A3E">
        <w:t>,</w:t>
      </w:r>
      <w:r>
        <w:t xml:space="preserve"> quoted services</w:t>
      </w:r>
    </w:p>
    <w:tbl>
      <w:tblPr>
        <w:tblStyle w:val="AERtable-numbers"/>
        <w:tblW w:w="0" w:type="auto"/>
        <w:tblLook w:val="04A0" w:firstRow="1" w:lastRow="0" w:firstColumn="1" w:lastColumn="0" w:noHBand="0" w:noVBand="1"/>
      </w:tblPr>
      <w:tblGrid>
        <w:gridCol w:w="4092"/>
        <w:gridCol w:w="5088"/>
      </w:tblGrid>
      <w:tr w:rsidR="00D311E7" w:rsidTr="00D2749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092" w:type="dxa"/>
          </w:tcPr>
          <w:p w:rsidR="00D311E7" w:rsidRPr="00AA7FCC" w:rsidRDefault="00D311E7" w:rsidP="007848A6">
            <w:pPr>
              <w:pStyle w:val="AERtabletextleft"/>
            </w:pPr>
            <w:r w:rsidRPr="00AA7FCC">
              <w:t>Classification</w:t>
            </w:r>
          </w:p>
        </w:tc>
        <w:tc>
          <w:tcPr>
            <w:tcW w:w="5088" w:type="dxa"/>
          </w:tcPr>
          <w:p w:rsidR="00D311E7" w:rsidRPr="00760327" w:rsidRDefault="00D311E7" w:rsidP="003D0A3E">
            <w:pPr>
              <w:pStyle w:val="AERtabletextright"/>
              <w:cnfStyle w:val="100000000000" w:firstRow="1" w:lastRow="0" w:firstColumn="0" w:lastColumn="0" w:oddVBand="0" w:evenVBand="0" w:oddHBand="0" w:evenHBand="0" w:firstRowFirstColumn="0" w:firstRowLastColumn="0" w:lastRowFirstColumn="0" w:lastRowLastColumn="0"/>
            </w:pPr>
            <w:r w:rsidRPr="006C1FDB">
              <w:t xml:space="preserve">Draft Decision maximum labour rate - includes </w:t>
            </w:r>
            <w:r>
              <w:t xml:space="preserve">on-cost and </w:t>
            </w:r>
            <w:r w:rsidRPr="006C1FDB">
              <w:t xml:space="preserve">overhead </w:t>
            </w:r>
          </w:p>
        </w:tc>
      </w:tr>
      <w:tr w:rsidR="00D311E7" w:rsidTr="00D2749E">
        <w:tc>
          <w:tcPr>
            <w:cnfStyle w:val="001000000000" w:firstRow="0" w:lastRow="0" w:firstColumn="1" w:lastColumn="0" w:oddVBand="0" w:evenVBand="0" w:oddHBand="0" w:evenHBand="0" w:firstRowFirstColumn="0" w:firstRowLastColumn="0" w:lastRowFirstColumn="0" w:lastRowLastColumn="0"/>
            <w:tcW w:w="4092" w:type="dxa"/>
          </w:tcPr>
          <w:p w:rsidR="00D311E7" w:rsidRPr="00AA7FCC" w:rsidRDefault="00D311E7" w:rsidP="007848A6">
            <w:pPr>
              <w:pStyle w:val="AERtabletextleft"/>
            </w:pPr>
            <w:r>
              <w:t>Admin</w:t>
            </w:r>
          </w:p>
        </w:tc>
        <w:tc>
          <w:tcPr>
            <w:tcW w:w="5088" w:type="dxa"/>
          </w:tcPr>
          <w:p w:rsidR="00D311E7" w:rsidRPr="003D0A3E" w:rsidRDefault="00D311E7"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bold"/>
                <w:b w:val="0"/>
              </w:rPr>
            </w:pPr>
            <w:r w:rsidRPr="003D0A3E">
              <w:rPr>
                <w:rStyle w:val="AERtextbold"/>
                <w:b w:val="0"/>
              </w:rPr>
              <w:t>88.98</w:t>
            </w:r>
          </w:p>
        </w:tc>
      </w:tr>
      <w:tr w:rsidR="00D311E7" w:rsidTr="00D274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092" w:type="dxa"/>
          </w:tcPr>
          <w:p w:rsidR="00D311E7" w:rsidRPr="00AA7FCC" w:rsidRDefault="00D311E7" w:rsidP="007848A6">
            <w:pPr>
              <w:pStyle w:val="AERtabletextleft"/>
            </w:pPr>
            <w:r>
              <w:t>Technical specialist</w:t>
            </w:r>
          </w:p>
        </w:tc>
        <w:tc>
          <w:tcPr>
            <w:tcW w:w="5088" w:type="dxa"/>
          </w:tcPr>
          <w:p w:rsidR="00D311E7" w:rsidRPr="003D0A3E" w:rsidRDefault="00D311E7"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bold"/>
                <w:b w:val="0"/>
              </w:rPr>
            </w:pPr>
            <w:r w:rsidRPr="003D0A3E">
              <w:rPr>
                <w:rStyle w:val="AERtextbold"/>
                <w:b w:val="0"/>
              </w:rPr>
              <w:t>142.49</w:t>
            </w:r>
          </w:p>
        </w:tc>
      </w:tr>
      <w:tr w:rsidR="00D311E7" w:rsidTr="00D2749E">
        <w:tc>
          <w:tcPr>
            <w:cnfStyle w:val="001000000000" w:firstRow="0" w:lastRow="0" w:firstColumn="1" w:lastColumn="0" w:oddVBand="0" w:evenVBand="0" w:oddHBand="0" w:evenHBand="0" w:firstRowFirstColumn="0" w:firstRowLastColumn="0" w:lastRowFirstColumn="0" w:lastRowLastColumn="0"/>
            <w:tcW w:w="4092" w:type="dxa"/>
          </w:tcPr>
          <w:p w:rsidR="00D311E7" w:rsidRPr="00AA7FCC" w:rsidRDefault="00D311E7" w:rsidP="007848A6">
            <w:pPr>
              <w:pStyle w:val="AERtabletextleft"/>
            </w:pPr>
            <w:r>
              <w:t>EO 7/Engineer</w:t>
            </w:r>
          </w:p>
        </w:tc>
        <w:tc>
          <w:tcPr>
            <w:tcW w:w="5088" w:type="dxa"/>
          </w:tcPr>
          <w:p w:rsidR="00D311E7" w:rsidRPr="003D0A3E" w:rsidRDefault="00D311E7"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bold"/>
                <w:b w:val="0"/>
              </w:rPr>
            </w:pPr>
            <w:r w:rsidRPr="003D0A3E">
              <w:rPr>
                <w:rStyle w:val="AERtextbold"/>
                <w:b w:val="0"/>
              </w:rPr>
              <w:t>165.75</w:t>
            </w:r>
          </w:p>
        </w:tc>
      </w:tr>
      <w:tr w:rsidR="00D311E7" w:rsidTr="00D274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092" w:type="dxa"/>
          </w:tcPr>
          <w:p w:rsidR="00D311E7" w:rsidRPr="00AA7FCC" w:rsidRDefault="00D311E7" w:rsidP="007848A6">
            <w:pPr>
              <w:pStyle w:val="AERtabletextleft"/>
            </w:pPr>
            <w:r>
              <w:t>Field worker R4</w:t>
            </w:r>
          </w:p>
        </w:tc>
        <w:tc>
          <w:tcPr>
            <w:tcW w:w="5088" w:type="dxa"/>
          </w:tcPr>
          <w:p w:rsidR="00D311E7" w:rsidRPr="003D0A3E" w:rsidRDefault="00D311E7"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bold"/>
                <w:b w:val="0"/>
              </w:rPr>
            </w:pPr>
            <w:r w:rsidRPr="003D0A3E">
              <w:rPr>
                <w:rStyle w:val="AERtextbold"/>
                <w:b w:val="0"/>
              </w:rPr>
              <w:t>112.65</w:t>
            </w:r>
          </w:p>
        </w:tc>
      </w:tr>
      <w:tr w:rsidR="00D311E7" w:rsidTr="00D2749E">
        <w:tc>
          <w:tcPr>
            <w:cnfStyle w:val="001000000000" w:firstRow="0" w:lastRow="0" w:firstColumn="1" w:lastColumn="0" w:oddVBand="0" w:evenVBand="0" w:oddHBand="0" w:evenHBand="0" w:firstRowFirstColumn="0" w:firstRowLastColumn="0" w:lastRowFirstColumn="0" w:lastRowLastColumn="0"/>
            <w:tcW w:w="4092" w:type="dxa"/>
          </w:tcPr>
          <w:p w:rsidR="00D311E7" w:rsidRPr="00AA7FCC" w:rsidRDefault="00D311E7" w:rsidP="007848A6">
            <w:pPr>
              <w:pStyle w:val="AERtabletextleft"/>
            </w:pPr>
            <w:r>
              <w:t>Senior Engineer</w:t>
            </w:r>
          </w:p>
        </w:tc>
        <w:tc>
          <w:tcPr>
            <w:tcW w:w="5088" w:type="dxa"/>
          </w:tcPr>
          <w:p w:rsidR="00D311E7" w:rsidRPr="003D0A3E" w:rsidRDefault="00D311E7"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bold"/>
                <w:b w:val="0"/>
              </w:rPr>
            </w:pPr>
            <w:r w:rsidRPr="003D0A3E">
              <w:rPr>
                <w:rStyle w:val="AERtextbold"/>
                <w:b w:val="0"/>
              </w:rPr>
              <w:t>169.40</w:t>
            </w:r>
          </w:p>
        </w:tc>
      </w:tr>
    </w:tbl>
    <w:p w:rsidR="00D311E7" w:rsidRPr="003D0A3E" w:rsidRDefault="003D0A3E" w:rsidP="003D0A3E">
      <w:pPr>
        <w:pStyle w:val="AERtablesource"/>
        <w:rPr>
          <w:rStyle w:val="AERbody"/>
          <w:sz w:val="16"/>
        </w:rPr>
      </w:pPr>
      <w:r w:rsidRPr="003D0A3E">
        <w:rPr>
          <w:rStyle w:val="AERbody"/>
          <w:sz w:val="16"/>
        </w:rPr>
        <w:t>Source: Marsden Jacob.</w:t>
      </w:r>
    </w:p>
    <w:p w:rsidR="00D311E7" w:rsidRDefault="00D311E7" w:rsidP="00D311E7">
      <w:pPr>
        <w:pStyle w:val="AERbodytext"/>
        <w:numPr>
          <w:ilvl w:val="0"/>
          <w:numId w:val="0"/>
        </w:numPr>
        <w:rPr>
          <w:rStyle w:val="AERtexthighlight"/>
        </w:rPr>
      </w:pPr>
      <w:r>
        <w:rPr>
          <w:rStyle w:val="AERbody"/>
        </w:rPr>
        <w:t>The following</w:t>
      </w:r>
      <w:r w:rsidR="00D2749E">
        <w:rPr>
          <w:rStyle w:val="AERbody"/>
        </w:rPr>
        <w:t xml:space="preserve"> </w:t>
      </w:r>
      <w:r w:rsidR="00D2749E">
        <w:rPr>
          <w:rStyle w:val="AERbody"/>
        </w:rPr>
        <w:fldChar w:fldCharType="begin"/>
      </w:r>
      <w:r w:rsidR="00D2749E">
        <w:rPr>
          <w:rStyle w:val="AERbody"/>
        </w:rPr>
        <w:instrText xml:space="preserve"> REF _Ref401861497 \h </w:instrText>
      </w:r>
      <w:r w:rsidR="00D2749E">
        <w:rPr>
          <w:rStyle w:val="AERbody"/>
        </w:rPr>
      </w:r>
      <w:r w:rsidR="00D2749E">
        <w:rPr>
          <w:rStyle w:val="AERbody"/>
        </w:rPr>
        <w:fldChar w:fldCharType="separate"/>
      </w:r>
      <w:r w:rsidR="00D2749E">
        <w:t xml:space="preserve">Table </w:t>
      </w:r>
      <w:r w:rsidR="00D2749E">
        <w:rPr>
          <w:noProof/>
        </w:rPr>
        <w:t>16</w:t>
      </w:r>
      <w:r w:rsidR="00D2749E">
        <w:noBreakHyphen/>
      </w:r>
      <w:r w:rsidR="00D2749E">
        <w:rPr>
          <w:noProof/>
        </w:rPr>
        <w:t>5</w:t>
      </w:r>
      <w:r w:rsidR="00D2749E">
        <w:rPr>
          <w:rStyle w:val="AERbody"/>
        </w:rPr>
        <w:fldChar w:fldCharType="end"/>
      </w:r>
      <w:r w:rsidR="00D2749E">
        <w:rPr>
          <w:rStyle w:val="AERbody"/>
        </w:rPr>
        <w:t xml:space="preserve"> </w:t>
      </w:r>
      <w:r>
        <w:rPr>
          <w:rStyle w:val="AERbody"/>
        </w:rPr>
        <w:t xml:space="preserve"> sets out the escalation rates for each year that can apply to the labour rates set out in</w:t>
      </w:r>
      <w:r w:rsidR="00D2749E">
        <w:rPr>
          <w:rStyle w:val="AERbody"/>
        </w:rPr>
        <w:t xml:space="preserve"> </w:t>
      </w:r>
      <w:r w:rsidR="00D2749E">
        <w:rPr>
          <w:rStyle w:val="AERbody"/>
        </w:rPr>
        <w:fldChar w:fldCharType="begin"/>
      </w:r>
      <w:r w:rsidR="00D2749E">
        <w:rPr>
          <w:rStyle w:val="AERbody"/>
        </w:rPr>
        <w:instrText xml:space="preserve"> REF _Ref401861456 \h </w:instrText>
      </w:r>
      <w:r w:rsidR="00D2749E">
        <w:rPr>
          <w:rStyle w:val="AERbody"/>
        </w:rPr>
      </w:r>
      <w:r w:rsidR="00D2749E">
        <w:rPr>
          <w:rStyle w:val="AERbody"/>
        </w:rPr>
        <w:fldChar w:fldCharType="separate"/>
      </w:r>
      <w:r w:rsidR="00D2749E">
        <w:t xml:space="preserve">Table </w:t>
      </w:r>
      <w:r w:rsidR="00D2749E">
        <w:rPr>
          <w:noProof/>
        </w:rPr>
        <w:t>16</w:t>
      </w:r>
      <w:r w:rsidR="00D2749E">
        <w:noBreakHyphen/>
      </w:r>
      <w:r w:rsidR="00D2749E">
        <w:rPr>
          <w:noProof/>
        </w:rPr>
        <w:t>4</w:t>
      </w:r>
      <w:r w:rsidR="00D2749E">
        <w:rPr>
          <w:rStyle w:val="AERbody"/>
        </w:rPr>
        <w:fldChar w:fldCharType="end"/>
      </w:r>
      <w:r>
        <w:rPr>
          <w:rStyle w:val="AERbody"/>
        </w:rPr>
        <w:t xml:space="preserve"> (for discussion on the escalation factor see</w:t>
      </w:r>
      <w:r w:rsidR="008E0136">
        <w:rPr>
          <w:rStyle w:val="AERbody"/>
        </w:rPr>
        <w:t xml:space="preserve"> our </w:t>
      </w:r>
      <w:r w:rsidR="007F7D5C">
        <w:rPr>
          <w:rStyle w:val="AERbody"/>
        </w:rPr>
        <w:t>Opex rate of change</w:t>
      </w:r>
      <w:r w:rsidR="008E0136">
        <w:rPr>
          <w:rStyle w:val="AERbody"/>
        </w:rPr>
        <w:t xml:space="preserve"> Attachment)</w:t>
      </w:r>
      <w:r w:rsidR="007F7D5C">
        <w:rPr>
          <w:rStyle w:val="AERbody"/>
        </w:rPr>
        <w:t>.</w:t>
      </w:r>
    </w:p>
    <w:p w:rsidR="00D311E7" w:rsidRPr="00275D4C" w:rsidRDefault="00D311E7" w:rsidP="00D311E7">
      <w:pPr>
        <w:pStyle w:val="Caption"/>
      </w:pPr>
      <w:bookmarkStart w:id="26" w:name="_Ref401861497"/>
      <w:r>
        <w:t xml:space="preserve">Table </w:t>
      </w:r>
      <w:r w:rsidR="004667DE">
        <w:fldChar w:fldCharType="begin"/>
      </w:r>
      <w:r w:rsidR="004667DE">
        <w:instrText xml:space="preserve"> STYLEREF 1 \s </w:instrText>
      </w:r>
      <w:r w:rsidR="004667DE">
        <w:fldChar w:fldCharType="separate"/>
      </w:r>
      <w:r w:rsidR="003E262F">
        <w:rPr>
          <w:noProof/>
        </w:rPr>
        <w:t>16</w:t>
      </w:r>
      <w:r w:rsidR="004667DE">
        <w:rPr>
          <w:noProof/>
        </w:rPr>
        <w:fldChar w:fldCharType="end"/>
      </w:r>
      <w:r w:rsidR="003E262F">
        <w:noBreakHyphen/>
      </w:r>
      <w:r w:rsidR="004667DE">
        <w:fldChar w:fldCharType="begin"/>
      </w:r>
      <w:r w:rsidR="004667DE">
        <w:instrText xml:space="preserve"> SEQ Table \* ARABIC \s 1 </w:instrText>
      </w:r>
      <w:r w:rsidR="004667DE">
        <w:fldChar w:fldCharType="separate"/>
      </w:r>
      <w:r w:rsidR="003E262F">
        <w:rPr>
          <w:noProof/>
        </w:rPr>
        <w:t>5</w:t>
      </w:r>
      <w:r w:rsidR="004667DE">
        <w:rPr>
          <w:noProof/>
        </w:rPr>
        <w:fldChar w:fldCharType="end"/>
      </w:r>
      <w:bookmarkEnd w:id="26"/>
      <w:r>
        <w:t xml:space="preserve"> </w:t>
      </w:r>
      <w:r w:rsidRPr="00275D4C">
        <w:t>AER draft decision on labour escalation factor to apply to maximum labour charge out rates for quoted services</w:t>
      </w:r>
    </w:p>
    <w:tbl>
      <w:tblPr>
        <w:tblStyle w:val="AERtable-numbers"/>
        <w:tblW w:w="9180" w:type="dxa"/>
        <w:tblLayout w:type="fixed"/>
        <w:tblLook w:val="04A0" w:firstRow="1" w:lastRow="0" w:firstColumn="1" w:lastColumn="0" w:noHBand="0" w:noVBand="1"/>
      </w:tblPr>
      <w:tblGrid>
        <w:gridCol w:w="2180"/>
        <w:gridCol w:w="1750"/>
        <w:gridCol w:w="1750"/>
        <w:gridCol w:w="1750"/>
        <w:gridCol w:w="1750"/>
      </w:tblGrid>
      <w:tr w:rsidR="00D311E7" w:rsidTr="00D2749E">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180" w:type="dxa"/>
            <w:noWrap/>
            <w:hideMark/>
          </w:tcPr>
          <w:p w:rsidR="00D311E7" w:rsidRPr="00AB2D97" w:rsidRDefault="00D311E7" w:rsidP="007848A6">
            <w:pPr>
              <w:pStyle w:val="AERtabletextleft"/>
            </w:pPr>
            <w:r w:rsidRPr="00AB2D97">
              <w:t> </w:t>
            </w:r>
          </w:p>
        </w:tc>
        <w:tc>
          <w:tcPr>
            <w:tcW w:w="1750" w:type="dxa"/>
            <w:hideMark/>
          </w:tcPr>
          <w:p w:rsidR="00D311E7" w:rsidRPr="00AB2D97" w:rsidRDefault="00D311E7" w:rsidP="007F7D5C">
            <w:pPr>
              <w:pStyle w:val="AERtabletextright"/>
              <w:cnfStyle w:val="100000000000" w:firstRow="1" w:lastRow="0" w:firstColumn="0" w:lastColumn="0" w:oddVBand="0" w:evenVBand="0" w:oddHBand="0" w:evenHBand="0" w:firstRowFirstColumn="0" w:firstRowLastColumn="0" w:lastRowFirstColumn="0" w:lastRowLastColumn="0"/>
            </w:pPr>
            <w:r w:rsidRPr="00AB2D97">
              <w:t>2015–16</w:t>
            </w:r>
          </w:p>
        </w:tc>
        <w:tc>
          <w:tcPr>
            <w:tcW w:w="1750" w:type="dxa"/>
            <w:hideMark/>
          </w:tcPr>
          <w:p w:rsidR="00D311E7" w:rsidRPr="00AB2D97" w:rsidRDefault="00D311E7" w:rsidP="007F7D5C">
            <w:pPr>
              <w:pStyle w:val="AERtabletextright"/>
              <w:cnfStyle w:val="100000000000" w:firstRow="1" w:lastRow="0" w:firstColumn="0" w:lastColumn="0" w:oddVBand="0" w:evenVBand="0" w:oddHBand="0" w:evenHBand="0" w:firstRowFirstColumn="0" w:firstRowLastColumn="0" w:lastRowFirstColumn="0" w:lastRowLastColumn="0"/>
            </w:pPr>
            <w:r w:rsidRPr="00AB2D97">
              <w:t>2016–17</w:t>
            </w:r>
          </w:p>
        </w:tc>
        <w:tc>
          <w:tcPr>
            <w:tcW w:w="1750" w:type="dxa"/>
            <w:hideMark/>
          </w:tcPr>
          <w:p w:rsidR="00D311E7" w:rsidRPr="00AB2D97" w:rsidRDefault="00D311E7" w:rsidP="007F7D5C">
            <w:pPr>
              <w:pStyle w:val="AERtabletextright"/>
              <w:cnfStyle w:val="100000000000" w:firstRow="1" w:lastRow="0" w:firstColumn="0" w:lastColumn="0" w:oddVBand="0" w:evenVBand="0" w:oddHBand="0" w:evenHBand="0" w:firstRowFirstColumn="0" w:firstRowLastColumn="0" w:lastRowFirstColumn="0" w:lastRowLastColumn="0"/>
            </w:pPr>
            <w:r w:rsidRPr="00AB2D97">
              <w:t>2017–18</w:t>
            </w:r>
          </w:p>
        </w:tc>
        <w:tc>
          <w:tcPr>
            <w:tcW w:w="1750" w:type="dxa"/>
            <w:hideMark/>
          </w:tcPr>
          <w:p w:rsidR="00D311E7" w:rsidRPr="00AB2D97" w:rsidRDefault="00D311E7" w:rsidP="007F7D5C">
            <w:pPr>
              <w:pStyle w:val="AERtabletextright"/>
              <w:cnfStyle w:val="100000000000" w:firstRow="1" w:lastRow="0" w:firstColumn="0" w:lastColumn="0" w:oddVBand="0" w:evenVBand="0" w:oddHBand="0" w:evenHBand="0" w:firstRowFirstColumn="0" w:firstRowLastColumn="0" w:lastRowFirstColumn="0" w:lastRowLastColumn="0"/>
            </w:pPr>
            <w:r w:rsidRPr="00AB2D97">
              <w:t>2018–19</w:t>
            </w:r>
          </w:p>
        </w:tc>
      </w:tr>
      <w:tr w:rsidR="00D311E7" w:rsidTr="00D2749E">
        <w:trPr>
          <w:trHeight w:val="300"/>
        </w:trPr>
        <w:tc>
          <w:tcPr>
            <w:cnfStyle w:val="001000000000" w:firstRow="0" w:lastRow="0" w:firstColumn="1" w:lastColumn="0" w:oddVBand="0" w:evenVBand="0" w:oddHBand="0" w:evenHBand="0" w:firstRowFirstColumn="0" w:firstRowLastColumn="0" w:lastRowFirstColumn="0" w:lastRowLastColumn="0"/>
            <w:tcW w:w="2180" w:type="dxa"/>
            <w:noWrap/>
            <w:hideMark/>
          </w:tcPr>
          <w:p w:rsidR="00D311E7" w:rsidRPr="00AB2D97" w:rsidRDefault="00D311E7" w:rsidP="007848A6">
            <w:pPr>
              <w:pStyle w:val="AERtabletextleft"/>
            </w:pPr>
            <w:r>
              <w:t>Labour escalation factor</w:t>
            </w:r>
          </w:p>
        </w:tc>
        <w:tc>
          <w:tcPr>
            <w:tcW w:w="1750" w:type="dxa"/>
            <w:noWrap/>
            <w:hideMark/>
          </w:tcPr>
          <w:p w:rsidR="00D311E7" w:rsidRPr="00AB2D97" w:rsidRDefault="00D311E7" w:rsidP="007F7D5C">
            <w:pPr>
              <w:pStyle w:val="AERtabletextright"/>
              <w:cnfStyle w:val="000000000000" w:firstRow="0" w:lastRow="0" w:firstColumn="0" w:lastColumn="0" w:oddVBand="0" w:evenVBand="0" w:oddHBand="0" w:evenHBand="0" w:firstRowFirstColumn="0" w:firstRowLastColumn="0" w:lastRowFirstColumn="0" w:lastRowLastColumn="0"/>
            </w:pPr>
            <w:r w:rsidRPr="00AB2D97">
              <w:t>0.54</w:t>
            </w:r>
          </w:p>
        </w:tc>
        <w:tc>
          <w:tcPr>
            <w:tcW w:w="1750" w:type="dxa"/>
            <w:noWrap/>
            <w:hideMark/>
          </w:tcPr>
          <w:p w:rsidR="00D311E7" w:rsidRPr="00AB2D97" w:rsidRDefault="00D311E7" w:rsidP="007F7D5C">
            <w:pPr>
              <w:pStyle w:val="AERtabletextright"/>
              <w:cnfStyle w:val="000000000000" w:firstRow="0" w:lastRow="0" w:firstColumn="0" w:lastColumn="0" w:oddVBand="0" w:evenVBand="0" w:oddHBand="0" w:evenHBand="0" w:firstRowFirstColumn="0" w:firstRowLastColumn="0" w:lastRowFirstColumn="0" w:lastRowLastColumn="0"/>
            </w:pPr>
            <w:r w:rsidRPr="00AB2D97">
              <w:t>0.87</w:t>
            </w:r>
          </w:p>
        </w:tc>
        <w:tc>
          <w:tcPr>
            <w:tcW w:w="1750" w:type="dxa"/>
            <w:noWrap/>
            <w:hideMark/>
          </w:tcPr>
          <w:p w:rsidR="00D311E7" w:rsidRPr="00AB2D97" w:rsidRDefault="00D311E7" w:rsidP="007F7D5C">
            <w:pPr>
              <w:pStyle w:val="AERtabletextright"/>
              <w:cnfStyle w:val="000000000000" w:firstRow="0" w:lastRow="0" w:firstColumn="0" w:lastColumn="0" w:oddVBand="0" w:evenVBand="0" w:oddHBand="0" w:evenHBand="0" w:firstRowFirstColumn="0" w:firstRowLastColumn="0" w:lastRowFirstColumn="0" w:lastRowLastColumn="0"/>
            </w:pPr>
            <w:r w:rsidRPr="00AB2D97">
              <w:t>1.00</w:t>
            </w:r>
          </w:p>
        </w:tc>
        <w:tc>
          <w:tcPr>
            <w:tcW w:w="1750" w:type="dxa"/>
            <w:noWrap/>
            <w:hideMark/>
          </w:tcPr>
          <w:p w:rsidR="00D311E7" w:rsidRPr="00AB2D97" w:rsidRDefault="00D311E7" w:rsidP="007F7D5C">
            <w:pPr>
              <w:pStyle w:val="AERtabletextright"/>
              <w:cnfStyle w:val="000000000000" w:firstRow="0" w:lastRow="0" w:firstColumn="0" w:lastColumn="0" w:oddVBand="0" w:evenVBand="0" w:oddHBand="0" w:evenHBand="0" w:firstRowFirstColumn="0" w:firstRowLastColumn="0" w:lastRowFirstColumn="0" w:lastRowLastColumn="0"/>
            </w:pPr>
            <w:r w:rsidRPr="00AB2D97">
              <w:t>0.89</w:t>
            </w:r>
          </w:p>
        </w:tc>
      </w:tr>
    </w:tbl>
    <w:p w:rsidR="00D311E7" w:rsidRPr="003D0A3E" w:rsidRDefault="003D0A3E" w:rsidP="003D0A3E">
      <w:pPr>
        <w:pStyle w:val="AERtablesource"/>
        <w:rPr>
          <w:rStyle w:val="AERbody"/>
          <w:sz w:val="16"/>
        </w:rPr>
      </w:pPr>
      <w:r w:rsidRPr="007B6BF1">
        <w:t>Source: AER analysis</w:t>
      </w:r>
      <w:r w:rsidRPr="003D0A3E">
        <w:rPr>
          <w:rStyle w:val="AERbody"/>
          <w:sz w:val="16"/>
        </w:rPr>
        <w:t>.</w:t>
      </w:r>
    </w:p>
    <w:p w:rsidR="00D311E7" w:rsidRDefault="00D311E7" w:rsidP="00D311E7">
      <w:pPr>
        <w:pStyle w:val="Heading3"/>
      </w:pPr>
      <w:bookmarkStart w:id="27" w:name="_Toc404324955"/>
      <w:r>
        <w:t>Proposal</w:t>
      </w:r>
      <w:bookmarkEnd w:id="27"/>
    </w:p>
    <w:p w:rsidR="00D311E7" w:rsidRDefault="00D311E7" w:rsidP="00D311E7">
      <w:pPr>
        <w:pStyle w:val="AERbodytext"/>
        <w:numPr>
          <w:ilvl w:val="0"/>
          <w:numId w:val="0"/>
        </w:numPr>
      </w:pPr>
      <w:r>
        <w:t>Endeav</w:t>
      </w:r>
      <w:r w:rsidR="007B6BF1">
        <w:t>our Energy has adopted the</w:t>
      </w:r>
      <w:r>
        <w:t xml:space="preserve"> classification of services as per our Framework and Approach Paper Stage 1. Endeavour Energy does not propose any changes to the form of control formulae.</w:t>
      </w:r>
      <w:r>
        <w:rPr>
          <w:rStyle w:val="FootnoteReference"/>
        </w:rPr>
        <w:footnoteReference w:id="8"/>
      </w:r>
    </w:p>
    <w:p w:rsidR="00D311E7" w:rsidRDefault="00D311E7" w:rsidP="00D311E7">
      <w:pPr>
        <w:pStyle w:val="AERbodytext"/>
        <w:numPr>
          <w:ilvl w:val="0"/>
          <w:numId w:val="0"/>
        </w:numPr>
      </w:pPr>
      <w:r>
        <w:t>Endeavour Energy has proposed price increases for their ancillary network services which are currently titled as monopoly and miscellaneous services.</w:t>
      </w:r>
      <w:r w:rsidRPr="00DC7F0A">
        <w:t xml:space="preserve"> </w:t>
      </w:r>
    </w:p>
    <w:p w:rsidR="00D311E7" w:rsidRDefault="00D311E7" w:rsidP="00D311E7">
      <w:pPr>
        <w:pStyle w:val="AERquote"/>
      </w:pPr>
      <w:r>
        <w:t>It should be noted that the prices for many of these services were originally set by IPART in our 1999 determination. Since that time, costs have been indexed to inflation every five years and not reviewed in detail. As such, many of these services have been historically under-costed and subsidised by our standard control services. The change in classification recognises this issue and our goal has been to fully cost and separate these non-standard services.</w:t>
      </w:r>
      <w:r>
        <w:rPr>
          <w:rStyle w:val="FootnoteReference"/>
        </w:rPr>
        <w:footnoteReference w:id="9"/>
      </w:r>
    </w:p>
    <w:p w:rsidR="00D311E7" w:rsidRDefault="00D311E7" w:rsidP="00D311E7">
      <w:pPr>
        <w:pStyle w:val="AERbodytext"/>
      </w:pPr>
      <w:r w:rsidRPr="00DC7F0A">
        <w:t>Endeavour Energy has also proposed 17 new services.</w:t>
      </w:r>
      <w:r w:rsidR="008019E5">
        <w:t xml:space="preserve"> </w:t>
      </w:r>
      <w:r w:rsidR="00072E4E">
        <w:t xml:space="preserve">Appendix </w:t>
      </w:r>
      <w:r w:rsidR="00072E4E">
        <w:fldChar w:fldCharType="begin"/>
      </w:r>
      <w:r w:rsidR="00072E4E">
        <w:instrText xml:space="preserve"> REF _Ref403659714 \r \h </w:instrText>
      </w:r>
      <w:r w:rsidR="00072E4E">
        <w:fldChar w:fldCharType="separate"/>
      </w:r>
      <w:r w:rsidR="000A6EFE">
        <w:t>A.1.1</w:t>
      </w:r>
      <w:r w:rsidR="00072E4E">
        <w:fldChar w:fldCharType="end"/>
      </w:r>
      <w:r w:rsidR="00072E4E">
        <w:t xml:space="preserve"> </w:t>
      </w:r>
      <w:r>
        <w:t>sets out Endeavour Energy's proposed prices for ancillary network services.</w:t>
      </w:r>
    </w:p>
    <w:p w:rsidR="00D311E7" w:rsidRDefault="00D311E7" w:rsidP="00D311E7">
      <w:pPr>
        <w:pStyle w:val="AERbodytext"/>
      </w:pPr>
      <w:r>
        <w:t>Endeavour Energy calculated the proposed fees for its services in the first year of the regulatory control period using one of three methodologies described below. For the subsequent years of the regulatory control period Endeavour Energy has proposed increases in the fee of five per cent per annum.</w:t>
      </w:r>
    </w:p>
    <w:p w:rsidR="00D311E7" w:rsidRDefault="00D311E7" w:rsidP="007B6BF1">
      <w:pPr>
        <w:pStyle w:val="AERbodytext"/>
      </w:pPr>
      <w:r>
        <w:t>1. Historical averages</w:t>
      </w:r>
    </w:p>
    <w:p w:rsidR="00D311E7" w:rsidRPr="004911D5" w:rsidRDefault="00D311E7" w:rsidP="00D311E7">
      <w:pPr>
        <w:pStyle w:val="AERbodytext"/>
        <w:numPr>
          <w:ilvl w:val="0"/>
          <w:numId w:val="0"/>
        </w:numPr>
      </w:pPr>
      <w:r>
        <w:t>Under this approach Endeavour Energy</w:t>
      </w:r>
      <w:r w:rsidRPr="004911D5">
        <w:t xml:space="preserve"> extracted three years of historical data</w:t>
      </w:r>
      <w:r>
        <w:t xml:space="preserve"> (direct operating cost data) </w:t>
      </w:r>
      <w:r w:rsidRPr="004911D5">
        <w:t>to identify the types of employees involved in each of the ancillary network services.</w:t>
      </w:r>
    </w:p>
    <w:p w:rsidR="00D311E7" w:rsidRDefault="00D311E7" w:rsidP="00D311E7">
      <w:r w:rsidRPr="004911D5">
        <w:t>For each of the three years, the total operating costs (predominantly labour) were divided by labour hours to</w:t>
      </w:r>
      <w:r>
        <w:t xml:space="preserve"> </w:t>
      </w:r>
      <w:r w:rsidRPr="004911D5">
        <w:t>derive an average hourly rate. This was then combined with the standard hours for each</w:t>
      </w:r>
      <w:r>
        <w:t xml:space="preserve"> </w:t>
      </w:r>
      <w:r w:rsidRPr="004911D5">
        <w:t>activity to achieve the individual unit rates within each category.</w:t>
      </w:r>
    </w:p>
    <w:p w:rsidR="00D311E7" w:rsidRDefault="00D311E7" w:rsidP="007B6BF1">
      <w:pPr>
        <w:pStyle w:val="AERbodytext"/>
      </w:pPr>
      <w:r>
        <w:t xml:space="preserve">2. Bottom up approach  </w:t>
      </w:r>
    </w:p>
    <w:p w:rsidR="00D311E7" w:rsidRDefault="00D311E7" w:rsidP="00D311E7">
      <w:r>
        <w:t>Under this approach</w:t>
      </w:r>
      <w:r w:rsidRPr="004911D5">
        <w:t xml:space="preserve"> </w:t>
      </w:r>
      <w:r>
        <w:t>Endeavour Energy</w:t>
      </w:r>
      <w:r w:rsidRPr="004911D5">
        <w:t xml:space="preserve"> </w:t>
      </w:r>
      <w:r>
        <w:t>identified</w:t>
      </w:r>
      <w:r w:rsidRPr="004911D5">
        <w:t xml:space="preserve"> the type of employee who carried out the service, an average hourly rate was</w:t>
      </w:r>
      <w:r>
        <w:t xml:space="preserve"> </w:t>
      </w:r>
      <w:r w:rsidRPr="004911D5">
        <w:t>determined and an estimate provided for the average time it</w:t>
      </w:r>
      <w:r>
        <w:t xml:space="preserve"> took to carry out that service.</w:t>
      </w:r>
    </w:p>
    <w:p w:rsidR="00D311E7" w:rsidRDefault="00D311E7" w:rsidP="007B6BF1">
      <w:pPr>
        <w:pStyle w:val="AERbodytext"/>
      </w:pPr>
      <w:r>
        <w:t xml:space="preserve">3. Operating costs divided by volumes </w:t>
      </w:r>
    </w:p>
    <w:p w:rsidR="00D311E7" w:rsidRDefault="00D311E7" w:rsidP="00D311E7">
      <w:r>
        <w:t>Under this approach Endeavour Energy</w:t>
      </w:r>
      <w:r w:rsidRPr="006625CF">
        <w:t xml:space="preserve"> estimated total operating costs associated with a particular</w:t>
      </w:r>
      <w:r>
        <w:t xml:space="preserve"> </w:t>
      </w:r>
      <w:r w:rsidRPr="006625CF">
        <w:t>service. To determine the unit rates for these services the total direct operating costs were divided by the</w:t>
      </w:r>
      <w:r>
        <w:t xml:space="preserve"> </w:t>
      </w:r>
      <w:r w:rsidRPr="006625CF">
        <w:t>appropriate volume driver.</w:t>
      </w:r>
      <w:r>
        <w:t xml:space="preserve"> </w:t>
      </w:r>
    </w:p>
    <w:p w:rsidR="00D311E7" w:rsidRDefault="00D311E7" w:rsidP="00D311E7">
      <w:pPr>
        <w:pStyle w:val="Heading3"/>
      </w:pPr>
      <w:bookmarkStart w:id="28" w:name="_Toc404324956"/>
      <w:r>
        <w:t>Submissions</w:t>
      </w:r>
      <w:bookmarkEnd w:id="28"/>
    </w:p>
    <w:p w:rsidR="00D311E7" w:rsidRPr="004A5C8D" w:rsidRDefault="007B6BF1" w:rsidP="00D311E7">
      <w:pPr>
        <w:pStyle w:val="AERbodytext"/>
      </w:pPr>
      <w:r>
        <w:t>We</w:t>
      </w:r>
      <w:r w:rsidR="00D311E7">
        <w:t xml:space="preserve"> received submissions from AGL and Origin Energy that the fees proposed for ancillary network services are too high when compared with fees for equivalent services provided interstate. In particular AGL commented that the fees for de-</w:t>
      </w:r>
      <w:proofErr w:type="spellStart"/>
      <w:r w:rsidR="00D311E7">
        <w:t>energisation</w:t>
      </w:r>
      <w:proofErr w:type="spellEnd"/>
      <w:r w:rsidR="00D311E7">
        <w:t xml:space="preserve"> and re-</w:t>
      </w:r>
      <w:proofErr w:type="spellStart"/>
      <w:r w:rsidR="00CD713E">
        <w:t>energisation</w:t>
      </w:r>
      <w:proofErr w:type="spellEnd"/>
      <w:r w:rsidR="00D311E7">
        <w:t xml:space="preserve"> move in and move out meter reads and meter tests were too high</w:t>
      </w:r>
      <w:r w:rsidR="00D311E7" w:rsidRPr="00446444">
        <w:t>.</w:t>
      </w:r>
      <w:r w:rsidR="00D311E7">
        <w:rPr>
          <w:rStyle w:val="FootnoteReference"/>
        </w:rPr>
        <w:footnoteReference w:id="10"/>
      </w:r>
      <w:r w:rsidR="00D311E7">
        <w:t xml:space="preserve"> AGL submits that </w:t>
      </w:r>
      <w:r w:rsidR="00D311E7" w:rsidRPr="004A5C8D">
        <w:t xml:space="preserve">Endeavour </w:t>
      </w:r>
      <w:r w:rsidR="00D311E7">
        <w:t>(</w:t>
      </w:r>
      <w:r w:rsidR="00D311E7" w:rsidRPr="004A5C8D">
        <w:t>and Essential's</w:t>
      </w:r>
      <w:r w:rsidR="00D311E7">
        <w:t>)</w:t>
      </w:r>
      <w:r w:rsidR="00D311E7" w:rsidRPr="004A5C8D">
        <w:t xml:space="preserve"> proposed fees should align more closely with special read fees in other states.</w:t>
      </w:r>
      <w:r w:rsidR="00D311E7" w:rsidRPr="004A5C8D">
        <w:rPr>
          <w:rStyle w:val="FootnoteReference"/>
        </w:rPr>
        <w:footnoteReference w:id="11"/>
      </w:r>
      <w:r w:rsidR="00D311E7" w:rsidRPr="004A5C8D">
        <w:t xml:space="preserve"> </w:t>
      </w:r>
    </w:p>
    <w:p w:rsidR="00D311E7" w:rsidRDefault="00D311E7" w:rsidP="00D311E7">
      <w:pPr>
        <w:pStyle w:val="AERbodytext"/>
      </w:pPr>
      <w:r>
        <w:t xml:space="preserve"> Further AGL submitted that in South Australia, Queensland and Victoria:</w:t>
      </w:r>
    </w:p>
    <w:p w:rsidR="00D311E7" w:rsidRPr="00BE6805" w:rsidRDefault="00D311E7" w:rsidP="00D311E7">
      <w:pPr>
        <w:pStyle w:val="AERbulletlistfirststyle"/>
      </w:pPr>
      <w:r>
        <w:t xml:space="preserve">There are separate </w:t>
      </w:r>
      <w:r w:rsidRPr="00BE6805">
        <w:t>de-</w:t>
      </w:r>
      <w:proofErr w:type="spellStart"/>
      <w:r w:rsidRPr="00BE6805">
        <w:t>energisation</w:t>
      </w:r>
      <w:proofErr w:type="spellEnd"/>
      <w:r w:rsidRPr="00BE6805">
        <w:t xml:space="preserve"> and re-</w:t>
      </w:r>
      <w:proofErr w:type="spellStart"/>
      <w:r w:rsidRPr="00BE6805">
        <w:t>energisation</w:t>
      </w:r>
      <w:proofErr w:type="spellEnd"/>
      <w:r w:rsidRPr="00BE6805">
        <w:t xml:space="preserve"> fees. This provides greater transparen</w:t>
      </w:r>
      <w:r w:rsidR="007B6BF1">
        <w:t>cy for customers and retailers</w:t>
      </w:r>
    </w:p>
    <w:p w:rsidR="00D311E7" w:rsidRPr="00BE6805" w:rsidRDefault="00D311E7" w:rsidP="00D311E7">
      <w:pPr>
        <w:pStyle w:val="AERbulletlistfirststyle"/>
      </w:pPr>
      <w:r>
        <w:t>Separating fees makes additional services avai</w:t>
      </w:r>
      <w:r w:rsidR="007B6BF1">
        <w:t>lable</w:t>
      </w:r>
      <w:r>
        <w:t xml:space="preserve"> </w:t>
      </w:r>
    </w:p>
    <w:p w:rsidR="00D311E7" w:rsidRDefault="00D311E7" w:rsidP="00D311E7">
      <w:pPr>
        <w:pStyle w:val="AERbulletlistfirststyle"/>
      </w:pPr>
      <w:r>
        <w:t>To ensure that customers moving into a property that was disconnected are not disadvantaged, a general move-in fee is charged. This covers the cost of a move-in read, plus any re-</w:t>
      </w:r>
      <w:proofErr w:type="spellStart"/>
      <w:r>
        <w:t>energisation</w:t>
      </w:r>
      <w:proofErr w:type="spellEnd"/>
      <w:r>
        <w:t xml:space="preserve"> work.</w:t>
      </w:r>
      <w:r w:rsidRPr="00BE6805">
        <w:rPr>
          <w:rStyle w:val="FootnoteReference"/>
        </w:rPr>
        <w:footnoteReference w:id="12"/>
      </w:r>
      <w:r w:rsidRPr="00BE6805">
        <w:t xml:space="preserve"> </w:t>
      </w:r>
    </w:p>
    <w:p w:rsidR="00D311E7" w:rsidRDefault="00D311E7" w:rsidP="00D311E7">
      <w:pPr>
        <w:pStyle w:val="AERbodytext"/>
      </w:pPr>
      <w:r>
        <w:t>Regarding meter tests AGL submits that:</w:t>
      </w:r>
    </w:p>
    <w:p w:rsidR="00D311E7" w:rsidRPr="007130A2" w:rsidRDefault="00D311E7" w:rsidP="00D311E7">
      <w:pPr>
        <w:pStyle w:val="AERbulletlistfirststyle"/>
      </w:pPr>
      <w:r>
        <w:t>This significant fee increase is unjustified</w:t>
      </w:r>
    </w:p>
    <w:p w:rsidR="00D311E7" w:rsidRPr="007130A2" w:rsidRDefault="00D311E7" w:rsidP="00D311E7">
      <w:pPr>
        <w:pStyle w:val="AERbulletlistfirststyle"/>
      </w:pPr>
      <w:r>
        <w:t xml:space="preserve">Meter testing is often required in </w:t>
      </w:r>
      <w:r w:rsidRPr="007130A2">
        <w:t>resolving Ombudsman disputes; retailers often absorb this cost</w:t>
      </w:r>
    </w:p>
    <w:p w:rsidR="00D311E7" w:rsidRPr="007130A2" w:rsidRDefault="00D311E7" w:rsidP="00D311E7">
      <w:pPr>
        <w:pStyle w:val="AERbulletlistfirststyle"/>
      </w:pPr>
      <w:r>
        <w:t>Other states</w:t>
      </w:r>
      <w:r w:rsidRPr="007130A2">
        <w:t xml:space="preserve"> have different meter test fees to account for variability in the</w:t>
      </w:r>
      <w:r w:rsidR="007B6BF1">
        <w:t xml:space="preserve"> type of meter testing required</w:t>
      </w:r>
      <w:r w:rsidRPr="007130A2">
        <w:t xml:space="preserve">  </w:t>
      </w:r>
    </w:p>
    <w:p w:rsidR="00D311E7" w:rsidRPr="007130A2" w:rsidRDefault="00D311E7" w:rsidP="00D311E7">
      <w:pPr>
        <w:pStyle w:val="AERbulletlistfirststyle"/>
      </w:pPr>
      <w:r>
        <w:t>Residential sites tend to have single phase meters—these should be less expensive to test compared to multiphase meters. Having a range of meter test fees may be more appropriate. It would also reduce costs for residential customers.</w:t>
      </w:r>
      <w:r w:rsidRPr="007130A2">
        <w:rPr>
          <w:rStyle w:val="FootnoteReference"/>
        </w:rPr>
        <w:footnoteReference w:id="13"/>
      </w:r>
      <w:r w:rsidRPr="007130A2">
        <w:t xml:space="preserve"> </w:t>
      </w:r>
    </w:p>
    <w:p w:rsidR="00D311E7" w:rsidRDefault="00D311E7" w:rsidP="00D311E7">
      <w:pPr>
        <w:pStyle w:val="AERbodytext"/>
      </w:pPr>
      <w:r>
        <w:t>Origin supports AGL and submits that:</w:t>
      </w:r>
    </w:p>
    <w:p w:rsidR="00D311E7" w:rsidRPr="004A5C8D" w:rsidRDefault="00D311E7" w:rsidP="00D311E7">
      <w:pPr>
        <w:pStyle w:val="AERbulletlistfirststyle"/>
      </w:pPr>
      <w:r>
        <w:t>It is unclear why testing a meter should cost over $500 (in addition to the cost of</w:t>
      </w:r>
      <w:r w:rsidR="007B6BF1">
        <w:t xml:space="preserve"> sending personnel to the site)</w:t>
      </w:r>
      <w:r w:rsidRPr="00B60A7E">
        <w:rPr>
          <w:rStyle w:val="FootnoteReference"/>
        </w:rPr>
        <w:footnoteReference w:id="14"/>
      </w:r>
      <w:r w:rsidRPr="00B60A7E">
        <w:t xml:space="preserve"> </w:t>
      </w:r>
    </w:p>
    <w:p w:rsidR="00D311E7" w:rsidRPr="00446444" w:rsidRDefault="00D311E7" w:rsidP="00D311E7">
      <w:pPr>
        <w:pStyle w:val="AERbulletlistfirststyle"/>
      </w:pPr>
      <w:r>
        <w:t>No transition period for customers. This would lead to increased customer complaints for retailers to handle</w:t>
      </w:r>
      <w:r w:rsidRPr="00446444">
        <w:rPr>
          <w:rStyle w:val="FootnoteReference"/>
        </w:rPr>
        <w:footnoteReference w:id="15"/>
      </w:r>
    </w:p>
    <w:p w:rsidR="00D311E7" w:rsidRPr="00446444" w:rsidRDefault="00D311E7" w:rsidP="00D311E7">
      <w:pPr>
        <w:pStyle w:val="AERbulletlistfirststyle"/>
      </w:pPr>
      <w:r>
        <w:t>The cost could deter customers from getting their meter tested until t</w:t>
      </w:r>
      <w:r w:rsidR="007B6BF1">
        <w:t>he disputed amount exceeds $600</w:t>
      </w:r>
      <w:r w:rsidRPr="00446444">
        <w:rPr>
          <w:rStyle w:val="FootnoteReference"/>
        </w:rPr>
        <w:footnoteReference w:id="16"/>
      </w:r>
      <w:r w:rsidRPr="00446444">
        <w:t xml:space="preserve"> </w:t>
      </w:r>
    </w:p>
    <w:p w:rsidR="00D311E7" w:rsidRPr="00446444" w:rsidRDefault="00D311E7" w:rsidP="00D311E7">
      <w:pPr>
        <w:pStyle w:val="AERbulletlistfirststyle"/>
      </w:pPr>
      <w:r>
        <w:t>A significant proportion of customers will see the fee as punitive and refuse to pay. This woul</w:t>
      </w:r>
      <w:r w:rsidR="007B6BF1">
        <w:t>d drive bad debts for retailers.</w:t>
      </w:r>
      <w:r w:rsidRPr="00446444">
        <w:rPr>
          <w:rStyle w:val="FootnoteReference"/>
        </w:rPr>
        <w:footnoteReference w:id="17"/>
      </w:r>
    </w:p>
    <w:p w:rsidR="00D311E7" w:rsidRPr="00ED3D91" w:rsidRDefault="00D311E7" w:rsidP="00D311E7">
      <w:pPr>
        <w:pStyle w:val="AERbodytext"/>
      </w:pPr>
      <w:r>
        <w:t>AGL also questions the introduction of network tariff change request fees. AGL submits that it is in</w:t>
      </w:r>
      <w:r w:rsidRPr="00ED3D91">
        <w:t>appropriate for a fee to be charged</w:t>
      </w:r>
      <w:r>
        <w:t xml:space="preserve"> for a </w:t>
      </w:r>
      <w:r w:rsidRPr="00FD5EB6">
        <w:rPr>
          <w:rStyle w:val="AERtextitalic"/>
        </w:rPr>
        <w:t>network tariff change request– invalid request</w:t>
      </w:r>
      <w:r>
        <w:t>.</w:t>
      </w:r>
      <w:r w:rsidRPr="00ED3D91">
        <w:t xml:space="preserve"> Retailers have no visibility as to whether a request will be valid; a customer should not be penalised because this function sits with their distributor rather than the retailer (to assess such a request).</w:t>
      </w:r>
      <w:r w:rsidRPr="00ED3D91">
        <w:rPr>
          <w:rStyle w:val="FootnoteReference"/>
        </w:rPr>
        <w:footnoteReference w:id="18"/>
      </w:r>
    </w:p>
    <w:p w:rsidR="00D311E7" w:rsidRPr="00ED3D91" w:rsidRDefault="00D311E7" w:rsidP="00D311E7">
      <w:pPr>
        <w:pStyle w:val="AERbodytext"/>
      </w:pPr>
      <w:r>
        <w:t>AGL submits that the network tariff change request sits with the distributor. Customers should not be charged because their distributor has not placed them on the correct network tariff.</w:t>
      </w:r>
      <w:r w:rsidRPr="00ED3D91">
        <w:rPr>
          <w:rStyle w:val="FootnoteReference"/>
        </w:rPr>
        <w:footnoteReference w:id="19"/>
      </w:r>
      <w:r w:rsidRPr="00ED3D91">
        <w:t xml:space="preserve"> </w:t>
      </w:r>
    </w:p>
    <w:p w:rsidR="00D311E7" w:rsidRPr="004A5C8D" w:rsidRDefault="00D311E7" w:rsidP="00D311E7">
      <w:pPr>
        <w:pStyle w:val="AERbodytext"/>
      </w:pPr>
      <w:r>
        <w:t xml:space="preserve">For </w:t>
      </w:r>
      <w:r w:rsidRPr="00FD5EB6">
        <w:rPr>
          <w:rStyle w:val="AERtextitalic"/>
        </w:rPr>
        <w:t>network tariff change request</w:t>
      </w:r>
      <w:r>
        <w:rPr>
          <w:rStyle w:val="AERtextitalic"/>
        </w:rPr>
        <w:t>–</w:t>
      </w:r>
      <w:r w:rsidRPr="00FD5EB6">
        <w:rPr>
          <w:rStyle w:val="AERtextitalic"/>
        </w:rPr>
        <w:t>site establishment</w:t>
      </w:r>
      <w:r>
        <w:t xml:space="preserve"> AGL submits that this </w:t>
      </w:r>
      <w:r w:rsidRPr="004A5C8D">
        <w:t xml:space="preserve">fee should not be imposed unless it is a new connection fee that should be passed to the customer by the </w:t>
      </w:r>
      <w:r w:rsidR="007B6BF1">
        <w:t>Alternative Service Provider (</w:t>
      </w:r>
      <w:r w:rsidRPr="004A5C8D">
        <w:t>ASP</w:t>
      </w:r>
      <w:r w:rsidR="007B6BF1">
        <w:t>)</w:t>
      </w:r>
      <w:r w:rsidRPr="004A5C8D">
        <w:t>. If it is for an existing site where a new NMI needs to be allocated, there is no activity performed to warrant such a fee and it should not be approved.</w:t>
      </w:r>
      <w:r w:rsidRPr="004A5C8D">
        <w:rPr>
          <w:rStyle w:val="FootnoteReference"/>
        </w:rPr>
        <w:footnoteReference w:id="20"/>
      </w:r>
      <w:r w:rsidRPr="004A5C8D">
        <w:t xml:space="preserve"> </w:t>
      </w:r>
    </w:p>
    <w:p w:rsidR="00D311E7" w:rsidRPr="004A5C8D" w:rsidRDefault="00D311E7" w:rsidP="00D311E7">
      <w:pPr>
        <w:pStyle w:val="AERbodytext"/>
      </w:pPr>
      <w:r>
        <w:t xml:space="preserve">AGL submits that </w:t>
      </w:r>
      <w:r w:rsidRPr="004A5C8D">
        <w:t xml:space="preserve">there is currently no fee for this </w:t>
      </w:r>
      <w:r>
        <w:t>attendance to perform a statutory right where access is prevented</w:t>
      </w:r>
      <w:r w:rsidRPr="004A5C8D">
        <w:t>. Additionally, this fee is not clearly defined, and how and why it would be charged has not been justified.</w:t>
      </w:r>
      <w:r w:rsidRPr="004A5C8D">
        <w:rPr>
          <w:rStyle w:val="FootnoteReference"/>
        </w:rPr>
        <w:footnoteReference w:id="21"/>
      </w:r>
      <w:r w:rsidRPr="004A5C8D">
        <w:t xml:space="preserve"> </w:t>
      </w:r>
    </w:p>
    <w:p w:rsidR="00D311E7" w:rsidRDefault="00D311E7" w:rsidP="00D311E7">
      <w:pPr>
        <w:pStyle w:val="Heading3"/>
      </w:pPr>
      <w:bookmarkStart w:id="29" w:name="_Toc404324957"/>
      <w:r>
        <w:t>Assessment Approach</w:t>
      </w:r>
      <w:bookmarkEnd w:id="29"/>
    </w:p>
    <w:p w:rsidR="00D311E7" w:rsidRDefault="00D311E7" w:rsidP="00D311E7">
      <w:pPr>
        <w:pStyle w:val="AERbodytext"/>
      </w:pPr>
      <w:r>
        <w:t>For ancillary network services we consider it is important to review each of the services with specific focus on the key inputs in determining the price for the service.</w:t>
      </w:r>
    </w:p>
    <w:p w:rsidR="00D311E7" w:rsidRDefault="00D311E7" w:rsidP="00D311E7">
      <w:pPr>
        <w:pStyle w:val="AERbodytext"/>
      </w:pPr>
      <w:r>
        <w:t>In assessing ancillary network services we focused on labour rates and overhead. We consider these are two key inputs in determining an efficient level of fees for ancillary network services. In doing so regard was had to efficient benchmarks for such services developed by our consultant, Marsden Jacob Associates</w:t>
      </w:r>
      <w:r w:rsidR="007B6BF1">
        <w:t xml:space="preserve"> (Marsden Jacob)</w:t>
      </w:r>
      <w:r>
        <w:t>.</w:t>
      </w:r>
    </w:p>
    <w:p w:rsidR="00D311E7" w:rsidRDefault="00D311E7" w:rsidP="00D311E7">
      <w:pPr>
        <w:pStyle w:val="AERbodytext"/>
      </w:pPr>
      <w:r>
        <w:t>Given the large number of services proposed by Endeavour Energy we focused our review on the services most frequently requested by consumers. In considering the fees for these services we also took into account the times taken to perform the service, as this is another key input into the final fee. The most frequently requested services we focused on for Endeavour Energy include:</w:t>
      </w:r>
    </w:p>
    <w:p w:rsidR="00D311E7" w:rsidRDefault="00D311E7" w:rsidP="00D311E7">
      <w:pPr>
        <w:pStyle w:val="AERbulletlistfirststyle"/>
      </w:pPr>
      <w:r>
        <w:t>Special meter read</w:t>
      </w:r>
    </w:p>
    <w:p w:rsidR="00D311E7" w:rsidRPr="00C76BFF" w:rsidRDefault="00D311E7" w:rsidP="00D311E7">
      <w:pPr>
        <w:pStyle w:val="AERbulletlistfirststyle"/>
      </w:pPr>
      <w:r w:rsidRPr="00C76BFF">
        <w:t>Meter test</w:t>
      </w:r>
    </w:p>
    <w:p w:rsidR="00D311E7" w:rsidRDefault="00D311E7" w:rsidP="00D311E7">
      <w:pPr>
        <w:pStyle w:val="AERbulletlistfirststyle"/>
      </w:pPr>
      <w:r w:rsidRPr="00C76BFF">
        <w:t xml:space="preserve">Supply of </w:t>
      </w:r>
      <w:proofErr w:type="spellStart"/>
      <w:r w:rsidRPr="00C76BFF">
        <w:t>conveyancing</w:t>
      </w:r>
      <w:proofErr w:type="spellEnd"/>
      <w:r w:rsidRPr="00C76BFF">
        <w:t xml:space="preserve"> information (desk inquiry)</w:t>
      </w:r>
    </w:p>
    <w:p w:rsidR="00D311E7" w:rsidRPr="00C76BFF" w:rsidRDefault="00D311E7" w:rsidP="00D311E7">
      <w:pPr>
        <w:pStyle w:val="AERbulletlistfirststyle"/>
      </w:pPr>
      <w:r w:rsidRPr="00C76BFF">
        <w:t xml:space="preserve">Supply of </w:t>
      </w:r>
      <w:proofErr w:type="spellStart"/>
      <w:r w:rsidRPr="00C76BFF">
        <w:t>conveyancing</w:t>
      </w:r>
      <w:proofErr w:type="spellEnd"/>
      <w:r w:rsidRPr="00C76BFF">
        <w:t xml:space="preserve"> information (</w:t>
      </w:r>
      <w:r>
        <w:t>field visit</w:t>
      </w:r>
      <w:r w:rsidRPr="00C76BFF">
        <w:t>)</w:t>
      </w:r>
    </w:p>
    <w:p w:rsidR="00D311E7" w:rsidRDefault="00D311E7" w:rsidP="00D311E7">
      <w:pPr>
        <w:pStyle w:val="AERbulletlistfirststyle"/>
      </w:pPr>
      <w:r>
        <w:t>Off-peak conversion</w:t>
      </w:r>
    </w:p>
    <w:p w:rsidR="00D311E7" w:rsidRPr="00FD100C" w:rsidRDefault="00D311E7" w:rsidP="00D311E7">
      <w:pPr>
        <w:pStyle w:val="AERbulletlistfirststyle"/>
      </w:pPr>
      <w:r w:rsidRPr="00FD100C">
        <w:t xml:space="preserve">Disconnection </w:t>
      </w:r>
      <w:r>
        <w:t>site visit</w:t>
      </w:r>
    </w:p>
    <w:p w:rsidR="00D311E7" w:rsidRPr="00FD100C" w:rsidRDefault="00D311E7" w:rsidP="00D311E7">
      <w:pPr>
        <w:pStyle w:val="AERbulletlistfirststyle"/>
      </w:pPr>
      <w:r w:rsidRPr="00FD100C">
        <w:t>Disconnection at meter box</w:t>
      </w:r>
    </w:p>
    <w:p w:rsidR="00D311E7" w:rsidRPr="00FD100C" w:rsidRDefault="00D311E7" w:rsidP="00D311E7">
      <w:pPr>
        <w:pStyle w:val="AERbulletlistfirststyle"/>
      </w:pPr>
      <w:r w:rsidRPr="00FD100C">
        <w:t>Disconnection at pole top / pillar box</w:t>
      </w:r>
    </w:p>
    <w:p w:rsidR="00D311E7" w:rsidRDefault="00D311E7" w:rsidP="00D311E7">
      <w:pPr>
        <w:pStyle w:val="AERbulletlistfirststyle"/>
      </w:pPr>
      <w:r w:rsidRPr="00FD100C">
        <w:t>Reconnections</w:t>
      </w:r>
    </w:p>
    <w:p w:rsidR="00D311E7" w:rsidRDefault="00D311E7" w:rsidP="00D311E7">
      <w:pPr>
        <w:pStyle w:val="AERbulletlistfirststyle"/>
      </w:pPr>
      <w:r>
        <w:t>Access permits</w:t>
      </w:r>
      <w:r w:rsidR="007B6BF1">
        <w:t>.</w:t>
      </w:r>
    </w:p>
    <w:p w:rsidR="00D311E7" w:rsidRDefault="00D311E7" w:rsidP="00D311E7">
      <w:pPr>
        <w:pStyle w:val="AERbodytext"/>
      </w:pPr>
      <w:r>
        <w:t>For the remaining services we compared the labour rates and overhead against the maximum benchmark rates establi</w:t>
      </w:r>
      <w:r w:rsidR="007B6BF1">
        <w:t>shed by Marsden Jacob</w:t>
      </w:r>
      <w:r>
        <w:t>.</w:t>
      </w:r>
    </w:p>
    <w:p w:rsidR="00D311E7" w:rsidRDefault="00D311E7" w:rsidP="00D311E7">
      <w:pPr>
        <w:pStyle w:val="AERbodytext"/>
      </w:pPr>
      <w:r>
        <w:t xml:space="preserve">As an additional test, we also </w:t>
      </w:r>
      <w:r w:rsidRPr="0014363A">
        <w:t>benchmark</w:t>
      </w:r>
      <w:r>
        <w:t xml:space="preserve">ed the proposed fees against similar services in Victoria where applicable. </w:t>
      </w:r>
    </w:p>
    <w:p w:rsidR="00D311E7" w:rsidRDefault="00D311E7" w:rsidP="00D311E7">
      <w:pPr>
        <w:pStyle w:val="Heading3"/>
      </w:pPr>
      <w:bookmarkStart w:id="30" w:name="_Toc404324958"/>
      <w:r>
        <w:t>Reasons for draft decision</w:t>
      </w:r>
      <w:bookmarkEnd w:id="30"/>
    </w:p>
    <w:p w:rsidR="00D311E7" w:rsidRDefault="007B6BF1" w:rsidP="00D311E7">
      <w:pPr>
        <w:pStyle w:val="AERbodytext"/>
      </w:pPr>
      <w:r>
        <w:t>We do</w:t>
      </w:r>
      <w:r w:rsidR="00D311E7">
        <w:t xml:space="preserve"> not approve Endeavour Energy's proposed fees for ancillary network services. We consider the proposed fees exceed those based on maximum benchmark labour rates and overhead which we consider efficient for providing the service</w:t>
      </w:r>
      <w:r>
        <w:t>.</w:t>
      </w:r>
    </w:p>
    <w:p w:rsidR="00D311E7" w:rsidRDefault="00D311E7" w:rsidP="00D311E7">
      <w:pPr>
        <w:pStyle w:val="AERbodytext"/>
        <w:rPr>
          <w:rStyle w:val="AERbody"/>
        </w:rPr>
      </w:pPr>
      <w:r>
        <w:t xml:space="preserve">We reviewed Endeavour Energy's proposed fees for ancillary network services and the methodologies used by Endeavour Energy to calculate these fees. </w:t>
      </w:r>
      <w:r>
        <w:rPr>
          <w:rStyle w:val="AERbody"/>
        </w:rPr>
        <w:t>Endeavour Energy did not propose a standardised set of labour rates as part of their initial proposal but rather developed the majority of the ancillary network service fees using actual historic opex results. Endeavour Energy submit that they adopted</w:t>
      </w:r>
      <w:r w:rsidRPr="00703762">
        <w:rPr>
          <w:rFonts w:eastAsia="Calibri"/>
        </w:rPr>
        <w:t xml:space="preserve"> this methodology as </w:t>
      </w:r>
      <w:r>
        <w:rPr>
          <w:rFonts w:eastAsia="Calibri"/>
        </w:rPr>
        <w:t>they</w:t>
      </w:r>
      <w:r w:rsidRPr="00703762">
        <w:rPr>
          <w:rFonts w:eastAsia="Calibri"/>
        </w:rPr>
        <w:t xml:space="preserve"> had the detailed cost information available and therefore could develop fees based on actual results rather than business assumptions.</w:t>
      </w:r>
      <w:r>
        <w:rPr>
          <w:rStyle w:val="FootnoteReference"/>
          <w:rFonts w:eastAsia="Calibri"/>
        </w:rPr>
        <w:footnoteReference w:id="22"/>
      </w:r>
      <w:r w:rsidRPr="00703762">
        <w:rPr>
          <w:rFonts w:eastAsia="Calibri"/>
        </w:rPr>
        <w:t xml:space="preserve"> </w:t>
      </w:r>
    </w:p>
    <w:p w:rsidR="00D311E7" w:rsidRPr="00F93473" w:rsidRDefault="00D311E7" w:rsidP="00D311E7">
      <w:pPr>
        <w:pStyle w:val="AERbodytext"/>
        <w:rPr>
          <w:rFonts w:eastAsia="Calibri"/>
        </w:rPr>
      </w:pPr>
      <w:r>
        <w:t xml:space="preserve">Based on our analysis of Endeavour Energy's proposed methodologies we consider the main concern is the cost inputs into the methodologies. Where there are inefficiencies in actual historical costs these will be carried through in the derivation of proposed fees. The methodologies proposed by Endeavour Energy did not identify which type of labour performs each service, or the time taken to perform the service. We consider these to be key inputs in developing fees for ancillary network services. </w:t>
      </w:r>
    </w:p>
    <w:p w:rsidR="00D311E7" w:rsidRPr="00C54D76" w:rsidRDefault="00D311E7" w:rsidP="00D311E7">
      <w:pPr>
        <w:pStyle w:val="TOC1"/>
      </w:pPr>
      <w:r>
        <w:t>Labour rates</w:t>
      </w:r>
    </w:p>
    <w:p w:rsidR="00D311E7" w:rsidRPr="00C54D76" w:rsidRDefault="00D311E7" w:rsidP="00D311E7">
      <w:pPr>
        <w:pStyle w:val="AERbodytext"/>
        <w:rPr>
          <w:rFonts w:eastAsia="Calibri"/>
        </w:rPr>
      </w:pPr>
      <w:r>
        <w:t xml:space="preserve">We requested that Endeavour Energy </w:t>
      </w:r>
      <w:r w:rsidRPr="00C54D76">
        <w:rPr>
          <w:rFonts w:eastAsia="Calibri"/>
        </w:rPr>
        <w:t>map each service to one of the following labour categories:</w:t>
      </w:r>
    </w:p>
    <w:p w:rsidR="00D311E7" w:rsidRDefault="00D311E7" w:rsidP="00D311E7">
      <w:pPr>
        <w:pStyle w:val="AERbulletlistsecondstyle"/>
        <w:rPr>
          <w:rFonts w:eastAsia="Calibri"/>
        </w:rPr>
      </w:pPr>
      <w:r>
        <w:rPr>
          <w:rFonts w:eastAsia="Calibri"/>
        </w:rPr>
        <w:t>Admin R1</w:t>
      </w:r>
    </w:p>
    <w:p w:rsidR="00D311E7" w:rsidRDefault="00D311E7" w:rsidP="00D311E7">
      <w:pPr>
        <w:pStyle w:val="AERbulletlistsecondstyle"/>
        <w:rPr>
          <w:rFonts w:eastAsia="Calibri"/>
        </w:rPr>
      </w:pPr>
      <w:r>
        <w:rPr>
          <w:rFonts w:eastAsia="Calibri"/>
        </w:rPr>
        <w:t>Technical specialist R2</w:t>
      </w:r>
    </w:p>
    <w:p w:rsidR="00D311E7" w:rsidRDefault="00D311E7" w:rsidP="00D311E7">
      <w:pPr>
        <w:pStyle w:val="AERbulletlistsecondstyle"/>
        <w:rPr>
          <w:rFonts w:eastAsia="Calibri"/>
        </w:rPr>
      </w:pPr>
      <w:r>
        <w:rPr>
          <w:rFonts w:eastAsia="Calibri"/>
        </w:rPr>
        <w:t>Engineer / senior engineering officer R3</w:t>
      </w:r>
    </w:p>
    <w:p w:rsidR="00D311E7" w:rsidRDefault="00D311E7" w:rsidP="00D311E7">
      <w:pPr>
        <w:pStyle w:val="AERbulletlistsecondstyle"/>
        <w:rPr>
          <w:rFonts w:eastAsia="Calibri"/>
        </w:rPr>
      </w:pPr>
      <w:r>
        <w:rPr>
          <w:rFonts w:eastAsia="Calibri"/>
        </w:rPr>
        <w:t>Field worker R4</w:t>
      </w:r>
    </w:p>
    <w:p w:rsidR="00D311E7" w:rsidRDefault="00D311E7" w:rsidP="00D311E7">
      <w:pPr>
        <w:pStyle w:val="AERbulletlistsecondstyle"/>
        <w:rPr>
          <w:rFonts w:eastAsia="Calibri"/>
        </w:rPr>
      </w:pPr>
      <w:r>
        <w:rPr>
          <w:rFonts w:eastAsia="Calibri"/>
        </w:rPr>
        <w:t>Senior engineering officer R5</w:t>
      </w:r>
      <w:r w:rsidR="007B6BF1">
        <w:rPr>
          <w:rFonts w:eastAsia="Calibri"/>
        </w:rPr>
        <w:t>.</w:t>
      </w:r>
    </w:p>
    <w:p w:rsidR="00D311E7" w:rsidRPr="00676E6B" w:rsidRDefault="00D311E7" w:rsidP="00D311E7">
      <w:pPr>
        <w:pStyle w:val="AERbodytext"/>
        <w:rPr>
          <w:rStyle w:val="AERbody"/>
          <w:rFonts w:eastAsia="Calibri"/>
        </w:rPr>
      </w:pPr>
      <w:r w:rsidRPr="00427B61">
        <w:rPr>
          <w:rFonts w:eastAsia="Calibri"/>
        </w:rPr>
        <w:t xml:space="preserve">By </w:t>
      </w:r>
      <w:r>
        <w:rPr>
          <w:rFonts w:eastAsia="Calibri"/>
        </w:rPr>
        <w:t>creating</w:t>
      </w:r>
      <w:r w:rsidRPr="00427B61">
        <w:rPr>
          <w:rFonts w:eastAsia="Calibri"/>
        </w:rPr>
        <w:t xml:space="preserve"> this </w:t>
      </w:r>
      <w:r>
        <w:rPr>
          <w:rFonts w:eastAsia="Calibri"/>
        </w:rPr>
        <w:t>mapping we were able to compare efficient benchmark labour</w:t>
      </w:r>
      <w:r w:rsidRPr="00427B61">
        <w:rPr>
          <w:rFonts w:eastAsia="Calibri"/>
        </w:rPr>
        <w:t xml:space="preserve"> rates</w:t>
      </w:r>
      <w:r>
        <w:rPr>
          <w:rFonts w:eastAsia="Calibri"/>
        </w:rPr>
        <w:t xml:space="preserve"> (</w:t>
      </w:r>
      <w:r w:rsidRPr="00BE5A94">
        <w:rPr>
          <w:rFonts w:eastAsia="Calibri"/>
        </w:rPr>
        <w:t xml:space="preserve">including on-costs and overhead) developed by Marsden Jacob </w:t>
      </w:r>
      <w:r>
        <w:rPr>
          <w:rFonts w:eastAsia="Calibri"/>
        </w:rPr>
        <w:t xml:space="preserve">against the rates proposed by Endeavour Energy as </w:t>
      </w:r>
      <w:r w:rsidRPr="00427B61">
        <w:rPr>
          <w:rFonts w:eastAsia="Calibri"/>
        </w:rPr>
        <w:t>derived using historical costs</w:t>
      </w:r>
      <w:r>
        <w:rPr>
          <w:rFonts w:eastAsia="Calibri"/>
        </w:rPr>
        <w:t>.</w:t>
      </w:r>
      <w:r w:rsidRPr="00427B61">
        <w:rPr>
          <w:rFonts w:eastAsia="Calibri"/>
        </w:rPr>
        <w:t xml:space="preserve"> </w:t>
      </w:r>
      <w:r>
        <w:rPr>
          <w:rStyle w:val="AERbody"/>
        </w:rPr>
        <w:t>We found that the proposed fees proposed were higher than the fees that would apply based on maximum efficient benchmark labour rates.</w:t>
      </w:r>
      <w:r>
        <w:rPr>
          <w:rStyle w:val="FootnoteReference"/>
        </w:rPr>
        <w:footnoteReference w:id="23"/>
      </w:r>
    </w:p>
    <w:p w:rsidR="00D311E7" w:rsidRPr="00676E6B" w:rsidRDefault="00D311E7" w:rsidP="00D311E7">
      <w:pPr>
        <w:pStyle w:val="AERbodytext"/>
        <w:rPr>
          <w:rStyle w:val="AERbody"/>
          <w:rFonts w:eastAsia="Calibri"/>
        </w:rPr>
      </w:pPr>
      <w:r>
        <w:rPr>
          <w:rStyle w:val="AERbody"/>
        </w:rPr>
        <w:t xml:space="preserve">Endeavour Energy's proposed </w:t>
      </w:r>
      <w:r w:rsidR="007D29FD">
        <w:rPr>
          <w:rStyle w:val="AERbody"/>
        </w:rPr>
        <w:t xml:space="preserve">total labour rates including on-costs and overheads exceeded the </w:t>
      </w:r>
      <w:r>
        <w:rPr>
          <w:rStyle w:val="AERbody"/>
        </w:rPr>
        <w:t>maximum benchmark rates develo</w:t>
      </w:r>
      <w:r w:rsidR="007B6BF1">
        <w:rPr>
          <w:rStyle w:val="AERbody"/>
        </w:rPr>
        <w:t>ped by Marsden Jacob</w:t>
      </w:r>
      <w:r w:rsidR="007D29FD">
        <w:rPr>
          <w:rStyle w:val="AERbody"/>
        </w:rPr>
        <w:t>.</w:t>
      </w:r>
    </w:p>
    <w:p w:rsidR="00D311E7" w:rsidRPr="008F238F" w:rsidRDefault="00D311E7" w:rsidP="00D311E7">
      <w:pPr>
        <w:pStyle w:val="AERbodytext"/>
        <w:rPr>
          <w:rStyle w:val="AERbody"/>
        </w:rPr>
      </w:pPr>
      <w:r>
        <w:rPr>
          <w:rStyle w:val="AERbody"/>
        </w:rPr>
        <w:t>Our consultant found that although each of the NSW businesses used different category names and descriptions, the types of labour used to deliver ancillary network services broadly fell into one of five categories:</w:t>
      </w:r>
    </w:p>
    <w:p w:rsidR="00D311E7" w:rsidRPr="008F238F" w:rsidRDefault="00D311E7" w:rsidP="00D311E7">
      <w:pPr>
        <w:pStyle w:val="AERbulletlistfirststyle"/>
        <w:rPr>
          <w:rStyle w:val="AERbody"/>
        </w:rPr>
      </w:pPr>
      <w:r>
        <w:rPr>
          <w:rStyle w:val="AERbody"/>
        </w:rPr>
        <w:t>Administration</w:t>
      </w:r>
    </w:p>
    <w:p w:rsidR="00D311E7" w:rsidRPr="008F238F" w:rsidRDefault="00D311E7" w:rsidP="00D311E7">
      <w:pPr>
        <w:pStyle w:val="AERbulletlistfirststyle"/>
        <w:rPr>
          <w:rStyle w:val="AERbody"/>
        </w:rPr>
      </w:pPr>
      <w:r>
        <w:rPr>
          <w:rStyle w:val="AERbody"/>
        </w:rPr>
        <w:t>Technical services</w:t>
      </w:r>
    </w:p>
    <w:p w:rsidR="00D311E7" w:rsidRPr="008F238F" w:rsidRDefault="00D311E7" w:rsidP="00D311E7">
      <w:pPr>
        <w:pStyle w:val="AERbulletlistfirststyle"/>
        <w:rPr>
          <w:rStyle w:val="AERbody"/>
        </w:rPr>
      </w:pPr>
      <w:r>
        <w:rPr>
          <w:rStyle w:val="AERbody"/>
        </w:rPr>
        <w:t>Engineers</w:t>
      </w:r>
    </w:p>
    <w:p w:rsidR="00D311E7" w:rsidRPr="008F238F" w:rsidRDefault="007B6BF1" w:rsidP="00D311E7">
      <w:pPr>
        <w:pStyle w:val="AERbulletlistfirststyle"/>
        <w:rPr>
          <w:rStyle w:val="AERbody"/>
        </w:rPr>
      </w:pPr>
      <w:r>
        <w:rPr>
          <w:rStyle w:val="AERbody"/>
        </w:rPr>
        <w:t xml:space="preserve">Field workers </w:t>
      </w:r>
    </w:p>
    <w:p w:rsidR="00D311E7" w:rsidRPr="003A1980" w:rsidRDefault="00D311E7" w:rsidP="00D311E7">
      <w:pPr>
        <w:pStyle w:val="AERbulletlistfirststyle"/>
        <w:rPr>
          <w:rStyle w:val="AERtextitalic"/>
        </w:rPr>
      </w:pPr>
      <w:r>
        <w:rPr>
          <w:rStyle w:val="AERbody"/>
        </w:rPr>
        <w:t>Senior engineers</w:t>
      </w:r>
      <w:r w:rsidR="007B6BF1">
        <w:rPr>
          <w:rStyle w:val="AERbody"/>
        </w:rPr>
        <w:t>.</w:t>
      </w:r>
    </w:p>
    <w:p w:rsidR="00D311E7" w:rsidRPr="000349D9" w:rsidRDefault="00D311E7" w:rsidP="00D311E7">
      <w:pPr>
        <w:pStyle w:val="AERbodytext"/>
        <w:rPr>
          <w:rStyle w:val="AERbody"/>
        </w:rPr>
      </w:pPr>
      <w:r>
        <w:rPr>
          <w:rStyle w:val="AERbody"/>
        </w:rPr>
        <w:t>Using these cat</w:t>
      </w:r>
      <w:r w:rsidR="007B6BF1">
        <w:rPr>
          <w:rStyle w:val="AERbody"/>
        </w:rPr>
        <w:t>egories Marsden Jacob</w:t>
      </w:r>
      <w:r>
        <w:rPr>
          <w:rStyle w:val="AERbody"/>
        </w:rPr>
        <w:t xml:space="preserve"> developed benchmark labour rates based on Hays 2014 energy sector salary data against which the efficiency of the proposed labour rates could be assessed.</w:t>
      </w:r>
    </w:p>
    <w:p w:rsidR="00D311E7" w:rsidRPr="00DD1CCB" w:rsidRDefault="00D311E7" w:rsidP="00D311E7">
      <w:pPr>
        <w:pStyle w:val="AERbodytext"/>
      </w:pPr>
      <w:r w:rsidRPr="006D42CB">
        <w:t xml:space="preserve">In assessing the reasonableness of labour rates, Marsden Jacob ‘normalised’ the rates provided by each business. </w:t>
      </w:r>
      <w:r w:rsidRPr="0030767E">
        <w:t xml:space="preserve">Our position is to accept the </w:t>
      </w:r>
      <w:r w:rsidR="0036473B">
        <w:t>Marsden Jacob</w:t>
      </w:r>
      <w:r w:rsidRPr="0030767E">
        <w:t xml:space="preserve"> recommended efficient benchmark labour rates, overhead and times taken to perform frequently requested services</w:t>
      </w:r>
      <w:r>
        <w:t xml:space="preserve"> which we consider to be well–reasoned</w:t>
      </w:r>
      <w:r w:rsidRPr="0030767E">
        <w:t>.</w:t>
      </w:r>
      <w:r>
        <w:rPr>
          <w:rStyle w:val="FootnoteReference"/>
        </w:rPr>
        <w:footnoteReference w:id="24"/>
      </w:r>
      <w:r w:rsidRPr="0030767E">
        <w:t xml:space="preserve"> </w:t>
      </w:r>
      <w:r>
        <w:t>We used these rates to determine whether the proposed fees for fee based ancillary network services reflect the underlying cost of an efficient labour rate</w:t>
      </w:r>
      <w:r w:rsidR="00E26E83">
        <w:t>.</w:t>
      </w:r>
      <w:r>
        <w:t xml:space="preserve"> To do this we used Marsden J</w:t>
      </w:r>
      <w:r w:rsidR="00E26E83">
        <w:t>acob’</w:t>
      </w:r>
      <w:r>
        <w:t xml:space="preserve">s maximum labour rates including on-costs and overhead. </w:t>
      </w:r>
      <w:r w:rsidRPr="00DD1CCB">
        <w:t>While it</w:t>
      </w:r>
      <w:r>
        <w:t xml:space="preserve"> </w:t>
      </w:r>
      <w:r w:rsidRPr="00DD1CCB">
        <w:t xml:space="preserve">may be appropriate for </w:t>
      </w:r>
      <w:r>
        <w:t>Endeavour Energy</w:t>
      </w:r>
      <w:r w:rsidRPr="00DD1CCB">
        <w:t xml:space="preserve"> to charge </w:t>
      </w:r>
      <w:r>
        <w:t xml:space="preserve">lower than the maximum labour rates for fee based ancillary network services, by adopting the maximum amount we consider we are providing the distributor with a reasonable opportunity to recover </w:t>
      </w:r>
      <w:r w:rsidR="00CD713E">
        <w:t>efficient</w:t>
      </w:r>
      <w:r>
        <w:t xml:space="preserve"> costs at least its efficient costs. This allows</w:t>
      </w:r>
      <w:r w:rsidRPr="00DD1CCB">
        <w:t xml:space="preserve"> for some potential differences between the</w:t>
      </w:r>
      <w:r>
        <w:t xml:space="preserve"> </w:t>
      </w:r>
      <w:r w:rsidRPr="00DD1CCB">
        <w:t xml:space="preserve">services provided and costs </w:t>
      </w:r>
      <w:r>
        <w:t>faced by Endeavour Energy.</w:t>
      </w:r>
    </w:p>
    <w:p w:rsidR="00107FC1" w:rsidRDefault="00D311E7" w:rsidP="00E26E83">
      <w:pPr>
        <w:pStyle w:val="AERbodytext"/>
      </w:pPr>
      <w:r w:rsidRPr="0030767E">
        <w:t>For quoted services we consider it more appropriate to adopt the r</w:t>
      </w:r>
      <w:r w:rsidR="00E26E83">
        <w:t>ate determined by Marsden Jacob</w:t>
      </w:r>
      <w:r>
        <w:t xml:space="preserve"> </w:t>
      </w:r>
      <w:r w:rsidRPr="0030767E">
        <w:t>for the individual businesses.</w:t>
      </w:r>
      <w:r w:rsidR="00E26E83">
        <w:t xml:space="preserve"> </w:t>
      </w:r>
      <w:r w:rsidRPr="0030767E">
        <w:t xml:space="preserve">By </w:t>
      </w:r>
      <w:r>
        <w:t xml:space="preserve">doing so </w:t>
      </w:r>
      <w:r w:rsidRPr="0030767E">
        <w:t xml:space="preserve">we are using the businesses proposed rates where appropriate </w:t>
      </w:r>
      <w:r w:rsidR="00E26E83">
        <w:t>(i.e. fall within Marsden Jacob’s</w:t>
      </w:r>
      <w:r>
        <w:t xml:space="preserve"> </w:t>
      </w:r>
      <w:r w:rsidR="00E26E83">
        <w:t>maximum efficient rates) or Marsden Jacob’</w:t>
      </w:r>
      <w:r w:rsidR="00CD713E">
        <w:t>s</w:t>
      </w:r>
      <w:r w:rsidRPr="0030767E">
        <w:t xml:space="preserve"> recommended rates (as applicable) for each of raw labour rates, on</w:t>
      </w:r>
      <w:r>
        <w:t>-</w:t>
      </w:r>
      <w:r w:rsidRPr="0030767E">
        <w:t xml:space="preserve">costs and overheads. We </w:t>
      </w:r>
      <w:r>
        <w:t>conclude</w:t>
      </w:r>
      <w:r w:rsidRPr="0030767E">
        <w:t xml:space="preserve"> this is a more efficient pricing</w:t>
      </w:r>
      <w:r w:rsidR="00107FC1">
        <w:t xml:space="preserve"> structure for quoted services.</w:t>
      </w:r>
    </w:p>
    <w:p w:rsidR="00D311E7" w:rsidRDefault="00D311E7" w:rsidP="00D311E7">
      <w:pPr>
        <w:pStyle w:val="AERbodytext"/>
      </w:pPr>
      <w:r>
        <w:t>Endeavour Energy's proposed raw labour rates fell within the benchmark maximum recomme</w:t>
      </w:r>
      <w:r w:rsidR="00E26E83">
        <w:t>nded by Marsden Jacob</w:t>
      </w:r>
      <w:r>
        <w:t xml:space="preserve"> </w:t>
      </w:r>
      <w:r w:rsidR="00107FC1">
        <w:t>as set out in</w:t>
      </w:r>
      <w:r w:rsidR="00D2749E">
        <w:t xml:space="preserve"> </w:t>
      </w:r>
      <w:r w:rsidR="00D2749E">
        <w:fldChar w:fldCharType="begin"/>
      </w:r>
      <w:r w:rsidR="00D2749E">
        <w:instrText xml:space="preserve"> REF _Ref401862167 \h </w:instrText>
      </w:r>
      <w:r w:rsidR="00D2749E">
        <w:fldChar w:fldCharType="separate"/>
      </w:r>
      <w:r w:rsidR="00D2749E">
        <w:t xml:space="preserve">Table </w:t>
      </w:r>
      <w:r w:rsidR="00D2749E">
        <w:rPr>
          <w:noProof/>
        </w:rPr>
        <w:t>16</w:t>
      </w:r>
      <w:r w:rsidR="00D2749E">
        <w:noBreakHyphen/>
      </w:r>
      <w:r w:rsidR="00D2749E">
        <w:rPr>
          <w:noProof/>
        </w:rPr>
        <w:t>6</w:t>
      </w:r>
      <w:r w:rsidR="00D2749E">
        <w:fldChar w:fldCharType="end"/>
      </w:r>
      <w:r w:rsidR="00107FC1">
        <w:t xml:space="preserve"> </w:t>
      </w:r>
      <w:r w:rsidRPr="00107FC1">
        <w:t>exc</w:t>
      </w:r>
      <w:r>
        <w:t>ept for Administration support service.</w:t>
      </w:r>
    </w:p>
    <w:p w:rsidR="00D311E7" w:rsidRPr="00A676FF" w:rsidRDefault="00D311E7" w:rsidP="00D311E7">
      <w:pPr>
        <w:pStyle w:val="Caption"/>
      </w:pPr>
      <w:bookmarkStart w:id="31" w:name="_Ref401862167"/>
      <w:bookmarkStart w:id="32" w:name="_Ref398218504"/>
      <w:bookmarkStart w:id="33" w:name="_Toc399830801"/>
      <w:r>
        <w:t xml:space="preserve">Table </w:t>
      </w:r>
      <w:r w:rsidR="004667DE">
        <w:fldChar w:fldCharType="begin"/>
      </w:r>
      <w:r w:rsidR="004667DE">
        <w:instrText xml:space="preserve"> STYLEREF 1 \s </w:instrText>
      </w:r>
      <w:r w:rsidR="004667DE">
        <w:fldChar w:fldCharType="separate"/>
      </w:r>
      <w:r w:rsidR="003E262F">
        <w:rPr>
          <w:noProof/>
        </w:rPr>
        <w:t>16</w:t>
      </w:r>
      <w:r w:rsidR="004667DE">
        <w:rPr>
          <w:noProof/>
        </w:rPr>
        <w:fldChar w:fldCharType="end"/>
      </w:r>
      <w:r w:rsidR="003E262F">
        <w:noBreakHyphen/>
      </w:r>
      <w:r w:rsidR="004667DE">
        <w:fldChar w:fldCharType="begin"/>
      </w:r>
      <w:r w:rsidR="004667DE">
        <w:instrText xml:space="preserve"> SEQ Table \* ARABIC \s 1 </w:instrText>
      </w:r>
      <w:r w:rsidR="004667DE">
        <w:fldChar w:fldCharType="separate"/>
      </w:r>
      <w:r w:rsidR="003E262F">
        <w:rPr>
          <w:noProof/>
        </w:rPr>
        <w:t>6</w:t>
      </w:r>
      <w:r w:rsidR="004667DE">
        <w:rPr>
          <w:noProof/>
        </w:rPr>
        <w:fldChar w:fldCharType="end"/>
      </w:r>
      <w:bookmarkEnd w:id="31"/>
      <w:bookmarkEnd w:id="32"/>
      <w:r w:rsidRPr="00A676FF">
        <w:t xml:space="preserve"> Benchmarked </w:t>
      </w:r>
      <w:r>
        <w:t xml:space="preserve">raw </w:t>
      </w:r>
      <w:r w:rsidRPr="00A676FF">
        <w:t>labour rates (excluding basic leave entitlements, on</w:t>
      </w:r>
      <w:r>
        <w:t>-</w:t>
      </w:r>
      <w:r w:rsidRPr="00A676FF">
        <w:t>costs and</w:t>
      </w:r>
      <w:r>
        <w:t xml:space="preserve"> overhead</w:t>
      </w:r>
      <w:r w:rsidRPr="00A676FF">
        <w:t xml:space="preserve"> ($2014</w:t>
      </w:r>
      <w:r>
        <w:t>–</w:t>
      </w:r>
      <w:r w:rsidRPr="00A676FF">
        <w:t>15)</w:t>
      </w:r>
      <w:bookmarkEnd w:id="33"/>
    </w:p>
    <w:tbl>
      <w:tblPr>
        <w:tblStyle w:val="AERtable-numbers"/>
        <w:tblW w:w="9180" w:type="dxa"/>
        <w:tblLayout w:type="fixed"/>
        <w:tblLook w:val="01A0" w:firstRow="1" w:lastRow="0" w:firstColumn="1" w:lastColumn="1" w:noHBand="0" w:noVBand="0"/>
      </w:tblPr>
      <w:tblGrid>
        <w:gridCol w:w="1101"/>
        <w:gridCol w:w="1959"/>
        <w:gridCol w:w="1443"/>
        <w:gridCol w:w="1984"/>
        <w:gridCol w:w="2693"/>
      </w:tblGrid>
      <w:tr w:rsidR="008E53DB" w:rsidRPr="007F7D5C" w:rsidTr="00D2749E">
        <w:trPr>
          <w:cnfStyle w:val="100000000000" w:firstRow="1" w:lastRow="0" w:firstColumn="0" w:lastColumn="0" w:oddVBand="0" w:evenVBand="0" w:oddHBand="0"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1101" w:type="dxa"/>
          </w:tcPr>
          <w:p w:rsidR="008E53DB" w:rsidRPr="007F7D5C" w:rsidRDefault="008E53DB" w:rsidP="007848A6">
            <w:pPr>
              <w:pStyle w:val="AERtabletextleft"/>
              <w:rPr>
                <w:rStyle w:val="AERtextsize8"/>
              </w:rPr>
            </w:pPr>
            <w:r w:rsidRPr="007F7D5C">
              <w:rPr>
                <w:rStyle w:val="AERtextsize8"/>
              </w:rPr>
              <w:t>Category</w:t>
            </w:r>
          </w:p>
        </w:tc>
        <w:tc>
          <w:tcPr>
            <w:tcW w:w="3402" w:type="dxa"/>
            <w:gridSpan w:val="2"/>
          </w:tcPr>
          <w:p w:rsidR="008E53DB" w:rsidRPr="007F7D5C" w:rsidRDefault="008E53DB" w:rsidP="007F7D5C">
            <w:pPr>
              <w:pStyle w:val="AERtabletextright"/>
              <w:cnfStyle w:val="100000000000" w:firstRow="1" w:lastRow="0" w:firstColumn="0" w:lastColumn="0" w:oddVBand="0" w:evenVBand="0" w:oddHBand="0" w:evenHBand="0" w:firstRowFirstColumn="0" w:firstRowLastColumn="0" w:lastRowFirstColumn="0" w:lastRowLastColumn="0"/>
              <w:rPr>
                <w:rStyle w:val="AERtextsize8"/>
              </w:rPr>
            </w:pPr>
            <w:r w:rsidRPr="007F7D5C">
              <w:rPr>
                <w:rStyle w:val="AERtextsize8"/>
              </w:rPr>
              <w:t>Description</w:t>
            </w:r>
          </w:p>
        </w:tc>
        <w:tc>
          <w:tcPr>
            <w:tcW w:w="1984" w:type="dxa"/>
          </w:tcPr>
          <w:p w:rsidR="008E53DB" w:rsidRPr="007F7D5C" w:rsidRDefault="008E53DB" w:rsidP="007F7D5C">
            <w:pPr>
              <w:pStyle w:val="AERtabletextright"/>
              <w:cnfStyle w:val="100000000000" w:firstRow="1" w:lastRow="0" w:firstColumn="0" w:lastColumn="0" w:oddVBand="0" w:evenVBand="0" w:oddHBand="0" w:evenHBand="0" w:firstRowFirstColumn="0" w:firstRowLastColumn="0" w:lastRowFirstColumn="0" w:lastRowLastColumn="0"/>
              <w:rPr>
                <w:rStyle w:val="AERtextsize8"/>
              </w:rPr>
            </w:pPr>
            <w:r w:rsidRPr="007F7D5C">
              <w:rPr>
                <w:rStyle w:val="AERtextsize8"/>
              </w:rPr>
              <w:t>Hays benchmark</w:t>
            </w:r>
          </w:p>
        </w:tc>
        <w:tc>
          <w:tcPr>
            <w:tcW w:w="2693" w:type="dxa"/>
          </w:tcPr>
          <w:p w:rsidR="008E53DB" w:rsidRPr="007F7D5C" w:rsidRDefault="008E53DB" w:rsidP="007F7D5C">
            <w:pPr>
              <w:pStyle w:val="AERtabletextright"/>
              <w:cnfStyle w:val="100000000000" w:firstRow="1" w:lastRow="0" w:firstColumn="0" w:lastColumn="0" w:oddVBand="0" w:evenVBand="0" w:oddHBand="0" w:evenHBand="0" w:firstRowFirstColumn="0" w:firstRowLastColumn="0" w:lastRowFirstColumn="0" w:lastRowLastColumn="0"/>
              <w:rPr>
                <w:rStyle w:val="AERtextsize8"/>
              </w:rPr>
            </w:pPr>
            <w:r w:rsidRPr="007F7D5C">
              <w:rPr>
                <w:rStyle w:val="AERtextsize8"/>
              </w:rPr>
              <w:t>Marsden Jacob Associates</w:t>
            </w:r>
          </w:p>
        </w:tc>
      </w:tr>
      <w:tr w:rsidR="008E53DB" w:rsidRPr="007F7D5C" w:rsidTr="00D2749E">
        <w:trPr>
          <w:trHeight w:val="30"/>
        </w:trPr>
        <w:tc>
          <w:tcPr>
            <w:cnfStyle w:val="001000000000" w:firstRow="0" w:lastRow="0" w:firstColumn="1" w:lastColumn="0" w:oddVBand="0" w:evenVBand="0" w:oddHBand="0" w:evenHBand="0" w:firstRowFirstColumn="0" w:firstRowLastColumn="0" w:lastRowFirstColumn="0" w:lastRowLastColumn="0"/>
            <w:tcW w:w="1101" w:type="dxa"/>
            <w:vMerge w:val="restart"/>
          </w:tcPr>
          <w:p w:rsidR="008E53DB" w:rsidRPr="007F7D5C" w:rsidRDefault="008E53DB" w:rsidP="007848A6">
            <w:pPr>
              <w:pStyle w:val="AERtabletextleft"/>
              <w:rPr>
                <w:rStyle w:val="AERtextsize8"/>
              </w:rPr>
            </w:pPr>
            <w:r w:rsidRPr="007F7D5C">
              <w:rPr>
                <w:rStyle w:val="AERtextsize8"/>
              </w:rPr>
              <w:t>Admin</w:t>
            </w:r>
          </w:p>
        </w:tc>
        <w:tc>
          <w:tcPr>
            <w:tcW w:w="3402" w:type="dxa"/>
            <w:gridSpan w:val="2"/>
          </w:tcPr>
          <w:p w:rsidR="008E53DB" w:rsidRPr="007F7D5C" w:rsidRDefault="008E53DB"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7F7D5C">
              <w:rPr>
                <w:rStyle w:val="AERtextsize8"/>
              </w:rPr>
              <w:t>Office Support service delivery</w:t>
            </w:r>
          </w:p>
        </w:tc>
        <w:tc>
          <w:tcPr>
            <w:tcW w:w="1984" w:type="dxa"/>
            <w:vMerge w:val="restart"/>
          </w:tcPr>
          <w:p w:rsidR="008E53DB" w:rsidRPr="007F7D5C" w:rsidRDefault="008E53DB"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Pr>
                <w:rStyle w:val="AERtextsize8"/>
              </w:rPr>
              <w:t xml:space="preserve">18.27 to </w:t>
            </w:r>
            <w:r w:rsidRPr="007F7D5C">
              <w:rPr>
                <w:rStyle w:val="AERtextsize8"/>
              </w:rPr>
              <w:t>38.46</w:t>
            </w:r>
          </w:p>
        </w:tc>
        <w:tc>
          <w:tcPr>
            <w:tcW w:w="2693" w:type="dxa"/>
            <w:vMerge w:val="restart"/>
          </w:tcPr>
          <w:p w:rsidR="008E53DB" w:rsidRPr="007F7D5C" w:rsidRDefault="008E53DB"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Pr>
                <w:rStyle w:val="AERtextsize8"/>
              </w:rPr>
              <w:t xml:space="preserve">Max. </w:t>
            </w:r>
            <w:r w:rsidRPr="007F7D5C">
              <w:rPr>
                <w:rStyle w:val="AERtextsize8"/>
              </w:rPr>
              <w:t>39.00</w:t>
            </w:r>
          </w:p>
        </w:tc>
      </w:tr>
      <w:tr w:rsidR="008E53DB" w:rsidRPr="007F7D5C" w:rsidTr="00D2749E">
        <w:trPr>
          <w:cnfStyle w:val="000000010000" w:firstRow="0" w:lastRow="0" w:firstColumn="0" w:lastColumn="0" w:oddVBand="0" w:evenVBand="0" w:oddHBand="0" w:evenHBand="1" w:firstRowFirstColumn="0" w:firstRowLastColumn="0" w:lastRowFirstColumn="0" w:lastRowLastColumn="0"/>
          <w:trHeight w:val="217"/>
        </w:trPr>
        <w:tc>
          <w:tcPr>
            <w:cnfStyle w:val="001000000000" w:firstRow="0" w:lastRow="0" w:firstColumn="1" w:lastColumn="0" w:oddVBand="0" w:evenVBand="0" w:oddHBand="0" w:evenHBand="0" w:firstRowFirstColumn="0" w:firstRowLastColumn="0" w:lastRowFirstColumn="0" w:lastRowLastColumn="0"/>
            <w:tcW w:w="1101" w:type="dxa"/>
            <w:vMerge/>
          </w:tcPr>
          <w:p w:rsidR="008E53DB" w:rsidRPr="007F7D5C" w:rsidRDefault="008E53DB" w:rsidP="007848A6">
            <w:pPr>
              <w:pStyle w:val="AERtabletextleft"/>
              <w:rPr>
                <w:rStyle w:val="AERtextsize8"/>
              </w:rPr>
            </w:pPr>
          </w:p>
        </w:tc>
        <w:tc>
          <w:tcPr>
            <w:tcW w:w="3402" w:type="dxa"/>
            <w:gridSpan w:val="2"/>
          </w:tcPr>
          <w:p w:rsidR="008E53DB" w:rsidRPr="007F7D5C" w:rsidRDefault="008E53DB"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7F7D5C">
              <w:rPr>
                <w:rStyle w:val="AERtextsize8"/>
              </w:rPr>
              <w:t>Administration Support</w:t>
            </w:r>
          </w:p>
        </w:tc>
        <w:tc>
          <w:tcPr>
            <w:tcW w:w="1984" w:type="dxa"/>
            <w:vMerge/>
          </w:tcPr>
          <w:p w:rsidR="008E53DB" w:rsidRPr="007F7D5C" w:rsidRDefault="008E53DB"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p>
        </w:tc>
        <w:tc>
          <w:tcPr>
            <w:tcW w:w="2693" w:type="dxa"/>
            <w:vMerge/>
          </w:tcPr>
          <w:p w:rsidR="008E53DB" w:rsidRPr="007F7D5C" w:rsidRDefault="008E53DB"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p>
        </w:tc>
      </w:tr>
      <w:tr w:rsidR="008E53DB" w:rsidRPr="007F7D5C" w:rsidTr="00D2749E">
        <w:trPr>
          <w:trHeight w:val="351"/>
        </w:trPr>
        <w:tc>
          <w:tcPr>
            <w:cnfStyle w:val="001000000000" w:firstRow="0" w:lastRow="0" w:firstColumn="1" w:lastColumn="0" w:oddVBand="0" w:evenVBand="0" w:oddHBand="0" w:evenHBand="0" w:firstRowFirstColumn="0" w:firstRowLastColumn="0" w:lastRowFirstColumn="0" w:lastRowLastColumn="0"/>
            <w:tcW w:w="1101" w:type="dxa"/>
            <w:vMerge/>
          </w:tcPr>
          <w:p w:rsidR="008E53DB" w:rsidRPr="007F7D5C" w:rsidRDefault="008E53DB" w:rsidP="007848A6">
            <w:pPr>
              <w:pStyle w:val="AERtabletextleft"/>
              <w:rPr>
                <w:rStyle w:val="AERtextsize8"/>
              </w:rPr>
            </w:pPr>
          </w:p>
        </w:tc>
        <w:tc>
          <w:tcPr>
            <w:tcW w:w="3402" w:type="dxa"/>
            <w:gridSpan w:val="2"/>
          </w:tcPr>
          <w:p w:rsidR="008E53DB" w:rsidRPr="007F7D5C" w:rsidRDefault="008E53DB"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7F7D5C">
              <w:rPr>
                <w:rStyle w:val="AERtextsize8"/>
              </w:rPr>
              <w:t>Administration Support</w:t>
            </w:r>
          </w:p>
        </w:tc>
        <w:tc>
          <w:tcPr>
            <w:tcW w:w="1984" w:type="dxa"/>
            <w:vMerge/>
          </w:tcPr>
          <w:p w:rsidR="008E53DB" w:rsidRPr="007F7D5C" w:rsidRDefault="008E53DB"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p>
        </w:tc>
        <w:tc>
          <w:tcPr>
            <w:tcW w:w="2693" w:type="dxa"/>
            <w:vMerge/>
          </w:tcPr>
          <w:p w:rsidR="008E53DB" w:rsidRPr="007F7D5C" w:rsidRDefault="008E53DB"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p>
        </w:tc>
      </w:tr>
      <w:tr w:rsidR="008E53DB" w:rsidRPr="007F7D5C" w:rsidTr="00D2749E">
        <w:trPr>
          <w:cnfStyle w:val="000000010000" w:firstRow="0" w:lastRow="0" w:firstColumn="0" w:lastColumn="0" w:oddVBand="0" w:evenVBand="0" w:oddHBand="0" w:evenHBand="1" w:firstRowFirstColumn="0" w:firstRowLastColumn="0" w:lastRowFirstColumn="0" w:lastRowLastColumn="0"/>
          <w:trHeight w:val="351"/>
        </w:trPr>
        <w:tc>
          <w:tcPr>
            <w:cnfStyle w:val="001000000000" w:firstRow="0" w:lastRow="0" w:firstColumn="1" w:lastColumn="0" w:oddVBand="0" w:evenVBand="0" w:oddHBand="0" w:evenHBand="0" w:firstRowFirstColumn="0" w:firstRowLastColumn="0" w:lastRowFirstColumn="0" w:lastRowLastColumn="0"/>
            <w:tcW w:w="1101" w:type="dxa"/>
            <w:vMerge/>
          </w:tcPr>
          <w:p w:rsidR="008E53DB" w:rsidRPr="007F7D5C" w:rsidRDefault="008E53DB" w:rsidP="007848A6">
            <w:pPr>
              <w:pStyle w:val="AERtabletextleft"/>
              <w:rPr>
                <w:rStyle w:val="AERtextsize8"/>
              </w:rPr>
            </w:pPr>
          </w:p>
        </w:tc>
        <w:tc>
          <w:tcPr>
            <w:tcW w:w="3402" w:type="dxa"/>
            <w:gridSpan w:val="2"/>
          </w:tcPr>
          <w:p w:rsidR="008E53DB" w:rsidRPr="007F7D5C" w:rsidRDefault="008E53DB"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7F7D5C">
              <w:rPr>
                <w:rStyle w:val="AERtextsize8"/>
              </w:rPr>
              <w:t>Administration</w:t>
            </w:r>
          </w:p>
        </w:tc>
        <w:tc>
          <w:tcPr>
            <w:tcW w:w="1984" w:type="dxa"/>
            <w:vMerge/>
          </w:tcPr>
          <w:p w:rsidR="008E53DB" w:rsidRPr="007F7D5C" w:rsidRDefault="008E53DB"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p>
        </w:tc>
        <w:tc>
          <w:tcPr>
            <w:tcW w:w="2693" w:type="dxa"/>
            <w:vMerge/>
          </w:tcPr>
          <w:p w:rsidR="008E53DB" w:rsidRPr="007F7D5C" w:rsidRDefault="008E53DB"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p>
        </w:tc>
      </w:tr>
      <w:tr w:rsidR="008E53DB" w:rsidRPr="007F7D5C" w:rsidTr="00D2749E">
        <w:trPr>
          <w:gridAfter w:val="3"/>
          <w:wAfter w:w="6120" w:type="dxa"/>
          <w:trHeight w:val="217"/>
        </w:trPr>
        <w:tc>
          <w:tcPr>
            <w:cnfStyle w:val="001000000000" w:firstRow="0" w:lastRow="0" w:firstColumn="1" w:lastColumn="0" w:oddVBand="0" w:evenVBand="0" w:oddHBand="0" w:evenHBand="0" w:firstRowFirstColumn="0" w:firstRowLastColumn="0" w:lastRowFirstColumn="0" w:lastRowLastColumn="0"/>
            <w:tcW w:w="1101" w:type="dxa"/>
          </w:tcPr>
          <w:p w:rsidR="008E53DB" w:rsidRPr="007F7D5C" w:rsidRDefault="008E53DB" w:rsidP="007848A6">
            <w:pPr>
              <w:pStyle w:val="AERtabletextleft"/>
              <w:rPr>
                <w:rStyle w:val="AERtextsize8"/>
              </w:rPr>
            </w:pPr>
          </w:p>
        </w:tc>
        <w:tc>
          <w:tcPr>
            <w:tcW w:w="1959" w:type="dxa"/>
          </w:tcPr>
          <w:p w:rsidR="008E53DB" w:rsidRPr="007F7D5C" w:rsidRDefault="008E53DB"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p>
        </w:tc>
      </w:tr>
      <w:tr w:rsidR="008E53DB" w:rsidRPr="007F7D5C" w:rsidTr="00D2749E">
        <w:trPr>
          <w:cnfStyle w:val="000000010000" w:firstRow="0" w:lastRow="0" w:firstColumn="0" w:lastColumn="0" w:oddVBand="0" w:evenVBand="0" w:oddHBand="0" w:evenHBand="1"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1101" w:type="dxa"/>
            <w:vMerge w:val="restart"/>
          </w:tcPr>
          <w:p w:rsidR="008E53DB" w:rsidRPr="007F7D5C" w:rsidRDefault="008E53DB" w:rsidP="007848A6">
            <w:pPr>
              <w:pStyle w:val="AERtabletextleft"/>
              <w:rPr>
                <w:rStyle w:val="AERtextsize8"/>
              </w:rPr>
            </w:pPr>
            <w:r w:rsidRPr="007F7D5C">
              <w:rPr>
                <w:rStyle w:val="AERtextsize8"/>
              </w:rPr>
              <w:t>Technical</w:t>
            </w:r>
          </w:p>
        </w:tc>
        <w:tc>
          <w:tcPr>
            <w:tcW w:w="3402" w:type="dxa"/>
            <w:gridSpan w:val="2"/>
          </w:tcPr>
          <w:p w:rsidR="008E53DB" w:rsidRPr="007F7D5C" w:rsidRDefault="008E53DB"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7F7D5C">
              <w:rPr>
                <w:rStyle w:val="AERtextsize8"/>
              </w:rPr>
              <w:t>Electrical worker</w:t>
            </w:r>
          </w:p>
        </w:tc>
        <w:tc>
          <w:tcPr>
            <w:tcW w:w="1984" w:type="dxa"/>
            <w:vMerge w:val="restart"/>
          </w:tcPr>
          <w:p w:rsidR="008E53DB" w:rsidRPr="007F7D5C" w:rsidRDefault="008E53DB"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Pr>
                <w:rStyle w:val="AERtextsize8"/>
              </w:rPr>
              <w:t xml:space="preserve">31.25 to </w:t>
            </w:r>
            <w:r w:rsidRPr="007F7D5C">
              <w:rPr>
                <w:rStyle w:val="AERtextsize8"/>
              </w:rPr>
              <w:t>57.69</w:t>
            </w:r>
          </w:p>
        </w:tc>
        <w:tc>
          <w:tcPr>
            <w:tcW w:w="2693" w:type="dxa"/>
            <w:vMerge w:val="restart"/>
          </w:tcPr>
          <w:p w:rsidR="008E53DB" w:rsidRPr="007F7D5C" w:rsidRDefault="008E53DB"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7F7D5C">
              <w:rPr>
                <w:rStyle w:val="AERtextsize8"/>
              </w:rPr>
              <w:t>Max.</w:t>
            </w:r>
          </w:p>
          <w:p w:rsidR="008E53DB" w:rsidRPr="007F7D5C" w:rsidRDefault="008E53DB"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7F7D5C">
              <w:rPr>
                <w:rStyle w:val="AERtextsize8"/>
              </w:rPr>
              <w:t>59.00</w:t>
            </w:r>
          </w:p>
        </w:tc>
      </w:tr>
      <w:tr w:rsidR="008E53DB" w:rsidRPr="007F7D5C" w:rsidTr="00D2749E">
        <w:trPr>
          <w:trHeight w:val="225"/>
        </w:trPr>
        <w:tc>
          <w:tcPr>
            <w:cnfStyle w:val="001000000000" w:firstRow="0" w:lastRow="0" w:firstColumn="1" w:lastColumn="0" w:oddVBand="0" w:evenVBand="0" w:oddHBand="0" w:evenHBand="0" w:firstRowFirstColumn="0" w:firstRowLastColumn="0" w:lastRowFirstColumn="0" w:lastRowLastColumn="0"/>
            <w:tcW w:w="1101" w:type="dxa"/>
            <w:vMerge/>
          </w:tcPr>
          <w:p w:rsidR="008E53DB" w:rsidRPr="007F7D5C" w:rsidRDefault="008E53DB" w:rsidP="007848A6">
            <w:pPr>
              <w:pStyle w:val="AERtabletextleft"/>
              <w:rPr>
                <w:rStyle w:val="AERtextsize8"/>
              </w:rPr>
            </w:pPr>
          </w:p>
        </w:tc>
        <w:tc>
          <w:tcPr>
            <w:tcW w:w="3402" w:type="dxa"/>
            <w:gridSpan w:val="2"/>
          </w:tcPr>
          <w:p w:rsidR="008E53DB" w:rsidRPr="007F7D5C" w:rsidRDefault="008E53DB"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7F7D5C">
              <w:rPr>
                <w:rStyle w:val="AERtextsize8"/>
              </w:rPr>
              <w:t>Technical Specialist</w:t>
            </w:r>
          </w:p>
        </w:tc>
        <w:tc>
          <w:tcPr>
            <w:tcW w:w="1984" w:type="dxa"/>
            <w:vMerge/>
          </w:tcPr>
          <w:p w:rsidR="008E53DB" w:rsidRPr="007F7D5C" w:rsidRDefault="008E53DB"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p>
        </w:tc>
        <w:tc>
          <w:tcPr>
            <w:tcW w:w="2693" w:type="dxa"/>
            <w:vMerge/>
          </w:tcPr>
          <w:p w:rsidR="008E53DB" w:rsidRPr="007F7D5C" w:rsidRDefault="008E53DB"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p>
        </w:tc>
      </w:tr>
      <w:tr w:rsidR="008E53DB" w:rsidRPr="007F7D5C" w:rsidTr="00D2749E">
        <w:trPr>
          <w:cnfStyle w:val="000000010000" w:firstRow="0" w:lastRow="0" w:firstColumn="0" w:lastColumn="0" w:oddVBand="0" w:evenVBand="0" w:oddHBand="0" w:evenHBand="1" w:firstRowFirstColumn="0" w:firstRowLastColumn="0" w:lastRowFirstColumn="0" w:lastRowLastColumn="0"/>
          <w:trHeight w:val="217"/>
        </w:trPr>
        <w:tc>
          <w:tcPr>
            <w:cnfStyle w:val="001000000000" w:firstRow="0" w:lastRow="0" w:firstColumn="1" w:lastColumn="0" w:oddVBand="0" w:evenVBand="0" w:oddHBand="0" w:evenHBand="0" w:firstRowFirstColumn="0" w:firstRowLastColumn="0" w:lastRowFirstColumn="0" w:lastRowLastColumn="0"/>
            <w:tcW w:w="1101" w:type="dxa"/>
            <w:vMerge/>
          </w:tcPr>
          <w:p w:rsidR="008E53DB" w:rsidRPr="007F7D5C" w:rsidRDefault="008E53DB" w:rsidP="007848A6">
            <w:pPr>
              <w:pStyle w:val="AERtabletextleft"/>
              <w:rPr>
                <w:rStyle w:val="AERtextsize8"/>
              </w:rPr>
            </w:pPr>
          </w:p>
        </w:tc>
        <w:tc>
          <w:tcPr>
            <w:tcW w:w="3402" w:type="dxa"/>
            <w:gridSpan w:val="2"/>
          </w:tcPr>
          <w:p w:rsidR="008E53DB" w:rsidRPr="007F7D5C" w:rsidRDefault="008E53DB"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7F7D5C">
              <w:rPr>
                <w:rStyle w:val="AERtextsize8"/>
              </w:rPr>
              <w:t>Technical Specialist</w:t>
            </w:r>
          </w:p>
        </w:tc>
        <w:tc>
          <w:tcPr>
            <w:tcW w:w="1984" w:type="dxa"/>
            <w:vMerge/>
          </w:tcPr>
          <w:p w:rsidR="008E53DB" w:rsidRPr="007F7D5C" w:rsidRDefault="008E53DB"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p>
        </w:tc>
        <w:tc>
          <w:tcPr>
            <w:tcW w:w="2693" w:type="dxa"/>
            <w:vMerge/>
          </w:tcPr>
          <w:p w:rsidR="008E53DB" w:rsidRPr="007F7D5C" w:rsidRDefault="008E53DB"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p>
        </w:tc>
      </w:tr>
      <w:tr w:rsidR="008E53DB" w:rsidRPr="007F7D5C" w:rsidTr="00D2749E">
        <w:trPr>
          <w:trHeight w:val="217"/>
        </w:trPr>
        <w:tc>
          <w:tcPr>
            <w:cnfStyle w:val="001000000000" w:firstRow="0" w:lastRow="0" w:firstColumn="1" w:lastColumn="0" w:oddVBand="0" w:evenVBand="0" w:oddHBand="0" w:evenHBand="0" w:firstRowFirstColumn="0" w:firstRowLastColumn="0" w:lastRowFirstColumn="0" w:lastRowLastColumn="0"/>
            <w:tcW w:w="1101" w:type="dxa"/>
            <w:vMerge/>
          </w:tcPr>
          <w:p w:rsidR="008E53DB" w:rsidRPr="007F7D5C" w:rsidRDefault="008E53DB" w:rsidP="007848A6">
            <w:pPr>
              <w:pStyle w:val="AERtabletextleft"/>
              <w:rPr>
                <w:rStyle w:val="AERtextsize8"/>
              </w:rPr>
            </w:pPr>
          </w:p>
        </w:tc>
        <w:tc>
          <w:tcPr>
            <w:tcW w:w="3402" w:type="dxa"/>
            <w:gridSpan w:val="2"/>
          </w:tcPr>
          <w:p w:rsidR="008E53DB" w:rsidRPr="007F7D5C" w:rsidRDefault="008E53DB"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7F7D5C">
              <w:rPr>
                <w:rStyle w:val="AERtextsize8"/>
              </w:rPr>
              <w:t>Indoor technical officer</w:t>
            </w:r>
          </w:p>
        </w:tc>
        <w:tc>
          <w:tcPr>
            <w:tcW w:w="1984" w:type="dxa"/>
            <w:vMerge/>
          </w:tcPr>
          <w:p w:rsidR="008E53DB" w:rsidRPr="007F7D5C" w:rsidRDefault="008E53DB"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p>
        </w:tc>
        <w:tc>
          <w:tcPr>
            <w:tcW w:w="2693" w:type="dxa"/>
            <w:vMerge/>
          </w:tcPr>
          <w:p w:rsidR="008E53DB" w:rsidRPr="007F7D5C" w:rsidRDefault="008E53DB"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p>
        </w:tc>
      </w:tr>
      <w:tr w:rsidR="008E53DB" w:rsidRPr="007F7D5C" w:rsidTr="00D2749E">
        <w:trPr>
          <w:cnfStyle w:val="000000010000" w:firstRow="0" w:lastRow="0" w:firstColumn="0" w:lastColumn="0" w:oddVBand="0" w:evenVBand="0" w:oddHBand="0" w:evenHBand="1" w:firstRowFirstColumn="0" w:firstRowLastColumn="0" w:lastRowFirstColumn="0" w:lastRowLastColumn="0"/>
          <w:trHeight w:val="217"/>
        </w:trPr>
        <w:tc>
          <w:tcPr>
            <w:cnfStyle w:val="001000000000" w:firstRow="0" w:lastRow="0" w:firstColumn="1" w:lastColumn="0" w:oddVBand="0" w:evenVBand="0" w:oddHBand="0" w:evenHBand="0" w:firstRowFirstColumn="0" w:firstRowLastColumn="0" w:lastRowFirstColumn="0" w:lastRowLastColumn="0"/>
            <w:tcW w:w="1101" w:type="dxa"/>
            <w:vMerge/>
          </w:tcPr>
          <w:p w:rsidR="008E53DB" w:rsidRPr="007F7D5C" w:rsidRDefault="008E53DB" w:rsidP="007848A6">
            <w:pPr>
              <w:pStyle w:val="AERtabletextleft"/>
              <w:rPr>
                <w:rStyle w:val="AERtextsize8"/>
              </w:rPr>
            </w:pPr>
          </w:p>
        </w:tc>
        <w:tc>
          <w:tcPr>
            <w:tcW w:w="3402" w:type="dxa"/>
            <w:gridSpan w:val="2"/>
          </w:tcPr>
          <w:p w:rsidR="008E53DB" w:rsidRPr="007F7D5C" w:rsidRDefault="008E53DB"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7F7D5C">
              <w:rPr>
                <w:rStyle w:val="AERtextsize8"/>
              </w:rPr>
              <w:t>Outdoor technical officer</w:t>
            </w:r>
          </w:p>
        </w:tc>
        <w:tc>
          <w:tcPr>
            <w:tcW w:w="1984" w:type="dxa"/>
            <w:vMerge/>
          </w:tcPr>
          <w:p w:rsidR="008E53DB" w:rsidRPr="007F7D5C" w:rsidRDefault="008E53DB"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p>
        </w:tc>
        <w:tc>
          <w:tcPr>
            <w:tcW w:w="2693" w:type="dxa"/>
            <w:vMerge/>
          </w:tcPr>
          <w:p w:rsidR="008E53DB" w:rsidRPr="007F7D5C" w:rsidRDefault="008E53DB"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p>
        </w:tc>
      </w:tr>
      <w:tr w:rsidR="008E53DB" w:rsidRPr="007F7D5C" w:rsidTr="00D2749E">
        <w:trPr>
          <w:gridAfter w:val="3"/>
          <w:wAfter w:w="6120" w:type="dxa"/>
          <w:trHeight w:val="217"/>
        </w:trPr>
        <w:tc>
          <w:tcPr>
            <w:cnfStyle w:val="001000000000" w:firstRow="0" w:lastRow="0" w:firstColumn="1" w:lastColumn="0" w:oddVBand="0" w:evenVBand="0" w:oddHBand="0" w:evenHBand="0" w:firstRowFirstColumn="0" w:firstRowLastColumn="0" w:lastRowFirstColumn="0" w:lastRowLastColumn="0"/>
            <w:tcW w:w="1101" w:type="dxa"/>
          </w:tcPr>
          <w:p w:rsidR="008E53DB" w:rsidRPr="007F7D5C" w:rsidRDefault="008E53DB" w:rsidP="007848A6">
            <w:pPr>
              <w:pStyle w:val="AERtabletextleft"/>
              <w:rPr>
                <w:rStyle w:val="AERtextsize8"/>
              </w:rPr>
            </w:pPr>
          </w:p>
        </w:tc>
        <w:tc>
          <w:tcPr>
            <w:tcW w:w="1959" w:type="dxa"/>
          </w:tcPr>
          <w:p w:rsidR="008E53DB" w:rsidRPr="007F7D5C" w:rsidRDefault="008E53DB"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p>
        </w:tc>
      </w:tr>
      <w:tr w:rsidR="008E53DB" w:rsidRPr="007F7D5C" w:rsidTr="00D2749E">
        <w:trPr>
          <w:cnfStyle w:val="000000010000" w:firstRow="0" w:lastRow="0" w:firstColumn="0" w:lastColumn="0" w:oddVBand="0" w:evenVBand="0" w:oddHBand="0" w:evenHBand="1" w:firstRowFirstColumn="0" w:firstRowLastColumn="0" w:lastRowFirstColumn="0" w:lastRowLastColumn="0"/>
          <w:trHeight w:val="217"/>
        </w:trPr>
        <w:tc>
          <w:tcPr>
            <w:cnfStyle w:val="001000000000" w:firstRow="0" w:lastRow="0" w:firstColumn="1" w:lastColumn="0" w:oddVBand="0" w:evenVBand="0" w:oddHBand="0" w:evenHBand="0" w:firstRowFirstColumn="0" w:firstRowLastColumn="0" w:lastRowFirstColumn="0" w:lastRowLastColumn="0"/>
            <w:tcW w:w="1101" w:type="dxa"/>
            <w:vMerge w:val="restart"/>
          </w:tcPr>
          <w:p w:rsidR="008E53DB" w:rsidRPr="007F7D5C" w:rsidRDefault="008E53DB" w:rsidP="007848A6">
            <w:pPr>
              <w:pStyle w:val="AERtabletextleft"/>
              <w:rPr>
                <w:rStyle w:val="AERtextsize8"/>
              </w:rPr>
            </w:pPr>
            <w:r w:rsidRPr="007F7D5C">
              <w:rPr>
                <w:rStyle w:val="AERtextsize8"/>
              </w:rPr>
              <w:t>Engineer</w:t>
            </w:r>
          </w:p>
        </w:tc>
        <w:tc>
          <w:tcPr>
            <w:tcW w:w="3402" w:type="dxa"/>
            <w:gridSpan w:val="2"/>
          </w:tcPr>
          <w:p w:rsidR="008E53DB" w:rsidRPr="007F7D5C" w:rsidRDefault="008E53DB"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7F7D5C">
              <w:rPr>
                <w:rStyle w:val="AERtextsize8"/>
              </w:rPr>
              <w:t>Project Officer Design Section</w:t>
            </w:r>
          </w:p>
        </w:tc>
        <w:tc>
          <w:tcPr>
            <w:tcW w:w="1984" w:type="dxa"/>
            <w:vMerge w:val="restart"/>
          </w:tcPr>
          <w:p w:rsidR="008E53DB" w:rsidRPr="007F7D5C" w:rsidRDefault="008E53DB"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Pr>
                <w:rStyle w:val="AERtextsize8"/>
              </w:rPr>
              <w:t xml:space="preserve">36.06 to </w:t>
            </w:r>
            <w:r w:rsidRPr="007F7D5C">
              <w:rPr>
                <w:rStyle w:val="AERtextsize8"/>
              </w:rPr>
              <w:t>72.12</w:t>
            </w:r>
          </w:p>
        </w:tc>
        <w:tc>
          <w:tcPr>
            <w:tcW w:w="2693" w:type="dxa"/>
            <w:vMerge w:val="restart"/>
          </w:tcPr>
          <w:p w:rsidR="008E53DB" w:rsidRPr="007F7D5C" w:rsidRDefault="008E53DB"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Pr>
                <w:rStyle w:val="AERtextsize8"/>
              </w:rPr>
              <w:t xml:space="preserve">Max. </w:t>
            </w:r>
            <w:r w:rsidRPr="007F7D5C">
              <w:rPr>
                <w:rStyle w:val="AERtextsize8"/>
              </w:rPr>
              <w:t>69.00</w:t>
            </w:r>
          </w:p>
        </w:tc>
      </w:tr>
      <w:tr w:rsidR="008E53DB" w:rsidRPr="007F7D5C" w:rsidTr="00D2749E">
        <w:trPr>
          <w:trHeight w:val="217"/>
        </w:trPr>
        <w:tc>
          <w:tcPr>
            <w:cnfStyle w:val="001000000000" w:firstRow="0" w:lastRow="0" w:firstColumn="1" w:lastColumn="0" w:oddVBand="0" w:evenVBand="0" w:oddHBand="0" w:evenHBand="0" w:firstRowFirstColumn="0" w:firstRowLastColumn="0" w:lastRowFirstColumn="0" w:lastRowLastColumn="0"/>
            <w:tcW w:w="1101" w:type="dxa"/>
            <w:vMerge/>
          </w:tcPr>
          <w:p w:rsidR="008E53DB" w:rsidRPr="007F7D5C" w:rsidRDefault="008E53DB" w:rsidP="007848A6">
            <w:pPr>
              <w:pStyle w:val="AERtabletextleft"/>
              <w:rPr>
                <w:rStyle w:val="AERtextsize8"/>
              </w:rPr>
            </w:pPr>
          </w:p>
        </w:tc>
        <w:tc>
          <w:tcPr>
            <w:tcW w:w="3402" w:type="dxa"/>
            <w:gridSpan w:val="2"/>
          </w:tcPr>
          <w:p w:rsidR="008E53DB" w:rsidRPr="007F7D5C" w:rsidRDefault="008E53DB"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7F7D5C">
              <w:rPr>
                <w:rStyle w:val="AERtextsize8"/>
              </w:rPr>
              <w:t>EO 7/Engineer</w:t>
            </w:r>
          </w:p>
        </w:tc>
        <w:tc>
          <w:tcPr>
            <w:tcW w:w="1984" w:type="dxa"/>
            <w:vMerge/>
          </w:tcPr>
          <w:p w:rsidR="008E53DB" w:rsidRPr="007F7D5C" w:rsidRDefault="008E53DB"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p>
        </w:tc>
        <w:tc>
          <w:tcPr>
            <w:tcW w:w="2693" w:type="dxa"/>
            <w:vMerge/>
          </w:tcPr>
          <w:p w:rsidR="008E53DB" w:rsidRPr="007F7D5C" w:rsidRDefault="008E53DB"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p>
        </w:tc>
      </w:tr>
      <w:tr w:rsidR="008E53DB" w:rsidRPr="007F7D5C" w:rsidTr="00D2749E">
        <w:trPr>
          <w:cnfStyle w:val="000000010000" w:firstRow="0" w:lastRow="0" w:firstColumn="0" w:lastColumn="0" w:oddVBand="0" w:evenVBand="0" w:oddHBand="0" w:evenHBand="1" w:firstRowFirstColumn="0" w:firstRowLastColumn="0" w:lastRowFirstColumn="0" w:lastRowLastColumn="0"/>
          <w:trHeight w:val="217"/>
        </w:trPr>
        <w:tc>
          <w:tcPr>
            <w:cnfStyle w:val="001000000000" w:firstRow="0" w:lastRow="0" w:firstColumn="1" w:lastColumn="0" w:oddVBand="0" w:evenVBand="0" w:oddHBand="0" w:evenHBand="0" w:firstRowFirstColumn="0" w:firstRowLastColumn="0" w:lastRowFirstColumn="0" w:lastRowLastColumn="0"/>
            <w:tcW w:w="1101" w:type="dxa"/>
            <w:vMerge/>
          </w:tcPr>
          <w:p w:rsidR="008E53DB" w:rsidRPr="007F7D5C" w:rsidRDefault="008E53DB" w:rsidP="007848A6">
            <w:pPr>
              <w:pStyle w:val="AERtabletextleft"/>
              <w:rPr>
                <w:rStyle w:val="AERtextsize8"/>
              </w:rPr>
            </w:pPr>
          </w:p>
        </w:tc>
        <w:tc>
          <w:tcPr>
            <w:tcW w:w="3402" w:type="dxa"/>
            <w:gridSpan w:val="2"/>
          </w:tcPr>
          <w:p w:rsidR="008E53DB" w:rsidRPr="007F7D5C" w:rsidRDefault="008E53DB"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7F7D5C">
              <w:rPr>
                <w:rStyle w:val="AERtextsize8"/>
              </w:rPr>
              <w:t>Engineer</w:t>
            </w:r>
          </w:p>
        </w:tc>
        <w:tc>
          <w:tcPr>
            <w:tcW w:w="1984" w:type="dxa"/>
            <w:vMerge/>
          </w:tcPr>
          <w:p w:rsidR="008E53DB" w:rsidRPr="007F7D5C" w:rsidRDefault="008E53DB"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p>
        </w:tc>
        <w:tc>
          <w:tcPr>
            <w:tcW w:w="2693" w:type="dxa"/>
            <w:vMerge/>
          </w:tcPr>
          <w:p w:rsidR="008E53DB" w:rsidRPr="007F7D5C" w:rsidRDefault="008E53DB"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p>
        </w:tc>
      </w:tr>
      <w:tr w:rsidR="008E53DB" w:rsidRPr="007F7D5C" w:rsidTr="00D2749E">
        <w:trPr>
          <w:trHeight w:val="217"/>
        </w:trPr>
        <w:tc>
          <w:tcPr>
            <w:cnfStyle w:val="001000000000" w:firstRow="0" w:lastRow="0" w:firstColumn="1" w:lastColumn="0" w:oddVBand="0" w:evenVBand="0" w:oddHBand="0" w:evenHBand="0" w:firstRowFirstColumn="0" w:firstRowLastColumn="0" w:lastRowFirstColumn="0" w:lastRowLastColumn="0"/>
            <w:tcW w:w="1101" w:type="dxa"/>
            <w:vMerge/>
          </w:tcPr>
          <w:p w:rsidR="008E53DB" w:rsidRPr="007F7D5C" w:rsidRDefault="008E53DB" w:rsidP="007848A6">
            <w:pPr>
              <w:pStyle w:val="AERtabletextleft"/>
              <w:rPr>
                <w:rStyle w:val="AERtextsize8"/>
              </w:rPr>
            </w:pPr>
          </w:p>
        </w:tc>
        <w:tc>
          <w:tcPr>
            <w:tcW w:w="3402" w:type="dxa"/>
            <w:gridSpan w:val="2"/>
          </w:tcPr>
          <w:p w:rsidR="008E53DB" w:rsidRPr="007F7D5C" w:rsidRDefault="008E53DB"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7F7D5C">
              <w:rPr>
                <w:rStyle w:val="AERtextsize8"/>
              </w:rPr>
              <w:t>Engineering Officer</w:t>
            </w:r>
          </w:p>
        </w:tc>
        <w:tc>
          <w:tcPr>
            <w:tcW w:w="1984" w:type="dxa"/>
            <w:vMerge/>
          </w:tcPr>
          <w:p w:rsidR="008E53DB" w:rsidRPr="007F7D5C" w:rsidRDefault="008E53DB"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p>
        </w:tc>
        <w:tc>
          <w:tcPr>
            <w:tcW w:w="2693" w:type="dxa"/>
            <w:vMerge/>
          </w:tcPr>
          <w:p w:rsidR="008E53DB" w:rsidRPr="007F7D5C" w:rsidRDefault="008E53DB"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p>
        </w:tc>
      </w:tr>
      <w:tr w:rsidR="008E53DB" w:rsidRPr="007F7D5C" w:rsidTr="00D2749E">
        <w:trPr>
          <w:gridAfter w:val="3"/>
          <w:cnfStyle w:val="000000010000" w:firstRow="0" w:lastRow="0" w:firstColumn="0" w:lastColumn="0" w:oddVBand="0" w:evenVBand="0" w:oddHBand="0" w:evenHBand="1" w:firstRowFirstColumn="0" w:firstRowLastColumn="0" w:lastRowFirstColumn="0" w:lastRowLastColumn="0"/>
          <w:wAfter w:w="6120" w:type="dxa"/>
          <w:trHeight w:val="217"/>
        </w:trPr>
        <w:tc>
          <w:tcPr>
            <w:cnfStyle w:val="001000000000" w:firstRow="0" w:lastRow="0" w:firstColumn="1" w:lastColumn="0" w:oddVBand="0" w:evenVBand="0" w:oddHBand="0" w:evenHBand="0" w:firstRowFirstColumn="0" w:firstRowLastColumn="0" w:lastRowFirstColumn="0" w:lastRowLastColumn="0"/>
            <w:tcW w:w="1101" w:type="dxa"/>
          </w:tcPr>
          <w:p w:rsidR="008E53DB" w:rsidRPr="007F7D5C" w:rsidRDefault="008E53DB" w:rsidP="007848A6">
            <w:pPr>
              <w:pStyle w:val="AERtabletextleft"/>
              <w:rPr>
                <w:rStyle w:val="AERtextsize8"/>
              </w:rPr>
            </w:pPr>
          </w:p>
        </w:tc>
        <w:tc>
          <w:tcPr>
            <w:tcW w:w="1959" w:type="dxa"/>
          </w:tcPr>
          <w:p w:rsidR="008E53DB" w:rsidRPr="007F7D5C" w:rsidRDefault="008E53DB"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p>
        </w:tc>
      </w:tr>
      <w:tr w:rsidR="008E53DB" w:rsidRPr="007F7D5C" w:rsidTr="00D2749E">
        <w:trPr>
          <w:trHeight w:val="359"/>
        </w:trPr>
        <w:tc>
          <w:tcPr>
            <w:cnfStyle w:val="001000000000" w:firstRow="0" w:lastRow="0" w:firstColumn="1" w:lastColumn="0" w:oddVBand="0" w:evenVBand="0" w:oddHBand="0" w:evenHBand="0" w:firstRowFirstColumn="0" w:firstRowLastColumn="0" w:lastRowFirstColumn="0" w:lastRowLastColumn="0"/>
            <w:tcW w:w="1101" w:type="dxa"/>
            <w:vMerge w:val="restart"/>
          </w:tcPr>
          <w:p w:rsidR="008E53DB" w:rsidRPr="007F7D5C" w:rsidRDefault="008E53DB" w:rsidP="007848A6">
            <w:pPr>
              <w:pStyle w:val="AERtabletextleft"/>
              <w:rPr>
                <w:rStyle w:val="AERtextsize8"/>
              </w:rPr>
            </w:pPr>
            <w:r w:rsidRPr="007F7D5C">
              <w:rPr>
                <w:rStyle w:val="AERtextsize8"/>
              </w:rPr>
              <w:t>Field Worker</w:t>
            </w:r>
          </w:p>
        </w:tc>
        <w:tc>
          <w:tcPr>
            <w:tcW w:w="3402" w:type="dxa"/>
            <w:gridSpan w:val="2"/>
          </w:tcPr>
          <w:p w:rsidR="008E53DB" w:rsidRPr="007F7D5C" w:rsidRDefault="008E53DB"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7F7D5C">
              <w:rPr>
                <w:rStyle w:val="AERtextsize8"/>
              </w:rPr>
              <w:t>Electrical worker - labourer</w:t>
            </w:r>
          </w:p>
        </w:tc>
        <w:tc>
          <w:tcPr>
            <w:tcW w:w="1984" w:type="dxa"/>
            <w:vMerge w:val="restart"/>
          </w:tcPr>
          <w:p w:rsidR="008E53DB" w:rsidRPr="007F7D5C" w:rsidRDefault="008E53DB"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Pr>
                <w:rStyle w:val="AERtextsize8"/>
              </w:rPr>
              <w:t xml:space="preserve">31.25 to </w:t>
            </w:r>
            <w:r w:rsidRPr="007F7D5C">
              <w:rPr>
                <w:rStyle w:val="AERtextsize8"/>
              </w:rPr>
              <w:t>48.08</w:t>
            </w:r>
          </w:p>
        </w:tc>
        <w:tc>
          <w:tcPr>
            <w:tcW w:w="2693" w:type="dxa"/>
            <w:vMerge w:val="restart"/>
          </w:tcPr>
          <w:p w:rsidR="008E53DB" w:rsidRPr="007F7D5C" w:rsidRDefault="008E53DB"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Pr>
                <w:rStyle w:val="AERtextsize8"/>
              </w:rPr>
              <w:t xml:space="preserve">Max. </w:t>
            </w:r>
            <w:r w:rsidRPr="007F7D5C">
              <w:rPr>
                <w:rStyle w:val="AERtextsize8"/>
              </w:rPr>
              <w:t>47.00</w:t>
            </w:r>
          </w:p>
        </w:tc>
      </w:tr>
      <w:tr w:rsidR="008E53DB" w:rsidRPr="007F7D5C" w:rsidTr="00D2749E">
        <w:trPr>
          <w:cnfStyle w:val="000000010000" w:firstRow="0" w:lastRow="0" w:firstColumn="0" w:lastColumn="0" w:oddVBand="0" w:evenVBand="0" w:oddHBand="0" w:evenHBand="1" w:firstRowFirstColumn="0" w:firstRowLastColumn="0" w:lastRowFirstColumn="0" w:lastRowLastColumn="0"/>
          <w:trHeight w:val="217"/>
        </w:trPr>
        <w:tc>
          <w:tcPr>
            <w:cnfStyle w:val="001000000000" w:firstRow="0" w:lastRow="0" w:firstColumn="1" w:lastColumn="0" w:oddVBand="0" w:evenVBand="0" w:oddHBand="0" w:evenHBand="0" w:firstRowFirstColumn="0" w:firstRowLastColumn="0" w:lastRowFirstColumn="0" w:lastRowLastColumn="0"/>
            <w:tcW w:w="1101" w:type="dxa"/>
            <w:vMerge/>
          </w:tcPr>
          <w:p w:rsidR="008E53DB" w:rsidRPr="007F7D5C" w:rsidRDefault="008E53DB" w:rsidP="007848A6">
            <w:pPr>
              <w:pStyle w:val="AERtabletextleft"/>
              <w:rPr>
                <w:rStyle w:val="AERtextsize8"/>
              </w:rPr>
            </w:pPr>
          </w:p>
        </w:tc>
        <w:tc>
          <w:tcPr>
            <w:tcW w:w="3402" w:type="dxa"/>
            <w:gridSpan w:val="2"/>
          </w:tcPr>
          <w:p w:rsidR="008E53DB" w:rsidRPr="007F7D5C" w:rsidRDefault="008E53DB"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7F7D5C">
              <w:rPr>
                <w:rStyle w:val="AERtextsize8"/>
              </w:rPr>
              <w:t>Electrical Apprentice</w:t>
            </w:r>
          </w:p>
        </w:tc>
        <w:tc>
          <w:tcPr>
            <w:tcW w:w="1984" w:type="dxa"/>
            <w:vMerge/>
          </w:tcPr>
          <w:p w:rsidR="008E53DB" w:rsidRPr="007F7D5C" w:rsidRDefault="008E53DB"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p>
        </w:tc>
        <w:tc>
          <w:tcPr>
            <w:tcW w:w="2693" w:type="dxa"/>
            <w:vMerge/>
          </w:tcPr>
          <w:p w:rsidR="008E53DB" w:rsidRPr="007F7D5C" w:rsidRDefault="008E53DB"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p>
        </w:tc>
      </w:tr>
      <w:tr w:rsidR="008E53DB" w:rsidRPr="007F7D5C" w:rsidTr="00D2749E">
        <w:trPr>
          <w:trHeight w:val="217"/>
        </w:trPr>
        <w:tc>
          <w:tcPr>
            <w:cnfStyle w:val="001000000000" w:firstRow="0" w:lastRow="0" w:firstColumn="1" w:lastColumn="0" w:oddVBand="0" w:evenVBand="0" w:oddHBand="0" w:evenHBand="0" w:firstRowFirstColumn="0" w:firstRowLastColumn="0" w:lastRowFirstColumn="0" w:lastRowLastColumn="0"/>
            <w:tcW w:w="1101" w:type="dxa"/>
            <w:vMerge/>
          </w:tcPr>
          <w:p w:rsidR="008E53DB" w:rsidRPr="007F7D5C" w:rsidRDefault="008E53DB" w:rsidP="007848A6">
            <w:pPr>
              <w:pStyle w:val="AERtabletextleft"/>
              <w:rPr>
                <w:rStyle w:val="AERtextsize8"/>
              </w:rPr>
            </w:pPr>
          </w:p>
        </w:tc>
        <w:tc>
          <w:tcPr>
            <w:tcW w:w="3402" w:type="dxa"/>
            <w:gridSpan w:val="2"/>
          </w:tcPr>
          <w:p w:rsidR="008E53DB" w:rsidRPr="007F7D5C" w:rsidRDefault="008E53DB"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7F7D5C">
              <w:rPr>
                <w:rStyle w:val="AERtextsize8"/>
              </w:rPr>
              <w:t>Field Worker</w:t>
            </w:r>
          </w:p>
        </w:tc>
        <w:tc>
          <w:tcPr>
            <w:tcW w:w="1984" w:type="dxa"/>
            <w:vMerge/>
          </w:tcPr>
          <w:p w:rsidR="008E53DB" w:rsidRPr="007F7D5C" w:rsidRDefault="008E53DB"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p>
        </w:tc>
        <w:tc>
          <w:tcPr>
            <w:tcW w:w="2693" w:type="dxa"/>
            <w:vMerge/>
          </w:tcPr>
          <w:p w:rsidR="008E53DB" w:rsidRPr="007F7D5C" w:rsidRDefault="008E53DB"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p>
        </w:tc>
      </w:tr>
      <w:tr w:rsidR="008E53DB" w:rsidRPr="007F7D5C" w:rsidTr="00D2749E">
        <w:trPr>
          <w:cnfStyle w:val="000000010000" w:firstRow="0" w:lastRow="0" w:firstColumn="0" w:lastColumn="0" w:oddVBand="0" w:evenVBand="0" w:oddHBand="0" w:evenHBand="1" w:firstRowFirstColumn="0" w:firstRowLastColumn="0" w:lastRowFirstColumn="0" w:lastRowLastColumn="0"/>
          <w:trHeight w:val="217"/>
        </w:trPr>
        <w:tc>
          <w:tcPr>
            <w:cnfStyle w:val="001000000000" w:firstRow="0" w:lastRow="0" w:firstColumn="1" w:lastColumn="0" w:oddVBand="0" w:evenVBand="0" w:oddHBand="0" w:evenHBand="0" w:firstRowFirstColumn="0" w:firstRowLastColumn="0" w:lastRowFirstColumn="0" w:lastRowLastColumn="0"/>
            <w:tcW w:w="1101" w:type="dxa"/>
            <w:vMerge/>
          </w:tcPr>
          <w:p w:rsidR="008E53DB" w:rsidRPr="007F7D5C" w:rsidRDefault="008E53DB" w:rsidP="007848A6">
            <w:pPr>
              <w:pStyle w:val="AERtabletextleft"/>
              <w:rPr>
                <w:rStyle w:val="AERtextsize8"/>
              </w:rPr>
            </w:pPr>
          </w:p>
        </w:tc>
        <w:tc>
          <w:tcPr>
            <w:tcW w:w="3402" w:type="dxa"/>
            <w:gridSpan w:val="2"/>
          </w:tcPr>
          <w:p w:rsidR="008E53DB" w:rsidRPr="007F7D5C" w:rsidRDefault="008E53DB"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7F7D5C">
              <w:rPr>
                <w:rStyle w:val="AERtextsize8"/>
              </w:rPr>
              <w:t>Field Worker</w:t>
            </w:r>
          </w:p>
        </w:tc>
        <w:tc>
          <w:tcPr>
            <w:tcW w:w="1984" w:type="dxa"/>
            <w:vMerge/>
          </w:tcPr>
          <w:p w:rsidR="008E53DB" w:rsidRPr="007F7D5C" w:rsidRDefault="008E53DB"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p>
        </w:tc>
        <w:tc>
          <w:tcPr>
            <w:tcW w:w="2693" w:type="dxa"/>
            <w:vMerge/>
          </w:tcPr>
          <w:p w:rsidR="008E53DB" w:rsidRPr="007F7D5C" w:rsidRDefault="008E53DB"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p>
        </w:tc>
      </w:tr>
      <w:tr w:rsidR="008E53DB" w:rsidRPr="007F7D5C" w:rsidTr="00D2749E">
        <w:trPr>
          <w:trHeight w:val="217"/>
        </w:trPr>
        <w:tc>
          <w:tcPr>
            <w:cnfStyle w:val="001000000000" w:firstRow="0" w:lastRow="0" w:firstColumn="1" w:lastColumn="0" w:oddVBand="0" w:evenVBand="0" w:oddHBand="0" w:evenHBand="0" w:firstRowFirstColumn="0" w:firstRowLastColumn="0" w:lastRowFirstColumn="0" w:lastRowLastColumn="0"/>
            <w:tcW w:w="1101" w:type="dxa"/>
            <w:vMerge/>
          </w:tcPr>
          <w:p w:rsidR="008E53DB" w:rsidRPr="007F7D5C" w:rsidRDefault="008E53DB" w:rsidP="007848A6">
            <w:pPr>
              <w:pStyle w:val="AERtabletextleft"/>
              <w:rPr>
                <w:rStyle w:val="AERtextsize8"/>
              </w:rPr>
            </w:pPr>
          </w:p>
        </w:tc>
        <w:tc>
          <w:tcPr>
            <w:tcW w:w="3402" w:type="dxa"/>
            <w:gridSpan w:val="2"/>
          </w:tcPr>
          <w:p w:rsidR="008E53DB" w:rsidRPr="007F7D5C" w:rsidRDefault="008E53DB"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7F7D5C">
              <w:rPr>
                <w:rStyle w:val="AERtextsize8"/>
              </w:rPr>
              <w:t>Line Worker 9</w:t>
            </w:r>
          </w:p>
        </w:tc>
        <w:tc>
          <w:tcPr>
            <w:tcW w:w="1984" w:type="dxa"/>
            <w:vMerge/>
          </w:tcPr>
          <w:p w:rsidR="008E53DB" w:rsidRPr="007F7D5C" w:rsidRDefault="008E53DB"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p>
        </w:tc>
        <w:tc>
          <w:tcPr>
            <w:tcW w:w="2693" w:type="dxa"/>
            <w:vMerge/>
          </w:tcPr>
          <w:p w:rsidR="008E53DB" w:rsidRPr="007F7D5C" w:rsidRDefault="008E53DB"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p>
        </w:tc>
      </w:tr>
      <w:tr w:rsidR="008E53DB" w:rsidRPr="007F7D5C" w:rsidTr="00D2749E">
        <w:trPr>
          <w:cnfStyle w:val="000000010000" w:firstRow="0" w:lastRow="0" w:firstColumn="0" w:lastColumn="0" w:oddVBand="0" w:evenVBand="0" w:oddHBand="0" w:evenHBand="1" w:firstRowFirstColumn="0" w:firstRowLastColumn="0" w:lastRowFirstColumn="0" w:lastRowLastColumn="0"/>
          <w:trHeight w:val="217"/>
        </w:trPr>
        <w:tc>
          <w:tcPr>
            <w:cnfStyle w:val="001000000000" w:firstRow="0" w:lastRow="0" w:firstColumn="1" w:lastColumn="0" w:oddVBand="0" w:evenVBand="0" w:oddHBand="0" w:evenHBand="0" w:firstRowFirstColumn="0" w:firstRowLastColumn="0" w:lastRowFirstColumn="0" w:lastRowLastColumn="0"/>
            <w:tcW w:w="1101" w:type="dxa"/>
            <w:vMerge/>
          </w:tcPr>
          <w:p w:rsidR="008E53DB" w:rsidRPr="007F7D5C" w:rsidRDefault="008E53DB" w:rsidP="007848A6">
            <w:pPr>
              <w:pStyle w:val="AERtabletextleft"/>
              <w:rPr>
                <w:rStyle w:val="AERtextsize8"/>
              </w:rPr>
            </w:pPr>
          </w:p>
        </w:tc>
        <w:tc>
          <w:tcPr>
            <w:tcW w:w="3402" w:type="dxa"/>
            <w:gridSpan w:val="2"/>
          </w:tcPr>
          <w:p w:rsidR="008E53DB" w:rsidRPr="007F7D5C" w:rsidRDefault="008E53DB"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7F7D5C">
              <w:rPr>
                <w:rStyle w:val="AERtextsize8"/>
              </w:rPr>
              <w:t>Field Worker</w:t>
            </w:r>
          </w:p>
        </w:tc>
        <w:tc>
          <w:tcPr>
            <w:tcW w:w="1984" w:type="dxa"/>
            <w:vMerge/>
          </w:tcPr>
          <w:p w:rsidR="008E53DB" w:rsidRPr="007F7D5C" w:rsidRDefault="008E53DB"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p>
        </w:tc>
        <w:tc>
          <w:tcPr>
            <w:tcW w:w="2693" w:type="dxa"/>
            <w:vMerge/>
          </w:tcPr>
          <w:p w:rsidR="008E53DB" w:rsidRPr="007F7D5C" w:rsidRDefault="008E53DB"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p>
        </w:tc>
      </w:tr>
      <w:tr w:rsidR="008E53DB" w:rsidRPr="007F7D5C" w:rsidTr="00D2749E">
        <w:trPr>
          <w:gridAfter w:val="3"/>
          <w:wAfter w:w="6120" w:type="dxa"/>
          <w:trHeight w:val="70"/>
        </w:trPr>
        <w:tc>
          <w:tcPr>
            <w:cnfStyle w:val="001000000000" w:firstRow="0" w:lastRow="0" w:firstColumn="1" w:lastColumn="0" w:oddVBand="0" w:evenVBand="0" w:oddHBand="0" w:evenHBand="0" w:firstRowFirstColumn="0" w:firstRowLastColumn="0" w:lastRowFirstColumn="0" w:lastRowLastColumn="0"/>
            <w:tcW w:w="1101" w:type="dxa"/>
          </w:tcPr>
          <w:p w:rsidR="008E53DB" w:rsidRPr="007F7D5C" w:rsidRDefault="008E53DB" w:rsidP="007848A6">
            <w:pPr>
              <w:pStyle w:val="AERtabletextleft"/>
              <w:rPr>
                <w:rStyle w:val="AERtextsize8"/>
              </w:rPr>
            </w:pPr>
          </w:p>
        </w:tc>
        <w:tc>
          <w:tcPr>
            <w:tcW w:w="1959" w:type="dxa"/>
          </w:tcPr>
          <w:p w:rsidR="008E53DB" w:rsidRPr="007F7D5C" w:rsidRDefault="008E53DB"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p>
        </w:tc>
      </w:tr>
      <w:tr w:rsidR="008E53DB" w:rsidRPr="007F7D5C" w:rsidTr="00D2749E">
        <w:trPr>
          <w:cnfStyle w:val="000000010000" w:firstRow="0" w:lastRow="0" w:firstColumn="0" w:lastColumn="0" w:oddVBand="0" w:evenVBand="0" w:oddHBand="0" w:evenHBand="1" w:firstRowFirstColumn="0" w:firstRowLastColumn="0" w:lastRowFirstColumn="0" w:lastRowLastColumn="0"/>
          <w:trHeight w:val="217"/>
        </w:trPr>
        <w:tc>
          <w:tcPr>
            <w:cnfStyle w:val="001000000000" w:firstRow="0" w:lastRow="0" w:firstColumn="1" w:lastColumn="0" w:oddVBand="0" w:evenVBand="0" w:oddHBand="0" w:evenHBand="0" w:firstRowFirstColumn="0" w:firstRowLastColumn="0" w:lastRowFirstColumn="0" w:lastRowLastColumn="0"/>
            <w:tcW w:w="1101" w:type="dxa"/>
            <w:vMerge w:val="restart"/>
          </w:tcPr>
          <w:p w:rsidR="008E53DB" w:rsidRPr="007F7D5C" w:rsidRDefault="008E53DB" w:rsidP="007848A6">
            <w:pPr>
              <w:pStyle w:val="AERtabletextleft"/>
              <w:rPr>
                <w:rStyle w:val="AERtextsize8"/>
              </w:rPr>
            </w:pPr>
            <w:r w:rsidRPr="007F7D5C">
              <w:rPr>
                <w:rStyle w:val="AERtextsize8"/>
              </w:rPr>
              <w:t>Senior Engineer</w:t>
            </w:r>
          </w:p>
        </w:tc>
        <w:tc>
          <w:tcPr>
            <w:tcW w:w="3402" w:type="dxa"/>
            <w:gridSpan w:val="2"/>
          </w:tcPr>
          <w:p w:rsidR="008E53DB" w:rsidRPr="007F7D5C" w:rsidRDefault="008E53DB"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7F7D5C">
              <w:rPr>
                <w:rStyle w:val="AERtextsize8"/>
              </w:rPr>
              <w:t>Senior Engineer</w:t>
            </w:r>
          </w:p>
        </w:tc>
        <w:tc>
          <w:tcPr>
            <w:tcW w:w="1984" w:type="dxa"/>
            <w:vMerge w:val="restart"/>
          </w:tcPr>
          <w:p w:rsidR="008E53DB" w:rsidRPr="007F7D5C" w:rsidRDefault="008E53DB"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size8"/>
                <w:highlight w:val="yellow"/>
              </w:rPr>
            </w:pPr>
            <w:r>
              <w:rPr>
                <w:rStyle w:val="AERtextsize8"/>
              </w:rPr>
              <w:t xml:space="preserve">48.08 to </w:t>
            </w:r>
            <w:r w:rsidRPr="007F7D5C">
              <w:rPr>
                <w:rStyle w:val="AERtextsize8"/>
              </w:rPr>
              <w:t>81.73</w:t>
            </w:r>
          </w:p>
        </w:tc>
        <w:tc>
          <w:tcPr>
            <w:tcW w:w="2693" w:type="dxa"/>
            <w:vMerge w:val="restart"/>
          </w:tcPr>
          <w:p w:rsidR="008E53DB" w:rsidRPr="007F7D5C" w:rsidRDefault="008E53DB"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Pr>
                <w:rStyle w:val="AERtextsize8"/>
              </w:rPr>
              <w:t xml:space="preserve">Max. </w:t>
            </w:r>
            <w:r w:rsidRPr="007F7D5C">
              <w:rPr>
                <w:rStyle w:val="AERtextsize8"/>
              </w:rPr>
              <w:t>82.00</w:t>
            </w:r>
          </w:p>
        </w:tc>
      </w:tr>
      <w:tr w:rsidR="008E53DB" w:rsidRPr="007F7D5C" w:rsidTr="00D2749E">
        <w:trPr>
          <w:trHeight w:val="351"/>
        </w:trPr>
        <w:tc>
          <w:tcPr>
            <w:cnfStyle w:val="001000000000" w:firstRow="0" w:lastRow="0" w:firstColumn="1" w:lastColumn="0" w:oddVBand="0" w:evenVBand="0" w:oddHBand="0" w:evenHBand="0" w:firstRowFirstColumn="0" w:firstRowLastColumn="0" w:lastRowFirstColumn="0" w:lastRowLastColumn="0"/>
            <w:tcW w:w="1101" w:type="dxa"/>
            <w:vMerge/>
          </w:tcPr>
          <w:p w:rsidR="008E53DB" w:rsidRPr="007F7D5C" w:rsidRDefault="008E53DB" w:rsidP="007F7D5C">
            <w:pPr>
              <w:pStyle w:val="AERtabletextright"/>
              <w:rPr>
                <w:rStyle w:val="AERtextsize8"/>
                <w:highlight w:val="yellow"/>
              </w:rPr>
            </w:pPr>
          </w:p>
        </w:tc>
        <w:tc>
          <w:tcPr>
            <w:tcW w:w="3402" w:type="dxa"/>
            <w:gridSpan w:val="2"/>
          </w:tcPr>
          <w:p w:rsidR="008E53DB" w:rsidRPr="007F7D5C" w:rsidRDefault="008E53DB"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7F7D5C">
              <w:rPr>
                <w:rStyle w:val="AERtextsize8"/>
              </w:rPr>
              <w:t>Senior Technical officer / Engineer Design section</w:t>
            </w:r>
          </w:p>
        </w:tc>
        <w:tc>
          <w:tcPr>
            <w:tcW w:w="1984" w:type="dxa"/>
            <w:vMerge/>
          </w:tcPr>
          <w:p w:rsidR="008E53DB" w:rsidRPr="007F7D5C" w:rsidRDefault="008E53DB"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size8"/>
                <w:highlight w:val="yellow"/>
              </w:rPr>
            </w:pPr>
          </w:p>
        </w:tc>
        <w:tc>
          <w:tcPr>
            <w:tcW w:w="2693" w:type="dxa"/>
            <w:vMerge/>
          </w:tcPr>
          <w:p w:rsidR="008E53DB" w:rsidRPr="007F7D5C" w:rsidRDefault="008E53DB" w:rsidP="007F7D5C">
            <w:pPr>
              <w:pStyle w:val="AERtabletextright"/>
              <w:cnfStyle w:val="000000000000" w:firstRow="0" w:lastRow="0" w:firstColumn="0" w:lastColumn="0" w:oddVBand="0" w:evenVBand="0" w:oddHBand="0" w:evenHBand="0" w:firstRowFirstColumn="0" w:firstRowLastColumn="0" w:lastRowFirstColumn="0" w:lastRowLastColumn="0"/>
              <w:rPr>
                <w:rStyle w:val="AERtextsize8"/>
                <w:highlight w:val="yellow"/>
              </w:rPr>
            </w:pPr>
          </w:p>
        </w:tc>
      </w:tr>
      <w:tr w:rsidR="008E53DB" w:rsidRPr="007F7D5C" w:rsidTr="00D2749E">
        <w:trPr>
          <w:cnfStyle w:val="000000010000" w:firstRow="0" w:lastRow="0" w:firstColumn="0" w:lastColumn="0" w:oddVBand="0" w:evenVBand="0" w:oddHBand="0" w:evenHBand="1"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1101" w:type="dxa"/>
            <w:vMerge/>
          </w:tcPr>
          <w:p w:rsidR="008E53DB" w:rsidRPr="007F7D5C" w:rsidRDefault="008E53DB" w:rsidP="007F7D5C">
            <w:pPr>
              <w:pStyle w:val="AERtabletextright"/>
              <w:rPr>
                <w:rStyle w:val="AERtextsize8"/>
                <w:highlight w:val="yellow"/>
              </w:rPr>
            </w:pPr>
          </w:p>
        </w:tc>
        <w:tc>
          <w:tcPr>
            <w:tcW w:w="3402" w:type="dxa"/>
            <w:gridSpan w:val="2"/>
          </w:tcPr>
          <w:p w:rsidR="008E53DB" w:rsidRPr="007F7D5C" w:rsidRDefault="008E53DB"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7F7D5C">
              <w:rPr>
                <w:rStyle w:val="AERtextsize8"/>
              </w:rPr>
              <w:t>Senior Engineer</w:t>
            </w:r>
          </w:p>
        </w:tc>
        <w:tc>
          <w:tcPr>
            <w:tcW w:w="1984" w:type="dxa"/>
            <w:vMerge/>
          </w:tcPr>
          <w:p w:rsidR="008E53DB" w:rsidRPr="007F7D5C" w:rsidRDefault="008E53DB"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size8"/>
                <w:highlight w:val="yellow"/>
              </w:rPr>
            </w:pPr>
          </w:p>
        </w:tc>
        <w:tc>
          <w:tcPr>
            <w:tcW w:w="2693" w:type="dxa"/>
            <w:vMerge/>
          </w:tcPr>
          <w:p w:rsidR="008E53DB" w:rsidRPr="007F7D5C" w:rsidRDefault="008E53DB" w:rsidP="007F7D5C">
            <w:pPr>
              <w:pStyle w:val="AERtabletextright"/>
              <w:cnfStyle w:val="000000010000" w:firstRow="0" w:lastRow="0" w:firstColumn="0" w:lastColumn="0" w:oddVBand="0" w:evenVBand="0" w:oddHBand="0" w:evenHBand="1" w:firstRowFirstColumn="0" w:firstRowLastColumn="0" w:lastRowFirstColumn="0" w:lastRowLastColumn="0"/>
              <w:rPr>
                <w:rStyle w:val="AERtextsize8"/>
                <w:highlight w:val="yellow"/>
              </w:rPr>
            </w:pPr>
          </w:p>
        </w:tc>
      </w:tr>
    </w:tbl>
    <w:p w:rsidR="00F203C2" w:rsidRPr="00A676FF" w:rsidRDefault="00D311E7" w:rsidP="00F203C2">
      <w:pPr>
        <w:pStyle w:val="AERtablesource"/>
      </w:pPr>
      <w:r w:rsidRPr="00A676FF">
        <w:t xml:space="preserve">Source: </w:t>
      </w:r>
      <w:r w:rsidR="00F203C2">
        <w:tab/>
      </w:r>
      <w:r w:rsidRPr="00A676FF">
        <w:t xml:space="preserve">Marsden Jacob </w:t>
      </w:r>
      <w:r w:rsidR="008E53DB">
        <w:t>analysis.</w:t>
      </w:r>
      <w:r w:rsidR="008E53DB" w:rsidRPr="00A676FF">
        <w:t xml:space="preserve"> </w:t>
      </w:r>
    </w:p>
    <w:p w:rsidR="00D311E7" w:rsidRPr="003F7CE3" w:rsidRDefault="00D311E7" w:rsidP="00D311E7">
      <w:pPr>
        <w:pStyle w:val="AERbodytext"/>
        <w:rPr>
          <w:rStyle w:val="AERtextbolditalics"/>
        </w:rPr>
      </w:pPr>
      <w:r>
        <w:rPr>
          <w:rStyle w:val="AERbody"/>
        </w:rPr>
        <w:t xml:space="preserve">Endeavour Energy's overhead rate </w:t>
      </w:r>
      <w:r w:rsidR="008E53DB">
        <w:rPr>
          <w:rStyle w:val="AERbody"/>
        </w:rPr>
        <w:t>exceeded the</w:t>
      </w:r>
      <w:r>
        <w:rPr>
          <w:rStyle w:val="AERbody"/>
        </w:rPr>
        <w:t xml:space="preserve"> maximum average overhead recomme</w:t>
      </w:r>
      <w:r w:rsidR="00E26E83">
        <w:rPr>
          <w:rStyle w:val="AERbody"/>
        </w:rPr>
        <w:t>nded by Marsden Jacob</w:t>
      </w:r>
      <w:r>
        <w:rPr>
          <w:rStyle w:val="AERbody"/>
        </w:rPr>
        <w:t xml:space="preserve"> of 65 per cent for ancillary network services.</w:t>
      </w:r>
    </w:p>
    <w:p w:rsidR="00D311E7" w:rsidRPr="00EC6FC1" w:rsidRDefault="00D311E7" w:rsidP="00D311E7">
      <w:pPr>
        <w:pStyle w:val="AERbodytext"/>
      </w:pPr>
      <w:r>
        <w:fldChar w:fldCharType="begin"/>
      </w:r>
      <w:r>
        <w:instrText xml:space="preserve"> REF _Ref401862103 \h </w:instrText>
      </w:r>
      <w:r>
        <w:fldChar w:fldCharType="end"/>
      </w:r>
      <w:r w:rsidR="00D2749E">
        <w:fldChar w:fldCharType="begin"/>
      </w:r>
      <w:r w:rsidR="00D2749E">
        <w:instrText xml:space="preserve"> REF _Ref401862103 \h </w:instrText>
      </w:r>
      <w:r w:rsidR="00D2749E">
        <w:fldChar w:fldCharType="separate"/>
      </w:r>
      <w:r w:rsidR="00D2749E">
        <w:t xml:space="preserve">Table </w:t>
      </w:r>
      <w:r w:rsidR="00D2749E">
        <w:rPr>
          <w:noProof/>
        </w:rPr>
        <w:t>16</w:t>
      </w:r>
      <w:r w:rsidR="00D2749E">
        <w:noBreakHyphen/>
      </w:r>
      <w:r w:rsidR="00D2749E">
        <w:rPr>
          <w:noProof/>
        </w:rPr>
        <w:t>7</w:t>
      </w:r>
      <w:r w:rsidR="00D2749E">
        <w:fldChar w:fldCharType="end"/>
      </w:r>
      <w:r w:rsidRPr="00EC6FC1">
        <w:t>summarises the total labour rates (including all on</w:t>
      </w:r>
      <w:r>
        <w:t>-</w:t>
      </w:r>
      <w:r w:rsidRPr="00EC6FC1">
        <w:t xml:space="preserve">costs and overheads) </w:t>
      </w:r>
      <w:r w:rsidR="008E53DB">
        <w:t>recommended to us by Marsden Jaco</w:t>
      </w:r>
      <w:r w:rsidR="00E26E83">
        <w:t>b</w:t>
      </w:r>
      <w:r w:rsidR="008E53DB">
        <w:t>.</w:t>
      </w:r>
    </w:p>
    <w:p w:rsidR="00D311E7" w:rsidRDefault="00D311E7" w:rsidP="00D311E7">
      <w:pPr>
        <w:pStyle w:val="AERbodytext"/>
      </w:pPr>
      <w:r>
        <w:t>Mars</w:t>
      </w:r>
      <w:r w:rsidR="00E26E83">
        <w:t>den Jacob</w:t>
      </w:r>
      <w:r w:rsidR="008E53DB">
        <w:t xml:space="preserve"> built up a</w:t>
      </w:r>
      <w:r w:rsidRPr="00EC6FC1">
        <w:t xml:space="preserve"> </w:t>
      </w:r>
      <w:r>
        <w:t xml:space="preserve">recommended </w:t>
      </w:r>
      <w:r w:rsidRPr="00EC6FC1">
        <w:t xml:space="preserve">rate on an individual distribution business basis making use of either the businesses’ proposed rates or </w:t>
      </w:r>
      <w:r>
        <w:t>their derived</w:t>
      </w:r>
      <w:r w:rsidRPr="00EC6FC1">
        <w:t xml:space="preserve"> recommended maximum rates (as applicable) for each of raw labour rates, on</w:t>
      </w:r>
      <w:r>
        <w:t>-</w:t>
      </w:r>
      <w:r w:rsidRPr="00EC6FC1">
        <w:t xml:space="preserve">costs and overheads. </w:t>
      </w:r>
    </w:p>
    <w:p w:rsidR="00D311E7" w:rsidRPr="00902689" w:rsidRDefault="00D311E7" w:rsidP="00D311E7">
      <w:pPr>
        <w:pStyle w:val="Caption"/>
      </w:pPr>
      <w:bookmarkStart w:id="34" w:name="_Ref401862103"/>
      <w:bookmarkStart w:id="35" w:name="_Ref399415925"/>
      <w:bookmarkStart w:id="36" w:name="_Toc399830804"/>
      <w:r>
        <w:t xml:space="preserve">Table </w:t>
      </w:r>
      <w:r w:rsidR="004667DE">
        <w:fldChar w:fldCharType="begin"/>
      </w:r>
      <w:r w:rsidR="004667DE">
        <w:instrText xml:space="preserve"> STYLEREF 1 \s </w:instrText>
      </w:r>
      <w:r w:rsidR="004667DE">
        <w:fldChar w:fldCharType="separate"/>
      </w:r>
      <w:r w:rsidR="003E262F">
        <w:rPr>
          <w:noProof/>
        </w:rPr>
        <w:t>16</w:t>
      </w:r>
      <w:r w:rsidR="004667DE">
        <w:rPr>
          <w:noProof/>
        </w:rPr>
        <w:fldChar w:fldCharType="end"/>
      </w:r>
      <w:r w:rsidR="003E262F">
        <w:noBreakHyphen/>
      </w:r>
      <w:r w:rsidR="004667DE">
        <w:fldChar w:fldCharType="begin"/>
      </w:r>
      <w:r w:rsidR="004667DE">
        <w:instrText xml:space="preserve"> SEQ Table \* ARABIC \s 1 </w:instrText>
      </w:r>
      <w:r w:rsidR="004667DE">
        <w:fldChar w:fldCharType="separate"/>
      </w:r>
      <w:r w:rsidR="003E262F">
        <w:rPr>
          <w:noProof/>
        </w:rPr>
        <w:t>7</w:t>
      </w:r>
      <w:r w:rsidR="004667DE">
        <w:rPr>
          <w:noProof/>
        </w:rPr>
        <w:fldChar w:fldCharType="end"/>
      </w:r>
      <w:bookmarkEnd w:id="34"/>
      <w:r>
        <w:t xml:space="preserve"> </w:t>
      </w:r>
      <w:bookmarkEnd w:id="35"/>
      <w:r w:rsidRPr="00902689">
        <w:t>B</w:t>
      </w:r>
      <w:r w:rsidR="008E53DB">
        <w:t xml:space="preserve">enchmarked total labour rates, </w:t>
      </w:r>
      <w:r w:rsidRPr="00902689">
        <w:t>including on</w:t>
      </w:r>
      <w:r w:rsidR="008E53DB">
        <w:t>-</w:t>
      </w:r>
      <w:r w:rsidRPr="00902689">
        <w:t>costs and overheads ($2014</w:t>
      </w:r>
      <w:r>
        <w:t>–</w:t>
      </w:r>
      <w:r w:rsidRPr="00902689">
        <w:t>15)</w:t>
      </w:r>
      <w:bookmarkEnd w:id="36"/>
    </w:p>
    <w:tbl>
      <w:tblPr>
        <w:tblStyle w:val="AERtable-numbers"/>
        <w:tblW w:w="8897" w:type="dxa"/>
        <w:tblLook w:val="01A0" w:firstRow="1" w:lastRow="0" w:firstColumn="1" w:lastColumn="1" w:noHBand="0" w:noVBand="0"/>
      </w:tblPr>
      <w:tblGrid>
        <w:gridCol w:w="1022"/>
        <w:gridCol w:w="4331"/>
        <w:gridCol w:w="3544"/>
      </w:tblGrid>
      <w:tr w:rsidR="008E53DB" w:rsidRPr="00F203C2" w:rsidTr="00D2749E">
        <w:trPr>
          <w:cnfStyle w:val="100000000000" w:firstRow="1" w:lastRow="0" w:firstColumn="0" w:lastColumn="0" w:oddVBand="0" w:evenVBand="0" w:oddHBand="0" w:evenHBand="0" w:firstRowFirstColumn="0" w:firstRowLastColumn="0" w:lastRowFirstColumn="0" w:lastRowLastColumn="0"/>
          <w:trHeight w:val="247"/>
        </w:trPr>
        <w:tc>
          <w:tcPr>
            <w:cnfStyle w:val="001000000000" w:firstRow="0" w:lastRow="0" w:firstColumn="1" w:lastColumn="0" w:oddVBand="0" w:evenVBand="0" w:oddHBand="0" w:evenHBand="0" w:firstRowFirstColumn="0" w:firstRowLastColumn="0" w:lastRowFirstColumn="0" w:lastRowLastColumn="0"/>
            <w:tcW w:w="1022" w:type="dxa"/>
          </w:tcPr>
          <w:p w:rsidR="008E53DB" w:rsidRPr="00F203C2" w:rsidRDefault="008E53DB" w:rsidP="007848A6">
            <w:pPr>
              <w:pStyle w:val="AERtabletextleft"/>
              <w:rPr>
                <w:rStyle w:val="AERtextsize8"/>
              </w:rPr>
            </w:pPr>
            <w:r w:rsidRPr="00F203C2">
              <w:rPr>
                <w:rStyle w:val="AERtextsize8"/>
              </w:rPr>
              <w:t>Category</w:t>
            </w:r>
          </w:p>
        </w:tc>
        <w:tc>
          <w:tcPr>
            <w:tcW w:w="4331" w:type="dxa"/>
          </w:tcPr>
          <w:p w:rsidR="008E53DB" w:rsidRPr="00F203C2" w:rsidRDefault="008E53DB" w:rsidP="00F203C2">
            <w:pPr>
              <w:pStyle w:val="Tabletext-right"/>
              <w:cnfStyle w:val="100000000000" w:firstRow="1" w:lastRow="0" w:firstColumn="0" w:lastColumn="0" w:oddVBand="0" w:evenVBand="0" w:oddHBand="0" w:evenHBand="0" w:firstRowFirstColumn="0" w:firstRowLastColumn="0" w:lastRowFirstColumn="0" w:lastRowLastColumn="0"/>
              <w:rPr>
                <w:rStyle w:val="AERtextsize8"/>
              </w:rPr>
            </w:pPr>
            <w:r w:rsidRPr="00F203C2">
              <w:rPr>
                <w:rStyle w:val="AERtextsize8"/>
              </w:rPr>
              <w:t>Description</w:t>
            </w:r>
          </w:p>
        </w:tc>
        <w:tc>
          <w:tcPr>
            <w:tcW w:w="3544" w:type="dxa"/>
          </w:tcPr>
          <w:p w:rsidR="008E53DB" w:rsidRPr="00F203C2" w:rsidRDefault="008E53DB" w:rsidP="00F203C2">
            <w:pPr>
              <w:pStyle w:val="Tabletext-right"/>
              <w:cnfStyle w:val="100000000000" w:firstRow="1" w:lastRow="0" w:firstColumn="0" w:lastColumn="0" w:oddVBand="0" w:evenVBand="0" w:oddHBand="0" w:evenHBand="0" w:firstRowFirstColumn="0" w:firstRowLastColumn="0" w:lastRowFirstColumn="0" w:lastRowLastColumn="0"/>
              <w:rPr>
                <w:rStyle w:val="AERtextsize8"/>
              </w:rPr>
            </w:pPr>
            <w:r w:rsidRPr="00F203C2">
              <w:rPr>
                <w:rStyle w:val="AERtextsize8"/>
              </w:rPr>
              <w:t>Marsden Jacob Associates</w:t>
            </w:r>
          </w:p>
        </w:tc>
      </w:tr>
      <w:tr w:rsidR="008E53DB" w:rsidRPr="00F203C2" w:rsidTr="00D2749E">
        <w:trPr>
          <w:trHeight w:val="66"/>
        </w:trPr>
        <w:tc>
          <w:tcPr>
            <w:cnfStyle w:val="001000000000" w:firstRow="0" w:lastRow="0" w:firstColumn="1" w:lastColumn="0" w:oddVBand="0" w:evenVBand="0" w:oddHBand="0" w:evenHBand="0" w:firstRowFirstColumn="0" w:firstRowLastColumn="0" w:lastRowFirstColumn="0" w:lastRowLastColumn="0"/>
            <w:tcW w:w="1022" w:type="dxa"/>
          </w:tcPr>
          <w:p w:rsidR="008E53DB" w:rsidRPr="00F203C2" w:rsidRDefault="008E53DB" w:rsidP="007848A6">
            <w:pPr>
              <w:pStyle w:val="AERtabletextleft"/>
              <w:rPr>
                <w:rStyle w:val="AERtextsize8"/>
              </w:rPr>
            </w:pPr>
          </w:p>
        </w:tc>
        <w:tc>
          <w:tcPr>
            <w:tcW w:w="4331" w:type="dxa"/>
          </w:tcPr>
          <w:p w:rsidR="008E53DB" w:rsidRPr="00F203C2" w:rsidRDefault="008E53DB" w:rsidP="00F203C2">
            <w:pPr>
              <w:pStyle w:val="Tabletext-right"/>
              <w:cnfStyle w:val="000000000000" w:firstRow="0" w:lastRow="0" w:firstColumn="0" w:lastColumn="0" w:oddVBand="0" w:evenVBand="0" w:oddHBand="0" w:evenHBand="0" w:firstRowFirstColumn="0" w:firstRowLastColumn="0" w:lastRowFirstColumn="0" w:lastRowLastColumn="0"/>
              <w:rPr>
                <w:rStyle w:val="AERtextsize8"/>
              </w:rPr>
            </w:pPr>
          </w:p>
        </w:tc>
        <w:tc>
          <w:tcPr>
            <w:tcW w:w="3544" w:type="dxa"/>
          </w:tcPr>
          <w:p w:rsidR="008E53DB" w:rsidRPr="00F203C2" w:rsidRDefault="008E53DB" w:rsidP="00F203C2">
            <w:pPr>
              <w:pStyle w:val="Tabletext-right"/>
              <w:cnfStyle w:val="000000000000" w:firstRow="0" w:lastRow="0" w:firstColumn="0" w:lastColumn="0" w:oddVBand="0" w:evenVBand="0" w:oddHBand="0" w:evenHBand="0" w:firstRowFirstColumn="0" w:firstRowLastColumn="0" w:lastRowFirstColumn="0" w:lastRowLastColumn="0"/>
              <w:rPr>
                <w:rStyle w:val="AERtextsize8"/>
              </w:rPr>
            </w:pPr>
          </w:p>
        </w:tc>
      </w:tr>
      <w:tr w:rsidR="008E53DB" w:rsidRPr="00F203C2" w:rsidTr="00D2749E">
        <w:trPr>
          <w:cnfStyle w:val="000000010000" w:firstRow="0" w:lastRow="0" w:firstColumn="0" w:lastColumn="0" w:oddVBand="0" w:evenVBand="0" w:oddHBand="0" w:evenHBand="1" w:firstRowFirstColumn="0" w:firstRowLastColumn="0" w:lastRowFirstColumn="0" w:lastRowLastColumn="0"/>
          <w:trHeight w:val="28"/>
        </w:trPr>
        <w:tc>
          <w:tcPr>
            <w:cnfStyle w:val="001000000000" w:firstRow="0" w:lastRow="0" w:firstColumn="1" w:lastColumn="0" w:oddVBand="0" w:evenVBand="0" w:oddHBand="0" w:evenHBand="0" w:firstRowFirstColumn="0" w:firstRowLastColumn="0" w:lastRowFirstColumn="0" w:lastRowLastColumn="0"/>
            <w:tcW w:w="1022" w:type="dxa"/>
            <w:vMerge w:val="restart"/>
          </w:tcPr>
          <w:p w:rsidR="008E53DB" w:rsidRPr="00F203C2" w:rsidRDefault="008E53DB" w:rsidP="007848A6">
            <w:pPr>
              <w:pStyle w:val="AERtabletextleft"/>
              <w:rPr>
                <w:rStyle w:val="AERtextsize8"/>
              </w:rPr>
            </w:pPr>
            <w:r w:rsidRPr="00F203C2">
              <w:rPr>
                <w:rStyle w:val="AERtextsize8"/>
              </w:rPr>
              <w:t>Admin</w:t>
            </w:r>
          </w:p>
        </w:tc>
        <w:tc>
          <w:tcPr>
            <w:tcW w:w="4331" w:type="dxa"/>
          </w:tcPr>
          <w:p w:rsidR="008E53DB" w:rsidRPr="00F203C2" w:rsidRDefault="008E53DB" w:rsidP="00F203C2">
            <w:pPr>
              <w:pStyle w:val="Tabletext-right"/>
              <w:cnfStyle w:val="000000010000" w:firstRow="0" w:lastRow="0" w:firstColumn="0" w:lastColumn="0" w:oddVBand="0" w:evenVBand="0" w:oddHBand="0" w:evenHBand="1" w:firstRowFirstColumn="0" w:firstRowLastColumn="0" w:lastRowFirstColumn="0" w:lastRowLastColumn="0"/>
              <w:rPr>
                <w:rStyle w:val="AERtextsize8"/>
              </w:rPr>
            </w:pPr>
            <w:r w:rsidRPr="00F203C2">
              <w:rPr>
                <w:rStyle w:val="AERtextsize8"/>
              </w:rPr>
              <w:t>Office Support service delivery</w:t>
            </w:r>
          </w:p>
        </w:tc>
        <w:tc>
          <w:tcPr>
            <w:tcW w:w="3544" w:type="dxa"/>
            <w:vMerge w:val="restart"/>
          </w:tcPr>
          <w:p w:rsidR="008E53DB" w:rsidRPr="00F203C2" w:rsidRDefault="00D2749E" w:rsidP="00F203C2">
            <w:pPr>
              <w:pStyle w:val="Tabletext-right"/>
              <w:cnfStyle w:val="000000010000" w:firstRow="0" w:lastRow="0" w:firstColumn="0" w:lastColumn="0" w:oddVBand="0" w:evenVBand="0" w:oddHBand="0" w:evenHBand="1" w:firstRowFirstColumn="0" w:firstRowLastColumn="0" w:lastRowFirstColumn="0" w:lastRowLastColumn="0"/>
              <w:rPr>
                <w:rStyle w:val="AERtextsize8"/>
              </w:rPr>
            </w:pPr>
            <w:r>
              <w:rPr>
                <w:rStyle w:val="AERtextsize8"/>
              </w:rPr>
              <w:t xml:space="preserve"> </w:t>
            </w:r>
            <w:r w:rsidR="008E53DB">
              <w:rPr>
                <w:rStyle w:val="AERtextsize8"/>
              </w:rPr>
              <w:t xml:space="preserve">Max. </w:t>
            </w:r>
            <w:r w:rsidR="008E53DB" w:rsidRPr="00F203C2">
              <w:rPr>
                <w:rStyle w:val="AERtextsize8"/>
              </w:rPr>
              <w:t>89.06</w:t>
            </w:r>
          </w:p>
        </w:tc>
      </w:tr>
      <w:tr w:rsidR="008E53DB" w:rsidRPr="00F203C2" w:rsidTr="00D2749E">
        <w:trPr>
          <w:trHeight w:val="205"/>
        </w:trPr>
        <w:tc>
          <w:tcPr>
            <w:cnfStyle w:val="001000000000" w:firstRow="0" w:lastRow="0" w:firstColumn="1" w:lastColumn="0" w:oddVBand="0" w:evenVBand="0" w:oddHBand="0" w:evenHBand="0" w:firstRowFirstColumn="0" w:firstRowLastColumn="0" w:lastRowFirstColumn="0" w:lastRowLastColumn="0"/>
            <w:tcW w:w="1022" w:type="dxa"/>
            <w:vMerge/>
          </w:tcPr>
          <w:p w:rsidR="008E53DB" w:rsidRPr="00F203C2" w:rsidRDefault="008E53DB" w:rsidP="007848A6">
            <w:pPr>
              <w:pStyle w:val="AERtabletextleft"/>
              <w:rPr>
                <w:rStyle w:val="AERtextsize8"/>
              </w:rPr>
            </w:pPr>
          </w:p>
        </w:tc>
        <w:tc>
          <w:tcPr>
            <w:tcW w:w="4331" w:type="dxa"/>
          </w:tcPr>
          <w:p w:rsidR="008E53DB" w:rsidRPr="00F203C2" w:rsidRDefault="008E53DB" w:rsidP="00F203C2">
            <w:pPr>
              <w:pStyle w:val="Tabletext-right"/>
              <w:cnfStyle w:val="000000000000" w:firstRow="0" w:lastRow="0" w:firstColumn="0" w:lastColumn="0" w:oddVBand="0" w:evenVBand="0" w:oddHBand="0" w:evenHBand="0" w:firstRowFirstColumn="0" w:firstRowLastColumn="0" w:lastRowFirstColumn="0" w:lastRowLastColumn="0"/>
              <w:rPr>
                <w:rStyle w:val="AERtextsize8"/>
              </w:rPr>
            </w:pPr>
            <w:r w:rsidRPr="00F203C2">
              <w:rPr>
                <w:rStyle w:val="AERtextsize8"/>
              </w:rPr>
              <w:t>Administration Support</w:t>
            </w:r>
          </w:p>
        </w:tc>
        <w:tc>
          <w:tcPr>
            <w:tcW w:w="3544" w:type="dxa"/>
            <w:vMerge/>
          </w:tcPr>
          <w:p w:rsidR="008E53DB" w:rsidRPr="00F203C2" w:rsidRDefault="008E53DB" w:rsidP="00F203C2">
            <w:pPr>
              <w:pStyle w:val="Tabletext-right"/>
              <w:cnfStyle w:val="000000000000" w:firstRow="0" w:lastRow="0" w:firstColumn="0" w:lastColumn="0" w:oddVBand="0" w:evenVBand="0" w:oddHBand="0" w:evenHBand="0" w:firstRowFirstColumn="0" w:firstRowLastColumn="0" w:lastRowFirstColumn="0" w:lastRowLastColumn="0"/>
              <w:rPr>
                <w:rStyle w:val="AERtextsize8"/>
              </w:rPr>
            </w:pPr>
          </w:p>
        </w:tc>
      </w:tr>
      <w:tr w:rsidR="008E53DB" w:rsidRPr="00F203C2" w:rsidTr="00D2749E">
        <w:trPr>
          <w:cnfStyle w:val="000000010000" w:firstRow="0" w:lastRow="0" w:firstColumn="0" w:lastColumn="0" w:oddVBand="0" w:evenVBand="0" w:oddHBand="0" w:evenHBand="1" w:firstRowFirstColumn="0" w:firstRowLastColumn="0" w:lastRowFirstColumn="0" w:lastRowLastColumn="0"/>
          <w:trHeight w:val="332"/>
        </w:trPr>
        <w:tc>
          <w:tcPr>
            <w:cnfStyle w:val="001000000000" w:firstRow="0" w:lastRow="0" w:firstColumn="1" w:lastColumn="0" w:oddVBand="0" w:evenVBand="0" w:oddHBand="0" w:evenHBand="0" w:firstRowFirstColumn="0" w:firstRowLastColumn="0" w:lastRowFirstColumn="0" w:lastRowLastColumn="0"/>
            <w:tcW w:w="1022" w:type="dxa"/>
            <w:vMerge/>
          </w:tcPr>
          <w:p w:rsidR="008E53DB" w:rsidRPr="00F203C2" w:rsidRDefault="008E53DB" w:rsidP="007848A6">
            <w:pPr>
              <w:pStyle w:val="AERtabletextleft"/>
              <w:rPr>
                <w:rStyle w:val="AERtextsize8"/>
              </w:rPr>
            </w:pPr>
          </w:p>
        </w:tc>
        <w:tc>
          <w:tcPr>
            <w:tcW w:w="4331" w:type="dxa"/>
          </w:tcPr>
          <w:p w:rsidR="008E53DB" w:rsidRPr="00F203C2" w:rsidRDefault="008E53DB" w:rsidP="00F203C2">
            <w:pPr>
              <w:pStyle w:val="Tabletext-right"/>
              <w:cnfStyle w:val="000000010000" w:firstRow="0" w:lastRow="0" w:firstColumn="0" w:lastColumn="0" w:oddVBand="0" w:evenVBand="0" w:oddHBand="0" w:evenHBand="1" w:firstRowFirstColumn="0" w:firstRowLastColumn="0" w:lastRowFirstColumn="0" w:lastRowLastColumn="0"/>
              <w:rPr>
                <w:rStyle w:val="AERtextsize8"/>
              </w:rPr>
            </w:pPr>
            <w:r w:rsidRPr="00F203C2">
              <w:rPr>
                <w:rStyle w:val="AERtextsize8"/>
              </w:rPr>
              <w:t>Administration Support</w:t>
            </w:r>
          </w:p>
        </w:tc>
        <w:tc>
          <w:tcPr>
            <w:tcW w:w="3544" w:type="dxa"/>
            <w:vMerge/>
          </w:tcPr>
          <w:p w:rsidR="008E53DB" w:rsidRPr="00F203C2" w:rsidRDefault="008E53DB" w:rsidP="00F203C2">
            <w:pPr>
              <w:pStyle w:val="Tabletext-right"/>
              <w:cnfStyle w:val="000000010000" w:firstRow="0" w:lastRow="0" w:firstColumn="0" w:lastColumn="0" w:oddVBand="0" w:evenVBand="0" w:oddHBand="0" w:evenHBand="1" w:firstRowFirstColumn="0" w:firstRowLastColumn="0" w:lastRowFirstColumn="0" w:lastRowLastColumn="0"/>
              <w:rPr>
                <w:rStyle w:val="AERtextsize8"/>
              </w:rPr>
            </w:pPr>
          </w:p>
        </w:tc>
      </w:tr>
      <w:tr w:rsidR="008E53DB" w:rsidRPr="00F203C2" w:rsidTr="00D2749E">
        <w:trPr>
          <w:trHeight w:val="332"/>
        </w:trPr>
        <w:tc>
          <w:tcPr>
            <w:cnfStyle w:val="001000000000" w:firstRow="0" w:lastRow="0" w:firstColumn="1" w:lastColumn="0" w:oddVBand="0" w:evenVBand="0" w:oddHBand="0" w:evenHBand="0" w:firstRowFirstColumn="0" w:firstRowLastColumn="0" w:lastRowFirstColumn="0" w:lastRowLastColumn="0"/>
            <w:tcW w:w="1022" w:type="dxa"/>
            <w:vMerge/>
          </w:tcPr>
          <w:p w:rsidR="008E53DB" w:rsidRPr="00F203C2" w:rsidRDefault="008E53DB" w:rsidP="007848A6">
            <w:pPr>
              <w:pStyle w:val="AERtabletextleft"/>
              <w:rPr>
                <w:rStyle w:val="AERtextsize8"/>
              </w:rPr>
            </w:pPr>
          </w:p>
        </w:tc>
        <w:tc>
          <w:tcPr>
            <w:tcW w:w="4331" w:type="dxa"/>
          </w:tcPr>
          <w:p w:rsidR="008E53DB" w:rsidRPr="00F203C2" w:rsidRDefault="008E53DB" w:rsidP="00F203C2">
            <w:pPr>
              <w:pStyle w:val="Tabletext-right"/>
              <w:cnfStyle w:val="000000000000" w:firstRow="0" w:lastRow="0" w:firstColumn="0" w:lastColumn="0" w:oddVBand="0" w:evenVBand="0" w:oddHBand="0" w:evenHBand="0" w:firstRowFirstColumn="0" w:firstRowLastColumn="0" w:lastRowFirstColumn="0" w:lastRowLastColumn="0"/>
              <w:rPr>
                <w:rStyle w:val="AERtextsize8"/>
              </w:rPr>
            </w:pPr>
            <w:r w:rsidRPr="00F203C2">
              <w:rPr>
                <w:rStyle w:val="AERtextsize8"/>
              </w:rPr>
              <w:t>Administration</w:t>
            </w:r>
          </w:p>
        </w:tc>
        <w:tc>
          <w:tcPr>
            <w:tcW w:w="3544" w:type="dxa"/>
            <w:vMerge/>
          </w:tcPr>
          <w:p w:rsidR="008E53DB" w:rsidRPr="00F203C2" w:rsidRDefault="008E53DB" w:rsidP="00F203C2">
            <w:pPr>
              <w:pStyle w:val="Tabletext-right"/>
              <w:cnfStyle w:val="000000000000" w:firstRow="0" w:lastRow="0" w:firstColumn="0" w:lastColumn="0" w:oddVBand="0" w:evenVBand="0" w:oddHBand="0" w:evenHBand="0" w:firstRowFirstColumn="0" w:firstRowLastColumn="0" w:lastRowFirstColumn="0" w:lastRowLastColumn="0"/>
              <w:rPr>
                <w:rStyle w:val="AERtextsize8"/>
              </w:rPr>
            </w:pPr>
          </w:p>
        </w:tc>
      </w:tr>
      <w:tr w:rsidR="008E53DB" w:rsidRPr="00F203C2" w:rsidTr="00D2749E">
        <w:trPr>
          <w:cnfStyle w:val="000000010000" w:firstRow="0" w:lastRow="0" w:firstColumn="0" w:lastColumn="0" w:oddVBand="0" w:evenVBand="0" w:oddHBand="0" w:evenHBand="1" w:firstRowFirstColumn="0" w:firstRowLastColumn="0" w:lastRowFirstColumn="0" w:lastRowLastColumn="0"/>
          <w:trHeight w:val="332"/>
        </w:trPr>
        <w:tc>
          <w:tcPr>
            <w:cnfStyle w:val="001000000000" w:firstRow="0" w:lastRow="0" w:firstColumn="1" w:lastColumn="0" w:oddVBand="0" w:evenVBand="0" w:oddHBand="0" w:evenHBand="0" w:firstRowFirstColumn="0" w:firstRowLastColumn="0" w:lastRowFirstColumn="0" w:lastRowLastColumn="0"/>
            <w:tcW w:w="5353" w:type="dxa"/>
            <w:gridSpan w:val="2"/>
          </w:tcPr>
          <w:p w:rsidR="008E53DB" w:rsidRPr="00F203C2" w:rsidRDefault="008E53DB" w:rsidP="007848A6">
            <w:pPr>
              <w:pStyle w:val="AERtabletextleft"/>
              <w:rPr>
                <w:rStyle w:val="AERtextsize8"/>
              </w:rPr>
            </w:pPr>
          </w:p>
        </w:tc>
        <w:tc>
          <w:tcPr>
            <w:tcW w:w="3544" w:type="dxa"/>
          </w:tcPr>
          <w:p w:rsidR="008E53DB" w:rsidRPr="00F203C2" w:rsidRDefault="008E53DB" w:rsidP="00F203C2">
            <w:pPr>
              <w:pStyle w:val="Tabletext-right"/>
              <w:cnfStyle w:val="000000010000" w:firstRow="0" w:lastRow="0" w:firstColumn="0" w:lastColumn="0" w:oddVBand="0" w:evenVBand="0" w:oddHBand="0" w:evenHBand="1" w:firstRowFirstColumn="0" w:firstRowLastColumn="0" w:lastRowFirstColumn="0" w:lastRowLastColumn="0"/>
              <w:rPr>
                <w:rStyle w:val="AERtextsize8"/>
              </w:rPr>
            </w:pPr>
          </w:p>
        </w:tc>
      </w:tr>
      <w:tr w:rsidR="008E53DB" w:rsidRPr="00F203C2" w:rsidTr="00D2749E">
        <w:trPr>
          <w:trHeight w:val="213"/>
        </w:trPr>
        <w:tc>
          <w:tcPr>
            <w:cnfStyle w:val="001000000000" w:firstRow="0" w:lastRow="0" w:firstColumn="1" w:lastColumn="0" w:oddVBand="0" w:evenVBand="0" w:oddHBand="0" w:evenHBand="0" w:firstRowFirstColumn="0" w:firstRowLastColumn="0" w:lastRowFirstColumn="0" w:lastRowLastColumn="0"/>
            <w:tcW w:w="1022" w:type="dxa"/>
            <w:vMerge w:val="restart"/>
          </w:tcPr>
          <w:p w:rsidR="008E53DB" w:rsidRPr="00F203C2" w:rsidRDefault="008E53DB" w:rsidP="007848A6">
            <w:pPr>
              <w:pStyle w:val="AERtabletextleft"/>
              <w:rPr>
                <w:rStyle w:val="AERtextsize8"/>
              </w:rPr>
            </w:pPr>
            <w:r w:rsidRPr="00F203C2">
              <w:rPr>
                <w:rStyle w:val="AERtextsize8"/>
              </w:rPr>
              <w:t>Technical</w:t>
            </w:r>
          </w:p>
        </w:tc>
        <w:tc>
          <w:tcPr>
            <w:tcW w:w="4331" w:type="dxa"/>
          </w:tcPr>
          <w:p w:rsidR="008E53DB" w:rsidRPr="00F203C2" w:rsidRDefault="008E53DB" w:rsidP="00F203C2">
            <w:pPr>
              <w:pStyle w:val="Tabletext-right"/>
              <w:cnfStyle w:val="000000000000" w:firstRow="0" w:lastRow="0" w:firstColumn="0" w:lastColumn="0" w:oddVBand="0" w:evenVBand="0" w:oddHBand="0" w:evenHBand="0" w:firstRowFirstColumn="0" w:firstRowLastColumn="0" w:lastRowFirstColumn="0" w:lastRowLastColumn="0"/>
              <w:rPr>
                <w:rStyle w:val="AERtextsize8"/>
              </w:rPr>
            </w:pPr>
            <w:r w:rsidRPr="00F203C2">
              <w:rPr>
                <w:rStyle w:val="AERtextsize8"/>
              </w:rPr>
              <w:t>Electrical worker</w:t>
            </w:r>
          </w:p>
        </w:tc>
        <w:tc>
          <w:tcPr>
            <w:tcW w:w="3544" w:type="dxa"/>
            <w:vMerge w:val="restart"/>
          </w:tcPr>
          <w:p w:rsidR="008E53DB" w:rsidRPr="00F203C2" w:rsidRDefault="008E53DB" w:rsidP="00F203C2">
            <w:pPr>
              <w:pStyle w:val="Tabletext-right"/>
              <w:cnfStyle w:val="000000000000" w:firstRow="0" w:lastRow="0" w:firstColumn="0" w:lastColumn="0" w:oddVBand="0" w:evenVBand="0" w:oddHBand="0" w:evenHBand="0" w:firstRowFirstColumn="0" w:firstRowLastColumn="0" w:lastRowFirstColumn="0" w:lastRowLastColumn="0"/>
              <w:rPr>
                <w:rStyle w:val="AERtextsize8"/>
              </w:rPr>
            </w:pPr>
            <w:r>
              <w:rPr>
                <w:rStyle w:val="AERtextsize8"/>
              </w:rPr>
              <w:t xml:space="preserve">Max. </w:t>
            </w:r>
            <w:r w:rsidRPr="00F203C2">
              <w:rPr>
                <w:rStyle w:val="AERtextsize8"/>
              </w:rPr>
              <w:t>142.81</w:t>
            </w:r>
          </w:p>
        </w:tc>
      </w:tr>
      <w:tr w:rsidR="008E53DB" w:rsidRPr="00F203C2" w:rsidTr="00D2749E">
        <w:trPr>
          <w:cnfStyle w:val="000000010000" w:firstRow="0" w:lastRow="0" w:firstColumn="0" w:lastColumn="0" w:oddVBand="0" w:evenVBand="0" w:oddHBand="0" w:evenHBand="1" w:firstRowFirstColumn="0" w:firstRowLastColumn="0" w:lastRowFirstColumn="0" w:lastRowLastColumn="0"/>
          <w:trHeight w:val="213"/>
        </w:trPr>
        <w:tc>
          <w:tcPr>
            <w:cnfStyle w:val="001000000000" w:firstRow="0" w:lastRow="0" w:firstColumn="1" w:lastColumn="0" w:oddVBand="0" w:evenVBand="0" w:oddHBand="0" w:evenHBand="0" w:firstRowFirstColumn="0" w:firstRowLastColumn="0" w:lastRowFirstColumn="0" w:lastRowLastColumn="0"/>
            <w:tcW w:w="1022" w:type="dxa"/>
            <w:vMerge/>
          </w:tcPr>
          <w:p w:rsidR="008E53DB" w:rsidRPr="00F203C2" w:rsidRDefault="008E53DB" w:rsidP="007848A6">
            <w:pPr>
              <w:pStyle w:val="AERtabletextleft"/>
              <w:rPr>
                <w:rStyle w:val="AERtextsize8"/>
              </w:rPr>
            </w:pPr>
          </w:p>
        </w:tc>
        <w:tc>
          <w:tcPr>
            <w:tcW w:w="4331" w:type="dxa"/>
          </w:tcPr>
          <w:p w:rsidR="008E53DB" w:rsidRPr="00F203C2" w:rsidRDefault="008E53DB" w:rsidP="00F203C2">
            <w:pPr>
              <w:pStyle w:val="Tabletext-right"/>
              <w:cnfStyle w:val="000000010000" w:firstRow="0" w:lastRow="0" w:firstColumn="0" w:lastColumn="0" w:oddVBand="0" w:evenVBand="0" w:oddHBand="0" w:evenHBand="1" w:firstRowFirstColumn="0" w:firstRowLastColumn="0" w:lastRowFirstColumn="0" w:lastRowLastColumn="0"/>
              <w:rPr>
                <w:rStyle w:val="AERtextsize8"/>
              </w:rPr>
            </w:pPr>
            <w:r w:rsidRPr="00F203C2">
              <w:rPr>
                <w:rStyle w:val="AERtextsize8"/>
              </w:rPr>
              <w:t>Technical Specialist</w:t>
            </w:r>
          </w:p>
        </w:tc>
        <w:tc>
          <w:tcPr>
            <w:tcW w:w="3544" w:type="dxa"/>
            <w:vMerge/>
          </w:tcPr>
          <w:p w:rsidR="008E53DB" w:rsidRPr="00F203C2" w:rsidRDefault="008E53DB" w:rsidP="00F203C2">
            <w:pPr>
              <w:pStyle w:val="Tabletext-right"/>
              <w:cnfStyle w:val="000000010000" w:firstRow="0" w:lastRow="0" w:firstColumn="0" w:lastColumn="0" w:oddVBand="0" w:evenVBand="0" w:oddHBand="0" w:evenHBand="1" w:firstRowFirstColumn="0" w:firstRowLastColumn="0" w:lastRowFirstColumn="0" w:lastRowLastColumn="0"/>
              <w:rPr>
                <w:rStyle w:val="AERtextsize8"/>
              </w:rPr>
            </w:pPr>
          </w:p>
        </w:tc>
      </w:tr>
      <w:tr w:rsidR="008E53DB" w:rsidRPr="00F203C2" w:rsidTr="00D2749E">
        <w:trPr>
          <w:trHeight w:val="205"/>
        </w:trPr>
        <w:tc>
          <w:tcPr>
            <w:cnfStyle w:val="001000000000" w:firstRow="0" w:lastRow="0" w:firstColumn="1" w:lastColumn="0" w:oddVBand="0" w:evenVBand="0" w:oddHBand="0" w:evenHBand="0" w:firstRowFirstColumn="0" w:firstRowLastColumn="0" w:lastRowFirstColumn="0" w:lastRowLastColumn="0"/>
            <w:tcW w:w="1022" w:type="dxa"/>
            <w:vMerge/>
          </w:tcPr>
          <w:p w:rsidR="008E53DB" w:rsidRPr="00F203C2" w:rsidRDefault="008E53DB" w:rsidP="007848A6">
            <w:pPr>
              <w:pStyle w:val="AERtabletextleft"/>
              <w:rPr>
                <w:rStyle w:val="AERtextsize8"/>
              </w:rPr>
            </w:pPr>
          </w:p>
        </w:tc>
        <w:tc>
          <w:tcPr>
            <w:tcW w:w="4331" w:type="dxa"/>
          </w:tcPr>
          <w:p w:rsidR="008E53DB" w:rsidRPr="00F203C2" w:rsidRDefault="008E53DB" w:rsidP="00F203C2">
            <w:pPr>
              <w:pStyle w:val="Tabletext-right"/>
              <w:cnfStyle w:val="000000000000" w:firstRow="0" w:lastRow="0" w:firstColumn="0" w:lastColumn="0" w:oddVBand="0" w:evenVBand="0" w:oddHBand="0" w:evenHBand="0" w:firstRowFirstColumn="0" w:firstRowLastColumn="0" w:lastRowFirstColumn="0" w:lastRowLastColumn="0"/>
              <w:rPr>
                <w:rStyle w:val="AERtextsize8"/>
              </w:rPr>
            </w:pPr>
            <w:r w:rsidRPr="00F203C2">
              <w:rPr>
                <w:rStyle w:val="AERtextsize8"/>
              </w:rPr>
              <w:t>Technical Specialist</w:t>
            </w:r>
          </w:p>
        </w:tc>
        <w:tc>
          <w:tcPr>
            <w:tcW w:w="3544" w:type="dxa"/>
            <w:vMerge/>
          </w:tcPr>
          <w:p w:rsidR="008E53DB" w:rsidRPr="00F203C2" w:rsidRDefault="008E53DB" w:rsidP="00F203C2">
            <w:pPr>
              <w:pStyle w:val="Tabletext-right"/>
              <w:cnfStyle w:val="000000000000" w:firstRow="0" w:lastRow="0" w:firstColumn="0" w:lastColumn="0" w:oddVBand="0" w:evenVBand="0" w:oddHBand="0" w:evenHBand="0" w:firstRowFirstColumn="0" w:firstRowLastColumn="0" w:lastRowFirstColumn="0" w:lastRowLastColumn="0"/>
              <w:rPr>
                <w:rStyle w:val="AERtextsize8"/>
              </w:rPr>
            </w:pPr>
          </w:p>
        </w:tc>
      </w:tr>
      <w:tr w:rsidR="008E53DB" w:rsidRPr="00F203C2" w:rsidTr="00D2749E">
        <w:trPr>
          <w:cnfStyle w:val="000000010000" w:firstRow="0" w:lastRow="0" w:firstColumn="0" w:lastColumn="0" w:oddVBand="0" w:evenVBand="0" w:oddHBand="0" w:evenHBand="1" w:firstRowFirstColumn="0" w:firstRowLastColumn="0" w:lastRowFirstColumn="0" w:lastRowLastColumn="0"/>
          <w:trHeight w:val="205"/>
        </w:trPr>
        <w:tc>
          <w:tcPr>
            <w:cnfStyle w:val="001000000000" w:firstRow="0" w:lastRow="0" w:firstColumn="1" w:lastColumn="0" w:oddVBand="0" w:evenVBand="0" w:oddHBand="0" w:evenHBand="0" w:firstRowFirstColumn="0" w:firstRowLastColumn="0" w:lastRowFirstColumn="0" w:lastRowLastColumn="0"/>
            <w:tcW w:w="1022" w:type="dxa"/>
            <w:vMerge/>
          </w:tcPr>
          <w:p w:rsidR="008E53DB" w:rsidRPr="00F203C2" w:rsidRDefault="008E53DB" w:rsidP="007848A6">
            <w:pPr>
              <w:pStyle w:val="AERtabletextleft"/>
              <w:rPr>
                <w:rStyle w:val="AERtextsize8"/>
              </w:rPr>
            </w:pPr>
          </w:p>
        </w:tc>
        <w:tc>
          <w:tcPr>
            <w:tcW w:w="4331" w:type="dxa"/>
          </w:tcPr>
          <w:p w:rsidR="008E53DB" w:rsidRPr="00F203C2" w:rsidRDefault="008E53DB" w:rsidP="00F203C2">
            <w:pPr>
              <w:pStyle w:val="Tabletext-right"/>
              <w:cnfStyle w:val="000000010000" w:firstRow="0" w:lastRow="0" w:firstColumn="0" w:lastColumn="0" w:oddVBand="0" w:evenVBand="0" w:oddHBand="0" w:evenHBand="1" w:firstRowFirstColumn="0" w:firstRowLastColumn="0" w:lastRowFirstColumn="0" w:lastRowLastColumn="0"/>
              <w:rPr>
                <w:rStyle w:val="AERtextsize8"/>
              </w:rPr>
            </w:pPr>
            <w:r w:rsidRPr="00F203C2">
              <w:rPr>
                <w:rStyle w:val="AERtextsize8"/>
              </w:rPr>
              <w:t>Indoor technical officer</w:t>
            </w:r>
          </w:p>
        </w:tc>
        <w:tc>
          <w:tcPr>
            <w:tcW w:w="3544" w:type="dxa"/>
            <w:vMerge/>
          </w:tcPr>
          <w:p w:rsidR="008E53DB" w:rsidRPr="00F203C2" w:rsidRDefault="008E53DB" w:rsidP="00F203C2">
            <w:pPr>
              <w:pStyle w:val="Tabletext-right"/>
              <w:cnfStyle w:val="000000010000" w:firstRow="0" w:lastRow="0" w:firstColumn="0" w:lastColumn="0" w:oddVBand="0" w:evenVBand="0" w:oddHBand="0" w:evenHBand="1" w:firstRowFirstColumn="0" w:firstRowLastColumn="0" w:lastRowFirstColumn="0" w:lastRowLastColumn="0"/>
              <w:rPr>
                <w:rStyle w:val="AERtextsize8"/>
              </w:rPr>
            </w:pPr>
          </w:p>
        </w:tc>
      </w:tr>
      <w:tr w:rsidR="008E53DB" w:rsidRPr="00F203C2" w:rsidTr="00D2749E">
        <w:trPr>
          <w:trHeight w:val="205"/>
        </w:trPr>
        <w:tc>
          <w:tcPr>
            <w:cnfStyle w:val="001000000000" w:firstRow="0" w:lastRow="0" w:firstColumn="1" w:lastColumn="0" w:oddVBand="0" w:evenVBand="0" w:oddHBand="0" w:evenHBand="0" w:firstRowFirstColumn="0" w:firstRowLastColumn="0" w:lastRowFirstColumn="0" w:lastRowLastColumn="0"/>
            <w:tcW w:w="1022" w:type="dxa"/>
            <w:vMerge/>
          </w:tcPr>
          <w:p w:rsidR="008E53DB" w:rsidRPr="00F203C2" w:rsidRDefault="008E53DB" w:rsidP="007848A6">
            <w:pPr>
              <w:pStyle w:val="AERtabletextleft"/>
              <w:rPr>
                <w:rStyle w:val="AERtextsize8"/>
              </w:rPr>
            </w:pPr>
          </w:p>
        </w:tc>
        <w:tc>
          <w:tcPr>
            <w:tcW w:w="4331" w:type="dxa"/>
          </w:tcPr>
          <w:p w:rsidR="008E53DB" w:rsidRPr="00F203C2" w:rsidRDefault="008E53DB" w:rsidP="00F203C2">
            <w:pPr>
              <w:pStyle w:val="Tabletext-right"/>
              <w:cnfStyle w:val="000000000000" w:firstRow="0" w:lastRow="0" w:firstColumn="0" w:lastColumn="0" w:oddVBand="0" w:evenVBand="0" w:oddHBand="0" w:evenHBand="0" w:firstRowFirstColumn="0" w:firstRowLastColumn="0" w:lastRowFirstColumn="0" w:lastRowLastColumn="0"/>
              <w:rPr>
                <w:rStyle w:val="AERtextsize8"/>
              </w:rPr>
            </w:pPr>
            <w:r w:rsidRPr="00F203C2">
              <w:rPr>
                <w:rStyle w:val="AERtextsize8"/>
              </w:rPr>
              <w:t>Outdoor technical officer</w:t>
            </w:r>
          </w:p>
        </w:tc>
        <w:tc>
          <w:tcPr>
            <w:tcW w:w="3544" w:type="dxa"/>
            <w:vMerge/>
          </w:tcPr>
          <w:p w:rsidR="008E53DB" w:rsidRPr="00F203C2" w:rsidRDefault="008E53DB" w:rsidP="00F203C2">
            <w:pPr>
              <w:pStyle w:val="Tabletext-right"/>
              <w:cnfStyle w:val="000000000000" w:firstRow="0" w:lastRow="0" w:firstColumn="0" w:lastColumn="0" w:oddVBand="0" w:evenVBand="0" w:oddHBand="0" w:evenHBand="0" w:firstRowFirstColumn="0" w:firstRowLastColumn="0" w:lastRowFirstColumn="0" w:lastRowLastColumn="0"/>
              <w:rPr>
                <w:rStyle w:val="AERtextsize8"/>
              </w:rPr>
            </w:pPr>
          </w:p>
        </w:tc>
      </w:tr>
      <w:tr w:rsidR="008E53DB" w:rsidRPr="00F203C2" w:rsidTr="00D2749E">
        <w:trPr>
          <w:cnfStyle w:val="000000010000" w:firstRow="0" w:lastRow="0" w:firstColumn="0" w:lastColumn="0" w:oddVBand="0" w:evenVBand="0" w:oddHBand="0" w:evenHBand="1" w:firstRowFirstColumn="0" w:firstRowLastColumn="0" w:lastRowFirstColumn="0" w:lastRowLastColumn="0"/>
          <w:trHeight w:val="205"/>
        </w:trPr>
        <w:tc>
          <w:tcPr>
            <w:cnfStyle w:val="001000000000" w:firstRow="0" w:lastRow="0" w:firstColumn="1" w:lastColumn="0" w:oddVBand="0" w:evenVBand="0" w:oddHBand="0" w:evenHBand="0" w:firstRowFirstColumn="0" w:firstRowLastColumn="0" w:lastRowFirstColumn="0" w:lastRowLastColumn="0"/>
            <w:tcW w:w="5353" w:type="dxa"/>
            <w:gridSpan w:val="2"/>
          </w:tcPr>
          <w:p w:rsidR="008E53DB" w:rsidRPr="00F203C2" w:rsidRDefault="008E53DB" w:rsidP="007848A6">
            <w:pPr>
              <w:pStyle w:val="AERtabletextleft"/>
              <w:rPr>
                <w:rStyle w:val="AERtextsize8"/>
              </w:rPr>
            </w:pPr>
          </w:p>
        </w:tc>
        <w:tc>
          <w:tcPr>
            <w:tcW w:w="3544" w:type="dxa"/>
          </w:tcPr>
          <w:p w:rsidR="008E53DB" w:rsidRPr="00F203C2" w:rsidRDefault="008E53DB" w:rsidP="00F203C2">
            <w:pPr>
              <w:pStyle w:val="Tabletext-right"/>
              <w:cnfStyle w:val="000000010000" w:firstRow="0" w:lastRow="0" w:firstColumn="0" w:lastColumn="0" w:oddVBand="0" w:evenVBand="0" w:oddHBand="0" w:evenHBand="1" w:firstRowFirstColumn="0" w:firstRowLastColumn="0" w:lastRowFirstColumn="0" w:lastRowLastColumn="0"/>
              <w:rPr>
                <w:rStyle w:val="AERtextsize8"/>
              </w:rPr>
            </w:pPr>
          </w:p>
        </w:tc>
      </w:tr>
      <w:tr w:rsidR="008E53DB" w:rsidRPr="00F203C2" w:rsidTr="00D2749E">
        <w:trPr>
          <w:trHeight w:val="205"/>
        </w:trPr>
        <w:tc>
          <w:tcPr>
            <w:cnfStyle w:val="001000000000" w:firstRow="0" w:lastRow="0" w:firstColumn="1" w:lastColumn="0" w:oddVBand="0" w:evenVBand="0" w:oddHBand="0" w:evenHBand="0" w:firstRowFirstColumn="0" w:firstRowLastColumn="0" w:lastRowFirstColumn="0" w:lastRowLastColumn="0"/>
            <w:tcW w:w="1022" w:type="dxa"/>
            <w:vMerge w:val="restart"/>
          </w:tcPr>
          <w:p w:rsidR="008E53DB" w:rsidRPr="00F203C2" w:rsidRDefault="008E53DB" w:rsidP="007848A6">
            <w:pPr>
              <w:pStyle w:val="AERtabletextleft"/>
              <w:rPr>
                <w:rStyle w:val="AERtextsize8"/>
              </w:rPr>
            </w:pPr>
            <w:r w:rsidRPr="00F203C2">
              <w:rPr>
                <w:rStyle w:val="AERtextsize8"/>
              </w:rPr>
              <w:t>Engineer</w:t>
            </w:r>
          </w:p>
        </w:tc>
        <w:tc>
          <w:tcPr>
            <w:tcW w:w="4331" w:type="dxa"/>
          </w:tcPr>
          <w:p w:rsidR="008E53DB" w:rsidRPr="00F203C2" w:rsidRDefault="008E53DB" w:rsidP="00F203C2">
            <w:pPr>
              <w:pStyle w:val="Tabletext-right"/>
              <w:cnfStyle w:val="000000000000" w:firstRow="0" w:lastRow="0" w:firstColumn="0" w:lastColumn="0" w:oddVBand="0" w:evenVBand="0" w:oddHBand="0" w:evenHBand="0" w:firstRowFirstColumn="0" w:firstRowLastColumn="0" w:lastRowFirstColumn="0" w:lastRowLastColumn="0"/>
              <w:rPr>
                <w:rStyle w:val="AERtextsize8"/>
              </w:rPr>
            </w:pPr>
            <w:r w:rsidRPr="00F203C2">
              <w:rPr>
                <w:rStyle w:val="AERtextsize8"/>
              </w:rPr>
              <w:t>Project Officer Design Section</w:t>
            </w:r>
          </w:p>
        </w:tc>
        <w:tc>
          <w:tcPr>
            <w:tcW w:w="3544" w:type="dxa"/>
            <w:vMerge w:val="restart"/>
          </w:tcPr>
          <w:p w:rsidR="008E53DB" w:rsidRPr="00F203C2" w:rsidRDefault="008E53DB" w:rsidP="00F203C2">
            <w:pPr>
              <w:pStyle w:val="Tabletext-right"/>
              <w:cnfStyle w:val="000000000000" w:firstRow="0" w:lastRow="0" w:firstColumn="0" w:lastColumn="0" w:oddVBand="0" w:evenVBand="0" w:oddHBand="0" w:evenHBand="0" w:firstRowFirstColumn="0" w:firstRowLastColumn="0" w:lastRowFirstColumn="0" w:lastRowLastColumn="0"/>
              <w:rPr>
                <w:rStyle w:val="AERtextsize8"/>
              </w:rPr>
            </w:pPr>
            <w:r>
              <w:rPr>
                <w:rStyle w:val="AERtextsize8"/>
              </w:rPr>
              <w:t xml:space="preserve">Max. </w:t>
            </w:r>
            <w:r w:rsidRPr="00F203C2">
              <w:rPr>
                <w:rStyle w:val="AERtextsize8"/>
              </w:rPr>
              <w:t>177.52</w:t>
            </w:r>
          </w:p>
        </w:tc>
      </w:tr>
      <w:tr w:rsidR="008E53DB" w:rsidRPr="00F203C2" w:rsidTr="00D2749E">
        <w:trPr>
          <w:cnfStyle w:val="000000010000" w:firstRow="0" w:lastRow="0" w:firstColumn="0" w:lastColumn="0" w:oddVBand="0" w:evenVBand="0" w:oddHBand="0" w:evenHBand="1" w:firstRowFirstColumn="0" w:firstRowLastColumn="0" w:lastRowFirstColumn="0" w:lastRowLastColumn="0"/>
          <w:trHeight w:val="205"/>
        </w:trPr>
        <w:tc>
          <w:tcPr>
            <w:cnfStyle w:val="001000000000" w:firstRow="0" w:lastRow="0" w:firstColumn="1" w:lastColumn="0" w:oddVBand="0" w:evenVBand="0" w:oddHBand="0" w:evenHBand="0" w:firstRowFirstColumn="0" w:firstRowLastColumn="0" w:lastRowFirstColumn="0" w:lastRowLastColumn="0"/>
            <w:tcW w:w="1022" w:type="dxa"/>
            <w:vMerge/>
          </w:tcPr>
          <w:p w:rsidR="008E53DB" w:rsidRPr="00F203C2" w:rsidRDefault="008E53DB" w:rsidP="007848A6">
            <w:pPr>
              <w:pStyle w:val="AERtabletextleft"/>
              <w:rPr>
                <w:rStyle w:val="AERtextsize8"/>
              </w:rPr>
            </w:pPr>
          </w:p>
        </w:tc>
        <w:tc>
          <w:tcPr>
            <w:tcW w:w="4331" w:type="dxa"/>
          </w:tcPr>
          <w:p w:rsidR="008E53DB" w:rsidRPr="00F203C2" w:rsidRDefault="008E53DB" w:rsidP="00F203C2">
            <w:pPr>
              <w:pStyle w:val="Tabletext-right"/>
              <w:cnfStyle w:val="000000010000" w:firstRow="0" w:lastRow="0" w:firstColumn="0" w:lastColumn="0" w:oddVBand="0" w:evenVBand="0" w:oddHBand="0" w:evenHBand="1" w:firstRowFirstColumn="0" w:firstRowLastColumn="0" w:lastRowFirstColumn="0" w:lastRowLastColumn="0"/>
              <w:rPr>
                <w:rStyle w:val="AERtextsize8"/>
              </w:rPr>
            </w:pPr>
            <w:r w:rsidRPr="00F203C2">
              <w:rPr>
                <w:rStyle w:val="AERtextsize8"/>
              </w:rPr>
              <w:t>EO 7/Engineer</w:t>
            </w:r>
          </w:p>
        </w:tc>
        <w:tc>
          <w:tcPr>
            <w:tcW w:w="3544" w:type="dxa"/>
            <w:vMerge/>
          </w:tcPr>
          <w:p w:rsidR="008E53DB" w:rsidRPr="00F203C2" w:rsidRDefault="008E53DB" w:rsidP="00F203C2">
            <w:pPr>
              <w:pStyle w:val="Tabletext-right"/>
              <w:cnfStyle w:val="000000010000" w:firstRow="0" w:lastRow="0" w:firstColumn="0" w:lastColumn="0" w:oddVBand="0" w:evenVBand="0" w:oddHBand="0" w:evenHBand="1" w:firstRowFirstColumn="0" w:firstRowLastColumn="0" w:lastRowFirstColumn="0" w:lastRowLastColumn="0"/>
              <w:rPr>
                <w:rStyle w:val="AERtextsize8"/>
              </w:rPr>
            </w:pPr>
          </w:p>
        </w:tc>
      </w:tr>
      <w:tr w:rsidR="008E53DB" w:rsidRPr="00F203C2" w:rsidTr="00D2749E">
        <w:trPr>
          <w:trHeight w:val="205"/>
        </w:trPr>
        <w:tc>
          <w:tcPr>
            <w:cnfStyle w:val="001000000000" w:firstRow="0" w:lastRow="0" w:firstColumn="1" w:lastColumn="0" w:oddVBand="0" w:evenVBand="0" w:oddHBand="0" w:evenHBand="0" w:firstRowFirstColumn="0" w:firstRowLastColumn="0" w:lastRowFirstColumn="0" w:lastRowLastColumn="0"/>
            <w:tcW w:w="1022" w:type="dxa"/>
            <w:vMerge/>
          </w:tcPr>
          <w:p w:rsidR="008E53DB" w:rsidRPr="00F203C2" w:rsidRDefault="008E53DB" w:rsidP="007848A6">
            <w:pPr>
              <w:pStyle w:val="AERtabletextleft"/>
              <w:rPr>
                <w:rStyle w:val="AERtextsize8"/>
              </w:rPr>
            </w:pPr>
          </w:p>
        </w:tc>
        <w:tc>
          <w:tcPr>
            <w:tcW w:w="4331" w:type="dxa"/>
          </w:tcPr>
          <w:p w:rsidR="008E53DB" w:rsidRPr="00F203C2" w:rsidRDefault="008E53DB" w:rsidP="00F203C2">
            <w:pPr>
              <w:pStyle w:val="Tabletext-right"/>
              <w:cnfStyle w:val="000000000000" w:firstRow="0" w:lastRow="0" w:firstColumn="0" w:lastColumn="0" w:oddVBand="0" w:evenVBand="0" w:oddHBand="0" w:evenHBand="0" w:firstRowFirstColumn="0" w:firstRowLastColumn="0" w:lastRowFirstColumn="0" w:lastRowLastColumn="0"/>
              <w:rPr>
                <w:rStyle w:val="AERtextsize8"/>
              </w:rPr>
            </w:pPr>
            <w:r w:rsidRPr="00F203C2">
              <w:rPr>
                <w:rStyle w:val="AERtextsize8"/>
              </w:rPr>
              <w:t>Engineer</w:t>
            </w:r>
          </w:p>
        </w:tc>
        <w:tc>
          <w:tcPr>
            <w:tcW w:w="3544" w:type="dxa"/>
            <w:vMerge/>
          </w:tcPr>
          <w:p w:rsidR="008E53DB" w:rsidRPr="00F203C2" w:rsidRDefault="008E53DB" w:rsidP="00F203C2">
            <w:pPr>
              <w:pStyle w:val="Tabletext-right"/>
              <w:cnfStyle w:val="000000000000" w:firstRow="0" w:lastRow="0" w:firstColumn="0" w:lastColumn="0" w:oddVBand="0" w:evenVBand="0" w:oddHBand="0" w:evenHBand="0" w:firstRowFirstColumn="0" w:firstRowLastColumn="0" w:lastRowFirstColumn="0" w:lastRowLastColumn="0"/>
              <w:rPr>
                <w:rStyle w:val="AERtextsize8"/>
              </w:rPr>
            </w:pPr>
          </w:p>
        </w:tc>
      </w:tr>
      <w:tr w:rsidR="008E53DB" w:rsidRPr="00F203C2" w:rsidTr="00D2749E">
        <w:trPr>
          <w:cnfStyle w:val="000000010000" w:firstRow="0" w:lastRow="0" w:firstColumn="0" w:lastColumn="0" w:oddVBand="0" w:evenVBand="0" w:oddHBand="0" w:evenHBand="1" w:firstRowFirstColumn="0" w:firstRowLastColumn="0" w:lastRowFirstColumn="0" w:lastRowLastColumn="0"/>
          <w:trHeight w:val="205"/>
        </w:trPr>
        <w:tc>
          <w:tcPr>
            <w:cnfStyle w:val="001000000000" w:firstRow="0" w:lastRow="0" w:firstColumn="1" w:lastColumn="0" w:oddVBand="0" w:evenVBand="0" w:oddHBand="0" w:evenHBand="0" w:firstRowFirstColumn="0" w:firstRowLastColumn="0" w:lastRowFirstColumn="0" w:lastRowLastColumn="0"/>
            <w:tcW w:w="1022" w:type="dxa"/>
            <w:vMerge/>
          </w:tcPr>
          <w:p w:rsidR="008E53DB" w:rsidRPr="00F203C2" w:rsidRDefault="008E53DB" w:rsidP="007848A6">
            <w:pPr>
              <w:pStyle w:val="AERtabletextleft"/>
              <w:rPr>
                <w:rStyle w:val="AERtextsize8"/>
              </w:rPr>
            </w:pPr>
          </w:p>
        </w:tc>
        <w:tc>
          <w:tcPr>
            <w:tcW w:w="4331" w:type="dxa"/>
          </w:tcPr>
          <w:p w:rsidR="008E53DB" w:rsidRPr="00F203C2" w:rsidRDefault="008E53DB" w:rsidP="00F203C2">
            <w:pPr>
              <w:pStyle w:val="Tabletext-right"/>
              <w:cnfStyle w:val="000000010000" w:firstRow="0" w:lastRow="0" w:firstColumn="0" w:lastColumn="0" w:oddVBand="0" w:evenVBand="0" w:oddHBand="0" w:evenHBand="1" w:firstRowFirstColumn="0" w:firstRowLastColumn="0" w:lastRowFirstColumn="0" w:lastRowLastColumn="0"/>
              <w:rPr>
                <w:rStyle w:val="AERtextsize8"/>
              </w:rPr>
            </w:pPr>
            <w:r w:rsidRPr="00F203C2">
              <w:rPr>
                <w:rStyle w:val="AERtextsize8"/>
              </w:rPr>
              <w:t>Engineering Officer</w:t>
            </w:r>
          </w:p>
        </w:tc>
        <w:tc>
          <w:tcPr>
            <w:tcW w:w="3544" w:type="dxa"/>
            <w:vMerge/>
          </w:tcPr>
          <w:p w:rsidR="008E53DB" w:rsidRPr="00F203C2" w:rsidRDefault="008E53DB" w:rsidP="00F203C2">
            <w:pPr>
              <w:pStyle w:val="Tabletext-right"/>
              <w:cnfStyle w:val="000000010000" w:firstRow="0" w:lastRow="0" w:firstColumn="0" w:lastColumn="0" w:oddVBand="0" w:evenVBand="0" w:oddHBand="0" w:evenHBand="1" w:firstRowFirstColumn="0" w:firstRowLastColumn="0" w:lastRowFirstColumn="0" w:lastRowLastColumn="0"/>
              <w:rPr>
                <w:rStyle w:val="AERtextsize8"/>
              </w:rPr>
            </w:pPr>
          </w:p>
        </w:tc>
      </w:tr>
      <w:tr w:rsidR="008E53DB" w:rsidRPr="00F203C2" w:rsidTr="00D2749E">
        <w:trPr>
          <w:trHeight w:val="205"/>
        </w:trPr>
        <w:tc>
          <w:tcPr>
            <w:cnfStyle w:val="001000000000" w:firstRow="0" w:lastRow="0" w:firstColumn="1" w:lastColumn="0" w:oddVBand="0" w:evenVBand="0" w:oddHBand="0" w:evenHBand="0" w:firstRowFirstColumn="0" w:firstRowLastColumn="0" w:lastRowFirstColumn="0" w:lastRowLastColumn="0"/>
            <w:tcW w:w="5353" w:type="dxa"/>
            <w:gridSpan w:val="2"/>
          </w:tcPr>
          <w:p w:rsidR="008E53DB" w:rsidRPr="00F203C2" w:rsidRDefault="008E53DB" w:rsidP="007848A6">
            <w:pPr>
              <w:pStyle w:val="AERtabletextleft"/>
              <w:rPr>
                <w:rStyle w:val="AERtextsize8"/>
              </w:rPr>
            </w:pPr>
          </w:p>
        </w:tc>
        <w:tc>
          <w:tcPr>
            <w:tcW w:w="3544" w:type="dxa"/>
          </w:tcPr>
          <w:p w:rsidR="008E53DB" w:rsidRPr="00F203C2" w:rsidRDefault="008E53DB" w:rsidP="00F203C2">
            <w:pPr>
              <w:pStyle w:val="Tabletext-right"/>
              <w:cnfStyle w:val="000000000000" w:firstRow="0" w:lastRow="0" w:firstColumn="0" w:lastColumn="0" w:oddVBand="0" w:evenVBand="0" w:oddHBand="0" w:evenHBand="0" w:firstRowFirstColumn="0" w:firstRowLastColumn="0" w:lastRowFirstColumn="0" w:lastRowLastColumn="0"/>
              <w:rPr>
                <w:rStyle w:val="AERtextsize8"/>
              </w:rPr>
            </w:pPr>
          </w:p>
        </w:tc>
      </w:tr>
      <w:tr w:rsidR="008E53DB" w:rsidRPr="00F203C2" w:rsidTr="00D2749E">
        <w:trPr>
          <w:cnfStyle w:val="000000010000" w:firstRow="0" w:lastRow="0" w:firstColumn="0" w:lastColumn="0" w:oddVBand="0" w:evenVBand="0" w:oddHBand="0" w:evenHBand="1" w:firstRowFirstColumn="0" w:firstRowLastColumn="0" w:lastRowFirstColumn="0" w:lastRowLastColumn="0"/>
          <w:trHeight w:val="339"/>
        </w:trPr>
        <w:tc>
          <w:tcPr>
            <w:cnfStyle w:val="001000000000" w:firstRow="0" w:lastRow="0" w:firstColumn="1" w:lastColumn="0" w:oddVBand="0" w:evenVBand="0" w:oddHBand="0" w:evenHBand="0" w:firstRowFirstColumn="0" w:firstRowLastColumn="0" w:lastRowFirstColumn="0" w:lastRowLastColumn="0"/>
            <w:tcW w:w="1022" w:type="dxa"/>
            <w:vMerge w:val="restart"/>
          </w:tcPr>
          <w:p w:rsidR="008E53DB" w:rsidRPr="00F203C2" w:rsidRDefault="008E53DB" w:rsidP="007848A6">
            <w:pPr>
              <w:pStyle w:val="AERtabletextleft"/>
              <w:rPr>
                <w:rStyle w:val="AERtextsize8"/>
              </w:rPr>
            </w:pPr>
            <w:r w:rsidRPr="00F203C2">
              <w:rPr>
                <w:rStyle w:val="AERtextsize8"/>
              </w:rPr>
              <w:t>Field Worker</w:t>
            </w:r>
          </w:p>
        </w:tc>
        <w:tc>
          <w:tcPr>
            <w:tcW w:w="4331" w:type="dxa"/>
          </w:tcPr>
          <w:p w:rsidR="008E53DB" w:rsidRPr="00F203C2" w:rsidRDefault="008E53DB" w:rsidP="00F203C2">
            <w:pPr>
              <w:pStyle w:val="Tabletext-right"/>
              <w:cnfStyle w:val="000000010000" w:firstRow="0" w:lastRow="0" w:firstColumn="0" w:lastColumn="0" w:oddVBand="0" w:evenVBand="0" w:oddHBand="0" w:evenHBand="1" w:firstRowFirstColumn="0" w:firstRowLastColumn="0" w:lastRowFirstColumn="0" w:lastRowLastColumn="0"/>
              <w:rPr>
                <w:rStyle w:val="AERtextsize8"/>
              </w:rPr>
            </w:pPr>
            <w:r w:rsidRPr="00F203C2">
              <w:rPr>
                <w:rStyle w:val="AERtextsize8"/>
              </w:rPr>
              <w:t>Electrical worker - labourer</w:t>
            </w:r>
          </w:p>
        </w:tc>
        <w:tc>
          <w:tcPr>
            <w:tcW w:w="3544" w:type="dxa"/>
            <w:vMerge w:val="restart"/>
          </w:tcPr>
          <w:p w:rsidR="008E53DB" w:rsidRPr="00F203C2" w:rsidRDefault="008E53DB" w:rsidP="00F203C2">
            <w:pPr>
              <w:pStyle w:val="Tabletext-right"/>
              <w:cnfStyle w:val="000000010000" w:firstRow="0" w:lastRow="0" w:firstColumn="0" w:lastColumn="0" w:oddVBand="0" w:evenVBand="0" w:oddHBand="0" w:evenHBand="1" w:firstRowFirstColumn="0" w:firstRowLastColumn="0" w:lastRowFirstColumn="0" w:lastRowLastColumn="0"/>
              <w:rPr>
                <w:rStyle w:val="AERtextsize8"/>
              </w:rPr>
            </w:pPr>
            <w:r>
              <w:rPr>
                <w:rStyle w:val="AERtextsize8"/>
              </w:rPr>
              <w:t xml:space="preserve">Max. </w:t>
            </w:r>
            <w:r w:rsidRPr="00F203C2">
              <w:rPr>
                <w:rStyle w:val="AERtextsize8"/>
              </w:rPr>
              <w:t>133.80</w:t>
            </w:r>
          </w:p>
        </w:tc>
      </w:tr>
      <w:tr w:rsidR="008E53DB" w:rsidRPr="00F203C2" w:rsidTr="00D2749E">
        <w:trPr>
          <w:trHeight w:val="205"/>
        </w:trPr>
        <w:tc>
          <w:tcPr>
            <w:cnfStyle w:val="001000000000" w:firstRow="0" w:lastRow="0" w:firstColumn="1" w:lastColumn="0" w:oddVBand="0" w:evenVBand="0" w:oddHBand="0" w:evenHBand="0" w:firstRowFirstColumn="0" w:firstRowLastColumn="0" w:lastRowFirstColumn="0" w:lastRowLastColumn="0"/>
            <w:tcW w:w="1022" w:type="dxa"/>
            <w:vMerge/>
          </w:tcPr>
          <w:p w:rsidR="008E53DB" w:rsidRPr="00F203C2" w:rsidRDefault="008E53DB" w:rsidP="007848A6">
            <w:pPr>
              <w:pStyle w:val="AERtabletextleft"/>
              <w:rPr>
                <w:rStyle w:val="AERtextsize8"/>
              </w:rPr>
            </w:pPr>
          </w:p>
        </w:tc>
        <w:tc>
          <w:tcPr>
            <w:tcW w:w="4331" w:type="dxa"/>
          </w:tcPr>
          <w:p w:rsidR="008E53DB" w:rsidRPr="00F203C2" w:rsidRDefault="008E53DB" w:rsidP="00F203C2">
            <w:pPr>
              <w:pStyle w:val="Tabletext-right"/>
              <w:cnfStyle w:val="000000000000" w:firstRow="0" w:lastRow="0" w:firstColumn="0" w:lastColumn="0" w:oddVBand="0" w:evenVBand="0" w:oddHBand="0" w:evenHBand="0" w:firstRowFirstColumn="0" w:firstRowLastColumn="0" w:lastRowFirstColumn="0" w:lastRowLastColumn="0"/>
              <w:rPr>
                <w:rStyle w:val="AERtextsize8"/>
              </w:rPr>
            </w:pPr>
            <w:r w:rsidRPr="00F203C2">
              <w:rPr>
                <w:rStyle w:val="AERtextsize8"/>
              </w:rPr>
              <w:t>Electrical Apprentice</w:t>
            </w:r>
          </w:p>
        </w:tc>
        <w:tc>
          <w:tcPr>
            <w:tcW w:w="3544" w:type="dxa"/>
            <w:vMerge/>
          </w:tcPr>
          <w:p w:rsidR="008E53DB" w:rsidRPr="00F203C2" w:rsidRDefault="008E53DB" w:rsidP="00F203C2">
            <w:pPr>
              <w:pStyle w:val="Tabletext-right"/>
              <w:cnfStyle w:val="000000000000" w:firstRow="0" w:lastRow="0" w:firstColumn="0" w:lastColumn="0" w:oddVBand="0" w:evenVBand="0" w:oddHBand="0" w:evenHBand="0" w:firstRowFirstColumn="0" w:firstRowLastColumn="0" w:lastRowFirstColumn="0" w:lastRowLastColumn="0"/>
              <w:rPr>
                <w:rStyle w:val="AERtextsize8"/>
              </w:rPr>
            </w:pPr>
          </w:p>
        </w:tc>
      </w:tr>
      <w:tr w:rsidR="008E53DB" w:rsidRPr="00F203C2" w:rsidTr="00D2749E">
        <w:trPr>
          <w:cnfStyle w:val="000000010000" w:firstRow="0" w:lastRow="0" w:firstColumn="0" w:lastColumn="0" w:oddVBand="0" w:evenVBand="0" w:oddHBand="0" w:evenHBand="1" w:firstRowFirstColumn="0" w:firstRowLastColumn="0" w:lastRowFirstColumn="0" w:lastRowLastColumn="0"/>
          <w:trHeight w:val="205"/>
        </w:trPr>
        <w:tc>
          <w:tcPr>
            <w:cnfStyle w:val="001000000000" w:firstRow="0" w:lastRow="0" w:firstColumn="1" w:lastColumn="0" w:oddVBand="0" w:evenVBand="0" w:oddHBand="0" w:evenHBand="0" w:firstRowFirstColumn="0" w:firstRowLastColumn="0" w:lastRowFirstColumn="0" w:lastRowLastColumn="0"/>
            <w:tcW w:w="1022" w:type="dxa"/>
            <w:vMerge/>
          </w:tcPr>
          <w:p w:rsidR="008E53DB" w:rsidRPr="00F203C2" w:rsidRDefault="008E53DB" w:rsidP="007848A6">
            <w:pPr>
              <w:pStyle w:val="AERtabletextleft"/>
              <w:rPr>
                <w:rStyle w:val="AERtextsize8"/>
              </w:rPr>
            </w:pPr>
          </w:p>
        </w:tc>
        <w:tc>
          <w:tcPr>
            <w:tcW w:w="4331" w:type="dxa"/>
          </w:tcPr>
          <w:p w:rsidR="008E53DB" w:rsidRPr="00F203C2" w:rsidRDefault="008E53DB" w:rsidP="00F203C2">
            <w:pPr>
              <w:pStyle w:val="Tabletext-right"/>
              <w:cnfStyle w:val="000000010000" w:firstRow="0" w:lastRow="0" w:firstColumn="0" w:lastColumn="0" w:oddVBand="0" w:evenVBand="0" w:oddHBand="0" w:evenHBand="1" w:firstRowFirstColumn="0" w:firstRowLastColumn="0" w:lastRowFirstColumn="0" w:lastRowLastColumn="0"/>
              <w:rPr>
                <w:rStyle w:val="AERtextsize8"/>
              </w:rPr>
            </w:pPr>
            <w:r w:rsidRPr="00F203C2">
              <w:rPr>
                <w:rStyle w:val="AERtextsize8"/>
              </w:rPr>
              <w:t>Field Worker</w:t>
            </w:r>
          </w:p>
        </w:tc>
        <w:tc>
          <w:tcPr>
            <w:tcW w:w="3544" w:type="dxa"/>
            <w:vMerge/>
          </w:tcPr>
          <w:p w:rsidR="008E53DB" w:rsidRPr="00F203C2" w:rsidRDefault="008E53DB" w:rsidP="00F203C2">
            <w:pPr>
              <w:pStyle w:val="Tabletext-right"/>
              <w:cnfStyle w:val="000000010000" w:firstRow="0" w:lastRow="0" w:firstColumn="0" w:lastColumn="0" w:oddVBand="0" w:evenVBand="0" w:oddHBand="0" w:evenHBand="1" w:firstRowFirstColumn="0" w:firstRowLastColumn="0" w:lastRowFirstColumn="0" w:lastRowLastColumn="0"/>
              <w:rPr>
                <w:rStyle w:val="AERtextsize8"/>
              </w:rPr>
            </w:pPr>
          </w:p>
        </w:tc>
      </w:tr>
      <w:tr w:rsidR="008E53DB" w:rsidRPr="00F203C2" w:rsidTr="00D2749E">
        <w:trPr>
          <w:trHeight w:val="205"/>
        </w:trPr>
        <w:tc>
          <w:tcPr>
            <w:cnfStyle w:val="001000000000" w:firstRow="0" w:lastRow="0" w:firstColumn="1" w:lastColumn="0" w:oddVBand="0" w:evenVBand="0" w:oddHBand="0" w:evenHBand="0" w:firstRowFirstColumn="0" w:firstRowLastColumn="0" w:lastRowFirstColumn="0" w:lastRowLastColumn="0"/>
            <w:tcW w:w="1022" w:type="dxa"/>
            <w:vMerge/>
          </w:tcPr>
          <w:p w:rsidR="008E53DB" w:rsidRPr="00F203C2" w:rsidRDefault="008E53DB" w:rsidP="007848A6">
            <w:pPr>
              <w:pStyle w:val="AERtabletextleft"/>
              <w:rPr>
                <w:rStyle w:val="AERtextsize8"/>
              </w:rPr>
            </w:pPr>
          </w:p>
        </w:tc>
        <w:tc>
          <w:tcPr>
            <w:tcW w:w="4331" w:type="dxa"/>
          </w:tcPr>
          <w:p w:rsidR="008E53DB" w:rsidRPr="00F203C2" w:rsidRDefault="008E53DB" w:rsidP="00F203C2">
            <w:pPr>
              <w:pStyle w:val="Tabletext-right"/>
              <w:cnfStyle w:val="000000000000" w:firstRow="0" w:lastRow="0" w:firstColumn="0" w:lastColumn="0" w:oddVBand="0" w:evenVBand="0" w:oddHBand="0" w:evenHBand="0" w:firstRowFirstColumn="0" w:firstRowLastColumn="0" w:lastRowFirstColumn="0" w:lastRowLastColumn="0"/>
              <w:rPr>
                <w:rStyle w:val="AERtextsize8"/>
              </w:rPr>
            </w:pPr>
            <w:r w:rsidRPr="00F203C2">
              <w:rPr>
                <w:rStyle w:val="AERtextsize8"/>
              </w:rPr>
              <w:t>Field Worker</w:t>
            </w:r>
          </w:p>
        </w:tc>
        <w:tc>
          <w:tcPr>
            <w:tcW w:w="3544" w:type="dxa"/>
            <w:vMerge/>
          </w:tcPr>
          <w:p w:rsidR="008E53DB" w:rsidRPr="00F203C2" w:rsidRDefault="008E53DB" w:rsidP="00F203C2">
            <w:pPr>
              <w:pStyle w:val="Tabletext-right"/>
              <w:cnfStyle w:val="000000000000" w:firstRow="0" w:lastRow="0" w:firstColumn="0" w:lastColumn="0" w:oddVBand="0" w:evenVBand="0" w:oddHBand="0" w:evenHBand="0" w:firstRowFirstColumn="0" w:firstRowLastColumn="0" w:lastRowFirstColumn="0" w:lastRowLastColumn="0"/>
              <w:rPr>
                <w:rStyle w:val="AERtextsize8"/>
              </w:rPr>
            </w:pPr>
          </w:p>
        </w:tc>
      </w:tr>
      <w:tr w:rsidR="008E53DB" w:rsidRPr="00F203C2" w:rsidTr="00D2749E">
        <w:trPr>
          <w:cnfStyle w:val="000000010000" w:firstRow="0" w:lastRow="0" w:firstColumn="0" w:lastColumn="0" w:oddVBand="0" w:evenVBand="0" w:oddHBand="0" w:evenHBand="1" w:firstRowFirstColumn="0" w:firstRowLastColumn="0" w:lastRowFirstColumn="0" w:lastRowLastColumn="0"/>
          <w:trHeight w:val="205"/>
        </w:trPr>
        <w:tc>
          <w:tcPr>
            <w:cnfStyle w:val="001000000000" w:firstRow="0" w:lastRow="0" w:firstColumn="1" w:lastColumn="0" w:oddVBand="0" w:evenVBand="0" w:oddHBand="0" w:evenHBand="0" w:firstRowFirstColumn="0" w:firstRowLastColumn="0" w:lastRowFirstColumn="0" w:lastRowLastColumn="0"/>
            <w:tcW w:w="1022" w:type="dxa"/>
            <w:vMerge/>
          </w:tcPr>
          <w:p w:rsidR="008E53DB" w:rsidRPr="00F203C2" w:rsidRDefault="008E53DB" w:rsidP="007848A6">
            <w:pPr>
              <w:pStyle w:val="AERtabletextleft"/>
              <w:rPr>
                <w:rStyle w:val="AERtextsize8"/>
              </w:rPr>
            </w:pPr>
          </w:p>
        </w:tc>
        <w:tc>
          <w:tcPr>
            <w:tcW w:w="4331" w:type="dxa"/>
          </w:tcPr>
          <w:p w:rsidR="008E53DB" w:rsidRPr="00F203C2" w:rsidRDefault="008E53DB" w:rsidP="00F203C2">
            <w:pPr>
              <w:pStyle w:val="Tabletext-right"/>
              <w:cnfStyle w:val="000000010000" w:firstRow="0" w:lastRow="0" w:firstColumn="0" w:lastColumn="0" w:oddVBand="0" w:evenVBand="0" w:oddHBand="0" w:evenHBand="1" w:firstRowFirstColumn="0" w:firstRowLastColumn="0" w:lastRowFirstColumn="0" w:lastRowLastColumn="0"/>
              <w:rPr>
                <w:rStyle w:val="AERtextsize8"/>
              </w:rPr>
            </w:pPr>
            <w:r w:rsidRPr="00F203C2">
              <w:rPr>
                <w:rStyle w:val="AERtextsize8"/>
              </w:rPr>
              <w:t>Field Worker</w:t>
            </w:r>
          </w:p>
        </w:tc>
        <w:tc>
          <w:tcPr>
            <w:tcW w:w="3544" w:type="dxa"/>
            <w:vMerge/>
          </w:tcPr>
          <w:p w:rsidR="008E53DB" w:rsidRPr="00F203C2" w:rsidRDefault="008E53DB" w:rsidP="00F203C2">
            <w:pPr>
              <w:pStyle w:val="Tabletext-right"/>
              <w:cnfStyle w:val="000000010000" w:firstRow="0" w:lastRow="0" w:firstColumn="0" w:lastColumn="0" w:oddVBand="0" w:evenVBand="0" w:oddHBand="0" w:evenHBand="1" w:firstRowFirstColumn="0" w:firstRowLastColumn="0" w:lastRowFirstColumn="0" w:lastRowLastColumn="0"/>
              <w:rPr>
                <w:rStyle w:val="AERtextsize8"/>
              </w:rPr>
            </w:pPr>
          </w:p>
        </w:tc>
      </w:tr>
      <w:tr w:rsidR="008E53DB" w:rsidRPr="00F203C2" w:rsidTr="00D2749E">
        <w:trPr>
          <w:trHeight w:val="205"/>
        </w:trPr>
        <w:tc>
          <w:tcPr>
            <w:cnfStyle w:val="001000000000" w:firstRow="0" w:lastRow="0" w:firstColumn="1" w:lastColumn="0" w:oddVBand="0" w:evenVBand="0" w:oddHBand="0" w:evenHBand="0" w:firstRowFirstColumn="0" w:firstRowLastColumn="0" w:lastRowFirstColumn="0" w:lastRowLastColumn="0"/>
            <w:tcW w:w="1022" w:type="dxa"/>
            <w:vMerge/>
          </w:tcPr>
          <w:p w:rsidR="008E53DB" w:rsidRPr="00F203C2" w:rsidRDefault="008E53DB" w:rsidP="007848A6">
            <w:pPr>
              <w:pStyle w:val="AERtabletextleft"/>
              <w:rPr>
                <w:rStyle w:val="AERtextsize8"/>
              </w:rPr>
            </w:pPr>
          </w:p>
        </w:tc>
        <w:tc>
          <w:tcPr>
            <w:tcW w:w="4331" w:type="dxa"/>
          </w:tcPr>
          <w:p w:rsidR="008E53DB" w:rsidRPr="00F203C2" w:rsidRDefault="008E53DB" w:rsidP="00F203C2">
            <w:pPr>
              <w:pStyle w:val="Tabletext-right"/>
              <w:cnfStyle w:val="000000000000" w:firstRow="0" w:lastRow="0" w:firstColumn="0" w:lastColumn="0" w:oddVBand="0" w:evenVBand="0" w:oddHBand="0" w:evenHBand="0" w:firstRowFirstColumn="0" w:firstRowLastColumn="0" w:lastRowFirstColumn="0" w:lastRowLastColumn="0"/>
              <w:rPr>
                <w:rStyle w:val="AERtextsize8"/>
              </w:rPr>
            </w:pPr>
            <w:r w:rsidRPr="00F203C2">
              <w:rPr>
                <w:rStyle w:val="AERtextsize8"/>
              </w:rPr>
              <w:t>Line Worker 9</w:t>
            </w:r>
          </w:p>
        </w:tc>
        <w:tc>
          <w:tcPr>
            <w:tcW w:w="3544" w:type="dxa"/>
            <w:vMerge/>
          </w:tcPr>
          <w:p w:rsidR="008E53DB" w:rsidRPr="00F203C2" w:rsidRDefault="008E53DB" w:rsidP="00F203C2">
            <w:pPr>
              <w:pStyle w:val="Tabletext-right"/>
              <w:cnfStyle w:val="000000000000" w:firstRow="0" w:lastRow="0" w:firstColumn="0" w:lastColumn="0" w:oddVBand="0" w:evenVBand="0" w:oddHBand="0" w:evenHBand="0" w:firstRowFirstColumn="0" w:firstRowLastColumn="0" w:lastRowFirstColumn="0" w:lastRowLastColumn="0"/>
              <w:rPr>
                <w:rStyle w:val="AERtextsize8"/>
              </w:rPr>
            </w:pPr>
          </w:p>
        </w:tc>
      </w:tr>
      <w:tr w:rsidR="008E53DB" w:rsidRPr="00F203C2" w:rsidTr="00D2749E">
        <w:trPr>
          <w:cnfStyle w:val="000000010000" w:firstRow="0" w:lastRow="0" w:firstColumn="0" w:lastColumn="0" w:oddVBand="0" w:evenVBand="0" w:oddHBand="0" w:evenHBand="1" w:firstRowFirstColumn="0" w:firstRowLastColumn="0" w:lastRowFirstColumn="0" w:lastRowLastColumn="0"/>
          <w:trHeight w:val="205"/>
        </w:trPr>
        <w:tc>
          <w:tcPr>
            <w:cnfStyle w:val="001000000000" w:firstRow="0" w:lastRow="0" w:firstColumn="1" w:lastColumn="0" w:oddVBand="0" w:evenVBand="0" w:oddHBand="0" w:evenHBand="0" w:firstRowFirstColumn="0" w:firstRowLastColumn="0" w:lastRowFirstColumn="0" w:lastRowLastColumn="0"/>
            <w:tcW w:w="5353" w:type="dxa"/>
            <w:gridSpan w:val="2"/>
          </w:tcPr>
          <w:p w:rsidR="008E53DB" w:rsidRPr="00F203C2" w:rsidRDefault="008E53DB" w:rsidP="007848A6">
            <w:pPr>
              <w:pStyle w:val="AERtabletextleft"/>
              <w:rPr>
                <w:rStyle w:val="AERtextsize8"/>
              </w:rPr>
            </w:pPr>
          </w:p>
        </w:tc>
        <w:tc>
          <w:tcPr>
            <w:tcW w:w="3544" w:type="dxa"/>
          </w:tcPr>
          <w:p w:rsidR="008E53DB" w:rsidRPr="00F203C2" w:rsidRDefault="008E53DB" w:rsidP="00F203C2">
            <w:pPr>
              <w:pStyle w:val="Tabletext-right"/>
              <w:cnfStyle w:val="000000010000" w:firstRow="0" w:lastRow="0" w:firstColumn="0" w:lastColumn="0" w:oddVBand="0" w:evenVBand="0" w:oddHBand="0" w:evenHBand="1" w:firstRowFirstColumn="0" w:firstRowLastColumn="0" w:lastRowFirstColumn="0" w:lastRowLastColumn="0"/>
              <w:rPr>
                <w:rStyle w:val="AERtextsize8"/>
              </w:rPr>
            </w:pPr>
          </w:p>
        </w:tc>
      </w:tr>
      <w:tr w:rsidR="008E53DB" w:rsidRPr="00F203C2" w:rsidTr="00D2749E">
        <w:trPr>
          <w:trHeight w:val="205"/>
        </w:trPr>
        <w:tc>
          <w:tcPr>
            <w:cnfStyle w:val="001000000000" w:firstRow="0" w:lastRow="0" w:firstColumn="1" w:lastColumn="0" w:oddVBand="0" w:evenVBand="0" w:oddHBand="0" w:evenHBand="0" w:firstRowFirstColumn="0" w:firstRowLastColumn="0" w:lastRowFirstColumn="0" w:lastRowLastColumn="0"/>
            <w:tcW w:w="1022" w:type="dxa"/>
            <w:vMerge w:val="restart"/>
          </w:tcPr>
          <w:p w:rsidR="008E53DB" w:rsidRPr="00F203C2" w:rsidRDefault="008E53DB" w:rsidP="007848A6">
            <w:pPr>
              <w:pStyle w:val="AERtabletextleft"/>
              <w:rPr>
                <w:rStyle w:val="AERtextsize8"/>
              </w:rPr>
            </w:pPr>
            <w:r w:rsidRPr="00F203C2">
              <w:rPr>
                <w:rStyle w:val="AERtextsize8"/>
              </w:rPr>
              <w:t>Senior Engineer</w:t>
            </w:r>
          </w:p>
        </w:tc>
        <w:tc>
          <w:tcPr>
            <w:tcW w:w="4331" w:type="dxa"/>
          </w:tcPr>
          <w:p w:rsidR="008E53DB" w:rsidRPr="00F203C2" w:rsidRDefault="008E53DB" w:rsidP="00F203C2">
            <w:pPr>
              <w:pStyle w:val="Tabletext-right"/>
              <w:cnfStyle w:val="000000000000" w:firstRow="0" w:lastRow="0" w:firstColumn="0" w:lastColumn="0" w:oddVBand="0" w:evenVBand="0" w:oddHBand="0" w:evenHBand="0" w:firstRowFirstColumn="0" w:firstRowLastColumn="0" w:lastRowFirstColumn="0" w:lastRowLastColumn="0"/>
              <w:rPr>
                <w:rStyle w:val="AERtextsize8"/>
              </w:rPr>
            </w:pPr>
            <w:r w:rsidRPr="00F203C2">
              <w:rPr>
                <w:rStyle w:val="AERtextsize8"/>
              </w:rPr>
              <w:t>Senior Technical officer / Engineer Design section</w:t>
            </w:r>
          </w:p>
        </w:tc>
        <w:tc>
          <w:tcPr>
            <w:tcW w:w="3544" w:type="dxa"/>
            <w:vMerge w:val="restart"/>
          </w:tcPr>
          <w:p w:rsidR="008E53DB" w:rsidRPr="00F203C2" w:rsidRDefault="008E53DB" w:rsidP="00F203C2">
            <w:pPr>
              <w:pStyle w:val="Tabletext-right"/>
              <w:cnfStyle w:val="000000000000" w:firstRow="0" w:lastRow="0" w:firstColumn="0" w:lastColumn="0" w:oddVBand="0" w:evenVBand="0" w:oddHBand="0" w:evenHBand="0" w:firstRowFirstColumn="0" w:firstRowLastColumn="0" w:lastRowFirstColumn="0" w:lastRowLastColumn="0"/>
              <w:rPr>
                <w:rStyle w:val="AERtextsize8"/>
              </w:rPr>
            </w:pPr>
            <w:r>
              <w:rPr>
                <w:rStyle w:val="AERtextsize8"/>
              </w:rPr>
              <w:t xml:space="preserve">Max. </w:t>
            </w:r>
            <w:r w:rsidRPr="00F203C2">
              <w:rPr>
                <w:rStyle w:val="AERtextsize8"/>
              </w:rPr>
              <w:t>210.96</w:t>
            </w:r>
          </w:p>
        </w:tc>
      </w:tr>
      <w:tr w:rsidR="008E53DB" w:rsidRPr="00F203C2" w:rsidTr="00D2749E">
        <w:trPr>
          <w:cnfStyle w:val="000000010000" w:firstRow="0" w:lastRow="0" w:firstColumn="0" w:lastColumn="0" w:oddVBand="0" w:evenVBand="0" w:oddHBand="0" w:evenHBand="1" w:firstRowFirstColumn="0" w:firstRowLastColumn="0" w:lastRowFirstColumn="0" w:lastRowLastColumn="0"/>
          <w:trHeight w:val="332"/>
        </w:trPr>
        <w:tc>
          <w:tcPr>
            <w:cnfStyle w:val="001000000000" w:firstRow="0" w:lastRow="0" w:firstColumn="1" w:lastColumn="0" w:oddVBand="0" w:evenVBand="0" w:oddHBand="0" w:evenHBand="0" w:firstRowFirstColumn="0" w:firstRowLastColumn="0" w:lastRowFirstColumn="0" w:lastRowLastColumn="0"/>
            <w:tcW w:w="1022" w:type="dxa"/>
            <w:vMerge/>
          </w:tcPr>
          <w:p w:rsidR="008E53DB" w:rsidRPr="00F203C2" w:rsidRDefault="008E53DB" w:rsidP="00F203C2">
            <w:pPr>
              <w:pStyle w:val="Tabletext-right"/>
              <w:rPr>
                <w:rStyle w:val="AERtextsize8"/>
                <w:highlight w:val="yellow"/>
              </w:rPr>
            </w:pPr>
          </w:p>
        </w:tc>
        <w:tc>
          <w:tcPr>
            <w:tcW w:w="4331" w:type="dxa"/>
          </w:tcPr>
          <w:p w:rsidR="008E53DB" w:rsidRPr="00F203C2" w:rsidRDefault="008E53DB" w:rsidP="00F203C2">
            <w:pPr>
              <w:pStyle w:val="Tabletext-right"/>
              <w:cnfStyle w:val="000000010000" w:firstRow="0" w:lastRow="0" w:firstColumn="0" w:lastColumn="0" w:oddVBand="0" w:evenVBand="0" w:oddHBand="0" w:evenHBand="1" w:firstRowFirstColumn="0" w:firstRowLastColumn="0" w:lastRowFirstColumn="0" w:lastRowLastColumn="0"/>
              <w:rPr>
                <w:rStyle w:val="AERtextsize8"/>
              </w:rPr>
            </w:pPr>
            <w:r w:rsidRPr="00F203C2">
              <w:rPr>
                <w:rStyle w:val="AERtextsize8"/>
              </w:rPr>
              <w:t>Senior Engineer</w:t>
            </w:r>
          </w:p>
        </w:tc>
        <w:tc>
          <w:tcPr>
            <w:tcW w:w="3544" w:type="dxa"/>
            <w:vMerge/>
          </w:tcPr>
          <w:p w:rsidR="008E53DB" w:rsidRPr="00F203C2" w:rsidRDefault="008E53DB" w:rsidP="00F203C2">
            <w:pPr>
              <w:pStyle w:val="Tabletext-right"/>
              <w:cnfStyle w:val="000000010000" w:firstRow="0" w:lastRow="0" w:firstColumn="0" w:lastColumn="0" w:oddVBand="0" w:evenVBand="0" w:oddHBand="0" w:evenHBand="1" w:firstRowFirstColumn="0" w:firstRowLastColumn="0" w:lastRowFirstColumn="0" w:lastRowLastColumn="0"/>
              <w:rPr>
                <w:rStyle w:val="AERtextsize8"/>
              </w:rPr>
            </w:pPr>
          </w:p>
        </w:tc>
      </w:tr>
      <w:tr w:rsidR="008E53DB" w:rsidRPr="00F203C2" w:rsidTr="00D2749E">
        <w:trPr>
          <w:trHeight w:val="66"/>
        </w:trPr>
        <w:tc>
          <w:tcPr>
            <w:cnfStyle w:val="001000000000" w:firstRow="0" w:lastRow="0" w:firstColumn="1" w:lastColumn="0" w:oddVBand="0" w:evenVBand="0" w:oddHBand="0" w:evenHBand="0" w:firstRowFirstColumn="0" w:firstRowLastColumn="0" w:lastRowFirstColumn="0" w:lastRowLastColumn="0"/>
            <w:tcW w:w="1022" w:type="dxa"/>
            <w:vMerge/>
          </w:tcPr>
          <w:p w:rsidR="008E53DB" w:rsidRPr="00F203C2" w:rsidRDefault="008E53DB" w:rsidP="00F203C2">
            <w:pPr>
              <w:pStyle w:val="Tabletext-right"/>
              <w:rPr>
                <w:rStyle w:val="AERtextsize8"/>
                <w:highlight w:val="yellow"/>
              </w:rPr>
            </w:pPr>
          </w:p>
        </w:tc>
        <w:tc>
          <w:tcPr>
            <w:tcW w:w="4331" w:type="dxa"/>
          </w:tcPr>
          <w:p w:rsidR="008E53DB" w:rsidRPr="00F203C2" w:rsidRDefault="008E53DB" w:rsidP="00F203C2">
            <w:pPr>
              <w:pStyle w:val="Tabletext-right"/>
              <w:cnfStyle w:val="000000000000" w:firstRow="0" w:lastRow="0" w:firstColumn="0" w:lastColumn="0" w:oddVBand="0" w:evenVBand="0" w:oddHBand="0" w:evenHBand="0" w:firstRowFirstColumn="0" w:firstRowLastColumn="0" w:lastRowFirstColumn="0" w:lastRowLastColumn="0"/>
              <w:rPr>
                <w:rStyle w:val="AERtextsize8"/>
              </w:rPr>
            </w:pPr>
            <w:r w:rsidRPr="00F203C2">
              <w:rPr>
                <w:rStyle w:val="AERtextsize8"/>
              </w:rPr>
              <w:t>Senior Engineer</w:t>
            </w:r>
          </w:p>
        </w:tc>
        <w:tc>
          <w:tcPr>
            <w:tcW w:w="3544" w:type="dxa"/>
            <w:vMerge/>
          </w:tcPr>
          <w:p w:rsidR="008E53DB" w:rsidRPr="00F203C2" w:rsidRDefault="008E53DB" w:rsidP="00F203C2">
            <w:pPr>
              <w:pStyle w:val="Tabletext-right"/>
              <w:cnfStyle w:val="000000000000" w:firstRow="0" w:lastRow="0" w:firstColumn="0" w:lastColumn="0" w:oddVBand="0" w:evenVBand="0" w:oddHBand="0" w:evenHBand="0" w:firstRowFirstColumn="0" w:firstRowLastColumn="0" w:lastRowFirstColumn="0" w:lastRowLastColumn="0"/>
              <w:rPr>
                <w:rStyle w:val="AERtextsize8"/>
              </w:rPr>
            </w:pPr>
          </w:p>
        </w:tc>
      </w:tr>
    </w:tbl>
    <w:p w:rsidR="00D311E7" w:rsidRPr="00902689" w:rsidRDefault="008E53DB" w:rsidP="00D311E7">
      <w:pPr>
        <w:pStyle w:val="AERtablesource"/>
      </w:pPr>
      <w:r>
        <w:t>Source: Marsden Jacob analysis.</w:t>
      </w:r>
    </w:p>
    <w:p w:rsidR="00D311E7" w:rsidRPr="002C3281" w:rsidRDefault="00D311E7" w:rsidP="00D311E7">
      <w:pPr>
        <w:pStyle w:val="TOC1"/>
      </w:pPr>
      <w:r>
        <w:t>Times taken to perform the service</w:t>
      </w:r>
    </w:p>
    <w:p w:rsidR="008019E5" w:rsidRDefault="00D311E7" w:rsidP="00D311E7">
      <w:pPr>
        <w:pStyle w:val="AERbodytext"/>
        <w:rPr>
          <w:rStyle w:val="AERbody"/>
        </w:rPr>
      </w:pPr>
      <w:r>
        <w:rPr>
          <w:rStyle w:val="AERbody"/>
        </w:rPr>
        <w:t>The times taken to perform the service are another key input into deriving ancillary network services</w:t>
      </w:r>
      <w:r w:rsidRPr="00D940BE">
        <w:rPr>
          <w:rStyle w:val="AERbody"/>
        </w:rPr>
        <w:t xml:space="preserve"> </w:t>
      </w:r>
      <w:r>
        <w:rPr>
          <w:rStyle w:val="AERbody"/>
        </w:rPr>
        <w:t>fees. Endeavour Energy's proposed times taken to perform nine of the most frequently requested ancillary network services, as listed below, were also revi</w:t>
      </w:r>
      <w:r w:rsidR="00E26E83">
        <w:rPr>
          <w:rStyle w:val="AERbody"/>
        </w:rPr>
        <w:t>ewed by Marsden Jacob</w:t>
      </w:r>
      <w:r>
        <w:rPr>
          <w:rStyle w:val="AERbody"/>
        </w:rPr>
        <w:t>. Endeavour Energy's times taken to perform the services were found to within benchmark times for these services, except for meter test</w:t>
      </w:r>
      <w:r>
        <w:rPr>
          <w:rStyle w:val="FootnoteReference"/>
        </w:rPr>
        <w:footnoteReference w:id="25"/>
      </w:r>
      <w:r>
        <w:rPr>
          <w:rStyle w:val="AERbody"/>
        </w:rPr>
        <w:t xml:space="preserve">. </w:t>
      </w:r>
    </w:p>
    <w:p w:rsidR="00D311E7" w:rsidRPr="00DF0555" w:rsidRDefault="00D311E7" w:rsidP="00E26E83">
      <w:pPr>
        <w:pStyle w:val="AERbulletlistfirststyle"/>
      </w:pPr>
      <w:r w:rsidRPr="00DF0555">
        <w:t>Special meter read</w:t>
      </w:r>
    </w:p>
    <w:p w:rsidR="00D311E7" w:rsidRPr="00DF0555" w:rsidRDefault="00D311E7" w:rsidP="00D311E7">
      <w:pPr>
        <w:pStyle w:val="AERbulletlistfirststyle"/>
      </w:pPr>
      <w:r w:rsidRPr="00DF0555">
        <w:t>Meter test</w:t>
      </w:r>
    </w:p>
    <w:p w:rsidR="00D311E7" w:rsidRPr="00DF0555" w:rsidRDefault="00D311E7" w:rsidP="00D311E7">
      <w:pPr>
        <w:pStyle w:val="AERbulletlistfirststyle"/>
      </w:pPr>
      <w:r w:rsidRPr="00DF0555">
        <w:t xml:space="preserve">Supply of </w:t>
      </w:r>
      <w:proofErr w:type="spellStart"/>
      <w:r w:rsidRPr="00DF0555">
        <w:t>conveyancing</w:t>
      </w:r>
      <w:proofErr w:type="spellEnd"/>
      <w:r w:rsidRPr="00DF0555">
        <w:t xml:space="preserve"> information (desk inquiry)</w:t>
      </w:r>
    </w:p>
    <w:p w:rsidR="00D311E7" w:rsidRPr="00DF0555" w:rsidRDefault="00D311E7" w:rsidP="00D311E7">
      <w:pPr>
        <w:pStyle w:val="AERbulletlistfirststyle"/>
      </w:pPr>
      <w:r w:rsidRPr="00DF0555">
        <w:t>Disconnection site visit</w:t>
      </w:r>
    </w:p>
    <w:p w:rsidR="00D311E7" w:rsidRPr="00DF0555" w:rsidRDefault="00D311E7" w:rsidP="00D311E7">
      <w:pPr>
        <w:pStyle w:val="AERbulletlistfirststyle"/>
      </w:pPr>
      <w:r w:rsidRPr="00DF0555">
        <w:t>Disconnection at meter box</w:t>
      </w:r>
    </w:p>
    <w:p w:rsidR="00D311E7" w:rsidRPr="00DF0555" w:rsidRDefault="00D311E7" w:rsidP="00D311E7">
      <w:pPr>
        <w:pStyle w:val="AERbulletlistfirststyle"/>
      </w:pPr>
      <w:r w:rsidRPr="00DF0555">
        <w:t>Disconnection at pole top / pillar box</w:t>
      </w:r>
    </w:p>
    <w:p w:rsidR="00D311E7" w:rsidRDefault="00D311E7" w:rsidP="00D311E7">
      <w:pPr>
        <w:pStyle w:val="AERbulletlistfirststyle"/>
      </w:pPr>
      <w:r>
        <w:t>Reconnections</w:t>
      </w:r>
      <w:r w:rsidR="00E26E83">
        <w:t>.</w:t>
      </w:r>
    </w:p>
    <w:p w:rsidR="00D311E7" w:rsidRDefault="00D311E7" w:rsidP="00D311E7">
      <w:pPr>
        <w:pStyle w:val="AERbodytext"/>
        <w:rPr>
          <w:rStyle w:val="AERtextbolditalics"/>
        </w:rPr>
      </w:pPr>
      <w:r>
        <w:rPr>
          <w:rStyle w:val="AERtextbolditalics"/>
        </w:rPr>
        <w:t>Special meter reads</w:t>
      </w:r>
    </w:p>
    <w:p w:rsidR="00D311E7" w:rsidRDefault="00D311E7" w:rsidP="00D311E7">
      <w:pPr>
        <w:pStyle w:val="AERbodytext"/>
      </w:pPr>
      <w:r>
        <w:rPr>
          <w:rStyle w:val="AERbody"/>
        </w:rPr>
        <w:t>Endeavour Energy has proposed a fee of $33.77 for special meter reads. This is about 25 per cent less than the current fee of $45.10. Based on benchmark labou</w:t>
      </w:r>
      <w:r w:rsidR="00E26E83">
        <w:rPr>
          <w:rStyle w:val="AERbody"/>
        </w:rPr>
        <w:t>r rates Marsden Jacob</w:t>
      </w:r>
      <w:r>
        <w:rPr>
          <w:rStyle w:val="AERbody"/>
        </w:rPr>
        <w:t xml:space="preserve"> recommend</w:t>
      </w:r>
      <w:r w:rsidR="00E26E83">
        <w:rPr>
          <w:rStyle w:val="AERbody"/>
        </w:rPr>
        <w:t>ed</w:t>
      </w:r>
      <w:r>
        <w:rPr>
          <w:rStyle w:val="AERbody"/>
        </w:rPr>
        <w:t xml:space="preserve"> a fee of $33.45. </w:t>
      </w:r>
      <w:r>
        <w:t xml:space="preserve">AGL submits that </w:t>
      </w:r>
      <w:r w:rsidRPr="004A5C8D">
        <w:t>Endeavour</w:t>
      </w:r>
      <w:r>
        <w:t xml:space="preserve"> Energy's</w:t>
      </w:r>
      <w:r w:rsidRPr="004A5C8D">
        <w:t xml:space="preserve"> proposed fees should align more closely with special read fees in other states.</w:t>
      </w:r>
      <w:r w:rsidRPr="004A5C8D">
        <w:rPr>
          <w:rStyle w:val="FootnoteReference"/>
        </w:rPr>
        <w:footnoteReference w:id="26"/>
      </w:r>
      <w:r>
        <w:t xml:space="preserve"> </w:t>
      </w:r>
    </w:p>
    <w:p w:rsidR="00D311E7" w:rsidRDefault="00D311E7" w:rsidP="00D311E7">
      <w:pPr>
        <w:pStyle w:val="AERbodytext"/>
        <w:rPr>
          <w:rStyle w:val="AERbody"/>
        </w:rPr>
      </w:pPr>
      <w:r>
        <w:rPr>
          <w:rStyle w:val="AERbody"/>
        </w:rPr>
        <w:t>Endeavour Energy's proposed special meter read fee is more than double the fees charged by the Victorian distribution busines</w:t>
      </w:r>
      <w:r w:rsidR="00E26E83">
        <w:rPr>
          <w:rStyle w:val="AERbody"/>
        </w:rPr>
        <w:t>ses (except Powercor). H</w:t>
      </w:r>
      <w:r>
        <w:rPr>
          <w:rStyle w:val="AERbody"/>
        </w:rPr>
        <w:t>owev</w:t>
      </w:r>
      <w:r w:rsidR="00F83619">
        <w:rPr>
          <w:rStyle w:val="AERbody"/>
        </w:rPr>
        <w:t>er</w:t>
      </w:r>
      <w:r>
        <w:rPr>
          <w:rStyle w:val="AERbody"/>
        </w:rPr>
        <w:t xml:space="preserve"> the reason the fees for special meter reads in Victoria are lower (around $11) is because residential customers have smart meters which can be read remotely. This is not the case in NSW where most residential customers have manually read accumulation meters</w:t>
      </w:r>
      <w:r w:rsidR="00CD713E">
        <w:rPr>
          <w:rStyle w:val="AERbody"/>
        </w:rPr>
        <w:t xml:space="preserve"> </w:t>
      </w:r>
      <w:r>
        <w:rPr>
          <w:rStyle w:val="AERbody"/>
        </w:rPr>
        <w:t xml:space="preserve">not smart meters. </w:t>
      </w:r>
    </w:p>
    <w:p w:rsidR="00D311E7" w:rsidRPr="00E67A2F" w:rsidRDefault="00D311E7" w:rsidP="00D311E7">
      <w:pPr>
        <w:pStyle w:val="AERbodytext"/>
      </w:pPr>
      <w:r>
        <w:rPr>
          <w:rStyle w:val="AERbody"/>
        </w:rPr>
        <w:t>Our draft decision is to accept the benchmark rate recomme</w:t>
      </w:r>
      <w:r w:rsidR="00C066C0">
        <w:rPr>
          <w:rStyle w:val="AERbody"/>
        </w:rPr>
        <w:t>nded by Marsden Jacob</w:t>
      </w:r>
      <w:r>
        <w:rPr>
          <w:rStyle w:val="AERbody"/>
        </w:rPr>
        <w:t xml:space="preserve"> of $33.45 for special meter reads.</w:t>
      </w:r>
    </w:p>
    <w:p w:rsidR="00D311E7" w:rsidRPr="001F646E" w:rsidRDefault="00D311E7" w:rsidP="00D311E7">
      <w:pPr>
        <w:pStyle w:val="AERbodytext"/>
        <w:rPr>
          <w:rStyle w:val="AERtextbolditalics"/>
        </w:rPr>
      </w:pPr>
      <w:r w:rsidRPr="001F646E">
        <w:rPr>
          <w:rStyle w:val="AERtextbolditalics"/>
        </w:rPr>
        <w:t>Meter test</w:t>
      </w:r>
    </w:p>
    <w:p w:rsidR="00D311E7" w:rsidRDefault="00D311E7" w:rsidP="00D311E7">
      <w:pPr>
        <w:pStyle w:val="AERbodytext"/>
      </w:pPr>
      <w:r>
        <w:t>Endeavour Energy proposed to increase meter tests fees fro</w:t>
      </w:r>
      <w:r w:rsidR="008E53DB">
        <w:t>m the current $74.30 to $607.33,</w:t>
      </w:r>
      <w:r>
        <w:t xml:space="preserve"> or more than 700 per cent. This is higher than meter test fees charged by other distribution businesses. We note that in Victoria there is a separate meter test fee for single phase and multiphase. United Energy and AusNet Services fees are $55.25 and $155.55 for single phase meter testing. For multi-phase the fees are $85.94 and $209.19 respectively. </w:t>
      </w:r>
      <w:proofErr w:type="spellStart"/>
      <w:r>
        <w:t>Citipower's</w:t>
      </w:r>
      <w:proofErr w:type="spellEnd"/>
      <w:r>
        <w:t xml:space="preserve"> and </w:t>
      </w:r>
      <w:proofErr w:type="spellStart"/>
      <w:r>
        <w:t>Powercor's</w:t>
      </w:r>
      <w:proofErr w:type="spellEnd"/>
      <w:r>
        <w:t xml:space="preserve"> fees are between $360 and $370 for single phase and around $473 for multiphase.</w:t>
      </w:r>
    </w:p>
    <w:p w:rsidR="00D311E7" w:rsidRPr="00092E94" w:rsidRDefault="00D311E7" w:rsidP="00D311E7">
      <w:pPr>
        <w:pStyle w:val="AERbodytext"/>
      </w:pPr>
      <w:r>
        <w:t>AGL submit that</w:t>
      </w:r>
      <w:r w:rsidRPr="003C0B91">
        <w:t xml:space="preserve"> </w:t>
      </w:r>
      <w:r>
        <w:t>t</w:t>
      </w:r>
      <w:r w:rsidRPr="00092E94">
        <w:t>his signific</w:t>
      </w:r>
      <w:r>
        <w:t>ant fee increase is unjustified and that m</w:t>
      </w:r>
      <w:r w:rsidRPr="00092E94">
        <w:t>eter testing is often required in resolving Ombudsman disputes; retailers often absorb this cost.</w:t>
      </w:r>
      <w:r>
        <w:t xml:space="preserve"> AGL also comments that ot</w:t>
      </w:r>
      <w:r w:rsidRPr="00092E94">
        <w:t>her states have different meter test fees to account for variability in the type of meter testing required. Residential sites tend to have single phase meters</w:t>
      </w:r>
      <w:r w:rsidR="008E53DB">
        <w:t>—</w:t>
      </w:r>
      <w:r w:rsidRPr="00092E94">
        <w:t>these should be less expensive to test compared to multiphase meters. Having a range of meter test fees may be more appropriate. It would also reduce costs for residential customers.</w:t>
      </w:r>
      <w:r w:rsidRPr="00092E94">
        <w:rPr>
          <w:rStyle w:val="FootnoteReference"/>
        </w:rPr>
        <w:footnoteReference w:id="27"/>
      </w:r>
      <w:r w:rsidRPr="00092E94">
        <w:t xml:space="preserve"> </w:t>
      </w:r>
    </w:p>
    <w:p w:rsidR="00D311E7" w:rsidRDefault="00D311E7" w:rsidP="00D311E7">
      <w:pPr>
        <w:pStyle w:val="AERbodytext"/>
      </w:pPr>
      <w:r w:rsidRPr="00092E94">
        <w:t>Origin supports AGL and submits that</w:t>
      </w:r>
      <w:r>
        <w:t xml:space="preserve"> i</w:t>
      </w:r>
      <w:r w:rsidRPr="00092E94">
        <w:t>t is unclear why testing a meter should cost over $500 (in addition to the cost of sending personnel to the site).</w:t>
      </w:r>
      <w:r w:rsidRPr="00092E94">
        <w:rPr>
          <w:rStyle w:val="FootnoteReference"/>
        </w:rPr>
        <w:footnoteReference w:id="28"/>
      </w:r>
      <w:r w:rsidRPr="00092E94">
        <w:t xml:space="preserve"> </w:t>
      </w:r>
      <w:r>
        <w:t>Origin also submits that there is n</w:t>
      </w:r>
      <w:r w:rsidRPr="00092E94">
        <w:t>o transition period for customers. This would lead to increased customer complaints for retailers to handle.</w:t>
      </w:r>
      <w:r w:rsidRPr="00092E94">
        <w:rPr>
          <w:rStyle w:val="FootnoteReference"/>
        </w:rPr>
        <w:footnoteReference w:id="29"/>
      </w:r>
      <w:r>
        <w:t xml:space="preserve"> </w:t>
      </w:r>
      <w:r w:rsidRPr="00092E94">
        <w:t>The cost could deter customers from getting their meter tested until the disputed amount exceeds $600</w:t>
      </w:r>
      <w:r w:rsidRPr="00092E94">
        <w:rPr>
          <w:rStyle w:val="FootnoteReference"/>
        </w:rPr>
        <w:footnoteReference w:id="30"/>
      </w:r>
      <w:r w:rsidRPr="00092E94">
        <w:t xml:space="preserve"> </w:t>
      </w:r>
      <w:r>
        <w:t>and a</w:t>
      </w:r>
      <w:r w:rsidRPr="00092E94">
        <w:t xml:space="preserve"> significant proportion of customers will see the fee as punitive and refuse to pay. This would drive bad debts for retailers.</w:t>
      </w:r>
      <w:r w:rsidRPr="00092E94">
        <w:rPr>
          <w:rStyle w:val="FootnoteReference"/>
        </w:rPr>
        <w:footnoteReference w:id="31"/>
      </w:r>
    </w:p>
    <w:p w:rsidR="00D311E7" w:rsidRPr="00C63962" w:rsidRDefault="00C066C0" w:rsidP="00D311E7">
      <w:pPr>
        <w:pStyle w:val="AERbodytext"/>
        <w:rPr>
          <w:rStyle w:val="AERbody"/>
        </w:rPr>
      </w:pPr>
      <w:r>
        <w:t>F</w:t>
      </w:r>
      <w:r w:rsidR="00D311E7">
        <w:t xml:space="preserve">or Endeavour Energy </w:t>
      </w:r>
      <w:r w:rsidR="00D311E7">
        <w:rPr>
          <w:rStyle w:val="AERbody"/>
        </w:rPr>
        <w:t>i</w:t>
      </w:r>
      <w:r w:rsidR="00D311E7" w:rsidRPr="00C63962">
        <w:rPr>
          <w:rStyle w:val="AERbody"/>
        </w:rPr>
        <w:t>f the meter test is undertaken on premises serviced by more than one meter associated with the NMI the following applies:</w:t>
      </w:r>
    </w:p>
    <w:p w:rsidR="00D311E7" w:rsidRDefault="00D311E7" w:rsidP="00D311E7">
      <w:pPr>
        <w:pStyle w:val="AERbulletlistfirststyle"/>
        <w:rPr>
          <w:rStyle w:val="AERbody"/>
        </w:rPr>
      </w:pPr>
      <w:r w:rsidRPr="00C63962">
        <w:rPr>
          <w:rStyle w:val="AERbody"/>
        </w:rPr>
        <w:t xml:space="preserve">if the meter test reveals that all of the meters associated with the NMI are operating satisfactorily, the </w:t>
      </w:r>
      <w:r>
        <w:rPr>
          <w:rStyle w:val="AERbody"/>
        </w:rPr>
        <w:t>distributor</w:t>
      </w:r>
      <w:r w:rsidRPr="00C63962">
        <w:rPr>
          <w:rStyle w:val="AERbody"/>
        </w:rPr>
        <w:t xml:space="preserve"> will only levy one charge for the provision of the service</w:t>
      </w:r>
      <w:r>
        <w:rPr>
          <w:rStyle w:val="AERbody"/>
        </w:rPr>
        <w:t>,</w:t>
      </w:r>
      <w:r w:rsidRPr="00C63962">
        <w:rPr>
          <w:rStyle w:val="AERbody"/>
        </w:rPr>
        <w:t xml:space="preserve"> or </w:t>
      </w:r>
    </w:p>
    <w:p w:rsidR="00D311E7" w:rsidRDefault="00D311E7" w:rsidP="00D311E7">
      <w:pPr>
        <w:pStyle w:val="AERbulletlistfirststyle"/>
        <w:rPr>
          <w:rStyle w:val="AERbody"/>
        </w:rPr>
      </w:pPr>
      <w:proofErr w:type="gramStart"/>
      <w:r w:rsidRPr="00C63962">
        <w:rPr>
          <w:rStyle w:val="AERbody"/>
        </w:rPr>
        <w:t>if</w:t>
      </w:r>
      <w:proofErr w:type="gramEnd"/>
      <w:r w:rsidRPr="00C63962">
        <w:rPr>
          <w:rStyle w:val="AERbody"/>
        </w:rPr>
        <w:t xml:space="preserve"> the meter test reveals that one or more of the meters associated with the NMI are not operating satisfactorily, the </w:t>
      </w:r>
      <w:r w:rsidRPr="003C4AAF">
        <w:rPr>
          <w:rStyle w:val="AERbody"/>
        </w:rPr>
        <w:t xml:space="preserve">distributor </w:t>
      </w:r>
      <w:r w:rsidRPr="00C63962">
        <w:rPr>
          <w:rStyle w:val="AERbody"/>
        </w:rPr>
        <w:t>will not levy any charge for the provision of the service.</w:t>
      </w:r>
    </w:p>
    <w:p w:rsidR="00D311E7" w:rsidRDefault="00D311E7" w:rsidP="00D311E7">
      <w:pPr>
        <w:pStyle w:val="AERbodytext"/>
        <w:rPr>
          <w:rStyle w:val="AERbody"/>
        </w:rPr>
      </w:pPr>
      <w:r>
        <w:rPr>
          <w:rStyle w:val="AERbody"/>
        </w:rPr>
        <w:t>Endeavour Energy's proposed a single meter test fee which represents the average time taken to perform the service. Endeavour Energy has not distinguished between different meter types.</w:t>
      </w:r>
      <w:r w:rsidRPr="00A51ADE">
        <w:rPr>
          <w:rStyle w:val="AERbody"/>
        </w:rPr>
        <w:t xml:space="preserve"> </w:t>
      </w:r>
      <w:r>
        <w:rPr>
          <w:rStyle w:val="AERbody"/>
        </w:rPr>
        <w:t>This approach is for simplicity and because data was not available to disaggregate the fee by meter type.</w:t>
      </w:r>
      <w:r>
        <w:rPr>
          <w:rStyle w:val="FootnoteReference"/>
        </w:rPr>
        <w:footnoteReference w:id="32"/>
      </w:r>
      <w:r>
        <w:rPr>
          <w:rStyle w:val="AERbody"/>
        </w:rPr>
        <w:t xml:space="preserve">  </w:t>
      </w:r>
    </w:p>
    <w:p w:rsidR="00D311E7" w:rsidRDefault="00C066C0" w:rsidP="00D311E7">
      <w:pPr>
        <w:pStyle w:val="AERbodytext"/>
      </w:pPr>
      <w:r>
        <w:t>Marsden Jacob’s</w:t>
      </w:r>
      <w:r w:rsidR="00D311E7">
        <w:t xml:space="preserve"> recommended rate for meter testing for Endeavour Energy is $401.39. This is based on the benchmark efficient time taken by ActewAGL (2 hours) and Esse</w:t>
      </w:r>
      <w:r w:rsidR="00F016F1">
        <w:t>ntial Energy (3.4 hours less an</w:t>
      </w:r>
      <w:r w:rsidR="00D311E7">
        <w:t xml:space="preserve"> allowance of 0.4 hours for the difference in travel</w:t>
      </w:r>
      <w:r>
        <w:t xml:space="preserve"> time). Marsden Jacob’s</w:t>
      </w:r>
      <w:r w:rsidR="00D311E7">
        <w:t xml:space="preserve"> recommend that the time taken to conduct meter tests during business hours be reduced to three hours for Endeavour.</w:t>
      </w:r>
      <w:r w:rsidR="00D311E7">
        <w:rPr>
          <w:rStyle w:val="FootnoteReference"/>
        </w:rPr>
        <w:footnoteReference w:id="33"/>
      </w:r>
    </w:p>
    <w:p w:rsidR="00D311E7" w:rsidRDefault="00D311E7" w:rsidP="00D311E7">
      <w:pPr>
        <w:pStyle w:val="AERbodytext"/>
        <w:rPr>
          <w:rStyle w:val="AERbody"/>
        </w:rPr>
      </w:pPr>
      <w:r>
        <w:rPr>
          <w:rStyle w:val="AERbody"/>
        </w:rPr>
        <w:t>In response to further information request</w:t>
      </w:r>
      <w:r w:rsidR="00573CF3">
        <w:rPr>
          <w:rStyle w:val="AERbody"/>
        </w:rPr>
        <w:t>s,</w:t>
      </w:r>
      <w:r>
        <w:rPr>
          <w:rStyle w:val="AERbody"/>
        </w:rPr>
        <w:t xml:space="preserve"> Endeavour has broken down the rates </w:t>
      </w:r>
      <w:r w:rsidR="00573CF3">
        <w:rPr>
          <w:rStyle w:val="AERbody"/>
        </w:rPr>
        <w:t>but these are confidential.</w:t>
      </w:r>
      <w:r>
        <w:rPr>
          <w:rStyle w:val="AERbody"/>
        </w:rPr>
        <w:t xml:space="preserve"> Endeavour Energy </w:t>
      </w:r>
      <w:r w:rsidR="00C066C0">
        <w:rPr>
          <w:rStyle w:val="AERbody"/>
        </w:rPr>
        <w:t xml:space="preserve">proposed </w:t>
      </w:r>
      <w:r>
        <w:rPr>
          <w:rStyle w:val="AERbody"/>
        </w:rPr>
        <w:t xml:space="preserve">3.00 hours </w:t>
      </w:r>
      <w:r w:rsidR="00573CF3">
        <w:rPr>
          <w:rStyle w:val="AERbody"/>
        </w:rPr>
        <w:t xml:space="preserve">testing time, </w:t>
      </w:r>
      <w:r>
        <w:rPr>
          <w:rStyle w:val="AERbody"/>
        </w:rPr>
        <w:t xml:space="preserve">compared to 3.17 hours approved for </w:t>
      </w:r>
      <w:proofErr w:type="spellStart"/>
      <w:r>
        <w:rPr>
          <w:rStyle w:val="AERbody"/>
        </w:rPr>
        <w:t>Citipower</w:t>
      </w:r>
      <w:proofErr w:type="spellEnd"/>
      <w:r>
        <w:rPr>
          <w:rStyle w:val="AERbody"/>
        </w:rPr>
        <w:t xml:space="preserve"> and administrative time of 0.75 hours compared to 0.42 hours for </w:t>
      </w:r>
      <w:proofErr w:type="spellStart"/>
      <w:r>
        <w:rPr>
          <w:rStyle w:val="AERbody"/>
        </w:rPr>
        <w:t>Citipower</w:t>
      </w:r>
      <w:proofErr w:type="spellEnd"/>
      <w:r>
        <w:rPr>
          <w:rStyle w:val="AERbody"/>
        </w:rPr>
        <w:t>. This equates to an overall difference in time taken of 10 minutes compared to a smaller, exclusively urban distributor. The difference in the fee is therefore primarily driven by the different labour costs between the jurisdictions.</w:t>
      </w:r>
      <w:r>
        <w:rPr>
          <w:rStyle w:val="FootnoteReference"/>
        </w:rPr>
        <w:footnoteReference w:id="34"/>
      </w:r>
      <w:r>
        <w:rPr>
          <w:rStyle w:val="AERbody"/>
        </w:rPr>
        <w:t xml:space="preserve"> </w:t>
      </w:r>
    </w:p>
    <w:p w:rsidR="00D311E7" w:rsidRDefault="00D311E7" w:rsidP="00D311E7">
      <w:pPr>
        <w:pStyle w:val="AERbodytext"/>
        <w:numPr>
          <w:ilvl w:val="0"/>
          <w:numId w:val="0"/>
        </w:numPr>
        <w:rPr>
          <w:rStyle w:val="AERbody"/>
        </w:rPr>
      </w:pPr>
      <w:r>
        <w:rPr>
          <w:rStyle w:val="AERbody"/>
        </w:rPr>
        <w:t>Our benchmark analysis shows that the rate recomme</w:t>
      </w:r>
      <w:r w:rsidR="00C066C0">
        <w:rPr>
          <w:rStyle w:val="AERbody"/>
        </w:rPr>
        <w:t>nded by Marsden Jacob</w:t>
      </w:r>
      <w:r>
        <w:rPr>
          <w:rStyle w:val="AERbody"/>
        </w:rPr>
        <w:t xml:space="preserve"> of $401.39 benchmarks best against interstate distribution businesses, noting that Endeavour Energy does not distinguish between single phase and multiphase meter tests.</w:t>
      </w:r>
      <w:r>
        <w:rPr>
          <w:rStyle w:val="FootnoteReference"/>
        </w:rPr>
        <w:footnoteReference w:id="35"/>
      </w:r>
      <w:r>
        <w:rPr>
          <w:rStyle w:val="AERbody"/>
        </w:rPr>
        <w:t xml:space="preserve"> The draft decision is to accept the benchmark rate recomme</w:t>
      </w:r>
      <w:r w:rsidR="00C066C0">
        <w:rPr>
          <w:rStyle w:val="AERbody"/>
        </w:rPr>
        <w:t>nded by Marsden Jacob</w:t>
      </w:r>
      <w:r>
        <w:rPr>
          <w:rStyle w:val="AERbody"/>
        </w:rPr>
        <w:t>. This rate is based on efficient labour rates and times as revi</w:t>
      </w:r>
      <w:r w:rsidR="00C066C0">
        <w:rPr>
          <w:rStyle w:val="AERbody"/>
        </w:rPr>
        <w:t>ewed as Marsden Jacob</w:t>
      </w:r>
      <w:r>
        <w:rPr>
          <w:rStyle w:val="AERbody"/>
        </w:rPr>
        <w:t xml:space="preserve"> and also reflects the rates of Victorian distributors which we consider to be based on efficient costs. </w:t>
      </w:r>
      <w:r w:rsidR="00573CF3">
        <w:rPr>
          <w:rStyle w:val="AERbody"/>
        </w:rPr>
        <w:t>U</w:t>
      </w:r>
      <w:r>
        <w:rPr>
          <w:rStyle w:val="AERbody"/>
        </w:rPr>
        <w:t>nlike other distribution businesses which distinguish between single phase and multiphase meter tests this rate would apply to both and in this case we assume there is some cross subsidisation between single phase and multiphase meter testing.</w:t>
      </w:r>
    </w:p>
    <w:p w:rsidR="00D311E7" w:rsidRDefault="00D311E7" w:rsidP="00D311E7">
      <w:pPr>
        <w:pStyle w:val="AERbodytext"/>
        <w:numPr>
          <w:ilvl w:val="0"/>
          <w:numId w:val="0"/>
        </w:numPr>
        <w:rPr>
          <w:rStyle w:val="AERtextbolditalics"/>
        </w:rPr>
      </w:pPr>
      <w:r>
        <w:rPr>
          <w:rStyle w:val="AERtextbolditalics"/>
        </w:rPr>
        <w:t>D</w:t>
      </w:r>
      <w:r w:rsidRPr="00CD21B7">
        <w:rPr>
          <w:rStyle w:val="AERtextbolditalics"/>
        </w:rPr>
        <w:t>isconnect / reconnect</w:t>
      </w:r>
    </w:p>
    <w:p w:rsidR="00D311E7" w:rsidRDefault="00D311E7" w:rsidP="00D311E7">
      <w:pPr>
        <w:pStyle w:val="AERbodytext"/>
        <w:numPr>
          <w:ilvl w:val="0"/>
          <w:numId w:val="0"/>
        </w:numPr>
        <w:rPr>
          <w:rStyle w:val="AERbody"/>
        </w:rPr>
      </w:pPr>
      <w:r>
        <w:rPr>
          <w:rStyle w:val="AERbody"/>
        </w:rPr>
        <w:t>Endeavour Energy has proposed a number of disconnection / reconnection services. These include:</w:t>
      </w:r>
    </w:p>
    <w:p w:rsidR="00D311E7" w:rsidRDefault="00D311E7" w:rsidP="00D311E7">
      <w:pPr>
        <w:pStyle w:val="AERbulletlistsecondstyle"/>
        <w:rPr>
          <w:rStyle w:val="AERbody"/>
        </w:rPr>
      </w:pPr>
      <w:r>
        <w:rPr>
          <w:rStyle w:val="AERbody"/>
        </w:rPr>
        <w:t>Disconnections (Meter box) - includes reconnections (current price $$90, proposed price $208.68)</w:t>
      </w:r>
    </w:p>
    <w:p w:rsidR="00D311E7" w:rsidRDefault="00D311E7" w:rsidP="00D311E7">
      <w:pPr>
        <w:pStyle w:val="AERbulletlistsecondstyle"/>
        <w:rPr>
          <w:rStyle w:val="AERbody"/>
        </w:rPr>
      </w:pPr>
      <w:r>
        <w:rPr>
          <w:rStyle w:val="AERbody"/>
        </w:rPr>
        <w:t>Disconnections (Meter Load Tail) - includes reconnections (proposed price $252.49)</w:t>
      </w:r>
    </w:p>
    <w:p w:rsidR="00D311E7" w:rsidRDefault="00D311E7" w:rsidP="00D311E7">
      <w:pPr>
        <w:pStyle w:val="AERbulletlistsecondstyle"/>
        <w:rPr>
          <w:rStyle w:val="AERbody"/>
        </w:rPr>
      </w:pPr>
      <w:r>
        <w:rPr>
          <w:rStyle w:val="AERbody"/>
        </w:rPr>
        <w:t>Reconnections / Disconnections (site visit) (current price $45, proposed $69.29)</w:t>
      </w:r>
    </w:p>
    <w:p w:rsidR="00D311E7" w:rsidRDefault="00D311E7" w:rsidP="00D311E7">
      <w:pPr>
        <w:pStyle w:val="AERbulletlistsecondstyle"/>
        <w:rPr>
          <w:rStyle w:val="AERbody"/>
        </w:rPr>
      </w:pPr>
      <w:r>
        <w:rPr>
          <w:rStyle w:val="AERbody"/>
        </w:rPr>
        <w:t>Disconnections (Pole top / Pillar box) - includes reconnections (current price $152, proposed $430.78)</w:t>
      </w:r>
    </w:p>
    <w:p w:rsidR="00D311E7" w:rsidRPr="001F486A" w:rsidRDefault="00D311E7" w:rsidP="00D311E7">
      <w:pPr>
        <w:pStyle w:val="AERbulletlistsecondstyle"/>
        <w:rPr>
          <w:rStyle w:val="AERbody"/>
        </w:rPr>
      </w:pPr>
      <w:r>
        <w:rPr>
          <w:rStyle w:val="AERbody"/>
        </w:rPr>
        <w:t>Disconnections at Pole top / Pillar box - site visit (current price $45, proposed price $183.87)</w:t>
      </w:r>
    </w:p>
    <w:p w:rsidR="00D311E7" w:rsidRPr="00092E94" w:rsidRDefault="00D311E7" w:rsidP="00D311E7">
      <w:pPr>
        <w:pStyle w:val="AERbodytext"/>
      </w:pPr>
      <w:r w:rsidRPr="00092E94">
        <w:t>AGL submitted that in South Australia, Queensland, and Victoria</w:t>
      </w:r>
      <w:r>
        <w:t xml:space="preserve"> there </w:t>
      </w:r>
      <w:r w:rsidRPr="00092E94">
        <w:t>are separate de-</w:t>
      </w:r>
      <w:proofErr w:type="spellStart"/>
      <w:r w:rsidRPr="00092E94">
        <w:t>energisation</w:t>
      </w:r>
      <w:proofErr w:type="spellEnd"/>
      <w:r w:rsidRPr="00092E94">
        <w:t xml:space="preserve"> and re-</w:t>
      </w:r>
      <w:proofErr w:type="spellStart"/>
      <w:r w:rsidRPr="00092E94">
        <w:t>energisation</w:t>
      </w:r>
      <w:proofErr w:type="spellEnd"/>
      <w:r w:rsidRPr="00092E94">
        <w:t xml:space="preserve"> fees. This provides greater transparency for customers and retailers. </w:t>
      </w:r>
      <w:r>
        <w:t>AGL also comments that s</w:t>
      </w:r>
      <w:r w:rsidRPr="00092E94">
        <w:t>eparating fees makes additional services available. To ensure that customers moving into a property that was disconnected are not disadvantaged, a general move-in fee is charged. This covers the cost of a move-in read, plus any re-</w:t>
      </w:r>
      <w:proofErr w:type="spellStart"/>
      <w:r w:rsidRPr="00092E94">
        <w:t>energisation</w:t>
      </w:r>
      <w:proofErr w:type="spellEnd"/>
      <w:r w:rsidRPr="00092E94">
        <w:t xml:space="preserve"> work.</w:t>
      </w:r>
      <w:r w:rsidRPr="00092E94">
        <w:rPr>
          <w:rStyle w:val="FootnoteReference"/>
        </w:rPr>
        <w:footnoteReference w:id="36"/>
      </w:r>
      <w:r w:rsidRPr="00092E94">
        <w:t xml:space="preserve"> </w:t>
      </w:r>
    </w:p>
    <w:p w:rsidR="00D311E7" w:rsidRPr="00092E94" w:rsidRDefault="00D311E7" w:rsidP="00D311E7">
      <w:pPr>
        <w:pStyle w:val="AERbodytext"/>
      </w:pPr>
      <w:r w:rsidRPr="00092E94">
        <w:t>With respect to Network tariff change request - vacant property reconne</w:t>
      </w:r>
      <w:r>
        <w:t>ct / disconnect AGL submit that t</w:t>
      </w:r>
      <w:r w:rsidRPr="00092E94">
        <w:t>his proposed fee is too high. A high fee makes it difficult to disconnect vacant sites and may result in illegal usage if a new occupant moves into a previously vacant site that has not been disconnected due to the price of disconnection.</w:t>
      </w:r>
      <w:r>
        <w:t xml:space="preserve"> AGL submit that the</w:t>
      </w:r>
      <w:r w:rsidRPr="00092E94">
        <w:t xml:space="preserve"> fee should be split. A customer should not be prepaying to reconnect if they do not know when or if they will reconnect. Additionally, it is not appropriate to charge one customer a reconnection fee when it is likely to be an entirely different customer that reconnects.</w:t>
      </w:r>
      <w:r w:rsidRPr="00092E94">
        <w:rPr>
          <w:rStyle w:val="FootnoteReference"/>
        </w:rPr>
        <w:footnoteReference w:id="37"/>
      </w:r>
      <w:r w:rsidRPr="00092E94">
        <w:t xml:space="preserve"> </w:t>
      </w:r>
    </w:p>
    <w:p w:rsidR="00D311E7" w:rsidRDefault="00240CC5" w:rsidP="00D311E7">
      <w:pPr>
        <w:pStyle w:val="AERbodytext"/>
        <w:numPr>
          <w:ilvl w:val="0"/>
          <w:numId w:val="0"/>
        </w:numPr>
        <w:rPr>
          <w:rStyle w:val="AERbody"/>
        </w:rPr>
      </w:pPr>
      <w:r>
        <w:rPr>
          <w:rStyle w:val="AERbody"/>
        </w:rPr>
        <w:t>T</w:t>
      </w:r>
      <w:r w:rsidR="00D311E7">
        <w:rPr>
          <w:rStyle w:val="AERbody"/>
        </w:rPr>
        <w:t>he disconnection / re-connection fee covers both disconnection and reconnection. The fee is only applied to the disconnection, not the reconnection. Endeavour Energy submits that this double charge is the current practice and to maintain this approach of only charging a fee at the point of disconnection, means that half the fee is essentially a pre-payment.</w:t>
      </w:r>
      <w:r w:rsidR="00D311E7">
        <w:rPr>
          <w:rStyle w:val="FootnoteReference"/>
        </w:rPr>
        <w:footnoteReference w:id="38"/>
      </w:r>
    </w:p>
    <w:p w:rsidR="00D311E7" w:rsidRDefault="00D311E7" w:rsidP="00D311E7">
      <w:pPr>
        <w:pStyle w:val="AERbodytext"/>
        <w:numPr>
          <w:ilvl w:val="0"/>
          <w:numId w:val="0"/>
        </w:numPr>
        <w:rPr>
          <w:rStyle w:val="AERbody"/>
        </w:rPr>
      </w:pPr>
      <w:r>
        <w:rPr>
          <w:rStyle w:val="AERbody"/>
        </w:rPr>
        <w:t>Endeavour Energy further submits that the payment can cover multiple customers but this is very rare in their experience. This may occur if the disconnection occurs for one customer, but a different customer moves in and needs the power put back on. Endeavour Energy generally avoid</w:t>
      </w:r>
      <w:r w:rsidR="00240CC5">
        <w:rPr>
          <w:rStyle w:val="AERbody"/>
        </w:rPr>
        <w:t>s</w:t>
      </w:r>
      <w:r>
        <w:rPr>
          <w:rStyle w:val="AERbody"/>
        </w:rPr>
        <w:t xml:space="preserve"> this occurrence as it does not typically disconnect a customer on a move-out/final read. Endeavour Energy only </w:t>
      </w:r>
      <w:r w:rsidR="00245C95">
        <w:rPr>
          <w:rStyle w:val="AERbody"/>
        </w:rPr>
        <w:t>tends</w:t>
      </w:r>
      <w:r>
        <w:rPr>
          <w:rStyle w:val="AERbody"/>
        </w:rPr>
        <w:t xml:space="preserve"> to disconnect where a customer has not paid their bills or for those sites where access has proven difficult and the retailer requests physical de-</w:t>
      </w:r>
      <w:proofErr w:type="spellStart"/>
      <w:r>
        <w:rPr>
          <w:rStyle w:val="AERbody"/>
        </w:rPr>
        <w:t>energisation</w:t>
      </w:r>
      <w:proofErr w:type="spellEnd"/>
      <w:r>
        <w:rPr>
          <w:rStyle w:val="AERbody"/>
        </w:rPr>
        <w:t xml:space="preserve">. Whilst Endeavour Energy does not specifically track this event, at a high level Endeavour Energy estimates that it would be less than one per cent of cases where </w:t>
      </w:r>
      <w:r w:rsidR="00240CC5">
        <w:rPr>
          <w:rStyle w:val="AERbody"/>
        </w:rPr>
        <w:t xml:space="preserve">there is </w:t>
      </w:r>
      <w:r>
        <w:rPr>
          <w:rStyle w:val="AERbody"/>
        </w:rPr>
        <w:t>disconnect</w:t>
      </w:r>
      <w:r w:rsidR="00240CC5">
        <w:rPr>
          <w:rStyle w:val="AERbody"/>
        </w:rPr>
        <w:t>ion for one</w:t>
      </w:r>
      <w:r>
        <w:rPr>
          <w:rStyle w:val="AERbody"/>
        </w:rPr>
        <w:t xml:space="preserve"> customer and another customer moves in to take over the site.</w:t>
      </w:r>
      <w:r>
        <w:rPr>
          <w:rStyle w:val="FootnoteReference"/>
        </w:rPr>
        <w:footnoteReference w:id="39"/>
      </w:r>
    </w:p>
    <w:p w:rsidR="00D311E7" w:rsidRPr="003E041B" w:rsidRDefault="00D311E7" w:rsidP="00D311E7">
      <w:pPr>
        <w:pStyle w:val="AERbodytext"/>
        <w:rPr>
          <w:rStyle w:val="AERbody"/>
        </w:rPr>
      </w:pPr>
      <w:r>
        <w:rPr>
          <w:rStyle w:val="AERbody"/>
        </w:rPr>
        <w:t>Endeavour Energy's proposed prices are higher than disconnection fees charged by other Victorian distribution businesses.</w:t>
      </w:r>
      <w:r w:rsidR="00F83619">
        <w:rPr>
          <w:rStyle w:val="AERbody"/>
        </w:rPr>
        <w:t xml:space="preserve"> However</w:t>
      </w:r>
      <w:r w:rsidRPr="003E041B">
        <w:rPr>
          <w:rStyle w:val="AERbody"/>
        </w:rPr>
        <w:t xml:space="preserve"> the reason the fees for </w:t>
      </w:r>
      <w:r>
        <w:rPr>
          <w:rStyle w:val="AERbody"/>
        </w:rPr>
        <w:t>disconnections</w:t>
      </w:r>
      <w:r w:rsidRPr="003E041B">
        <w:rPr>
          <w:rStyle w:val="AERbody"/>
        </w:rPr>
        <w:t xml:space="preserve"> in Victoria </w:t>
      </w:r>
      <w:r>
        <w:rPr>
          <w:rStyle w:val="AERbody"/>
        </w:rPr>
        <w:t>are lower</w:t>
      </w:r>
      <w:r w:rsidRPr="003E041B">
        <w:rPr>
          <w:rStyle w:val="AERbody"/>
        </w:rPr>
        <w:t xml:space="preserve"> is because most residential customers have smart meters and the </w:t>
      </w:r>
      <w:r>
        <w:rPr>
          <w:rStyle w:val="AERbody"/>
        </w:rPr>
        <w:t>disconnection</w:t>
      </w:r>
      <w:r w:rsidRPr="003E041B">
        <w:rPr>
          <w:rStyle w:val="AERbody"/>
        </w:rPr>
        <w:t xml:space="preserve"> can be done remotely. This is not the case in NSW where smart meters</w:t>
      </w:r>
      <w:r>
        <w:rPr>
          <w:rStyle w:val="AERbody"/>
        </w:rPr>
        <w:t xml:space="preserve"> do not exist for </w:t>
      </w:r>
      <w:r w:rsidR="00F83619">
        <w:rPr>
          <w:rStyle w:val="AERbody"/>
        </w:rPr>
        <w:t xml:space="preserve">all </w:t>
      </w:r>
      <w:r w:rsidR="00F04A5E">
        <w:rPr>
          <w:rStyle w:val="AERbody"/>
        </w:rPr>
        <w:t>households</w:t>
      </w:r>
      <w:r w:rsidRPr="003E041B">
        <w:rPr>
          <w:rStyle w:val="AERbody"/>
        </w:rPr>
        <w:t xml:space="preserve">. </w:t>
      </w:r>
      <w:r>
        <w:rPr>
          <w:rStyle w:val="AERbody"/>
        </w:rPr>
        <w:t>If we compare Endeavour Energy's proposed disconnection fee to fees charged in Tasmania and Queensland where smart meters have not been rolled out to the same extent as in Victoria we find that Endeavour Energy's proposed fees are consistent with these interstate charges.</w:t>
      </w:r>
      <w:r>
        <w:rPr>
          <w:rStyle w:val="FootnoteReference"/>
        </w:rPr>
        <w:footnoteReference w:id="40"/>
      </w:r>
    </w:p>
    <w:p w:rsidR="00D311E7" w:rsidRDefault="00240CC5" w:rsidP="00D311E7">
      <w:pPr>
        <w:pStyle w:val="AERbodytext"/>
        <w:numPr>
          <w:ilvl w:val="0"/>
          <w:numId w:val="0"/>
        </w:numPr>
        <w:rPr>
          <w:rStyle w:val="AERbody"/>
        </w:rPr>
      </w:pPr>
      <w:r>
        <w:rPr>
          <w:rStyle w:val="AERbody"/>
        </w:rPr>
        <w:t xml:space="preserve">Our </w:t>
      </w:r>
      <w:r w:rsidR="00D311E7">
        <w:rPr>
          <w:rStyle w:val="AERbody"/>
        </w:rPr>
        <w:t>draft decision is to accept the fe</w:t>
      </w:r>
      <w:r w:rsidR="00F83619">
        <w:rPr>
          <w:rStyle w:val="AERbody"/>
        </w:rPr>
        <w:t>es recommended by Marsden Jacob</w:t>
      </w:r>
      <w:r w:rsidR="00D311E7">
        <w:rPr>
          <w:rStyle w:val="AERbody"/>
        </w:rPr>
        <w:t xml:space="preserve"> for the following disconnection services. In recommending thes</w:t>
      </w:r>
      <w:r w:rsidR="00F83619">
        <w:rPr>
          <w:rStyle w:val="AERbody"/>
        </w:rPr>
        <w:t>e rates Marsden Jacob</w:t>
      </w:r>
      <w:r w:rsidR="00D311E7">
        <w:rPr>
          <w:rStyle w:val="AERbody"/>
        </w:rPr>
        <w:t xml:space="preserve"> applied its benchmark labour rates and reviewed the time taken to perform the service. They did not recommend changing Endeavour Energy's proposed times taken to perform disconnection services.</w:t>
      </w:r>
    </w:p>
    <w:p w:rsidR="00D311E7" w:rsidRDefault="00240CC5" w:rsidP="00D311E7">
      <w:pPr>
        <w:pStyle w:val="AERbodytext"/>
        <w:numPr>
          <w:ilvl w:val="0"/>
          <w:numId w:val="0"/>
        </w:numPr>
        <w:rPr>
          <w:rStyle w:val="AERbody"/>
        </w:rPr>
      </w:pPr>
      <w:r>
        <w:rPr>
          <w:rStyle w:val="AERbody"/>
        </w:rPr>
        <w:t xml:space="preserve">Our </w:t>
      </w:r>
      <w:r w:rsidR="00D311E7">
        <w:rPr>
          <w:rStyle w:val="AERbody"/>
        </w:rPr>
        <w:t>draft decision for disconnection services is:</w:t>
      </w:r>
    </w:p>
    <w:p w:rsidR="00D311E7" w:rsidRDefault="00D311E7" w:rsidP="00D311E7">
      <w:pPr>
        <w:pStyle w:val="AERbulletlistsecondstyle"/>
        <w:rPr>
          <w:rStyle w:val="AERbody"/>
        </w:rPr>
      </w:pPr>
      <w:r>
        <w:rPr>
          <w:rStyle w:val="AERbody"/>
        </w:rPr>
        <w:t>Disconnections (Meter box) - includes reconnections is $63.94</w:t>
      </w:r>
    </w:p>
    <w:p w:rsidR="00D311E7" w:rsidRDefault="00D311E7" w:rsidP="00D311E7">
      <w:pPr>
        <w:pStyle w:val="AERbulletlistsecondstyle"/>
        <w:rPr>
          <w:rStyle w:val="AERbody"/>
        </w:rPr>
      </w:pPr>
      <w:r>
        <w:rPr>
          <w:rStyle w:val="AERbody"/>
        </w:rPr>
        <w:t>Disconnections (Meter Load Tail) - includes reconnections is $241.68</w:t>
      </w:r>
    </w:p>
    <w:p w:rsidR="00D311E7" w:rsidRDefault="00D311E7" w:rsidP="00D311E7">
      <w:pPr>
        <w:pStyle w:val="AERbulletlistsecondstyle"/>
        <w:rPr>
          <w:rStyle w:val="AERbody"/>
        </w:rPr>
      </w:pPr>
      <w:r>
        <w:rPr>
          <w:rStyle w:val="AERbody"/>
        </w:rPr>
        <w:t>Reconnections / Disconnections (site visit) is $69.29</w:t>
      </w:r>
    </w:p>
    <w:p w:rsidR="00D311E7" w:rsidRDefault="00D311E7" w:rsidP="00D311E7">
      <w:pPr>
        <w:pStyle w:val="AERbulletlistsecondstyle"/>
        <w:rPr>
          <w:rStyle w:val="AERbody"/>
        </w:rPr>
      </w:pPr>
      <w:r>
        <w:rPr>
          <w:rStyle w:val="AERbody"/>
        </w:rPr>
        <w:t>Disconnections (Pole top / Pillar box) - includes reconnections is $417.96</w:t>
      </w:r>
    </w:p>
    <w:p w:rsidR="00D311E7" w:rsidRPr="001F486A" w:rsidRDefault="00D311E7" w:rsidP="00D311E7">
      <w:pPr>
        <w:pStyle w:val="AERbulletlistsecondstyle"/>
        <w:rPr>
          <w:rStyle w:val="AERbody"/>
        </w:rPr>
      </w:pPr>
      <w:r>
        <w:rPr>
          <w:rStyle w:val="AERbody"/>
        </w:rPr>
        <w:t>Disconnections at Pole top / Pillar box - site visit is $167.39</w:t>
      </w:r>
      <w:r w:rsidR="00F83619">
        <w:rPr>
          <w:rStyle w:val="AERbody"/>
        </w:rPr>
        <w:t>.</w:t>
      </w:r>
      <w:r>
        <w:rPr>
          <w:rStyle w:val="AERbody"/>
        </w:rPr>
        <w:t xml:space="preserve"> </w:t>
      </w:r>
    </w:p>
    <w:p w:rsidR="00D311E7" w:rsidRPr="00CD21B7" w:rsidRDefault="00D311E7" w:rsidP="00D311E7">
      <w:pPr>
        <w:pStyle w:val="AERbodytext"/>
        <w:numPr>
          <w:ilvl w:val="0"/>
          <w:numId w:val="0"/>
        </w:numPr>
        <w:rPr>
          <w:rStyle w:val="AERtextbolditalics"/>
        </w:rPr>
      </w:pPr>
      <w:r w:rsidRPr="00CD21B7">
        <w:rPr>
          <w:rStyle w:val="AERtextbolditalics"/>
        </w:rPr>
        <w:t>Site establishment</w:t>
      </w:r>
    </w:p>
    <w:p w:rsidR="00D311E7" w:rsidRPr="009B2EEC" w:rsidRDefault="00D311E7" w:rsidP="00D311E7">
      <w:pPr>
        <w:pStyle w:val="AERbodytext"/>
      </w:pPr>
      <w:r w:rsidRPr="009B2EEC">
        <w:t xml:space="preserve">For network tariff change request - site establishment AGL submits that this fee should not be imposed unless it is a new connection fee that should be passed to the customer by the </w:t>
      </w:r>
      <w:r>
        <w:t>Accredited Service Provider</w:t>
      </w:r>
      <w:r w:rsidR="00F83619">
        <w:t xml:space="preserve"> (ASP)</w:t>
      </w:r>
      <w:r w:rsidRPr="009B2EEC">
        <w:t>. If it is for an existing site where a new NMI needs to be allocated, there is no activity performed to warrant such a fee and it should not be approved.</w:t>
      </w:r>
      <w:r w:rsidRPr="009B2EEC">
        <w:rPr>
          <w:rStyle w:val="FootnoteReference"/>
        </w:rPr>
        <w:footnoteReference w:id="41"/>
      </w:r>
      <w:r w:rsidRPr="009B2EEC">
        <w:t xml:space="preserve"> </w:t>
      </w:r>
    </w:p>
    <w:p w:rsidR="00D311E7" w:rsidRDefault="00D311E7" w:rsidP="00D311E7">
      <w:pPr>
        <w:pStyle w:val="AERbodytext"/>
        <w:numPr>
          <w:ilvl w:val="0"/>
          <w:numId w:val="0"/>
        </w:numPr>
        <w:rPr>
          <w:rStyle w:val="AERbody"/>
        </w:rPr>
      </w:pPr>
      <w:r>
        <w:rPr>
          <w:rStyle w:val="AERbody"/>
        </w:rPr>
        <w:t>Endeavour Energy have clarified that the site establishment fee is for the issue of a meter by a distribution business and its co-ordination with AEMO for the purpose of establishing a NMI in MSATS for new premises or for existing premises for which requires a new NMI and for checking and updating network load data.</w:t>
      </w:r>
    </w:p>
    <w:p w:rsidR="00D311E7" w:rsidRDefault="00D311E7" w:rsidP="00D311E7">
      <w:pPr>
        <w:pStyle w:val="AERbodytext"/>
        <w:numPr>
          <w:ilvl w:val="0"/>
          <w:numId w:val="0"/>
        </w:numPr>
        <w:rPr>
          <w:rStyle w:val="AERbody"/>
        </w:rPr>
      </w:pPr>
      <w:r>
        <w:rPr>
          <w:rStyle w:val="AERbody"/>
        </w:rPr>
        <w:t>Endeavour Energy apply the site establishment fee to all new connections to the network where there is a need to establish market data and metering information that is required for the market. This includes situations such as knock down and rebuilds where an existing installation is removed and the associated NMI made extinct in the market. The new connections to the network require a NMI to allow them to be registered in the market. The site establishment fee is charged to the level 2 ASP who recovers the cost from their customer.</w:t>
      </w:r>
      <w:r>
        <w:rPr>
          <w:rStyle w:val="FootnoteReference"/>
        </w:rPr>
        <w:footnoteReference w:id="42"/>
      </w:r>
    </w:p>
    <w:p w:rsidR="00D311E7" w:rsidRDefault="00D311E7" w:rsidP="00D311E7">
      <w:pPr>
        <w:pStyle w:val="AERbodytext"/>
        <w:numPr>
          <w:ilvl w:val="0"/>
          <w:numId w:val="0"/>
        </w:numPr>
        <w:rPr>
          <w:rStyle w:val="AERbody"/>
        </w:rPr>
      </w:pPr>
      <w:r>
        <w:rPr>
          <w:rStyle w:val="AERbody"/>
        </w:rPr>
        <w:t>Where existing sites are modified / changed by increase in load the existing NMI is retained. However, where a connection to the network is removed as a result of a proposed development and the existing NMI's are made extinct in the market, new NMI's are required in accordance with the NMI allocation procedure.</w:t>
      </w:r>
      <w:r>
        <w:rPr>
          <w:rStyle w:val="FootnoteReference"/>
        </w:rPr>
        <w:footnoteReference w:id="43"/>
      </w:r>
    </w:p>
    <w:p w:rsidR="00D311E7" w:rsidRPr="00CD21B7" w:rsidRDefault="00D311E7" w:rsidP="00D311E7">
      <w:pPr>
        <w:pStyle w:val="AERbodytext"/>
        <w:numPr>
          <w:ilvl w:val="0"/>
          <w:numId w:val="0"/>
        </w:numPr>
        <w:rPr>
          <w:rStyle w:val="AERtextbolditalics"/>
        </w:rPr>
      </w:pPr>
      <w:r w:rsidRPr="00CD21B7">
        <w:rPr>
          <w:rStyle w:val="AERtextbolditalics"/>
        </w:rPr>
        <w:t>Network tariff change request</w:t>
      </w:r>
    </w:p>
    <w:p w:rsidR="00D311E7" w:rsidRPr="009B2EEC" w:rsidRDefault="00D311E7" w:rsidP="00D311E7">
      <w:pPr>
        <w:pStyle w:val="AERbodytext"/>
      </w:pPr>
      <w:r w:rsidRPr="009B2EEC">
        <w:t xml:space="preserve">AGL also questions the introduction of network tariff change request fees. AGL submits that it is inappropriate for a fee to be charged for a network tariff change request </w:t>
      </w:r>
      <w:r>
        <w:t>–</w:t>
      </w:r>
      <w:r w:rsidRPr="009B2EEC">
        <w:t xml:space="preserve"> invalid request. Retailers have no visibility as to whether a request will be valid; a customer should not be penalised because this function sits with their distributor rather than the retailer (to assess such a request).</w:t>
      </w:r>
      <w:r w:rsidRPr="009B2EEC">
        <w:rPr>
          <w:rStyle w:val="FootnoteReference"/>
        </w:rPr>
        <w:footnoteReference w:id="44"/>
      </w:r>
    </w:p>
    <w:p w:rsidR="00D311E7" w:rsidRDefault="00F83619" w:rsidP="00D311E7">
      <w:pPr>
        <w:pStyle w:val="AERbodytext"/>
        <w:numPr>
          <w:ilvl w:val="0"/>
          <w:numId w:val="0"/>
        </w:numPr>
      </w:pPr>
      <w:r>
        <w:t>Our</w:t>
      </w:r>
      <w:r w:rsidR="00D311E7">
        <w:t xml:space="preserve"> draft decision is to not accept Endeavour Energy's</w:t>
      </w:r>
      <w:r w:rsidR="00D311E7" w:rsidRPr="009B2EEC">
        <w:t xml:space="preserve"> proposed ‘network tariff change – invalid request’ charge. We agree with AGL’s submission that it is inappropriate for a fee to be charged if a network tariff change request is invalid.</w:t>
      </w:r>
      <w:r w:rsidR="00D311E7">
        <w:rPr>
          <w:rStyle w:val="FootnoteReference"/>
        </w:rPr>
        <w:footnoteReference w:id="45"/>
      </w:r>
      <w:r w:rsidR="00D311E7" w:rsidRPr="009B2EEC">
        <w:t xml:space="preserve"> </w:t>
      </w:r>
      <w:r w:rsidR="00D311E7">
        <w:t>We agree with AGL</w:t>
      </w:r>
      <w:r w:rsidR="00D311E7" w:rsidRPr="009B2EEC">
        <w:t xml:space="preserve"> that “The retailer has no visibility as to whether the request will be valid, a customer should not be penalised because this function sits with the distributor rather than the retailer to assess such a request”.</w:t>
      </w:r>
      <w:r w:rsidR="00D311E7">
        <w:rPr>
          <w:rStyle w:val="FootnoteReference"/>
        </w:rPr>
        <w:footnoteReference w:id="46"/>
      </w:r>
    </w:p>
    <w:p w:rsidR="00D311E7" w:rsidRPr="00F02123" w:rsidRDefault="00D311E7" w:rsidP="00F02123">
      <w:pPr>
        <w:pStyle w:val="AERbodytext"/>
        <w:numPr>
          <w:ilvl w:val="0"/>
          <w:numId w:val="0"/>
        </w:numPr>
        <w:rPr>
          <w:rStyle w:val="AERtextbolditalics"/>
        </w:rPr>
      </w:pPr>
      <w:r w:rsidRPr="00F02123">
        <w:rPr>
          <w:rStyle w:val="AERtextbolditalics"/>
        </w:rPr>
        <w:t>De-</w:t>
      </w:r>
      <w:proofErr w:type="spellStart"/>
      <w:r w:rsidRPr="00F02123">
        <w:rPr>
          <w:rStyle w:val="AERtextbolditalics"/>
        </w:rPr>
        <w:t>energisation</w:t>
      </w:r>
      <w:proofErr w:type="spellEnd"/>
      <w:r w:rsidRPr="00F02123">
        <w:rPr>
          <w:rStyle w:val="AERtextbolditalics"/>
        </w:rPr>
        <w:t xml:space="preserve"> / re-</w:t>
      </w:r>
      <w:proofErr w:type="spellStart"/>
      <w:r w:rsidRPr="00F02123">
        <w:rPr>
          <w:rStyle w:val="AERtextbolditalics"/>
        </w:rPr>
        <w:t>energisation</w:t>
      </w:r>
      <w:proofErr w:type="spellEnd"/>
      <w:r w:rsidR="00F02123">
        <w:rPr>
          <w:rStyle w:val="AERtextbolditalics"/>
        </w:rPr>
        <w:t>—</w:t>
      </w:r>
      <w:r w:rsidRPr="00F02123">
        <w:rPr>
          <w:rStyle w:val="AERtextbolditalics"/>
        </w:rPr>
        <w:t>pillar/pole (failed)</w:t>
      </w:r>
    </w:p>
    <w:p w:rsidR="00D311E7" w:rsidRDefault="00D311E7" w:rsidP="00D311E7">
      <w:r>
        <w:t>AGL queried why an incomplete Disconnection/Reconnection</w:t>
      </w:r>
      <w:r w:rsidR="00245C95">
        <w:t>—</w:t>
      </w:r>
      <w:r>
        <w:t xml:space="preserve">Pillar/Pole would be anything more than a regular site visit charge. It also queried the circumstances in which this service would not be completed. We requested further information from distributors on this issue. The distributors submitted that Disconnection/Reconnection </w:t>
      </w:r>
      <w:r>
        <w:rPr>
          <w:rFonts w:cstheme="minorHAnsi"/>
        </w:rPr>
        <w:t>–</w:t>
      </w:r>
      <w:r>
        <w:t xml:space="preserve"> Pillar/Pole may not occur due to reasons including: </w:t>
      </w:r>
    </w:p>
    <w:p w:rsidR="00D311E7" w:rsidRDefault="00D311E7" w:rsidP="00D311E7">
      <w:pPr>
        <w:pStyle w:val="ListParagraph"/>
        <w:numPr>
          <w:ilvl w:val="0"/>
          <w:numId w:val="68"/>
        </w:numPr>
        <w:spacing w:before="120" w:after="0" w:line="240" w:lineRule="auto"/>
        <w:contextualSpacing w:val="0"/>
        <w:jc w:val="left"/>
      </w:pPr>
      <w:r>
        <w:t>safety of the installation or the distributor’s employee</w:t>
      </w:r>
    </w:p>
    <w:p w:rsidR="00D311E7" w:rsidRDefault="00D311E7" w:rsidP="00D311E7">
      <w:pPr>
        <w:pStyle w:val="ListParagraph"/>
        <w:numPr>
          <w:ilvl w:val="0"/>
          <w:numId w:val="68"/>
        </w:numPr>
        <w:spacing w:before="120" w:after="0" w:line="240" w:lineRule="auto"/>
        <w:contextualSpacing w:val="0"/>
        <w:jc w:val="left"/>
      </w:pPr>
      <w:r>
        <w:t>late cancellation by the retailer</w:t>
      </w:r>
    </w:p>
    <w:p w:rsidR="00D311E7" w:rsidRDefault="00D311E7" w:rsidP="00D311E7">
      <w:pPr>
        <w:pStyle w:val="ListParagraph"/>
        <w:numPr>
          <w:ilvl w:val="0"/>
          <w:numId w:val="68"/>
        </w:numPr>
        <w:spacing w:before="120" w:after="0" w:line="240" w:lineRule="auto"/>
        <w:contextualSpacing w:val="0"/>
        <w:jc w:val="left"/>
      </w:pPr>
      <w:proofErr w:type="gramStart"/>
      <w:r>
        <w:t>access</w:t>
      </w:r>
      <w:proofErr w:type="gramEnd"/>
      <w:r>
        <w:t xml:space="preserve"> being prevented so that the work cannot be carried out.</w:t>
      </w:r>
      <w:r>
        <w:rPr>
          <w:rStyle w:val="FootnoteReference"/>
        </w:rPr>
        <w:footnoteReference w:id="47"/>
      </w:r>
    </w:p>
    <w:p w:rsidR="00D311E7" w:rsidRDefault="00D311E7" w:rsidP="00D311E7"/>
    <w:p w:rsidR="00D311E7" w:rsidRPr="00A958A0" w:rsidRDefault="00D311E7" w:rsidP="000D419A">
      <w:r w:rsidRPr="00E4414F">
        <w:t>AGL queried why Endeavour Energy’s proposed fee for a Disconnection Reconnection Pilla</w:t>
      </w:r>
      <w:r w:rsidR="00F02123">
        <w:t>r/Pole Site Visit ($</w:t>
      </w:r>
      <w:r w:rsidR="00E26DF8">
        <w:t>430.78</w:t>
      </w:r>
      <w:r w:rsidRPr="00E4414F">
        <w:t>) varies from the fee it proposed for a Disconnection Site Visit ($69.29). We understand this is because a minimum of two employees must be on site to complete the work (compared to only one employee for a standard connection).</w:t>
      </w:r>
      <w:r w:rsidRPr="00E4414F">
        <w:rPr>
          <w:rStyle w:val="FootnoteReference"/>
        </w:rPr>
        <w:footnoteReference w:id="48"/>
      </w:r>
      <w:r w:rsidRPr="00E4414F">
        <w:t xml:space="preserve"> </w:t>
      </w:r>
      <w:r w:rsidR="00E26DF8">
        <w:t xml:space="preserve">The proposed fee also covers reconnections. </w:t>
      </w:r>
      <w:r w:rsidR="00A610FF">
        <w:t>Based on Marsden Jacob’</w:t>
      </w:r>
      <w:r w:rsidRPr="00E4414F">
        <w:t>s analysis and the distributors</w:t>
      </w:r>
      <w:r w:rsidR="00A610FF">
        <w:t xml:space="preserve">’ </w:t>
      </w:r>
      <w:r w:rsidRPr="00E4414F">
        <w:t xml:space="preserve">submissions, we </w:t>
      </w:r>
      <w:r w:rsidR="00E26DF8">
        <w:t>approve a fee</w:t>
      </w:r>
      <w:r w:rsidRPr="00E4414F">
        <w:t xml:space="preserve"> of $</w:t>
      </w:r>
      <w:r w:rsidR="00E26DF8">
        <w:t>417.96</w:t>
      </w:r>
      <w:r w:rsidRPr="00E4414F">
        <w:t xml:space="preserve"> for Disconnection/Reconnection</w:t>
      </w:r>
      <w:r w:rsidR="00F02123">
        <w:t>—</w:t>
      </w:r>
      <w:r w:rsidRPr="00E4414F">
        <w:t xml:space="preserve">Pillar/Pole </w:t>
      </w:r>
      <w:r w:rsidRPr="00E4414F">
        <w:rPr>
          <w:rFonts w:cstheme="minorHAnsi"/>
        </w:rPr>
        <w:t>–</w:t>
      </w:r>
      <w:r w:rsidRPr="00E4414F">
        <w:t xml:space="preserve"> Site Visit as efficient.</w:t>
      </w:r>
    </w:p>
    <w:p w:rsidR="00337A3F" w:rsidRPr="00862963" w:rsidRDefault="00337A3F" w:rsidP="00862963">
      <w:pPr>
        <w:pStyle w:val="Heading2"/>
      </w:pPr>
      <w:bookmarkStart w:id="37" w:name="_Ref402523049"/>
      <w:bookmarkStart w:id="38" w:name="_Toc404324959"/>
      <w:r w:rsidRPr="00862963">
        <w:t>Metering</w:t>
      </w:r>
      <w:bookmarkEnd w:id="37"/>
      <w:bookmarkEnd w:id="38"/>
    </w:p>
    <w:p w:rsidR="00EB6E3E" w:rsidRPr="00EB6E3E" w:rsidRDefault="00EB6E3E" w:rsidP="00EB6E3E">
      <w:r w:rsidRPr="00EB6E3E">
        <w:t>Our draft decision on Endeavour Energy’s metering proposal is made in the context of ongoing policy reform. We have based our assessment on the rules in place at the time of this draft decision, but have had regard to the likelihood of policy reform in the future.</w:t>
      </w:r>
    </w:p>
    <w:p w:rsidR="00EB6E3E" w:rsidRPr="00EB6E3E" w:rsidRDefault="00EB6E3E" w:rsidP="00EB6E3E">
      <w:r w:rsidRPr="00EB6E3E">
        <w:t>Currently, competition in metering is limited to large customers in the national electricity market while regulated distribution network service providers have the sole responsibility to provide small customers with metering services.</w:t>
      </w:r>
      <w:r w:rsidRPr="00884414">
        <w:rPr>
          <w:rStyle w:val="FootnoteReference"/>
        </w:rPr>
        <w:footnoteReference w:id="49"/>
      </w:r>
    </w:p>
    <w:p w:rsidR="00EB6E3E" w:rsidRPr="00EB6E3E" w:rsidRDefault="00EB6E3E" w:rsidP="00EB6E3E">
      <w:r w:rsidRPr="00EB6E3E">
        <w:t>The Australian Energy Market Commission (AEMC) is presently in the process of making a rule change that would expand competition in metering and related services to help facilitate a market led roll out of advanced metering technology. This in turn would enable the uptake of demand side participation products and services.</w:t>
      </w:r>
      <w:r w:rsidRPr="00884414">
        <w:rPr>
          <w:rStyle w:val="FootnoteReference"/>
        </w:rPr>
        <w:footnoteReference w:id="50"/>
      </w:r>
    </w:p>
    <w:p w:rsidR="00EB6E3E" w:rsidRPr="00EB6E3E" w:rsidRDefault="008120D9" w:rsidP="00EB6E3E">
      <w:r>
        <w:t>O</w:t>
      </w:r>
      <w:r w:rsidR="00EB6E3E" w:rsidRPr="00EB6E3E">
        <w:t>ur draft decision</w:t>
      </w:r>
      <w:r>
        <w:t xml:space="preserve"> establishes </w:t>
      </w:r>
      <w:r w:rsidR="00EB6E3E" w:rsidRPr="00EB6E3E">
        <w:t xml:space="preserve">a regulatory framework for the 2015-19 regulatory </w:t>
      </w:r>
      <w:proofErr w:type="gramStart"/>
      <w:r w:rsidR="00EB6E3E" w:rsidRPr="00EB6E3E">
        <w:t>period</w:t>
      </w:r>
      <w:proofErr w:type="gramEnd"/>
      <w:r w:rsidR="00EB6E3E" w:rsidRPr="00EB6E3E">
        <w:t xml:space="preserve"> which will be robust enough to handle the transition to competition once the rule change takes effect. This involves having transparent standalone prices for all new/upgraded meter connections and annual charges. To avoid creating a regulatory barrier to competitive entry, we did not accept Endeavour Energy’s proposal to charge an exit fee to leaving customers to recover residual </w:t>
      </w:r>
      <w:r>
        <w:t>capital</w:t>
      </w:r>
      <w:r w:rsidRPr="00EB6E3E">
        <w:t xml:space="preserve"> </w:t>
      </w:r>
      <w:r w:rsidR="00EB6E3E" w:rsidRPr="00EB6E3E">
        <w:t xml:space="preserve">costs. Instead residual </w:t>
      </w:r>
      <w:r>
        <w:t>capital</w:t>
      </w:r>
      <w:r w:rsidRPr="00EB6E3E">
        <w:t xml:space="preserve"> </w:t>
      </w:r>
      <w:r w:rsidR="00EB6E3E" w:rsidRPr="00EB6E3E">
        <w:t xml:space="preserve">costs will be classified as a standard control service and recovered from the general network customer base.  </w:t>
      </w:r>
    </w:p>
    <w:p w:rsidR="00EB6E3E" w:rsidRPr="00EB6E3E" w:rsidRDefault="00EB6E3E" w:rsidP="00337A3F">
      <w:pPr>
        <w:pStyle w:val="Heading3"/>
      </w:pPr>
      <w:bookmarkStart w:id="39" w:name="_Toc404324960"/>
      <w:r w:rsidRPr="00EB6E3E">
        <w:t>Draft decision</w:t>
      </w:r>
      <w:bookmarkEnd w:id="39"/>
    </w:p>
    <w:p w:rsidR="00EB6E3E" w:rsidRPr="00EB6E3E" w:rsidRDefault="00EB6E3E" w:rsidP="00EB6E3E">
      <w:r w:rsidRPr="00EB6E3E">
        <w:t>Our draft decision maintain</w:t>
      </w:r>
      <w:r w:rsidR="008120D9">
        <w:t>s</w:t>
      </w:r>
      <w:r w:rsidRPr="00EB6E3E">
        <w:t xml:space="preserve"> our framework and approach alternative control service classification for type 5 and 6 metering provision, maintenance, reading, and data services.</w:t>
      </w:r>
      <w:r w:rsidRPr="00884414">
        <w:rPr>
          <w:rStyle w:val="FootnoteReference"/>
        </w:rPr>
        <w:footnoteReference w:id="51"/>
      </w:r>
      <w:r w:rsidRPr="00EB6E3E">
        <w:t xml:space="preserve"> We further maintain that the control mechanism for alternative control metering services will be caps on the prices of individual services.</w:t>
      </w:r>
      <w:r w:rsidRPr="00884414">
        <w:rPr>
          <w:rStyle w:val="FootnoteReference"/>
        </w:rPr>
        <w:footnoteReference w:id="52"/>
      </w:r>
      <w:r w:rsidRPr="00884414">
        <w:rPr>
          <w:rStyle w:val="FootnoteReference"/>
        </w:rPr>
        <w:t xml:space="preserve"> </w:t>
      </w:r>
    </w:p>
    <w:p w:rsidR="00EB6E3E" w:rsidRPr="00EB6E3E" w:rsidRDefault="00EB6E3E" w:rsidP="00EB6E3E">
      <w:r w:rsidRPr="00EB6E3E">
        <w:t>We accept Endeavour Energy’s proposal to charge capital costs</w:t>
      </w:r>
      <w:r w:rsidR="008120D9">
        <w:t xml:space="preserve"> upfront</w:t>
      </w:r>
      <w:r w:rsidRPr="00EB6E3E">
        <w:t xml:space="preserve"> for new</w:t>
      </w:r>
      <w:r w:rsidR="008120D9">
        <w:t xml:space="preserve"> or </w:t>
      </w:r>
      <w:r w:rsidRPr="00EB6E3E">
        <w:t>upgraded</w:t>
      </w:r>
      <w:r w:rsidR="000D419A">
        <w:t xml:space="preserve"> </w:t>
      </w:r>
      <w:r w:rsidRPr="00EB6E3E">
        <w:t xml:space="preserve">connections upfront. However, we </w:t>
      </w:r>
      <w:r w:rsidR="008120D9">
        <w:t xml:space="preserve">do not accept the particular price caps proposed. </w:t>
      </w:r>
      <w:r w:rsidR="007A5905">
        <w:t xml:space="preserve">Our draft decision is to also </w:t>
      </w:r>
      <w:r w:rsidR="008120D9">
        <w:t>accept</w:t>
      </w:r>
      <w:r w:rsidRPr="00EB6E3E">
        <w:t xml:space="preserve"> Endeavour</w:t>
      </w:r>
      <w:r w:rsidR="000D419A">
        <w:t xml:space="preserve"> Energy</w:t>
      </w:r>
      <w:r w:rsidRPr="00EB6E3E">
        <w:t xml:space="preserve">’s proposal to have the same annual charges for new and existing customers. </w:t>
      </w:r>
      <w:r w:rsidR="007A5905">
        <w:t>However, we consider that it would be more appropriate to have a separate schedule of annual charges for new and existing customers. The annual charge for existing customers should include capital cost recovery, but new customers (who have made an upfront capital contribution) should not have to make such a payment as part of their annual charge.</w:t>
      </w:r>
    </w:p>
    <w:p w:rsidR="00EB6E3E" w:rsidRPr="00EB6E3E" w:rsidRDefault="00EB6E3E" w:rsidP="00516E8C">
      <w:pPr>
        <w:pStyle w:val="AERbodytext"/>
        <w:numPr>
          <w:ilvl w:val="0"/>
          <w:numId w:val="0"/>
        </w:numPr>
      </w:pPr>
      <w:r w:rsidRPr="00EB6E3E">
        <w:t xml:space="preserve">We </w:t>
      </w:r>
      <w:r w:rsidR="008A5F01">
        <w:t>do not accept</w:t>
      </w:r>
      <w:r w:rsidR="008A5F01" w:rsidRPr="00EB6E3E">
        <w:t xml:space="preserve"> </w:t>
      </w:r>
      <w:r w:rsidRPr="00EB6E3E">
        <w:t>Endeavour</w:t>
      </w:r>
      <w:r w:rsidR="008A5F01">
        <w:t xml:space="preserve"> Energy</w:t>
      </w:r>
      <w:r w:rsidRPr="00EB6E3E">
        <w:t xml:space="preserve">’s proposed exit fee. Specifically, we </w:t>
      </w:r>
      <w:r w:rsidR="000D419A">
        <w:t>do</w:t>
      </w:r>
      <w:r w:rsidR="000D419A" w:rsidRPr="00EB6E3E">
        <w:t xml:space="preserve"> </w:t>
      </w:r>
      <w:r w:rsidRPr="00EB6E3E">
        <w:t>not accept that Endeavour</w:t>
      </w:r>
      <w:r w:rsidR="008A5F01">
        <w:t> </w:t>
      </w:r>
      <w:r w:rsidRPr="00EB6E3E">
        <w:t xml:space="preserve">Energy should recover residual </w:t>
      </w:r>
      <w:r w:rsidR="008A5F01">
        <w:t>capital</w:t>
      </w:r>
      <w:r w:rsidR="008A5F01" w:rsidRPr="00EB6E3E">
        <w:t xml:space="preserve"> </w:t>
      </w:r>
      <w:r w:rsidRPr="00EB6E3E">
        <w:t xml:space="preserve">costs through an exit fee. Our alternative is to classify residual metering costs (the </w:t>
      </w:r>
      <w:r w:rsidR="008A5F01">
        <w:t>capital costs</w:t>
      </w:r>
      <w:r w:rsidRPr="00EB6E3E">
        <w:t xml:space="preserve"> the customer would have paid</w:t>
      </w:r>
      <w:r w:rsidR="008A5F01">
        <w:t xml:space="preserve"> through annual charges</w:t>
      </w:r>
      <w:r w:rsidRPr="00EB6E3E">
        <w:t xml:space="preserve"> had they remained a regulated metering customer) as a standard control service and will be recovered through network tariffs</w:t>
      </w:r>
      <w:r w:rsidR="00A42100">
        <w:t>. While we accept in principle that Endeavour Energy should recover incremental administration costs through an exit fee, we do not consider that Endeavour Energy demonstrated they will face incremental administration costs. As such, we do not accept that an exit fee should apply.</w:t>
      </w:r>
    </w:p>
    <w:p w:rsidR="00A74A9F" w:rsidRDefault="00A42100" w:rsidP="00A42100">
      <w:pPr>
        <w:pStyle w:val="AERbodytext"/>
        <w:numPr>
          <w:ilvl w:val="0"/>
          <w:numId w:val="0"/>
        </w:numPr>
      </w:pPr>
      <w:r>
        <w:t>We generally accept Endeavour Energy’s building block approach as the basis for establishing annual metering charges. We do not, however, accept Endeavour Energy’s proposed capital expenditure building block. Our draft decision accepts $</w:t>
      </w:r>
      <w:r w:rsidR="00F02123">
        <w:t>8.1</w:t>
      </w:r>
      <w:r w:rsidR="008C42EC">
        <w:t xml:space="preserve"> </w:t>
      </w:r>
      <w:r>
        <w:t xml:space="preserve">million in capital expenditure for annual metering charges and substitutes that amount for </w:t>
      </w:r>
      <w:r w:rsidR="00A74A9F">
        <w:t>Endeavour Energy’s</w:t>
      </w:r>
      <w:r>
        <w:t xml:space="preserve"> proposed </w:t>
      </w:r>
      <w:r w:rsidRPr="00BF4FE6">
        <w:t>$</w:t>
      </w:r>
      <w:r w:rsidR="00177FA5">
        <w:t>21.1</w:t>
      </w:r>
      <w:r w:rsidR="008C42EC">
        <w:t xml:space="preserve"> </w:t>
      </w:r>
      <w:r>
        <w:t xml:space="preserve">million ($2014-15). </w:t>
      </w:r>
    </w:p>
    <w:p w:rsidR="00A42100" w:rsidRDefault="00A42100" w:rsidP="00A42100">
      <w:pPr>
        <w:pStyle w:val="AERbodytext"/>
        <w:numPr>
          <w:ilvl w:val="0"/>
          <w:numId w:val="0"/>
        </w:numPr>
      </w:pPr>
      <w:r>
        <w:t>I</w:t>
      </w:r>
      <w:r w:rsidR="00A74A9F">
        <w:t xml:space="preserve">n </w:t>
      </w:r>
      <w:r>
        <w:t xml:space="preserve">assessing the metering operating expenditure building block, our base year analysis used historical averages of multiple years rather than </w:t>
      </w:r>
      <w:r w:rsidR="00A74A9F">
        <w:t>Endeavour Energy’s</w:t>
      </w:r>
      <w:r>
        <w:t xml:space="preserve"> proposed single historic year. In addition to looking at revealed costs, we made a benchmarking adjustment because </w:t>
      </w:r>
      <w:r w:rsidR="00A74A9F">
        <w:t>Endeavour Energy</w:t>
      </w:r>
      <w:r>
        <w:t xml:space="preserve"> should be at least as efficient as comparable network businesses in the national electricity market. Our cost assessment led us to </w:t>
      </w:r>
      <w:r w:rsidR="00D43ABE">
        <w:t>approve</w:t>
      </w:r>
      <w:r>
        <w:t xml:space="preserve"> $</w:t>
      </w:r>
      <w:r w:rsidR="00D43ABE">
        <w:t>67.9</w:t>
      </w:r>
      <w:r>
        <w:t> million in operating expenditure for annual metering charges and substitute that amount for the proposed $</w:t>
      </w:r>
      <w:r w:rsidR="00177FA5">
        <w:t>103.4</w:t>
      </w:r>
      <w:r w:rsidR="001749C6">
        <w:t xml:space="preserve"> </w:t>
      </w:r>
      <w:r>
        <w:t>million ($2014-15). We also considered the opening metering RAB va</w:t>
      </w:r>
      <w:r w:rsidR="00D43ABE">
        <w:t>lue</w:t>
      </w:r>
      <w:r w:rsidR="00945E74">
        <w:t xml:space="preserve"> as at 1 July 2014</w:t>
      </w:r>
      <w:r w:rsidR="00D43ABE">
        <w:t>. Our decision is to accept an</w:t>
      </w:r>
      <w:r>
        <w:t xml:space="preserve"> opening RAB value </w:t>
      </w:r>
      <w:r w:rsidR="00D43ABE">
        <w:t xml:space="preserve">that is $100,000 less </w:t>
      </w:r>
      <w:r>
        <w:t>than proposed</w:t>
      </w:r>
      <w:r w:rsidR="00D43ABE">
        <w:t xml:space="preserve"> of </w:t>
      </w:r>
      <w:r>
        <w:t>$</w:t>
      </w:r>
      <w:r w:rsidR="00664C67">
        <w:t>27.2 million ($</w:t>
      </w:r>
      <w:r w:rsidR="00945E74">
        <w:t>nominal</w:t>
      </w:r>
      <w:r w:rsidR="00664C67">
        <w:t>)</w:t>
      </w:r>
      <w:r>
        <w:t>.</w:t>
      </w:r>
    </w:p>
    <w:p w:rsidR="00EB6E3E" w:rsidRPr="00EB6E3E" w:rsidRDefault="00945E74" w:rsidP="00EB6E3E">
      <w:r>
        <w:t>Based on our cost assessment</w:t>
      </w:r>
      <w:r w:rsidR="00177FA5">
        <w:t>, we reject</w:t>
      </w:r>
      <w:r w:rsidR="00EB6E3E" w:rsidRPr="00EB6E3E">
        <w:t xml:space="preserve"> Endeavour Energy’s proposed price caps for annual charges</w:t>
      </w:r>
      <w:r>
        <w:t xml:space="preserve"> and new/upgraded connections upfront capital charges</w:t>
      </w:r>
      <w:r w:rsidR="00EB6E3E" w:rsidRPr="00EB6E3E">
        <w:t>. Our substitute pr</w:t>
      </w:r>
      <w:r w:rsidR="008F09C7">
        <w:t>ice caps are set out in Appendix</w:t>
      </w:r>
      <w:r>
        <w:t xml:space="preserve"> </w:t>
      </w:r>
      <w:r>
        <w:fldChar w:fldCharType="begin"/>
      </w:r>
      <w:r>
        <w:instrText xml:space="preserve"> REF _Ref403653144 \r \h </w:instrText>
      </w:r>
      <w:r>
        <w:fldChar w:fldCharType="separate"/>
      </w:r>
      <w:r>
        <w:t>A.1.2</w:t>
      </w:r>
      <w:r>
        <w:fldChar w:fldCharType="end"/>
      </w:r>
      <w:r w:rsidR="00F02123">
        <w:t>.</w:t>
      </w:r>
    </w:p>
    <w:p w:rsidR="00EB6E3E" w:rsidRPr="00EB6E3E" w:rsidRDefault="00EB6E3E" w:rsidP="00337A3F">
      <w:pPr>
        <w:pStyle w:val="Heading3"/>
      </w:pPr>
      <w:bookmarkStart w:id="40" w:name="_Toc404324961"/>
      <w:r w:rsidRPr="00EB6E3E">
        <w:t>Proposal</w:t>
      </w:r>
      <w:bookmarkEnd w:id="40"/>
    </w:p>
    <w:p w:rsidR="000D419A" w:rsidRDefault="00EB6E3E" w:rsidP="00EB6E3E">
      <w:r w:rsidRPr="00EB6E3E">
        <w:t>In May 2014, Endeavour Energy submitted its metering proposal for the 2014–15 and 2015–19 regulatory control periods. It accepted the proposed service classification and control mechanism outlined in our Stage 1 Framework and Approach paper. That is, Endeavour Energy classified types 5 and 6 metering provision, maintenance, reading, and data services as alternative control services and proposed pri</w:t>
      </w:r>
      <w:r w:rsidR="007055B7">
        <w:t>ce caps on individual services.</w:t>
      </w:r>
      <w:r w:rsidR="00D2749E">
        <w:t xml:space="preserve"> </w:t>
      </w:r>
      <w:r w:rsidR="00D2749E">
        <w:fldChar w:fldCharType="begin"/>
      </w:r>
      <w:r w:rsidR="00D2749E">
        <w:instrText xml:space="preserve"> REF _Ref402862608 \h </w:instrText>
      </w:r>
      <w:r w:rsidR="00D2749E">
        <w:fldChar w:fldCharType="separate"/>
      </w:r>
      <w:r w:rsidR="00D2749E">
        <w:t xml:space="preserve">Figure </w:t>
      </w:r>
      <w:r w:rsidR="00D2749E">
        <w:rPr>
          <w:noProof/>
        </w:rPr>
        <w:t>16</w:t>
      </w:r>
      <w:r w:rsidR="00D2749E">
        <w:noBreakHyphen/>
      </w:r>
      <w:r w:rsidR="00D2749E">
        <w:rPr>
          <w:noProof/>
        </w:rPr>
        <w:t>3</w:t>
      </w:r>
      <w:r w:rsidR="00D2749E">
        <w:fldChar w:fldCharType="end"/>
      </w:r>
      <w:r w:rsidR="00D2749E">
        <w:t xml:space="preserve"> </w:t>
      </w:r>
      <w:r w:rsidR="000D419A">
        <w:t>sets out Endeavour Energy’s</w:t>
      </w:r>
      <w:r w:rsidRPr="00EB6E3E">
        <w:t xml:space="preserve"> proposed </w:t>
      </w:r>
      <w:r w:rsidR="000D419A">
        <w:t>structure of metering tariffs.</w:t>
      </w:r>
    </w:p>
    <w:p w:rsidR="00EB6E3E" w:rsidRPr="00EB6E3E" w:rsidRDefault="000D419A" w:rsidP="000F4443">
      <w:pPr>
        <w:pStyle w:val="Caption"/>
      </w:pPr>
      <w:bookmarkStart w:id="41" w:name="_Ref402862608"/>
      <w:r>
        <w:t xml:space="preserve">Figure </w:t>
      </w:r>
      <w:r w:rsidR="004667DE">
        <w:fldChar w:fldCharType="begin"/>
      </w:r>
      <w:r w:rsidR="004667DE">
        <w:instrText xml:space="preserve"> STYLEREF 1 \s </w:instrText>
      </w:r>
      <w:r w:rsidR="004667DE">
        <w:fldChar w:fldCharType="separate"/>
      </w:r>
      <w:r w:rsidR="003E262F">
        <w:rPr>
          <w:noProof/>
        </w:rPr>
        <w:t>16</w:t>
      </w:r>
      <w:r w:rsidR="004667DE">
        <w:rPr>
          <w:noProof/>
        </w:rPr>
        <w:fldChar w:fldCharType="end"/>
      </w:r>
      <w:r w:rsidR="003E262F">
        <w:noBreakHyphen/>
      </w:r>
      <w:r w:rsidR="004667DE">
        <w:fldChar w:fldCharType="begin"/>
      </w:r>
      <w:r w:rsidR="004667DE">
        <w:instrText xml:space="preserve"> SEQ Figure \* ARABIC \s 1 </w:instrText>
      </w:r>
      <w:r w:rsidR="004667DE">
        <w:fldChar w:fldCharType="separate"/>
      </w:r>
      <w:r w:rsidR="003E262F">
        <w:rPr>
          <w:noProof/>
        </w:rPr>
        <w:t>3</w:t>
      </w:r>
      <w:r w:rsidR="004667DE">
        <w:rPr>
          <w:noProof/>
        </w:rPr>
        <w:fldChar w:fldCharType="end"/>
      </w:r>
      <w:bookmarkEnd w:id="41"/>
      <w:r>
        <w:tab/>
        <w:t>Endeavour Energy’s proposed structure for metering tariffs</w:t>
      </w:r>
    </w:p>
    <w:p w:rsidR="00EB6E3E" w:rsidRDefault="00EB6E3E" w:rsidP="00EB6E3E">
      <w:r w:rsidRPr="00EB6E3E">
        <w:rPr>
          <w:noProof/>
          <w:lang w:eastAsia="en-AU"/>
        </w:rPr>
        <w:drawing>
          <wp:inline distT="0" distB="0" distL="0" distR="0" wp14:anchorId="366578C8" wp14:editId="6DD76F10">
            <wp:extent cx="5731510" cy="3522980"/>
            <wp:effectExtent l="0" t="0" r="0" b="1270"/>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7" r:lo="rId28" r:qs="rId29" r:cs="rId30"/>
              </a:graphicData>
            </a:graphic>
          </wp:inline>
        </w:drawing>
      </w:r>
    </w:p>
    <w:p w:rsidR="00736A34" w:rsidRPr="00EB6E3E" w:rsidRDefault="00736A34" w:rsidP="00EB6E3E"/>
    <w:p w:rsidR="00EB6E3E" w:rsidRPr="00EB6E3E" w:rsidRDefault="00EB6E3E" w:rsidP="00337A3F">
      <w:pPr>
        <w:pStyle w:val="HeadingBoldBlue"/>
      </w:pPr>
      <w:r w:rsidRPr="00EB6E3E">
        <w:t>Annual metering services</w:t>
      </w:r>
    </w:p>
    <w:p w:rsidR="00EA3A13" w:rsidRDefault="00EB6E3E" w:rsidP="00EB6E3E">
      <w:r w:rsidRPr="00EB6E3E">
        <w:t>For each tariff class, Endeavour Energy proposed a price cap for annual metering services. It applied the 'building block' approach to develop</w:t>
      </w:r>
      <w:r w:rsidR="007055B7">
        <w:t xml:space="preserve"> </w:t>
      </w:r>
      <w:r w:rsidRPr="00EB6E3E">
        <w:t>proposed prices</w:t>
      </w:r>
      <w:r w:rsidR="0014651E">
        <w:t xml:space="preserve">. This involved </w:t>
      </w:r>
      <w:r w:rsidRPr="00EB6E3E">
        <w:t>forecasting revenue requirement for eac</w:t>
      </w:r>
      <w:r w:rsidR="00EA3A13">
        <w:t xml:space="preserve">h of </w:t>
      </w:r>
      <w:r w:rsidR="0014651E">
        <w:t xml:space="preserve">the distribution business’ </w:t>
      </w:r>
      <w:r w:rsidR="00EA3A13">
        <w:t>metering related costs, comprising of:</w:t>
      </w:r>
    </w:p>
    <w:p w:rsidR="00EB6E3E" w:rsidRDefault="0014651E" w:rsidP="00EA3A13">
      <w:pPr>
        <w:pStyle w:val="AERbulletlistfirststyle"/>
      </w:pPr>
      <w:r>
        <w:t>a</w:t>
      </w:r>
      <w:r w:rsidR="00EA3A13">
        <w:t xml:space="preserve">n </w:t>
      </w:r>
      <w:r>
        <w:t>operating expenditure</w:t>
      </w:r>
      <w:r w:rsidR="00EA3A13">
        <w:t xml:space="preserve"> </w:t>
      </w:r>
      <w:r w:rsidR="00EB6E3E" w:rsidRPr="00EB6E3E">
        <w:t>building block</w:t>
      </w:r>
      <w:r w:rsidR="00D17DDB">
        <w:t>—</w:t>
      </w:r>
      <w:r w:rsidR="00EB6E3E" w:rsidRPr="00EB6E3E">
        <w:t xml:space="preserve">meter reading, meter data services and meter maintenance costs </w:t>
      </w:r>
    </w:p>
    <w:p w:rsidR="00EB6E3E" w:rsidRDefault="0014651E" w:rsidP="00EA3A13">
      <w:pPr>
        <w:pStyle w:val="AERbulletlistfirststyle"/>
      </w:pPr>
      <w:r>
        <w:t>a</w:t>
      </w:r>
      <w:r w:rsidR="00EA3A13">
        <w:t xml:space="preserve"> </w:t>
      </w:r>
      <w:r>
        <w:t>capital expenditure</w:t>
      </w:r>
      <w:r w:rsidR="00EB6E3E" w:rsidRPr="00EB6E3E">
        <w:t xml:space="preserve"> building block</w:t>
      </w:r>
      <w:r w:rsidR="00D17DDB">
        <w:t>—</w:t>
      </w:r>
      <w:r>
        <w:t>the cost of</w:t>
      </w:r>
      <w:r w:rsidR="00EB6E3E" w:rsidRPr="00EB6E3E">
        <w:t xml:space="preserve"> replac</w:t>
      </w:r>
      <w:r>
        <w:t>ing existing meters</w:t>
      </w:r>
      <w:r w:rsidR="003F0D47">
        <w:t xml:space="preserve"> either reactively or proactively</w:t>
      </w:r>
    </w:p>
    <w:p w:rsidR="00945E74" w:rsidRPr="00945E74" w:rsidRDefault="00945E74" w:rsidP="00945E74">
      <w:pPr>
        <w:pStyle w:val="AERbulletlistfirststyle"/>
      </w:pPr>
      <w:proofErr w:type="gramStart"/>
      <w:r w:rsidRPr="00945E74">
        <w:t>the</w:t>
      </w:r>
      <w:proofErr w:type="gramEnd"/>
      <w:r w:rsidRPr="00945E74">
        <w:t xml:space="preserve"> opening metering regulatory asset base (RAB) recovery—</w:t>
      </w:r>
      <w:r w:rsidR="00EB6E3E" w:rsidRPr="00945E74">
        <w:t>the value of the existing metering assets as of 1 July 2014 and excludes replacement</w:t>
      </w:r>
      <w:r w:rsidR="0014651E" w:rsidRPr="00945E74">
        <w:t>s</w:t>
      </w:r>
      <w:r w:rsidR="00EB6E3E" w:rsidRPr="00945E74">
        <w:t xml:space="preserve"> and</w:t>
      </w:r>
      <w:r w:rsidR="0014651E" w:rsidRPr="00945E74">
        <w:t xml:space="preserve"> the cost of</w:t>
      </w:r>
      <w:r w:rsidR="00EB6E3E" w:rsidRPr="00945E74">
        <w:t xml:space="preserve"> new meter assets. </w:t>
      </w:r>
    </w:p>
    <w:p w:rsidR="00EB6E3E" w:rsidRPr="00EB6E3E" w:rsidRDefault="00EB6E3E" w:rsidP="008F09C7">
      <w:pPr>
        <w:pStyle w:val="AERbulletlistfirststyle"/>
        <w:numPr>
          <w:ilvl w:val="0"/>
          <w:numId w:val="0"/>
        </w:numPr>
      </w:pPr>
      <w:r w:rsidRPr="00EB6E3E">
        <w:t xml:space="preserve">Endeavour Energy proposed to accelerate depreciation of the opening RAB so that the entire amount would be recovered by the end of the </w:t>
      </w:r>
      <w:r w:rsidR="0014651E">
        <w:t xml:space="preserve">2014–15 and </w:t>
      </w:r>
      <w:r w:rsidRPr="00EB6E3E">
        <w:t>2015</w:t>
      </w:r>
      <w:r w:rsidR="0014651E">
        <w:t>–</w:t>
      </w:r>
      <w:r w:rsidRPr="00EB6E3E">
        <w:t>19 regulatory</w:t>
      </w:r>
      <w:r w:rsidR="0014651E">
        <w:t xml:space="preserve"> control</w:t>
      </w:r>
      <w:r w:rsidRPr="00EB6E3E">
        <w:t xml:space="preserve"> period</w:t>
      </w:r>
      <w:r w:rsidR="0014651E">
        <w:t xml:space="preserve">s. </w:t>
      </w:r>
      <w:r w:rsidR="00D43ABE" w:rsidRPr="00EB6E3E">
        <w:t>Endeavour Energy</w:t>
      </w:r>
      <w:r w:rsidR="00D43ABE">
        <w:t xml:space="preserve"> also</w:t>
      </w:r>
      <w:r w:rsidR="00D43ABE" w:rsidRPr="00EB6E3E">
        <w:t xml:space="preserve"> proposed to apply one year accelerated depreciation for replacement capital expenditure in order to mitigate the risk of further stranded costs. </w:t>
      </w:r>
      <w:r w:rsidR="00D43ABE">
        <w:t xml:space="preserve"> </w:t>
      </w:r>
      <w:r w:rsidR="0014651E">
        <w:t xml:space="preserve">It stated that </w:t>
      </w:r>
      <w:r w:rsidRPr="00EB6E3E">
        <w:t xml:space="preserve">this will </w:t>
      </w:r>
      <w:r w:rsidR="0014651E">
        <w:t>‘</w:t>
      </w:r>
      <w:r w:rsidRPr="00EB6E3E">
        <w:t>help facilitate contestability in the market and avoid the need for exit fees in the long term</w:t>
      </w:r>
      <w:r w:rsidR="0014651E">
        <w:t>’.</w:t>
      </w:r>
      <w:r w:rsidRPr="00884414">
        <w:rPr>
          <w:rStyle w:val="FootnoteReference"/>
          <w:rFonts w:eastAsia="Calibri"/>
          <w:szCs w:val="20"/>
        </w:rPr>
        <w:footnoteReference w:id="53"/>
      </w:r>
      <w:r w:rsidR="0014651E">
        <w:t xml:space="preserve"> </w:t>
      </w:r>
      <w:r w:rsidR="00D43ABE">
        <w:t xml:space="preserve">However in the short run (the 2015-19 regulatory period), the proposed accelerated depreciation </w:t>
      </w:r>
      <w:r w:rsidR="0014651E">
        <w:t xml:space="preserve">would have an upward effect on prices for </w:t>
      </w:r>
      <w:r w:rsidR="00D17DDB">
        <w:t>annual metering services</w:t>
      </w:r>
      <w:r w:rsidR="00D43ABE">
        <w:t xml:space="preserve"> compared to having a slower depreciation schedule</w:t>
      </w:r>
      <w:r w:rsidR="00D17DDB">
        <w:t>.</w:t>
      </w:r>
      <w:r w:rsidR="0014651E">
        <w:t xml:space="preserve"> </w:t>
      </w:r>
    </w:p>
    <w:p w:rsidR="00EB6E3E" w:rsidRPr="00EB6E3E" w:rsidRDefault="00D2749E" w:rsidP="00EB6E3E">
      <w:r>
        <w:fldChar w:fldCharType="begin"/>
      </w:r>
      <w:r>
        <w:instrText xml:space="preserve"> REF _Ref402873352 \h </w:instrText>
      </w:r>
      <w:r>
        <w:fldChar w:fldCharType="separate"/>
      </w:r>
      <w:r>
        <w:t xml:space="preserve">Table </w:t>
      </w:r>
      <w:r>
        <w:rPr>
          <w:noProof/>
        </w:rPr>
        <w:t>16</w:t>
      </w:r>
      <w:r>
        <w:noBreakHyphen/>
      </w:r>
      <w:r>
        <w:rPr>
          <w:noProof/>
        </w:rPr>
        <w:t>8</w:t>
      </w:r>
      <w:r>
        <w:fldChar w:fldCharType="end"/>
      </w:r>
      <w:r w:rsidR="00183FED">
        <w:t xml:space="preserve"> </w:t>
      </w:r>
      <w:r w:rsidR="00EB6E3E" w:rsidRPr="00EB6E3E">
        <w:t xml:space="preserve">sets out Endeavour Energy's proposed metering building block revenue requirement. </w:t>
      </w:r>
      <w:r>
        <w:fldChar w:fldCharType="begin"/>
      </w:r>
      <w:r>
        <w:instrText xml:space="preserve"> REF _Ref402873362 \h </w:instrText>
      </w:r>
      <w:r>
        <w:fldChar w:fldCharType="separate"/>
      </w:r>
      <w:r>
        <w:t xml:space="preserve">Table </w:t>
      </w:r>
      <w:r>
        <w:rPr>
          <w:noProof/>
        </w:rPr>
        <w:t>16</w:t>
      </w:r>
      <w:r>
        <w:noBreakHyphen/>
      </w:r>
      <w:r>
        <w:rPr>
          <w:noProof/>
        </w:rPr>
        <w:t>9</w:t>
      </w:r>
      <w:r>
        <w:fldChar w:fldCharType="end"/>
      </w:r>
      <w:r w:rsidR="00183FED">
        <w:t xml:space="preserve"> </w:t>
      </w:r>
      <w:r w:rsidR="00EB6E3E" w:rsidRPr="00EB6E3E">
        <w:t>shows</w:t>
      </w:r>
      <w:r w:rsidR="00CF7E90">
        <w:t xml:space="preserve"> the</w:t>
      </w:r>
      <w:r w:rsidR="00EB6E3E" w:rsidRPr="00EB6E3E">
        <w:t xml:space="preserve"> proposed annual charges for metering services that recover the total proposed revenue.</w:t>
      </w:r>
    </w:p>
    <w:p w:rsidR="00EB6E3E" w:rsidRPr="00EB6E3E" w:rsidRDefault="00183FED" w:rsidP="00183FED">
      <w:pPr>
        <w:pStyle w:val="Caption"/>
      </w:pPr>
      <w:bookmarkStart w:id="42" w:name="_Ref402873352"/>
      <w:r>
        <w:t xml:space="preserve">Table </w:t>
      </w:r>
      <w:r w:rsidR="004667DE">
        <w:fldChar w:fldCharType="begin"/>
      </w:r>
      <w:r w:rsidR="004667DE">
        <w:instrText xml:space="preserve"> STYLEREF 1 \s </w:instrText>
      </w:r>
      <w:r w:rsidR="004667DE">
        <w:fldChar w:fldCharType="separate"/>
      </w:r>
      <w:r w:rsidR="003E262F">
        <w:rPr>
          <w:noProof/>
        </w:rPr>
        <w:t>16</w:t>
      </w:r>
      <w:r w:rsidR="004667DE">
        <w:rPr>
          <w:noProof/>
        </w:rPr>
        <w:fldChar w:fldCharType="end"/>
      </w:r>
      <w:r w:rsidR="003E262F">
        <w:noBreakHyphen/>
      </w:r>
      <w:r w:rsidR="004667DE">
        <w:fldChar w:fldCharType="begin"/>
      </w:r>
      <w:r w:rsidR="004667DE">
        <w:instrText xml:space="preserve"> SEQ Table \* ARABIC \s 1 </w:instrText>
      </w:r>
      <w:r w:rsidR="004667DE">
        <w:fldChar w:fldCharType="separate"/>
      </w:r>
      <w:r w:rsidR="003E262F">
        <w:rPr>
          <w:noProof/>
        </w:rPr>
        <w:t>8</w:t>
      </w:r>
      <w:r w:rsidR="004667DE">
        <w:rPr>
          <w:noProof/>
        </w:rPr>
        <w:fldChar w:fldCharType="end"/>
      </w:r>
      <w:bookmarkEnd w:id="42"/>
      <w:r w:rsidR="00F203C2">
        <w:t xml:space="preserve"> </w:t>
      </w:r>
      <w:r w:rsidR="0031432E">
        <w:tab/>
      </w:r>
      <w:r w:rsidR="00EB6E3E" w:rsidRPr="00EB6E3E">
        <w:t>Endeavour Energy's proposed metering buildi</w:t>
      </w:r>
      <w:r w:rsidR="008F09C7">
        <w:t>ng block revenue requirement ($ </w:t>
      </w:r>
      <w:r w:rsidR="005940D4">
        <w:t>m</w:t>
      </w:r>
      <w:r w:rsidR="00EB6E3E" w:rsidRPr="00EB6E3E">
        <w:t xml:space="preserve">, </w:t>
      </w:r>
      <w:r w:rsidR="00C417CB">
        <w:t>2014–15</w:t>
      </w:r>
      <w:r w:rsidR="00EB6E3E" w:rsidRPr="00EB6E3E">
        <w:t>)</w:t>
      </w:r>
    </w:p>
    <w:tbl>
      <w:tblPr>
        <w:tblStyle w:val="AERtable-numbers"/>
        <w:tblW w:w="0" w:type="auto"/>
        <w:tblLook w:val="04A0" w:firstRow="1" w:lastRow="0" w:firstColumn="1" w:lastColumn="0" w:noHBand="0" w:noVBand="1"/>
      </w:tblPr>
      <w:tblGrid>
        <w:gridCol w:w="2547"/>
        <w:gridCol w:w="1339"/>
        <w:gridCol w:w="1339"/>
        <w:gridCol w:w="1339"/>
        <w:gridCol w:w="1339"/>
        <w:gridCol w:w="1339"/>
      </w:tblGrid>
      <w:tr w:rsidR="00EB6E3E" w:rsidRPr="00EB6E3E" w:rsidTr="00EB6E3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47" w:type="dxa"/>
          </w:tcPr>
          <w:p w:rsidR="00EB6E3E" w:rsidRPr="00EB6E3E" w:rsidRDefault="00EB6E3E" w:rsidP="00F203C2">
            <w:pPr>
              <w:pStyle w:val="AERtabletextright"/>
            </w:pPr>
          </w:p>
        </w:tc>
        <w:tc>
          <w:tcPr>
            <w:tcW w:w="1339" w:type="dxa"/>
          </w:tcPr>
          <w:p w:rsidR="00EB6E3E" w:rsidRPr="00EB6E3E" w:rsidRDefault="00EB6E3E" w:rsidP="005940D4">
            <w:pPr>
              <w:pStyle w:val="AERtabletextright"/>
              <w:cnfStyle w:val="100000000000" w:firstRow="1" w:lastRow="0" w:firstColumn="0" w:lastColumn="0" w:oddVBand="0" w:evenVBand="0" w:oddHBand="0" w:evenHBand="0" w:firstRowFirstColumn="0" w:firstRowLastColumn="0" w:lastRowFirstColumn="0" w:lastRowLastColumn="0"/>
            </w:pPr>
            <w:r w:rsidRPr="00EB6E3E">
              <w:t>2014–15</w:t>
            </w:r>
          </w:p>
        </w:tc>
        <w:tc>
          <w:tcPr>
            <w:tcW w:w="1339" w:type="dxa"/>
          </w:tcPr>
          <w:p w:rsidR="00EB6E3E" w:rsidRPr="00EB6E3E" w:rsidRDefault="00EB6E3E" w:rsidP="005940D4">
            <w:pPr>
              <w:pStyle w:val="AERtabletextright"/>
              <w:cnfStyle w:val="100000000000" w:firstRow="1" w:lastRow="0" w:firstColumn="0" w:lastColumn="0" w:oddVBand="0" w:evenVBand="0" w:oddHBand="0" w:evenHBand="0" w:firstRowFirstColumn="0" w:firstRowLastColumn="0" w:lastRowFirstColumn="0" w:lastRowLastColumn="0"/>
            </w:pPr>
            <w:r w:rsidRPr="00EB6E3E">
              <w:t>2015–16</w:t>
            </w:r>
          </w:p>
        </w:tc>
        <w:tc>
          <w:tcPr>
            <w:tcW w:w="1339" w:type="dxa"/>
          </w:tcPr>
          <w:p w:rsidR="00EB6E3E" w:rsidRPr="00EB6E3E" w:rsidRDefault="00EB6E3E" w:rsidP="005940D4">
            <w:pPr>
              <w:pStyle w:val="AERtabletextright"/>
              <w:cnfStyle w:val="100000000000" w:firstRow="1" w:lastRow="0" w:firstColumn="0" w:lastColumn="0" w:oddVBand="0" w:evenVBand="0" w:oddHBand="0" w:evenHBand="0" w:firstRowFirstColumn="0" w:firstRowLastColumn="0" w:lastRowFirstColumn="0" w:lastRowLastColumn="0"/>
            </w:pPr>
            <w:r w:rsidRPr="00EB6E3E">
              <w:t>2016–17</w:t>
            </w:r>
          </w:p>
        </w:tc>
        <w:tc>
          <w:tcPr>
            <w:tcW w:w="1339" w:type="dxa"/>
          </w:tcPr>
          <w:p w:rsidR="00EB6E3E" w:rsidRPr="00EB6E3E" w:rsidRDefault="00EB6E3E" w:rsidP="005940D4">
            <w:pPr>
              <w:pStyle w:val="AERtabletextright"/>
              <w:cnfStyle w:val="100000000000" w:firstRow="1" w:lastRow="0" w:firstColumn="0" w:lastColumn="0" w:oddVBand="0" w:evenVBand="0" w:oddHBand="0" w:evenHBand="0" w:firstRowFirstColumn="0" w:firstRowLastColumn="0" w:lastRowFirstColumn="0" w:lastRowLastColumn="0"/>
            </w:pPr>
            <w:r w:rsidRPr="00EB6E3E">
              <w:t>2017–18</w:t>
            </w:r>
          </w:p>
        </w:tc>
        <w:tc>
          <w:tcPr>
            <w:tcW w:w="1339" w:type="dxa"/>
          </w:tcPr>
          <w:p w:rsidR="00EB6E3E" w:rsidRPr="00EB6E3E" w:rsidRDefault="00EB6E3E" w:rsidP="005940D4">
            <w:pPr>
              <w:pStyle w:val="AERtabletextright"/>
              <w:cnfStyle w:val="100000000000" w:firstRow="1" w:lastRow="0" w:firstColumn="0" w:lastColumn="0" w:oddVBand="0" w:evenVBand="0" w:oddHBand="0" w:evenHBand="0" w:firstRowFirstColumn="0" w:firstRowLastColumn="0" w:lastRowFirstColumn="0" w:lastRowLastColumn="0"/>
            </w:pPr>
            <w:r w:rsidRPr="00EB6E3E">
              <w:t xml:space="preserve">                                                         2018</w:t>
            </w:r>
            <w:r w:rsidRPr="00EB6E3E">
              <w:softHyphen/>
              <w:t xml:space="preserve">–19              </w:t>
            </w:r>
          </w:p>
        </w:tc>
      </w:tr>
      <w:tr w:rsidR="00D43ABE" w:rsidRPr="00EB6E3E" w:rsidTr="00EB6E3E">
        <w:tc>
          <w:tcPr>
            <w:cnfStyle w:val="001000000000" w:firstRow="0" w:lastRow="0" w:firstColumn="1" w:lastColumn="0" w:oddVBand="0" w:evenVBand="0" w:oddHBand="0" w:evenHBand="0" w:firstRowFirstColumn="0" w:firstRowLastColumn="0" w:lastRowFirstColumn="0" w:lastRowLastColumn="0"/>
            <w:tcW w:w="2547" w:type="dxa"/>
          </w:tcPr>
          <w:p w:rsidR="00D43ABE" w:rsidRPr="00EB6E3E" w:rsidRDefault="00D43ABE" w:rsidP="007848A6">
            <w:pPr>
              <w:pStyle w:val="AERtabletextleft"/>
            </w:pPr>
            <w:r w:rsidRPr="00CF7E90">
              <w:t xml:space="preserve">Total operating </w:t>
            </w:r>
          </w:p>
        </w:tc>
        <w:tc>
          <w:tcPr>
            <w:tcW w:w="1339" w:type="dxa"/>
          </w:tcPr>
          <w:p w:rsidR="00D43ABE" w:rsidRPr="00EB6E3E" w:rsidRDefault="00F83C1D" w:rsidP="00F203C2">
            <w:pPr>
              <w:pStyle w:val="AERtabletextright"/>
              <w:cnfStyle w:val="000000000000" w:firstRow="0" w:lastRow="0" w:firstColumn="0" w:lastColumn="0" w:oddVBand="0" w:evenVBand="0" w:oddHBand="0" w:evenHBand="0" w:firstRowFirstColumn="0" w:firstRowLastColumn="0" w:lastRowFirstColumn="0" w:lastRowLastColumn="0"/>
            </w:pPr>
            <w:r>
              <w:t>19.9</w:t>
            </w:r>
          </w:p>
        </w:tc>
        <w:tc>
          <w:tcPr>
            <w:tcW w:w="1339" w:type="dxa"/>
          </w:tcPr>
          <w:p w:rsidR="00D43ABE" w:rsidRPr="00EB6E3E" w:rsidRDefault="00F83C1D" w:rsidP="00F203C2">
            <w:pPr>
              <w:pStyle w:val="AERtabletextright"/>
              <w:cnfStyle w:val="000000000000" w:firstRow="0" w:lastRow="0" w:firstColumn="0" w:lastColumn="0" w:oddVBand="0" w:evenVBand="0" w:oddHBand="0" w:evenHBand="0" w:firstRowFirstColumn="0" w:firstRowLastColumn="0" w:lastRowFirstColumn="0" w:lastRowLastColumn="0"/>
            </w:pPr>
            <w:r>
              <w:t>20.2</w:t>
            </w:r>
          </w:p>
        </w:tc>
        <w:tc>
          <w:tcPr>
            <w:tcW w:w="1339" w:type="dxa"/>
          </w:tcPr>
          <w:p w:rsidR="00D43ABE" w:rsidRPr="00EB6E3E" w:rsidRDefault="00F83C1D" w:rsidP="00F203C2">
            <w:pPr>
              <w:pStyle w:val="AERtabletextright"/>
              <w:cnfStyle w:val="000000000000" w:firstRow="0" w:lastRow="0" w:firstColumn="0" w:lastColumn="0" w:oddVBand="0" w:evenVBand="0" w:oddHBand="0" w:evenHBand="0" w:firstRowFirstColumn="0" w:firstRowLastColumn="0" w:lastRowFirstColumn="0" w:lastRowLastColumn="0"/>
            </w:pPr>
            <w:r>
              <w:t>20.9</w:t>
            </w:r>
          </w:p>
        </w:tc>
        <w:tc>
          <w:tcPr>
            <w:tcW w:w="1339" w:type="dxa"/>
          </w:tcPr>
          <w:p w:rsidR="00D43ABE" w:rsidRPr="00EB6E3E" w:rsidRDefault="00F83C1D" w:rsidP="00F203C2">
            <w:pPr>
              <w:pStyle w:val="AERtabletextright"/>
              <w:cnfStyle w:val="000000000000" w:firstRow="0" w:lastRow="0" w:firstColumn="0" w:lastColumn="0" w:oddVBand="0" w:evenVBand="0" w:oddHBand="0" w:evenHBand="0" w:firstRowFirstColumn="0" w:firstRowLastColumn="0" w:lastRowFirstColumn="0" w:lastRowLastColumn="0"/>
            </w:pPr>
            <w:r>
              <w:t>21.0</w:t>
            </w:r>
          </w:p>
        </w:tc>
        <w:tc>
          <w:tcPr>
            <w:tcW w:w="1339" w:type="dxa"/>
          </w:tcPr>
          <w:p w:rsidR="00D43ABE" w:rsidRPr="00EB6E3E" w:rsidRDefault="00F83C1D" w:rsidP="00F203C2">
            <w:pPr>
              <w:pStyle w:val="AERtabletextright"/>
              <w:cnfStyle w:val="000000000000" w:firstRow="0" w:lastRow="0" w:firstColumn="0" w:lastColumn="0" w:oddVBand="0" w:evenVBand="0" w:oddHBand="0" w:evenHBand="0" w:firstRowFirstColumn="0" w:firstRowLastColumn="0" w:lastRowFirstColumn="0" w:lastRowLastColumn="0"/>
            </w:pPr>
            <w:r>
              <w:t>21.5</w:t>
            </w:r>
          </w:p>
        </w:tc>
      </w:tr>
      <w:tr w:rsidR="00D43ABE" w:rsidRPr="00EB6E3E" w:rsidTr="00EB6E3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47" w:type="dxa"/>
          </w:tcPr>
          <w:p w:rsidR="00D43ABE" w:rsidRPr="00EB6E3E" w:rsidRDefault="00D43ABE" w:rsidP="007848A6">
            <w:pPr>
              <w:pStyle w:val="AERtabletextleft"/>
            </w:pPr>
            <w:r w:rsidRPr="00EB6E3E">
              <w:t>Opening RAB</w:t>
            </w:r>
          </w:p>
        </w:tc>
        <w:tc>
          <w:tcPr>
            <w:tcW w:w="1339" w:type="dxa"/>
          </w:tcPr>
          <w:p w:rsidR="00D43ABE" w:rsidRPr="00EB6E3E" w:rsidRDefault="00F83C1D" w:rsidP="00F203C2">
            <w:pPr>
              <w:pStyle w:val="AERtabletextright"/>
              <w:cnfStyle w:val="000000010000" w:firstRow="0" w:lastRow="0" w:firstColumn="0" w:lastColumn="0" w:oddVBand="0" w:evenVBand="0" w:oddHBand="0" w:evenHBand="1" w:firstRowFirstColumn="0" w:firstRowLastColumn="0" w:lastRowFirstColumn="0" w:lastRowLastColumn="0"/>
            </w:pPr>
            <w:r>
              <w:t>6.0</w:t>
            </w:r>
          </w:p>
        </w:tc>
        <w:tc>
          <w:tcPr>
            <w:tcW w:w="1339" w:type="dxa"/>
          </w:tcPr>
          <w:p w:rsidR="00D43ABE" w:rsidRPr="00EB6E3E" w:rsidRDefault="00F83C1D" w:rsidP="00F203C2">
            <w:pPr>
              <w:pStyle w:val="AERtabletextright"/>
              <w:cnfStyle w:val="000000010000" w:firstRow="0" w:lastRow="0" w:firstColumn="0" w:lastColumn="0" w:oddVBand="0" w:evenVBand="0" w:oddHBand="0" w:evenHBand="1" w:firstRowFirstColumn="0" w:firstRowLastColumn="0" w:lastRowFirstColumn="0" w:lastRowLastColumn="0"/>
            </w:pPr>
            <w:r>
              <w:t>5.7</w:t>
            </w:r>
          </w:p>
        </w:tc>
        <w:tc>
          <w:tcPr>
            <w:tcW w:w="1339" w:type="dxa"/>
          </w:tcPr>
          <w:p w:rsidR="00D43ABE" w:rsidRPr="00EB6E3E" w:rsidRDefault="00F83C1D" w:rsidP="00F203C2">
            <w:pPr>
              <w:pStyle w:val="AERtabletextright"/>
              <w:cnfStyle w:val="000000010000" w:firstRow="0" w:lastRow="0" w:firstColumn="0" w:lastColumn="0" w:oddVBand="0" w:evenVBand="0" w:oddHBand="0" w:evenHBand="1" w:firstRowFirstColumn="0" w:firstRowLastColumn="0" w:lastRowFirstColumn="0" w:lastRowLastColumn="0"/>
            </w:pPr>
            <w:r>
              <w:t>5.5</w:t>
            </w:r>
          </w:p>
        </w:tc>
        <w:tc>
          <w:tcPr>
            <w:tcW w:w="1339" w:type="dxa"/>
          </w:tcPr>
          <w:p w:rsidR="00D43ABE" w:rsidRPr="00EB6E3E" w:rsidRDefault="00F83C1D" w:rsidP="00F203C2">
            <w:pPr>
              <w:pStyle w:val="AERtabletextright"/>
              <w:cnfStyle w:val="000000010000" w:firstRow="0" w:lastRow="0" w:firstColumn="0" w:lastColumn="0" w:oddVBand="0" w:evenVBand="0" w:oddHBand="0" w:evenHBand="1" w:firstRowFirstColumn="0" w:firstRowLastColumn="0" w:lastRowFirstColumn="0" w:lastRowLastColumn="0"/>
            </w:pPr>
            <w:r>
              <w:t>5.5</w:t>
            </w:r>
          </w:p>
        </w:tc>
        <w:tc>
          <w:tcPr>
            <w:tcW w:w="1339" w:type="dxa"/>
          </w:tcPr>
          <w:p w:rsidR="00D43ABE" w:rsidRPr="00EB6E3E" w:rsidRDefault="00F83C1D" w:rsidP="00F203C2">
            <w:pPr>
              <w:pStyle w:val="AERtabletextright"/>
              <w:cnfStyle w:val="000000010000" w:firstRow="0" w:lastRow="0" w:firstColumn="0" w:lastColumn="0" w:oddVBand="0" w:evenVBand="0" w:oddHBand="0" w:evenHBand="1" w:firstRowFirstColumn="0" w:firstRowLastColumn="0" w:lastRowFirstColumn="0" w:lastRowLastColumn="0"/>
            </w:pPr>
            <w:r>
              <w:t>5.6</w:t>
            </w:r>
          </w:p>
        </w:tc>
      </w:tr>
      <w:tr w:rsidR="00D43ABE" w:rsidRPr="00EB6E3E" w:rsidTr="00EB6E3E">
        <w:tc>
          <w:tcPr>
            <w:cnfStyle w:val="001000000000" w:firstRow="0" w:lastRow="0" w:firstColumn="1" w:lastColumn="0" w:oddVBand="0" w:evenVBand="0" w:oddHBand="0" w:evenHBand="0" w:firstRowFirstColumn="0" w:firstRowLastColumn="0" w:lastRowFirstColumn="0" w:lastRowLastColumn="0"/>
            <w:tcW w:w="2547" w:type="dxa"/>
          </w:tcPr>
          <w:p w:rsidR="00D43ABE" w:rsidRPr="00EB6E3E" w:rsidRDefault="00D43ABE" w:rsidP="007848A6">
            <w:pPr>
              <w:pStyle w:val="AERtabletextleft"/>
            </w:pPr>
            <w:r w:rsidRPr="00EB6E3E">
              <w:t>Replacement capital expenditure</w:t>
            </w:r>
          </w:p>
        </w:tc>
        <w:tc>
          <w:tcPr>
            <w:tcW w:w="1339" w:type="dxa"/>
          </w:tcPr>
          <w:p w:rsidR="00D43ABE" w:rsidRPr="00EB6E3E" w:rsidRDefault="00F83C1D" w:rsidP="00F203C2">
            <w:pPr>
              <w:pStyle w:val="AERtabletextright"/>
              <w:cnfStyle w:val="000000000000" w:firstRow="0" w:lastRow="0" w:firstColumn="0" w:lastColumn="0" w:oddVBand="0" w:evenVBand="0" w:oddHBand="0" w:evenHBand="0" w:firstRowFirstColumn="0" w:firstRowLastColumn="0" w:lastRowFirstColumn="0" w:lastRowLastColumn="0"/>
            </w:pPr>
            <w:r>
              <w:t>3.1</w:t>
            </w:r>
          </w:p>
        </w:tc>
        <w:tc>
          <w:tcPr>
            <w:tcW w:w="1339" w:type="dxa"/>
          </w:tcPr>
          <w:p w:rsidR="00D43ABE" w:rsidRPr="00EB6E3E" w:rsidRDefault="00F83C1D" w:rsidP="00F203C2">
            <w:pPr>
              <w:pStyle w:val="AERtabletextright"/>
              <w:cnfStyle w:val="000000000000" w:firstRow="0" w:lastRow="0" w:firstColumn="0" w:lastColumn="0" w:oddVBand="0" w:evenVBand="0" w:oddHBand="0" w:evenHBand="0" w:firstRowFirstColumn="0" w:firstRowLastColumn="0" w:lastRowFirstColumn="0" w:lastRowLastColumn="0"/>
            </w:pPr>
            <w:r>
              <w:t>4.0</w:t>
            </w:r>
          </w:p>
        </w:tc>
        <w:tc>
          <w:tcPr>
            <w:tcW w:w="1339" w:type="dxa"/>
          </w:tcPr>
          <w:p w:rsidR="00D43ABE" w:rsidRPr="00EB6E3E" w:rsidRDefault="00F83C1D" w:rsidP="00F203C2">
            <w:pPr>
              <w:pStyle w:val="AERtabletextright"/>
              <w:cnfStyle w:val="000000000000" w:firstRow="0" w:lastRow="0" w:firstColumn="0" w:lastColumn="0" w:oddVBand="0" w:evenVBand="0" w:oddHBand="0" w:evenHBand="0" w:firstRowFirstColumn="0" w:firstRowLastColumn="0" w:lastRowFirstColumn="0" w:lastRowLastColumn="0"/>
            </w:pPr>
            <w:r>
              <w:t>3.9</w:t>
            </w:r>
          </w:p>
        </w:tc>
        <w:tc>
          <w:tcPr>
            <w:tcW w:w="1339" w:type="dxa"/>
          </w:tcPr>
          <w:p w:rsidR="00D43ABE" w:rsidRPr="00EB6E3E" w:rsidRDefault="00F83C1D" w:rsidP="00F203C2">
            <w:pPr>
              <w:pStyle w:val="AERtabletextright"/>
              <w:cnfStyle w:val="000000000000" w:firstRow="0" w:lastRow="0" w:firstColumn="0" w:lastColumn="0" w:oddVBand="0" w:evenVBand="0" w:oddHBand="0" w:evenHBand="0" w:firstRowFirstColumn="0" w:firstRowLastColumn="0" w:lastRowFirstColumn="0" w:lastRowLastColumn="0"/>
            </w:pPr>
            <w:r>
              <w:t>3.4</w:t>
            </w:r>
          </w:p>
        </w:tc>
        <w:tc>
          <w:tcPr>
            <w:tcW w:w="1339" w:type="dxa"/>
          </w:tcPr>
          <w:p w:rsidR="00D43ABE" w:rsidRPr="00EB6E3E" w:rsidRDefault="00F83C1D" w:rsidP="00F203C2">
            <w:pPr>
              <w:pStyle w:val="AERtabletextright"/>
              <w:cnfStyle w:val="000000000000" w:firstRow="0" w:lastRow="0" w:firstColumn="0" w:lastColumn="0" w:oddVBand="0" w:evenVBand="0" w:oddHBand="0" w:evenHBand="0" w:firstRowFirstColumn="0" w:firstRowLastColumn="0" w:lastRowFirstColumn="0" w:lastRowLastColumn="0"/>
            </w:pPr>
            <w:r>
              <w:t>4.8</w:t>
            </w:r>
          </w:p>
        </w:tc>
      </w:tr>
      <w:tr w:rsidR="00F83C1D" w:rsidRPr="00EB6E3E" w:rsidTr="005F047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47" w:type="dxa"/>
          </w:tcPr>
          <w:p w:rsidR="00F83C1D" w:rsidRPr="00945E74" w:rsidRDefault="00F83C1D" w:rsidP="007848A6">
            <w:pPr>
              <w:pStyle w:val="AERtabletextleft"/>
              <w:rPr>
                <w:b/>
              </w:rPr>
            </w:pPr>
            <w:r w:rsidRPr="00945E74">
              <w:rPr>
                <w:b/>
              </w:rPr>
              <w:t>Total proposed revenue</w:t>
            </w:r>
          </w:p>
        </w:tc>
        <w:tc>
          <w:tcPr>
            <w:tcW w:w="1339" w:type="dxa"/>
            <w:vAlign w:val="top"/>
          </w:tcPr>
          <w:p w:rsidR="00F83C1D" w:rsidRPr="00945E74" w:rsidRDefault="00F83C1D" w:rsidP="00F203C2">
            <w:pPr>
              <w:pStyle w:val="AERtabletextright"/>
              <w:cnfStyle w:val="000000010000" w:firstRow="0" w:lastRow="0" w:firstColumn="0" w:lastColumn="0" w:oddVBand="0" w:evenVBand="0" w:oddHBand="0" w:evenHBand="1" w:firstRowFirstColumn="0" w:firstRowLastColumn="0" w:lastRowFirstColumn="0" w:lastRowLastColumn="0"/>
              <w:rPr>
                <w:b/>
              </w:rPr>
            </w:pPr>
            <w:r w:rsidRPr="00945E74">
              <w:rPr>
                <w:b/>
              </w:rPr>
              <w:t>29.0</w:t>
            </w:r>
          </w:p>
        </w:tc>
        <w:tc>
          <w:tcPr>
            <w:tcW w:w="1339" w:type="dxa"/>
            <w:vAlign w:val="top"/>
          </w:tcPr>
          <w:p w:rsidR="00F83C1D" w:rsidRPr="00945E74" w:rsidRDefault="00F83C1D" w:rsidP="00F203C2">
            <w:pPr>
              <w:pStyle w:val="AERtabletextright"/>
              <w:cnfStyle w:val="000000010000" w:firstRow="0" w:lastRow="0" w:firstColumn="0" w:lastColumn="0" w:oddVBand="0" w:evenVBand="0" w:oddHBand="0" w:evenHBand="1" w:firstRowFirstColumn="0" w:firstRowLastColumn="0" w:lastRowFirstColumn="0" w:lastRowLastColumn="0"/>
              <w:rPr>
                <w:b/>
              </w:rPr>
            </w:pPr>
            <w:r w:rsidRPr="00945E74">
              <w:rPr>
                <w:b/>
              </w:rPr>
              <w:t>29.8</w:t>
            </w:r>
          </w:p>
        </w:tc>
        <w:tc>
          <w:tcPr>
            <w:tcW w:w="1339" w:type="dxa"/>
            <w:vAlign w:val="top"/>
          </w:tcPr>
          <w:p w:rsidR="00F83C1D" w:rsidRPr="00945E74" w:rsidRDefault="00177FA5" w:rsidP="00F203C2">
            <w:pPr>
              <w:pStyle w:val="AERtabletextright"/>
              <w:cnfStyle w:val="000000010000" w:firstRow="0" w:lastRow="0" w:firstColumn="0" w:lastColumn="0" w:oddVBand="0" w:evenVBand="0" w:oddHBand="0" w:evenHBand="1" w:firstRowFirstColumn="0" w:firstRowLastColumn="0" w:lastRowFirstColumn="0" w:lastRowLastColumn="0"/>
              <w:rPr>
                <w:b/>
              </w:rPr>
            </w:pPr>
            <w:r>
              <w:rPr>
                <w:b/>
              </w:rPr>
              <w:t>30.4</w:t>
            </w:r>
          </w:p>
        </w:tc>
        <w:tc>
          <w:tcPr>
            <w:tcW w:w="1339" w:type="dxa"/>
            <w:vAlign w:val="top"/>
          </w:tcPr>
          <w:p w:rsidR="00F83C1D" w:rsidRPr="00945E74" w:rsidRDefault="00F83C1D" w:rsidP="00F203C2">
            <w:pPr>
              <w:pStyle w:val="AERtabletextright"/>
              <w:cnfStyle w:val="000000010000" w:firstRow="0" w:lastRow="0" w:firstColumn="0" w:lastColumn="0" w:oddVBand="0" w:evenVBand="0" w:oddHBand="0" w:evenHBand="1" w:firstRowFirstColumn="0" w:firstRowLastColumn="0" w:lastRowFirstColumn="0" w:lastRowLastColumn="0"/>
              <w:rPr>
                <w:b/>
              </w:rPr>
            </w:pPr>
            <w:r w:rsidRPr="00945E74">
              <w:rPr>
                <w:b/>
              </w:rPr>
              <w:t>29.9</w:t>
            </w:r>
          </w:p>
        </w:tc>
        <w:tc>
          <w:tcPr>
            <w:tcW w:w="1339" w:type="dxa"/>
            <w:vAlign w:val="top"/>
          </w:tcPr>
          <w:p w:rsidR="00F83C1D" w:rsidRPr="00945E74" w:rsidRDefault="00F83C1D" w:rsidP="00F203C2">
            <w:pPr>
              <w:pStyle w:val="AERtabletextright"/>
              <w:cnfStyle w:val="000000010000" w:firstRow="0" w:lastRow="0" w:firstColumn="0" w:lastColumn="0" w:oddVBand="0" w:evenVBand="0" w:oddHBand="0" w:evenHBand="1" w:firstRowFirstColumn="0" w:firstRowLastColumn="0" w:lastRowFirstColumn="0" w:lastRowLastColumn="0"/>
              <w:rPr>
                <w:b/>
              </w:rPr>
            </w:pPr>
            <w:r w:rsidRPr="00945E74">
              <w:rPr>
                <w:b/>
              </w:rPr>
              <w:t>31.9</w:t>
            </w:r>
          </w:p>
        </w:tc>
      </w:tr>
    </w:tbl>
    <w:p w:rsidR="00EB6E3E" w:rsidRPr="00EB6E3E" w:rsidRDefault="00EB6E3E" w:rsidP="00337A3F">
      <w:pPr>
        <w:pStyle w:val="AERtablesource"/>
      </w:pPr>
      <w:r w:rsidRPr="00EB6E3E">
        <w:t xml:space="preserve">Source: </w:t>
      </w:r>
      <w:r w:rsidR="00F203C2">
        <w:tab/>
      </w:r>
      <w:r w:rsidRPr="00EB6E3E">
        <w:t xml:space="preserve">Endeavour Energy, </w:t>
      </w:r>
      <w:r w:rsidRPr="008F09C7">
        <w:rPr>
          <w:i/>
        </w:rPr>
        <w:t>Regulatory proposal, Attachment 0.17 – Metering model and prices</w:t>
      </w:r>
      <w:r w:rsidRPr="00EB6E3E">
        <w:t>, May 2014.</w:t>
      </w:r>
      <w:r w:rsidR="00F83C1D">
        <w:t xml:space="preserve"> Converted to $2014-15</w:t>
      </w:r>
    </w:p>
    <w:p w:rsidR="00EB6E3E" w:rsidRPr="00EB6E3E" w:rsidRDefault="00183FED" w:rsidP="00183FED">
      <w:pPr>
        <w:pStyle w:val="Caption"/>
      </w:pPr>
      <w:bookmarkStart w:id="43" w:name="_Ref402873362"/>
      <w:r>
        <w:t xml:space="preserve">Table </w:t>
      </w:r>
      <w:r w:rsidR="004667DE">
        <w:fldChar w:fldCharType="begin"/>
      </w:r>
      <w:r w:rsidR="004667DE">
        <w:instrText xml:space="preserve"> STYLEREF 1 \s </w:instrText>
      </w:r>
      <w:r w:rsidR="004667DE">
        <w:fldChar w:fldCharType="separate"/>
      </w:r>
      <w:r w:rsidR="003E262F">
        <w:rPr>
          <w:noProof/>
        </w:rPr>
        <w:t>16</w:t>
      </w:r>
      <w:r w:rsidR="004667DE">
        <w:rPr>
          <w:noProof/>
        </w:rPr>
        <w:fldChar w:fldCharType="end"/>
      </w:r>
      <w:r w:rsidR="003E262F">
        <w:noBreakHyphen/>
      </w:r>
      <w:r w:rsidR="004667DE">
        <w:fldChar w:fldCharType="begin"/>
      </w:r>
      <w:r w:rsidR="004667DE">
        <w:instrText xml:space="preserve"> SEQ Table \* ARABIC \s 1 </w:instrText>
      </w:r>
      <w:r w:rsidR="004667DE">
        <w:fldChar w:fldCharType="separate"/>
      </w:r>
      <w:r w:rsidR="003E262F">
        <w:rPr>
          <w:noProof/>
        </w:rPr>
        <w:t>9</w:t>
      </w:r>
      <w:r w:rsidR="004667DE">
        <w:rPr>
          <w:noProof/>
        </w:rPr>
        <w:fldChar w:fldCharType="end"/>
      </w:r>
      <w:bookmarkEnd w:id="43"/>
      <w:r w:rsidR="00F203C2">
        <w:t xml:space="preserve"> </w:t>
      </w:r>
      <w:r w:rsidR="0031432E">
        <w:tab/>
      </w:r>
      <w:r w:rsidR="00EB6E3E" w:rsidRPr="00EB6E3E">
        <w:t>Endeavour Energy's proposed prices for annual metering services ($</w:t>
      </w:r>
      <w:r w:rsidR="008F09C7">
        <w:t>2014-15</w:t>
      </w:r>
      <w:r w:rsidR="00EB6E3E" w:rsidRPr="00EB6E3E">
        <w:t>)</w:t>
      </w:r>
    </w:p>
    <w:tbl>
      <w:tblPr>
        <w:tblStyle w:val="AERtable-numbers"/>
        <w:tblW w:w="0" w:type="auto"/>
        <w:tblLook w:val="04A0" w:firstRow="1" w:lastRow="0" w:firstColumn="1" w:lastColumn="0" w:noHBand="0" w:noVBand="1"/>
      </w:tblPr>
      <w:tblGrid>
        <w:gridCol w:w="6368"/>
        <w:gridCol w:w="2835"/>
      </w:tblGrid>
      <w:tr w:rsidR="00EB6E3E" w:rsidRPr="00EB6E3E" w:rsidTr="00EB6E3E">
        <w:trPr>
          <w:cnfStyle w:val="100000000000" w:firstRow="1" w:lastRow="0" w:firstColumn="0" w:lastColumn="0" w:oddVBand="0" w:evenVBand="0" w:oddHBand="0" w:evenHBand="0" w:firstRowFirstColumn="0" w:firstRowLastColumn="0" w:lastRowFirstColumn="0" w:lastRowLastColumn="0"/>
          <w:trHeight w:val="424"/>
        </w:trPr>
        <w:tc>
          <w:tcPr>
            <w:cnfStyle w:val="001000000000" w:firstRow="0" w:lastRow="0" w:firstColumn="1" w:lastColumn="0" w:oddVBand="0" w:evenVBand="0" w:oddHBand="0" w:evenHBand="0" w:firstRowFirstColumn="0" w:firstRowLastColumn="0" w:lastRowFirstColumn="0" w:lastRowLastColumn="0"/>
            <w:tcW w:w="6368" w:type="dxa"/>
          </w:tcPr>
          <w:p w:rsidR="00EB6E3E" w:rsidRPr="00EB6E3E" w:rsidRDefault="00EB6E3E" w:rsidP="007848A6">
            <w:pPr>
              <w:pStyle w:val="AERtabletextleft"/>
            </w:pPr>
            <w:r w:rsidRPr="00EB6E3E">
              <w:t>Tariff class</w:t>
            </w:r>
          </w:p>
        </w:tc>
        <w:tc>
          <w:tcPr>
            <w:tcW w:w="2835" w:type="dxa"/>
          </w:tcPr>
          <w:p w:rsidR="00EB6E3E" w:rsidRPr="00EB6E3E" w:rsidRDefault="00EB6E3E" w:rsidP="00F203C2">
            <w:pPr>
              <w:pStyle w:val="AERtabletextright"/>
              <w:cnfStyle w:val="100000000000" w:firstRow="1" w:lastRow="0" w:firstColumn="0" w:lastColumn="0" w:oddVBand="0" w:evenVBand="0" w:oddHBand="0" w:evenHBand="0" w:firstRowFirstColumn="0" w:firstRowLastColumn="0" w:lastRowFirstColumn="0" w:lastRowLastColumn="0"/>
            </w:pPr>
            <w:r w:rsidRPr="00EB6E3E">
              <w:t>Average price per annum</w:t>
            </w:r>
          </w:p>
          <w:p w:rsidR="00EB6E3E" w:rsidRPr="00EB6E3E" w:rsidRDefault="00EB6E3E" w:rsidP="00F203C2">
            <w:pPr>
              <w:pStyle w:val="AERtabletextright"/>
              <w:cnfStyle w:val="100000000000" w:firstRow="1" w:lastRow="0" w:firstColumn="0" w:lastColumn="0" w:oddVBand="0" w:evenVBand="0" w:oddHBand="0" w:evenHBand="0" w:firstRowFirstColumn="0" w:firstRowLastColumn="0" w:lastRowFirstColumn="0" w:lastRowLastColumn="0"/>
            </w:pPr>
            <w:r w:rsidRPr="00EB6E3E">
              <w:t>(2014–15 to 2018–19)</w:t>
            </w:r>
          </w:p>
        </w:tc>
      </w:tr>
      <w:tr w:rsidR="0031432E" w:rsidRPr="00EB6E3E" w:rsidTr="009B1503">
        <w:trPr>
          <w:trHeight w:val="424"/>
        </w:trPr>
        <w:tc>
          <w:tcPr>
            <w:cnfStyle w:val="001000000000" w:firstRow="0" w:lastRow="0" w:firstColumn="1" w:lastColumn="0" w:oddVBand="0" w:evenVBand="0" w:oddHBand="0" w:evenHBand="0" w:firstRowFirstColumn="0" w:firstRowLastColumn="0" w:lastRowFirstColumn="0" w:lastRowLastColumn="0"/>
            <w:tcW w:w="6368" w:type="dxa"/>
          </w:tcPr>
          <w:p w:rsidR="0031432E" w:rsidRPr="00EB6E3E" w:rsidRDefault="0031432E" w:rsidP="007848A6">
            <w:pPr>
              <w:pStyle w:val="AERtabletextleft"/>
            </w:pPr>
            <w:r w:rsidRPr="00EB6E3E">
              <w:t>Residential anytime</w:t>
            </w:r>
          </w:p>
        </w:tc>
        <w:tc>
          <w:tcPr>
            <w:tcW w:w="2835" w:type="dxa"/>
            <w:vAlign w:val="bottom"/>
          </w:tcPr>
          <w:p w:rsidR="0031432E" w:rsidRPr="0031432E" w:rsidRDefault="0031432E" w:rsidP="0031432E">
            <w:pPr>
              <w:pStyle w:val="AERtabletextright"/>
              <w:cnfStyle w:val="000000000000" w:firstRow="0" w:lastRow="0" w:firstColumn="0" w:lastColumn="0" w:oddVBand="0" w:evenVBand="0" w:oddHBand="0" w:evenHBand="0" w:firstRowFirstColumn="0" w:firstRowLastColumn="0" w:lastRowFirstColumn="0" w:lastRowLastColumn="0"/>
            </w:pPr>
            <w:r w:rsidRPr="0031432E">
              <w:t>25.63</w:t>
            </w:r>
          </w:p>
        </w:tc>
      </w:tr>
      <w:tr w:rsidR="0031432E" w:rsidRPr="00EB6E3E" w:rsidTr="009B1503">
        <w:trPr>
          <w:cnfStyle w:val="000000010000" w:firstRow="0" w:lastRow="0" w:firstColumn="0" w:lastColumn="0" w:oddVBand="0" w:evenVBand="0" w:oddHBand="0" w:evenHBand="1" w:firstRowFirstColumn="0" w:firstRowLastColumn="0" w:lastRowFirstColumn="0" w:lastRowLastColumn="0"/>
          <w:trHeight w:val="424"/>
        </w:trPr>
        <w:tc>
          <w:tcPr>
            <w:cnfStyle w:val="001000000000" w:firstRow="0" w:lastRow="0" w:firstColumn="1" w:lastColumn="0" w:oddVBand="0" w:evenVBand="0" w:oddHBand="0" w:evenHBand="0" w:firstRowFirstColumn="0" w:firstRowLastColumn="0" w:lastRowFirstColumn="0" w:lastRowLastColumn="0"/>
            <w:tcW w:w="6368" w:type="dxa"/>
          </w:tcPr>
          <w:p w:rsidR="0031432E" w:rsidRPr="00EB6E3E" w:rsidRDefault="0031432E" w:rsidP="007848A6">
            <w:pPr>
              <w:pStyle w:val="AERtabletextleft"/>
            </w:pPr>
            <w:r w:rsidRPr="00EB6E3E">
              <w:t>Residential time of use – Type 6 meter</w:t>
            </w:r>
          </w:p>
        </w:tc>
        <w:tc>
          <w:tcPr>
            <w:tcW w:w="2835" w:type="dxa"/>
            <w:vAlign w:val="bottom"/>
          </w:tcPr>
          <w:p w:rsidR="0031432E" w:rsidRPr="0031432E" w:rsidRDefault="0031432E" w:rsidP="0031432E">
            <w:pPr>
              <w:pStyle w:val="AERtabletextright"/>
              <w:cnfStyle w:val="000000010000" w:firstRow="0" w:lastRow="0" w:firstColumn="0" w:lastColumn="0" w:oddVBand="0" w:evenVBand="0" w:oddHBand="0" w:evenHBand="1" w:firstRowFirstColumn="0" w:firstRowLastColumn="0" w:lastRowFirstColumn="0" w:lastRowLastColumn="0"/>
            </w:pPr>
            <w:r w:rsidRPr="0031432E">
              <w:t>47.79</w:t>
            </w:r>
          </w:p>
        </w:tc>
      </w:tr>
      <w:tr w:rsidR="0031432E" w:rsidRPr="00EB6E3E" w:rsidTr="009B1503">
        <w:trPr>
          <w:trHeight w:val="424"/>
        </w:trPr>
        <w:tc>
          <w:tcPr>
            <w:cnfStyle w:val="001000000000" w:firstRow="0" w:lastRow="0" w:firstColumn="1" w:lastColumn="0" w:oddVBand="0" w:evenVBand="0" w:oddHBand="0" w:evenHBand="0" w:firstRowFirstColumn="0" w:firstRowLastColumn="0" w:lastRowFirstColumn="0" w:lastRowLastColumn="0"/>
            <w:tcW w:w="6368" w:type="dxa"/>
          </w:tcPr>
          <w:p w:rsidR="0031432E" w:rsidRPr="00EB6E3E" w:rsidRDefault="0031432E" w:rsidP="007848A6">
            <w:pPr>
              <w:pStyle w:val="AERtabletextleft"/>
            </w:pPr>
            <w:r w:rsidRPr="00EB6E3E">
              <w:t>Residential time of use – Type 5 meter</w:t>
            </w:r>
          </w:p>
        </w:tc>
        <w:tc>
          <w:tcPr>
            <w:tcW w:w="2835" w:type="dxa"/>
            <w:vAlign w:val="bottom"/>
          </w:tcPr>
          <w:p w:rsidR="0031432E" w:rsidRPr="0031432E" w:rsidRDefault="0031432E" w:rsidP="0031432E">
            <w:pPr>
              <w:pStyle w:val="AERtabletextright"/>
              <w:cnfStyle w:val="000000000000" w:firstRow="0" w:lastRow="0" w:firstColumn="0" w:lastColumn="0" w:oddVBand="0" w:evenVBand="0" w:oddHBand="0" w:evenHBand="0" w:firstRowFirstColumn="0" w:firstRowLastColumn="0" w:lastRowFirstColumn="0" w:lastRowLastColumn="0"/>
            </w:pPr>
            <w:r w:rsidRPr="0031432E">
              <w:t>177.84</w:t>
            </w:r>
          </w:p>
        </w:tc>
      </w:tr>
      <w:tr w:rsidR="0031432E" w:rsidRPr="00EB6E3E" w:rsidTr="009B1503">
        <w:trPr>
          <w:cnfStyle w:val="000000010000" w:firstRow="0" w:lastRow="0" w:firstColumn="0" w:lastColumn="0" w:oddVBand="0" w:evenVBand="0" w:oddHBand="0" w:evenHBand="1" w:firstRowFirstColumn="0" w:firstRowLastColumn="0" w:lastRowFirstColumn="0" w:lastRowLastColumn="0"/>
          <w:trHeight w:val="424"/>
        </w:trPr>
        <w:tc>
          <w:tcPr>
            <w:cnfStyle w:val="001000000000" w:firstRow="0" w:lastRow="0" w:firstColumn="1" w:lastColumn="0" w:oddVBand="0" w:evenVBand="0" w:oddHBand="0" w:evenHBand="0" w:firstRowFirstColumn="0" w:firstRowLastColumn="0" w:lastRowFirstColumn="0" w:lastRowLastColumn="0"/>
            <w:tcW w:w="6368" w:type="dxa"/>
          </w:tcPr>
          <w:p w:rsidR="0031432E" w:rsidRPr="00EB6E3E" w:rsidRDefault="0031432E" w:rsidP="007848A6">
            <w:pPr>
              <w:pStyle w:val="AERtabletextleft"/>
            </w:pPr>
            <w:r w:rsidRPr="00EB6E3E">
              <w:t>Small business anytime</w:t>
            </w:r>
          </w:p>
        </w:tc>
        <w:tc>
          <w:tcPr>
            <w:tcW w:w="2835" w:type="dxa"/>
            <w:vAlign w:val="bottom"/>
          </w:tcPr>
          <w:p w:rsidR="0031432E" w:rsidRPr="0031432E" w:rsidRDefault="0031432E" w:rsidP="0031432E">
            <w:pPr>
              <w:pStyle w:val="AERtabletextright"/>
              <w:cnfStyle w:val="000000010000" w:firstRow="0" w:lastRow="0" w:firstColumn="0" w:lastColumn="0" w:oddVBand="0" w:evenVBand="0" w:oddHBand="0" w:evenHBand="1" w:firstRowFirstColumn="0" w:firstRowLastColumn="0" w:lastRowFirstColumn="0" w:lastRowLastColumn="0"/>
            </w:pPr>
            <w:r w:rsidRPr="0031432E">
              <w:t>35.35</w:t>
            </w:r>
          </w:p>
        </w:tc>
      </w:tr>
      <w:tr w:rsidR="0031432E" w:rsidRPr="00EB6E3E" w:rsidTr="009B1503">
        <w:trPr>
          <w:trHeight w:val="424"/>
        </w:trPr>
        <w:tc>
          <w:tcPr>
            <w:cnfStyle w:val="001000000000" w:firstRow="0" w:lastRow="0" w:firstColumn="1" w:lastColumn="0" w:oddVBand="0" w:evenVBand="0" w:oddHBand="0" w:evenHBand="0" w:firstRowFirstColumn="0" w:firstRowLastColumn="0" w:lastRowFirstColumn="0" w:lastRowLastColumn="0"/>
            <w:tcW w:w="6368" w:type="dxa"/>
          </w:tcPr>
          <w:p w:rsidR="0031432E" w:rsidRPr="00EB6E3E" w:rsidRDefault="0031432E" w:rsidP="007848A6">
            <w:pPr>
              <w:pStyle w:val="AERtabletextleft"/>
            </w:pPr>
            <w:r w:rsidRPr="00EB6E3E">
              <w:t>Small business time of use – Type 6 meter</w:t>
            </w:r>
          </w:p>
        </w:tc>
        <w:tc>
          <w:tcPr>
            <w:tcW w:w="2835" w:type="dxa"/>
            <w:vAlign w:val="bottom"/>
          </w:tcPr>
          <w:p w:rsidR="0031432E" w:rsidRPr="0031432E" w:rsidRDefault="0031432E" w:rsidP="0031432E">
            <w:pPr>
              <w:pStyle w:val="AERtabletextright"/>
              <w:cnfStyle w:val="000000000000" w:firstRow="0" w:lastRow="0" w:firstColumn="0" w:lastColumn="0" w:oddVBand="0" w:evenVBand="0" w:oddHBand="0" w:evenHBand="0" w:firstRowFirstColumn="0" w:firstRowLastColumn="0" w:lastRowFirstColumn="0" w:lastRowLastColumn="0"/>
            </w:pPr>
            <w:r w:rsidRPr="0031432E">
              <w:t>76.93</w:t>
            </w:r>
          </w:p>
        </w:tc>
      </w:tr>
      <w:tr w:rsidR="0031432E" w:rsidRPr="00EB6E3E" w:rsidTr="009B1503">
        <w:trPr>
          <w:cnfStyle w:val="000000010000" w:firstRow="0" w:lastRow="0" w:firstColumn="0" w:lastColumn="0" w:oddVBand="0" w:evenVBand="0" w:oddHBand="0" w:evenHBand="1" w:firstRowFirstColumn="0" w:firstRowLastColumn="0" w:lastRowFirstColumn="0" w:lastRowLastColumn="0"/>
          <w:trHeight w:val="424"/>
        </w:trPr>
        <w:tc>
          <w:tcPr>
            <w:cnfStyle w:val="001000000000" w:firstRow="0" w:lastRow="0" w:firstColumn="1" w:lastColumn="0" w:oddVBand="0" w:evenVBand="0" w:oddHBand="0" w:evenHBand="0" w:firstRowFirstColumn="0" w:firstRowLastColumn="0" w:lastRowFirstColumn="0" w:lastRowLastColumn="0"/>
            <w:tcW w:w="6368" w:type="dxa"/>
          </w:tcPr>
          <w:p w:rsidR="0031432E" w:rsidRPr="00EB6E3E" w:rsidRDefault="0031432E" w:rsidP="007848A6">
            <w:pPr>
              <w:pStyle w:val="AERtabletextleft"/>
            </w:pPr>
            <w:r w:rsidRPr="00EB6E3E">
              <w:t>Small business time of use – Type 5 meter</w:t>
            </w:r>
          </w:p>
        </w:tc>
        <w:tc>
          <w:tcPr>
            <w:tcW w:w="2835" w:type="dxa"/>
            <w:vAlign w:val="bottom"/>
          </w:tcPr>
          <w:p w:rsidR="0031432E" w:rsidRPr="0031432E" w:rsidRDefault="0031432E" w:rsidP="0031432E">
            <w:pPr>
              <w:pStyle w:val="AERtabletextright"/>
              <w:cnfStyle w:val="000000010000" w:firstRow="0" w:lastRow="0" w:firstColumn="0" w:lastColumn="0" w:oddVBand="0" w:evenVBand="0" w:oddHBand="0" w:evenHBand="1" w:firstRowFirstColumn="0" w:firstRowLastColumn="0" w:lastRowFirstColumn="0" w:lastRowLastColumn="0"/>
            </w:pPr>
            <w:r w:rsidRPr="0031432E">
              <w:t>194.18</w:t>
            </w:r>
          </w:p>
        </w:tc>
      </w:tr>
      <w:tr w:rsidR="0031432E" w:rsidRPr="00EB6E3E" w:rsidTr="009B1503">
        <w:trPr>
          <w:trHeight w:val="424"/>
        </w:trPr>
        <w:tc>
          <w:tcPr>
            <w:cnfStyle w:val="001000000000" w:firstRow="0" w:lastRow="0" w:firstColumn="1" w:lastColumn="0" w:oddVBand="0" w:evenVBand="0" w:oddHBand="0" w:evenHBand="0" w:firstRowFirstColumn="0" w:firstRowLastColumn="0" w:lastRowFirstColumn="0" w:lastRowLastColumn="0"/>
            <w:tcW w:w="6368" w:type="dxa"/>
          </w:tcPr>
          <w:p w:rsidR="0031432E" w:rsidRPr="00EB6E3E" w:rsidRDefault="0031432E" w:rsidP="007848A6">
            <w:pPr>
              <w:pStyle w:val="AERtabletextleft"/>
            </w:pPr>
            <w:r w:rsidRPr="00EB6E3E">
              <w:t>Controlled load</w:t>
            </w:r>
          </w:p>
        </w:tc>
        <w:tc>
          <w:tcPr>
            <w:tcW w:w="2835" w:type="dxa"/>
            <w:vAlign w:val="bottom"/>
          </w:tcPr>
          <w:p w:rsidR="0031432E" w:rsidRPr="0031432E" w:rsidRDefault="0031432E" w:rsidP="0031432E">
            <w:pPr>
              <w:pStyle w:val="AERtabletextright"/>
              <w:cnfStyle w:val="000000000000" w:firstRow="0" w:lastRow="0" w:firstColumn="0" w:lastColumn="0" w:oddVBand="0" w:evenVBand="0" w:oddHBand="0" w:evenHBand="0" w:firstRowFirstColumn="0" w:firstRowLastColumn="0" w:lastRowFirstColumn="0" w:lastRowLastColumn="0"/>
            </w:pPr>
            <w:r w:rsidRPr="0031432E">
              <w:t>11.71</w:t>
            </w:r>
          </w:p>
        </w:tc>
      </w:tr>
      <w:tr w:rsidR="0031432E" w:rsidRPr="00EB6E3E" w:rsidTr="009B1503">
        <w:trPr>
          <w:cnfStyle w:val="000000010000" w:firstRow="0" w:lastRow="0" w:firstColumn="0" w:lastColumn="0" w:oddVBand="0" w:evenVBand="0" w:oddHBand="0" w:evenHBand="1" w:firstRowFirstColumn="0" w:firstRowLastColumn="0" w:lastRowFirstColumn="0" w:lastRowLastColumn="0"/>
          <w:trHeight w:val="439"/>
        </w:trPr>
        <w:tc>
          <w:tcPr>
            <w:cnfStyle w:val="001000000000" w:firstRow="0" w:lastRow="0" w:firstColumn="1" w:lastColumn="0" w:oddVBand="0" w:evenVBand="0" w:oddHBand="0" w:evenHBand="0" w:firstRowFirstColumn="0" w:firstRowLastColumn="0" w:lastRowFirstColumn="0" w:lastRowLastColumn="0"/>
            <w:tcW w:w="6368" w:type="dxa"/>
          </w:tcPr>
          <w:p w:rsidR="0031432E" w:rsidRPr="00EB6E3E" w:rsidRDefault="0031432E" w:rsidP="007848A6">
            <w:pPr>
              <w:pStyle w:val="AERtabletextleft"/>
            </w:pPr>
            <w:r w:rsidRPr="00EB6E3E">
              <w:t>Solar</w:t>
            </w:r>
          </w:p>
        </w:tc>
        <w:tc>
          <w:tcPr>
            <w:tcW w:w="2835" w:type="dxa"/>
            <w:vAlign w:val="bottom"/>
          </w:tcPr>
          <w:p w:rsidR="0031432E" w:rsidRPr="0031432E" w:rsidRDefault="0031432E" w:rsidP="0031432E">
            <w:pPr>
              <w:pStyle w:val="AERtabletextright"/>
              <w:cnfStyle w:val="000000010000" w:firstRow="0" w:lastRow="0" w:firstColumn="0" w:lastColumn="0" w:oddVBand="0" w:evenVBand="0" w:oddHBand="0" w:evenHBand="1" w:firstRowFirstColumn="0" w:firstRowLastColumn="0" w:lastRowFirstColumn="0" w:lastRowLastColumn="0"/>
            </w:pPr>
            <w:r w:rsidRPr="0031432E">
              <w:t>11.71</w:t>
            </w:r>
          </w:p>
        </w:tc>
      </w:tr>
    </w:tbl>
    <w:p w:rsidR="00EB6E3E" w:rsidRPr="00EB6E3E" w:rsidRDefault="00EB6E3E" w:rsidP="00C417CB">
      <w:pPr>
        <w:pStyle w:val="AERtablesource"/>
      </w:pPr>
      <w:r w:rsidRPr="00EB6E3E">
        <w:t xml:space="preserve">Source: </w:t>
      </w:r>
      <w:r w:rsidR="00F203C2">
        <w:tab/>
      </w:r>
      <w:r w:rsidRPr="00EB6E3E">
        <w:t xml:space="preserve">Endeavour Energy, </w:t>
      </w:r>
      <w:r w:rsidRPr="00862963">
        <w:rPr>
          <w:i/>
        </w:rPr>
        <w:t>Regulatory proposal, Attachment 0.17 – Metering model and prices</w:t>
      </w:r>
      <w:r w:rsidRPr="00EB6E3E">
        <w:t>, May 2014.</w:t>
      </w:r>
    </w:p>
    <w:p w:rsidR="00EB6E3E" w:rsidRPr="00EB6E3E" w:rsidRDefault="00EB6E3E" w:rsidP="00337A3F">
      <w:pPr>
        <w:pStyle w:val="HeadingBoldBlue"/>
      </w:pPr>
      <w:r w:rsidRPr="00EB6E3E">
        <w:t>New or upgraded connections</w:t>
      </w:r>
    </w:p>
    <w:p w:rsidR="00674FFF" w:rsidRDefault="00EB6E3E" w:rsidP="00EB6E3E">
      <w:r w:rsidRPr="00EB6E3E">
        <w:t>Where a customer obtains a meter as a result of a new or upgraded connection, Endeavour Energy proposed caps</w:t>
      </w:r>
      <w:r w:rsidR="00674FFF">
        <w:t xml:space="preserve"> (or ceilings)</w:t>
      </w:r>
      <w:r w:rsidRPr="00EB6E3E">
        <w:t xml:space="preserve"> on the prices it can charge. From 1 July 2015, the proposed prices would be charged as an upfront capital contribution.</w:t>
      </w:r>
    </w:p>
    <w:p w:rsidR="00EB6E3E" w:rsidRPr="00EB6E3E" w:rsidRDefault="00EB6E3E" w:rsidP="00EB6E3E">
      <w:r w:rsidRPr="00EB6E3E">
        <w:t>The change in Endeavour Energy’s capital contribution policy for new and upgraded connections is intended to promote competition</w:t>
      </w:r>
      <w:r w:rsidR="00674FFF">
        <w:t>. If implemented, it may level the competitive playing field for new and upgraded meters. This is by shifting how the capital costs for new and upgraded meters are recovered, from the annual metering services charge, where costs are smeared across all customers, to an upfront payment which new entrants to the m</w:t>
      </w:r>
      <w:r w:rsidR="001B35E3">
        <w:t>arket can compete with on price.</w:t>
      </w:r>
    </w:p>
    <w:p w:rsidR="00EB6E3E" w:rsidRPr="00EB6E3E" w:rsidRDefault="00D2749E" w:rsidP="00EB6E3E">
      <w:r>
        <w:fldChar w:fldCharType="begin"/>
      </w:r>
      <w:r>
        <w:instrText xml:space="preserve"> REF _Ref402873299 \h </w:instrText>
      </w:r>
      <w:r>
        <w:fldChar w:fldCharType="separate"/>
      </w:r>
      <w:r>
        <w:t xml:space="preserve">Table </w:t>
      </w:r>
      <w:r>
        <w:rPr>
          <w:noProof/>
        </w:rPr>
        <w:t>16</w:t>
      </w:r>
      <w:r>
        <w:noBreakHyphen/>
      </w:r>
      <w:r>
        <w:rPr>
          <w:noProof/>
        </w:rPr>
        <w:t>10</w:t>
      </w:r>
      <w:r>
        <w:fldChar w:fldCharType="end"/>
      </w:r>
      <w:r>
        <w:t xml:space="preserve"> </w:t>
      </w:r>
      <w:r w:rsidR="00EB6E3E" w:rsidRPr="00EB6E3E">
        <w:t xml:space="preserve">sets out the proposed new or upgraded connection prices. </w:t>
      </w:r>
      <w:r w:rsidR="00471703">
        <w:t>The figures shown are for the 2014–15 year. They will be adjusted each year for CPI.</w:t>
      </w:r>
    </w:p>
    <w:p w:rsidR="00EB6E3E" w:rsidRPr="00EB6E3E" w:rsidRDefault="00183FED" w:rsidP="00183FED">
      <w:pPr>
        <w:pStyle w:val="Caption"/>
      </w:pPr>
      <w:bookmarkStart w:id="44" w:name="_Ref402873299"/>
      <w:bookmarkStart w:id="45" w:name="_Ref401918513"/>
      <w:r>
        <w:t xml:space="preserve">Table </w:t>
      </w:r>
      <w:r w:rsidR="004667DE">
        <w:fldChar w:fldCharType="begin"/>
      </w:r>
      <w:r w:rsidR="004667DE">
        <w:instrText xml:space="preserve"> STYLEREF 1 \s </w:instrText>
      </w:r>
      <w:r w:rsidR="004667DE">
        <w:fldChar w:fldCharType="separate"/>
      </w:r>
      <w:r w:rsidR="003E262F">
        <w:rPr>
          <w:noProof/>
        </w:rPr>
        <w:t>16</w:t>
      </w:r>
      <w:r w:rsidR="004667DE">
        <w:rPr>
          <w:noProof/>
        </w:rPr>
        <w:fldChar w:fldCharType="end"/>
      </w:r>
      <w:r w:rsidR="003E262F">
        <w:noBreakHyphen/>
      </w:r>
      <w:r w:rsidR="004667DE">
        <w:fldChar w:fldCharType="begin"/>
      </w:r>
      <w:r w:rsidR="004667DE">
        <w:instrText xml:space="preserve"> SEQ Table \* ARABIC \s 1 </w:instrText>
      </w:r>
      <w:r w:rsidR="004667DE">
        <w:fldChar w:fldCharType="separate"/>
      </w:r>
      <w:r w:rsidR="003E262F">
        <w:rPr>
          <w:noProof/>
        </w:rPr>
        <w:t>10</w:t>
      </w:r>
      <w:r w:rsidR="004667DE">
        <w:rPr>
          <w:noProof/>
        </w:rPr>
        <w:fldChar w:fldCharType="end"/>
      </w:r>
      <w:bookmarkEnd w:id="44"/>
      <w:r w:rsidR="00F203C2">
        <w:t xml:space="preserve"> </w:t>
      </w:r>
      <w:r w:rsidR="0031432E">
        <w:tab/>
      </w:r>
      <w:r w:rsidR="00EB6E3E" w:rsidRPr="00EB6E3E">
        <w:t>Endeavour Energy's averaged proposed new or upgraded meter prices in the 2015–</w:t>
      </w:r>
      <w:r w:rsidR="005940D4">
        <w:t>19 regulatory control period ($</w:t>
      </w:r>
      <w:r w:rsidR="00EB6E3E" w:rsidRPr="00EB6E3E">
        <w:t>2014–15)</w:t>
      </w:r>
      <w:bookmarkEnd w:id="45"/>
    </w:p>
    <w:tbl>
      <w:tblPr>
        <w:tblStyle w:val="AERtable-numbers"/>
        <w:tblW w:w="0" w:type="auto"/>
        <w:tblLook w:val="04A0" w:firstRow="1" w:lastRow="0" w:firstColumn="1" w:lastColumn="0" w:noHBand="0" w:noVBand="1"/>
      </w:tblPr>
      <w:tblGrid>
        <w:gridCol w:w="7361"/>
        <w:gridCol w:w="1821"/>
      </w:tblGrid>
      <w:tr w:rsidR="00EB6E3E" w:rsidRPr="00EB6E3E" w:rsidTr="00EB6E3E">
        <w:trPr>
          <w:cnfStyle w:val="100000000000" w:firstRow="1" w:lastRow="0" w:firstColumn="0" w:lastColumn="0" w:oddVBand="0" w:evenVBand="0" w:oddHBand="0" w:evenHBand="0" w:firstRowFirstColumn="0" w:firstRowLastColumn="0" w:lastRowFirstColumn="0" w:lastRowLastColumn="0"/>
          <w:trHeight w:val="588"/>
        </w:trPr>
        <w:tc>
          <w:tcPr>
            <w:cnfStyle w:val="001000000000" w:firstRow="0" w:lastRow="0" w:firstColumn="1" w:lastColumn="0" w:oddVBand="0" w:evenVBand="0" w:oddHBand="0" w:evenHBand="0" w:firstRowFirstColumn="0" w:firstRowLastColumn="0" w:lastRowFirstColumn="0" w:lastRowLastColumn="0"/>
            <w:tcW w:w="7361" w:type="dxa"/>
          </w:tcPr>
          <w:p w:rsidR="00EB6E3E" w:rsidRPr="00EB6E3E" w:rsidRDefault="00EB6E3E" w:rsidP="007848A6">
            <w:pPr>
              <w:pStyle w:val="AERtabletextleft"/>
            </w:pPr>
            <w:r w:rsidRPr="00EB6E3E">
              <w:t>Meter description</w:t>
            </w:r>
          </w:p>
        </w:tc>
        <w:tc>
          <w:tcPr>
            <w:tcW w:w="1821" w:type="dxa"/>
          </w:tcPr>
          <w:p w:rsidR="00EB6E3E" w:rsidRPr="00EB6E3E" w:rsidRDefault="00F203C2" w:rsidP="00F203C2">
            <w:pPr>
              <w:pStyle w:val="AERtabletextright"/>
              <w:cnfStyle w:val="100000000000" w:firstRow="1" w:lastRow="0" w:firstColumn="0" w:lastColumn="0" w:oddVBand="0" w:evenVBand="0" w:oddHBand="0" w:evenHBand="0" w:firstRowFirstColumn="0" w:firstRowLastColumn="0" w:lastRowFirstColumn="0" w:lastRowLastColumn="0"/>
            </w:pPr>
            <w:r>
              <w:t>$</w:t>
            </w:r>
            <w:r w:rsidR="00945E74">
              <w:t>2014-15</w:t>
            </w:r>
          </w:p>
        </w:tc>
      </w:tr>
      <w:tr w:rsidR="00EB6E3E" w:rsidRPr="00EB6E3E" w:rsidTr="00EB6E3E">
        <w:trPr>
          <w:trHeight w:val="588"/>
        </w:trPr>
        <w:tc>
          <w:tcPr>
            <w:cnfStyle w:val="001000000000" w:firstRow="0" w:lastRow="0" w:firstColumn="1" w:lastColumn="0" w:oddVBand="0" w:evenVBand="0" w:oddHBand="0" w:evenHBand="0" w:firstRowFirstColumn="0" w:firstRowLastColumn="0" w:lastRowFirstColumn="0" w:lastRowLastColumn="0"/>
            <w:tcW w:w="7361" w:type="dxa"/>
          </w:tcPr>
          <w:p w:rsidR="00EB6E3E" w:rsidRPr="00945E74" w:rsidRDefault="00EB6E3E" w:rsidP="007848A6">
            <w:pPr>
              <w:pStyle w:val="AERtabletextleft"/>
              <w:rPr>
                <w:b/>
              </w:rPr>
            </w:pPr>
            <w:r w:rsidRPr="00945E74">
              <w:rPr>
                <w:b/>
              </w:rPr>
              <w:t>Accumulation meters</w:t>
            </w:r>
          </w:p>
        </w:tc>
        <w:tc>
          <w:tcPr>
            <w:tcW w:w="1821" w:type="dxa"/>
          </w:tcPr>
          <w:p w:rsidR="00EB6E3E" w:rsidRPr="00EB6E3E" w:rsidRDefault="00EB6E3E" w:rsidP="00F203C2">
            <w:pPr>
              <w:pStyle w:val="AERtabletextright"/>
              <w:cnfStyle w:val="000000000000" w:firstRow="0" w:lastRow="0" w:firstColumn="0" w:lastColumn="0" w:oddVBand="0" w:evenVBand="0" w:oddHBand="0" w:evenHBand="0" w:firstRowFirstColumn="0" w:firstRowLastColumn="0" w:lastRowFirstColumn="0" w:lastRowLastColumn="0"/>
            </w:pPr>
          </w:p>
        </w:tc>
      </w:tr>
      <w:tr w:rsidR="00EB6E3E" w:rsidRPr="00EB6E3E" w:rsidTr="00EB6E3E">
        <w:trPr>
          <w:cnfStyle w:val="000000010000" w:firstRow="0" w:lastRow="0" w:firstColumn="0" w:lastColumn="0" w:oddVBand="0" w:evenVBand="0" w:oddHBand="0" w:evenHBand="1" w:firstRowFirstColumn="0" w:firstRowLastColumn="0" w:lastRowFirstColumn="0" w:lastRowLastColumn="0"/>
          <w:trHeight w:val="588"/>
        </w:trPr>
        <w:tc>
          <w:tcPr>
            <w:cnfStyle w:val="001000000000" w:firstRow="0" w:lastRow="0" w:firstColumn="1" w:lastColumn="0" w:oddVBand="0" w:evenVBand="0" w:oddHBand="0" w:evenHBand="0" w:firstRowFirstColumn="0" w:firstRowLastColumn="0" w:lastRowFirstColumn="0" w:lastRowLastColumn="0"/>
            <w:tcW w:w="7361" w:type="dxa"/>
          </w:tcPr>
          <w:p w:rsidR="00EB6E3E" w:rsidRPr="00EB6E3E" w:rsidRDefault="00EB6E3E" w:rsidP="007848A6">
            <w:pPr>
              <w:pStyle w:val="AERtabletextleft"/>
            </w:pPr>
            <w:r w:rsidRPr="00EB6E3E">
              <w:t>A single phase accumulation meter</w:t>
            </w:r>
          </w:p>
        </w:tc>
        <w:tc>
          <w:tcPr>
            <w:tcW w:w="1821" w:type="dxa"/>
          </w:tcPr>
          <w:p w:rsidR="00EB6E3E" w:rsidRPr="00EB6E3E" w:rsidRDefault="00EB6E3E" w:rsidP="00F203C2">
            <w:pPr>
              <w:pStyle w:val="AERtabletextright"/>
              <w:cnfStyle w:val="000000010000" w:firstRow="0" w:lastRow="0" w:firstColumn="0" w:lastColumn="0" w:oddVBand="0" w:evenVBand="0" w:oddHBand="0" w:evenHBand="1" w:firstRowFirstColumn="0" w:firstRowLastColumn="0" w:lastRowFirstColumn="0" w:lastRowLastColumn="0"/>
            </w:pPr>
            <w:r w:rsidRPr="00EB6E3E">
              <w:t>41.85</w:t>
            </w:r>
          </w:p>
        </w:tc>
      </w:tr>
      <w:tr w:rsidR="00EB6E3E" w:rsidRPr="00EB6E3E" w:rsidTr="00EB6E3E">
        <w:trPr>
          <w:trHeight w:val="573"/>
        </w:trPr>
        <w:tc>
          <w:tcPr>
            <w:cnfStyle w:val="001000000000" w:firstRow="0" w:lastRow="0" w:firstColumn="1" w:lastColumn="0" w:oddVBand="0" w:evenVBand="0" w:oddHBand="0" w:evenHBand="0" w:firstRowFirstColumn="0" w:firstRowLastColumn="0" w:lastRowFirstColumn="0" w:lastRowLastColumn="0"/>
            <w:tcW w:w="7361" w:type="dxa"/>
          </w:tcPr>
          <w:p w:rsidR="00EB6E3E" w:rsidRPr="00EB6E3E" w:rsidRDefault="00EB6E3E" w:rsidP="007848A6">
            <w:pPr>
              <w:pStyle w:val="AERtabletextleft"/>
            </w:pPr>
            <w:r w:rsidRPr="00EB6E3E">
              <w:t>A single phase accumulation combination meter</w:t>
            </w:r>
          </w:p>
        </w:tc>
        <w:tc>
          <w:tcPr>
            <w:tcW w:w="1821" w:type="dxa"/>
          </w:tcPr>
          <w:p w:rsidR="00EB6E3E" w:rsidRPr="00EB6E3E" w:rsidRDefault="00EB6E3E" w:rsidP="00F203C2">
            <w:pPr>
              <w:pStyle w:val="AERtabletextright"/>
              <w:cnfStyle w:val="000000000000" w:firstRow="0" w:lastRow="0" w:firstColumn="0" w:lastColumn="0" w:oddVBand="0" w:evenVBand="0" w:oddHBand="0" w:evenHBand="0" w:firstRowFirstColumn="0" w:firstRowLastColumn="0" w:lastRowFirstColumn="0" w:lastRowLastColumn="0"/>
            </w:pPr>
            <w:r w:rsidRPr="00EB6E3E">
              <w:t>180.74</w:t>
            </w:r>
          </w:p>
        </w:tc>
      </w:tr>
      <w:tr w:rsidR="00EB6E3E" w:rsidRPr="00EB6E3E" w:rsidTr="00EB6E3E">
        <w:trPr>
          <w:cnfStyle w:val="000000010000" w:firstRow="0" w:lastRow="0" w:firstColumn="0" w:lastColumn="0" w:oddVBand="0" w:evenVBand="0" w:oddHBand="0" w:evenHBand="1" w:firstRowFirstColumn="0" w:firstRowLastColumn="0" w:lastRowFirstColumn="0" w:lastRowLastColumn="0"/>
          <w:trHeight w:val="588"/>
        </w:trPr>
        <w:tc>
          <w:tcPr>
            <w:cnfStyle w:val="001000000000" w:firstRow="0" w:lastRow="0" w:firstColumn="1" w:lastColumn="0" w:oddVBand="0" w:evenVBand="0" w:oddHBand="0" w:evenHBand="0" w:firstRowFirstColumn="0" w:firstRowLastColumn="0" w:lastRowFirstColumn="0" w:lastRowLastColumn="0"/>
            <w:tcW w:w="7361" w:type="dxa"/>
          </w:tcPr>
          <w:p w:rsidR="00EB6E3E" w:rsidRPr="00EB6E3E" w:rsidRDefault="00EB6E3E" w:rsidP="007848A6">
            <w:pPr>
              <w:pStyle w:val="AERtabletextleft"/>
            </w:pPr>
            <w:r w:rsidRPr="00EB6E3E">
              <w:t>A three phase accumulation meter</w:t>
            </w:r>
          </w:p>
        </w:tc>
        <w:tc>
          <w:tcPr>
            <w:tcW w:w="1821" w:type="dxa"/>
          </w:tcPr>
          <w:p w:rsidR="00EB6E3E" w:rsidRPr="00EB6E3E" w:rsidRDefault="00EB6E3E" w:rsidP="00F203C2">
            <w:pPr>
              <w:pStyle w:val="AERtabletextright"/>
              <w:cnfStyle w:val="000000010000" w:firstRow="0" w:lastRow="0" w:firstColumn="0" w:lastColumn="0" w:oddVBand="0" w:evenVBand="0" w:oddHBand="0" w:evenHBand="1" w:firstRowFirstColumn="0" w:firstRowLastColumn="0" w:lastRowFirstColumn="0" w:lastRowLastColumn="0"/>
            </w:pPr>
            <w:r w:rsidRPr="00EB6E3E">
              <w:t>114.20</w:t>
            </w:r>
          </w:p>
        </w:tc>
      </w:tr>
      <w:tr w:rsidR="00EB6E3E" w:rsidRPr="00EB6E3E" w:rsidTr="00EB6E3E">
        <w:trPr>
          <w:trHeight w:val="588"/>
        </w:trPr>
        <w:tc>
          <w:tcPr>
            <w:cnfStyle w:val="001000000000" w:firstRow="0" w:lastRow="0" w:firstColumn="1" w:lastColumn="0" w:oddVBand="0" w:evenVBand="0" w:oddHBand="0" w:evenHBand="0" w:firstRowFirstColumn="0" w:firstRowLastColumn="0" w:lastRowFirstColumn="0" w:lastRowLastColumn="0"/>
            <w:tcW w:w="7361" w:type="dxa"/>
          </w:tcPr>
          <w:p w:rsidR="00EB6E3E" w:rsidRPr="00945E74" w:rsidRDefault="00EB6E3E" w:rsidP="007848A6">
            <w:pPr>
              <w:pStyle w:val="AERtabletextleft"/>
              <w:rPr>
                <w:b/>
              </w:rPr>
            </w:pPr>
            <w:r w:rsidRPr="00945E74">
              <w:rPr>
                <w:b/>
              </w:rPr>
              <w:t>Interval meters</w:t>
            </w:r>
          </w:p>
        </w:tc>
        <w:tc>
          <w:tcPr>
            <w:tcW w:w="1821" w:type="dxa"/>
          </w:tcPr>
          <w:p w:rsidR="00EB6E3E" w:rsidRPr="00EB6E3E" w:rsidRDefault="00EB6E3E" w:rsidP="00F203C2">
            <w:pPr>
              <w:pStyle w:val="AERtabletextright"/>
              <w:cnfStyle w:val="000000000000" w:firstRow="0" w:lastRow="0" w:firstColumn="0" w:lastColumn="0" w:oddVBand="0" w:evenVBand="0" w:oddHBand="0" w:evenHBand="0" w:firstRowFirstColumn="0" w:firstRowLastColumn="0" w:lastRowFirstColumn="0" w:lastRowLastColumn="0"/>
            </w:pPr>
          </w:p>
        </w:tc>
      </w:tr>
      <w:tr w:rsidR="00EB6E3E" w:rsidRPr="00EB6E3E" w:rsidTr="00EB6E3E">
        <w:trPr>
          <w:cnfStyle w:val="000000010000" w:firstRow="0" w:lastRow="0" w:firstColumn="0" w:lastColumn="0" w:oddVBand="0" w:evenVBand="0" w:oddHBand="0" w:evenHBand="1" w:firstRowFirstColumn="0" w:firstRowLastColumn="0" w:lastRowFirstColumn="0" w:lastRowLastColumn="0"/>
          <w:trHeight w:val="588"/>
        </w:trPr>
        <w:tc>
          <w:tcPr>
            <w:cnfStyle w:val="001000000000" w:firstRow="0" w:lastRow="0" w:firstColumn="1" w:lastColumn="0" w:oddVBand="0" w:evenVBand="0" w:oddHBand="0" w:evenHBand="0" w:firstRowFirstColumn="0" w:firstRowLastColumn="0" w:lastRowFirstColumn="0" w:lastRowLastColumn="0"/>
            <w:tcW w:w="7361" w:type="dxa"/>
          </w:tcPr>
          <w:p w:rsidR="00EB6E3E" w:rsidRPr="00EB6E3E" w:rsidRDefault="00EB6E3E" w:rsidP="007848A6">
            <w:pPr>
              <w:pStyle w:val="AERtabletextleft"/>
            </w:pPr>
            <w:r w:rsidRPr="00EB6E3E">
              <w:t>A single phase interval (time of use capable) meter</w:t>
            </w:r>
          </w:p>
        </w:tc>
        <w:tc>
          <w:tcPr>
            <w:tcW w:w="1821" w:type="dxa"/>
          </w:tcPr>
          <w:p w:rsidR="00EB6E3E" w:rsidRPr="00EB6E3E" w:rsidRDefault="00EB6E3E" w:rsidP="00F203C2">
            <w:pPr>
              <w:pStyle w:val="AERtabletextright"/>
              <w:cnfStyle w:val="000000010000" w:firstRow="0" w:lastRow="0" w:firstColumn="0" w:lastColumn="0" w:oddVBand="0" w:evenVBand="0" w:oddHBand="0" w:evenHBand="1" w:firstRowFirstColumn="0" w:firstRowLastColumn="0" w:lastRowFirstColumn="0" w:lastRowLastColumn="0"/>
            </w:pPr>
            <w:r w:rsidRPr="00EB6E3E">
              <w:t>335.80</w:t>
            </w:r>
          </w:p>
        </w:tc>
      </w:tr>
      <w:tr w:rsidR="00EB6E3E" w:rsidRPr="00EB6E3E" w:rsidTr="00EB6E3E">
        <w:trPr>
          <w:trHeight w:val="588"/>
        </w:trPr>
        <w:tc>
          <w:tcPr>
            <w:cnfStyle w:val="001000000000" w:firstRow="0" w:lastRow="0" w:firstColumn="1" w:lastColumn="0" w:oddVBand="0" w:evenVBand="0" w:oddHBand="0" w:evenHBand="0" w:firstRowFirstColumn="0" w:firstRowLastColumn="0" w:lastRowFirstColumn="0" w:lastRowLastColumn="0"/>
            <w:tcW w:w="7361" w:type="dxa"/>
          </w:tcPr>
          <w:p w:rsidR="00EB6E3E" w:rsidRPr="00EB6E3E" w:rsidRDefault="00EB6E3E" w:rsidP="007848A6">
            <w:pPr>
              <w:pStyle w:val="AERtabletextleft"/>
            </w:pPr>
            <w:r w:rsidRPr="00EB6E3E">
              <w:t>A single phase interval (time of use capable) combination meter</w:t>
            </w:r>
          </w:p>
        </w:tc>
        <w:tc>
          <w:tcPr>
            <w:tcW w:w="1821" w:type="dxa"/>
          </w:tcPr>
          <w:p w:rsidR="00EB6E3E" w:rsidRPr="00EB6E3E" w:rsidRDefault="00EB6E3E" w:rsidP="00F203C2">
            <w:pPr>
              <w:pStyle w:val="AERtabletextright"/>
              <w:cnfStyle w:val="000000000000" w:firstRow="0" w:lastRow="0" w:firstColumn="0" w:lastColumn="0" w:oddVBand="0" w:evenVBand="0" w:oddHBand="0" w:evenHBand="0" w:firstRowFirstColumn="0" w:firstRowLastColumn="0" w:lastRowFirstColumn="0" w:lastRowLastColumn="0"/>
            </w:pPr>
            <w:r w:rsidRPr="00EB6E3E">
              <w:t>381.47</w:t>
            </w:r>
          </w:p>
        </w:tc>
      </w:tr>
      <w:tr w:rsidR="00EB6E3E" w:rsidRPr="00EB6E3E" w:rsidTr="00EB6E3E">
        <w:trPr>
          <w:cnfStyle w:val="000000010000" w:firstRow="0" w:lastRow="0" w:firstColumn="0" w:lastColumn="0" w:oddVBand="0" w:evenVBand="0" w:oddHBand="0" w:evenHBand="1" w:firstRowFirstColumn="0" w:firstRowLastColumn="0" w:lastRowFirstColumn="0" w:lastRowLastColumn="0"/>
          <w:trHeight w:val="588"/>
        </w:trPr>
        <w:tc>
          <w:tcPr>
            <w:cnfStyle w:val="001000000000" w:firstRow="0" w:lastRow="0" w:firstColumn="1" w:lastColumn="0" w:oddVBand="0" w:evenVBand="0" w:oddHBand="0" w:evenHBand="0" w:firstRowFirstColumn="0" w:firstRowLastColumn="0" w:lastRowFirstColumn="0" w:lastRowLastColumn="0"/>
            <w:tcW w:w="7361" w:type="dxa"/>
          </w:tcPr>
          <w:p w:rsidR="00EB6E3E" w:rsidRPr="00EB6E3E" w:rsidRDefault="00EB6E3E" w:rsidP="007848A6">
            <w:pPr>
              <w:pStyle w:val="AERtabletextleft"/>
            </w:pPr>
            <w:r w:rsidRPr="00EB6E3E">
              <w:t>A three phase interval (time of use capable) meter</w:t>
            </w:r>
          </w:p>
        </w:tc>
        <w:tc>
          <w:tcPr>
            <w:tcW w:w="1821" w:type="dxa"/>
          </w:tcPr>
          <w:p w:rsidR="00EB6E3E" w:rsidRPr="00EB6E3E" w:rsidRDefault="0031432E" w:rsidP="00F203C2">
            <w:pPr>
              <w:pStyle w:val="AERtabletextright"/>
              <w:cnfStyle w:val="000000010000" w:firstRow="0" w:lastRow="0" w:firstColumn="0" w:lastColumn="0" w:oddVBand="0" w:evenVBand="0" w:oddHBand="0" w:evenHBand="1" w:firstRowFirstColumn="0" w:firstRowLastColumn="0" w:lastRowFirstColumn="0" w:lastRowLastColumn="0"/>
            </w:pPr>
            <w:r>
              <w:t>458.99</w:t>
            </w:r>
          </w:p>
        </w:tc>
      </w:tr>
    </w:tbl>
    <w:p w:rsidR="00337A3F" w:rsidRDefault="00EB6E3E" w:rsidP="00355042">
      <w:pPr>
        <w:pStyle w:val="AERtabletextleft"/>
      </w:pPr>
      <w:r w:rsidRPr="00EB6E3E">
        <w:t>Source:</w:t>
      </w:r>
      <w:r w:rsidR="00F203C2">
        <w:tab/>
      </w:r>
      <w:r w:rsidRPr="00EB6E3E">
        <w:t xml:space="preserve"> Endeavour Energy, Regulatory proposal, Attachment 0.17 – Metering model and prices, May 2014.</w:t>
      </w:r>
      <w:bookmarkStart w:id="46" w:name="_Ref399337934"/>
    </w:p>
    <w:p w:rsidR="00EB6E3E" w:rsidRPr="00EB6E3E" w:rsidRDefault="00EB6E3E" w:rsidP="00337A3F">
      <w:pPr>
        <w:pStyle w:val="HeadingBoldBlue"/>
      </w:pPr>
      <w:r w:rsidRPr="00EB6E3E">
        <w:t>Exit fee</w:t>
      </w:r>
    </w:p>
    <w:p w:rsidR="00EB6E3E" w:rsidRPr="00EB6E3E" w:rsidRDefault="00EB6E3E" w:rsidP="00EB6E3E">
      <w:r w:rsidRPr="00EB6E3E">
        <w:t>In anticipation of the AEMC’s metering rule change that would permit customer switching to competitive metering providers, Endeavour Energy proposed an exit fee to r</w:t>
      </w:r>
      <w:r w:rsidR="00420DC0">
        <w:t>ecover residual</w:t>
      </w:r>
      <w:r w:rsidRPr="00EB6E3E">
        <w:t xml:space="preserve"> </w:t>
      </w:r>
      <w:r w:rsidR="001B35E3">
        <w:t xml:space="preserve">capital </w:t>
      </w:r>
      <w:r w:rsidR="00420DC0">
        <w:t xml:space="preserve">costs </w:t>
      </w:r>
      <w:r w:rsidRPr="00EB6E3E">
        <w:t>attributable to the leaving customer. The exit fee consists of ‘opening RAB recovery’ and ‘administration cost’ components</w:t>
      </w:r>
      <w:r w:rsidR="001B35E3">
        <w:t>. More specifically:</w:t>
      </w:r>
      <w:r w:rsidRPr="00EB6E3E">
        <w:t xml:space="preserve"> </w:t>
      </w:r>
    </w:p>
    <w:p w:rsidR="00EB6E3E" w:rsidRDefault="001B35E3" w:rsidP="00471703">
      <w:pPr>
        <w:pStyle w:val="AERbulletlistfirststyle"/>
      </w:pPr>
      <w:r>
        <w:t>t</w:t>
      </w:r>
      <w:r w:rsidR="00EB6E3E" w:rsidRPr="00EB6E3E">
        <w:t xml:space="preserve">he </w:t>
      </w:r>
      <w:r>
        <w:t>opening RAB recovery</w:t>
      </w:r>
      <w:r w:rsidRPr="00EB6E3E">
        <w:t xml:space="preserve"> </w:t>
      </w:r>
      <w:r w:rsidR="00EB6E3E" w:rsidRPr="00EB6E3E">
        <w:t>component is the net present value of the total opening RAB recovery amount the customer would have paid through their annual charges had they remained a regulated metering customer. In effect, Endeavour Energy propose that all type 5 and 6 customers pay their contribution towards RAB recovery regardless of whether they churn or not – either gradually through annual charges or through the exit fee</w:t>
      </w:r>
    </w:p>
    <w:p w:rsidR="00337A3F" w:rsidRDefault="001B35E3" w:rsidP="00471703">
      <w:pPr>
        <w:pStyle w:val="AERbulletlistfirststyle"/>
      </w:pPr>
      <w:proofErr w:type="gramStart"/>
      <w:r>
        <w:t>t</w:t>
      </w:r>
      <w:r w:rsidR="00EB6E3E" w:rsidRPr="00EB6E3E">
        <w:t>he</w:t>
      </w:r>
      <w:proofErr w:type="gramEnd"/>
      <w:r w:rsidR="00EB6E3E" w:rsidRPr="00EB6E3E">
        <w:t xml:space="preserve"> administration</w:t>
      </w:r>
      <w:r>
        <w:t xml:space="preserve"> cost</w:t>
      </w:r>
      <w:r w:rsidR="00EB6E3E" w:rsidRPr="00EB6E3E">
        <w:t xml:space="preserve"> component relates to the ‘administrative requirement to change records to reflect the changed status [of customers], and the processing costs of relaying this information'.</w:t>
      </w:r>
      <w:r w:rsidR="00EB6E3E" w:rsidRPr="00884414">
        <w:rPr>
          <w:rStyle w:val="FootnoteReference"/>
          <w:rFonts w:eastAsia="Calibri"/>
          <w:szCs w:val="20"/>
        </w:rPr>
        <w:footnoteReference w:id="54"/>
      </w:r>
      <w:r w:rsidR="00EB6E3E" w:rsidRPr="00884414">
        <w:rPr>
          <w:rStyle w:val="FootnoteReference"/>
          <w:rFonts w:eastAsia="Calibri"/>
          <w:szCs w:val="20"/>
        </w:rPr>
        <w:t xml:space="preserve"> </w:t>
      </w:r>
      <w:r w:rsidR="00EB6E3E" w:rsidRPr="00EB6E3E">
        <w:t xml:space="preserve">Endeavour Energy proposed a bottom-up calculation as the basis of this cost, which estimated time taken to complete the task multiplied by the labour rate of </w:t>
      </w:r>
      <w:r w:rsidR="00337A3F">
        <w:t>an administration staff member.</w:t>
      </w:r>
    </w:p>
    <w:p w:rsidR="00EB6E3E" w:rsidRPr="00EB6E3E" w:rsidRDefault="00D2749E" w:rsidP="00EB6E3E">
      <w:r>
        <w:fldChar w:fldCharType="begin"/>
      </w:r>
      <w:r>
        <w:instrText xml:space="preserve"> REF _Ref403565362 \h </w:instrText>
      </w:r>
      <w:r>
        <w:fldChar w:fldCharType="separate"/>
      </w:r>
      <w:r>
        <w:t xml:space="preserve">Table </w:t>
      </w:r>
      <w:r>
        <w:rPr>
          <w:noProof/>
        </w:rPr>
        <w:t>16</w:t>
      </w:r>
      <w:r>
        <w:noBreakHyphen/>
      </w:r>
      <w:r>
        <w:rPr>
          <w:noProof/>
        </w:rPr>
        <w:t>11</w:t>
      </w:r>
      <w:r>
        <w:fldChar w:fldCharType="end"/>
      </w:r>
      <w:r w:rsidR="00471703">
        <w:t xml:space="preserve"> </w:t>
      </w:r>
      <w:r w:rsidR="00EB6E3E" w:rsidRPr="00EB6E3E">
        <w:t xml:space="preserve">sets out the proposed exit fee. </w:t>
      </w:r>
    </w:p>
    <w:p w:rsidR="00EB6E3E" w:rsidRPr="00EB6E3E" w:rsidRDefault="00183FED" w:rsidP="00183FED">
      <w:pPr>
        <w:pStyle w:val="Caption"/>
      </w:pPr>
      <w:bookmarkStart w:id="47" w:name="_Ref403565362"/>
      <w:bookmarkEnd w:id="46"/>
      <w:r>
        <w:t xml:space="preserve">Table </w:t>
      </w:r>
      <w:r w:rsidR="004667DE">
        <w:fldChar w:fldCharType="begin"/>
      </w:r>
      <w:r w:rsidR="004667DE">
        <w:instrText xml:space="preserve"> STYLEREF 1 \s </w:instrText>
      </w:r>
      <w:r w:rsidR="004667DE">
        <w:fldChar w:fldCharType="separate"/>
      </w:r>
      <w:r w:rsidR="003E262F">
        <w:rPr>
          <w:noProof/>
        </w:rPr>
        <w:t>16</w:t>
      </w:r>
      <w:r w:rsidR="004667DE">
        <w:rPr>
          <w:noProof/>
        </w:rPr>
        <w:fldChar w:fldCharType="end"/>
      </w:r>
      <w:r w:rsidR="003E262F">
        <w:noBreakHyphen/>
      </w:r>
      <w:r w:rsidR="004667DE">
        <w:fldChar w:fldCharType="begin"/>
      </w:r>
      <w:r w:rsidR="004667DE">
        <w:instrText xml:space="preserve"> SEQ Table \* ARABIC \s 1 </w:instrText>
      </w:r>
      <w:r w:rsidR="004667DE">
        <w:fldChar w:fldCharType="separate"/>
      </w:r>
      <w:r w:rsidR="003E262F">
        <w:rPr>
          <w:noProof/>
        </w:rPr>
        <w:t>11</w:t>
      </w:r>
      <w:r w:rsidR="004667DE">
        <w:rPr>
          <w:noProof/>
        </w:rPr>
        <w:fldChar w:fldCharType="end"/>
      </w:r>
      <w:bookmarkEnd w:id="47"/>
      <w:r w:rsidR="00F203C2">
        <w:t xml:space="preserve"> </w:t>
      </w:r>
      <w:r w:rsidR="00177FA5">
        <w:tab/>
      </w:r>
      <w:r w:rsidR="00393B4F">
        <w:t>E</w:t>
      </w:r>
      <w:r w:rsidR="00EB6E3E" w:rsidRPr="00EB6E3E">
        <w:t>ndeavour Energy's proposed metering service exit fee for Type 5 and 6 services ($ </w:t>
      </w:r>
      <w:r w:rsidR="00D45E64">
        <w:t>2014-15</w:t>
      </w:r>
      <w:r w:rsidR="00EB6E3E" w:rsidRPr="00EB6E3E">
        <w:t>)</w:t>
      </w:r>
    </w:p>
    <w:tbl>
      <w:tblPr>
        <w:tblStyle w:val="AERtable-numbers"/>
        <w:tblW w:w="0" w:type="auto"/>
        <w:tblLook w:val="04A0" w:firstRow="1" w:lastRow="0" w:firstColumn="1" w:lastColumn="0" w:noHBand="0" w:noVBand="1"/>
      </w:tblPr>
      <w:tblGrid>
        <w:gridCol w:w="1540"/>
        <w:gridCol w:w="1540"/>
        <w:gridCol w:w="1540"/>
        <w:gridCol w:w="1540"/>
        <w:gridCol w:w="1541"/>
        <w:gridCol w:w="1541"/>
      </w:tblGrid>
      <w:tr w:rsidR="00EB6E3E" w:rsidRPr="00EB6E3E" w:rsidTr="00EB6E3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40" w:type="dxa"/>
          </w:tcPr>
          <w:p w:rsidR="00EB6E3E" w:rsidRPr="00EB6E3E" w:rsidRDefault="00EB6E3E" w:rsidP="00F203C2">
            <w:pPr>
              <w:pStyle w:val="AERtabletextright"/>
            </w:pPr>
          </w:p>
        </w:tc>
        <w:tc>
          <w:tcPr>
            <w:tcW w:w="1540" w:type="dxa"/>
          </w:tcPr>
          <w:p w:rsidR="00EB6E3E" w:rsidRPr="00EB6E3E" w:rsidRDefault="00EB6E3E" w:rsidP="00F203C2">
            <w:pPr>
              <w:pStyle w:val="AERtabletextright"/>
              <w:cnfStyle w:val="100000000000" w:firstRow="1" w:lastRow="0" w:firstColumn="0" w:lastColumn="0" w:oddVBand="0" w:evenVBand="0" w:oddHBand="0" w:evenHBand="0" w:firstRowFirstColumn="0" w:firstRowLastColumn="0" w:lastRowFirstColumn="0" w:lastRowLastColumn="0"/>
            </w:pPr>
            <w:r w:rsidRPr="00EB6E3E">
              <w:t>2014–15</w:t>
            </w:r>
          </w:p>
        </w:tc>
        <w:tc>
          <w:tcPr>
            <w:tcW w:w="1540" w:type="dxa"/>
          </w:tcPr>
          <w:p w:rsidR="00EB6E3E" w:rsidRPr="00EB6E3E" w:rsidRDefault="00EB6E3E" w:rsidP="00F203C2">
            <w:pPr>
              <w:pStyle w:val="AERtabletextright"/>
              <w:cnfStyle w:val="100000000000" w:firstRow="1" w:lastRow="0" w:firstColumn="0" w:lastColumn="0" w:oddVBand="0" w:evenVBand="0" w:oddHBand="0" w:evenHBand="0" w:firstRowFirstColumn="0" w:firstRowLastColumn="0" w:lastRowFirstColumn="0" w:lastRowLastColumn="0"/>
            </w:pPr>
            <w:r w:rsidRPr="00EB6E3E">
              <w:t>2015–16</w:t>
            </w:r>
          </w:p>
        </w:tc>
        <w:tc>
          <w:tcPr>
            <w:tcW w:w="1540" w:type="dxa"/>
          </w:tcPr>
          <w:p w:rsidR="00EB6E3E" w:rsidRPr="00EB6E3E" w:rsidRDefault="00EB6E3E" w:rsidP="00F203C2">
            <w:pPr>
              <w:pStyle w:val="AERtabletextright"/>
              <w:cnfStyle w:val="100000000000" w:firstRow="1" w:lastRow="0" w:firstColumn="0" w:lastColumn="0" w:oddVBand="0" w:evenVBand="0" w:oddHBand="0" w:evenHBand="0" w:firstRowFirstColumn="0" w:firstRowLastColumn="0" w:lastRowFirstColumn="0" w:lastRowLastColumn="0"/>
            </w:pPr>
            <w:r w:rsidRPr="00EB6E3E">
              <w:t>2016–17</w:t>
            </w:r>
          </w:p>
        </w:tc>
        <w:tc>
          <w:tcPr>
            <w:tcW w:w="1541" w:type="dxa"/>
          </w:tcPr>
          <w:p w:rsidR="00EB6E3E" w:rsidRPr="00EB6E3E" w:rsidRDefault="00EB6E3E" w:rsidP="00F203C2">
            <w:pPr>
              <w:pStyle w:val="AERtabletextright"/>
              <w:cnfStyle w:val="100000000000" w:firstRow="1" w:lastRow="0" w:firstColumn="0" w:lastColumn="0" w:oddVBand="0" w:evenVBand="0" w:oddHBand="0" w:evenHBand="0" w:firstRowFirstColumn="0" w:firstRowLastColumn="0" w:lastRowFirstColumn="0" w:lastRowLastColumn="0"/>
            </w:pPr>
            <w:r w:rsidRPr="00EB6E3E">
              <w:t>2017–18</w:t>
            </w:r>
          </w:p>
        </w:tc>
        <w:tc>
          <w:tcPr>
            <w:tcW w:w="1541" w:type="dxa"/>
          </w:tcPr>
          <w:p w:rsidR="00EB6E3E" w:rsidRPr="00EB6E3E" w:rsidRDefault="00EB6E3E" w:rsidP="00F203C2">
            <w:pPr>
              <w:pStyle w:val="AERtabletextright"/>
              <w:cnfStyle w:val="100000000000" w:firstRow="1" w:lastRow="0" w:firstColumn="0" w:lastColumn="0" w:oddVBand="0" w:evenVBand="0" w:oddHBand="0" w:evenHBand="0" w:firstRowFirstColumn="0" w:firstRowLastColumn="0" w:lastRowFirstColumn="0" w:lastRowLastColumn="0"/>
            </w:pPr>
            <w:r w:rsidRPr="00EB6E3E">
              <w:t>2018–19</w:t>
            </w:r>
          </w:p>
        </w:tc>
      </w:tr>
      <w:tr w:rsidR="00F83C1D" w:rsidRPr="00EB6E3E" w:rsidTr="005F0472">
        <w:tc>
          <w:tcPr>
            <w:cnfStyle w:val="001000000000" w:firstRow="0" w:lastRow="0" w:firstColumn="1" w:lastColumn="0" w:oddVBand="0" w:evenVBand="0" w:oddHBand="0" w:evenHBand="0" w:firstRowFirstColumn="0" w:firstRowLastColumn="0" w:lastRowFirstColumn="0" w:lastRowLastColumn="0"/>
            <w:tcW w:w="1540" w:type="dxa"/>
          </w:tcPr>
          <w:p w:rsidR="00F83C1D" w:rsidRPr="00EB6E3E" w:rsidRDefault="00F83C1D" w:rsidP="007848A6">
            <w:pPr>
              <w:pStyle w:val="AERtabletextleft"/>
            </w:pPr>
            <w:r w:rsidRPr="00EB6E3E">
              <w:t>Opening RAB recovery</w:t>
            </w:r>
          </w:p>
        </w:tc>
        <w:tc>
          <w:tcPr>
            <w:tcW w:w="1540" w:type="dxa"/>
            <w:vAlign w:val="top"/>
          </w:tcPr>
          <w:p w:rsidR="00F83C1D" w:rsidRPr="00DC28C0" w:rsidRDefault="00F83C1D" w:rsidP="00F203C2">
            <w:pPr>
              <w:pStyle w:val="AERtabletextright"/>
              <w:cnfStyle w:val="000000000000" w:firstRow="0" w:lastRow="0" w:firstColumn="0" w:lastColumn="0" w:oddVBand="0" w:evenVBand="0" w:oddHBand="0" w:evenHBand="0" w:firstRowFirstColumn="0" w:firstRowLastColumn="0" w:lastRowFirstColumn="0" w:lastRowLastColumn="0"/>
            </w:pPr>
            <w:r w:rsidRPr="00DC28C0">
              <w:t>16.89</w:t>
            </w:r>
          </w:p>
        </w:tc>
        <w:tc>
          <w:tcPr>
            <w:tcW w:w="1540" w:type="dxa"/>
            <w:vAlign w:val="top"/>
          </w:tcPr>
          <w:p w:rsidR="00F83C1D" w:rsidRPr="00DC28C0" w:rsidRDefault="00F83C1D" w:rsidP="00F203C2">
            <w:pPr>
              <w:pStyle w:val="AERtabletextright"/>
              <w:cnfStyle w:val="000000000000" w:firstRow="0" w:lastRow="0" w:firstColumn="0" w:lastColumn="0" w:oddVBand="0" w:evenVBand="0" w:oddHBand="0" w:evenHBand="0" w:firstRowFirstColumn="0" w:firstRowLastColumn="0" w:lastRowFirstColumn="0" w:lastRowLastColumn="0"/>
            </w:pPr>
            <w:r w:rsidRPr="00DC28C0">
              <w:t>13.64</w:t>
            </w:r>
          </w:p>
        </w:tc>
        <w:tc>
          <w:tcPr>
            <w:tcW w:w="1540" w:type="dxa"/>
            <w:vAlign w:val="top"/>
          </w:tcPr>
          <w:p w:rsidR="00F83C1D" w:rsidRPr="00DC28C0" w:rsidRDefault="00F83C1D" w:rsidP="00F203C2">
            <w:pPr>
              <w:pStyle w:val="AERtabletextright"/>
              <w:cnfStyle w:val="000000000000" w:firstRow="0" w:lastRow="0" w:firstColumn="0" w:lastColumn="0" w:oddVBand="0" w:evenVBand="0" w:oddHBand="0" w:evenHBand="0" w:firstRowFirstColumn="0" w:firstRowLastColumn="0" w:lastRowFirstColumn="0" w:lastRowLastColumn="0"/>
            </w:pPr>
            <w:r w:rsidRPr="00DC28C0">
              <w:t>10.42</w:t>
            </w:r>
          </w:p>
        </w:tc>
        <w:tc>
          <w:tcPr>
            <w:tcW w:w="1541" w:type="dxa"/>
            <w:vAlign w:val="top"/>
          </w:tcPr>
          <w:p w:rsidR="00F83C1D" w:rsidRPr="00DC28C0" w:rsidRDefault="00F83C1D" w:rsidP="00F203C2">
            <w:pPr>
              <w:pStyle w:val="AERtabletextright"/>
              <w:cnfStyle w:val="000000000000" w:firstRow="0" w:lastRow="0" w:firstColumn="0" w:lastColumn="0" w:oddVBand="0" w:evenVBand="0" w:oddHBand="0" w:evenHBand="0" w:firstRowFirstColumn="0" w:firstRowLastColumn="0" w:lastRowFirstColumn="0" w:lastRowLastColumn="0"/>
            </w:pPr>
            <w:r w:rsidRPr="00DC28C0">
              <w:t>7.14</w:t>
            </w:r>
          </w:p>
        </w:tc>
        <w:tc>
          <w:tcPr>
            <w:tcW w:w="1541" w:type="dxa"/>
            <w:vAlign w:val="top"/>
          </w:tcPr>
          <w:p w:rsidR="00F83C1D" w:rsidRDefault="00F83C1D" w:rsidP="00F203C2">
            <w:pPr>
              <w:pStyle w:val="AERtabletextright"/>
              <w:cnfStyle w:val="000000000000" w:firstRow="0" w:lastRow="0" w:firstColumn="0" w:lastColumn="0" w:oddVBand="0" w:evenVBand="0" w:oddHBand="0" w:evenHBand="0" w:firstRowFirstColumn="0" w:firstRowLastColumn="0" w:lastRowFirstColumn="0" w:lastRowLastColumn="0"/>
            </w:pPr>
            <w:r w:rsidRPr="00DC28C0">
              <w:t>3.69</w:t>
            </w:r>
          </w:p>
        </w:tc>
      </w:tr>
      <w:tr w:rsidR="00D45E64" w:rsidRPr="00EB6E3E" w:rsidTr="005F047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40" w:type="dxa"/>
          </w:tcPr>
          <w:p w:rsidR="00D45E64" w:rsidRPr="00EB6E3E" w:rsidRDefault="00D45E64" w:rsidP="007848A6">
            <w:pPr>
              <w:pStyle w:val="AERtabletextleft"/>
            </w:pPr>
            <w:r w:rsidRPr="00EB6E3E">
              <w:t>Administration cost</w:t>
            </w:r>
          </w:p>
        </w:tc>
        <w:tc>
          <w:tcPr>
            <w:tcW w:w="1540" w:type="dxa"/>
            <w:vAlign w:val="top"/>
          </w:tcPr>
          <w:p w:rsidR="00D45E64" w:rsidRPr="00B04D28" w:rsidRDefault="00D45E64" w:rsidP="00F203C2">
            <w:pPr>
              <w:pStyle w:val="AERtabletextright"/>
              <w:cnfStyle w:val="000000010000" w:firstRow="0" w:lastRow="0" w:firstColumn="0" w:lastColumn="0" w:oddVBand="0" w:evenVBand="0" w:oddHBand="0" w:evenHBand="1" w:firstRowFirstColumn="0" w:firstRowLastColumn="0" w:lastRowFirstColumn="0" w:lastRowLastColumn="0"/>
            </w:pPr>
            <w:r w:rsidRPr="00B04D28">
              <w:t>50.49</w:t>
            </w:r>
          </w:p>
        </w:tc>
        <w:tc>
          <w:tcPr>
            <w:tcW w:w="1540" w:type="dxa"/>
            <w:vAlign w:val="top"/>
          </w:tcPr>
          <w:p w:rsidR="00D45E64" w:rsidRPr="00B04D28" w:rsidRDefault="00D45E64" w:rsidP="00F203C2">
            <w:pPr>
              <w:pStyle w:val="AERtabletextright"/>
              <w:cnfStyle w:val="000000010000" w:firstRow="0" w:lastRow="0" w:firstColumn="0" w:lastColumn="0" w:oddVBand="0" w:evenVBand="0" w:oddHBand="0" w:evenHBand="1" w:firstRowFirstColumn="0" w:firstRowLastColumn="0" w:lastRowFirstColumn="0" w:lastRowLastColumn="0"/>
            </w:pPr>
            <w:r w:rsidRPr="00B04D28">
              <w:t>50.49</w:t>
            </w:r>
          </w:p>
        </w:tc>
        <w:tc>
          <w:tcPr>
            <w:tcW w:w="1540" w:type="dxa"/>
            <w:vAlign w:val="top"/>
          </w:tcPr>
          <w:p w:rsidR="00D45E64" w:rsidRPr="00B04D28" w:rsidRDefault="00D45E64" w:rsidP="00F203C2">
            <w:pPr>
              <w:pStyle w:val="AERtabletextright"/>
              <w:cnfStyle w:val="000000010000" w:firstRow="0" w:lastRow="0" w:firstColumn="0" w:lastColumn="0" w:oddVBand="0" w:evenVBand="0" w:oddHBand="0" w:evenHBand="1" w:firstRowFirstColumn="0" w:firstRowLastColumn="0" w:lastRowFirstColumn="0" w:lastRowLastColumn="0"/>
            </w:pPr>
            <w:r w:rsidRPr="00B04D28">
              <w:t>50.49</w:t>
            </w:r>
          </w:p>
        </w:tc>
        <w:tc>
          <w:tcPr>
            <w:tcW w:w="1541" w:type="dxa"/>
            <w:vAlign w:val="top"/>
          </w:tcPr>
          <w:p w:rsidR="00D45E64" w:rsidRPr="00B04D28" w:rsidRDefault="00D45E64" w:rsidP="00F203C2">
            <w:pPr>
              <w:pStyle w:val="AERtabletextright"/>
              <w:cnfStyle w:val="000000010000" w:firstRow="0" w:lastRow="0" w:firstColumn="0" w:lastColumn="0" w:oddVBand="0" w:evenVBand="0" w:oddHBand="0" w:evenHBand="1" w:firstRowFirstColumn="0" w:firstRowLastColumn="0" w:lastRowFirstColumn="0" w:lastRowLastColumn="0"/>
            </w:pPr>
            <w:r w:rsidRPr="00B04D28">
              <w:t>50.49</w:t>
            </w:r>
          </w:p>
        </w:tc>
        <w:tc>
          <w:tcPr>
            <w:tcW w:w="1541" w:type="dxa"/>
            <w:vAlign w:val="top"/>
          </w:tcPr>
          <w:p w:rsidR="00D45E64" w:rsidRDefault="00D45E64" w:rsidP="00F203C2">
            <w:pPr>
              <w:pStyle w:val="AERtabletextright"/>
              <w:cnfStyle w:val="000000010000" w:firstRow="0" w:lastRow="0" w:firstColumn="0" w:lastColumn="0" w:oddVBand="0" w:evenVBand="0" w:oddHBand="0" w:evenHBand="1" w:firstRowFirstColumn="0" w:firstRowLastColumn="0" w:lastRowFirstColumn="0" w:lastRowLastColumn="0"/>
            </w:pPr>
            <w:r w:rsidRPr="00B04D28">
              <w:t>50.49</w:t>
            </w:r>
          </w:p>
        </w:tc>
      </w:tr>
      <w:tr w:rsidR="00D45E64" w:rsidRPr="00EB6E3E" w:rsidTr="005F0472">
        <w:tc>
          <w:tcPr>
            <w:cnfStyle w:val="001000000000" w:firstRow="0" w:lastRow="0" w:firstColumn="1" w:lastColumn="0" w:oddVBand="0" w:evenVBand="0" w:oddHBand="0" w:evenHBand="0" w:firstRowFirstColumn="0" w:firstRowLastColumn="0" w:lastRowFirstColumn="0" w:lastRowLastColumn="0"/>
            <w:tcW w:w="1540" w:type="dxa"/>
          </w:tcPr>
          <w:p w:rsidR="00D45E64" w:rsidRPr="00EB6E3E" w:rsidRDefault="00D45E64" w:rsidP="007848A6">
            <w:pPr>
              <w:pStyle w:val="AERtabletextleft"/>
            </w:pPr>
            <w:r w:rsidRPr="00EB6E3E">
              <w:t>Proposed exit fee</w:t>
            </w:r>
          </w:p>
        </w:tc>
        <w:tc>
          <w:tcPr>
            <w:tcW w:w="1540" w:type="dxa"/>
            <w:vAlign w:val="top"/>
          </w:tcPr>
          <w:p w:rsidR="00D45E64" w:rsidRPr="00B55E94" w:rsidRDefault="00D45E64" w:rsidP="00F203C2">
            <w:pPr>
              <w:pStyle w:val="AERtabletextright"/>
              <w:cnfStyle w:val="000000000000" w:firstRow="0" w:lastRow="0" w:firstColumn="0" w:lastColumn="0" w:oddVBand="0" w:evenVBand="0" w:oddHBand="0" w:evenHBand="0" w:firstRowFirstColumn="0" w:firstRowLastColumn="0" w:lastRowFirstColumn="0" w:lastRowLastColumn="0"/>
            </w:pPr>
            <w:r w:rsidRPr="00B55E94">
              <w:t>67.39</w:t>
            </w:r>
          </w:p>
        </w:tc>
        <w:tc>
          <w:tcPr>
            <w:tcW w:w="1540" w:type="dxa"/>
            <w:vAlign w:val="top"/>
          </w:tcPr>
          <w:p w:rsidR="00D45E64" w:rsidRPr="00B55E94" w:rsidRDefault="00D45E64" w:rsidP="00F203C2">
            <w:pPr>
              <w:pStyle w:val="AERtabletextright"/>
              <w:cnfStyle w:val="000000000000" w:firstRow="0" w:lastRow="0" w:firstColumn="0" w:lastColumn="0" w:oddVBand="0" w:evenVBand="0" w:oddHBand="0" w:evenHBand="0" w:firstRowFirstColumn="0" w:firstRowLastColumn="0" w:lastRowFirstColumn="0" w:lastRowLastColumn="0"/>
            </w:pPr>
            <w:r w:rsidRPr="00B55E94">
              <w:t>64.14</w:t>
            </w:r>
          </w:p>
        </w:tc>
        <w:tc>
          <w:tcPr>
            <w:tcW w:w="1540" w:type="dxa"/>
            <w:vAlign w:val="top"/>
          </w:tcPr>
          <w:p w:rsidR="00D45E64" w:rsidRPr="00B55E94" w:rsidRDefault="00D45E64" w:rsidP="00F203C2">
            <w:pPr>
              <w:pStyle w:val="AERtabletextright"/>
              <w:cnfStyle w:val="000000000000" w:firstRow="0" w:lastRow="0" w:firstColumn="0" w:lastColumn="0" w:oddVBand="0" w:evenVBand="0" w:oddHBand="0" w:evenHBand="0" w:firstRowFirstColumn="0" w:firstRowLastColumn="0" w:lastRowFirstColumn="0" w:lastRowLastColumn="0"/>
            </w:pPr>
            <w:r w:rsidRPr="00B55E94">
              <w:t>60.92</w:t>
            </w:r>
          </w:p>
        </w:tc>
        <w:tc>
          <w:tcPr>
            <w:tcW w:w="1541" w:type="dxa"/>
            <w:vAlign w:val="top"/>
          </w:tcPr>
          <w:p w:rsidR="00D45E64" w:rsidRPr="00B55E94" w:rsidRDefault="00D45E64" w:rsidP="00F203C2">
            <w:pPr>
              <w:pStyle w:val="AERtabletextright"/>
              <w:cnfStyle w:val="000000000000" w:firstRow="0" w:lastRow="0" w:firstColumn="0" w:lastColumn="0" w:oddVBand="0" w:evenVBand="0" w:oddHBand="0" w:evenHBand="0" w:firstRowFirstColumn="0" w:firstRowLastColumn="0" w:lastRowFirstColumn="0" w:lastRowLastColumn="0"/>
            </w:pPr>
            <w:r w:rsidRPr="00B55E94">
              <w:t>57.63</w:t>
            </w:r>
          </w:p>
        </w:tc>
        <w:tc>
          <w:tcPr>
            <w:tcW w:w="1541" w:type="dxa"/>
            <w:vAlign w:val="top"/>
          </w:tcPr>
          <w:p w:rsidR="00D45E64" w:rsidRDefault="00D45E64" w:rsidP="00F203C2">
            <w:pPr>
              <w:pStyle w:val="AERtabletextright"/>
              <w:cnfStyle w:val="000000000000" w:firstRow="0" w:lastRow="0" w:firstColumn="0" w:lastColumn="0" w:oddVBand="0" w:evenVBand="0" w:oddHBand="0" w:evenHBand="0" w:firstRowFirstColumn="0" w:firstRowLastColumn="0" w:lastRowFirstColumn="0" w:lastRowLastColumn="0"/>
            </w:pPr>
            <w:r w:rsidRPr="00B55E94">
              <w:t>54.19</w:t>
            </w:r>
          </w:p>
        </w:tc>
      </w:tr>
    </w:tbl>
    <w:p w:rsidR="00EB6E3E" w:rsidRPr="00EB6E3E" w:rsidRDefault="00EB6E3E" w:rsidP="00471703">
      <w:pPr>
        <w:pStyle w:val="AERtablesource"/>
      </w:pPr>
      <w:r w:rsidRPr="00EB6E3E">
        <w:t xml:space="preserve">Source: </w:t>
      </w:r>
      <w:r w:rsidR="001B35E3">
        <w:tab/>
      </w:r>
      <w:r w:rsidRPr="00EB6E3E">
        <w:t xml:space="preserve">Endeavour Energy, </w:t>
      </w:r>
      <w:r w:rsidRPr="00471703">
        <w:rPr>
          <w:i/>
        </w:rPr>
        <w:t>Regulatory proposal, supporting attachment 8.07, Endeavour Energy’s Approach to Pricing Types 5 &amp; 6 Met</w:t>
      </w:r>
      <w:r w:rsidR="00337A3F" w:rsidRPr="00471703">
        <w:rPr>
          <w:i/>
        </w:rPr>
        <w:t>ering Services</w:t>
      </w:r>
      <w:r w:rsidR="00337A3F">
        <w:t>, May 2014, p. 9.</w:t>
      </w:r>
      <w:r w:rsidR="00D45E64">
        <w:t xml:space="preserve"> </w:t>
      </w:r>
      <w:proofErr w:type="gramStart"/>
      <w:r w:rsidR="00D45E64">
        <w:t>Converted to $2014-15.</w:t>
      </w:r>
      <w:proofErr w:type="gramEnd"/>
    </w:p>
    <w:p w:rsidR="00EB6E3E" w:rsidRPr="00EB6E3E" w:rsidRDefault="00EB6E3E" w:rsidP="00337A3F">
      <w:pPr>
        <w:pStyle w:val="Heading3"/>
      </w:pPr>
      <w:bookmarkStart w:id="48" w:name="_Toc404324962"/>
      <w:r w:rsidRPr="00EB6E3E">
        <w:t>Assessment approach</w:t>
      </w:r>
      <w:bookmarkEnd w:id="48"/>
    </w:p>
    <w:p w:rsidR="00EB6E3E" w:rsidRPr="00EB6E3E" w:rsidRDefault="00EB6E3E" w:rsidP="00EB6E3E">
      <w:pPr>
        <w:numPr>
          <w:ilvl w:val="0"/>
          <w:numId w:val="13"/>
        </w:numPr>
      </w:pPr>
      <w:r w:rsidRPr="00EB6E3E">
        <w:t>Our assessment approach was tailored to each of Endeavour Energy’s proposed price caps.</w:t>
      </w:r>
    </w:p>
    <w:p w:rsidR="00EB6E3E" w:rsidRPr="00EB6E3E" w:rsidRDefault="00EB6E3E" w:rsidP="00337A3F">
      <w:pPr>
        <w:pStyle w:val="HeadingBoldBlue"/>
      </w:pPr>
      <w:r w:rsidRPr="00EB6E3E">
        <w:t>Annual metering services</w:t>
      </w:r>
    </w:p>
    <w:p w:rsidR="00EB6E3E" w:rsidRPr="00EB6E3E" w:rsidRDefault="00EB6E3E" w:rsidP="00EB6E3E">
      <w:r w:rsidRPr="00EB6E3E">
        <w:t xml:space="preserve">We assessed Endeavour Energy's proposed capital and operating expenditure building blocks and opening metering regulatory asset base. </w:t>
      </w:r>
    </w:p>
    <w:p w:rsidR="00393B4F" w:rsidRDefault="00EB6E3E" w:rsidP="00EB6E3E">
      <w:pPr>
        <w:numPr>
          <w:ilvl w:val="0"/>
          <w:numId w:val="13"/>
        </w:numPr>
      </w:pPr>
      <w:r w:rsidRPr="00EB6E3E">
        <w:t xml:space="preserve">In assessing the proposed capital expenditure, we reviewed Endeavour Energy’s ‘unit costs’ and ‘volume forecasts’. More specifically, we assessed Endeavour Energy’s proposed 'material' and 'non–material' unit costs and the forecast volume of ‘reactive’ and ‘proactive’ replacements. </w:t>
      </w:r>
      <w:r w:rsidR="00393B4F">
        <w:t xml:space="preserve">Material costs relate to the hardware used to provide metering services. Non–material costs relate to the activities (labour) which </w:t>
      </w:r>
      <w:r w:rsidR="00F66AC3">
        <w:t>Endeavour Energy</w:t>
      </w:r>
      <w:r w:rsidR="00393B4F">
        <w:t xml:space="preserve"> must perform to install a new or replaced meter.</w:t>
      </w:r>
    </w:p>
    <w:p w:rsidR="00393B4F" w:rsidRDefault="00EB6E3E" w:rsidP="00393B4F">
      <w:pPr>
        <w:numPr>
          <w:ilvl w:val="0"/>
          <w:numId w:val="13"/>
        </w:numPr>
        <w:rPr>
          <w:rFonts w:eastAsia="Times New Roman"/>
          <w:szCs w:val="24"/>
        </w:rPr>
      </w:pPr>
      <w:r w:rsidRPr="00EB6E3E">
        <w:t xml:space="preserve">From 1 July 2015, Endeavour Energy’s customers will incur an upfront payment recovering the capital cost of meters installed at ‘new or upgraded connections’. </w:t>
      </w:r>
      <w:r w:rsidR="00393B4F">
        <w:rPr>
          <w:rFonts w:eastAsia="Times New Roman"/>
          <w:szCs w:val="24"/>
        </w:rPr>
        <w:t xml:space="preserve">The commencement date for the upfront payment (1 July 2015) is the earliest available under the rules. They provide that the existing cost allocation approach leading up to </w:t>
      </w:r>
      <w:r w:rsidR="00E85B7D">
        <w:rPr>
          <w:rFonts w:eastAsia="Times New Roman"/>
          <w:szCs w:val="24"/>
        </w:rPr>
        <w:t xml:space="preserve">the </w:t>
      </w:r>
      <w:r w:rsidR="00393B4F">
        <w:rPr>
          <w:rFonts w:eastAsia="Times New Roman"/>
          <w:szCs w:val="24"/>
        </w:rPr>
        <w:t>placeholder year must be retained into 2014–15.</w:t>
      </w:r>
      <w:r w:rsidR="00393B4F">
        <w:rPr>
          <w:rStyle w:val="FootnoteReference"/>
          <w:rFonts w:eastAsia="Times New Roman"/>
          <w:szCs w:val="24"/>
        </w:rPr>
        <w:footnoteReference w:id="55"/>
      </w:r>
      <w:r w:rsidR="00393B4F">
        <w:rPr>
          <w:rFonts w:eastAsia="Times New Roman"/>
          <w:szCs w:val="24"/>
        </w:rPr>
        <w:t xml:space="preserve"> In the case of new or upgraded connections, the capital cost of the meters must be recovered under the general network charge for standard control services. But from 1 July 2015, Endeavour Energy may change its capital contribution policy so that such costs are recovered directly from customers.   </w:t>
      </w:r>
    </w:p>
    <w:p w:rsidR="007A5905" w:rsidRDefault="007A5905" w:rsidP="007A5905">
      <w:pPr>
        <w:numPr>
          <w:ilvl w:val="0"/>
          <w:numId w:val="13"/>
        </w:numPr>
        <w:rPr>
          <w:rFonts w:eastAsia="Times New Roman"/>
          <w:szCs w:val="24"/>
        </w:rPr>
      </w:pPr>
      <w:r>
        <w:rPr>
          <w:rFonts w:eastAsia="Times New Roman"/>
          <w:szCs w:val="24"/>
        </w:rPr>
        <w:t>New or upgraded connections in 2014-15 formed part of our assessment of Endeavour Energy’s proposed capital expenditure building block for annual metering services. However the ‘true–up’ of any differences between the capital costs Endeavour Energy recovered in the 2014–15 placeholder year with our assessment of what we consider to be prudent and efficient will actually be recovered under the general network service charge.</w:t>
      </w:r>
    </w:p>
    <w:p w:rsidR="007A5905" w:rsidRDefault="007A5905" w:rsidP="007A5905">
      <w:pPr>
        <w:numPr>
          <w:ilvl w:val="0"/>
          <w:numId w:val="13"/>
        </w:numPr>
        <w:rPr>
          <w:rFonts w:eastAsia="Times New Roman"/>
          <w:szCs w:val="24"/>
        </w:rPr>
      </w:pPr>
      <w:r w:rsidRPr="00E43293">
        <w:rPr>
          <w:rFonts w:eastAsia="Times New Roman"/>
          <w:szCs w:val="24"/>
        </w:rPr>
        <w:t xml:space="preserve">We took a different approach to assessing </w:t>
      </w:r>
      <w:r w:rsidR="00420DC0">
        <w:rPr>
          <w:rFonts w:eastAsia="Times New Roman"/>
          <w:szCs w:val="24"/>
        </w:rPr>
        <w:t>Endeavour Energy</w:t>
      </w:r>
      <w:r w:rsidRPr="00E43293">
        <w:rPr>
          <w:rFonts w:eastAsia="Times New Roman"/>
          <w:szCs w:val="24"/>
        </w:rPr>
        <w:t>'s proposed operating expenditure. Such expenditure refers to the operating, maintenance and other non</w:t>
      </w:r>
      <w:r w:rsidRPr="00E43293">
        <w:rPr>
          <w:rFonts w:eastAsia="Times New Roman" w:hint="eastAsia"/>
          <w:szCs w:val="24"/>
        </w:rPr>
        <w:t>–</w:t>
      </w:r>
      <w:r w:rsidRPr="00E43293">
        <w:rPr>
          <w:rFonts w:eastAsia="Times New Roman"/>
          <w:szCs w:val="24"/>
        </w:rPr>
        <w:t xml:space="preserve">capital costs, including labour, incurred in the provision of metering services. As the expenditure associated with these types of activities is largely recurrent in nature, we considered </w:t>
      </w:r>
      <w:r w:rsidR="00420DC0">
        <w:rPr>
          <w:rFonts w:eastAsia="Times New Roman"/>
          <w:szCs w:val="24"/>
        </w:rPr>
        <w:t>Endeavour Energy</w:t>
      </w:r>
      <w:r w:rsidRPr="00E43293">
        <w:rPr>
          <w:rFonts w:eastAsia="Times New Roman" w:hint="eastAsia"/>
          <w:szCs w:val="24"/>
        </w:rPr>
        <w:t>’</w:t>
      </w:r>
      <w:r w:rsidRPr="00E43293">
        <w:rPr>
          <w:rFonts w:eastAsia="Times New Roman"/>
          <w:szCs w:val="24"/>
        </w:rPr>
        <w:t xml:space="preserve">s historical costs as </w:t>
      </w:r>
      <w:r>
        <w:rPr>
          <w:rFonts w:eastAsia="Times New Roman"/>
          <w:szCs w:val="24"/>
        </w:rPr>
        <w:t>a useful starting point to establish a</w:t>
      </w:r>
      <w:r w:rsidRPr="00E43293">
        <w:rPr>
          <w:rFonts w:eastAsia="Times New Roman"/>
          <w:szCs w:val="24"/>
        </w:rPr>
        <w:t xml:space="preserve"> base to forecast future costs. </w:t>
      </w:r>
      <w:r>
        <w:rPr>
          <w:rFonts w:eastAsia="Times New Roman"/>
          <w:szCs w:val="24"/>
        </w:rPr>
        <w:t>W</w:t>
      </w:r>
      <w:r w:rsidRPr="00E43293">
        <w:rPr>
          <w:rFonts w:eastAsia="Times New Roman"/>
          <w:szCs w:val="24"/>
        </w:rPr>
        <w:t xml:space="preserve">e also </w:t>
      </w:r>
      <w:r>
        <w:rPr>
          <w:rFonts w:eastAsia="Times New Roman"/>
          <w:szCs w:val="24"/>
        </w:rPr>
        <w:t>used</w:t>
      </w:r>
      <w:r w:rsidRPr="00E43293">
        <w:rPr>
          <w:rFonts w:eastAsia="Times New Roman"/>
          <w:szCs w:val="24"/>
        </w:rPr>
        <w:t xml:space="preserve"> benchmarking </w:t>
      </w:r>
      <w:r>
        <w:rPr>
          <w:rFonts w:eastAsia="Times New Roman"/>
          <w:szCs w:val="24"/>
        </w:rPr>
        <w:t xml:space="preserve">to assess the relative efficiency of the base year compared with comparable network businesses in the national electricity market. </w:t>
      </w:r>
    </w:p>
    <w:p w:rsidR="007A5905" w:rsidRPr="00DE0423" w:rsidRDefault="007A5905" w:rsidP="007A5905">
      <w:pPr>
        <w:numPr>
          <w:ilvl w:val="0"/>
          <w:numId w:val="13"/>
        </w:numPr>
        <w:rPr>
          <w:rFonts w:eastAsia="Times New Roman"/>
          <w:szCs w:val="24"/>
        </w:rPr>
      </w:pPr>
      <w:r>
        <w:t xml:space="preserve">While not required under the </w:t>
      </w:r>
      <w:r w:rsidR="00420DC0">
        <w:t>rules</w:t>
      </w:r>
      <w:r>
        <w:t>, we chose to use benchmarking to keep a consistent approach with how we assessed standard control services operating expenditure. The benchmarking approach we used to assess base operating expenditure for metering is a simpler version than what we used to assess standard control operating expenditure. This reflects the generally lighter handed regulatory approach to alternative control services compared with standard control services and the fact that we had less tools available. For example, our econometric modelling results we used to assess standard control operating expenditure were based on data for network services and therefore do not strictly apply to metering services. We used a partial performance indicator for our benchmarking method, comparing annual metering operating expenditure per customer across non-Victorian network businesses</w:t>
      </w:r>
      <w:r>
        <w:rPr>
          <w:rStyle w:val="FootnoteReference"/>
        </w:rPr>
        <w:footnoteReference w:id="56"/>
      </w:r>
      <w:r>
        <w:t xml:space="preserve"> in the national electricity market. We adjusted the benchmarking results for customer density which is a network characteristic that is an exogenous influence on operating expenditure requirements. </w:t>
      </w:r>
    </w:p>
    <w:p w:rsidR="007A5905" w:rsidRDefault="007A5905" w:rsidP="007A5905">
      <w:pPr>
        <w:pStyle w:val="AERbodytext"/>
      </w:pPr>
      <w:r>
        <w:t>After</w:t>
      </w:r>
      <w:r w:rsidRPr="00BB3C83">
        <w:t xml:space="preserve"> </w:t>
      </w:r>
      <w:r w:rsidR="00420DC0">
        <w:t xml:space="preserve">making an efficiency adjustment to </w:t>
      </w:r>
      <w:r>
        <w:t>Endeavour Energy’s base</w:t>
      </w:r>
      <w:r w:rsidRPr="00BB3C83">
        <w:t xml:space="preserve"> annual operating expenditure </w:t>
      </w:r>
      <w:r>
        <w:t>and</w:t>
      </w:r>
      <w:r w:rsidRPr="00BB3C83">
        <w:t xml:space="preserve"> accounting for any (positive or negative) step changes</w:t>
      </w:r>
      <w:r>
        <w:t xml:space="preserve">, we trended </w:t>
      </w:r>
      <w:r w:rsidRPr="00BB3C83">
        <w:t>forward</w:t>
      </w:r>
      <w:r>
        <w:t xml:space="preserve"> that amount</w:t>
      </w:r>
      <w:r w:rsidRPr="00BB3C83">
        <w:t xml:space="preserve"> over the 2014–15 and 2015–19 regulatory control periods. This is known as the ‘base, step and trend’ approach.</w:t>
      </w:r>
    </w:p>
    <w:p w:rsidR="007A5905" w:rsidRDefault="007A5905" w:rsidP="007A5905">
      <w:pPr>
        <w:numPr>
          <w:ilvl w:val="0"/>
          <w:numId w:val="13"/>
        </w:numPr>
        <w:rPr>
          <w:rFonts w:eastAsia="Times New Roman"/>
          <w:szCs w:val="24"/>
        </w:rPr>
      </w:pPr>
      <w:r>
        <w:t>For our draft decision, we did not assess metering customer number forecasts.</w:t>
      </w:r>
      <w:r w:rsidR="00420DC0">
        <w:rPr>
          <w:rStyle w:val="FootnoteReference"/>
        </w:rPr>
        <w:footnoteReference w:id="57"/>
      </w:r>
      <w:r>
        <w:t xml:space="preserve"> Instead we used the proposed customer number forecasts for our analysis. This is because we expect the AEMC’s draft rule change on competition in meteri</w:t>
      </w:r>
      <w:r w:rsidR="007B0861">
        <w:t>ng (to be released March 2015</w:t>
      </w:r>
      <w:r>
        <w:t>) will influence forecasts of metering customers. As such, we will assess whether metering customer forecasts are reasonable in our final decision which may in turn affect the capital and operating expenditure building blocks</w:t>
      </w:r>
      <w:r w:rsidR="00E85B7D">
        <w:t>.</w:t>
      </w:r>
    </w:p>
    <w:p w:rsidR="00EB6E3E" w:rsidRPr="00EB6E3E" w:rsidRDefault="00EB6E3E" w:rsidP="00EB6E3E">
      <w:pPr>
        <w:numPr>
          <w:ilvl w:val="0"/>
          <w:numId w:val="13"/>
        </w:numPr>
      </w:pPr>
      <w:r w:rsidRPr="00EB6E3E">
        <w:t xml:space="preserve">For both capital and operating expenditure, we had regard to factors in chapter 6 of the </w:t>
      </w:r>
      <w:r w:rsidR="00420DC0">
        <w:t>rules</w:t>
      </w:r>
      <w:r w:rsidRPr="00EB6E3E">
        <w:t>. Namely the capital and operating expenditure objectives and criteria.</w:t>
      </w:r>
      <w:r w:rsidRPr="00884414">
        <w:rPr>
          <w:rStyle w:val="FootnoteReference"/>
        </w:rPr>
        <w:footnoteReference w:id="58"/>
      </w:r>
      <w:r w:rsidRPr="00EB6E3E">
        <w:t xml:space="preserve"> Though these considerations relate to standard, as opposed to alternative, control services, they are helpful and relevant in providing a general framework for assessing a building block expenditure forecast. Among other things, when considering a distribution business’ forecast, the capital and operating expenditure objectives and criteria state we should consider:</w:t>
      </w:r>
    </w:p>
    <w:p w:rsidR="00EB6E3E" w:rsidRPr="00EB6E3E" w:rsidRDefault="00EB6E3E" w:rsidP="00337A3F">
      <w:pPr>
        <w:pStyle w:val="AERbulletlistfirststyle"/>
      </w:pPr>
      <w:r w:rsidRPr="00EB6E3E">
        <w:t>the efficient costs required</w:t>
      </w:r>
    </w:p>
    <w:p w:rsidR="00EB6E3E" w:rsidRPr="00EB6E3E" w:rsidRDefault="00EB6E3E" w:rsidP="00337A3F">
      <w:pPr>
        <w:pStyle w:val="AERbulletlistfirststyle"/>
      </w:pPr>
      <w:r w:rsidRPr="00EB6E3E">
        <w:t>the costs a prudent operator would incur</w:t>
      </w:r>
    </w:p>
    <w:p w:rsidR="00EB6E3E" w:rsidRPr="00EB6E3E" w:rsidRDefault="00EB6E3E" w:rsidP="00337A3F">
      <w:pPr>
        <w:pStyle w:val="AERbulletlistfirststyle"/>
      </w:pPr>
      <w:proofErr w:type="gramStart"/>
      <w:r w:rsidRPr="00EB6E3E">
        <w:t>whether</w:t>
      </w:r>
      <w:proofErr w:type="gramEnd"/>
      <w:r w:rsidRPr="00EB6E3E">
        <w:t xml:space="preserve"> the proposed cost inputs are reasonable.</w:t>
      </w:r>
      <w:r w:rsidRPr="00884414">
        <w:rPr>
          <w:rStyle w:val="FootnoteReference"/>
          <w:rFonts w:eastAsia="Calibri"/>
          <w:szCs w:val="20"/>
        </w:rPr>
        <w:footnoteReference w:id="59"/>
      </w:r>
      <w:r w:rsidRPr="00884414">
        <w:rPr>
          <w:rStyle w:val="FootnoteReference"/>
          <w:rFonts w:eastAsia="Calibri"/>
          <w:szCs w:val="20"/>
        </w:rPr>
        <w:t xml:space="preserve">  </w:t>
      </w:r>
    </w:p>
    <w:p w:rsidR="00EB6E3E" w:rsidRPr="00EB6E3E" w:rsidRDefault="00EB6E3E" w:rsidP="00EB6E3E">
      <w:r w:rsidRPr="00EB6E3E">
        <w:t>In assessing Endeavour Energy’s proposed opening metering asset base, we reviewed how Endeavour Energy had separated its proposed opening metering regulatory asset base (RAB) as at 1 July 2014, from the RAB for standard control services. We also considered the remaining asset lives Endeavour Energy proposed and had regard to the opening of competition to metering services.</w:t>
      </w:r>
    </w:p>
    <w:p w:rsidR="00EB6E3E" w:rsidRPr="00EB6E3E" w:rsidRDefault="00EB6E3E" w:rsidP="00337A3F">
      <w:pPr>
        <w:pStyle w:val="HeadingBoldBlue"/>
      </w:pPr>
      <w:r w:rsidRPr="00EB6E3E">
        <w:t>New or upgraded connections</w:t>
      </w:r>
    </w:p>
    <w:p w:rsidR="00EB6E3E" w:rsidRPr="00EB6E3E" w:rsidRDefault="00EB6E3E" w:rsidP="00EB6E3E">
      <w:r w:rsidRPr="00EB6E3E">
        <w:t xml:space="preserve">To assess the reasonableness of the proposed charges from 1 July 2015, we analysed Endeavour Energy’s unit costs. We </w:t>
      </w:r>
      <w:r w:rsidR="00393B4F">
        <w:t>did not consider</w:t>
      </w:r>
      <w:r w:rsidRPr="00EB6E3E">
        <w:t xml:space="preserve"> the forecast volumes of new or upgraded connections for the 2015–19 regulatory control period</w:t>
      </w:r>
      <w:r w:rsidR="00393B4F">
        <w:t xml:space="preserve">; </w:t>
      </w:r>
      <w:r w:rsidRPr="00EB6E3E">
        <w:t xml:space="preserve">they have no bearing on the quantum of </w:t>
      </w:r>
      <w:r w:rsidR="00393B4F">
        <w:t>the</w:t>
      </w:r>
      <w:r w:rsidR="00393B4F" w:rsidRPr="00EB6E3E">
        <w:t xml:space="preserve"> </w:t>
      </w:r>
      <w:r w:rsidRPr="00EB6E3E">
        <w:t>upfront charge.</w:t>
      </w:r>
    </w:p>
    <w:p w:rsidR="00EB6E3E" w:rsidRPr="00EB6E3E" w:rsidRDefault="00EB6E3E" w:rsidP="00337A3F">
      <w:pPr>
        <w:pStyle w:val="HeadingBoldBlue"/>
      </w:pPr>
      <w:r w:rsidRPr="00EB6E3E">
        <w:t>Exit fee</w:t>
      </w:r>
    </w:p>
    <w:p w:rsidR="00EB6E3E" w:rsidRPr="00337A3F" w:rsidRDefault="00EB6E3E" w:rsidP="00EB6E3E">
      <w:pPr>
        <w:rPr>
          <w:rStyle w:val="AERtextbold"/>
        </w:rPr>
      </w:pPr>
      <w:r w:rsidRPr="00337A3F">
        <w:rPr>
          <w:rStyle w:val="AERtextbold"/>
        </w:rPr>
        <w:t xml:space="preserve">Residual </w:t>
      </w:r>
      <w:r w:rsidR="00B441B2">
        <w:rPr>
          <w:rStyle w:val="AERtextbold"/>
        </w:rPr>
        <w:t>capital</w:t>
      </w:r>
      <w:r w:rsidRPr="00337A3F">
        <w:rPr>
          <w:rStyle w:val="AERtextbold"/>
        </w:rPr>
        <w:t xml:space="preserve"> costs</w:t>
      </w:r>
    </w:p>
    <w:p w:rsidR="00EB6E3E" w:rsidRPr="00EB6E3E" w:rsidRDefault="00EB6E3E" w:rsidP="00EB6E3E">
      <w:r w:rsidRPr="00EB6E3E">
        <w:t xml:space="preserve">We had to make a decision regarding the classification and control mechanism for residual </w:t>
      </w:r>
      <w:r w:rsidR="00B441B2">
        <w:t>capital</w:t>
      </w:r>
      <w:r w:rsidRPr="00EB6E3E">
        <w:t xml:space="preserve"> costs as it was not explicitly considered in our framework and approach paper.</w:t>
      </w:r>
      <w:r w:rsidRPr="00884414">
        <w:rPr>
          <w:rStyle w:val="FootnoteReference"/>
        </w:rPr>
        <w:footnoteReference w:id="60"/>
      </w:r>
      <w:r w:rsidRPr="00884414">
        <w:rPr>
          <w:rStyle w:val="FootnoteReference"/>
        </w:rPr>
        <w:t xml:space="preserve"> </w:t>
      </w:r>
      <w:r w:rsidRPr="00EB6E3E">
        <w:t xml:space="preserve">Our classification decision is made with regard to the factors set out in clauses 6.2.2(c) and 6.2.5 (c) of the </w:t>
      </w:r>
      <w:r w:rsidR="00B441B2">
        <w:t>rules</w:t>
      </w:r>
      <w:r w:rsidRPr="00EB6E3E">
        <w:t>. We had particular regard to:</w:t>
      </w:r>
    </w:p>
    <w:p w:rsidR="00EB6E3E" w:rsidRPr="00EB6E3E" w:rsidRDefault="00EB6E3E" w:rsidP="00337A3F">
      <w:pPr>
        <w:pStyle w:val="AERbulletlistfirststyle"/>
      </w:pPr>
      <w:r w:rsidRPr="00EB6E3E">
        <w:t>How the classification/control mechanism may influence the potential for comp</w:t>
      </w:r>
      <w:r w:rsidR="0089218A">
        <w:t>etition in unregulated metering</w:t>
      </w:r>
      <w:r w:rsidRPr="00EB6E3E">
        <w:t xml:space="preserve"> </w:t>
      </w:r>
    </w:p>
    <w:p w:rsidR="00EB6E3E" w:rsidRPr="00EB6E3E" w:rsidRDefault="00EB6E3E" w:rsidP="00337A3F">
      <w:pPr>
        <w:pStyle w:val="AERbulletlistfirststyle"/>
        <w:numPr>
          <w:ilvl w:val="0"/>
          <w:numId w:val="0"/>
        </w:numPr>
        <w:ind w:left="357"/>
      </w:pPr>
      <w:r w:rsidRPr="00EB6E3E">
        <w:t>Stakeholders raised concern that large exit fees will inhibit competitive entry into</w:t>
      </w:r>
      <w:r w:rsidR="0089218A">
        <w:t xml:space="preserve"> an unregulated metering market</w:t>
      </w:r>
      <w:r w:rsidRPr="00884414">
        <w:rPr>
          <w:rStyle w:val="FootnoteReference"/>
          <w:rFonts w:eastAsia="Calibri"/>
          <w:szCs w:val="20"/>
        </w:rPr>
        <w:footnoteReference w:id="61"/>
      </w:r>
      <w:r w:rsidRPr="00884414">
        <w:rPr>
          <w:rStyle w:val="FootnoteReference"/>
          <w:rFonts w:eastAsia="Calibri"/>
          <w:szCs w:val="20"/>
        </w:rPr>
        <w:t xml:space="preserve"> </w:t>
      </w:r>
      <w:r w:rsidRPr="00EB6E3E">
        <w:t xml:space="preserve"> </w:t>
      </w:r>
    </w:p>
    <w:p w:rsidR="00EB6E3E" w:rsidRPr="00EB6E3E" w:rsidRDefault="00EB6E3E" w:rsidP="00337A3F">
      <w:pPr>
        <w:pStyle w:val="AERbulletlistfirststyle"/>
      </w:pPr>
      <w:r w:rsidRPr="00EB6E3E">
        <w:t>A method that provides administrative simplicity for customers, Endeavour Energy and the AER where pos</w:t>
      </w:r>
      <w:r w:rsidR="0089218A">
        <w:t>sible</w:t>
      </w:r>
      <w:r w:rsidRPr="00EB6E3E">
        <w:t xml:space="preserve"> </w:t>
      </w:r>
    </w:p>
    <w:p w:rsidR="00EB6E3E" w:rsidRPr="00EB6E3E" w:rsidRDefault="00EB6E3E" w:rsidP="00337A3F">
      <w:pPr>
        <w:pStyle w:val="AERbulletlistfirststyle"/>
      </w:pPr>
      <w:r w:rsidRPr="00EB6E3E">
        <w:t>The extent to which costs can be directly attributable to individual customers in order to minimise cross subsidies.</w:t>
      </w:r>
    </w:p>
    <w:p w:rsidR="00EB6E3E" w:rsidRPr="00EB6E3E" w:rsidRDefault="00EB6E3E" w:rsidP="00EB6E3E">
      <w:r w:rsidRPr="00EB6E3E">
        <w:t xml:space="preserve">In addition to the classification and control mechanism factors, we had regard to the revenue and pricing principles in the </w:t>
      </w:r>
      <w:r w:rsidR="00B441B2">
        <w:t>national electricity law</w:t>
      </w:r>
      <w:r w:rsidRPr="00EB6E3E">
        <w:t xml:space="preserve"> which include providing a distributor with a reasonable opportunity to recover at least its efficient costs.</w:t>
      </w:r>
      <w:r w:rsidRPr="00884414">
        <w:rPr>
          <w:rStyle w:val="FootnoteReference"/>
        </w:rPr>
        <w:footnoteReference w:id="62"/>
      </w:r>
      <w:r w:rsidRPr="00884414">
        <w:rPr>
          <w:rStyle w:val="FootnoteReference"/>
        </w:rPr>
        <w:t xml:space="preserve"> </w:t>
      </w:r>
    </w:p>
    <w:p w:rsidR="00EB6E3E" w:rsidRPr="00EB6E3E" w:rsidRDefault="00EB6E3E" w:rsidP="00EB6E3E">
      <w:r w:rsidRPr="00EB6E3E">
        <w:t xml:space="preserve">We did not separately assess the basis of residual </w:t>
      </w:r>
      <w:r w:rsidR="00B441B2">
        <w:t>capital</w:t>
      </w:r>
      <w:r w:rsidRPr="00EB6E3E">
        <w:t xml:space="preserve"> costs. We made a decision regarding the metering RAB amount and then considered how to recover any residual amount that risks becoming stranded if a customer leaves, which we dealt with through our classification and control mechanism decision. </w:t>
      </w:r>
    </w:p>
    <w:p w:rsidR="00EB6E3E" w:rsidRPr="00337A3F" w:rsidRDefault="00EB6E3E" w:rsidP="00EB6E3E">
      <w:pPr>
        <w:rPr>
          <w:rStyle w:val="AERtextbold"/>
        </w:rPr>
      </w:pPr>
      <w:r w:rsidRPr="00337A3F">
        <w:rPr>
          <w:rStyle w:val="AERtextbold"/>
        </w:rPr>
        <w:t>Administration costs</w:t>
      </w:r>
    </w:p>
    <w:p w:rsidR="00EB6E3E" w:rsidRPr="00EB6E3E" w:rsidRDefault="00EB6E3E" w:rsidP="00EB6E3E">
      <w:r w:rsidRPr="00EB6E3E">
        <w:t xml:space="preserve">We maintained the classification and control mechanism for the administration cost component as an alternative control service with a price cap for the individual service. Therefore our assessment was focused on whether the proposed bottom-up basis for calculating an </w:t>
      </w:r>
      <w:r w:rsidR="00970C18">
        <w:t xml:space="preserve">administration fee resulted in </w:t>
      </w:r>
      <w:r w:rsidR="005940D4">
        <w:t>expenditure</w:t>
      </w:r>
      <w:r w:rsidRPr="00EB6E3E">
        <w:t xml:space="preserve"> forecast that reflects the efficient costs a prudent operator would incur and whether the proposed inputs are reasonable.   </w:t>
      </w:r>
    </w:p>
    <w:p w:rsidR="00EB6E3E" w:rsidRPr="00EB6E3E" w:rsidRDefault="00EB6E3E" w:rsidP="00337A3F">
      <w:pPr>
        <w:pStyle w:val="Heading3"/>
      </w:pPr>
      <w:bookmarkStart w:id="49" w:name="_Toc404324963"/>
      <w:r w:rsidRPr="00EB6E3E">
        <w:t>Reasons for draft decision</w:t>
      </w:r>
      <w:bookmarkEnd w:id="49"/>
    </w:p>
    <w:p w:rsidR="00EB6E3E" w:rsidRPr="00EB6E3E" w:rsidRDefault="00EB6E3E" w:rsidP="00EB6E3E">
      <w:r w:rsidRPr="00EB6E3E">
        <w:t>Our reasons for not accepting Endeavour Energy's proposed charges for annual metering services, new or upg</w:t>
      </w:r>
      <w:r w:rsidR="00BA3157">
        <w:t>raded connections</w:t>
      </w:r>
      <w:r w:rsidRPr="00EB6E3E">
        <w:t>, and the exit fee are discussed in this section.</w:t>
      </w:r>
    </w:p>
    <w:p w:rsidR="00EB6E3E" w:rsidRPr="00EB6E3E" w:rsidRDefault="00EB6E3E" w:rsidP="00337A3F">
      <w:pPr>
        <w:pStyle w:val="HeadingBoldBlue"/>
      </w:pPr>
      <w:r w:rsidRPr="00EB6E3E">
        <w:t>Annual metering services</w:t>
      </w:r>
    </w:p>
    <w:p w:rsidR="00BA3157" w:rsidRDefault="00EB6E3E" w:rsidP="00BA3157">
      <w:pPr>
        <w:pStyle w:val="AERbulletlistfirststyle"/>
        <w:numPr>
          <w:ilvl w:val="0"/>
          <w:numId w:val="0"/>
        </w:numPr>
      </w:pPr>
      <w:r w:rsidRPr="00EB6E3E">
        <w:t xml:space="preserve">Our draft decision is to not accept Endeavour Energy’s total proposed building block requirement for annual metering services. </w:t>
      </w:r>
      <w:r w:rsidR="00BA3157" w:rsidRPr="005C1929">
        <w:t>More specifically,</w:t>
      </w:r>
      <w:r w:rsidR="00BA3157">
        <w:t xml:space="preserve"> </w:t>
      </w:r>
      <w:r w:rsidR="00BA3157" w:rsidRPr="005C1929">
        <w:t xml:space="preserve">we do not </w:t>
      </w:r>
      <w:r w:rsidR="00BA3157">
        <w:t>accept</w:t>
      </w:r>
      <w:r w:rsidR="00BA3157" w:rsidRPr="005C1929">
        <w:t xml:space="preserve"> </w:t>
      </w:r>
      <w:r w:rsidR="00BA3157">
        <w:t xml:space="preserve">the following components of Endeavour Energy’s proposal: </w:t>
      </w:r>
    </w:p>
    <w:p w:rsidR="00BA3157" w:rsidRDefault="00BA3157" w:rsidP="00BA3157">
      <w:pPr>
        <w:pStyle w:val="AERbulletlistfirststyle"/>
      </w:pPr>
      <w:r w:rsidRPr="005C1929">
        <w:t>capita</w:t>
      </w:r>
      <w:r>
        <w:t>l expenditure</w:t>
      </w:r>
    </w:p>
    <w:p w:rsidR="00BA3157" w:rsidRDefault="00BA3157" w:rsidP="00BA3157">
      <w:pPr>
        <w:pStyle w:val="AERbulletlistfirststyle"/>
      </w:pPr>
      <w:r>
        <w:t>operating expenditure</w:t>
      </w:r>
    </w:p>
    <w:p w:rsidR="00BA3157" w:rsidRDefault="00BA3157" w:rsidP="00BA3157">
      <w:pPr>
        <w:pStyle w:val="AERbulletlistfirststyle"/>
      </w:pPr>
      <w:proofErr w:type="gramStart"/>
      <w:r w:rsidRPr="005C1929">
        <w:t>opening</w:t>
      </w:r>
      <w:proofErr w:type="gramEnd"/>
      <w:r w:rsidRPr="005C1929">
        <w:t xml:space="preserve"> </w:t>
      </w:r>
      <w:r>
        <w:t>metering RAB.</w:t>
      </w:r>
    </w:p>
    <w:p w:rsidR="00EB6E3E" w:rsidRPr="00970C18" w:rsidRDefault="00EB6E3E" w:rsidP="00EB6E3E">
      <w:r w:rsidRPr="00EB6E3E">
        <w:t xml:space="preserve">This has led us to reject </w:t>
      </w:r>
      <w:r w:rsidRPr="00970C18">
        <w:t>Endeavour Energy’s proposed annual metering service charges. Our alternative pri</w:t>
      </w:r>
      <w:r w:rsidR="00970C18">
        <w:t xml:space="preserve">ce caps are set out in Appendix </w:t>
      </w:r>
      <w:r w:rsidR="00F92C29">
        <w:fldChar w:fldCharType="begin"/>
      </w:r>
      <w:r w:rsidR="00F92C29">
        <w:instrText xml:space="preserve"> REF _Ref403663103 \n \h </w:instrText>
      </w:r>
      <w:r w:rsidR="00F92C29">
        <w:fldChar w:fldCharType="separate"/>
      </w:r>
      <w:r w:rsidR="000A6EFE">
        <w:t>A.1</w:t>
      </w:r>
      <w:r w:rsidR="00F92C29">
        <w:fldChar w:fldCharType="end"/>
      </w:r>
      <w:r w:rsidR="005940D4">
        <w:t>.</w:t>
      </w:r>
    </w:p>
    <w:p w:rsidR="00EB6E3E" w:rsidRPr="00337A3F" w:rsidRDefault="00EB6E3E" w:rsidP="00EB6E3E">
      <w:pPr>
        <w:rPr>
          <w:rStyle w:val="AERtextbold"/>
        </w:rPr>
      </w:pPr>
      <w:r w:rsidRPr="00337A3F">
        <w:rPr>
          <w:rStyle w:val="AERtextbold"/>
        </w:rPr>
        <w:t>Capital expenditure building block</w:t>
      </w:r>
    </w:p>
    <w:p w:rsidR="00EB6E3E" w:rsidRPr="00EB6E3E" w:rsidRDefault="00EB6E3E" w:rsidP="00EB6E3E">
      <w:bookmarkStart w:id="50" w:name="_Ref399498958"/>
      <w:r w:rsidRPr="00EB6E3E">
        <w:t xml:space="preserve">We </w:t>
      </w:r>
      <w:r w:rsidR="00854BF0">
        <w:t>accept $8.1</w:t>
      </w:r>
      <w:r w:rsidR="00A62473">
        <w:t xml:space="preserve"> in capital expenditure for annual metering services and substitute that amount with Endeavour Energy’s proposed $</w:t>
      </w:r>
      <w:r w:rsidR="00854BF0">
        <w:t>21.1</w:t>
      </w:r>
      <w:r w:rsidR="00A62473">
        <w:t xml:space="preserve"> million ($2014–15). </w:t>
      </w:r>
      <w:r w:rsidR="00D2749E">
        <w:fldChar w:fldCharType="begin"/>
      </w:r>
      <w:r w:rsidR="00D2749E">
        <w:instrText xml:space="preserve"> REF _Ref402873181 \h </w:instrText>
      </w:r>
      <w:r w:rsidR="00D2749E">
        <w:fldChar w:fldCharType="separate"/>
      </w:r>
      <w:r w:rsidR="00D2749E">
        <w:t xml:space="preserve">Table </w:t>
      </w:r>
      <w:r w:rsidR="00D2749E">
        <w:rPr>
          <w:noProof/>
        </w:rPr>
        <w:t>16</w:t>
      </w:r>
      <w:r w:rsidR="00D2749E">
        <w:noBreakHyphen/>
      </w:r>
      <w:r w:rsidR="00D2749E">
        <w:rPr>
          <w:noProof/>
        </w:rPr>
        <w:t>12</w:t>
      </w:r>
      <w:r w:rsidR="00D2749E">
        <w:fldChar w:fldCharType="end"/>
      </w:r>
      <w:r w:rsidR="00F966D8">
        <w:t xml:space="preserve"> </w:t>
      </w:r>
      <w:r w:rsidRPr="00EB6E3E">
        <w:t xml:space="preserve">sets out Endeavour Energy’s proposed capital expenditure and our substitute, for each cost category. </w:t>
      </w:r>
    </w:p>
    <w:p w:rsidR="00EB6E3E" w:rsidRPr="00EB6E3E" w:rsidRDefault="00183FED" w:rsidP="00183FED">
      <w:pPr>
        <w:pStyle w:val="Caption"/>
      </w:pPr>
      <w:bookmarkStart w:id="51" w:name="_Ref402873181"/>
      <w:bookmarkEnd w:id="50"/>
      <w:r>
        <w:t xml:space="preserve">Table </w:t>
      </w:r>
      <w:r w:rsidR="004667DE">
        <w:fldChar w:fldCharType="begin"/>
      </w:r>
      <w:r w:rsidR="004667DE">
        <w:instrText xml:space="preserve"> STYLEREF 1 \s </w:instrText>
      </w:r>
      <w:r w:rsidR="004667DE">
        <w:fldChar w:fldCharType="separate"/>
      </w:r>
      <w:r w:rsidR="003E262F">
        <w:rPr>
          <w:noProof/>
        </w:rPr>
        <w:t>16</w:t>
      </w:r>
      <w:r w:rsidR="004667DE">
        <w:rPr>
          <w:noProof/>
        </w:rPr>
        <w:fldChar w:fldCharType="end"/>
      </w:r>
      <w:r w:rsidR="003E262F">
        <w:noBreakHyphen/>
      </w:r>
      <w:r w:rsidR="004667DE">
        <w:fldChar w:fldCharType="begin"/>
      </w:r>
      <w:r w:rsidR="004667DE">
        <w:instrText xml:space="preserve"> SEQ Table \* ARABIC \s 1 </w:instrText>
      </w:r>
      <w:r w:rsidR="004667DE">
        <w:fldChar w:fldCharType="separate"/>
      </w:r>
      <w:r w:rsidR="003E262F">
        <w:rPr>
          <w:noProof/>
        </w:rPr>
        <w:t>12</w:t>
      </w:r>
      <w:r w:rsidR="004667DE">
        <w:rPr>
          <w:noProof/>
        </w:rPr>
        <w:fldChar w:fldCharType="end"/>
      </w:r>
      <w:bookmarkEnd w:id="51"/>
      <w:r w:rsidR="00F203C2">
        <w:t xml:space="preserve"> </w:t>
      </w:r>
      <w:r w:rsidR="00854BF0">
        <w:tab/>
      </w:r>
      <w:r w:rsidR="00EB6E3E" w:rsidRPr="00EB6E3E">
        <w:t>Proposed and AER approved capital expenditure for metering annual services ($million 2014–15)</w:t>
      </w:r>
    </w:p>
    <w:tbl>
      <w:tblPr>
        <w:tblStyle w:val="AERtable-numbers"/>
        <w:tblW w:w="0" w:type="auto"/>
        <w:tblLook w:val="04A0" w:firstRow="1" w:lastRow="0" w:firstColumn="1" w:lastColumn="0" w:noHBand="0" w:noVBand="1"/>
      </w:tblPr>
      <w:tblGrid>
        <w:gridCol w:w="2802"/>
        <w:gridCol w:w="1337"/>
        <w:gridCol w:w="1507"/>
        <w:gridCol w:w="1688"/>
        <w:gridCol w:w="1908"/>
      </w:tblGrid>
      <w:tr w:rsidR="00EB6E3E" w:rsidRPr="00EB6E3E" w:rsidTr="00EB6E3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2" w:type="dxa"/>
          </w:tcPr>
          <w:p w:rsidR="00EB6E3E" w:rsidRPr="00EB6E3E" w:rsidRDefault="00EB6E3E" w:rsidP="00F203C2">
            <w:pPr>
              <w:pStyle w:val="AERtabletextright"/>
            </w:pPr>
          </w:p>
        </w:tc>
        <w:tc>
          <w:tcPr>
            <w:tcW w:w="1337" w:type="dxa"/>
          </w:tcPr>
          <w:p w:rsidR="00EB6E3E" w:rsidRPr="00EB6E3E" w:rsidRDefault="00EB6E3E" w:rsidP="00F203C2">
            <w:pPr>
              <w:pStyle w:val="AERtabletextright"/>
              <w:cnfStyle w:val="100000000000" w:firstRow="1" w:lastRow="0" w:firstColumn="0" w:lastColumn="0" w:oddVBand="0" w:evenVBand="0" w:oddHBand="0" w:evenHBand="0" w:firstRowFirstColumn="0" w:firstRowLastColumn="0" w:lastRowFirstColumn="0" w:lastRowLastColumn="0"/>
            </w:pPr>
            <w:r w:rsidRPr="00EB6E3E">
              <w:t>Proposed</w:t>
            </w:r>
          </w:p>
        </w:tc>
        <w:tc>
          <w:tcPr>
            <w:tcW w:w="1507" w:type="dxa"/>
          </w:tcPr>
          <w:p w:rsidR="00EB6E3E" w:rsidRPr="00EB6E3E" w:rsidRDefault="00EB6E3E" w:rsidP="00F203C2">
            <w:pPr>
              <w:pStyle w:val="AERtabletextright"/>
              <w:cnfStyle w:val="100000000000" w:firstRow="1" w:lastRow="0" w:firstColumn="0" w:lastColumn="0" w:oddVBand="0" w:evenVBand="0" w:oddHBand="0" w:evenHBand="0" w:firstRowFirstColumn="0" w:firstRowLastColumn="0" w:lastRowFirstColumn="0" w:lastRowLastColumn="0"/>
            </w:pPr>
            <w:r w:rsidRPr="00EB6E3E">
              <w:t>Adjustment (unit costs)</w:t>
            </w:r>
          </w:p>
        </w:tc>
        <w:tc>
          <w:tcPr>
            <w:tcW w:w="1688" w:type="dxa"/>
          </w:tcPr>
          <w:p w:rsidR="00EB6E3E" w:rsidRPr="00EB6E3E" w:rsidRDefault="00EB6E3E" w:rsidP="00F203C2">
            <w:pPr>
              <w:pStyle w:val="AERtabletextright"/>
              <w:cnfStyle w:val="100000000000" w:firstRow="1" w:lastRow="0" w:firstColumn="0" w:lastColumn="0" w:oddVBand="0" w:evenVBand="0" w:oddHBand="0" w:evenHBand="0" w:firstRowFirstColumn="0" w:firstRowLastColumn="0" w:lastRowFirstColumn="0" w:lastRowLastColumn="0"/>
            </w:pPr>
            <w:r w:rsidRPr="00EB6E3E">
              <w:t>Adjustment (volume forecast)</w:t>
            </w:r>
          </w:p>
        </w:tc>
        <w:tc>
          <w:tcPr>
            <w:tcW w:w="1908" w:type="dxa"/>
          </w:tcPr>
          <w:p w:rsidR="00EB6E3E" w:rsidRPr="00EB6E3E" w:rsidRDefault="00EB6E3E" w:rsidP="00F203C2">
            <w:pPr>
              <w:pStyle w:val="AERtabletextright"/>
              <w:cnfStyle w:val="100000000000" w:firstRow="1" w:lastRow="0" w:firstColumn="0" w:lastColumn="0" w:oddVBand="0" w:evenVBand="0" w:oddHBand="0" w:evenHBand="0" w:firstRowFirstColumn="0" w:firstRowLastColumn="0" w:lastRowFirstColumn="0" w:lastRowLastColumn="0"/>
            </w:pPr>
            <w:r w:rsidRPr="00EB6E3E">
              <w:t>Draft decision</w:t>
            </w:r>
          </w:p>
        </w:tc>
      </w:tr>
      <w:tr w:rsidR="00EB6E3E" w:rsidRPr="00EB6E3E" w:rsidTr="00EB6E3E">
        <w:tc>
          <w:tcPr>
            <w:cnfStyle w:val="001000000000" w:firstRow="0" w:lastRow="0" w:firstColumn="1" w:lastColumn="0" w:oddVBand="0" w:evenVBand="0" w:oddHBand="0" w:evenHBand="0" w:firstRowFirstColumn="0" w:firstRowLastColumn="0" w:lastRowFirstColumn="0" w:lastRowLastColumn="0"/>
            <w:tcW w:w="2802" w:type="dxa"/>
          </w:tcPr>
          <w:p w:rsidR="00EB6E3E" w:rsidRPr="00EB6E3E" w:rsidRDefault="00EB6E3E" w:rsidP="007848A6">
            <w:pPr>
              <w:pStyle w:val="AERtabletextleft"/>
            </w:pPr>
            <w:r w:rsidRPr="00EB6E3E">
              <w:t>New or upgraded connections</w:t>
            </w:r>
          </w:p>
        </w:tc>
        <w:tc>
          <w:tcPr>
            <w:tcW w:w="1337" w:type="dxa"/>
          </w:tcPr>
          <w:p w:rsidR="00EB6E3E" w:rsidRPr="00EB6E3E" w:rsidRDefault="00854BF0" w:rsidP="00F203C2">
            <w:pPr>
              <w:pStyle w:val="AERtabletextright"/>
              <w:cnfStyle w:val="000000000000" w:firstRow="0" w:lastRow="0" w:firstColumn="0" w:lastColumn="0" w:oddVBand="0" w:evenVBand="0" w:oddHBand="0" w:evenHBand="0" w:firstRowFirstColumn="0" w:firstRowLastColumn="0" w:lastRowFirstColumn="0" w:lastRowLastColumn="0"/>
            </w:pPr>
            <w:r>
              <w:t>1.8</w:t>
            </w:r>
          </w:p>
        </w:tc>
        <w:tc>
          <w:tcPr>
            <w:tcW w:w="1507" w:type="dxa"/>
          </w:tcPr>
          <w:p w:rsidR="00EB6E3E" w:rsidRPr="00EB6E3E" w:rsidRDefault="00854BF0" w:rsidP="00F203C2">
            <w:pPr>
              <w:pStyle w:val="AERtabletextright"/>
              <w:cnfStyle w:val="000000000000" w:firstRow="0" w:lastRow="0" w:firstColumn="0" w:lastColumn="0" w:oddVBand="0" w:evenVBand="0" w:oddHBand="0" w:evenHBand="0" w:firstRowFirstColumn="0" w:firstRowLastColumn="0" w:lastRowFirstColumn="0" w:lastRowLastColumn="0"/>
            </w:pPr>
            <w:r>
              <w:t>0.0</w:t>
            </w:r>
          </w:p>
        </w:tc>
        <w:tc>
          <w:tcPr>
            <w:tcW w:w="1688" w:type="dxa"/>
          </w:tcPr>
          <w:p w:rsidR="00EB6E3E" w:rsidRPr="00EB6E3E" w:rsidRDefault="00854BF0" w:rsidP="00F203C2">
            <w:pPr>
              <w:pStyle w:val="AERtabletextright"/>
              <w:cnfStyle w:val="000000000000" w:firstRow="0" w:lastRow="0" w:firstColumn="0" w:lastColumn="0" w:oddVBand="0" w:evenVBand="0" w:oddHBand="0" w:evenHBand="0" w:firstRowFirstColumn="0" w:firstRowLastColumn="0" w:lastRowFirstColumn="0" w:lastRowLastColumn="0"/>
            </w:pPr>
            <w:r>
              <w:t>0.0</w:t>
            </w:r>
          </w:p>
        </w:tc>
        <w:tc>
          <w:tcPr>
            <w:tcW w:w="1908" w:type="dxa"/>
          </w:tcPr>
          <w:p w:rsidR="00EB6E3E" w:rsidRPr="00EB6E3E" w:rsidRDefault="00854BF0" w:rsidP="00F203C2">
            <w:pPr>
              <w:pStyle w:val="AERtabletextright"/>
              <w:cnfStyle w:val="000000000000" w:firstRow="0" w:lastRow="0" w:firstColumn="0" w:lastColumn="0" w:oddVBand="0" w:evenVBand="0" w:oddHBand="0" w:evenHBand="0" w:firstRowFirstColumn="0" w:firstRowLastColumn="0" w:lastRowFirstColumn="0" w:lastRowLastColumn="0"/>
            </w:pPr>
            <w:r>
              <w:t>1.8</w:t>
            </w:r>
          </w:p>
        </w:tc>
      </w:tr>
      <w:tr w:rsidR="00EB6E3E" w:rsidRPr="00EB6E3E" w:rsidTr="00EB6E3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2" w:type="dxa"/>
          </w:tcPr>
          <w:p w:rsidR="00EB6E3E" w:rsidRPr="00EB6E3E" w:rsidRDefault="00EB6E3E" w:rsidP="007848A6">
            <w:pPr>
              <w:pStyle w:val="AERtabletextleft"/>
            </w:pPr>
            <w:r w:rsidRPr="00EB6E3E">
              <w:t>Replacements</w:t>
            </w:r>
          </w:p>
        </w:tc>
        <w:tc>
          <w:tcPr>
            <w:tcW w:w="1337" w:type="dxa"/>
          </w:tcPr>
          <w:p w:rsidR="00EB6E3E" w:rsidRPr="00EB6E3E" w:rsidRDefault="00854BF0" w:rsidP="00F203C2">
            <w:pPr>
              <w:pStyle w:val="AERtabletextright"/>
              <w:cnfStyle w:val="000000010000" w:firstRow="0" w:lastRow="0" w:firstColumn="0" w:lastColumn="0" w:oddVBand="0" w:evenVBand="0" w:oddHBand="0" w:evenHBand="1" w:firstRowFirstColumn="0" w:firstRowLastColumn="0" w:lastRowFirstColumn="0" w:lastRowLastColumn="0"/>
            </w:pPr>
            <w:r>
              <w:t>19.3</w:t>
            </w:r>
          </w:p>
        </w:tc>
        <w:tc>
          <w:tcPr>
            <w:tcW w:w="1507" w:type="dxa"/>
          </w:tcPr>
          <w:p w:rsidR="00EB6E3E" w:rsidRPr="00EB6E3E" w:rsidRDefault="00854BF0" w:rsidP="00F203C2">
            <w:pPr>
              <w:pStyle w:val="AERtabletextright"/>
              <w:cnfStyle w:val="000000010000" w:firstRow="0" w:lastRow="0" w:firstColumn="0" w:lastColumn="0" w:oddVBand="0" w:evenVBand="0" w:oddHBand="0" w:evenHBand="1" w:firstRowFirstColumn="0" w:firstRowLastColumn="0" w:lastRowFirstColumn="0" w:lastRowLastColumn="0"/>
            </w:pPr>
            <w:r>
              <w:t>0.0</w:t>
            </w:r>
          </w:p>
        </w:tc>
        <w:tc>
          <w:tcPr>
            <w:tcW w:w="1688" w:type="dxa"/>
          </w:tcPr>
          <w:p w:rsidR="00EB6E3E" w:rsidRPr="00EB6E3E" w:rsidRDefault="00854BF0" w:rsidP="00F203C2">
            <w:pPr>
              <w:pStyle w:val="AERtabletextright"/>
              <w:cnfStyle w:val="000000010000" w:firstRow="0" w:lastRow="0" w:firstColumn="0" w:lastColumn="0" w:oddVBand="0" w:evenVBand="0" w:oddHBand="0" w:evenHBand="1" w:firstRowFirstColumn="0" w:firstRowLastColumn="0" w:lastRowFirstColumn="0" w:lastRowLastColumn="0"/>
            </w:pPr>
            <w:r>
              <w:t>13.0</w:t>
            </w:r>
          </w:p>
        </w:tc>
        <w:tc>
          <w:tcPr>
            <w:tcW w:w="1908" w:type="dxa"/>
          </w:tcPr>
          <w:p w:rsidR="00EB6E3E" w:rsidRPr="00EB6E3E" w:rsidRDefault="00854BF0" w:rsidP="00F203C2">
            <w:pPr>
              <w:pStyle w:val="AERtabletextright"/>
              <w:cnfStyle w:val="000000010000" w:firstRow="0" w:lastRow="0" w:firstColumn="0" w:lastColumn="0" w:oddVBand="0" w:evenVBand="0" w:oddHBand="0" w:evenHBand="1" w:firstRowFirstColumn="0" w:firstRowLastColumn="0" w:lastRowFirstColumn="0" w:lastRowLastColumn="0"/>
            </w:pPr>
            <w:r>
              <w:t>6.3</w:t>
            </w:r>
          </w:p>
        </w:tc>
      </w:tr>
      <w:tr w:rsidR="00EB6E3E" w:rsidRPr="00EB6E3E" w:rsidTr="00EB6E3E">
        <w:tc>
          <w:tcPr>
            <w:cnfStyle w:val="001000000000" w:firstRow="0" w:lastRow="0" w:firstColumn="1" w:lastColumn="0" w:oddVBand="0" w:evenVBand="0" w:oddHBand="0" w:evenHBand="0" w:firstRowFirstColumn="0" w:firstRowLastColumn="0" w:lastRowFirstColumn="0" w:lastRowLastColumn="0"/>
            <w:tcW w:w="2802" w:type="dxa"/>
          </w:tcPr>
          <w:p w:rsidR="00EB6E3E" w:rsidRPr="00EB6E3E" w:rsidRDefault="00EB6E3E" w:rsidP="007848A6">
            <w:pPr>
              <w:pStyle w:val="AERtabletextleft"/>
            </w:pPr>
            <w:r w:rsidRPr="00EB6E3E">
              <w:t>Total</w:t>
            </w:r>
          </w:p>
        </w:tc>
        <w:tc>
          <w:tcPr>
            <w:tcW w:w="1337" w:type="dxa"/>
          </w:tcPr>
          <w:p w:rsidR="00EB6E3E" w:rsidRPr="00EB6E3E" w:rsidRDefault="00854BF0" w:rsidP="00F203C2">
            <w:pPr>
              <w:pStyle w:val="AERtabletextright"/>
              <w:cnfStyle w:val="000000000000" w:firstRow="0" w:lastRow="0" w:firstColumn="0" w:lastColumn="0" w:oddVBand="0" w:evenVBand="0" w:oddHBand="0" w:evenHBand="0" w:firstRowFirstColumn="0" w:firstRowLastColumn="0" w:lastRowFirstColumn="0" w:lastRowLastColumn="0"/>
            </w:pPr>
            <w:r>
              <w:t>21.1</w:t>
            </w:r>
          </w:p>
        </w:tc>
        <w:tc>
          <w:tcPr>
            <w:tcW w:w="1507" w:type="dxa"/>
          </w:tcPr>
          <w:p w:rsidR="00EB6E3E" w:rsidRPr="00EB6E3E" w:rsidRDefault="00854BF0" w:rsidP="00F203C2">
            <w:pPr>
              <w:pStyle w:val="AERtabletextright"/>
              <w:cnfStyle w:val="000000000000" w:firstRow="0" w:lastRow="0" w:firstColumn="0" w:lastColumn="0" w:oddVBand="0" w:evenVBand="0" w:oddHBand="0" w:evenHBand="0" w:firstRowFirstColumn="0" w:firstRowLastColumn="0" w:lastRowFirstColumn="0" w:lastRowLastColumn="0"/>
            </w:pPr>
            <w:r>
              <w:t>0.0</w:t>
            </w:r>
          </w:p>
        </w:tc>
        <w:tc>
          <w:tcPr>
            <w:tcW w:w="1688" w:type="dxa"/>
          </w:tcPr>
          <w:p w:rsidR="00EB6E3E" w:rsidRPr="00EB6E3E" w:rsidRDefault="00854BF0" w:rsidP="00F203C2">
            <w:pPr>
              <w:pStyle w:val="AERtabletextright"/>
              <w:cnfStyle w:val="000000000000" w:firstRow="0" w:lastRow="0" w:firstColumn="0" w:lastColumn="0" w:oddVBand="0" w:evenVBand="0" w:oddHBand="0" w:evenHBand="0" w:firstRowFirstColumn="0" w:firstRowLastColumn="0" w:lastRowFirstColumn="0" w:lastRowLastColumn="0"/>
            </w:pPr>
            <w:r>
              <w:t>13.0</w:t>
            </w:r>
          </w:p>
        </w:tc>
        <w:tc>
          <w:tcPr>
            <w:tcW w:w="1908" w:type="dxa"/>
          </w:tcPr>
          <w:p w:rsidR="00EB6E3E" w:rsidRPr="00EB6E3E" w:rsidRDefault="00854BF0" w:rsidP="00F203C2">
            <w:pPr>
              <w:pStyle w:val="AERtabletextright"/>
              <w:cnfStyle w:val="000000000000" w:firstRow="0" w:lastRow="0" w:firstColumn="0" w:lastColumn="0" w:oddVBand="0" w:evenVBand="0" w:oddHBand="0" w:evenHBand="0" w:firstRowFirstColumn="0" w:firstRowLastColumn="0" w:lastRowFirstColumn="0" w:lastRowLastColumn="0"/>
            </w:pPr>
            <w:r>
              <w:t>8.1</w:t>
            </w:r>
          </w:p>
        </w:tc>
      </w:tr>
    </w:tbl>
    <w:p w:rsidR="00EB6E3E" w:rsidRPr="00EB6E3E" w:rsidRDefault="00EB6E3E" w:rsidP="00980C62">
      <w:pPr>
        <w:pStyle w:val="AERtablesource"/>
      </w:pPr>
      <w:r w:rsidRPr="00EB6E3E">
        <w:t>Source:</w:t>
      </w:r>
      <w:r w:rsidR="00F203C2">
        <w:tab/>
      </w:r>
      <w:r w:rsidRPr="00EB6E3E">
        <w:t xml:space="preserve"> </w:t>
      </w:r>
      <w:r w:rsidR="00F0337A" w:rsidRPr="00EB6E3E">
        <w:t xml:space="preserve">Endeavour Energy, </w:t>
      </w:r>
      <w:r w:rsidR="00F0337A" w:rsidRPr="00471703">
        <w:rPr>
          <w:i/>
        </w:rPr>
        <w:t>Regulatory proposal, supporting attachment 8.07, Endeavour Energy’s Approach to Pricing Types 5 &amp; 6 Metering Services</w:t>
      </w:r>
      <w:r w:rsidR="00F0337A">
        <w:t>, May 2014</w:t>
      </w:r>
      <w:r w:rsidRPr="00EB6E3E">
        <w:t>, p. 6.</w:t>
      </w:r>
    </w:p>
    <w:p w:rsidR="00EB6E3E" w:rsidRPr="00337A3F" w:rsidRDefault="00EB6E3E" w:rsidP="00EB6E3E">
      <w:pPr>
        <w:rPr>
          <w:rStyle w:val="AERtextitalic"/>
        </w:rPr>
      </w:pPr>
      <w:r w:rsidRPr="00337A3F">
        <w:rPr>
          <w:rStyle w:val="AERtextitalic"/>
        </w:rPr>
        <w:t>Unit costs</w:t>
      </w:r>
    </w:p>
    <w:p w:rsidR="00E53F96" w:rsidRDefault="00E53F96" w:rsidP="0031432E">
      <w:pPr>
        <w:pStyle w:val="AERbulletlistfirststyle"/>
        <w:numPr>
          <w:ilvl w:val="0"/>
          <w:numId w:val="0"/>
        </w:numPr>
        <w:rPr>
          <w:rStyle w:val="AERbody"/>
        </w:rPr>
      </w:pPr>
      <w:bookmarkStart w:id="52" w:name="_Ref400462016"/>
      <w:r>
        <w:rPr>
          <w:rStyle w:val="AERbody"/>
        </w:rPr>
        <w:t xml:space="preserve">We have not made a unit costs adjustment to Endeavour Energy’s proposed capital expenditure. Our analysis found that Endeavour Energy’s </w:t>
      </w:r>
      <w:r w:rsidR="003A724F">
        <w:rPr>
          <w:rStyle w:val="AERbody"/>
        </w:rPr>
        <w:t>material</w:t>
      </w:r>
      <w:r>
        <w:rPr>
          <w:rStyle w:val="AERbody"/>
        </w:rPr>
        <w:t xml:space="preserve"> unit costs are likely to</w:t>
      </w:r>
      <w:r w:rsidR="003A724F">
        <w:rPr>
          <w:rStyle w:val="AERbody"/>
        </w:rPr>
        <w:t xml:space="preserve"> be lower than what it proposed. However, </w:t>
      </w:r>
      <w:r>
        <w:rPr>
          <w:rStyle w:val="AERbody"/>
        </w:rPr>
        <w:t>the</w:t>
      </w:r>
      <w:r w:rsidR="003A724F">
        <w:rPr>
          <w:rStyle w:val="AERbody"/>
        </w:rPr>
        <w:t xml:space="preserve"> effect of this on</w:t>
      </w:r>
      <w:r>
        <w:rPr>
          <w:rStyle w:val="AERbody"/>
        </w:rPr>
        <w:t xml:space="preserve"> its total capital expenditure was insignificant</w:t>
      </w:r>
      <w:r w:rsidR="003A724F">
        <w:rPr>
          <w:rStyle w:val="AERbody"/>
        </w:rPr>
        <w:t xml:space="preserve"> and, as such, no</w:t>
      </w:r>
      <w:r>
        <w:rPr>
          <w:rStyle w:val="AERbody"/>
        </w:rPr>
        <w:t xml:space="preserve"> adjustment </w:t>
      </w:r>
      <w:r w:rsidR="003A724F">
        <w:rPr>
          <w:rStyle w:val="AERbody"/>
        </w:rPr>
        <w:t>has been</w:t>
      </w:r>
      <w:r>
        <w:rPr>
          <w:rStyle w:val="AERbody"/>
        </w:rPr>
        <w:t xml:space="preserve"> made. We are satisfied that Endeavour Energy’s non–material unit costs are reasonable.</w:t>
      </w:r>
    </w:p>
    <w:p w:rsidR="00EE7288" w:rsidRDefault="00EE7288" w:rsidP="0031432E">
      <w:pPr>
        <w:pStyle w:val="AERbulletlistfirststyle"/>
        <w:numPr>
          <w:ilvl w:val="0"/>
          <w:numId w:val="0"/>
        </w:numPr>
      </w:pPr>
      <w:r>
        <w:rPr>
          <w:rStyle w:val="AERbody"/>
        </w:rPr>
        <w:t>Endeavour Energy is in the process of transferring its metering hardware procurement processes to Networks NSW.</w:t>
      </w:r>
      <w:r w:rsidR="00A83F06">
        <w:rPr>
          <w:rStyle w:val="AERbody"/>
        </w:rPr>
        <w:t xml:space="preserve"> This process has yet to be finalised so Endeavour Energy used its existing supplier contracts as the basis of </w:t>
      </w:r>
      <w:r w:rsidR="00A67002">
        <w:rPr>
          <w:rStyle w:val="AERbody"/>
        </w:rPr>
        <w:t>its</w:t>
      </w:r>
      <w:r w:rsidR="00A83F06">
        <w:rPr>
          <w:rStyle w:val="AERbody"/>
        </w:rPr>
        <w:t xml:space="preserve"> forecast</w:t>
      </w:r>
      <w:r>
        <w:rPr>
          <w:rStyle w:val="AERbody"/>
        </w:rPr>
        <w:t>.</w:t>
      </w:r>
      <w:r>
        <w:rPr>
          <w:rStyle w:val="FootnoteReference"/>
        </w:rPr>
        <w:footnoteReference w:id="63"/>
      </w:r>
      <w:r>
        <w:rPr>
          <w:rStyle w:val="AERbody"/>
        </w:rPr>
        <w:t xml:space="preserve"> </w:t>
      </w:r>
      <w:r w:rsidR="00023275">
        <w:rPr>
          <w:rStyle w:val="AERbody"/>
        </w:rPr>
        <w:t xml:space="preserve"> </w:t>
      </w:r>
    </w:p>
    <w:p w:rsidR="00EB6E3E" w:rsidRPr="00EB6E3E" w:rsidRDefault="00EB6E3E" w:rsidP="0031432E">
      <w:pPr>
        <w:pStyle w:val="AERbulletlistfirststyle"/>
        <w:numPr>
          <w:ilvl w:val="0"/>
          <w:numId w:val="0"/>
        </w:numPr>
      </w:pPr>
      <w:r w:rsidRPr="00EB6E3E">
        <w:t>We engaged Marsden Jacob to assist us in our assessment of Endeavour Energy’s forecast material unit costs. This involved the consultant considering the ‘maximum rate that should be applied for each meter hardware category based on consideration of the rates applied across the business and a comparison against current market rates'.</w:t>
      </w:r>
      <w:r w:rsidRPr="00884414">
        <w:rPr>
          <w:rStyle w:val="FootnoteReference"/>
        </w:rPr>
        <w:footnoteReference w:id="64"/>
      </w:r>
      <w:r w:rsidRPr="00884414">
        <w:rPr>
          <w:rStyle w:val="FootnoteReference"/>
        </w:rPr>
        <w:t xml:space="preserve"> </w:t>
      </w:r>
      <w:r w:rsidRPr="00EB6E3E">
        <w:t>These rates were sourced from online advertised prices and through direct engagement with major suppliers.</w:t>
      </w:r>
      <w:r w:rsidRPr="00884414">
        <w:rPr>
          <w:rStyle w:val="FootnoteReference"/>
        </w:rPr>
        <w:footnoteReference w:id="65"/>
      </w:r>
      <w:r w:rsidRPr="00884414">
        <w:rPr>
          <w:rStyle w:val="FootnoteReference"/>
        </w:rPr>
        <w:t xml:space="preserve"> </w:t>
      </w:r>
      <w:r w:rsidR="00250E92">
        <w:rPr>
          <w:rStyle w:val="AERbody"/>
        </w:rPr>
        <w:t>Marsden Jacob</w:t>
      </w:r>
      <w:r w:rsidR="000F4443">
        <w:rPr>
          <w:rStyle w:val="AERbody"/>
        </w:rPr>
        <w:t xml:space="preserve"> took into consideration volume discounts which would reasonably be expected to apply to metering hardware purchases made by Endeavour Energy.</w:t>
      </w:r>
      <w:r w:rsidR="000F4443">
        <w:rPr>
          <w:rStyle w:val="FootnoteReference"/>
        </w:rPr>
        <w:footnoteReference w:id="66"/>
      </w:r>
    </w:p>
    <w:p w:rsidR="00EB6E3E" w:rsidRPr="00EB6E3E" w:rsidRDefault="00D2749E" w:rsidP="00EB6E3E">
      <w:r>
        <w:fldChar w:fldCharType="begin"/>
      </w:r>
      <w:r>
        <w:instrText xml:space="preserve"> REF _Ref402872906 \h </w:instrText>
      </w:r>
      <w:r>
        <w:fldChar w:fldCharType="separate"/>
      </w:r>
      <w:r>
        <w:t xml:space="preserve">Table </w:t>
      </w:r>
      <w:r>
        <w:rPr>
          <w:noProof/>
        </w:rPr>
        <w:t>16</w:t>
      </w:r>
      <w:r>
        <w:noBreakHyphen/>
      </w:r>
      <w:r>
        <w:rPr>
          <w:noProof/>
        </w:rPr>
        <w:t>13</w:t>
      </w:r>
      <w:r>
        <w:fldChar w:fldCharType="end"/>
      </w:r>
      <w:r w:rsidR="003B3DB4">
        <w:t xml:space="preserve"> </w:t>
      </w:r>
      <w:r w:rsidR="00EB6E3E" w:rsidRPr="00EB6E3E">
        <w:t>set out Endeavour Energy’s forecast materi</w:t>
      </w:r>
      <w:r w:rsidR="00250E92">
        <w:t xml:space="preserve">al unit costs and Marsden Jacob’s </w:t>
      </w:r>
      <w:r w:rsidR="00EB6E3E" w:rsidRPr="00EB6E3E">
        <w:t>observations on current market rates. It also shows our substitute material unit forecast, which for each meter is the floor price of our consultant’s observations.</w:t>
      </w:r>
    </w:p>
    <w:p w:rsidR="00EB6E3E" w:rsidRPr="00EB6E3E" w:rsidRDefault="003B3DB4" w:rsidP="003B3DB4">
      <w:pPr>
        <w:pStyle w:val="Caption"/>
      </w:pPr>
      <w:bookmarkStart w:id="53" w:name="_Ref402872906"/>
      <w:bookmarkEnd w:id="52"/>
      <w:r>
        <w:t xml:space="preserve">Table </w:t>
      </w:r>
      <w:r w:rsidR="004667DE">
        <w:fldChar w:fldCharType="begin"/>
      </w:r>
      <w:r w:rsidR="004667DE">
        <w:instrText xml:space="preserve"> S</w:instrText>
      </w:r>
      <w:r w:rsidR="004667DE">
        <w:instrText xml:space="preserve">TYLEREF 1 \s </w:instrText>
      </w:r>
      <w:r w:rsidR="004667DE">
        <w:fldChar w:fldCharType="separate"/>
      </w:r>
      <w:r w:rsidR="003E262F">
        <w:rPr>
          <w:noProof/>
        </w:rPr>
        <w:t>16</w:t>
      </w:r>
      <w:r w:rsidR="004667DE">
        <w:rPr>
          <w:noProof/>
        </w:rPr>
        <w:fldChar w:fldCharType="end"/>
      </w:r>
      <w:r w:rsidR="003E262F">
        <w:noBreakHyphen/>
      </w:r>
      <w:r w:rsidR="004667DE">
        <w:fldChar w:fldCharType="begin"/>
      </w:r>
      <w:r w:rsidR="004667DE">
        <w:instrText xml:space="preserve"> SEQ Table \* ARABIC \s 1 </w:instrText>
      </w:r>
      <w:r w:rsidR="004667DE">
        <w:fldChar w:fldCharType="separate"/>
      </w:r>
      <w:r w:rsidR="003E262F">
        <w:rPr>
          <w:noProof/>
        </w:rPr>
        <w:t>13</w:t>
      </w:r>
      <w:r w:rsidR="004667DE">
        <w:rPr>
          <w:noProof/>
        </w:rPr>
        <w:fldChar w:fldCharType="end"/>
      </w:r>
      <w:bookmarkEnd w:id="53"/>
      <w:r w:rsidR="00F203C2">
        <w:t xml:space="preserve"> </w:t>
      </w:r>
      <w:r w:rsidR="0031432E">
        <w:tab/>
      </w:r>
      <w:r w:rsidR="00EB6E3E" w:rsidRPr="00EB6E3E">
        <w:t>Endeavour Energy's forecast mat</w:t>
      </w:r>
      <w:r w:rsidR="00250E92">
        <w:t xml:space="preserve">erial unit costs, Marsden Jacob’s </w:t>
      </w:r>
      <w:r w:rsidR="00EB6E3E" w:rsidRPr="00EB6E3E">
        <w:t>observed market rates, and our substitute forecast (2014–15)</w:t>
      </w:r>
    </w:p>
    <w:tbl>
      <w:tblPr>
        <w:tblStyle w:val="AERtable-numbers"/>
        <w:tblW w:w="0" w:type="auto"/>
        <w:tblLook w:val="04A0" w:firstRow="1" w:lastRow="0" w:firstColumn="1" w:lastColumn="0" w:noHBand="0" w:noVBand="1"/>
      </w:tblPr>
      <w:tblGrid>
        <w:gridCol w:w="2781"/>
        <w:gridCol w:w="1874"/>
        <w:gridCol w:w="1855"/>
        <w:gridCol w:w="2552"/>
      </w:tblGrid>
      <w:tr w:rsidR="00EB6E3E" w:rsidRPr="00EB6E3E" w:rsidTr="00EB6E3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81" w:type="dxa"/>
          </w:tcPr>
          <w:p w:rsidR="00EB6E3E" w:rsidRPr="00EB6E3E" w:rsidRDefault="00EB6E3E" w:rsidP="007848A6">
            <w:pPr>
              <w:pStyle w:val="AERtabletextleft"/>
            </w:pPr>
            <w:r w:rsidRPr="00EB6E3E">
              <w:t>Description</w:t>
            </w:r>
          </w:p>
        </w:tc>
        <w:tc>
          <w:tcPr>
            <w:tcW w:w="1874" w:type="dxa"/>
          </w:tcPr>
          <w:p w:rsidR="00EB6E3E" w:rsidRPr="00EB6E3E" w:rsidRDefault="00EB6E3E" w:rsidP="00F203C2">
            <w:pPr>
              <w:pStyle w:val="AERtabletextright"/>
              <w:cnfStyle w:val="100000000000" w:firstRow="1" w:lastRow="0" w:firstColumn="0" w:lastColumn="0" w:oddVBand="0" w:evenVBand="0" w:oddHBand="0" w:evenHBand="0" w:firstRowFirstColumn="0" w:firstRowLastColumn="0" w:lastRowFirstColumn="0" w:lastRowLastColumn="0"/>
            </w:pPr>
            <w:r w:rsidRPr="00EB6E3E">
              <w:t>Forecast</w:t>
            </w:r>
          </w:p>
        </w:tc>
        <w:tc>
          <w:tcPr>
            <w:tcW w:w="1855" w:type="dxa"/>
          </w:tcPr>
          <w:p w:rsidR="00EB6E3E" w:rsidRPr="00EB6E3E" w:rsidRDefault="00EB6E3E" w:rsidP="00F203C2">
            <w:pPr>
              <w:pStyle w:val="AERtabletextright"/>
              <w:cnfStyle w:val="100000000000" w:firstRow="1" w:lastRow="0" w:firstColumn="0" w:lastColumn="0" w:oddVBand="0" w:evenVBand="0" w:oddHBand="0" w:evenHBand="0" w:firstRowFirstColumn="0" w:firstRowLastColumn="0" w:lastRowFirstColumn="0" w:lastRowLastColumn="0"/>
            </w:pPr>
            <w:r w:rsidRPr="00EB6E3E">
              <w:t>Markets rates</w:t>
            </w:r>
          </w:p>
        </w:tc>
        <w:tc>
          <w:tcPr>
            <w:tcW w:w="2552" w:type="dxa"/>
          </w:tcPr>
          <w:p w:rsidR="00EB6E3E" w:rsidRPr="00EB6E3E" w:rsidRDefault="00EB6E3E" w:rsidP="00F203C2">
            <w:pPr>
              <w:pStyle w:val="AERtabletextright"/>
              <w:cnfStyle w:val="100000000000" w:firstRow="1" w:lastRow="0" w:firstColumn="0" w:lastColumn="0" w:oddVBand="0" w:evenVBand="0" w:oddHBand="0" w:evenHBand="0" w:firstRowFirstColumn="0" w:firstRowLastColumn="0" w:lastRowFirstColumn="0" w:lastRowLastColumn="0"/>
            </w:pPr>
            <w:r w:rsidRPr="00EB6E3E">
              <w:t>AER substitute</w:t>
            </w:r>
          </w:p>
        </w:tc>
      </w:tr>
      <w:tr w:rsidR="00EB6E3E" w:rsidRPr="00EB6E3E" w:rsidTr="00EB6E3E">
        <w:tc>
          <w:tcPr>
            <w:cnfStyle w:val="001000000000" w:firstRow="0" w:lastRow="0" w:firstColumn="1" w:lastColumn="0" w:oddVBand="0" w:evenVBand="0" w:oddHBand="0" w:evenHBand="0" w:firstRowFirstColumn="0" w:firstRowLastColumn="0" w:lastRowFirstColumn="0" w:lastRowLastColumn="0"/>
            <w:tcW w:w="2781" w:type="dxa"/>
          </w:tcPr>
          <w:p w:rsidR="00EB6E3E" w:rsidRPr="00EB6E3E" w:rsidRDefault="00EB6E3E" w:rsidP="007848A6">
            <w:pPr>
              <w:pStyle w:val="AERtabletextleft"/>
            </w:pPr>
            <w:r w:rsidRPr="00EB6E3E">
              <w:t>Type 6</w:t>
            </w:r>
          </w:p>
        </w:tc>
        <w:tc>
          <w:tcPr>
            <w:tcW w:w="1874" w:type="dxa"/>
          </w:tcPr>
          <w:p w:rsidR="00EB6E3E" w:rsidRPr="00EB6E3E" w:rsidRDefault="00EB6E3E" w:rsidP="00F203C2">
            <w:pPr>
              <w:pStyle w:val="AERtabletextright"/>
              <w:cnfStyle w:val="000000000000" w:firstRow="0" w:lastRow="0" w:firstColumn="0" w:lastColumn="0" w:oddVBand="0" w:evenVBand="0" w:oddHBand="0" w:evenHBand="0" w:firstRowFirstColumn="0" w:firstRowLastColumn="0" w:lastRowFirstColumn="0" w:lastRowLastColumn="0"/>
            </w:pPr>
          </w:p>
        </w:tc>
        <w:tc>
          <w:tcPr>
            <w:tcW w:w="1855" w:type="dxa"/>
          </w:tcPr>
          <w:p w:rsidR="00EB6E3E" w:rsidRPr="00EB6E3E" w:rsidRDefault="00EB6E3E" w:rsidP="00F203C2">
            <w:pPr>
              <w:pStyle w:val="AERtabletextright"/>
              <w:cnfStyle w:val="000000000000" w:firstRow="0" w:lastRow="0" w:firstColumn="0" w:lastColumn="0" w:oddVBand="0" w:evenVBand="0" w:oddHBand="0" w:evenHBand="0" w:firstRowFirstColumn="0" w:firstRowLastColumn="0" w:lastRowFirstColumn="0" w:lastRowLastColumn="0"/>
            </w:pPr>
          </w:p>
        </w:tc>
        <w:tc>
          <w:tcPr>
            <w:tcW w:w="2552" w:type="dxa"/>
          </w:tcPr>
          <w:p w:rsidR="00EB6E3E" w:rsidRPr="00EB6E3E" w:rsidRDefault="00EB6E3E" w:rsidP="00F203C2">
            <w:pPr>
              <w:pStyle w:val="AERtabletextright"/>
              <w:cnfStyle w:val="000000000000" w:firstRow="0" w:lastRow="0" w:firstColumn="0" w:lastColumn="0" w:oddVBand="0" w:evenVBand="0" w:oddHBand="0" w:evenHBand="0" w:firstRowFirstColumn="0" w:firstRowLastColumn="0" w:lastRowFirstColumn="0" w:lastRowLastColumn="0"/>
            </w:pPr>
          </w:p>
        </w:tc>
      </w:tr>
      <w:tr w:rsidR="00EB6E3E" w:rsidRPr="00EB6E3E" w:rsidTr="00EB6E3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81" w:type="dxa"/>
          </w:tcPr>
          <w:p w:rsidR="00EB6E3E" w:rsidRPr="00EB6E3E" w:rsidRDefault="00EB6E3E" w:rsidP="007848A6">
            <w:pPr>
              <w:pStyle w:val="AERtabletextleft"/>
            </w:pPr>
            <w:r w:rsidRPr="00EB6E3E">
              <w:t xml:space="preserve">Single phase accumulation meter </w:t>
            </w:r>
          </w:p>
        </w:tc>
        <w:tc>
          <w:tcPr>
            <w:tcW w:w="1874" w:type="dxa"/>
          </w:tcPr>
          <w:p w:rsidR="00EB6E3E" w:rsidRPr="00EB6E3E" w:rsidRDefault="00EB6E3E" w:rsidP="00F203C2">
            <w:pPr>
              <w:pStyle w:val="AERtabletextright"/>
              <w:cnfStyle w:val="000000010000" w:firstRow="0" w:lastRow="0" w:firstColumn="0" w:lastColumn="0" w:oddVBand="0" w:evenVBand="0" w:oddHBand="0" w:evenHBand="1" w:firstRowFirstColumn="0" w:firstRowLastColumn="0" w:lastRowFirstColumn="0" w:lastRowLastColumn="0"/>
            </w:pPr>
            <w:r w:rsidRPr="00EB6E3E">
              <w:t>18.</w:t>
            </w:r>
            <w:r w:rsidR="00175907">
              <w:t>69</w:t>
            </w:r>
          </w:p>
        </w:tc>
        <w:tc>
          <w:tcPr>
            <w:tcW w:w="1855" w:type="dxa"/>
          </w:tcPr>
          <w:p w:rsidR="00EB6E3E" w:rsidRPr="00EB6E3E" w:rsidRDefault="00980C62" w:rsidP="00F203C2">
            <w:pPr>
              <w:pStyle w:val="AERtabletextright"/>
              <w:cnfStyle w:val="000000010000" w:firstRow="0" w:lastRow="0" w:firstColumn="0" w:lastColumn="0" w:oddVBand="0" w:evenVBand="0" w:oddHBand="0" w:evenHBand="1" w:firstRowFirstColumn="0" w:firstRowLastColumn="0" w:lastRowFirstColumn="0" w:lastRowLastColumn="0"/>
            </w:pPr>
            <w:r>
              <w:t>18</w:t>
            </w:r>
            <w:r w:rsidR="00175907">
              <w:t>.69</w:t>
            </w:r>
            <w:r w:rsidR="00EB6E3E" w:rsidRPr="00EB6E3E">
              <w:t>–20</w:t>
            </w:r>
            <w:r w:rsidR="00175907">
              <w:t>.00</w:t>
            </w:r>
          </w:p>
        </w:tc>
        <w:tc>
          <w:tcPr>
            <w:tcW w:w="2552" w:type="dxa"/>
          </w:tcPr>
          <w:p w:rsidR="00EB6E3E" w:rsidRPr="00EB6E3E" w:rsidRDefault="00EB6E3E" w:rsidP="00F203C2">
            <w:pPr>
              <w:pStyle w:val="AERtabletextright"/>
              <w:cnfStyle w:val="000000010000" w:firstRow="0" w:lastRow="0" w:firstColumn="0" w:lastColumn="0" w:oddVBand="0" w:evenVBand="0" w:oddHBand="0" w:evenHBand="1" w:firstRowFirstColumn="0" w:firstRowLastColumn="0" w:lastRowFirstColumn="0" w:lastRowLastColumn="0"/>
            </w:pPr>
            <w:r w:rsidRPr="00EB6E3E">
              <w:t>18.</w:t>
            </w:r>
            <w:r w:rsidR="00175907">
              <w:t>69</w:t>
            </w:r>
          </w:p>
        </w:tc>
      </w:tr>
      <w:tr w:rsidR="00EB6E3E" w:rsidRPr="00EB6E3E" w:rsidTr="00EB6E3E">
        <w:tc>
          <w:tcPr>
            <w:cnfStyle w:val="001000000000" w:firstRow="0" w:lastRow="0" w:firstColumn="1" w:lastColumn="0" w:oddVBand="0" w:evenVBand="0" w:oddHBand="0" w:evenHBand="0" w:firstRowFirstColumn="0" w:firstRowLastColumn="0" w:lastRowFirstColumn="0" w:lastRowLastColumn="0"/>
            <w:tcW w:w="2781" w:type="dxa"/>
          </w:tcPr>
          <w:p w:rsidR="00EB6E3E" w:rsidRPr="00EB6E3E" w:rsidRDefault="00EB6E3E" w:rsidP="007848A6">
            <w:pPr>
              <w:pStyle w:val="AERtabletextleft"/>
            </w:pPr>
            <w:r w:rsidRPr="00EB6E3E">
              <w:t>Single phase accumulation combination meter</w:t>
            </w:r>
          </w:p>
        </w:tc>
        <w:tc>
          <w:tcPr>
            <w:tcW w:w="1874" w:type="dxa"/>
          </w:tcPr>
          <w:p w:rsidR="00EB6E3E" w:rsidRPr="00EB6E3E" w:rsidRDefault="00EB6E3E" w:rsidP="00F203C2">
            <w:pPr>
              <w:pStyle w:val="AERtabletextright"/>
              <w:cnfStyle w:val="000000000000" w:firstRow="0" w:lastRow="0" w:firstColumn="0" w:lastColumn="0" w:oddVBand="0" w:evenVBand="0" w:oddHBand="0" w:evenHBand="0" w:firstRowFirstColumn="0" w:firstRowLastColumn="0" w:lastRowFirstColumn="0" w:lastRowLastColumn="0"/>
            </w:pPr>
            <w:r w:rsidRPr="00EB6E3E">
              <w:t>1</w:t>
            </w:r>
            <w:r w:rsidR="00175907">
              <w:t>53</w:t>
            </w:r>
            <w:r w:rsidRPr="00EB6E3E">
              <w:t>.</w:t>
            </w:r>
            <w:r w:rsidR="00175907">
              <w:t>73</w:t>
            </w:r>
          </w:p>
        </w:tc>
        <w:tc>
          <w:tcPr>
            <w:tcW w:w="1855" w:type="dxa"/>
          </w:tcPr>
          <w:p w:rsidR="00EB6E3E" w:rsidRPr="00EB6E3E" w:rsidRDefault="00175907" w:rsidP="00F203C2">
            <w:pPr>
              <w:pStyle w:val="AERtabletextright"/>
              <w:cnfStyle w:val="000000000000" w:firstRow="0" w:lastRow="0" w:firstColumn="0" w:lastColumn="0" w:oddVBand="0" w:evenVBand="0" w:oddHBand="0" w:evenHBand="0" w:firstRowFirstColumn="0" w:firstRowLastColumn="0" w:lastRowFirstColumn="0" w:lastRowLastColumn="0"/>
            </w:pPr>
            <w:r>
              <w:t>Insufficient information</w:t>
            </w:r>
          </w:p>
        </w:tc>
        <w:tc>
          <w:tcPr>
            <w:tcW w:w="2552" w:type="dxa"/>
          </w:tcPr>
          <w:p w:rsidR="00EB6E3E" w:rsidRPr="00EB6E3E" w:rsidRDefault="00175907" w:rsidP="00F203C2">
            <w:pPr>
              <w:pStyle w:val="AERtabletextright"/>
              <w:cnfStyle w:val="000000000000" w:firstRow="0" w:lastRow="0" w:firstColumn="0" w:lastColumn="0" w:oddVBand="0" w:evenVBand="0" w:oddHBand="0" w:evenHBand="0" w:firstRowFirstColumn="0" w:firstRowLastColumn="0" w:lastRowFirstColumn="0" w:lastRowLastColumn="0"/>
            </w:pPr>
            <w:r>
              <w:t>153.73</w:t>
            </w:r>
          </w:p>
        </w:tc>
      </w:tr>
      <w:tr w:rsidR="00EB6E3E" w:rsidRPr="00EB6E3E" w:rsidTr="00EB6E3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81" w:type="dxa"/>
          </w:tcPr>
          <w:p w:rsidR="00EB6E3E" w:rsidRPr="00EB6E3E" w:rsidRDefault="00EB6E3E" w:rsidP="007848A6">
            <w:pPr>
              <w:pStyle w:val="AERtabletextleft"/>
            </w:pPr>
            <w:r w:rsidRPr="00EB6E3E">
              <w:t>Three phase accumulation meter</w:t>
            </w:r>
          </w:p>
        </w:tc>
        <w:tc>
          <w:tcPr>
            <w:tcW w:w="1874" w:type="dxa"/>
          </w:tcPr>
          <w:p w:rsidR="00EB6E3E" w:rsidRPr="00EB6E3E" w:rsidRDefault="00EB6E3E" w:rsidP="00F203C2">
            <w:pPr>
              <w:pStyle w:val="AERtabletextright"/>
              <w:cnfStyle w:val="000000010000" w:firstRow="0" w:lastRow="0" w:firstColumn="0" w:lastColumn="0" w:oddVBand="0" w:evenVBand="0" w:oddHBand="0" w:evenHBand="1" w:firstRowFirstColumn="0" w:firstRowLastColumn="0" w:lastRowFirstColumn="0" w:lastRowLastColumn="0"/>
            </w:pPr>
            <w:r w:rsidRPr="00EB6E3E">
              <w:t>8</w:t>
            </w:r>
            <w:r w:rsidR="00175907">
              <w:t>8.51</w:t>
            </w:r>
          </w:p>
        </w:tc>
        <w:tc>
          <w:tcPr>
            <w:tcW w:w="1855" w:type="dxa"/>
          </w:tcPr>
          <w:p w:rsidR="00EB6E3E" w:rsidRPr="00EB6E3E" w:rsidRDefault="00175907" w:rsidP="00F203C2">
            <w:pPr>
              <w:pStyle w:val="AERtabletextright"/>
              <w:cnfStyle w:val="000000010000" w:firstRow="0" w:lastRow="0" w:firstColumn="0" w:lastColumn="0" w:oddVBand="0" w:evenVBand="0" w:oddHBand="0" w:evenHBand="1" w:firstRowFirstColumn="0" w:firstRowLastColumn="0" w:lastRowFirstColumn="0" w:lastRowLastColumn="0"/>
            </w:pPr>
            <w:r>
              <w:t>86.50</w:t>
            </w:r>
            <w:r w:rsidR="00EB6E3E" w:rsidRPr="00EB6E3E">
              <w:t>–100</w:t>
            </w:r>
            <w:r>
              <w:t>.00</w:t>
            </w:r>
          </w:p>
        </w:tc>
        <w:tc>
          <w:tcPr>
            <w:tcW w:w="2552" w:type="dxa"/>
          </w:tcPr>
          <w:p w:rsidR="00EB6E3E" w:rsidRPr="00EB6E3E" w:rsidRDefault="00250E92" w:rsidP="00F203C2">
            <w:pPr>
              <w:pStyle w:val="AERtabletextright"/>
              <w:cnfStyle w:val="000000010000" w:firstRow="0" w:lastRow="0" w:firstColumn="0" w:lastColumn="0" w:oddVBand="0" w:evenVBand="0" w:oddHBand="0" w:evenHBand="1" w:firstRowFirstColumn="0" w:firstRowLastColumn="0" w:lastRowFirstColumn="0" w:lastRowLastColumn="0"/>
            </w:pPr>
            <w:r>
              <w:t>86.50</w:t>
            </w:r>
          </w:p>
        </w:tc>
      </w:tr>
      <w:tr w:rsidR="00EB6E3E" w:rsidRPr="00EB6E3E" w:rsidTr="00EB6E3E">
        <w:tc>
          <w:tcPr>
            <w:cnfStyle w:val="001000000000" w:firstRow="0" w:lastRow="0" w:firstColumn="1" w:lastColumn="0" w:oddVBand="0" w:evenVBand="0" w:oddHBand="0" w:evenHBand="0" w:firstRowFirstColumn="0" w:firstRowLastColumn="0" w:lastRowFirstColumn="0" w:lastRowLastColumn="0"/>
            <w:tcW w:w="2781" w:type="dxa"/>
          </w:tcPr>
          <w:p w:rsidR="00EB6E3E" w:rsidRPr="00EB6E3E" w:rsidRDefault="00EB6E3E" w:rsidP="007848A6">
            <w:pPr>
              <w:pStyle w:val="AERtabletextleft"/>
            </w:pPr>
            <w:r w:rsidRPr="00EB6E3E">
              <w:t>Type 5</w:t>
            </w:r>
          </w:p>
        </w:tc>
        <w:tc>
          <w:tcPr>
            <w:tcW w:w="1874" w:type="dxa"/>
          </w:tcPr>
          <w:p w:rsidR="00EB6E3E" w:rsidRPr="00EB6E3E" w:rsidRDefault="00EB6E3E" w:rsidP="00F203C2">
            <w:pPr>
              <w:pStyle w:val="AERtabletextright"/>
              <w:cnfStyle w:val="000000000000" w:firstRow="0" w:lastRow="0" w:firstColumn="0" w:lastColumn="0" w:oddVBand="0" w:evenVBand="0" w:oddHBand="0" w:evenHBand="0" w:firstRowFirstColumn="0" w:firstRowLastColumn="0" w:lastRowFirstColumn="0" w:lastRowLastColumn="0"/>
            </w:pPr>
          </w:p>
        </w:tc>
        <w:tc>
          <w:tcPr>
            <w:tcW w:w="1855" w:type="dxa"/>
          </w:tcPr>
          <w:p w:rsidR="00EB6E3E" w:rsidRPr="00EB6E3E" w:rsidRDefault="00EB6E3E" w:rsidP="00F203C2">
            <w:pPr>
              <w:pStyle w:val="AERtabletextright"/>
              <w:cnfStyle w:val="000000000000" w:firstRow="0" w:lastRow="0" w:firstColumn="0" w:lastColumn="0" w:oddVBand="0" w:evenVBand="0" w:oddHBand="0" w:evenHBand="0" w:firstRowFirstColumn="0" w:firstRowLastColumn="0" w:lastRowFirstColumn="0" w:lastRowLastColumn="0"/>
            </w:pPr>
          </w:p>
        </w:tc>
        <w:tc>
          <w:tcPr>
            <w:tcW w:w="2552" w:type="dxa"/>
          </w:tcPr>
          <w:p w:rsidR="00EB6E3E" w:rsidRPr="00EB6E3E" w:rsidRDefault="00EB6E3E" w:rsidP="00F203C2">
            <w:pPr>
              <w:pStyle w:val="AERtabletextright"/>
              <w:cnfStyle w:val="000000000000" w:firstRow="0" w:lastRow="0" w:firstColumn="0" w:lastColumn="0" w:oddVBand="0" w:evenVBand="0" w:oddHBand="0" w:evenHBand="0" w:firstRowFirstColumn="0" w:firstRowLastColumn="0" w:lastRowFirstColumn="0" w:lastRowLastColumn="0"/>
            </w:pPr>
          </w:p>
        </w:tc>
      </w:tr>
      <w:tr w:rsidR="00EB6E3E" w:rsidRPr="00EB6E3E" w:rsidTr="00EB6E3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81" w:type="dxa"/>
          </w:tcPr>
          <w:p w:rsidR="00EB6E3E" w:rsidRPr="00EB6E3E" w:rsidRDefault="00EB6E3E" w:rsidP="007848A6">
            <w:pPr>
              <w:pStyle w:val="AERtabletextleft"/>
            </w:pPr>
            <w:r w:rsidRPr="00EB6E3E">
              <w:t>Single phase interval (time of use capable) meter</w:t>
            </w:r>
          </w:p>
        </w:tc>
        <w:tc>
          <w:tcPr>
            <w:tcW w:w="1874" w:type="dxa"/>
          </w:tcPr>
          <w:p w:rsidR="00EB6E3E" w:rsidRPr="00EB6E3E" w:rsidRDefault="00175907" w:rsidP="00F203C2">
            <w:pPr>
              <w:pStyle w:val="AERtabletextright"/>
              <w:cnfStyle w:val="000000010000" w:firstRow="0" w:lastRow="0" w:firstColumn="0" w:lastColumn="0" w:oddVBand="0" w:evenVBand="0" w:oddHBand="0" w:evenHBand="1" w:firstRowFirstColumn="0" w:firstRowLastColumn="0" w:lastRowFirstColumn="0" w:lastRowLastColumn="0"/>
            </w:pPr>
            <w:r>
              <w:t>302.38</w:t>
            </w:r>
          </w:p>
        </w:tc>
        <w:tc>
          <w:tcPr>
            <w:tcW w:w="1855" w:type="dxa"/>
          </w:tcPr>
          <w:p w:rsidR="00EB6E3E" w:rsidRPr="00EB6E3E" w:rsidRDefault="00175907" w:rsidP="00F203C2">
            <w:pPr>
              <w:pStyle w:val="AERtabletextright"/>
              <w:cnfStyle w:val="000000010000" w:firstRow="0" w:lastRow="0" w:firstColumn="0" w:lastColumn="0" w:oddVBand="0" w:evenVBand="0" w:oddHBand="0" w:evenHBand="1" w:firstRowFirstColumn="0" w:firstRowLastColumn="0" w:lastRowFirstColumn="0" w:lastRowLastColumn="0"/>
            </w:pPr>
            <w:r>
              <w:t>63.72–100.00</w:t>
            </w:r>
          </w:p>
        </w:tc>
        <w:tc>
          <w:tcPr>
            <w:tcW w:w="2552" w:type="dxa"/>
          </w:tcPr>
          <w:p w:rsidR="00EB6E3E" w:rsidRPr="00EB6E3E" w:rsidRDefault="00175907" w:rsidP="00F203C2">
            <w:pPr>
              <w:pStyle w:val="AERtabletextright"/>
              <w:cnfStyle w:val="000000010000" w:firstRow="0" w:lastRow="0" w:firstColumn="0" w:lastColumn="0" w:oddVBand="0" w:evenVBand="0" w:oddHBand="0" w:evenHBand="1" w:firstRowFirstColumn="0" w:firstRowLastColumn="0" w:lastRowFirstColumn="0" w:lastRowLastColumn="0"/>
            </w:pPr>
            <w:r>
              <w:t>63.72</w:t>
            </w:r>
          </w:p>
        </w:tc>
      </w:tr>
      <w:tr w:rsidR="00EB6E3E" w:rsidRPr="00EB6E3E" w:rsidTr="00EB6E3E">
        <w:tc>
          <w:tcPr>
            <w:cnfStyle w:val="001000000000" w:firstRow="0" w:lastRow="0" w:firstColumn="1" w:lastColumn="0" w:oddVBand="0" w:evenVBand="0" w:oddHBand="0" w:evenHBand="0" w:firstRowFirstColumn="0" w:firstRowLastColumn="0" w:lastRowFirstColumn="0" w:lastRowLastColumn="0"/>
            <w:tcW w:w="2781" w:type="dxa"/>
          </w:tcPr>
          <w:p w:rsidR="00EB6E3E" w:rsidRPr="00EB6E3E" w:rsidRDefault="00EB6E3E" w:rsidP="007848A6">
            <w:pPr>
              <w:pStyle w:val="AERtabletextleft"/>
            </w:pPr>
            <w:r w:rsidRPr="00EB6E3E">
              <w:t>Single phase, dual element, direct connected interval meter</w:t>
            </w:r>
          </w:p>
        </w:tc>
        <w:tc>
          <w:tcPr>
            <w:tcW w:w="1874" w:type="dxa"/>
          </w:tcPr>
          <w:p w:rsidR="00EB6E3E" w:rsidRPr="00EB6E3E" w:rsidRDefault="00175907" w:rsidP="00F203C2">
            <w:pPr>
              <w:pStyle w:val="AERtabletextright"/>
              <w:cnfStyle w:val="000000000000" w:firstRow="0" w:lastRow="0" w:firstColumn="0" w:lastColumn="0" w:oddVBand="0" w:evenVBand="0" w:oddHBand="0" w:evenHBand="0" w:firstRowFirstColumn="0" w:firstRowLastColumn="0" w:lastRowFirstColumn="0" w:lastRowLastColumn="0"/>
            </w:pPr>
            <w:r>
              <w:t>346.45</w:t>
            </w:r>
          </w:p>
        </w:tc>
        <w:tc>
          <w:tcPr>
            <w:tcW w:w="1855" w:type="dxa"/>
          </w:tcPr>
          <w:p w:rsidR="00EB6E3E" w:rsidRPr="00EB6E3E" w:rsidRDefault="00175907" w:rsidP="00F203C2">
            <w:pPr>
              <w:pStyle w:val="AERtabletextright"/>
              <w:cnfStyle w:val="000000000000" w:firstRow="0" w:lastRow="0" w:firstColumn="0" w:lastColumn="0" w:oddVBand="0" w:evenVBand="0" w:oddHBand="0" w:evenHBand="0" w:firstRowFirstColumn="0" w:firstRowLastColumn="0" w:lastRowFirstColumn="0" w:lastRowLastColumn="0"/>
            </w:pPr>
            <w:r>
              <w:t>Max 150.00</w:t>
            </w:r>
          </w:p>
        </w:tc>
        <w:tc>
          <w:tcPr>
            <w:tcW w:w="2552" w:type="dxa"/>
          </w:tcPr>
          <w:p w:rsidR="00EB6E3E" w:rsidRPr="00EB6E3E" w:rsidRDefault="00175907" w:rsidP="00F203C2">
            <w:pPr>
              <w:pStyle w:val="AERtabletextright"/>
              <w:cnfStyle w:val="000000000000" w:firstRow="0" w:lastRow="0" w:firstColumn="0" w:lastColumn="0" w:oddVBand="0" w:evenVBand="0" w:oddHBand="0" w:evenHBand="0" w:firstRowFirstColumn="0" w:firstRowLastColumn="0" w:lastRowFirstColumn="0" w:lastRowLastColumn="0"/>
            </w:pPr>
            <w:r>
              <w:t>150.00</w:t>
            </w:r>
          </w:p>
        </w:tc>
      </w:tr>
      <w:tr w:rsidR="00EB6E3E" w:rsidRPr="00EB6E3E" w:rsidTr="00EB6E3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81" w:type="dxa"/>
          </w:tcPr>
          <w:p w:rsidR="00EB6E3E" w:rsidRPr="00EB6E3E" w:rsidRDefault="00EB6E3E" w:rsidP="007848A6">
            <w:pPr>
              <w:pStyle w:val="AERtabletextleft"/>
            </w:pPr>
            <w:r w:rsidRPr="00EB6E3E">
              <w:t>Three phase interval (time of use capable) meter</w:t>
            </w:r>
          </w:p>
        </w:tc>
        <w:tc>
          <w:tcPr>
            <w:tcW w:w="1874" w:type="dxa"/>
          </w:tcPr>
          <w:p w:rsidR="00EB6E3E" w:rsidRPr="00EB6E3E" w:rsidRDefault="00175907" w:rsidP="00F203C2">
            <w:pPr>
              <w:pStyle w:val="AERtabletextright"/>
              <w:cnfStyle w:val="000000010000" w:firstRow="0" w:lastRow="0" w:firstColumn="0" w:lastColumn="0" w:oddVBand="0" w:evenVBand="0" w:oddHBand="0" w:evenHBand="1" w:firstRowFirstColumn="0" w:firstRowLastColumn="0" w:lastRowFirstColumn="0" w:lastRowLastColumn="0"/>
            </w:pPr>
            <w:r>
              <w:t>421.28</w:t>
            </w:r>
          </w:p>
        </w:tc>
        <w:tc>
          <w:tcPr>
            <w:tcW w:w="1855" w:type="dxa"/>
          </w:tcPr>
          <w:p w:rsidR="00EB6E3E" w:rsidRPr="00EB6E3E" w:rsidRDefault="00175907" w:rsidP="00F203C2">
            <w:pPr>
              <w:pStyle w:val="AERtabletextright"/>
              <w:cnfStyle w:val="000000010000" w:firstRow="0" w:lastRow="0" w:firstColumn="0" w:lastColumn="0" w:oddVBand="0" w:evenVBand="0" w:oddHBand="0" w:evenHBand="1" w:firstRowFirstColumn="0" w:firstRowLastColumn="0" w:lastRowFirstColumn="0" w:lastRowLastColumn="0"/>
            </w:pPr>
            <w:r>
              <w:t>Max 220</w:t>
            </w:r>
          </w:p>
        </w:tc>
        <w:tc>
          <w:tcPr>
            <w:tcW w:w="2552" w:type="dxa"/>
          </w:tcPr>
          <w:p w:rsidR="00EB6E3E" w:rsidRPr="00EB6E3E" w:rsidRDefault="00175907" w:rsidP="00F203C2">
            <w:pPr>
              <w:pStyle w:val="AERtabletextright"/>
              <w:cnfStyle w:val="000000010000" w:firstRow="0" w:lastRow="0" w:firstColumn="0" w:lastColumn="0" w:oddVBand="0" w:evenVBand="0" w:oddHBand="0" w:evenHBand="1" w:firstRowFirstColumn="0" w:firstRowLastColumn="0" w:lastRowFirstColumn="0" w:lastRowLastColumn="0"/>
            </w:pPr>
            <w:r>
              <w:t>220.00</w:t>
            </w:r>
          </w:p>
        </w:tc>
      </w:tr>
    </w:tbl>
    <w:p w:rsidR="00EB6E3E" w:rsidRPr="00EB6E3E" w:rsidRDefault="00EB6E3E" w:rsidP="00F203C2">
      <w:pPr>
        <w:pStyle w:val="AERtablesource"/>
        <w:ind w:left="0" w:firstLine="0"/>
      </w:pPr>
      <w:r w:rsidRPr="00EB6E3E">
        <w:t xml:space="preserve"> Source: </w:t>
      </w:r>
      <w:r w:rsidR="00F203C2">
        <w:tab/>
      </w:r>
      <w:r w:rsidR="00250E92">
        <w:t>Marsden Jacob</w:t>
      </w:r>
      <w:r w:rsidRPr="00EB6E3E">
        <w:t xml:space="preserve">, </w:t>
      </w:r>
      <w:r w:rsidRPr="008C23E3">
        <w:rPr>
          <w:i/>
        </w:rPr>
        <w:t>Consultant report to the AER on Alternative Control Services</w:t>
      </w:r>
      <w:r w:rsidRPr="00EB6E3E">
        <w:t xml:space="preserve">, </w:t>
      </w:r>
      <w:r w:rsidR="008C23E3">
        <w:t>October</w:t>
      </w:r>
      <w:r w:rsidRPr="00EB6E3E">
        <w:t xml:space="preserve"> 2014, p. 33. </w:t>
      </w:r>
    </w:p>
    <w:p w:rsidR="00EB6E3E" w:rsidRPr="00EB6E3E" w:rsidRDefault="00D83521" w:rsidP="00EB6E3E">
      <w:bookmarkStart w:id="54" w:name="_Ref400639181"/>
      <w:r>
        <w:t>Marsden Jacob</w:t>
      </w:r>
      <w:r w:rsidR="00EB6E3E" w:rsidRPr="00EB6E3E">
        <w:t xml:space="preserve"> found that the majority of Endeavour Energy’s material unit costs are within the current market rates for metering hardware.</w:t>
      </w:r>
      <w:r w:rsidR="00EB6E3E" w:rsidRPr="00884414">
        <w:rPr>
          <w:rStyle w:val="FootnoteReference"/>
        </w:rPr>
        <w:footnoteReference w:id="67"/>
      </w:r>
      <w:r w:rsidR="00EB6E3E" w:rsidRPr="00EB6E3E">
        <w:t xml:space="preserve"> Notwithstanding this, we do not consider Endeavour Energy's forecast material unit costs to reasonably reflect the efficient costs of a prudent operator.</w:t>
      </w:r>
      <w:r w:rsidR="00EB6E3E" w:rsidRPr="00884414">
        <w:rPr>
          <w:rStyle w:val="FootnoteReference"/>
        </w:rPr>
        <w:footnoteReference w:id="68"/>
      </w:r>
      <w:r w:rsidR="00EB6E3E" w:rsidRPr="00EB6E3E">
        <w:t xml:space="preserve"> We have reached this conclusion on the basis that:</w:t>
      </w:r>
    </w:p>
    <w:p w:rsidR="00EB6E3E" w:rsidRPr="00EB6E3E" w:rsidRDefault="00EB6E3E" w:rsidP="00337A3F">
      <w:pPr>
        <w:pStyle w:val="AERbulletlistfirststyle"/>
      </w:pPr>
      <w:r w:rsidRPr="00EB6E3E">
        <w:t>Networks NSW is running Endeavour Energy's metering procurement from 2015–16 onwards</w:t>
      </w:r>
    </w:p>
    <w:p w:rsidR="00EB6E3E" w:rsidRPr="00EB6E3E" w:rsidRDefault="00EB6E3E" w:rsidP="00337A3F">
      <w:pPr>
        <w:pStyle w:val="AERbulletlistfirststyle"/>
      </w:pPr>
      <w:proofErr w:type="gramStart"/>
      <w:r w:rsidRPr="00EB6E3E">
        <w:t>the</w:t>
      </w:r>
      <w:proofErr w:type="gramEnd"/>
      <w:r w:rsidRPr="00EB6E3E">
        <w:t xml:space="preserve"> procurement process that Networks NSW is running for Endeavour Energy has not been finalised. </w:t>
      </w:r>
    </w:p>
    <w:p w:rsidR="00EB6E3E" w:rsidRPr="00EB6E3E" w:rsidRDefault="00EB6E3E" w:rsidP="00EB6E3E">
      <w:r w:rsidRPr="00EB6E3E">
        <w:t>The transfer of meter procurement responsibilities to Networks NSW ought to deliver cost savings per unit of installation. This is because Networks NSW is running Ausgrid’s and Essential Energy's metering procurement activities from 2015–16 onwards too. The combining of all the NSW distributors' purchasing power in such a way should lead to substantial volume discounts from manufacturers and installation vendors. This was the experience with the Victorian smart meter rollout.</w:t>
      </w:r>
      <w:r w:rsidR="00D13E75">
        <w:rPr>
          <w:rStyle w:val="FootnoteReference"/>
        </w:rPr>
        <w:footnoteReference w:id="69"/>
      </w:r>
      <w:r w:rsidRPr="00EB6E3E">
        <w:t xml:space="preserve"> It is for that reason we consider the unit prices negotiated on the behalf of Endeavour Energy</w:t>
      </w:r>
      <w:r w:rsidR="000F4443">
        <w:t xml:space="preserve"> </w:t>
      </w:r>
      <w:r w:rsidRPr="00EB6E3E">
        <w:t>are likely to be closer to the bottom end of the market rates Marsden Jacob observed, not, as Endeavour Energy forecast, merely within the range of the current market rates.</w:t>
      </w:r>
    </w:p>
    <w:p w:rsidR="00EB6E3E" w:rsidRPr="00EB6E3E" w:rsidRDefault="00EB6E3E" w:rsidP="00EB6E3E">
      <w:r w:rsidRPr="00EB6E3E">
        <w:t xml:space="preserve">Additionally, we </w:t>
      </w:r>
      <w:r w:rsidR="000F4443">
        <w:t>consider it to be significant that</w:t>
      </w:r>
      <w:r w:rsidRPr="00EB6E3E">
        <w:t xml:space="preserve"> Networks NSW is yet to finalise its procurement processes. The consultant Endeavour Energy engaged to review its metering proposal, </w:t>
      </w:r>
      <w:proofErr w:type="spellStart"/>
      <w:r w:rsidRPr="00EB6E3E">
        <w:t>Energeia</w:t>
      </w:r>
      <w:proofErr w:type="spellEnd"/>
      <w:r w:rsidRPr="00EB6E3E">
        <w:t>, considered this to be significant</w:t>
      </w:r>
      <w:r w:rsidR="000F4443">
        <w:t xml:space="preserve"> too</w:t>
      </w:r>
      <w:r w:rsidRPr="00EB6E3E">
        <w:t xml:space="preserve">. </w:t>
      </w:r>
      <w:proofErr w:type="spellStart"/>
      <w:r w:rsidRPr="00EB6E3E">
        <w:t>Energeia</w:t>
      </w:r>
      <w:proofErr w:type="spellEnd"/>
      <w:r w:rsidRPr="00EB6E3E">
        <w:t xml:space="preserve"> stated that 'the reasonableness of a meter price forecast is typically demonstrated by the existence of a metering contract'.</w:t>
      </w:r>
      <w:r w:rsidRPr="00BD5927">
        <w:rPr>
          <w:rStyle w:val="FootnoteReference"/>
        </w:rPr>
        <w:footnoteReference w:id="70"/>
      </w:r>
      <w:r w:rsidRPr="00BD5927">
        <w:rPr>
          <w:rStyle w:val="FootnoteReference"/>
        </w:rPr>
        <w:t xml:space="preserve"> </w:t>
      </w:r>
      <w:r w:rsidRPr="00EB6E3E">
        <w:t>We agree and conclude that until Networks NSW finalises its procurement activities we cannot observe the substance of the proposed unit costs. Nor can we be satisfied that contracts ultimately have passed all probity tests and were entered into on a competitive, arm’s length basis. Again, the Victorian smart meter process is instructive, since we only approved metering capital and operating costs for the five Victorian di</w:t>
      </w:r>
      <w:r w:rsidR="00D83521">
        <w:t xml:space="preserve">stributors if they had been </w:t>
      </w:r>
      <w:r w:rsidRPr="00EB6E3E">
        <w:t>in accordance with a competitive tender process, among other things.</w:t>
      </w:r>
    </w:p>
    <w:p w:rsidR="00EB6E3E" w:rsidRPr="00EB6E3E" w:rsidRDefault="00EB6E3E" w:rsidP="006B57F3">
      <w:pPr>
        <w:pStyle w:val="AERbulletlistfirststyle"/>
        <w:numPr>
          <w:ilvl w:val="0"/>
          <w:numId w:val="0"/>
        </w:numPr>
      </w:pPr>
      <w:r w:rsidRPr="00EB6E3E">
        <w:t xml:space="preserve">For those reasons, our draft decision </w:t>
      </w:r>
      <w:r w:rsidR="003A724F">
        <w:t>is that</w:t>
      </w:r>
      <w:r w:rsidRPr="00EB6E3E">
        <w:t xml:space="preserve"> Endeavour Energy's forecast material unit costs </w:t>
      </w:r>
      <w:r w:rsidR="003A724F">
        <w:t>are overstated</w:t>
      </w:r>
      <w:r w:rsidRPr="00EB6E3E">
        <w:t xml:space="preserve">. </w:t>
      </w:r>
      <w:r w:rsidR="003A724F">
        <w:t>Notwithstanding this, we have not made any adjustments to the proposed capital expenditure on that basis. Given our finding</w:t>
      </w:r>
      <w:r w:rsidR="001A3F1C">
        <w:t>s</w:t>
      </w:r>
      <w:r w:rsidR="003A724F">
        <w:t xml:space="preserve"> regarding Endeavour Energy’s replacement volumes, any adjustment to the distribution business’ unit costs would </w:t>
      </w:r>
      <w:r w:rsidR="001A3F1C">
        <w:t>be immaterial</w:t>
      </w:r>
      <w:r w:rsidR="003A724F">
        <w:t>. We will</w:t>
      </w:r>
      <w:r w:rsidR="001A3F1C">
        <w:t>, however,</w:t>
      </w:r>
      <w:r w:rsidR="003A724F">
        <w:t xml:space="preserve"> revisit Endeavour Energy’s proposed unit costs for the final decision.</w:t>
      </w:r>
    </w:p>
    <w:p w:rsidR="00EB6E3E" w:rsidRPr="006B57F3" w:rsidRDefault="00EB6E3E" w:rsidP="00EB6E3E">
      <w:pPr>
        <w:rPr>
          <w:rStyle w:val="AERbody"/>
        </w:rPr>
      </w:pPr>
      <w:r w:rsidRPr="00EB6E3E">
        <w:t>In addition to assessing Endeavour Energy's mate</w:t>
      </w:r>
      <w:r w:rsidR="00250E92">
        <w:t>rial unit costs, Marsden Jacob</w:t>
      </w:r>
      <w:r w:rsidRPr="00EB6E3E">
        <w:t xml:space="preserve"> reviewed</w:t>
      </w:r>
      <w:r w:rsidRPr="00EB6E3E" w:rsidDel="009F7B9B">
        <w:t xml:space="preserve"> </w:t>
      </w:r>
      <w:r w:rsidRPr="00EB6E3E">
        <w:t>NSW distributors’ forecast non–material costs</w:t>
      </w:r>
      <w:r w:rsidR="000F4443">
        <w:t xml:space="preserve"> (i.e. labour costs</w:t>
      </w:r>
      <w:r w:rsidR="000F4443" w:rsidRPr="006B57F3">
        <w:rPr>
          <w:rStyle w:val="AERbody"/>
        </w:rPr>
        <w:t>)</w:t>
      </w:r>
      <w:r w:rsidRPr="006B57F3">
        <w:rPr>
          <w:rStyle w:val="AERbody"/>
        </w:rPr>
        <w:t>. These refer to the expenditure required to install, handle and manage the logistics associated with putting a new</w:t>
      </w:r>
      <w:r w:rsidR="00E10693" w:rsidRPr="006B57F3">
        <w:rPr>
          <w:rStyle w:val="AERbody"/>
        </w:rPr>
        <w:t xml:space="preserve"> or </w:t>
      </w:r>
      <w:r w:rsidR="003B3DB4" w:rsidRPr="006B57F3">
        <w:rPr>
          <w:rStyle w:val="AERbody"/>
        </w:rPr>
        <w:t xml:space="preserve">upgraded meter </w:t>
      </w:r>
      <w:r w:rsidRPr="006B57F3">
        <w:rPr>
          <w:rStyle w:val="AERbody"/>
        </w:rPr>
        <w:t xml:space="preserve">into service. </w:t>
      </w:r>
    </w:p>
    <w:p w:rsidR="00EB6E3E" w:rsidRPr="00EB6E3E" w:rsidRDefault="00250E92" w:rsidP="00EB6E3E">
      <w:r>
        <w:t xml:space="preserve">Marsden Jacob </w:t>
      </w:r>
      <w:r w:rsidR="00EB6E3E" w:rsidRPr="00EB6E3E">
        <w:t>was satisfied with how Endeavour Energy developed its forecast for non–material costs.</w:t>
      </w:r>
      <w:r w:rsidR="00EB6E3E" w:rsidRPr="00BD5927">
        <w:rPr>
          <w:rStyle w:val="FootnoteReference"/>
        </w:rPr>
        <w:footnoteReference w:id="71"/>
      </w:r>
      <w:r w:rsidR="00EB6E3E" w:rsidRPr="00BD5927">
        <w:rPr>
          <w:rStyle w:val="FootnoteReference"/>
        </w:rPr>
        <w:t xml:space="preserve"> </w:t>
      </w:r>
      <w:r w:rsidR="00EB6E3E" w:rsidRPr="00EB6E3E">
        <w:t xml:space="preserve">Specifically, Endeavour Energy applied </w:t>
      </w:r>
      <w:r w:rsidR="003B3DB4">
        <w:t>a ‘bottom up’ approach. This involved ‘estimating the number of labour hours needed to undertake meter handling activities and the annual labour rate associated with provided these services’.</w:t>
      </w:r>
      <w:r w:rsidR="003B3DB4">
        <w:rPr>
          <w:rStyle w:val="FootnoteReference"/>
        </w:rPr>
        <w:footnoteReference w:id="72"/>
      </w:r>
    </w:p>
    <w:p w:rsidR="00E53F96" w:rsidRPr="00EB6E3E" w:rsidRDefault="00250E92" w:rsidP="00EB6E3E">
      <w:r>
        <w:t>Marsden Jacob</w:t>
      </w:r>
      <w:r w:rsidR="00EB6E3E" w:rsidRPr="00EB6E3E">
        <w:t xml:space="preserve"> concluded that Endeavour Energy’s proposed non–material costs were reasonable.  We agree with this position and have not made any reductions to the distribution business’ proposed capital expenditure in relation to non–material costs.</w:t>
      </w:r>
    </w:p>
    <w:bookmarkEnd w:id="54"/>
    <w:p w:rsidR="00EB6E3E" w:rsidRPr="00337A3F" w:rsidRDefault="00EB6E3E" w:rsidP="00EB6E3E">
      <w:pPr>
        <w:rPr>
          <w:rStyle w:val="AERtextitalic"/>
        </w:rPr>
      </w:pPr>
      <w:r w:rsidRPr="00337A3F">
        <w:rPr>
          <w:rStyle w:val="AERtextitalic"/>
        </w:rPr>
        <w:t>Forecast volumes</w:t>
      </w:r>
    </w:p>
    <w:p w:rsidR="00EB6E3E" w:rsidRDefault="00EB6E3E" w:rsidP="00EB6E3E">
      <w:r w:rsidRPr="00EB6E3E">
        <w:t xml:space="preserve">We accept Endeavour Energy’s forecast new or upgraded connections forecast for 2014–15 and </w:t>
      </w:r>
      <w:r w:rsidR="003B3DB4">
        <w:t>its</w:t>
      </w:r>
      <w:r w:rsidR="003B3DB4" w:rsidRPr="00EB6E3E">
        <w:t xml:space="preserve"> </w:t>
      </w:r>
      <w:r w:rsidRPr="00EB6E3E">
        <w:t xml:space="preserve">forecast replacement volumes. </w:t>
      </w:r>
      <w:r w:rsidR="00D2749E">
        <w:fldChar w:fldCharType="begin"/>
      </w:r>
      <w:r w:rsidR="00D2749E">
        <w:instrText xml:space="preserve"> REF _Ref402872877 \h </w:instrText>
      </w:r>
      <w:r w:rsidR="00D2749E">
        <w:fldChar w:fldCharType="separate"/>
      </w:r>
      <w:r w:rsidR="00D2749E">
        <w:t xml:space="preserve">Table </w:t>
      </w:r>
      <w:r w:rsidR="00D2749E">
        <w:rPr>
          <w:noProof/>
        </w:rPr>
        <w:t>16</w:t>
      </w:r>
      <w:r w:rsidR="00D2749E">
        <w:noBreakHyphen/>
      </w:r>
      <w:r w:rsidR="00D2749E">
        <w:rPr>
          <w:noProof/>
        </w:rPr>
        <w:t>14</w:t>
      </w:r>
      <w:r w:rsidR="00D2749E">
        <w:fldChar w:fldCharType="end"/>
      </w:r>
      <w:r w:rsidR="00C74DDD">
        <w:t xml:space="preserve"> </w:t>
      </w:r>
      <w:r w:rsidRPr="00EB6E3E">
        <w:t>sets out these forecasts per meter.</w:t>
      </w:r>
    </w:p>
    <w:p w:rsidR="00EB6E3E" w:rsidRPr="00EB6E3E" w:rsidRDefault="003B3DB4" w:rsidP="003B3DB4">
      <w:pPr>
        <w:pStyle w:val="Caption"/>
      </w:pPr>
      <w:bookmarkStart w:id="55" w:name="_Ref402872877"/>
      <w:bookmarkStart w:id="56" w:name="_Ref402872873"/>
      <w:r>
        <w:t xml:space="preserve">Table </w:t>
      </w:r>
      <w:r w:rsidR="004667DE">
        <w:fldChar w:fldCharType="begin"/>
      </w:r>
      <w:r w:rsidR="004667DE">
        <w:instrText xml:space="preserve"> STYLEREF 1 \s </w:instrText>
      </w:r>
      <w:r w:rsidR="004667DE">
        <w:fldChar w:fldCharType="separate"/>
      </w:r>
      <w:r w:rsidR="003E262F">
        <w:rPr>
          <w:noProof/>
        </w:rPr>
        <w:t>16</w:t>
      </w:r>
      <w:r w:rsidR="004667DE">
        <w:rPr>
          <w:noProof/>
        </w:rPr>
        <w:fldChar w:fldCharType="end"/>
      </w:r>
      <w:r w:rsidR="003E262F">
        <w:noBreakHyphen/>
      </w:r>
      <w:r w:rsidR="004667DE">
        <w:fldChar w:fldCharType="begin"/>
      </w:r>
      <w:r w:rsidR="004667DE">
        <w:instrText xml:space="preserve"> SEQ Table \* ARABIC \s 1 </w:instrText>
      </w:r>
      <w:r w:rsidR="004667DE">
        <w:fldChar w:fldCharType="separate"/>
      </w:r>
      <w:r w:rsidR="003E262F">
        <w:rPr>
          <w:noProof/>
        </w:rPr>
        <w:t>14</w:t>
      </w:r>
      <w:r w:rsidR="004667DE">
        <w:rPr>
          <w:noProof/>
        </w:rPr>
        <w:fldChar w:fldCharType="end"/>
      </w:r>
      <w:bookmarkEnd w:id="55"/>
      <w:r w:rsidR="00F203C2">
        <w:t xml:space="preserve"> </w:t>
      </w:r>
      <w:r>
        <w:t>P</w:t>
      </w:r>
      <w:r w:rsidR="00EB6E3E" w:rsidRPr="00EB6E3E">
        <w:t>roposed and approved volumes of meters for new and upgraded connections, reactive replacements, and proactive replacements (per meter)</w:t>
      </w:r>
      <w:bookmarkEnd w:id="56"/>
    </w:p>
    <w:tbl>
      <w:tblPr>
        <w:tblStyle w:val="AERtable-numbers"/>
        <w:tblW w:w="0" w:type="auto"/>
        <w:tblLook w:val="04A0" w:firstRow="1" w:lastRow="0" w:firstColumn="1" w:lastColumn="0" w:noHBand="0" w:noVBand="1"/>
      </w:tblPr>
      <w:tblGrid>
        <w:gridCol w:w="3274"/>
        <w:gridCol w:w="3098"/>
        <w:gridCol w:w="2870"/>
      </w:tblGrid>
      <w:tr w:rsidR="00EB6E3E" w:rsidRPr="00EB6E3E" w:rsidTr="007848A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74" w:type="dxa"/>
          </w:tcPr>
          <w:p w:rsidR="00EB6E3E" w:rsidRPr="00EB6E3E" w:rsidRDefault="00EB6E3E" w:rsidP="00F203C2">
            <w:pPr>
              <w:pStyle w:val="AERtabletextright"/>
            </w:pPr>
          </w:p>
        </w:tc>
        <w:tc>
          <w:tcPr>
            <w:tcW w:w="3098" w:type="dxa"/>
          </w:tcPr>
          <w:p w:rsidR="00EB6E3E" w:rsidRPr="00EB6E3E" w:rsidRDefault="00EB6E3E" w:rsidP="00F203C2">
            <w:pPr>
              <w:pStyle w:val="AERtabletextright"/>
              <w:cnfStyle w:val="100000000000" w:firstRow="1" w:lastRow="0" w:firstColumn="0" w:lastColumn="0" w:oddVBand="0" w:evenVBand="0" w:oddHBand="0" w:evenHBand="0" w:firstRowFirstColumn="0" w:firstRowLastColumn="0" w:lastRowFirstColumn="0" w:lastRowLastColumn="0"/>
            </w:pPr>
            <w:r w:rsidRPr="00EB6E3E">
              <w:t xml:space="preserve">Proposed </w:t>
            </w:r>
          </w:p>
        </w:tc>
        <w:tc>
          <w:tcPr>
            <w:tcW w:w="2870" w:type="dxa"/>
          </w:tcPr>
          <w:p w:rsidR="00EB6E3E" w:rsidRPr="00EB6E3E" w:rsidRDefault="00EB6E3E" w:rsidP="00F203C2">
            <w:pPr>
              <w:pStyle w:val="AERtabletextright"/>
              <w:cnfStyle w:val="100000000000" w:firstRow="1" w:lastRow="0" w:firstColumn="0" w:lastColumn="0" w:oddVBand="0" w:evenVBand="0" w:oddHBand="0" w:evenHBand="0" w:firstRowFirstColumn="0" w:firstRowLastColumn="0" w:lastRowFirstColumn="0" w:lastRowLastColumn="0"/>
            </w:pPr>
            <w:r w:rsidRPr="00EB6E3E">
              <w:t>Draft decision</w:t>
            </w:r>
          </w:p>
        </w:tc>
      </w:tr>
      <w:tr w:rsidR="00EB6E3E" w:rsidRPr="00EB6E3E" w:rsidTr="007848A6">
        <w:tc>
          <w:tcPr>
            <w:cnfStyle w:val="001000000000" w:firstRow="0" w:lastRow="0" w:firstColumn="1" w:lastColumn="0" w:oddVBand="0" w:evenVBand="0" w:oddHBand="0" w:evenHBand="0" w:firstRowFirstColumn="0" w:firstRowLastColumn="0" w:lastRowFirstColumn="0" w:lastRowLastColumn="0"/>
            <w:tcW w:w="3274" w:type="dxa"/>
          </w:tcPr>
          <w:p w:rsidR="00EB6E3E" w:rsidRPr="00EB6E3E" w:rsidRDefault="00EB6E3E" w:rsidP="007848A6">
            <w:pPr>
              <w:pStyle w:val="AERtabletextleft"/>
            </w:pPr>
            <w:r w:rsidRPr="00EB6E3E">
              <w:t>New or upgraded connections</w:t>
            </w:r>
          </w:p>
        </w:tc>
        <w:tc>
          <w:tcPr>
            <w:tcW w:w="3098" w:type="dxa"/>
          </w:tcPr>
          <w:p w:rsidR="00EB6E3E" w:rsidRPr="00EB6E3E" w:rsidRDefault="00EB6E3E" w:rsidP="005940D4">
            <w:pPr>
              <w:pStyle w:val="AERtabletextright"/>
              <w:cnfStyle w:val="000000000000" w:firstRow="0" w:lastRow="0" w:firstColumn="0" w:lastColumn="0" w:oddVBand="0" w:evenVBand="0" w:oddHBand="0" w:evenHBand="0" w:firstRowFirstColumn="0" w:firstRowLastColumn="0" w:lastRowFirstColumn="0" w:lastRowLastColumn="0"/>
            </w:pPr>
            <w:r w:rsidRPr="00EB6E3E">
              <w:t>22</w:t>
            </w:r>
            <w:r w:rsidR="005940D4">
              <w:t>,</w:t>
            </w:r>
            <w:r w:rsidRPr="00EB6E3E">
              <w:t>234</w:t>
            </w:r>
          </w:p>
        </w:tc>
        <w:tc>
          <w:tcPr>
            <w:tcW w:w="2870" w:type="dxa"/>
          </w:tcPr>
          <w:p w:rsidR="00EB6E3E" w:rsidRPr="00EB6E3E" w:rsidRDefault="00EB6E3E" w:rsidP="005940D4">
            <w:pPr>
              <w:pStyle w:val="AERtabletextright"/>
              <w:cnfStyle w:val="000000000000" w:firstRow="0" w:lastRow="0" w:firstColumn="0" w:lastColumn="0" w:oddVBand="0" w:evenVBand="0" w:oddHBand="0" w:evenHBand="0" w:firstRowFirstColumn="0" w:firstRowLastColumn="0" w:lastRowFirstColumn="0" w:lastRowLastColumn="0"/>
            </w:pPr>
            <w:r w:rsidRPr="00EB6E3E">
              <w:t>22</w:t>
            </w:r>
            <w:r w:rsidR="005940D4">
              <w:t>,</w:t>
            </w:r>
            <w:r w:rsidRPr="00EB6E3E">
              <w:t>234</w:t>
            </w:r>
          </w:p>
        </w:tc>
      </w:tr>
      <w:tr w:rsidR="00EB6E3E" w:rsidRPr="00EB6E3E" w:rsidTr="007848A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74" w:type="dxa"/>
          </w:tcPr>
          <w:p w:rsidR="00EB6E3E" w:rsidRPr="00EB6E3E" w:rsidRDefault="00EB6E3E" w:rsidP="007848A6">
            <w:pPr>
              <w:pStyle w:val="AERtabletextleft"/>
            </w:pPr>
            <w:r w:rsidRPr="00EB6E3E">
              <w:t>Reactive replacements</w:t>
            </w:r>
          </w:p>
        </w:tc>
        <w:tc>
          <w:tcPr>
            <w:tcW w:w="3098" w:type="dxa"/>
          </w:tcPr>
          <w:p w:rsidR="00EB6E3E" w:rsidRPr="00EB6E3E" w:rsidRDefault="006C11AA" w:rsidP="00F203C2">
            <w:pPr>
              <w:pStyle w:val="AERtabletextright"/>
              <w:cnfStyle w:val="000000010000" w:firstRow="0" w:lastRow="0" w:firstColumn="0" w:lastColumn="0" w:oddVBand="0" w:evenVBand="0" w:oddHBand="0" w:evenHBand="1" w:firstRowFirstColumn="0" w:firstRowLastColumn="0" w:lastRowFirstColumn="0" w:lastRowLastColumn="0"/>
            </w:pPr>
            <w:r>
              <w:t>17,417</w:t>
            </w:r>
          </w:p>
        </w:tc>
        <w:tc>
          <w:tcPr>
            <w:tcW w:w="2870" w:type="dxa"/>
          </w:tcPr>
          <w:p w:rsidR="00EB6E3E" w:rsidRPr="00EB6E3E" w:rsidRDefault="006C11AA" w:rsidP="005940D4">
            <w:pPr>
              <w:pStyle w:val="AERtabletextright"/>
              <w:cnfStyle w:val="000000010000" w:firstRow="0" w:lastRow="0" w:firstColumn="0" w:lastColumn="0" w:oddVBand="0" w:evenVBand="0" w:oddHBand="0" w:evenHBand="1" w:firstRowFirstColumn="0" w:firstRowLastColumn="0" w:lastRowFirstColumn="0" w:lastRowLastColumn="0"/>
            </w:pPr>
            <w:r>
              <w:t>17,417</w:t>
            </w:r>
          </w:p>
        </w:tc>
      </w:tr>
      <w:tr w:rsidR="00EB6E3E" w:rsidRPr="00EB6E3E" w:rsidTr="007848A6">
        <w:tc>
          <w:tcPr>
            <w:cnfStyle w:val="001000000000" w:firstRow="0" w:lastRow="0" w:firstColumn="1" w:lastColumn="0" w:oddVBand="0" w:evenVBand="0" w:oddHBand="0" w:evenHBand="0" w:firstRowFirstColumn="0" w:firstRowLastColumn="0" w:lastRowFirstColumn="0" w:lastRowLastColumn="0"/>
            <w:tcW w:w="3274" w:type="dxa"/>
          </w:tcPr>
          <w:p w:rsidR="00EB6E3E" w:rsidRPr="00EB6E3E" w:rsidRDefault="00EB6E3E" w:rsidP="007848A6">
            <w:pPr>
              <w:pStyle w:val="AERtabletextleft"/>
            </w:pPr>
            <w:r w:rsidRPr="00EB6E3E">
              <w:t>Proactive replacements</w:t>
            </w:r>
          </w:p>
        </w:tc>
        <w:tc>
          <w:tcPr>
            <w:tcW w:w="3098" w:type="dxa"/>
          </w:tcPr>
          <w:p w:rsidR="00EB6E3E" w:rsidRPr="00EB6E3E" w:rsidRDefault="00EB6E3E" w:rsidP="005940D4">
            <w:pPr>
              <w:pStyle w:val="AERtabletextright"/>
              <w:cnfStyle w:val="000000000000" w:firstRow="0" w:lastRow="0" w:firstColumn="0" w:lastColumn="0" w:oddVBand="0" w:evenVBand="0" w:oddHBand="0" w:evenHBand="0" w:firstRowFirstColumn="0" w:firstRowLastColumn="0" w:lastRowFirstColumn="0" w:lastRowLastColumn="0"/>
            </w:pPr>
            <w:r w:rsidRPr="00EB6E3E">
              <w:t>130</w:t>
            </w:r>
            <w:r w:rsidR="005940D4">
              <w:t>,</w:t>
            </w:r>
            <w:r w:rsidRPr="00EB6E3E">
              <w:t>077</w:t>
            </w:r>
          </w:p>
        </w:tc>
        <w:tc>
          <w:tcPr>
            <w:tcW w:w="2870" w:type="dxa"/>
          </w:tcPr>
          <w:p w:rsidR="00EB6E3E" w:rsidRPr="00EB6E3E" w:rsidRDefault="00E10693" w:rsidP="005940D4">
            <w:pPr>
              <w:pStyle w:val="AERtabletextright"/>
              <w:cnfStyle w:val="000000000000" w:firstRow="0" w:lastRow="0" w:firstColumn="0" w:lastColumn="0" w:oddVBand="0" w:evenVBand="0" w:oddHBand="0" w:evenHBand="0" w:firstRowFirstColumn="0" w:firstRowLastColumn="0" w:lastRowFirstColumn="0" w:lastRowLastColumn="0"/>
            </w:pPr>
            <w:r>
              <w:t>21</w:t>
            </w:r>
            <w:r w:rsidR="005940D4">
              <w:t>,</w:t>
            </w:r>
            <w:r>
              <w:t>406</w:t>
            </w:r>
          </w:p>
        </w:tc>
      </w:tr>
    </w:tbl>
    <w:p w:rsidR="006C11AA" w:rsidRDefault="006C11AA" w:rsidP="006C11AA">
      <w:pPr>
        <w:pStyle w:val="AERtablesource"/>
      </w:pPr>
      <w:r>
        <w:t>Source:</w:t>
      </w:r>
      <w:r>
        <w:tab/>
        <w:t xml:space="preserve">Endeavour Energy, </w:t>
      </w:r>
      <w:r w:rsidRPr="006C11AA">
        <w:rPr>
          <w:i/>
        </w:rPr>
        <w:t>NSW ACT Electricity DNSPs reset RIN templates - Consolidated information (Public)</w:t>
      </w:r>
      <w:r>
        <w:t>, May 2014.</w:t>
      </w:r>
    </w:p>
    <w:p w:rsidR="00EB6E3E" w:rsidRPr="00EB6E3E" w:rsidRDefault="00EB6E3E" w:rsidP="00EB6E3E">
      <w:r w:rsidRPr="00EB6E3E">
        <w:t>We accept Endeavour Energy’s new or upgraded connections forecast. To derive its forecast</w:t>
      </w:r>
      <w:r w:rsidR="00FF1C18">
        <w:t>,</w:t>
      </w:r>
      <w:r w:rsidRPr="00EB6E3E">
        <w:t xml:space="preserve"> Endeavour Energy ‘took the actual number of meters in 2013–14 from standing data and [multiplied that] by an adjustment factor derived [from] actual historic and forecast customer numbers’.</w:t>
      </w:r>
      <w:r w:rsidRPr="00BD5927">
        <w:rPr>
          <w:rStyle w:val="FootnoteReference"/>
        </w:rPr>
        <w:footnoteReference w:id="73"/>
      </w:r>
      <w:r w:rsidRPr="00BD5927">
        <w:rPr>
          <w:rStyle w:val="FootnoteReference"/>
        </w:rPr>
        <w:t xml:space="preserve"> </w:t>
      </w:r>
      <w:r w:rsidRPr="00EB6E3E">
        <w:t>We are satisfied that this is a reasonable approach to developing an estimate for new or upgraded connection, and on that basis accept the forecast 22 234 meters.</w:t>
      </w:r>
    </w:p>
    <w:p w:rsidR="00EB6E3E" w:rsidRPr="00EB6E3E" w:rsidRDefault="00EB6E3E" w:rsidP="00EB6E3E">
      <w:r w:rsidRPr="00EB6E3E">
        <w:t>We accept Endeavour Energy’s forecast volumes for reactive replacements. Reactive replacements are made in response to full functionality failures caused by, for example, physical damage. We consider equipment damage, which drives reactive replacements, to be statistically random and as such, historical failures are a good indicator of future performance. We accordingly accept Endeavour Energy’s forecast volume of replacement replacements of 17</w:t>
      </w:r>
      <w:r w:rsidR="00250E92">
        <w:t xml:space="preserve"> 417 meters. It equates to 3 483</w:t>
      </w:r>
      <w:r w:rsidRPr="00EB6E3E">
        <w:t xml:space="preserve"> meters per year which is in line with the historical average of 3 570 meters (2009–10 to 2013–14).</w:t>
      </w:r>
    </w:p>
    <w:p w:rsidR="00EB6E3E" w:rsidRPr="00EB6E3E" w:rsidRDefault="00EB6E3E" w:rsidP="00EB6E3E">
      <w:r w:rsidRPr="00EB6E3E">
        <w:t>We took a different approach to assessing the forecast volumes that Endeavour Energy’s proposed for proactive replacements. For proactive replacements, historical data is not relevant. These replacements are driven by sample testing of meter populations. This is to test their functionality and accuracy against various regulatory requirements.</w:t>
      </w:r>
    </w:p>
    <w:p w:rsidR="002B0DA0" w:rsidRDefault="00EB6E3E" w:rsidP="00EB6E3E">
      <w:r w:rsidRPr="00EB6E3E">
        <w:t>In particular, Endeavour Energy must ensure that each of its metering installations is maintained in accordance with the metrology procedure submitted to, and obtained approval by, the Australian Energy Market Operator (AEMO).</w:t>
      </w:r>
      <w:r w:rsidRPr="00BD5927">
        <w:rPr>
          <w:rStyle w:val="FootnoteReference"/>
        </w:rPr>
        <w:footnoteReference w:id="74"/>
      </w:r>
      <w:r w:rsidRPr="00BD5927">
        <w:rPr>
          <w:rStyle w:val="FootnoteReference"/>
        </w:rPr>
        <w:t xml:space="preserve"> </w:t>
      </w:r>
      <w:r w:rsidRPr="00EB6E3E">
        <w:t>This metrology procedure requires Endeavour Energy to comply with certain ‘Australian Standards’ for testing the in–service performance of meters.</w:t>
      </w:r>
      <w:r w:rsidRPr="00BD5927">
        <w:rPr>
          <w:rStyle w:val="FootnoteReference"/>
        </w:rPr>
        <w:footnoteReference w:id="75"/>
      </w:r>
      <w:r w:rsidRPr="00BD5927">
        <w:rPr>
          <w:rStyle w:val="FootnoteReference"/>
        </w:rPr>
        <w:t xml:space="preserve"> </w:t>
      </w:r>
      <w:r w:rsidRPr="00EB6E3E">
        <w:t>In the event of a sample of meters failing these tests, the NER requires Endeavour Energy to ‘arrange for the accuracy of affected meters to be restored in a time frame agreed with AEMO’.</w:t>
      </w:r>
      <w:r w:rsidRPr="00BD5927">
        <w:rPr>
          <w:rStyle w:val="FootnoteReference"/>
        </w:rPr>
        <w:footnoteReference w:id="76"/>
      </w:r>
      <w:r w:rsidRPr="00BD5927">
        <w:rPr>
          <w:rStyle w:val="FootnoteReference"/>
        </w:rPr>
        <w:t xml:space="preserve"> </w:t>
      </w:r>
      <w:r w:rsidRPr="00EB6E3E">
        <w:t>Where certain thresholds are not met, this requires replacement of the entire population of a make and model of meters</w:t>
      </w:r>
      <w:r w:rsidR="002B0DA0">
        <w:t>.</w:t>
      </w:r>
    </w:p>
    <w:p w:rsidR="00EB6E3E" w:rsidRDefault="00D2749E" w:rsidP="00EB6E3E">
      <w:r>
        <w:fldChar w:fldCharType="begin"/>
      </w:r>
      <w:r>
        <w:instrText xml:space="preserve"> REF _Ref402945004 \h </w:instrText>
      </w:r>
      <w:r>
        <w:fldChar w:fldCharType="separate"/>
      </w:r>
      <w:r>
        <w:t xml:space="preserve">Table </w:t>
      </w:r>
      <w:r>
        <w:rPr>
          <w:noProof/>
        </w:rPr>
        <w:t>16</w:t>
      </w:r>
      <w:r>
        <w:noBreakHyphen/>
      </w:r>
      <w:r>
        <w:rPr>
          <w:noProof/>
        </w:rPr>
        <w:t>15</w:t>
      </w:r>
      <w:r>
        <w:fldChar w:fldCharType="end"/>
      </w:r>
      <w:r w:rsidR="002B0DA0">
        <w:t xml:space="preserve"> </w:t>
      </w:r>
      <w:r w:rsidR="00EB6E3E" w:rsidRPr="00EB6E3E">
        <w:t xml:space="preserve">provides a high level summary of Endeavour Energy’s sample testing, to identify proactive meter replacements. It shows that in addition to including meters which have failed sample testing, Endeavour Energy has included makes and models which it considers likely to fail in the 2014–15 and 2015–19 regulatory control period. </w:t>
      </w:r>
    </w:p>
    <w:p w:rsidR="00EB6E3E" w:rsidRPr="00EB6E3E" w:rsidRDefault="002B0DA0" w:rsidP="002B0DA0">
      <w:pPr>
        <w:pStyle w:val="Caption"/>
      </w:pPr>
      <w:bookmarkStart w:id="57" w:name="_Ref402945004"/>
      <w:r>
        <w:t xml:space="preserve">Table </w:t>
      </w:r>
      <w:r w:rsidR="004667DE">
        <w:fldChar w:fldCharType="begin"/>
      </w:r>
      <w:r w:rsidR="004667DE">
        <w:instrText xml:space="preserve"> STYLEREF 1 \s </w:instrText>
      </w:r>
      <w:r w:rsidR="004667DE">
        <w:fldChar w:fldCharType="separate"/>
      </w:r>
      <w:r w:rsidR="003E262F">
        <w:rPr>
          <w:noProof/>
        </w:rPr>
        <w:t>16</w:t>
      </w:r>
      <w:r w:rsidR="004667DE">
        <w:rPr>
          <w:noProof/>
        </w:rPr>
        <w:fldChar w:fldCharType="end"/>
      </w:r>
      <w:r w:rsidR="003E262F">
        <w:noBreakHyphen/>
      </w:r>
      <w:r w:rsidR="004667DE">
        <w:fldChar w:fldCharType="begin"/>
      </w:r>
      <w:r w:rsidR="004667DE">
        <w:instrText xml:space="preserve"> SEQ Table \* ARABIC \s 1 </w:instrText>
      </w:r>
      <w:r w:rsidR="004667DE">
        <w:fldChar w:fldCharType="separate"/>
      </w:r>
      <w:r w:rsidR="003E262F">
        <w:rPr>
          <w:noProof/>
        </w:rPr>
        <w:t>15</w:t>
      </w:r>
      <w:r w:rsidR="004667DE">
        <w:rPr>
          <w:noProof/>
        </w:rPr>
        <w:fldChar w:fldCharType="end"/>
      </w:r>
      <w:bookmarkEnd w:id="57"/>
      <w:r w:rsidR="00F203C2">
        <w:t xml:space="preserve"> </w:t>
      </w:r>
      <w:r>
        <w:t>E</w:t>
      </w:r>
      <w:r w:rsidR="00EB6E3E" w:rsidRPr="00EB6E3E">
        <w:t xml:space="preserve">ndeavour Energy’s sample testing against regulatory requirements </w:t>
      </w:r>
    </w:p>
    <w:tbl>
      <w:tblPr>
        <w:tblStyle w:val="AERtable-numbers"/>
        <w:tblW w:w="0" w:type="auto"/>
        <w:tblLook w:val="04A0" w:firstRow="1" w:lastRow="0" w:firstColumn="1" w:lastColumn="0" w:noHBand="0" w:noVBand="1"/>
      </w:tblPr>
      <w:tblGrid>
        <w:gridCol w:w="3959"/>
        <w:gridCol w:w="2268"/>
        <w:gridCol w:w="2974"/>
      </w:tblGrid>
      <w:tr w:rsidR="00EB6E3E" w:rsidRPr="00EB6E3E" w:rsidTr="00EB6E3E">
        <w:trPr>
          <w:cnfStyle w:val="100000000000" w:firstRow="1" w:lastRow="0" w:firstColumn="0" w:lastColumn="0" w:oddVBand="0" w:evenVBand="0" w:oddHBand="0" w:evenHBand="0" w:firstRowFirstColumn="0" w:firstRowLastColumn="0" w:lastRowFirstColumn="0" w:lastRowLastColumn="0"/>
          <w:trHeight w:val="515"/>
        </w:trPr>
        <w:tc>
          <w:tcPr>
            <w:cnfStyle w:val="001000000000" w:firstRow="0" w:lastRow="0" w:firstColumn="1" w:lastColumn="0" w:oddVBand="0" w:evenVBand="0" w:oddHBand="0" w:evenHBand="0" w:firstRowFirstColumn="0" w:firstRowLastColumn="0" w:lastRowFirstColumn="0" w:lastRowLastColumn="0"/>
            <w:tcW w:w="3959" w:type="dxa"/>
          </w:tcPr>
          <w:p w:rsidR="00EB6E3E" w:rsidRPr="00EB6E3E" w:rsidRDefault="00EB6E3E" w:rsidP="007848A6">
            <w:pPr>
              <w:pStyle w:val="AERtabletextleft"/>
            </w:pPr>
            <w:r w:rsidRPr="00EB6E3E">
              <w:t>Meter make and model</w:t>
            </w:r>
          </w:p>
        </w:tc>
        <w:tc>
          <w:tcPr>
            <w:tcW w:w="2268" w:type="dxa"/>
          </w:tcPr>
          <w:p w:rsidR="00EB6E3E" w:rsidRPr="00EB6E3E" w:rsidRDefault="00EB6E3E" w:rsidP="00F203C2">
            <w:pPr>
              <w:pStyle w:val="AERtabletextright"/>
              <w:cnfStyle w:val="100000000000" w:firstRow="1" w:lastRow="0" w:firstColumn="0" w:lastColumn="0" w:oddVBand="0" w:evenVBand="0" w:oddHBand="0" w:evenHBand="0" w:firstRowFirstColumn="0" w:firstRowLastColumn="0" w:lastRowFirstColumn="0" w:lastRowLastColumn="0"/>
            </w:pPr>
            <w:r w:rsidRPr="00EB6E3E">
              <w:t>Scheduled replacement</w:t>
            </w:r>
          </w:p>
        </w:tc>
        <w:tc>
          <w:tcPr>
            <w:tcW w:w="2974" w:type="dxa"/>
          </w:tcPr>
          <w:p w:rsidR="00EB6E3E" w:rsidRPr="00EB6E3E" w:rsidRDefault="00EB6E3E" w:rsidP="00F203C2">
            <w:pPr>
              <w:pStyle w:val="AERtabletextright"/>
              <w:cnfStyle w:val="100000000000" w:firstRow="1" w:lastRow="0" w:firstColumn="0" w:lastColumn="0" w:oddVBand="0" w:evenVBand="0" w:oddHBand="0" w:evenHBand="0" w:firstRowFirstColumn="0" w:firstRowLastColumn="0" w:lastRowFirstColumn="0" w:lastRowLastColumn="0"/>
            </w:pPr>
            <w:r w:rsidRPr="00EB6E3E">
              <w:t>Meter population</w:t>
            </w:r>
          </w:p>
        </w:tc>
      </w:tr>
      <w:tr w:rsidR="00EB6E3E" w:rsidRPr="00EB6E3E" w:rsidTr="00EB6E3E">
        <w:trPr>
          <w:trHeight w:val="515"/>
        </w:trPr>
        <w:tc>
          <w:tcPr>
            <w:cnfStyle w:val="001000000000" w:firstRow="0" w:lastRow="0" w:firstColumn="1" w:lastColumn="0" w:oddVBand="0" w:evenVBand="0" w:oddHBand="0" w:evenHBand="0" w:firstRowFirstColumn="0" w:firstRowLastColumn="0" w:lastRowFirstColumn="0" w:lastRowLastColumn="0"/>
            <w:tcW w:w="3959" w:type="dxa"/>
          </w:tcPr>
          <w:p w:rsidR="00EB6E3E" w:rsidRPr="000D42D9" w:rsidRDefault="00EB6E3E" w:rsidP="007848A6">
            <w:pPr>
              <w:pStyle w:val="AERtabletextleft"/>
              <w:rPr>
                <w:rStyle w:val="AERtextsize8"/>
              </w:rPr>
            </w:pPr>
            <w:r w:rsidRPr="000D42D9">
              <w:rPr>
                <w:rStyle w:val="AERtextsize8"/>
              </w:rPr>
              <w:t>Failed</w:t>
            </w:r>
          </w:p>
        </w:tc>
        <w:tc>
          <w:tcPr>
            <w:tcW w:w="2268" w:type="dxa"/>
          </w:tcPr>
          <w:p w:rsidR="00EB6E3E" w:rsidRPr="000D42D9" w:rsidRDefault="00EB6E3E" w:rsidP="00F203C2">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p>
        </w:tc>
        <w:tc>
          <w:tcPr>
            <w:tcW w:w="2974" w:type="dxa"/>
          </w:tcPr>
          <w:p w:rsidR="00EB6E3E" w:rsidRPr="000D42D9" w:rsidRDefault="00EB6E3E" w:rsidP="00F203C2">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p>
        </w:tc>
      </w:tr>
      <w:tr w:rsidR="00EB6E3E" w:rsidRPr="00EB6E3E" w:rsidTr="00EB6E3E">
        <w:trPr>
          <w:cnfStyle w:val="000000010000" w:firstRow="0" w:lastRow="0" w:firstColumn="0" w:lastColumn="0" w:oddVBand="0" w:evenVBand="0" w:oddHBand="0" w:evenHBand="1" w:firstRowFirstColumn="0" w:firstRowLastColumn="0" w:lastRowFirstColumn="0" w:lastRowLastColumn="0"/>
          <w:trHeight w:val="515"/>
        </w:trPr>
        <w:tc>
          <w:tcPr>
            <w:cnfStyle w:val="001000000000" w:firstRow="0" w:lastRow="0" w:firstColumn="1" w:lastColumn="0" w:oddVBand="0" w:evenVBand="0" w:oddHBand="0" w:evenHBand="0" w:firstRowFirstColumn="0" w:firstRowLastColumn="0" w:lastRowFirstColumn="0" w:lastRowLastColumn="0"/>
            <w:tcW w:w="3959" w:type="dxa"/>
          </w:tcPr>
          <w:p w:rsidR="00EB6E3E" w:rsidRPr="000D42D9" w:rsidRDefault="00EB6E3E" w:rsidP="007848A6">
            <w:pPr>
              <w:pStyle w:val="AERtabletextleft"/>
              <w:rPr>
                <w:rStyle w:val="AERtextsize8"/>
              </w:rPr>
            </w:pPr>
            <w:r w:rsidRPr="000D42D9">
              <w:rPr>
                <w:rStyle w:val="AERtextsize8"/>
              </w:rPr>
              <w:t>SD three phase WC (up to 6 series)</w:t>
            </w:r>
          </w:p>
        </w:tc>
        <w:tc>
          <w:tcPr>
            <w:tcW w:w="2268" w:type="dxa"/>
          </w:tcPr>
          <w:p w:rsidR="00EB6E3E" w:rsidRPr="000D42D9" w:rsidRDefault="00EB6E3E" w:rsidP="00F203C2">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0D42D9">
              <w:rPr>
                <w:rStyle w:val="AERtextsize8"/>
              </w:rPr>
              <w:t>2014–15 to 2015–16</w:t>
            </w:r>
          </w:p>
        </w:tc>
        <w:tc>
          <w:tcPr>
            <w:tcW w:w="2974" w:type="dxa"/>
          </w:tcPr>
          <w:p w:rsidR="00EB6E3E" w:rsidRPr="000D42D9" w:rsidRDefault="00EB6E3E" w:rsidP="00F203C2">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0D42D9">
              <w:rPr>
                <w:rStyle w:val="AERtextsize8"/>
              </w:rPr>
              <w:t>1682</w:t>
            </w:r>
          </w:p>
        </w:tc>
      </w:tr>
      <w:tr w:rsidR="00EB6E3E" w:rsidRPr="00EB6E3E" w:rsidTr="00EB6E3E">
        <w:trPr>
          <w:trHeight w:val="515"/>
        </w:trPr>
        <w:tc>
          <w:tcPr>
            <w:cnfStyle w:val="001000000000" w:firstRow="0" w:lastRow="0" w:firstColumn="1" w:lastColumn="0" w:oddVBand="0" w:evenVBand="0" w:oddHBand="0" w:evenHBand="0" w:firstRowFirstColumn="0" w:firstRowLastColumn="0" w:lastRowFirstColumn="0" w:lastRowLastColumn="0"/>
            <w:tcW w:w="3959" w:type="dxa"/>
          </w:tcPr>
          <w:p w:rsidR="00EB6E3E" w:rsidRPr="000D42D9" w:rsidRDefault="00EB6E3E" w:rsidP="007848A6">
            <w:pPr>
              <w:pStyle w:val="AERtabletextleft"/>
              <w:rPr>
                <w:rStyle w:val="AERtextsize8"/>
              </w:rPr>
            </w:pPr>
            <w:r w:rsidRPr="000D42D9">
              <w:rPr>
                <w:rStyle w:val="AERtextsize8"/>
              </w:rPr>
              <w:t>M1 single phase WC 61–65</w:t>
            </w:r>
          </w:p>
        </w:tc>
        <w:tc>
          <w:tcPr>
            <w:tcW w:w="2268" w:type="dxa"/>
          </w:tcPr>
          <w:p w:rsidR="00EB6E3E" w:rsidRPr="000D42D9" w:rsidRDefault="00EB6E3E" w:rsidP="00F203C2">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0D42D9">
              <w:rPr>
                <w:rStyle w:val="AERtextsize8"/>
              </w:rPr>
              <w:t>2016–17</w:t>
            </w:r>
          </w:p>
        </w:tc>
        <w:tc>
          <w:tcPr>
            <w:tcW w:w="2974" w:type="dxa"/>
          </w:tcPr>
          <w:p w:rsidR="00EB6E3E" w:rsidRPr="000D42D9" w:rsidRDefault="00EB6E3E" w:rsidP="00F203C2">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0D42D9">
              <w:rPr>
                <w:rStyle w:val="AERtextsize8"/>
              </w:rPr>
              <w:t>452</w:t>
            </w:r>
          </w:p>
        </w:tc>
      </w:tr>
      <w:tr w:rsidR="00EB6E3E" w:rsidRPr="00EB6E3E" w:rsidTr="00EB6E3E">
        <w:trPr>
          <w:cnfStyle w:val="000000010000" w:firstRow="0" w:lastRow="0" w:firstColumn="0" w:lastColumn="0" w:oddVBand="0" w:evenVBand="0" w:oddHBand="0" w:evenHBand="1" w:firstRowFirstColumn="0" w:firstRowLastColumn="0" w:lastRowFirstColumn="0" w:lastRowLastColumn="0"/>
          <w:trHeight w:val="515"/>
        </w:trPr>
        <w:tc>
          <w:tcPr>
            <w:cnfStyle w:val="001000000000" w:firstRow="0" w:lastRow="0" w:firstColumn="1" w:lastColumn="0" w:oddVBand="0" w:evenVBand="0" w:oddHBand="0" w:evenHBand="0" w:firstRowFirstColumn="0" w:firstRowLastColumn="0" w:lastRowFirstColumn="0" w:lastRowLastColumn="0"/>
            <w:tcW w:w="3959" w:type="dxa"/>
          </w:tcPr>
          <w:p w:rsidR="00EB6E3E" w:rsidRPr="000D42D9" w:rsidRDefault="00EB6E3E" w:rsidP="007848A6">
            <w:pPr>
              <w:pStyle w:val="AERtabletextleft"/>
              <w:rPr>
                <w:rStyle w:val="AERtextsize8"/>
              </w:rPr>
            </w:pPr>
            <w:r w:rsidRPr="000D42D9">
              <w:rPr>
                <w:rStyle w:val="AERtextsize8"/>
              </w:rPr>
              <w:t>SDM three phase WC 96–00</w:t>
            </w:r>
          </w:p>
        </w:tc>
        <w:tc>
          <w:tcPr>
            <w:tcW w:w="2268" w:type="dxa"/>
          </w:tcPr>
          <w:p w:rsidR="00EB6E3E" w:rsidRPr="000D42D9" w:rsidRDefault="00EB6E3E" w:rsidP="00F203C2">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0D42D9">
              <w:rPr>
                <w:rStyle w:val="AERtextsize8"/>
              </w:rPr>
              <w:t>2016–17</w:t>
            </w:r>
          </w:p>
        </w:tc>
        <w:tc>
          <w:tcPr>
            <w:tcW w:w="2974" w:type="dxa"/>
          </w:tcPr>
          <w:p w:rsidR="00EB6E3E" w:rsidRPr="000D42D9" w:rsidRDefault="00EB6E3E" w:rsidP="00F203C2">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0D42D9">
              <w:rPr>
                <w:rStyle w:val="AERtextsize8"/>
              </w:rPr>
              <w:t>3995</w:t>
            </w:r>
          </w:p>
        </w:tc>
      </w:tr>
      <w:tr w:rsidR="00EB6E3E" w:rsidRPr="00EB6E3E" w:rsidTr="00EB6E3E">
        <w:trPr>
          <w:trHeight w:val="515"/>
        </w:trPr>
        <w:tc>
          <w:tcPr>
            <w:cnfStyle w:val="001000000000" w:firstRow="0" w:lastRow="0" w:firstColumn="1" w:lastColumn="0" w:oddVBand="0" w:evenVBand="0" w:oddHBand="0" w:evenHBand="0" w:firstRowFirstColumn="0" w:firstRowLastColumn="0" w:lastRowFirstColumn="0" w:lastRowLastColumn="0"/>
            <w:tcW w:w="3959" w:type="dxa"/>
          </w:tcPr>
          <w:p w:rsidR="00EB6E3E" w:rsidRPr="000D42D9" w:rsidRDefault="00EB6E3E" w:rsidP="007848A6">
            <w:pPr>
              <w:pStyle w:val="AERtabletextleft"/>
              <w:rPr>
                <w:rStyle w:val="AERtextsize8"/>
              </w:rPr>
            </w:pPr>
            <w:proofErr w:type="spellStart"/>
            <w:r w:rsidRPr="000D42D9">
              <w:rPr>
                <w:rStyle w:val="AERtextsize8"/>
              </w:rPr>
              <w:t>Calmu</w:t>
            </w:r>
            <w:proofErr w:type="spellEnd"/>
            <w:r w:rsidRPr="000D42D9">
              <w:rPr>
                <w:rStyle w:val="AERtextsize8"/>
              </w:rPr>
              <w:t xml:space="preserve"> three phase WC</w:t>
            </w:r>
          </w:p>
        </w:tc>
        <w:tc>
          <w:tcPr>
            <w:tcW w:w="2268" w:type="dxa"/>
          </w:tcPr>
          <w:p w:rsidR="00EB6E3E" w:rsidRPr="000D42D9" w:rsidRDefault="00EB6E3E" w:rsidP="00F203C2">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0D42D9">
              <w:rPr>
                <w:rStyle w:val="AERtextsize8"/>
              </w:rPr>
              <w:t>2016–17</w:t>
            </w:r>
          </w:p>
        </w:tc>
        <w:tc>
          <w:tcPr>
            <w:tcW w:w="2974" w:type="dxa"/>
          </w:tcPr>
          <w:p w:rsidR="00EB6E3E" w:rsidRPr="000D42D9" w:rsidRDefault="00EB6E3E" w:rsidP="00F203C2">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0D42D9">
              <w:rPr>
                <w:rStyle w:val="AERtextsize8"/>
              </w:rPr>
              <w:t>684</w:t>
            </w:r>
          </w:p>
        </w:tc>
      </w:tr>
      <w:tr w:rsidR="00EB6E3E" w:rsidRPr="00EB6E3E" w:rsidTr="00EB6E3E">
        <w:trPr>
          <w:cnfStyle w:val="000000010000" w:firstRow="0" w:lastRow="0" w:firstColumn="0" w:lastColumn="0" w:oddVBand="0" w:evenVBand="0" w:oddHBand="0" w:evenHBand="1" w:firstRowFirstColumn="0" w:firstRowLastColumn="0" w:lastRowFirstColumn="0" w:lastRowLastColumn="0"/>
          <w:trHeight w:val="515"/>
        </w:trPr>
        <w:tc>
          <w:tcPr>
            <w:cnfStyle w:val="001000000000" w:firstRow="0" w:lastRow="0" w:firstColumn="1" w:lastColumn="0" w:oddVBand="0" w:evenVBand="0" w:oddHBand="0" w:evenHBand="0" w:firstRowFirstColumn="0" w:firstRowLastColumn="0" w:lastRowFirstColumn="0" w:lastRowLastColumn="0"/>
            <w:tcW w:w="3959" w:type="dxa"/>
          </w:tcPr>
          <w:p w:rsidR="00EB6E3E" w:rsidRPr="000D42D9" w:rsidRDefault="00EB6E3E" w:rsidP="007848A6">
            <w:pPr>
              <w:pStyle w:val="AERtabletextleft"/>
              <w:rPr>
                <w:rStyle w:val="AERtextsize8"/>
              </w:rPr>
            </w:pPr>
            <w:proofErr w:type="spellStart"/>
            <w:r w:rsidRPr="000D42D9">
              <w:rPr>
                <w:rStyle w:val="AERtextsize8"/>
              </w:rPr>
              <w:t>Calmu</w:t>
            </w:r>
            <w:proofErr w:type="spellEnd"/>
            <w:r w:rsidRPr="000D42D9">
              <w:rPr>
                <w:rStyle w:val="AERtextsize8"/>
              </w:rPr>
              <w:t xml:space="preserve"> three phase CT</w:t>
            </w:r>
          </w:p>
        </w:tc>
        <w:tc>
          <w:tcPr>
            <w:tcW w:w="2268" w:type="dxa"/>
          </w:tcPr>
          <w:p w:rsidR="00EB6E3E" w:rsidRPr="000D42D9" w:rsidRDefault="00EB6E3E" w:rsidP="00F203C2">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0D42D9">
              <w:rPr>
                <w:rStyle w:val="AERtextsize8"/>
              </w:rPr>
              <w:t>2016–17</w:t>
            </w:r>
          </w:p>
        </w:tc>
        <w:tc>
          <w:tcPr>
            <w:tcW w:w="2974" w:type="dxa"/>
          </w:tcPr>
          <w:p w:rsidR="00EB6E3E" w:rsidRPr="000D42D9" w:rsidRDefault="00EB6E3E" w:rsidP="00F203C2">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0D42D9">
              <w:rPr>
                <w:rStyle w:val="AERtextsize8"/>
              </w:rPr>
              <w:t>4</w:t>
            </w:r>
          </w:p>
        </w:tc>
      </w:tr>
      <w:tr w:rsidR="00EB6E3E" w:rsidRPr="00EB6E3E" w:rsidTr="00EB6E3E">
        <w:trPr>
          <w:trHeight w:val="515"/>
        </w:trPr>
        <w:tc>
          <w:tcPr>
            <w:cnfStyle w:val="001000000000" w:firstRow="0" w:lastRow="0" w:firstColumn="1" w:lastColumn="0" w:oddVBand="0" w:evenVBand="0" w:oddHBand="0" w:evenHBand="0" w:firstRowFirstColumn="0" w:firstRowLastColumn="0" w:lastRowFirstColumn="0" w:lastRowLastColumn="0"/>
            <w:tcW w:w="3959" w:type="dxa"/>
          </w:tcPr>
          <w:p w:rsidR="00EB6E3E" w:rsidRPr="000D42D9" w:rsidRDefault="00EB6E3E" w:rsidP="007848A6">
            <w:pPr>
              <w:pStyle w:val="AERtabletextleft"/>
              <w:rPr>
                <w:rStyle w:val="AERtextsize8"/>
              </w:rPr>
            </w:pPr>
            <w:r w:rsidRPr="000D42D9">
              <w:rPr>
                <w:rStyle w:val="AERtextsize8"/>
              </w:rPr>
              <w:t>Sprint three phase WC</w:t>
            </w:r>
          </w:p>
        </w:tc>
        <w:tc>
          <w:tcPr>
            <w:tcW w:w="2268" w:type="dxa"/>
          </w:tcPr>
          <w:p w:rsidR="00EB6E3E" w:rsidRPr="000D42D9" w:rsidRDefault="00EB6E3E" w:rsidP="00F203C2">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0D42D9">
              <w:rPr>
                <w:rStyle w:val="AERtextsize8"/>
              </w:rPr>
              <w:t>2016–17</w:t>
            </w:r>
          </w:p>
        </w:tc>
        <w:tc>
          <w:tcPr>
            <w:tcW w:w="2974" w:type="dxa"/>
          </w:tcPr>
          <w:p w:rsidR="00EB6E3E" w:rsidRPr="000D42D9" w:rsidRDefault="00EB6E3E" w:rsidP="00F203C2">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0D42D9">
              <w:rPr>
                <w:rStyle w:val="AERtextsize8"/>
              </w:rPr>
              <w:t>187</w:t>
            </w:r>
          </w:p>
        </w:tc>
      </w:tr>
      <w:tr w:rsidR="00EB6E3E" w:rsidRPr="00EB6E3E" w:rsidTr="00EB6E3E">
        <w:trPr>
          <w:cnfStyle w:val="000000010000" w:firstRow="0" w:lastRow="0" w:firstColumn="0" w:lastColumn="0" w:oddVBand="0" w:evenVBand="0" w:oddHBand="0" w:evenHBand="1" w:firstRowFirstColumn="0" w:firstRowLastColumn="0" w:lastRowFirstColumn="0" w:lastRowLastColumn="0"/>
          <w:trHeight w:val="530"/>
        </w:trPr>
        <w:tc>
          <w:tcPr>
            <w:cnfStyle w:val="001000000000" w:firstRow="0" w:lastRow="0" w:firstColumn="1" w:lastColumn="0" w:oddVBand="0" w:evenVBand="0" w:oddHBand="0" w:evenHBand="0" w:firstRowFirstColumn="0" w:firstRowLastColumn="0" w:lastRowFirstColumn="0" w:lastRowLastColumn="0"/>
            <w:tcW w:w="3959" w:type="dxa"/>
          </w:tcPr>
          <w:p w:rsidR="00EB6E3E" w:rsidRPr="000D42D9" w:rsidRDefault="00EB6E3E" w:rsidP="007848A6">
            <w:pPr>
              <w:pStyle w:val="AERtabletextleft"/>
              <w:rPr>
                <w:rStyle w:val="AERtextsize8"/>
              </w:rPr>
            </w:pPr>
            <w:r w:rsidRPr="000D42D9">
              <w:rPr>
                <w:rStyle w:val="AERtextsize8"/>
              </w:rPr>
              <w:t>Subtotal</w:t>
            </w:r>
          </w:p>
        </w:tc>
        <w:tc>
          <w:tcPr>
            <w:tcW w:w="2268" w:type="dxa"/>
          </w:tcPr>
          <w:p w:rsidR="00EB6E3E" w:rsidRPr="000D42D9" w:rsidRDefault="00EB6E3E" w:rsidP="00F203C2">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p>
        </w:tc>
        <w:tc>
          <w:tcPr>
            <w:tcW w:w="2974" w:type="dxa"/>
          </w:tcPr>
          <w:p w:rsidR="00EB6E3E" w:rsidRPr="000D42D9" w:rsidRDefault="00EB6E3E" w:rsidP="00F203C2">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0D42D9">
              <w:rPr>
                <w:rStyle w:val="AERtextsize8"/>
              </w:rPr>
              <w:t>21 406</w:t>
            </w:r>
          </w:p>
        </w:tc>
      </w:tr>
      <w:tr w:rsidR="00EB6E3E" w:rsidRPr="00EB6E3E" w:rsidTr="00EB6E3E">
        <w:trPr>
          <w:trHeight w:val="530"/>
        </w:trPr>
        <w:tc>
          <w:tcPr>
            <w:cnfStyle w:val="001000000000" w:firstRow="0" w:lastRow="0" w:firstColumn="1" w:lastColumn="0" w:oddVBand="0" w:evenVBand="0" w:oddHBand="0" w:evenHBand="0" w:firstRowFirstColumn="0" w:firstRowLastColumn="0" w:lastRowFirstColumn="0" w:lastRowLastColumn="0"/>
            <w:tcW w:w="3959" w:type="dxa"/>
          </w:tcPr>
          <w:p w:rsidR="00EB6E3E" w:rsidRPr="000D42D9" w:rsidRDefault="00EB6E3E" w:rsidP="007848A6">
            <w:pPr>
              <w:pStyle w:val="AERtabletextleft"/>
              <w:rPr>
                <w:rStyle w:val="AERtextsize8"/>
              </w:rPr>
            </w:pPr>
            <w:r w:rsidRPr="000D42D9">
              <w:rPr>
                <w:rStyle w:val="AERtextsize8"/>
              </w:rPr>
              <w:t>Likely to fail</w:t>
            </w:r>
          </w:p>
        </w:tc>
        <w:tc>
          <w:tcPr>
            <w:tcW w:w="2268" w:type="dxa"/>
          </w:tcPr>
          <w:p w:rsidR="00EB6E3E" w:rsidRPr="000D42D9" w:rsidRDefault="00EB6E3E" w:rsidP="00F203C2">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p>
        </w:tc>
        <w:tc>
          <w:tcPr>
            <w:tcW w:w="2974" w:type="dxa"/>
          </w:tcPr>
          <w:p w:rsidR="00EB6E3E" w:rsidRPr="000D42D9" w:rsidRDefault="00EB6E3E" w:rsidP="00F203C2">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p>
        </w:tc>
      </w:tr>
      <w:tr w:rsidR="00EB6E3E" w:rsidRPr="00EB6E3E" w:rsidTr="00EB6E3E">
        <w:trPr>
          <w:cnfStyle w:val="000000010000" w:firstRow="0" w:lastRow="0" w:firstColumn="0" w:lastColumn="0" w:oddVBand="0" w:evenVBand="0" w:oddHBand="0" w:evenHBand="1" w:firstRowFirstColumn="0" w:firstRowLastColumn="0" w:lastRowFirstColumn="0" w:lastRowLastColumn="0"/>
          <w:trHeight w:val="530"/>
        </w:trPr>
        <w:tc>
          <w:tcPr>
            <w:cnfStyle w:val="001000000000" w:firstRow="0" w:lastRow="0" w:firstColumn="1" w:lastColumn="0" w:oddVBand="0" w:evenVBand="0" w:oddHBand="0" w:evenHBand="0" w:firstRowFirstColumn="0" w:firstRowLastColumn="0" w:lastRowFirstColumn="0" w:lastRowLastColumn="0"/>
            <w:tcW w:w="3959" w:type="dxa"/>
          </w:tcPr>
          <w:p w:rsidR="00EB6E3E" w:rsidRPr="000D42D9" w:rsidRDefault="00571196" w:rsidP="007848A6">
            <w:pPr>
              <w:pStyle w:val="AERtabletextleft"/>
              <w:rPr>
                <w:rStyle w:val="AERtextsize8"/>
              </w:rPr>
            </w:pPr>
            <w:r w:rsidRPr="000D42D9">
              <w:rPr>
                <w:rStyle w:val="AERtextsize8"/>
              </w:rPr>
              <w:t>WF3 1p WC</w:t>
            </w:r>
          </w:p>
        </w:tc>
        <w:tc>
          <w:tcPr>
            <w:tcW w:w="2268" w:type="dxa"/>
          </w:tcPr>
          <w:p w:rsidR="00EB6E3E" w:rsidRPr="000D42D9" w:rsidRDefault="00571196" w:rsidP="00F203C2">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0D42D9">
              <w:rPr>
                <w:rStyle w:val="AERtextsize8"/>
              </w:rPr>
              <w:t>13–14</w:t>
            </w:r>
          </w:p>
        </w:tc>
        <w:tc>
          <w:tcPr>
            <w:tcW w:w="2974" w:type="dxa"/>
          </w:tcPr>
          <w:p w:rsidR="00EB6E3E" w:rsidRPr="000D42D9" w:rsidRDefault="00571196" w:rsidP="00F203C2">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0D42D9">
              <w:rPr>
                <w:rStyle w:val="AERtextsize8"/>
              </w:rPr>
              <w:t>84 401</w:t>
            </w:r>
          </w:p>
        </w:tc>
      </w:tr>
      <w:tr w:rsidR="00EB6E3E" w:rsidRPr="00EB6E3E" w:rsidTr="00EB6E3E">
        <w:trPr>
          <w:trHeight w:val="530"/>
        </w:trPr>
        <w:tc>
          <w:tcPr>
            <w:cnfStyle w:val="001000000000" w:firstRow="0" w:lastRow="0" w:firstColumn="1" w:lastColumn="0" w:oddVBand="0" w:evenVBand="0" w:oddHBand="0" w:evenHBand="0" w:firstRowFirstColumn="0" w:firstRowLastColumn="0" w:lastRowFirstColumn="0" w:lastRowLastColumn="0"/>
            <w:tcW w:w="3959" w:type="dxa"/>
          </w:tcPr>
          <w:p w:rsidR="00EB6E3E" w:rsidRPr="000D42D9" w:rsidRDefault="00571196" w:rsidP="007848A6">
            <w:pPr>
              <w:pStyle w:val="AERtabletextleft"/>
              <w:rPr>
                <w:rStyle w:val="AERtextsize8"/>
              </w:rPr>
            </w:pPr>
            <w:r w:rsidRPr="000D42D9">
              <w:rPr>
                <w:rStyle w:val="AERtextsize8"/>
              </w:rPr>
              <w:t>SDM 1p WC 96–00</w:t>
            </w:r>
          </w:p>
        </w:tc>
        <w:tc>
          <w:tcPr>
            <w:tcW w:w="2268" w:type="dxa"/>
          </w:tcPr>
          <w:p w:rsidR="00EB6E3E" w:rsidRPr="000D42D9" w:rsidRDefault="00571196" w:rsidP="00F203C2">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0D42D9">
              <w:rPr>
                <w:rStyle w:val="AERtextsize8"/>
              </w:rPr>
              <w:t>13–14</w:t>
            </w:r>
          </w:p>
        </w:tc>
        <w:tc>
          <w:tcPr>
            <w:tcW w:w="2974" w:type="dxa"/>
          </w:tcPr>
          <w:p w:rsidR="00EB6E3E" w:rsidRPr="000D42D9" w:rsidRDefault="00571196" w:rsidP="00F203C2">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0D42D9">
              <w:rPr>
                <w:rStyle w:val="AERtextsize8"/>
              </w:rPr>
              <w:t>250</w:t>
            </w:r>
          </w:p>
        </w:tc>
      </w:tr>
      <w:tr w:rsidR="00EB6E3E" w:rsidRPr="00EB6E3E" w:rsidTr="00EB6E3E">
        <w:trPr>
          <w:cnfStyle w:val="000000010000" w:firstRow="0" w:lastRow="0" w:firstColumn="0" w:lastColumn="0" w:oddVBand="0" w:evenVBand="0" w:oddHBand="0" w:evenHBand="1" w:firstRowFirstColumn="0" w:firstRowLastColumn="0" w:lastRowFirstColumn="0" w:lastRowLastColumn="0"/>
          <w:trHeight w:val="530"/>
        </w:trPr>
        <w:tc>
          <w:tcPr>
            <w:cnfStyle w:val="001000000000" w:firstRow="0" w:lastRow="0" w:firstColumn="1" w:lastColumn="0" w:oddVBand="0" w:evenVBand="0" w:oddHBand="0" w:evenHBand="0" w:firstRowFirstColumn="0" w:firstRowLastColumn="0" w:lastRowFirstColumn="0" w:lastRowLastColumn="0"/>
            <w:tcW w:w="3959" w:type="dxa"/>
          </w:tcPr>
          <w:p w:rsidR="00EB6E3E" w:rsidRPr="000D42D9" w:rsidRDefault="00571196" w:rsidP="007848A6">
            <w:pPr>
              <w:pStyle w:val="AERtabletextleft"/>
              <w:rPr>
                <w:rStyle w:val="AERtextsize8"/>
              </w:rPr>
            </w:pPr>
            <w:r w:rsidRPr="000D42D9">
              <w:rPr>
                <w:rStyle w:val="AERtextsize8"/>
              </w:rPr>
              <w:t>SDM 3p WC 66–85</w:t>
            </w:r>
          </w:p>
        </w:tc>
        <w:tc>
          <w:tcPr>
            <w:tcW w:w="2268" w:type="dxa"/>
          </w:tcPr>
          <w:p w:rsidR="00EB6E3E" w:rsidRPr="000D42D9" w:rsidRDefault="00571196" w:rsidP="00F203C2">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0D42D9">
              <w:rPr>
                <w:rStyle w:val="AERtextsize8"/>
              </w:rPr>
              <w:t>14–15</w:t>
            </w:r>
          </w:p>
        </w:tc>
        <w:tc>
          <w:tcPr>
            <w:tcW w:w="2974" w:type="dxa"/>
          </w:tcPr>
          <w:p w:rsidR="00EB6E3E" w:rsidRPr="000D42D9" w:rsidRDefault="00571196" w:rsidP="00F203C2">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0D42D9">
              <w:rPr>
                <w:rStyle w:val="AERtextsize8"/>
              </w:rPr>
              <w:t>23 484</w:t>
            </w:r>
          </w:p>
        </w:tc>
      </w:tr>
      <w:tr w:rsidR="00EB6E3E" w:rsidRPr="00EB6E3E" w:rsidTr="00EB6E3E">
        <w:trPr>
          <w:trHeight w:val="530"/>
        </w:trPr>
        <w:tc>
          <w:tcPr>
            <w:cnfStyle w:val="001000000000" w:firstRow="0" w:lastRow="0" w:firstColumn="1" w:lastColumn="0" w:oddVBand="0" w:evenVBand="0" w:oddHBand="0" w:evenHBand="0" w:firstRowFirstColumn="0" w:firstRowLastColumn="0" w:lastRowFirstColumn="0" w:lastRowLastColumn="0"/>
            <w:tcW w:w="3959" w:type="dxa"/>
          </w:tcPr>
          <w:p w:rsidR="00EB6E3E" w:rsidRPr="000D42D9" w:rsidRDefault="00571196" w:rsidP="007848A6">
            <w:pPr>
              <w:pStyle w:val="AERtabletextleft"/>
              <w:rPr>
                <w:rStyle w:val="AERtextsize8"/>
              </w:rPr>
            </w:pPr>
            <w:r w:rsidRPr="000D42D9">
              <w:rPr>
                <w:rStyle w:val="AERtextsize8"/>
              </w:rPr>
              <w:t>HMT 1p WC</w:t>
            </w:r>
          </w:p>
        </w:tc>
        <w:tc>
          <w:tcPr>
            <w:tcW w:w="2268" w:type="dxa"/>
          </w:tcPr>
          <w:p w:rsidR="00EB6E3E" w:rsidRPr="000D42D9" w:rsidRDefault="00571196" w:rsidP="00F203C2">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0D42D9">
              <w:rPr>
                <w:rStyle w:val="AERtextsize8"/>
              </w:rPr>
              <w:t>15–16</w:t>
            </w:r>
          </w:p>
        </w:tc>
        <w:tc>
          <w:tcPr>
            <w:tcW w:w="2974" w:type="dxa"/>
          </w:tcPr>
          <w:p w:rsidR="00EB6E3E" w:rsidRPr="000D42D9" w:rsidRDefault="00571196" w:rsidP="00F203C2">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0D42D9">
              <w:rPr>
                <w:rStyle w:val="AERtextsize8"/>
              </w:rPr>
              <w:t>7 898</w:t>
            </w:r>
          </w:p>
        </w:tc>
      </w:tr>
      <w:tr w:rsidR="00EB6E3E" w:rsidRPr="00EB6E3E" w:rsidTr="00EB6E3E">
        <w:trPr>
          <w:cnfStyle w:val="000000010000" w:firstRow="0" w:lastRow="0" w:firstColumn="0" w:lastColumn="0" w:oddVBand="0" w:evenVBand="0" w:oddHBand="0" w:evenHBand="1" w:firstRowFirstColumn="0" w:firstRowLastColumn="0" w:lastRowFirstColumn="0" w:lastRowLastColumn="0"/>
          <w:trHeight w:val="530"/>
        </w:trPr>
        <w:tc>
          <w:tcPr>
            <w:cnfStyle w:val="001000000000" w:firstRow="0" w:lastRow="0" w:firstColumn="1" w:lastColumn="0" w:oddVBand="0" w:evenVBand="0" w:oddHBand="0" w:evenHBand="0" w:firstRowFirstColumn="0" w:firstRowLastColumn="0" w:lastRowFirstColumn="0" w:lastRowLastColumn="0"/>
            <w:tcW w:w="3959" w:type="dxa"/>
          </w:tcPr>
          <w:p w:rsidR="00EB6E3E" w:rsidRPr="000D42D9" w:rsidRDefault="00571196" w:rsidP="007848A6">
            <w:pPr>
              <w:pStyle w:val="AERtabletextleft"/>
              <w:rPr>
                <w:rStyle w:val="AERtextsize8"/>
              </w:rPr>
            </w:pPr>
            <w:r w:rsidRPr="000D42D9">
              <w:rPr>
                <w:rStyle w:val="AERtextsize8"/>
              </w:rPr>
              <w:t>SDM 3p CT 51–00</w:t>
            </w:r>
          </w:p>
        </w:tc>
        <w:tc>
          <w:tcPr>
            <w:tcW w:w="2268" w:type="dxa"/>
          </w:tcPr>
          <w:p w:rsidR="00EB6E3E" w:rsidRPr="000D42D9" w:rsidRDefault="00571196" w:rsidP="00F203C2">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0D42D9">
              <w:rPr>
                <w:rStyle w:val="AERtextsize8"/>
              </w:rPr>
              <w:t>15–16</w:t>
            </w:r>
          </w:p>
        </w:tc>
        <w:tc>
          <w:tcPr>
            <w:tcW w:w="2974" w:type="dxa"/>
          </w:tcPr>
          <w:p w:rsidR="00EB6E3E" w:rsidRPr="000D42D9" w:rsidRDefault="00A67002" w:rsidP="00F203C2">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0D42D9">
              <w:rPr>
                <w:rStyle w:val="AERtextsize8"/>
              </w:rPr>
              <w:t>1 471</w:t>
            </w:r>
          </w:p>
        </w:tc>
      </w:tr>
      <w:tr w:rsidR="00EB6E3E" w:rsidRPr="00EB6E3E" w:rsidTr="00EB6E3E">
        <w:trPr>
          <w:trHeight w:val="530"/>
        </w:trPr>
        <w:tc>
          <w:tcPr>
            <w:cnfStyle w:val="001000000000" w:firstRow="0" w:lastRow="0" w:firstColumn="1" w:lastColumn="0" w:oddVBand="0" w:evenVBand="0" w:oddHBand="0" w:evenHBand="0" w:firstRowFirstColumn="0" w:firstRowLastColumn="0" w:lastRowFirstColumn="0" w:lastRowLastColumn="0"/>
            <w:tcW w:w="3959" w:type="dxa"/>
          </w:tcPr>
          <w:p w:rsidR="00EB6E3E" w:rsidRPr="000D42D9" w:rsidRDefault="00A67002" w:rsidP="007848A6">
            <w:pPr>
              <w:pStyle w:val="AERtabletextleft"/>
              <w:rPr>
                <w:rStyle w:val="AERtextsize8"/>
              </w:rPr>
            </w:pPr>
            <w:r w:rsidRPr="000D42D9">
              <w:rPr>
                <w:rStyle w:val="AERtextsize8"/>
              </w:rPr>
              <w:t>SD 3p WC (6 series above)</w:t>
            </w:r>
          </w:p>
        </w:tc>
        <w:tc>
          <w:tcPr>
            <w:tcW w:w="2268" w:type="dxa"/>
          </w:tcPr>
          <w:p w:rsidR="00EB6E3E" w:rsidRPr="000D42D9" w:rsidRDefault="00A67002" w:rsidP="00F203C2">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0D42D9">
              <w:rPr>
                <w:rStyle w:val="AERtextsize8"/>
              </w:rPr>
              <w:t>16–17</w:t>
            </w:r>
          </w:p>
        </w:tc>
        <w:tc>
          <w:tcPr>
            <w:tcW w:w="2974" w:type="dxa"/>
          </w:tcPr>
          <w:p w:rsidR="00EB6E3E" w:rsidRPr="000D42D9" w:rsidRDefault="00A67002" w:rsidP="00F203C2">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0D42D9">
              <w:rPr>
                <w:rStyle w:val="AERtextsize8"/>
              </w:rPr>
              <w:t>11 515</w:t>
            </w:r>
          </w:p>
        </w:tc>
      </w:tr>
      <w:tr w:rsidR="00EB6E3E" w:rsidRPr="00EB6E3E" w:rsidTr="00EB6E3E">
        <w:trPr>
          <w:cnfStyle w:val="000000010000" w:firstRow="0" w:lastRow="0" w:firstColumn="0" w:lastColumn="0" w:oddVBand="0" w:evenVBand="0" w:oddHBand="0" w:evenHBand="1" w:firstRowFirstColumn="0" w:firstRowLastColumn="0" w:lastRowFirstColumn="0" w:lastRowLastColumn="0"/>
          <w:trHeight w:val="530"/>
        </w:trPr>
        <w:tc>
          <w:tcPr>
            <w:cnfStyle w:val="001000000000" w:firstRow="0" w:lastRow="0" w:firstColumn="1" w:lastColumn="0" w:oddVBand="0" w:evenVBand="0" w:oddHBand="0" w:evenHBand="0" w:firstRowFirstColumn="0" w:firstRowLastColumn="0" w:lastRowFirstColumn="0" w:lastRowLastColumn="0"/>
            <w:tcW w:w="3959" w:type="dxa"/>
          </w:tcPr>
          <w:p w:rsidR="00EB6E3E" w:rsidRPr="000D42D9" w:rsidRDefault="00A67002" w:rsidP="007848A6">
            <w:pPr>
              <w:pStyle w:val="AERtabletextleft"/>
              <w:rPr>
                <w:rStyle w:val="AERtextsize8"/>
              </w:rPr>
            </w:pPr>
            <w:r w:rsidRPr="000D42D9">
              <w:rPr>
                <w:rStyle w:val="AERtextsize8"/>
              </w:rPr>
              <w:t>BAZ 1p WC</w:t>
            </w:r>
          </w:p>
        </w:tc>
        <w:tc>
          <w:tcPr>
            <w:tcW w:w="2268" w:type="dxa"/>
          </w:tcPr>
          <w:p w:rsidR="00EB6E3E" w:rsidRPr="000D42D9" w:rsidRDefault="00A67002" w:rsidP="00F203C2">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0D42D9">
              <w:rPr>
                <w:rStyle w:val="AERtextsize8"/>
              </w:rPr>
              <w:t>17–18</w:t>
            </w:r>
          </w:p>
        </w:tc>
        <w:tc>
          <w:tcPr>
            <w:tcW w:w="2974" w:type="dxa"/>
          </w:tcPr>
          <w:p w:rsidR="00EB6E3E" w:rsidRPr="000D42D9" w:rsidRDefault="00A67002" w:rsidP="00F203C2">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0D42D9">
              <w:rPr>
                <w:rStyle w:val="AERtextsize8"/>
              </w:rPr>
              <w:t>51 158</w:t>
            </w:r>
          </w:p>
        </w:tc>
      </w:tr>
      <w:tr w:rsidR="00EB6E3E" w:rsidRPr="00EB6E3E" w:rsidTr="00EB6E3E">
        <w:trPr>
          <w:trHeight w:val="530"/>
        </w:trPr>
        <w:tc>
          <w:tcPr>
            <w:cnfStyle w:val="001000000000" w:firstRow="0" w:lastRow="0" w:firstColumn="1" w:lastColumn="0" w:oddVBand="0" w:evenVBand="0" w:oddHBand="0" w:evenHBand="0" w:firstRowFirstColumn="0" w:firstRowLastColumn="0" w:lastRowFirstColumn="0" w:lastRowLastColumn="0"/>
            <w:tcW w:w="3959" w:type="dxa"/>
          </w:tcPr>
          <w:p w:rsidR="00EB6E3E" w:rsidRPr="000D42D9" w:rsidRDefault="00A67002" w:rsidP="007848A6">
            <w:pPr>
              <w:pStyle w:val="AERtabletextleft"/>
              <w:rPr>
                <w:rStyle w:val="AERtextsize8"/>
              </w:rPr>
            </w:pPr>
            <w:r w:rsidRPr="000D42D9">
              <w:rPr>
                <w:rStyle w:val="AERtextsize8"/>
              </w:rPr>
              <w:t>WF2 1p WC</w:t>
            </w:r>
          </w:p>
        </w:tc>
        <w:tc>
          <w:tcPr>
            <w:tcW w:w="2268" w:type="dxa"/>
          </w:tcPr>
          <w:p w:rsidR="00EB6E3E" w:rsidRPr="000D42D9" w:rsidRDefault="00A67002" w:rsidP="00F203C2">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0D42D9">
              <w:rPr>
                <w:rStyle w:val="AERtextsize8"/>
              </w:rPr>
              <w:t>17–18</w:t>
            </w:r>
          </w:p>
        </w:tc>
        <w:tc>
          <w:tcPr>
            <w:tcW w:w="2974" w:type="dxa"/>
          </w:tcPr>
          <w:p w:rsidR="00EB6E3E" w:rsidRPr="000D42D9" w:rsidRDefault="00A67002" w:rsidP="00F203C2">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0D42D9">
              <w:rPr>
                <w:rStyle w:val="AERtextsize8"/>
              </w:rPr>
              <w:t>11 992</w:t>
            </w:r>
          </w:p>
        </w:tc>
      </w:tr>
      <w:tr w:rsidR="00EB6E3E" w:rsidRPr="00EB6E3E" w:rsidTr="00EB6E3E">
        <w:trPr>
          <w:cnfStyle w:val="000000010000" w:firstRow="0" w:lastRow="0" w:firstColumn="0" w:lastColumn="0" w:oddVBand="0" w:evenVBand="0" w:oddHBand="0" w:evenHBand="1" w:firstRowFirstColumn="0" w:firstRowLastColumn="0" w:lastRowFirstColumn="0" w:lastRowLastColumn="0"/>
          <w:trHeight w:val="530"/>
        </w:trPr>
        <w:tc>
          <w:tcPr>
            <w:cnfStyle w:val="001000000000" w:firstRow="0" w:lastRow="0" w:firstColumn="1" w:lastColumn="0" w:oddVBand="0" w:evenVBand="0" w:oddHBand="0" w:evenHBand="0" w:firstRowFirstColumn="0" w:firstRowLastColumn="0" w:lastRowFirstColumn="0" w:lastRowLastColumn="0"/>
            <w:tcW w:w="3959" w:type="dxa"/>
          </w:tcPr>
          <w:p w:rsidR="00EB6E3E" w:rsidRPr="000D42D9" w:rsidRDefault="00A67002" w:rsidP="007848A6">
            <w:pPr>
              <w:pStyle w:val="AERtabletextleft"/>
              <w:rPr>
                <w:rStyle w:val="AERtextsize8"/>
              </w:rPr>
            </w:pPr>
            <w:r w:rsidRPr="000D42D9">
              <w:rPr>
                <w:rStyle w:val="AERtextsize8"/>
              </w:rPr>
              <w:t>SD 3p CT</w:t>
            </w:r>
          </w:p>
        </w:tc>
        <w:tc>
          <w:tcPr>
            <w:tcW w:w="2268" w:type="dxa"/>
          </w:tcPr>
          <w:p w:rsidR="00EB6E3E" w:rsidRPr="000D42D9" w:rsidRDefault="00A67002" w:rsidP="00F203C2">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0D42D9">
              <w:rPr>
                <w:rStyle w:val="AERtextsize8"/>
              </w:rPr>
              <w:t>17–18</w:t>
            </w:r>
          </w:p>
        </w:tc>
        <w:tc>
          <w:tcPr>
            <w:tcW w:w="2974" w:type="dxa"/>
          </w:tcPr>
          <w:p w:rsidR="00EB6E3E" w:rsidRPr="000D42D9" w:rsidRDefault="00A67002" w:rsidP="00F203C2">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0D42D9">
              <w:rPr>
                <w:rStyle w:val="AERtextsize8"/>
              </w:rPr>
              <w:t>127</w:t>
            </w:r>
          </w:p>
        </w:tc>
      </w:tr>
      <w:tr w:rsidR="00EB6E3E" w:rsidRPr="00EB6E3E" w:rsidTr="00EB6E3E">
        <w:trPr>
          <w:trHeight w:val="530"/>
        </w:trPr>
        <w:tc>
          <w:tcPr>
            <w:cnfStyle w:val="001000000000" w:firstRow="0" w:lastRow="0" w:firstColumn="1" w:lastColumn="0" w:oddVBand="0" w:evenVBand="0" w:oddHBand="0" w:evenHBand="0" w:firstRowFirstColumn="0" w:firstRowLastColumn="0" w:lastRowFirstColumn="0" w:lastRowLastColumn="0"/>
            <w:tcW w:w="3959" w:type="dxa"/>
          </w:tcPr>
          <w:p w:rsidR="00EB6E3E" w:rsidRPr="000D42D9" w:rsidRDefault="00A67002" w:rsidP="007848A6">
            <w:pPr>
              <w:pStyle w:val="AERtabletextleft"/>
              <w:rPr>
                <w:rStyle w:val="AERtextsize8"/>
              </w:rPr>
            </w:pPr>
            <w:r w:rsidRPr="000D42D9">
              <w:rPr>
                <w:rStyle w:val="AERtextsize8"/>
              </w:rPr>
              <w:t>SDM 2p WC 76–80</w:t>
            </w:r>
          </w:p>
        </w:tc>
        <w:tc>
          <w:tcPr>
            <w:tcW w:w="2268" w:type="dxa"/>
          </w:tcPr>
          <w:p w:rsidR="00EB6E3E" w:rsidRPr="000D42D9" w:rsidRDefault="00A67002" w:rsidP="00F203C2">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0D42D9">
              <w:rPr>
                <w:rStyle w:val="AERtextsize8"/>
              </w:rPr>
              <w:t>17–18</w:t>
            </w:r>
          </w:p>
        </w:tc>
        <w:tc>
          <w:tcPr>
            <w:tcW w:w="2974" w:type="dxa"/>
          </w:tcPr>
          <w:p w:rsidR="00EB6E3E" w:rsidRPr="000D42D9" w:rsidRDefault="00A67002" w:rsidP="00F203C2">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0D42D9">
              <w:rPr>
                <w:rStyle w:val="AERtextsize8"/>
              </w:rPr>
              <w:t>592</w:t>
            </w:r>
          </w:p>
        </w:tc>
      </w:tr>
      <w:tr w:rsidR="00A67002" w:rsidRPr="00EB6E3E" w:rsidTr="00EB6E3E">
        <w:trPr>
          <w:cnfStyle w:val="000000010000" w:firstRow="0" w:lastRow="0" w:firstColumn="0" w:lastColumn="0" w:oddVBand="0" w:evenVBand="0" w:oddHBand="0" w:evenHBand="1" w:firstRowFirstColumn="0" w:firstRowLastColumn="0" w:lastRowFirstColumn="0" w:lastRowLastColumn="0"/>
          <w:trHeight w:val="530"/>
        </w:trPr>
        <w:tc>
          <w:tcPr>
            <w:cnfStyle w:val="001000000000" w:firstRow="0" w:lastRow="0" w:firstColumn="1" w:lastColumn="0" w:oddVBand="0" w:evenVBand="0" w:oddHBand="0" w:evenHBand="0" w:firstRowFirstColumn="0" w:firstRowLastColumn="0" w:lastRowFirstColumn="0" w:lastRowLastColumn="0"/>
            <w:tcW w:w="3959" w:type="dxa"/>
          </w:tcPr>
          <w:p w:rsidR="00A67002" w:rsidRPr="000D42D9" w:rsidRDefault="00A67002" w:rsidP="007848A6">
            <w:pPr>
              <w:pStyle w:val="AERtabletextleft"/>
              <w:rPr>
                <w:rStyle w:val="AERtextsize8"/>
              </w:rPr>
            </w:pPr>
            <w:r w:rsidRPr="000D42D9">
              <w:rPr>
                <w:rStyle w:val="AERtextsize8"/>
              </w:rPr>
              <w:t>SDM 2p WC 86–95</w:t>
            </w:r>
          </w:p>
        </w:tc>
        <w:tc>
          <w:tcPr>
            <w:tcW w:w="2268" w:type="dxa"/>
          </w:tcPr>
          <w:p w:rsidR="00A67002" w:rsidRPr="000D42D9" w:rsidRDefault="00A67002" w:rsidP="00F203C2">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0D42D9">
              <w:rPr>
                <w:rStyle w:val="AERtextsize8"/>
              </w:rPr>
              <w:t>17–18</w:t>
            </w:r>
          </w:p>
        </w:tc>
        <w:tc>
          <w:tcPr>
            <w:tcW w:w="2974" w:type="dxa"/>
          </w:tcPr>
          <w:p w:rsidR="00A67002" w:rsidRPr="000D42D9" w:rsidRDefault="00A67002" w:rsidP="00F203C2">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0D42D9">
              <w:rPr>
                <w:rStyle w:val="AERtextsize8"/>
              </w:rPr>
              <w:t>52</w:t>
            </w:r>
          </w:p>
        </w:tc>
      </w:tr>
      <w:tr w:rsidR="00A67002" w:rsidRPr="00EB6E3E" w:rsidTr="00EB6E3E">
        <w:trPr>
          <w:trHeight w:val="530"/>
        </w:trPr>
        <w:tc>
          <w:tcPr>
            <w:cnfStyle w:val="001000000000" w:firstRow="0" w:lastRow="0" w:firstColumn="1" w:lastColumn="0" w:oddVBand="0" w:evenVBand="0" w:oddHBand="0" w:evenHBand="0" w:firstRowFirstColumn="0" w:firstRowLastColumn="0" w:lastRowFirstColumn="0" w:lastRowLastColumn="0"/>
            <w:tcW w:w="3959" w:type="dxa"/>
          </w:tcPr>
          <w:p w:rsidR="00A67002" w:rsidRPr="000D42D9" w:rsidRDefault="00A67002" w:rsidP="007848A6">
            <w:pPr>
              <w:pStyle w:val="AERtabletextleft"/>
              <w:rPr>
                <w:rStyle w:val="AERtextsize8"/>
              </w:rPr>
            </w:pPr>
            <w:r w:rsidRPr="000D42D9">
              <w:rPr>
                <w:rStyle w:val="AERtextsize8"/>
              </w:rPr>
              <w:t>SDM 3p WC 91–95</w:t>
            </w:r>
          </w:p>
        </w:tc>
        <w:tc>
          <w:tcPr>
            <w:tcW w:w="2268" w:type="dxa"/>
          </w:tcPr>
          <w:p w:rsidR="00A67002" w:rsidRPr="000D42D9" w:rsidRDefault="00A67002" w:rsidP="00F203C2">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0D42D9">
              <w:rPr>
                <w:rStyle w:val="AERtextsize8"/>
              </w:rPr>
              <w:t>17–18</w:t>
            </w:r>
          </w:p>
        </w:tc>
        <w:tc>
          <w:tcPr>
            <w:tcW w:w="2974" w:type="dxa"/>
          </w:tcPr>
          <w:p w:rsidR="00A67002" w:rsidRPr="000D42D9" w:rsidRDefault="00A67002" w:rsidP="00F203C2">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0D42D9">
              <w:rPr>
                <w:rStyle w:val="AERtextsize8"/>
              </w:rPr>
              <w:t>382</w:t>
            </w:r>
          </w:p>
        </w:tc>
      </w:tr>
      <w:tr w:rsidR="00EB6E3E" w:rsidRPr="00EB6E3E" w:rsidTr="00EB6E3E">
        <w:trPr>
          <w:cnfStyle w:val="000000010000" w:firstRow="0" w:lastRow="0" w:firstColumn="0" w:lastColumn="0" w:oddVBand="0" w:evenVBand="0" w:oddHBand="0" w:evenHBand="1" w:firstRowFirstColumn="0" w:firstRowLastColumn="0" w:lastRowFirstColumn="0" w:lastRowLastColumn="0"/>
          <w:trHeight w:val="530"/>
        </w:trPr>
        <w:tc>
          <w:tcPr>
            <w:cnfStyle w:val="001000000000" w:firstRow="0" w:lastRow="0" w:firstColumn="1" w:lastColumn="0" w:oddVBand="0" w:evenVBand="0" w:oddHBand="0" w:evenHBand="0" w:firstRowFirstColumn="0" w:firstRowLastColumn="0" w:lastRowFirstColumn="0" w:lastRowLastColumn="0"/>
            <w:tcW w:w="3959" w:type="dxa"/>
          </w:tcPr>
          <w:p w:rsidR="00EB6E3E" w:rsidRPr="000D42D9" w:rsidRDefault="00EB6E3E" w:rsidP="007848A6">
            <w:pPr>
              <w:pStyle w:val="AERtabletextleft"/>
              <w:rPr>
                <w:rStyle w:val="AERtextsize8"/>
              </w:rPr>
            </w:pPr>
            <w:r w:rsidRPr="000D42D9">
              <w:rPr>
                <w:rStyle w:val="AERtextsize8"/>
              </w:rPr>
              <w:t>Subtotal</w:t>
            </w:r>
          </w:p>
        </w:tc>
        <w:tc>
          <w:tcPr>
            <w:tcW w:w="2268" w:type="dxa"/>
          </w:tcPr>
          <w:p w:rsidR="00EB6E3E" w:rsidRPr="000D42D9" w:rsidRDefault="00EB6E3E" w:rsidP="00F203C2">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p>
        </w:tc>
        <w:tc>
          <w:tcPr>
            <w:tcW w:w="2974" w:type="dxa"/>
          </w:tcPr>
          <w:p w:rsidR="00EB6E3E" w:rsidRPr="000D42D9" w:rsidRDefault="00EB6E3E" w:rsidP="00F203C2">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0D42D9">
              <w:rPr>
                <w:rStyle w:val="AERtextsize8"/>
              </w:rPr>
              <w:t>108 671</w:t>
            </w:r>
          </w:p>
        </w:tc>
      </w:tr>
      <w:tr w:rsidR="00EB6E3E" w:rsidRPr="00EB6E3E" w:rsidTr="00EB6E3E">
        <w:trPr>
          <w:trHeight w:val="530"/>
        </w:trPr>
        <w:tc>
          <w:tcPr>
            <w:cnfStyle w:val="001000000000" w:firstRow="0" w:lastRow="0" w:firstColumn="1" w:lastColumn="0" w:oddVBand="0" w:evenVBand="0" w:oddHBand="0" w:evenHBand="0" w:firstRowFirstColumn="0" w:firstRowLastColumn="0" w:lastRowFirstColumn="0" w:lastRowLastColumn="0"/>
            <w:tcW w:w="3959" w:type="dxa"/>
          </w:tcPr>
          <w:p w:rsidR="00EB6E3E" w:rsidRPr="000D42D9" w:rsidRDefault="00EB6E3E" w:rsidP="007848A6">
            <w:pPr>
              <w:pStyle w:val="AERtabletextleft"/>
              <w:rPr>
                <w:rStyle w:val="AERtextsize8"/>
              </w:rPr>
            </w:pPr>
            <w:r w:rsidRPr="000D42D9">
              <w:rPr>
                <w:rStyle w:val="AERtextsize8"/>
              </w:rPr>
              <w:t>Total</w:t>
            </w:r>
          </w:p>
        </w:tc>
        <w:tc>
          <w:tcPr>
            <w:tcW w:w="2268" w:type="dxa"/>
          </w:tcPr>
          <w:p w:rsidR="00EB6E3E" w:rsidRPr="000D42D9" w:rsidRDefault="00EB6E3E" w:rsidP="00F203C2">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p>
        </w:tc>
        <w:tc>
          <w:tcPr>
            <w:tcW w:w="2974" w:type="dxa"/>
          </w:tcPr>
          <w:p w:rsidR="00EB6E3E" w:rsidRPr="000D42D9" w:rsidRDefault="00EB6E3E" w:rsidP="00F203C2">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0D42D9">
              <w:rPr>
                <w:rStyle w:val="AERtextsize8"/>
              </w:rPr>
              <w:t>130 077</w:t>
            </w:r>
          </w:p>
        </w:tc>
      </w:tr>
    </w:tbl>
    <w:p w:rsidR="00EB6E3E" w:rsidRPr="00EB6E3E" w:rsidRDefault="00EB6E3E" w:rsidP="002B0DA0">
      <w:pPr>
        <w:pStyle w:val="AERtablesource"/>
      </w:pPr>
      <w:r w:rsidRPr="00EB6E3E">
        <w:t xml:space="preserve">Source: </w:t>
      </w:r>
      <w:r w:rsidR="00F0337A">
        <w:tab/>
      </w:r>
      <w:r w:rsidRPr="00EB6E3E">
        <w:t xml:space="preserve">Endeavour Energy, </w:t>
      </w:r>
      <w:r w:rsidRPr="00F0337A">
        <w:rPr>
          <w:i/>
        </w:rPr>
        <w:t>Metering replacement compliance discussion paper</w:t>
      </w:r>
      <w:r w:rsidRPr="00EB6E3E">
        <w:t>,</w:t>
      </w:r>
      <w:r w:rsidR="00F0337A">
        <w:t xml:space="preserve"> </w:t>
      </w:r>
      <w:r w:rsidR="00EF3B55">
        <w:rPr>
          <w:i/>
        </w:rPr>
        <w:t>in r</w:t>
      </w:r>
      <w:r w:rsidR="00F0337A">
        <w:rPr>
          <w:i/>
        </w:rPr>
        <w:t>esponse to information request, AER Endeavour 011,</w:t>
      </w:r>
      <w:r w:rsidRPr="00EB6E3E">
        <w:t xml:space="preserve"> </w:t>
      </w:r>
      <w:r w:rsidR="00445F97">
        <w:t xml:space="preserve">8 </w:t>
      </w:r>
      <w:r w:rsidR="00F0337A">
        <w:t>August 2014</w:t>
      </w:r>
      <w:r w:rsidRPr="00EB6E3E">
        <w:t>, p. 4.</w:t>
      </w:r>
    </w:p>
    <w:p w:rsidR="00EB6E3E" w:rsidRPr="00EB6E3E" w:rsidRDefault="00EB6E3E" w:rsidP="00EB6E3E">
      <w:r w:rsidRPr="00EB6E3E">
        <w:t xml:space="preserve">We consider Endeavour Energy’s proactive forecast of 130 077 meters to be overstated. It includes 108 671 meters which have yet to fail compliance testing. For these meters, </w:t>
      </w:r>
      <w:r w:rsidR="00E53F96">
        <w:t>Endeavour Energy</w:t>
      </w:r>
      <w:r w:rsidRPr="00EB6E3E">
        <w:t xml:space="preserve"> acknowledged that the forecast ‘is only based on assumptions on the current engineering judgment for Endeavour Energy’s meter population that are likely to fail in the near future’.</w:t>
      </w:r>
      <w:r w:rsidRPr="00BD5927">
        <w:rPr>
          <w:rStyle w:val="FootnoteReference"/>
        </w:rPr>
        <w:footnoteReference w:id="77"/>
      </w:r>
      <w:r w:rsidRPr="00EB6E3E">
        <w:t xml:space="preserve"> We do not consider this to be sufficient justification and so we substitute the forecast 130 077 replacements with an amount equal to the number of meters which have actually failed compliance testing (21 406). </w:t>
      </w:r>
      <w:r w:rsidR="00E53F96">
        <w:t>In its revised regulatory proposal, we expect Endeavour Energy to provide additional information explaining why it considers part, or all, of the remaining 108 671 meters should be replaced.</w:t>
      </w:r>
    </w:p>
    <w:p w:rsidR="00EB6E3E" w:rsidRPr="00EB6E3E" w:rsidRDefault="00EB6E3E" w:rsidP="00EB6E3E">
      <w:r w:rsidRPr="00EB6E3E">
        <w:t xml:space="preserve">Though our substitute forecast is a significant (negative) step change, Endeavour Energy’s forecast </w:t>
      </w:r>
      <w:r w:rsidR="00F0337A">
        <w:t>is</w:t>
      </w:r>
      <w:r w:rsidRPr="00EB6E3E">
        <w:t xml:space="preserve"> historically high.</w:t>
      </w:r>
      <w:r w:rsidR="00E53F96">
        <w:t xml:space="preserve"> </w:t>
      </w:r>
      <w:r w:rsidR="008243B6">
        <w:t xml:space="preserve">To put into context, </w:t>
      </w:r>
      <w:proofErr w:type="spellStart"/>
      <w:r w:rsidRPr="00EB6E3E">
        <w:t>Energeia</w:t>
      </w:r>
      <w:proofErr w:type="spellEnd"/>
      <w:r w:rsidRPr="00EB6E3E">
        <w:t>, the consultant Endeavour Energy engaged to assess its metering proposal, observed that the distributor’s total proactive forecast is about 50</w:t>
      </w:r>
      <w:r w:rsidR="008243B6">
        <w:t> </w:t>
      </w:r>
      <w:r w:rsidRPr="00EB6E3E">
        <w:t>per</w:t>
      </w:r>
      <w:r w:rsidR="008243B6">
        <w:t> </w:t>
      </w:r>
      <w:r w:rsidRPr="00EB6E3E">
        <w:t>cent more than its average annual proactive meter replacements in the 2009–14 regulatory control period.</w:t>
      </w:r>
      <w:r w:rsidRPr="00BD5927">
        <w:rPr>
          <w:rStyle w:val="FootnoteReference"/>
        </w:rPr>
        <w:footnoteReference w:id="78"/>
      </w:r>
      <w:r w:rsidR="00CA301A">
        <w:t xml:space="preserve"> </w:t>
      </w:r>
    </w:p>
    <w:p w:rsidR="00EB6E3E" w:rsidRPr="00EB6E3E" w:rsidRDefault="00EB6E3E" w:rsidP="00EB6E3E">
      <w:pPr>
        <w:rPr>
          <w:rStyle w:val="AERtextbold"/>
        </w:rPr>
      </w:pPr>
      <w:r w:rsidRPr="00EB6E3E">
        <w:rPr>
          <w:rStyle w:val="AERtextbold"/>
        </w:rPr>
        <w:t>Operating expenditure building block</w:t>
      </w:r>
    </w:p>
    <w:p w:rsidR="00BA3157" w:rsidRDefault="00EB6E3E" w:rsidP="00BA3157">
      <w:pPr>
        <w:pStyle w:val="AERbodytext"/>
        <w:keepNext/>
      </w:pPr>
      <w:r w:rsidRPr="00EB6E3E">
        <w:t>We substitute Endeavour Energy’s proposed operating expen</w:t>
      </w:r>
      <w:r w:rsidR="00250E92">
        <w:t>diture building block of $103.4</w:t>
      </w:r>
      <w:r w:rsidRPr="00EB6E3E">
        <w:t xml:space="preserve"> million for annual metering services with $6</w:t>
      </w:r>
      <w:r w:rsidR="00BA3157">
        <w:t>7</w:t>
      </w:r>
      <w:r w:rsidRPr="00EB6E3E">
        <w:t xml:space="preserve">.9 million ($2014–15). </w:t>
      </w:r>
      <w:r w:rsidR="00BA3157">
        <w:t>This is a 34 per cent reduction from the proposed amount. Though significant, it reflects the same downwards trend as our adjustment to Endeavour Energy’s proposed operating expenditure for standard control services. And while we would not necessarily expect a uniform reduction across metering and network services, there are strong commonalities as it is the same organisation with the same labour force. We are therefore satisfied that despite not using the full suite of benchmarking tools that we applied to standard control operating expenditure assessment, our draft decision on Endeavour Energy’s operating expenditure for annual metering services does better reflect the distribution business’ efficient metering operating expenditure requirements than proposed.</w:t>
      </w:r>
    </w:p>
    <w:p w:rsidR="00EB6E3E" w:rsidRPr="00EB6E3E" w:rsidRDefault="00D2749E" w:rsidP="00EB6E3E">
      <w:r>
        <w:fldChar w:fldCharType="begin"/>
      </w:r>
      <w:r>
        <w:instrText xml:space="preserve"> REF _Ref402864402 \h </w:instrText>
      </w:r>
      <w:r>
        <w:fldChar w:fldCharType="separate"/>
      </w:r>
      <w:r w:rsidRPr="00EB6E3E">
        <w:t xml:space="preserve">Figure </w:t>
      </w:r>
      <w:r>
        <w:rPr>
          <w:noProof/>
        </w:rPr>
        <w:t>16</w:t>
      </w:r>
      <w:r>
        <w:noBreakHyphen/>
      </w:r>
      <w:r>
        <w:rPr>
          <w:noProof/>
        </w:rPr>
        <w:t>4</w:t>
      </w:r>
      <w:r>
        <w:fldChar w:fldCharType="end"/>
      </w:r>
      <w:r w:rsidR="00EB6E3E" w:rsidRPr="00EB6E3E">
        <w:t xml:space="preserve"> shows Endeavour Energy's actual and proposed operating expenditure compared against our substitute forecast. We consider our substitute forecast to reasonably reflect the operating expenditure Endeavour Energy require</w:t>
      </w:r>
      <w:r w:rsidR="00250E92">
        <w:t>s in the 2014–15 and 2015–19</w:t>
      </w:r>
      <w:r w:rsidR="00EB6E3E" w:rsidRPr="00EB6E3E">
        <w:t xml:space="preserve"> regulatory control periods.</w:t>
      </w:r>
    </w:p>
    <w:p w:rsidR="00EB6E3E" w:rsidRPr="00EB6E3E" w:rsidRDefault="00EB6E3E" w:rsidP="00EB6E3E">
      <w:pPr>
        <w:pStyle w:val="Caption"/>
      </w:pPr>
      <w:bookmarkStart w:id="58" w:name="_Ref402864402"/>
      <w:bookmarkStart w:id="59" w:name="_Ref399342322"/>
      <w:r w:rsidRPr="00EB6E3E">
        <w:t xml:space="preserve">Figure </w:t>
      </w:r>
      <w:r w:rsidR="004667DE">
        <w:fldChar w:fldCharType="begin"/>
      </w:r>
      <w:r w:rsidR="004667DE">
        <w:instrText xml:space="preserve"> STYLEREF 1 \s </w:instrText>
      </w:r>
      <w:r w:rsidR="004667DE">
        <w:fldChar w:fldCharType="separate"/>
      </w:r>
      <w:r w:rsidR="003E262F">
        <w:rPr>
          <w:noProof/>
        </w:rPr>
        <w:t>16</w:t>
      </w:r>
      <w:r w:rsidR="004667DE">
        <w:rPr>
          <w:noProof/>
        </w:rPr>
        <w:fldChar w:fldCharType="end"/>
      </w:r>
      <w:r w:rsidR="003E262F">
        <w:noBreakHyphen/>
      </w:r>
      <w:r w:rsidR="004667DE">
        <w:fldChar w:fldCharType="begin"/>
      </w:r>
      <w:r w:rsidR="004667DE">
        <w:instrText xml:space="preserve"> SEQ Figure \* ARABIC \s 1 </w:instrText>
      </w:r>
      <w:r w:rsidR="004667DE">
        <w:fldChar w:fldCharType="separate"/>
      </w:r>
      <w:r w:rsidR="003E262F">
        <w:rPr>
          <w:noProof/>
        </w:rPr>
        <w:t>4</w:t>
      </w:r>
      <w:r w:rsidR="004667DE">
        <w:rPr>
          <w:noProof/>
        </w:rPr>
        <w:fldChar w:fldCharType="end"/>
      </w:r>
      <w:bookmarkEnd w:id="58"/>
      <w:bookmarkEnd w:id="59"/>
      <w:r w:rsidRPr="00EB6E3E">
        <w:tab/>
        <w:t>Endeavour Energy's proposed operating expenditure for Type 5 and 6 metering services ($ million, 2014–15)</w:t>
      </w:r>
    </w:p>
    <w:p w:rsidR="00EB6E3E" w:rsidRPr="00EB6E3E" w:rsidRDefault="00862963" w:rsidP="00EB6E3E">
      <w:r>
        <w:rPr>
          <w:noProof/>
          <w:lang w:eastAsia="en-AU"/>
        </w:rPr>
        <w:drawing>
          <wp:inline distT="0" distB="0" distL="0" distR="0" wp14:anchorId="19735562" wp14:editId="131FECA1">
            <wp:extent cx="4582584" cy="2743200"/>
            <wp:effectExtent l="0" t="0" r="8890" b="0"/>
            <wp:docPr id="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r w:rsidR="00EB6E3E" w:rsidRPr="00EB6E3E">
        <w:t xml:space="preserve">  </w:t>
      </w:r>
    </w:p>
    <w:p w:rsidR="00EB6E3E" w:rsidRPr="00EB6E3E" w:rsidRDefault="00EB6E3E" w:rsidP="00EB6E3E">
      <w:pPr>
        <w:pStyle w:val="AERtablesource"/>
      </w:pPr>
      <w:r w:rsidRPr="00EB6E3E">
        <w:t>Source:</w:t>
      </w:r>
      <w:r w:rsidRPr="00EB6E3E">
        <w:tab/>
        <w:t>AER anal</w:t>
      </w:r>
      <w:r>
        <w:t>ysis</w:t>
      </w:r>
    </w:p>
    <w:p w:rsidR="002B0DA0" w:rsidRDefault="002B0DA0" w:rsidP="000F0D7A">
      <w:pPr>
        <w:keepNext/>
        <w:rPr>
          <w:i/>
        </w:rPr>
      </w:pPr>
      <w:r>
        <w:rPr>
          <w:i/>
        </w:rPr>
        <w:t>Base expenditure</w:t>
      </w:r>
    </w:p>
    <w:p w:rsidR="002B0DA0" w:rsidRDefault="002B0DA0" w:rsidP="000F0D7A">
      <w:pPr>
        <w:keepNext/>
      </w:pPr>
      <w:r>
        <w:t xml:space="preserve">We found that Endeavour Energy’s base operating expenditure should be lower than the amount the distribution business used to develop its forecast. We arrived at this conclusion by looking at the base from two different perspectives. These were Endeavour Energy’s historical operating expenditure </w:t>
      </w:r>
      <w:r w:rsidRPr="00BB3C83">
        <w:rPr>
          <w:i/>
        </w:rPr>
        <w:t>and</w:t>
      </w:r>
      <w:r>
        <w:t xml:space="preserve"> its performance against benchmarking</w:t>
      </w:r>
      <w:r w:rsidR="00006E37">
        <w:t xml:space="preserve"> results</w:t>
      </w:r>
      <w:r>
        <w:t>. By contrast, Endeavour Energy developed its base using historical expenditure only.</w:t>
      </w:r>
      <w:r>
        <w:rPr>
          <w:rStyle w:val="FootnoteReference"/>
        </w:rPr>
        <w:footnoteReference w:id="79"/>
      </w:r>
    </w:p>
    <w:p w:rsidR="002B0DA0" w:rsidRDefault="002B0DA0" w:rsidP="002B0DA0">
      <w:r>
        <w:t xml:space="preserve">With regard to our assessment of historical expenditure, we consider </w:t>
      </w:r>
      <w:r w:rsidR="003A27E7">
        <w:t>Endeavour Energy’s</w:t>
      </w:r>
      <w:r>
        <w:t xml:space="preserve"> base should be at least as efficient as its costs in previous years. To assess this, we observed </w:t>
      </w:r>
      <w:r w:rsidR="003A27E7">
        <w:t>Endeavour Energy’s</w:t>
      </w:r>
      <w:r>
        <w:t xml:space="preserve"> operating expendit</w:t>
      </w:r>
      <w:r w:rsidR="00006E37">
        <w:t>ure in the last five</w:t>
      </w:r>
      <w:r>
        <w:t xml:space="preserve"> years for which we have actual data (200</w:t>
      </w:r>
      <w:r w:rsidR="00006E37">
        <w:t>8–09</w:t>
      </w:r>
      <w:r>
        <w:t xml:space="preserve"> to 2012–13). This is different to what </w:t>
      </w:r>
      <w:r w:rsidR="003A27E7">
        <w:t>Endeavour Energy</w:t>
      </w:r>
      <w:r>
        <w:t xml:space="preserve"> did, in that it selected a single year (2012–13) as its base. We decided against this approach. Given tha</w:t>
      </w:r>
      <w:r w:rsidR="00DF74F4">
        <w:t>t we do</w:t>
      </w:r>
      <w:r>
        <w:t xml:space="preserve"> not apply an efficiency benefit sharing scheme to alternative control services, we consider an average of multiple years to be a better measure of a business’ efficient base; it avoids any incentive to ‘load’ a single base year with expenditure going forward.</w:t>
      </w:r>
    </w:p>
    <w:p w:rsidR="004F61EB" w:rsidRDefault="002B0DA0" w:rsidP="00D03D0D">
      <w:pPr>
        <w:pStyle w:val="AERbodytext"/>
      </w:pPr>
      <w:r>
        <w:t>Using an historical average from 200</w:t>
      </w:r>
      <w:r w:rsidR="00006E37">
        <w:t>8–09</w:t>
      </w:r>
      <w:r>
        <w:t xml:space="preserve"> to 2012–13, we observed a base expenditure of $</w:t>
      </w:r>
      <w:r w:rsidR="00006E37">
        <w:t>17.3</w:t>
      </w:r>
      <w:r w:rsidR="003A27E7">
        <w:t> </w:t>
      </w:r>
      <w:r>
        <w:t xml:space="preserve">million ($2014–15). </w:t>
      </w:r>
      <w:r w:rsidR="00006E37" w:rsidRPr="00657C0C">
        <w:t xml:space="preserve">This is less than </w:t>
      </w:r>
      <w:r w:rsidR="00006E37">
        <w:t xml:space="preserve">Endeavour Energy’s </w:t>
      </w:r>
      <w:r w:rsidR="00006E37" w:rsidRPr="00657C0C">
        <w:t>proposed average annual operating expenditure allowance of $2</w:t>
      </w:r>
      <w:r w:rsidR="00006E37">
        <w:t>0</w:t>
      </w:r>
      <w:r w:rsidR="00006E37" w:rsidRPr="00657C0C">
        <w:t>.7 million ($2014–15).</w:t>
      </w:r>
      <w:r w:rsidR="00006E37">
        <w:t xml:space="preserve"> </w:t>
      </w:r>
    </w:p>
    <w:p w:rsidR="00006E37" w:rsidRDefault="00006E37" w:rsidP="002B0DA0">
      <w:pPr>
        <w:pStyle w:val="AERbodytext"/>
      </w:pPr>
      <w:r>
        <w:t>However, w</w:t>
      </w:r>
      <w:r w:rsidRPr="00C10FBE">
        <w:t>e observed that in the 20</w:t>
      </w:r>
      <w:r w:rsidR="00DF74F4">
        <w:t xml:space="preserve">14–19 regulatory control </w:t>
      </w:r>
      <w:proofErr w:type="gramStart"/>
      <w:r w:rsidR="00DF74F4">
        <w:t>period</w:t>
      </w:r>
      <w:proofErr w:type="gramEnd"/>
      <w:r w:rsidRPr="00C10FBE">
        <w:t xml:space="preserve">, </w:t>
      </w:r>
      <w:r w:rsidR="004F61EB">
        <w:t xml:space="preserve">Endeavour Energy </w:t>
      </w:r>
      <w:r w:rsidRPr="00C10FBE">
        <w:t>p</w:t>
      </w:r>
      <w:r w:rsidR="004F61EB">
        <w:t>roposed</w:t>
      </w:r>
      <w:r w:rsidR="00D03D0D">
        <w:t xml:space="preserve"> to spend on average, $22</w:t>
      </w:r>
      <w:r w:rsidRPr="00C10FBE">
        <w:t xml:space="preserve"> per customer ($2014–15) in operating expenditure. </w:t>
      </w:r>
      <w:r>
        <w:t>This</w:t>
      </w:r>
      <w:r w:rsidRPr="00C10FBE">
        <w:t xml:space="preserve"> is</w:t>
      </w:r>
      <w:r>
        <w:t xml:space="preserve"> slightly</w:t>
      </w:r>
      <w:r w:rsidRPr="00C10FBE">
        <w:t xml:space="preserve"> </w:t>
      </w:r>
      <w:r>
        <w:t>higher</w:t>
      </w:r>
      <w:r w:rsidRPr="00C10FBE">
        <w:t xml:space="preserve"> than its historical expenditure </w:t>
      </w:r>
      <w:r>
        <w:t xml:space="preserve">from 2008–09 to 2012–13, which averaged </w:t>
      </w:r>
      <w:r w:rsidR="00D03D0D">
        <w:t>$20</w:t>
      </w:r>
      <w:r w:rsidRPr="00C10FBE">
        <w:t xml:space="preserve"> per customer ($2014–15). </w:t>
      </w:r>
      <w:r>
        <w:t xml:space="preserve">This indicates the increase is not just driven by customer growth, but also implies a forecast loss of efficiency. </w:t>
      </w:r>
    </w:p>
    <w:p w:rsidR="00D03D0D" w:rsidRPr="00C10FBE" w:rsidRDefault="00D03D0D" w:rsidP="00D03D0D">
      <w:pPr>
        <w:pStyle w:val="AERbodytext"/>
      </w:pPr>
      <w:r w:rsidRPr="00C10FBE">
        <w:t xml:space="preserve">However, consistent with our approach for standard control services, we </w:t>
      </w:r>
      <w:r>
        <w:t>further examined</w:t>
      </w:r>
      <w:r w:rsidRPr="00C10FBE">
        <w:t xml:space="preserve"> the proposed base from another perspective by applying benchmarking.</w:t>
      </w:r>
      <w:r>
        <w:t xml:space="preserve"> To do this we used a partial performance indicator which</w:t>
      </w:r>
      <w:r w:rsidRPr="00C10FBE">
        <w:t xml:space="preserve"> compared </w:t>
      </w:r>
      <w:r>
        <w:t>Endeavour Energy’s</w:t>
      </w:r>
      <w:r w:rsidRPr="00C10FBE">
        <w:t xml:space="preserve"> proposed operating expenditure per customer against other </w:t>
      </w:r>
      <w:r>
        <w:t xml:space="preserve">non-Victorian </w:t>
      </w:r>
      <w:r w:rsidRPr="00C10FBE">
        <w:t xml:space="preserve">distribution businesses in the national electricity market. </w:t>
      </w:r>
    </w:p>
    <w:p w:rsidR="002B0DA0" w:rsidRDefault="002B0DA0" w:rsidP="00EB6E3E">
      <w:r>
        <w:t xml:space="preserve">When comparing </w:t>
      </w:r>
      <w:r w:rsidR="003A27E7">
        <w:t>Endeavour Energy’s</w:t>
      </w:r>
      <w:r>
        <w:t xml:space="preserve"> proposed operating expenditure to its peers, we normalised our results by accounting</w:t>
      </w:r>
      <w:r w:rsidRPr="00C10FBE">
        <w:t xml:space="preserve"> for customer density. We calculated this as the number of customers a distribution business has per kilometre of line length. We took customer density into account because, all things equal, businesses with a low customer density are likely to require higher operating expenditures. For example, this could be because of longer travel times to service customers</w:t>
      </w:r>
      <w:r w:rsidR="003A27E7">
        <w:t xml:space="preserve">. </w:t>
      </w:r>
      <w:r w:rsidR="00736A34">
        <w:fldChar w:fldCharType="begin"/>
      </w:r>
      <w:r w:rsidR="00736A34">
        <w:instrText xml:space="preserve"> REF _Ref402945896 \h </w:instrText>
      </w:r>
      <w:r w:rsidR="00736A34">
        <w:fldChar w:fldCharType="separate"/>
      </w:r>
      <w:r w:rsidR="00736A34">
        <w:t xml:space="preserve">Figure </w:t>
      </w:r>
      <w:r w:rsidR="00736A34">
        <w:rPr>
          <w:noProof/>
        </w:rPr>
        <w:t>16</w:t>
      </w:r>
      <w:r w:rsidR="00736A34">
        <w:noBreakHyphen/>
      </w:r>
      <w:r w:rsidR="00736A34">
        <w:rPr>
          <w:noProof/>
        </w:rPr>
        <w:t>5</w:t>
      </w:r>
      <w:r w:rsidR="00736A34">
        <w:fldChar w:fldCharType="end"/>
      </w:r>
      <w:r w:rsidR="003A27E7">
        <w:t xml:space="preserve"> </w:t>
      </w:r>
      <w:r>
        <w:t xml:space="preserve"> shows the results of our benchmarking. </w:t>
      </w:r>
    </w:p>
    <w:p w:rsidR="00EB6E3E" w:rsidRPr="00EB6E3E" w:rsidRDefault="003A27E7" w:rsidP="003A27E7">
      <w:pPr>
        <w:pStyle w:val="Caption"/>
      </w:pPr>
      <w:bookmarkStart w:id="60" w:name="_Ref402945896"/>
      <w:r>
        <w:t xml:space="preserve">Figure </w:t>
      </w:r>
      <w:r w:rsidR="004667DE">
        <w:fldChar w:fldCharType="begin"/>
      </w:r>
      <w:r w:rsidR="004667DE">
        <w:instrText xml:space="preserve"> STYLEREF 1 \s </w:instrText>
      </w:r>
      <w:r w:rsidR="004667DE">
        <w:fldChar w:fldCharType="separate"/>
      </w:r>
      <w:r w:rsidR="003E262F">
        <w:rPr>
          <w:noProof/>
        </w:rPr>
        <w:t>16</w:t>
      </w:r>
      <w:r w:rsidR="004667DE">
        <w:rPr>
          <w:noProof/>
        </w:rPr>
        <w:fldChar w:fldCharType="end"/>
      </w:r>
      <w:r w:rsidR="003E262F">
        <w:noBreakHyphen/>
      </w:r>
      <w:r w:rsidR="004667DE">
        <w:fldChar w:fldCharType="begin"/>
      </w:r>
      <w:r w:rsidR="004667DE">
        <w:instrText xml:space="preserve"> SEQ Figure \* ARABIC \s 1 </w:instrText>
      </w:r>
      <w:r w:rsidR="004667DE">
        <w:fldChar w:fldCharType="separate"/>
      </w:r>
      <w:r w:rsidR="003E262F">
        <w:rPr>
          <w:noProof/>
        </w:rPr>
        <w:t>5</w:t>
      </w:r>
      <w:r w:rsidR="004667DE">
        <w:rPr>
          <w:noProof/>
        </w:rPr>
        <w:fldChar w:fldCharType="end"/>
      </w:r>
      <w:bookmarkEnd w:id="60"/>
      <w:r>
        <w:tab/>
      </w:r>
      <w:r w:rsidR="00EB6E3E" w:rsidRPr="00EB6E3E">
        <w:t>Benchmarking of operating expenditure per customer ($ 2014–15)</w:t>
      </w:r>
    </w:p>
    <w:p w:rsidR="00EB6E3E" w:rsidRPr="00EB6E3E" w:rsidRDefault="00EB6E3E" w:rsidP="00EB6E3E">
      <w:r w:rsidRPr="00EB6E3E">
        <w:rPr>
          <w:noProof/>
          <w:lang w:eastAsia="en-AU"/>
        </w:rPr>
        <w:drawing>
          <wp:inline distT="0" distB="0" distL="0" distR="0" wp14:anchorId="56353DFA" wp14:editId="53978353">
            <wp:extent cx="4572000" cy="2743200"/>
            <wp:effectExtent l="0" t="0" r="0" b="0"/>
            <wp:docPr id="4"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rsidR="0045234B" w:rsidRPr="00EB6E3E" w:rsidRDefault="0045234B" w:rsidP="0045234B">
      <w:pPr>
        <w:pStyle w:val="AERtablesource"/>
      </w:pPr>
      <w:r w:rsidRPr="00EB6E3E">
        <w:t>Source:</w:t>
      </w:r>
      <w:r w:rsidRPr="00EB6E3E">
        <w:tab/>
        <w:t>AER anal</w:t>
      </w:r>
      <w:r>
        <w:t>ysis based on data from economic benchmarking RIN responses</w:t>
      </w:r>
    </w:p>
    <w:p w:rsidR="00EB6E3E" w:rsidRPr="00EB6E3E" w:rsidRDefault="00EB6E3E" w:rsidP="00EB6E3E">
      <w:r w:rsidRPr="00EB6E3E">
        <w:t>Our benchmarking shows that Endeavour Energy’s proposed operating expenditure does not reasonably reflect its likely future requirements. We would expect Endeavour Energy to require no more operating expenditure per customer than a distribution business with a similar, or less, dense network. This, nonetheless, is not the case with Endeavour Energy’s proposed metering operating expenditure requirement.</w:t>
      </w:r>
    </w:p>
    <w:p w:rsidR="00EB6E3E" w:rsidRPr="00EB6E3E" w:rsidRDefault="003A27E7" w:rsidP="00EB6E3E">
      <w:r>
        <w:t xml:space="preserve">We consider Energex to be a relevant comparator for </w:t>
      </w:r>
      <w:r w:rsidR="00F66AC3">
        <w:t>Endeavour Energy</w:t>
      </w:r>
      <w:r>
        <w:t xml:space="preserve"> because the Queensland distribution business has a similar </w:t>
      </w:r>
      <w:r w:rsidR="00D03D0D">
        <w:t>(in fact, lower) customer density. Yet</w:t>
      </w:r>
      <w:r>
        <w:t>, o</w:t>
      </w:r>
      <w:r w:rsidR="00EB6E3E" w:rsidRPr="00EB6E3E">
        <w:t xml:space="preserve">n a per customer basis we observed that Endeavour Energy’s proposed operating expenditure is more than </w:t>
      </w:r>
      <w:proofErr w:type="spellStart"/>
      <w:r w:rsidR="00EB6E3E" w:rsidRPr="00EB6E3E">
        <w:t>Energex’s</w:t>
      </w:r>
      <w:proofErr w:type="spellEnd"/>
      <w:r w:rsidR="00EB6E3E" w:rsidRPr="00EB6E3E">
        <w:t xml:space="preserve"> reported operating expenditure. In the 2014–15 and 2015–19 regulatory control periods, </w:t>
      </w:r>
      <w:r>
        <w:t>Endeavour Energy</w:t>
      </w:r>
      <w:r w:rsidRPr="00EB6E3E">
        <w:t xml:space="preserve"> </w:t>
      </w:r>
      <w:r w:rsidR="00D03D0D">
        <w:t>proposes to spend $22</w:t>
      </w:r>
      <w:r w:rsidR="00EB6E3E" w:rsidRPr="00EB6E3E">
        <w:t xml:space="preserve"> per customer. Energex,</w:t>
      </w:r>
      <w:r w:rsidR="00D03D0D">
        <w:t xml:space="preserve"> however, spends $14 per customer. Further we would expect, if anything, for Energex to have a higher per customer metering operating expenditure than Endeavour Energy. This is because Energex has a less dense network</w:t>
      </w:r>
    </w:p>
    <w:p w:rsidR="00D03D0D" w:rsidRDefault="00D03D0D" w:rsidP="00D03D0D">
      <w:pPr>
        <w:pStyle w:val="AERbodytext"/>
        <w:numPr>
          <w:ilvl w:val="0"/>
          <w:numId w:val="0"/>
        </w:numPr>
      </w:pPr>
      <w:r>
        <w:t>Our benchm</w:t>
      </w:r>
      <w:r w:rsidR="00250E92">
        <w:t>arking results, therefore, show</w:t>
      </w:r>
      <w:r>
        <w:t xml:space="preserve"> that Endeavour Energy’s proposed operating expenditure to be overstated. To more reasonably reflect a relatively more efficient business running a network with Endeavour Energy’s characteristics, we substitute the proposed base operating expenditure with an amount equal to </w:t>
      </w:r>
      <w:proofErr w:type="spellStart"/>
      <w:r>
        <w:t>Energex’s</w:t>
      </w:r>
      <w:proofErr w:type="spellEnd"/>
      <w:r>
        <w:t xml:space="preserve"> per customer spend. This is just</w:t>
      </w:r>
      <w:r w:rsidR="0045234B">
        <w:t xml:space="preserve"> a relative efficiency adjustment as it is</w:t>
      </w:r>
      <w:r>
        <w:t xml:space="preserve"> based on </w:t>
      </w:r>
      <w:proofErr w:type="spellStart"/>
      <w:r>
        <w:t>Energex’s</w:t>
      </w:r>
      <w:proofErr w:type="spellEnd"/>
      <w:r>
        <w:t xml:space="preserve"> revealed costs</w:t>
      </w:r>
      <w:r w:rsidR="0045234B">
        <w:t xml:space="preserve"> alone</w:t>
      </w:r>
      <w:r>
        <w:t xml:space="preserve">, without actually assessing the efficiency of its base operating expenditure which we will undertake when making the Queensland 2015–2020 electricity distribution determination. </w:t>
      </w:r>
    </w:p>
    <w:p w:rsidR="00D03D0D" w:rsidRDefault="00D03D0D" w:rsidP="00D03D0D">
      <w:pPr>
        <w:pStyle w:val="AERbodytext"/>
        <w:numPr>
          <w:ilvl w:val="0"/>
          <w:numId w:val="0"/>
        </w:numPr>
      </w:pPr>
      <w:r>
        <w:t>We are therefore satisfied that although our substitute is less than what Endeavour Energy proposed, it will provide the distribution business with a reasonable opportunity to recover its efficient costs.</w:t>
      </w:r>
    </w:p>
    <w:p w:rsidR="00D03D0D" w:rsidRDefault="00D03D0D" w:rsidP="00D03D0D">
      <w:pPr>
        <w:pStyle w:val="AERbodytext"/>
        <w:numPr>
          <w:ilvl w:val="0"/>
          <w:numId w:val="0"/>
        </w:numPr>
      </w:pPr>
      <w:bookmarkStart w:id="61" w:name="_Ref401851936"/>
      <w:r>
        <w:t>Our draft decision is to substitute $14 per customer</w:t>
      </w:r>
      <w:r w:rsidRPr="00FB4490">
        <w:t xml:space="preserve"> </w:t>
      </w:r>
      <w:r>
        <w:t xml:space="preserve">for Endeavour Energy’s proposed amount of $22 per customer. </w:t>
      </w:r>
      <w:r w:rsidR="00736A34">
        <w:fldChar w:fldCharType="begin"/>
      </w:r>
      <w:r w:rsidR="00736A34">
        <w:instrText xml:space="preserve"> REF _Ref403668824 \h </w:instrText>
      </w:r>
      <w:r w:rsidR="00736A34">
        <w:fldChar w:fldCharType="separate"/>
      </w:r>
      <w:r w:rsidR="00736A34" w:rsidRPr="00EB6E3E">
        <w:t xml:space="preserve">Table </w:t>
      </w:r>
      <w:r w:rsidR="00736A34">
        <w:rPr>
          <w:noProof/>
        </w:rPr>
        <w:t>16</w:t>
      </w:r>
      <w:r w:rsidR="00736A34">
        <w:noBreakHyphen/>
      </w:r>
      <w:r w:rsidR="00736A34">
        <w:rPr>
          <w:noProof/>
        </w:rPr>
        <w:t>16</w:t>
      </w:r>
      <w:r w:rsidR="00736A34">
        <w:fldChar w:fldCharType="end"/>
      </w:r>
      <w:r w:rsidR="0031432E">
        <w:t xml:space="preserve"> </w:t>
      </w:r>
      <w:r>
        <w:t xml:space="preserve">shows the effect of our draft decision. Over the 2014–15 and 2015–19 regulatory control periods, our substitute base leads to a reduction in Endeavour Energy’s proposed operating expenditure of $35.5 million ($2014–15). </w:t>
      </w:r>
    </w:p>
    <w:p w:rsidR="00EB6E3E" w:rsidRPr="00EB6E3E" w:rsidRDefault="00EB6E3E" w:rsidP="00EB6E3E">
      <w:pPr>
        <w:pStyle w:val="Caption"/>
      </w:pPr>
      <w:bookmarkStart w:id="62" w:name="_Ref403668824"/>
      <w:r w:rsidRPr="00EB6E3E">
        <w:t xml:space="preserve">Table </w:t>
      </w:r>
      <w:r w:rsidR="004667DE">
        <w:fldChar w:fldCharType="begin"/>
      </w:r>
      <w:r w:rsidR="004667DE">
        <w:instrText xml:space="preserve"> STYLEREF 1 \s </w:instrText>
      </w:r>
      <w:r w:rsidR="004667DE">
        <w:fldChar w:fldCharType="separate"/>
      </w:r>
      <w:r w:rsidR="003E262F">
        <w:rPr>
          <w:noProof/>
        </w:rPr>
        <w:t>16</w:t>
      </w:r>
      <w:r w:rsidR="004667DE">
        <w:rPr>
          <w:noProof/>
        </w:rPr>
        <w:fldChar w:fldCharType="end"/>
      </w:r>
      <w:r w:rsidR="003E262F">
        <w:noBreakHyphen/>
      </w:r>
      <w:r w:rsidR="004667DE">
        <w:fldChar w:fldCharType="begin"/>
      </w:r>
      <w:r w:rsidR="004667DE">
        <w:instrText xml:space="preserve"> SEQ Table \* ARABIC \s 1 </w:instrText>
      </w:r>
      <w:r w:rsidR="004667DE">
        <w:fldChar w:fldCharType="separate"/>
      </w:r>
      <w:r w:rsidR="003E262F">
        <w:rPr>
          <w:noProof/>
        </w:rPr>
        <w:t>16</w:t>
      </w:r>
      <w:r w:rsidR="004667DE">
        <w:rPr>
          <w:noProof/>
        </w:rPr>
        <w:fldChar w:fldCharType="end"/>
      </w:r>
      <w:bookmarkEnd w:id="61"/>
      <w:bookmarkEnd w:id="62"/>
      <w:r w:rsidR="000D42D9">
        <w:t xml:space="preserve"> </w:t>
      </w:r>
      <w:r w:rsidRPr="00EB6E3E">
        <w:t>Proposed and substitute operati</w:t>
      </w:r>
      <w:r w:rsidR="005940D4">
        <w:t xml:space="preserve">ng expenditure base ($M, </w:t>
      </w:r>
      <w:r w:rsidRPr="00EB6E3E">
        <w:t xml:space="preserve">2014–15) </w:t>
      </w:r>
    </w:p>
    <w:tbl>
      <w:tblPr>
        <w:tblStyle w:val="AERtable-numbers"/>
        <w:tblW w:w="0" w:type="auto"/>
        <w:tblLook w:val="04A0" w:firstRow="1" w:lastRow="0" w:firstColumn="1" w:lastColumn="0" w:noHBand="0" w:noVBand="1"/>
      </w:tblPr>
      <w:tblGrid>
        <w:gridCol w:w="2301"/>
        <w:gridCol w:w="2413"/>
        <w:gridCol w:w="2413"/>
        <w:gridCol w:w="2115"/>
      </w:tblGrid>
      <w:tr w:rsidR="00D20FDE" w:rsidTr="00C268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01" w:type="dxa"/>
          </w:tcPr>
          <w:p w:rsidR="00D20FDE" w:rsidRDefault="00D20FDE" w:rsidP="007848A6">
            <w:pPr>
              <w:pStyle w:val="AERtabletextleft"/>
            </w:pPr>
            <w:r>
              <w:t>Regulatory year</w:t>
            </w:r>
          </w:p>
        </w:tc>
        <w:tc>
          <w:tcPr>
            <w:tcW w:w="2413" w:type="dxa"/>
          </w:tcPr>
          <w:p w:rsidR="00D20FDE" w:rsidRDefault="00D20FDE" w:rsidP="000D42D9">
            <w:pPr>
              <w:pStyle w:val="AERtabletextright"/>
              <w:cnfStyle w:val="100000000000" w:firstRow="1" w:lastRow="0" w:firstColumn="0" w:lastColumn="0" w:oddVBand="0" w:evenVBand="0" w:oddHBand="0" w:evenHBand="0" w:firstRowFirstColumn="0" w:firstRowLastColumn="0" w:lastRowFirstColumn="0" w:lastRowLastColumn="0"/>
            </w:pPr>
            <w:r>
              <w:t xml:space="preserve">Proposed base </w:t>
            </w:r>
          </w:p>
          <w:p w:rsidR="00D20FDE" w:rsidRDefault="00D20FDE" w:rsidP="000D42D9">
            <w:pPr>
              <w:pStyle w:val="AERtabletextright"/>
              <w:cnfStyle w:val="100000000000" w:firstRow="1" w:lastRow="0" w:firstColumn="0" w:lastColumn="0" w:oddVBand="0" w:evenVBand="0" w:oddHBand="0" w:evenHBand="0" w:firstRowFirstColumn="0" w:firstRowLastColumn="0" w:lastRowFirstColumn="0" w:lastRowLastColumn="0"/>
            </w:pPr>
            <w:r>
              <w:t>($22 per customer)</w:t>
            </w:r>
          </w:p>
        </w:tc>
        <w:tc>
          <w:tcPr>
            <w:tcW w:w="2413" w:type="dxa"/>
          </w:tcPr>
          <w:p w:rsidR="00D20FDE" w:rsidRDefault="00D20FDE" w:rsidP="000D42D9">
            <w:pPr>
              <w:pStyle w:val="AERtabletextright"/>
              <w:cnfStyle w:val="100000000000" w:firstRow="1" w:lastRow="0" w:firstColumn="0" w:lastColumn="0" w:oddVBand="0" w:evenVBand="0" w:oddHBand="0" w:evenHBand="0" w:firstRowFirstColumn="0" w:firstRowLastColumn="0" w:lastRowFirstColumn="0" w:lastRowLastColumn="0"/>
            </w:pPr>
            <w:r>
              <w:t>Substitute base </w:t>
            </w:r>
          </w:p>
          <w:p w:rsidR="00D20FDE" w:rsidRDefault="00D20FDE" w:rsidP="000D42D9">
            <w:pPr>
              <w:pStyle w:val="AERtabletextright"/>
              <w:cnfStyle w:val="100000000000" w:firstRow="1" w:lastRow="0" w:firstColumn="0" w:lastColumn="0" w:oddVBand="0" w:evenVBand="0" w:oddHBand="0" w:evenHBand="0" w:firstRowFirstColumn="0" w:firstRowLastColumn="0" w:lastRowFirstColumn="0" w:lastRowLastColumn="0"/>
            </w:pPr>
            <w:r>
              <w:t xml:space="preserve">($14 per customer) </w:t>
            </w:r>
          </w:p>
        </w:tc>
        <w:tc>
          <w:tcPr>
            <w:tcW w:w="2115" w:type="dxa"/>
          </w:tcPr>
          <w:p w:rsidR="00D20FDE" w:rsidRDefault="00D20FDE" w:rsidP="000D42D9">
            <w:pPr>
              <w:pStyle w:val="AERtabletextright"/>
              <w:cnfStyle w:val="100000000000" w:firstRow="1" w:lastRow="0" w:firstColumn="0" w:lastColumn="0" w:oddVBand="0" w:evenVBand="0" w:oddHBand="0" w:evenHBand="0" w:firstRowFirstColumn="0" w:firstRowLastColumn="0" w:lastRowFirstColumn="0" w:lastRowLastColumn="0"/>
            </w:pPr>
            <w:r>
              <w:t>Difference</w:t>
            </w:r>
          </w:p>
        </w:tc>
      </w:tr>
      <w:tr w:rsidR="00D20FDE" w:rsidTr="00C26877">
        <w:tc>
          <w:tcPr>
            <w:cnfStyle w:val="001000000000" w:firstRow="0" w:lastRow="0" w:firstColumn="1" w:lastColumn="0" w:oddVBand="0" w:evenVBand="0" w:oddHBand="0" w:evenHBand="0" w:firstRowFirstColumn="0" w:firstRowLastColumn="0" w:lastRowFirstColumn="0" w:lastRowLastColumn="0"/>
            <w:tcW w:w="2301" w:type="dxa"/>
          </w:tcPr>
          <w:p w:rsidR="00D20FDE" w:rsidRDefault="00D20FDE" w:rsidP="007848A6">
            <w:pPr>
              <w:pStyle w:val="AERtabletextleft"/>
            </w:pPr>
            <w:r>
              <w:t>2014–15</w:t>
            </w:r>
          </w:p>
          <w:p w:rsidR="00D20FDE" w:rsidRDefault="00D20FDE" w:rsidP="007848A6">
            <w:pPr>
              <w:pStyle w:val="AERtabletextleft"/>
            </w:pPr>
            <w:r>
              <w:t>(9</w:t>
            </w:r>
            <w:r w:rsidR="00C16397">
              <w:t xml:space="preserve">23 022 </w:t>
            </w:r>
            <w:r>
              <w:t>customers)</w:t>
            </w:r>
          </w:p>
        </w:tc>
        <w:tc>
          <w:tcPr>
            <w:tcW w:w="2413" w:type="dxa"/>
          </w:tcPr>
          <w:p w:rsidR="00D20FDE" w:rsidRDefault="00250E92" w:rsidP="000D42D9">
            <w:pPr>
              <w:pStyle w:val="AERtabletextright"/>
              <w:cnfStyle w:val="000000000000" w:firstRow="0" w:lastRow="0" w:firstColumn="0" w:lastColumn="0" w:oddVBand="0" w:evenVBand="0" w:oddHBand="0" w:evenHBand="0" w:firstRowFirstColumn="0" w:firstRowLastColumn="0" w:lastRowFirstColumn="0" w:lastRowLastColumn="0"/>
            </w:pPr>
            <w:r>
              <w:t>19.9</w:t>
            </w:r>
          </w:p>
        </w:tc>
        <w:tc>
          <w:tcPr>
            <w:tcW w:w="2413" w:type="dxa"/>
          </w:tcPr>
          <w:p w:rsidR="00D20FDE" w:rsidRDefault="00250E92" w:rsidP="000D42D9">
            <w:pPr>
              <w:pStyle w:val="AERtabletextright"/>
              <w:cnfStyle w:val="000000000000" w:firstRow="0" w:lastRow="0" w:firstColumn="0" w:lastColumn="0" w:oddVBand="0" w:evenVBand="0" w:oddHBand="0" w:evenHBand="0" w:firstRowFirstColumn="0" w:firstRowLastColumn="0" w:lastRowFirstColumn="0" w:lastRowLastColumn="0"/>
            </w:pPr>
            <w:r>
              <w:t>13.2</w:t>
            </w:r>
          </w:p>
        </w:tc>
        <w:tc>
          <w:tcPr>
            <w:tcW w:w="2115" w:type="dxa"/>
          </w:tcPr>
          <w:p w:rsidR="00D20FDE" w:rsidRDefault="00250E92" w:rsidP="000D42D9">
            <w:pPr>
              <w:pStyle w:val="AERtabletextright"/>
              <w:cnfStyle w:val="000000000000" w:firstRow="0" w:lastRow="0" w:firstColumn="0" w:lastColumn="0" w:oddVBand="0" w:evenVBand="0" w:oddHBand="0" w:evenHBand="0" w:firstRowFirstColumn="0" w:firstRowLastColumn="0" w:lastRowFirstColumn="0" w:lastRowLastColumn="0"/>
            </w:pPr>
            <w:r>
              <w:t>–6.7</w:t>
            </w:r>
          </w:p>
        </w:tc>
      </w:tr>
      <w:tr w:rsidR="00D20FDE" w:rsidTr="00C268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01" w:type="dxa"/>
          </w:tcPr>
          <w:p w:rsidR="00D20FDE" w:rsidRDefault="00D20FDE" w:rsidP="007848A6">
            <w:pPr>
              <w:pStyle w:val="AERtabletextleft"/>
            </w:pPr>
            <w:r>
              <w:t>2015–16</w:t>
            </w:r>
          </w:p>
          <w:p w:rsidR="00D20FDE" w:rsidRDefault="00D20FDE" w:rsidP="007848A6">
            <w:pPr>
              <w:pStyle w:val="AERtabletextleft"/>
            </w:pPr>
            <w:r>
              <w:t>(</w:t>
            </w:r>
            <w:r w:rsidR="00C16397">
              <w:t xml:space="preserve">934 240 </w:t>
            </w:r>
            <w:r>
              <w:t>customers)</w:t>
            </w:r>
          </w:p>
        </w:tc>
        <w:tc>
          <w:tcPr>
            <w:tcW w:w="2413" w:type="dxa"/>
          </w:tcPr>
          <w:p w:rsidR="00D20FDE" w:rsidRDefault="00250E92" w:rsidP="000D42D9">
            <w:pPr>
              <w:pStyle w:val="AERtabletextright"/>
              <w:cnfStyle w:val="000000010000" w:firstRow="0" w:lastRow="0" w:firstColumn="0" w:lastColumn="0" w:oddVBand="0" w:evenVBand="0" w:oddHBand="0" w:evenHBand="1" w:firstRowFirstColumn="0" w:firstRowLastColumn="0" w:lastRowFirstColumn="0" w:lastRowLastColumn="0"/>
            </w:pPr>
            <w:r>
              <w:t>20.2</w:t>
            </w:r>
          </w:p>
        </w:tc>
        <w:tc>
          <w:tcPr>
            <w:tcW w:w="2413" w:type="dxa"/>
          </w:tcPr>
          <w:p w:rsidR="00D20FDE" w:rsidRDefault="00250E92" w:rsidP="000D42D9">
            <w:pPr>
              <w:pStyle w:val="AERtabletextright"/>
              <w:cnfStyle w:val="000000010000" w:firstRow="0" w:lastRow="0" w:firstColumn="0" w:lastColumn="0" w:oddVBand="0" w:evenVBand="0" w:oddHBand="0" w:evenHBand="1" w:firstRowFirstColumn="0" w:firstRowLastColumn="0" w:lastRowFirstColumn="0" w:lastRowLastColumn="0"/>
            </w:pPr>
            <w:r>
              <w:t>13.4</w:t>
            </w:r>
          </w:p>
        </w:tc>
        <w:tc>
          <w:tcPr>
            <w:tcW w:w="2115" w:type="dxa"/>
          </w:tcPr>
          <w:p w:rsidR="00D20FDE" w:rsidRDefault="00250E92" w:rsidP="000D42D9">
            <w:pPr>
              <w:pStyle w:val="AERtabletextright"/>
              <w:cnfStyle w:val="000000010000" w:firstRow="0" w:lastRow="0" w:firstColumn="0" w:lastColumn="0" w:oddVBand="0" w:evenVBand="0" w:oddHBand="0" w:evenHBand="1" w:firstRowFirstColumn="0" w:firstRowLastColumn="0" w:lastRowFirstColumn="0" w:lastRowLastColumn="0"/>
            </w:pPr>
            <w:r>
              <w:t>–6.7</w:t>
            </w:r>
          </w:p>
        </w:tc>
      </w:tr>
      <w:tr w:rsidR="00D20FDE" w:rsidTr="00C26877">
        <w:tc>
          <w:tcPr>
            <w:cnfStyle w:val="001000000000" w:firstRow="0" w:lastRow="0" w:firstColumn="1" w:lastColumn="0" w:oddVBand="0" w:evenVBand="0" w:oddHBand="0" w:evenHBand="0" w:firstRowFirstColumn="0" w:firstRowLastColumn="0" w:lastRowFirstColumn="0" w:lastRowLastColumn="0"/>
            <w:tcW w:w="2301" w:type="dxa"/>
          </w:tcPr>
          <w:p w:rsidR="00D20FDE" w:rsidRDefault="00D20FDE" w:rsidP="007848A6">
            <w:pPr>
              <w:pStyle w:val="AERtabletextleft"/>
            </w:pPr>
            <w:r>
              <w:t>2016–17</w:t>
            </w:r>
          </w:p>
          <w:p w:rsidR="00D20FDE" w:rsidRDefault="00D20FDE" w:rsidP="007848A6">
            <w:pPr>
              <w:pStyle w:val="AERtabletextleft"/>
            </w:pPr>
            <w:r>
              <w:t>(</w:t>
            </w:r>
            <w:r w:rsidR="00C16397">
              <w:t xml:space="preserve">945 825 </w:t>
            </w:r>
            <w:r>
              <w:t>customers)</w:t>
            </w:r>
          </w:p>
        </w:tc>
        <w:tc>
          <w:tcPr>
            <w:tcW w:w="2413" w:type="dxa"/>
          </w:tcPr>
          <w:p w:rsidR="00D20FDE" w:rsidRDefault="00250E92" w:rsidP="000D42D9">
            <w:pPr>
              <w:pStyle w:val="AERtabletextright"/>
              <w:cnfStyle w:val="000000000000" w:firstRow="0" w:lastRow="0" w:firstColumn="0" w:lastColumn="0" w:oddVBand="0" w:evenVBand="0" w:oddHBand="0" w:evenHBand="0" w:firstRowFirstColumn="0" w:firstRowLastColumn="0" w:lastRowFirstColumn="0" w:lastRowLastColumn="0"/>
            </w:pPr>
            <w:r>
              <w:t>20.9</w:t>
            </w:r>
          </w:p>
        </w:tc>
        <w:tc>
          <w:tcPr>
            <w:tcW w:w="2413" w:type="dxa"/>
          </w:tcPr>
          <w:p w:rsidR="00D20FDE" w:rsidRDefault="00250E92" w:rsidP="000D42D9">
            <w:pPr>
              <w:pStyle w:val="AERtabletextright"/>
              <w:cnfStyle w:val="000000000000" w:firstRow="0" w:lastRow="0" w:firstColumn="0" w:lastColumn="0" w:oddVBand="0" w:evenVBand="0" w:oddHBand="0" w:evenHBand="0" w:firstRowFirstColumn="0" w:firstRowLastColumn="0" w:lastRowFirstColumn="0" w:lastRowLastColumn="0"/>
            </w:pPr>
            <w:r>
              <w:t>13.6</w:t>
            </w:r>
          </w:p>
        </w:tc>
        <w:tc>
          <w:tcPr>
            <w:tcW w:w="2115" w:type="dxa"/>
          </w:tcPr>
          <w:p w:rsidR="00D20FDE" w:rsidRDefault="00250E92" w:rsidP="000D42D9">
            <w:pPr>
              <w:pStyle w:val="AERtabletextright"/>
              <w:cnfStyle w:val="000000000000" w:firstRow="0" w:lastRow="0" w:firstColumn="0" w:lastColumn="0" w:oddVBand="0" w:evenVBand="0" w:oddHBand="0" w:evenHBand="0" w:firstRowFirstColumn="0" w:firstRowLastColumn="0" w:lastRowFirstColumn="0" w:lastRowLastColumn="0"/>
            </w:pPr>
            <w:r>
              <w:t>–7.3</w:t>
            </w:r>
          </w:p>
        </w:tc>
      </w:tr>
      <w:tr w:rsidR="00D20FDE" w:rsidTr="00C268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01" w:type="dxa"/>
          </w:tcPr>
          <w:p w:rsidR="00D20FDE" w:rsidRDefault="00D20FDE" w:rsidP="007848A6">
            <w:pPr>
              <w:pStyle w:val="AERtabletextleft"/>
            </w:pPr>
            <w:r>
              <w:t>2017–18</w:t>
            </w:r>
          </w:p>
          <w:p w:rsidR="00D20FDE" w:rsidRDefault="00D20FDE" w:rsidP="007848A6">
            <w:pPr>
              <w:pStyle w:val="AERtabletextleft"/>
            </w:pPr>
            <w:r>
              <w:t>(</w:t>
            </w:r>
            <w:r w:rsidR="00C16397">
              <w:t xml:space="preserve">958 037 </w:t>
            </w:r>
            <w:r>
              <w:t>customers)</w:t>
            </w:r>
          </w:p>
        </w:tc>
        <w:tc>
          <w:tcPr>
            <w:tcW w:w="2413" w:type="dxa"/>
          </w:tcPr>
          <w:p w:rsidR="00D20FDE" w:rsidRDefault="00250E92" w:rsidP="000D42D9">
            <w:pPr>
              <w:pStyle w:val="AERtabletextright"/>
              <w:cnfStyle w:val="000000010000" w:firstRow="0" w:lastRow="0" w:firstColumn="0" w:lastColumn="0" w:oddVBand="0" w:evenVBand="0" w:oddHBand="0" w:evenHBand="1" w:firstRowFirstColumn="0" w:firstRowLastColumn="0" w:lastRowFirstColumn="0" w:lastRowLastColumn="0"/>
            </w:pPr>
            <w:r>
              <w:t>21.0</w:t>
            </w:r>
          </w:p>
        </w:tc>
        <w:tc>
          <w:tcPr>
            <w:tcW w:w="2413" w:type="dxa"/>
          </w:tcPr>
          <w:p w:rsidR="00D20FDE" w:rsidRDefault="00250E92" w:rsidP="000D42D9">
            <w:pPr>
              <w:pStyle w:val="AERtabletextright"/>
              <w:cnfStyle w:val="000000010000" w:firstRow="0" w:lastRow="0" w:firstColumn="0" w:lastColumn="0" w:oddVBand="0" w:evenVBand="0" w:oddHBand="0" w:evenHBand="1" w:firstRowFirstColumn="0" w:firstRowLastColumn="0" w:lastRowFirstColumn="0" w:lastRowLastColumn="0"/>
            </w:pPr>
            <w:r>
              <w:t>13.8</w:t>
            </w:r>
          </w:p>
        </w:tc>
        <w:tc>
          <w:tcPr>
            <w:tcW w:w="2115" w:type="dxa"/>
          </w:tcPr>
          <w:p w:rsidR="00D20FDE" w:rsidRDefault="00250E92" w:rsidP="000D42D9">
            <w:pPr>
              <w:pStyle w:val="AERtabletextright"/>
              <w:cnfStyle w:val="000000010000" w:firstRow="0" w:lastRow="0" w:firstColumn="0" w:lastColumn="0" w:oddVBand="0" w:evenVBand="0" w:oddHBand="0" w:evenHBand="1" w:firstRowFirstColumn="0" w:firstRowLastColumn="0" w:lastRowFirstColumn="0" w:lastRowLastColumn="0"/>
            </w:pPr>
            <w:r>
              <w:t>–7.2</w:t>
            </w:r>
          </w:p>
        </w:tc>
      </w:tr>
      <w:tr w:rsidR="00D20FDE" w:rsidTr="00C26877">
        <w:tc>
          <w:tcPr>
            <w:cnfStyle w:val="001000000000" w:firstRow="0" w:lastRow="0" w:firstColumn="1" w:lastColumn="0" w:oddVBand="0" w:evenVBand="0" w:oddHBand="0" w:evenHBand="0" w:firstRowFirstColumn="0" w:firstRowLastColumn="0" w:lastRowFirstColumn="0" w:lastRowLastColumn="0"/>
            <w:tcW w:w="2301" w:type="dxa"/>
          </w:tcPr>
          <w:p w:rsidR="00D20FDE" w:rsidRDefault="00D20FDE" w:rsidP="007848A6">
            <w:pPr>
              <w:pStyle w:val="AERtabletextleft"/>
            </w:pPr>
            <w:r>
              <w:t>2018–19</w:t>
            </w:r>
          </w:p>
          <w:p w:rsidR="00D20FDE" w:rsidRDefault="00D20FDE" w:rsidP="007848A6">
            <w:pPr>
              <w:pStyle w:val="AERtabletextleft"/>
            </w:pPr>
            <w:r>
              <w:t>(</w:t>
            </w:r>
            <w:r w:rsidR="00C16397">
              <w:t xml:space="preserve">971 948 </w:t>
            </w:r>
            <w:r>
              <w:t>customers)</w:t>
            </w:r>
          </w:p>
        </w:tc>
        <w:tc>
          <w:tcPr>
            <w:tcW w:w="2413" w:type="dxa"/>
          </w:tcPr>
          <w:p w:rsidR="00D20FDE" w:rsidRDefault="00250E92" w:rsidP="000D42D9">
            <w:pPr>
              <w:pStyle w:val="AERtabletextright"/>
              <w:cnfStyle w:val="000000000000" w:firstRow="0" w:lastRow="0" w:firstColumn="0" w:lastColumn="0" w:oddVBand="0" w:evenVBand="0" w:oddHBand="0" w:evenHBand="0" w:firstRowFirstColumn="0" w:firstRowLastColumn="0" w:lastRowFirstColumn="0" w:lastRowLastColumn="0"/>
            </w:pPr>
            <w:r>
              <w:t>21.5</w:t>
            </w:r>
          </w:p>
        </w:tc>
        <w:tc>
          <w:tcPr>
            <w:tcW w:w="2413" w:type="dxa"/>
          </w:tcPr>
          <w:p w:rsidR="00D20FDE" w:rsidRDefault="00250E92" w:rsidP="000D42D9">
            <w:pPr>
              <w:pStyle w:val="AERtabletextright"/>
              <w:cnfStyle w:val="000000000000" w:firstRow="0" w:lastRow="0" w:firstColumn="0" w:lastColumn="0" w:oddVBand="0" w:evenVBand="0" w:oddHBand="0" w:evenHBand="0" w:firstRowFirstColumn="0" w:firstRowLastColumn="0" w:lastRowFirstColumn="0" w:lastRowLastColumn="0"/>
            </w:pPr>
            <w:r>
              <w:t>14.0</w:t>
            </w:r>
          </w:p>
        </w:tc>
        <w:tc>
          <w:tcPr>
            <w:tcW w:w="2115" w:type="dxa"/>
          </w:tcPr>
          <w:p w:rsidR="00D20FDE" w:rsidRDefault="00250E92" w:rsidP="000D42D9">
            <w:pPr>
              <w:pStyle w:val="AERtabletextright"/>
              <w:cnfStyle w:val="000000000000" w:firstRow="0" w:lastRow="0" w:firstColumn="0" w:lastColumn="0" w:oddVBand="0" w:evenVBand="0" w:oddHBand="0" w:evenHBand="0" w:firstRowFirstColumn="0" w:firstRowLastColumn="0" w:lastRowFirstColumn="0" w:lastRowLastColumn="0"/>
            </w:pPr>
            <w:r>
              <w:t>–7.5</w:t>
            </w:r>
          </w:p>
        </w:tc>
      </w:tr>
      <w:tr w:rsidR="00D20FDE" w:rsidRPr="00962C49" w:rsidTr="00C268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01" w:type="dxa"/>
          </w:tcPr>
          <w:p w:rsidR="00D20FDE" w:rsidRPr="00962C49" w:rsidRDefault="00D20FDE" w:rsidP="007848A6">
            <w:pPr>
              <w:pStyle w:val="AERtabletextleft"/>
            </w:pPr>
            <w:r w:rsidRPr="00962C49">
              <w:t>Total</w:t>
            </w:r>
          </w:p>
        </w:tc>
        <w:tc>
          <w:tcPr>
            <w:tcW w:w="2413" w:type="dxa"/>
          </w:tcPr>
          <w:p w:rsidR="00D20FDE" w:rsidRPr="00962C49" w:rsidRDefault="00250E92" w:rsidP="000D42D9">
            <w:pPr>
              <w:pStyle w:val="AERtabletextright"/>
              <w:cnfStyle w:val="000000010000" w:firstRow="0" w:lastRow="0" w:firstColumn="0" w:lastColumn="0" w:oddVBand="0" w:evenVBand="0" w:oddHBand="0" w:evenHBand="1" w:firstRowFirstColumn="0" w:firstRowLastColumn="0" w:lastRowFirstColumn="0" w:lastRowLastColumn="0"/>
            </w:pPr>
            <w:r>
              <w:t>103.4</w:t>
            </w:r>
          </w:p>
        </w:tc>
        <w:tc>
          <w:tcPr>
            <w:tcW w:w="2413" w:type="dxa"/>
          </w:tcPr>
          <w:p w:rsidR="00D20FDE" w:rsidRPr="00962C49" w:rsidRDefault="00250E92" w:rsidP="000D42D9">
            <w:pPr>
              <w:pStyle w:val="AERtabletextright"/>
              <w:cnfStyle w:val="000000010000" w:firstRow="0" w:lastRow="0" w:firstColumn="0" w:lastColumn="0" w:oddVBand="0" w:evenVBand="0" w:oddHBand="0" w:evenHBand="1" w:firstRowFirstColumn="0" w:firstRowLastColumn="0" w:lastRowFirstColumn="0" w:lastRowLastColumn="0"/>
            </w:pPr>
            <w:r>
              <w:t>67.9</w:t>
            </w:r>
          </w:p>
        </w:tc>
        <w:tc>
          <w:tcPr>
            <w:tcW w:w="2115" w:type="dxa"/>
          </w:tcPr>
          <w:p w:rsidR="00D20FDE" w:rsidRPr="00962C49" w:rsidRDefault="00250E92" w:rsidP="000D42D9">
            <w:pPr>
              <w:pStyle w:val="AERtabletextright"/>
              <w:cnfStyle w:val="000000010000" w:firstRow="0" w:lastRow="0" w:firstColumn="0" w:lastColumn="0" w:oddVBand="0" w:evenVBand="0" w:oddHBand="0" w:evenHBand="1" w:firstRowFirstColumn="0" w:firstRowLastColumn="0" w:lastRowFirstColumn="0" w:lastRowLastColumn="0"/>
            </w:pPr>
            <w:r>
              <w:t>–35.5</w:t>
            </w:r>
          </w:p>
        </w:tc>
      </w:tr>
    </w:tbl>
    <w:p w:rsidR="00EB6E3E" w:rsidRPr="00EB6E3E" w:rsidRDefault="00EB6E3E" w:rsidP="00EB6E3E">
      <w:bookmarkStart w:id="63" w:name="_GoBack"/>
      <w:bookmarkEnd w:id="63"/>
    </w:p>
    <w:p w:rsidR="00921E97" w:rsidRDefault="00921E97" w:rsidP="00921E97">
      <w:pPr>
        <w:pStyle w:val="AERbodytext"/>
        <w:numPr>
          <w:ilvl w:val="0"/>
          <w:numId w:val="0"/>
        </w:numPr>
      </w:pPr>
      <w:r>
        <w:t xml:space="preserve">We acknowledge that there may be exogenous factors other than customer density which explain why Endeavour Energy’s operating expenditure per customer is higher than </w:t>
      </w:r>
      <w:proofErr w:type="spellStart"/>
      <w:r>
        <w:t>Energex’s</w:t>
      </w:r>
      <w:proofErr w:type="spellEnd"/>
      <w:r>
        <w:t>. However, these were not apparent to us and so we have not taken any into account for the purpose of identifying an efficient base.</w:t>
      </w:r>
    </w:p>
    <w:p w:rsidR="00EB6E3E" w:rsidRPr="00337A3F" w:rsidRDefault="00EB6E3E" w:rsidP="00EB6E3E">
      <w:pPr>
        <w:rPr>
          <w:rStyle w:val="AERtextitalic"/>
        </w:rPr>
      </w:pPr>
      <w:r w:rsidRPr="00337A3F">
        <w:rPr>
          <w:rStyle w:val="AERtextitalic"/>
        </w:rPr>
        <w:t>Step changes</w:t>
      </w:r>
    </w:p>
    <w:p w:rsidR="00EB6E3E" w:rsidRPr="00EB6E3E" w:rsidRDefault="00DF74F4" w:rsidP="00EB6E3E">
      <w:r>
        <w:t>We consider whether we</w:t>
      </w:r>
      <w:r w:rsidR="00EB6E3E" w:rsidRPr="00EB6E3E">
        <w:t xml:space="preserve"> should apply any step changes to the base operating expenditure we have determined as efficient for </w:t>
      </w:r>
      <w:r w:rsidR="009C4E1E">
        <w:t>Endeavour Energy</w:t>
      </w:r>
      <w:r w:rsidR="00EB6E3E" w:rsidRPr="00EB6E3E">
        <w:t xml:space="preserve">. </w:t>
      </w:r>
    </w:p>
    <w:p w:rsidR="00EB6E3E" w:rsidRPr="00EB6E3E" w:rsidRDefault="00EB6E3E" w:rsidP="00EB6E3E">
      <w:r w:rsidRPr="00EB6E3E">
        <w:t xml:space="preserve">Step changes may be positive or negative. Positive step changes are applied when costs are likely to be incurred in the forecast period, but are not captured in the base. Negative step changes are the opposite. They are applied because costs in the base will not, or are unlikely to, be incurred in the forecast period. </w:t>
      </w:r>
    </w:p>
    <w:p w:rsidR="0045234B" w:rsidRDefault="0045234B" w:rsidP="0045234B">
      <w:pPr>
        <w:pStyle w:val="AERbodytext"/>
      </w:pPr>
      <w:r>
        <w:t>Endeavour Energy state they have not applied a step change and the increase in forecast operating expenditure ‘</w:t>
      </w:r>
      <w:r w:rsidRPr="00D03D0D">
        <w:t>is a real increase driven by increases in the forecast volume of work</w:t>
      </w:r>
      <w:r>
        <w:t>’</w:t>
      </w:r>
      <w:r>
        <w:rPr>
          <w:rStyle w:val="FootnoteReference"/>
        </w:rPr>
        <w:footnoteReference w:id="80"/>
      </w:r>
      <w:r>
        <w:t xml:space="preserve"> in the 2014-19 regulatory period. </w:t>
      </w:r>
    </w:p>
    <w:p w:rsidR="00921E97" w:rsidRDefault="00921E97" w:rsidP="00921E97">
      <w:pPr>
        <w:pStyle w:val="AERbodytext"/>
        <w:numPr>
          <w:ilvl w:val="0"/>
          <w:numId w:val="0"/>
        </w:numPr>
      </w:pPr>
      <w:r>
        <w:t xml:space="preserve">Notwithstanding this, we consider that it should apply a negative step change to account for ancillary metering services as from 1 July 2015 will be reclassified to ancillary network services. Therefore, historic ancillary metering service costs should be excluded from base opex as a negative step change to accurately determine Endeavour Energy’s future metering operating expenditure allowance. We have not quantified the amount of this negative step change in our draft decision, but will apply it in our final decision. </w:t>
      </w:r>
    </w:p>
    <w:p w:rsidR="00921E97" w:rsidRDefault="00921E97" w:rsidP="00921E97">
      <w:pPr>
        <w:pStyle w:val="AERbodytext"/>
        <w:numPr>
          <w:ilvl w:val="0"/>
          <w:numId w:val="0"/>
        </w:numPr>
      </w:pPr>
      <w:r>
        <w:t xml:space="preserve">We should note that Endeavour Energy will still recover its costs for ancillary metering services. But as with all ancillary network services, this will occur as an upfront payment from a customer to </w:t>
      </w:r>
      <w:r w:rsidR="00250E92">
        <w:t>Endeavour Energy</w:t>
      </w:r>
      <w:r>
        <w:t>, rather than via the annual metering services charge.</w:t>
      </w:r>
    </w:p>
    <w:p w:rsidR="00EB6E3E" w:rsidRPr="00337A3F" w:rsidRDefault="00EB6E3E" w:rsidP="006B57F3">
      <w:pPr>
        <w:keepNext/>
        <w:rPr>
          <w:rStyle w:val="AERtextitalic"/>
        </w:rPr>
      </w:pPr>
      <w:r w:rsidRPr="00337A3F">
        <w:rPr>
          <w:rStyle w:val="AERtextitalic"/>
        </w:rPr>
        <w:t>Trend (2014–15 and 2015–19)</w:t>
      </w:r>
    </w:p>
    <w:p w:rsidR="00EB6E3E" w:rsidRPr="00EB6E3E" w:rsidRDefault="00EB6E3E" w:rsidP="006B57F3">
      <w:pPr>
        <w:keepNext/>
      </w:pPr>
      <w:r w:rsidRPr="00EB6E3E">
        <w:t>We trended forward our base, minus the negative step change for special meter reads, to derive our substitute operating expenditure forecast. In the 2014–15 and 2015–19 regulatory control periods, this arrives at a substitute forecast of $6</w:t>
      </w:r>
      <w:r w:rsidR="00921E97">
        <w:t>7</w:t>
      </w:r>
      <w:r w:rsidRPr="00EB6E3E">
        <w:t xml:space="preserve">.9 million ($2014–15). </w:t>
      </w:r>
    </w:p>
    <w:p w:rsidR="00EB6E3E" w:rsidRPr="00EB6E3E" w:rsidRDefault="00EB6E3E" w:rsidP="00EB6E3E">
      <w:r w:rsidRPr="00EB6E3E">
        <w:t>Our substitute is substantially less than</w:t>
      </w:r>
      <w:r w:rsidR="00250E92">
        <w:t xml:space="preserve"> Endeavour Energy’s</w:t>
      </w:r>
      <w:r w:rsidRPr="00EB6E3E">
        <w:t xml:space="preserve"> proposed</w:t>
      </w:r>
      <w:r w:rsidR="00250E92">
        <w:t xml:space="preserve"> $103.4 million ($2014–15)</w:t>
      </w:r>
      <w:r w:rsidRPr="00EB6E3E">
        <w:t xml:space="preserve">. However, we consider it to better reflect the distribution business’ likely future requirements. This is because, compared to </w:t>
      </w:r>
      <w:r w:rsidR="009C4E1E">
        <w:t>Endeavour Energy</w:t>
      </w:r>
      <w:r w:rsidRPr="00EB6E3E">
        <w:t xml:space="preserve">, we applied a more comprehensive forecasting methodology which included the use of benchmarking. </w:t>
      </w:r>
    </w:p>
    <w:p w:rsidR="00EB6E3E" w:rsidRPr="00337A3F" w:rsidRDefault="00B441B2" w:rsidP="00EB6E3E">
      <w:pPr>
        <w:rPr>
          <w:rStyle w:val="AERtextbold"/>
        </w:rPr>
      </w:pPr>
      <w:r>
        <w:rPr>
          <w:rStyle w:val="AERtextbold"/>
        </w:rPr>
        <w:t>Opening metering r</w:t>
      </w:r>
      <w:r w:rsidR="00EB6E3E" w:rsidRPr="00337A3F">
        <w:rPr>
          <w:rStyle w:val="AERtextbold"/>
        </w:rPr>
        <w:t>egulatory asset base</w:t>
      </w:r>
    </w:p>
    <w:p w:rsidR="00EB6E3E" w:rsidRPr="00EB6E3E" w:rsidRDefault="00EB6E3E" w:rsidP="00EB6E3E">
      <w:r w:rsidRPr="00EB6E3E">
        <w:t xml:space="preserve">We do not accept the opening metering RAB as at 1 July 2014 of $22.7 million </w:t>
      </w:r>
      <w:r w:rsidR="0045234B">
        <w:t xml:space="preserve">($ nominal) </w:t>
      </w:r>
      <w:r w:rsidRPr="00EB6E3E">
        <w:t xml:space="preserve">as separated by Endeavour Energy from the RAB for standard control services. We recalculated the amount due to changes </w:t>
      </w:r>
      <w:r w:rsidR="005940D4">
        <w:t xml:space="preserve">in the </w:t>
      </w:r>
      <w:r w:rsidR="0045234B">
        <w:t xml:space="preserve">roll forward model </w:t>
      </w:r>
      <w:r w:rsidR="005940D4">
        <w:t>for standard control services</w:t>
      </w:r>
      <w:r w:rsidRPr="00EB6E3E">
        <w:t>. However, the impact is less than $100 000 and therefore the opening metering RAB is still $22.7 million</w:t>
      </w:r>
      <w:r w:rsidR="0045234B">
        <w:t xml:space="preserve"> ($ nominal)</w:t>
      </w:r>
      <w:r w:rsidRPr="00EB6E3E">
        <w:t xml:space="preserve">. </w:t>
      </w:r>
    </w:p>
    <w:p w:rsidR="00EB6E3E" w:rsidRPr="00EB6E3E" w:rsidRDefault="00EB6E3E" w:rsidP="00EB6E3E">
      <w:r w:rsidRPr="00EB6E3E">
        <w:t xml:space="preserve">We do not accept the remaining and standard asset lives proposed by Endeavour Energy. Endeavour Energy proposed an accelerated depreciation approach with the aim of recovering the residual value of all existing meters over 5 years and any replacement meters (that is, replacements not initiated by a customer) in one year. With the opening of competition in the provision of metering services, this was intended to remove legacy assets as quickly as possible from the metering RAB and prevent replacement assets entering the metering RAB. </w:t>
      </w:r>
    </w:p>
    <w:p w:rsidR="00EB6E3E" w:rsidRPr="00EB6E3E" w:rsidRDefault="00EB6E3E" w:rsidP="00EB6E3E">
      <w:r w:rsidRPr="00EB6E3E">
        <w:t xml:space="preserve">However, we do not consider that this accelerated depreciation is efficient. It is unlikely that all meters will be provided by alternative service provides within 5 years. At that time, under Endeavour Energy’s proposal, all existing and replacement meters will be fully depreciated but still providing services. This is not an efficient long term outcome. We consider that the metering asset lives should continue to reflect the technical lives of the meters. </w:t>
      </w:r>
    </w:p>
    <w:p w:rsidR="00EB6E3E" w:rsidRPr="00EB6E3E" w:rsidRDefault="00EB6E3E" w:rsidP="00EB6E3E">
      <w:r w:rsidRPr="00EB6E3E">
        <w:t>Accordingly, we have change</w:t>
      </w:r>
      <w:r w:rsidR="00131885">
        <w:t>d</w:t>
      </w:r>
      <w:r w:rsidRPr="00EB6E3E">
        <w:t xml:space="preserve"> the remaining asset life for Endeavour Energy’s existing metering assets as at 1 July 2014 to 23 years to allow a consistent roll forward of the life from the value approved for 1 July 2009 at the 2009 determination. We have also amended the standard asset life for replacement meters to 15 years. This life is shorter than the life of 25 years approved at the 2009 determination, but that asset class included other assets such as load control, and more recent decisions have put the standard asset lives to be between </w:t>
      </w:r>
      <w:r w:rsidR="00921E97">
        <w:t>15</w:t>
      </w:r>
      <w:r w:rsidRPr="00EB6E3E">
        <w:t>–</w:t>
      </w:r>
      <w:r w:rsidR="00921E97">
        <w:t>2</w:t>
      </w:r>
      <w:r w:rsidRPr="00EB6E3E">
        <w:t>5 years depending on the mix of meter types expected to be installed. Newer electronic meters can have a technical life of between 10–20 years, and are the most readily available and therefore the most likely to be installed by Endeavour Energy. We consider 15 years to be reasonable in the circumstances.</w:t>
      </w:r>
    </w:p>
    <w:p w:rsidR="00EB6E3E" w:rsidRPr="00EB6E3E" w:rsidRDefault="00EB6E3E" w:rsidP="00EB6E3E">
      <w:r w:rsidRPr="00EB6E3E">
        <w:t xml:space="preserve">In addition, we have determined that where a customer switches service providers during the 2014–19 </w:t>
      </w:r>
      <w:proofErr w:type="gramStart"/>
      <w:r w:rsidRPr="00EB6E3E">
        <w:t>period</w:t>
      </w:r>
      <w:proofErr w:type="gramEnd"/>
      <w:r w:rsidRPr="00EB6E3E">
        <w:t xml:space="preserve">, we will allow the </w:t>
      </w:r>
      <w:r w:rsidR="005940D4">
        <w:t>distributor</w:t>
      </w:r>
      <w:r w:rsidRPr="00EB6E3E">
        <w:t xml:space="preserve"> to continue to recover the return on, and return of, capital on the existing and replacement assets t</w:t>
      </w:r>
      <w:r w:rsidR="005940D4">
        <w:t>hrough an annual addition to DUo</w:t>
      </w:r>
      <w:r w:rsidRPr="00EB6E3E">
        <w:t xml:space="preserve">S charges. Thus, the </w:t>
      </w:r>
      <w:r w:rsidR="005940D4">
        <w:t>service provider does not under-</w:t>
      </w:r>
      <w:r w:rsidRPr="00EB6E3E">
        <w:t>recover metering costs</w:t>
      </w:r>
      <w:r w:rsidR="005940D4">
        <w:t>.</w:t>
      </w:r>
      <w:r w:rsidRPr="00EB6E3E">
        <w:t xml:space="preserve"> At the end of the 2014-19 </w:t>
      </w:r>
      <w:proofErr w:type="gramStart"/>
      <w:r w:rsidRPr="00EB6E3E">
        <w:t>period</w:t>
      </w:r>
      <w:proofErr w:type="gramEnd"/>
      <w:r w:rsidRPr="00EB6E3E">
        <w:t xml:space="preserve">, the amount of residual </w:t>
      </w:r>
      <w:r w:rsidR="0045234B">
        <w:t>capital</w:t>
      </w:r>
      <w:r w:rsidRPr="00EB6E3E">
        <w:t xml:space="preserve"> costs (due to customers switching) will be known. We may then consider accelerating the depreciation of these residual metering assets. Reporting requirements will be developed for the final decision so such assets can be identified and the residual value of the metering RAB determined.</w:t>
      </w:r>
    </w:p>
    <w:p w:rsidR="00EB6E3E" w:rsidRPr="00EB6E3E" w:rsidRDefault="00EB6E3E" w:rsidP="00337A3F">
      <w:pPr>
        <w:pStyle w:val="HeadingBoldBlue"/>
      </w:pPr>
      <w:r w:rsidRPr="00EB6E3E">
        <w:t>New or upgraded connections</w:t>
      </w:r>
    </w:p>
    <w:p w:rsidR="00EB6E3E" w:rsidRPr="00EB6E3E" w:rsidRDefault="00EB6E3E" w:rsidP="00EB6E3E">
      <w:r w:rsidRPr="00EB6E3E">
        <w:t>We accept Endeavour Energy’s proposal to charge for new and upgraded connections up front because it sends efficient signals for future decision making. However, we do not accept Endeavour Energy’s proposed price caps for new and upgraded connections, which from 1 July 2015 will be recovered as an upfront charge to customers.</w:t>
      </w:r>
    </w:p>
    <w:p w:rsidR="00EB6E3E" w:rsidRPr="00EB6E3E" w:rsidRDefault="00EB6E3E" w:rsidP="00EB6E3E">
      <w:r w:rsidRPr="00EB6E3E">
        <w:t xml:space="preserve">Endeavour Energy did not include a forecast volume of new and upgraded connections for the 2015–19 regulatory control </w:t>
      </w:r>
      <w:proofErr w:type="gramStart"/>
      <w:r w:rsidRPr="00EB6E3E">
        <w:t>period</w:t>
      </w:r>
      <w:proofErr w:type="gramEnd"/>
      <w:r w:rsidRPr="00EB6E3E">
        <w:t xml:space="preserve">. Because the charge will be recovered as a ‘capital contribution’ from 1 July 2015, we consider this to be appropriate. We have therefore based our assessment of Endeavour Energy’s proposed price caps on ‘unit costs’ only. </w:t>
      </w:r>
    </w:p>
    <w:p w:rsidR="00EB6E3E" w:rsidRPr="00EB6E3E" w:rsidRDefault="00EB6E3E" w:rsidP="00EB6E3E">
      <w:r w:rsidRPr="00EB6E3E">
        <w:t xml:space="preserve">Our reasons for not accepting the material unit costs Endeavour Energy proposed are the same as those set out in our assessment of Endeavour Energy’s capital expenditure building block for the annual metering service charge. We consider the procurement process Networks NSW is running should arrive at substantial efficiencies which we are not satisfied have been reflected in the proposed material unit costs. </w:t>
      </w:r>
      <w:r w:rsidR="009C4E1E">
        <w:t>However on</w:t>
      </w:r>
      <w:r w:rsidR="00250E92">
        <w:t xml:space="preserve"> the advice of Marsden Jacob</w:t>
      </w:r>
      <w:r w:rsidRPr="00EB6E3E">
        <w:t>, we consider the non–material unit costs to be reasonable and therefore, accept them as inputs into our draft decision price caps.</w:t>
      </w:r>
    </w:p>
    <w:p w:rsidR="00EB6E3E" w:rsidRPr="00EB6E3E" w:rsidRDefault="00EB6E3E" w:rsidP="00337A3F">
      <w:pPr>
        <w:pStyle w:val="HeadingBoldBlue"/>
      </w:pPr>
      <w:r w:rsidRPr="00EB6E3E">
        <w:t>Exit fee</w:t>
      </w:r>
    </w:p>
    <w:p w:rsidR="00EB6E3E" w:rsidRPr="00EB6E3E" w:rsidRDefault="00EB6E3E" w:rsidP="00EB6E3E">
      <w:proofErr w:type="spellStart"/>
      <w:r w:rsidRPr="00EB6E3E">
        <w:t>Augrid’s</w:t>
      </w:r>
      <w:proofErr w:type="spellEnd"/>
      <w:r w:rsidRPr="00EB6E3E">
        <w:t xml:space="preserve"> proposed exit fee had two components: residual </w:t>
      </w:r>
      <w:r w:rsidR="007F0EAB">
        <w:t>capital</w:t>
      </w:r>
      <w:r w:rsidRPr="00EB6E3E">
        <w:t xml:space="preserve"> costs (‘opening RAB recovery’) and administration costs. We reject both components. Our reasons are discussed in the following sections.</w:t>
      </w:r>
    </w:p>
    <w:p w:rsidR="00EB6E3E" w:rsidRPr="00337A3F" w:rsidRDefault="00EB6E3E" w:rsidP="00EB6E3E">
      <w:pPr>
        <w:rPr>
          <w:rStyle w:val="AERtextbold"/>
        </w:rPr>
      </w:pPr>
      <w:r w:rsidRPr="00337A3F">
        <w:rPr>
          <w:rStyle w:val="AERtextbold"/>
        </w:rPr>
        <w:t xml:space="preserve">Residual </w:t>
      </w:r>
      <w:r w:rsidR="007F0EAB">
        <w:rPr>
          <w:rStyle w:val="AERtextbold"/>
        </w:rPr>
        <w:t>capital</w:t>
      </w:r>
      <w:r w:rsidRPr="00337A3F">
        <w:rPr>
          <w:rStyle w:val="AERtextbold"/>
        </w:rPr>
        <w:t xml:space="preserve"> costs</w:t>
      </w:r>
    </w:p>
    <w:p w:rsidR="00EB6E3E" w:rsidRPr="00EB6E3E" w:rsidRDefault="00EB6E3E" w:rsidP="00EB6E3E">
      <w:r w:rsidRPr="00EB6E3E">
        <w:t xml:space="preserve">We accept Endeavour Energy’s proposal to include metering RAB recovery in the annual charge for existing customers as this supports the transition to competition. It gives customers and potential entrants a transparent signal of the avoidable cost if they were to switch to unregulated meter. However, having metering RAB recovery in the annual charge means there is a risk of residual metering costs becoming stranded as customers leave (because they will stop paying the annual charge). </w:t>
      </w:r>
    </w:p>
    <w:p w:rsidR="00EB6E3E" w:rsidRPr="00EB6E3E" w:rsidRDefault="00EB6E3E" w:rsidP="00EB6E3E">
      <w:r w:rsidRPr="00EB6E3E">
        <w:t xml:space="preserve">We accept Endeavour Energy is entitled to recover these residual </w:t>
      </w:r>
      <w:r w:rsidR="007F0EAB">
        <w:t>capital</w:t>
      </w:r>
      <w:r w:rsidRPr="00EB6E3E">
        <w:t xml:space="preserve"> costs but we do not accept their proposed method of recovery through an exit fee. </w:t>
      </w:r>
    </w:p>
    <w:p w:rsidR="00EB6E3E" w:rsidRPr="00EB6E3E" w:rsidRDefault="00EB6E3E" w:rsidP="00EB6E3E">
      <w:r w:rsidRPr="00EB6E3E">
        <w:t xml:space="preserve">We consider the economically efficient investment signal to switch to unregulated metering would be to set individual exit fees based on the remaining economic value of the meter. The remaining economic value would vary with the capability of the meter (the meter type) and remaining life (the age) of the meter. This would ensure that an existing meter would only be replaced if the new meter delivers sufficient additional economic value to cover its own cost and cover any remaining economic value of the existing regulated meter. </w:t>
      </w:r>
    </w:p>
    <w:p w:rsidR="00EB6E3E" w:rsidRPr="00EB6E3E" w:rsidRDefault="00EB6E3E" w:rsidP="00EB6E3E">
      <w:r w:rsidRPr="00EB6E3E">
        <w:t xml:space="preserve">While at a theoretical level this option has merit, at a practical level it is infeasible for a range of reasons. Firstly there are information constraints: most </w:t>
      </w:r>
      <w:r w:rsidR="005940D4">
        <w:t>distributors</w:t>
      </w:r>
      <w:r w:rsidRPr="00EB6E3E">
        <w:t xml:space="preserve"> do not record information about asset type or age at the customer level. Secondly, we are not satisfied that the amount </w:t>
      </w:r>
      <w:r w:rsidR="00C66805">
        <w:t>distributors</w:t>
      </w:r>
      <w:r w:rsidRPr="00EB6E3E">
        <w:t xml:space="preserve"> are entitled to recover (based on actual costs) corresponds to the remaining economic value of a meter. This is because regulated metering costs may not be efficient, as </w:t>
      </w:r>
      <w:r w:rsidR="00C66805">
        <w:t>distributors</w:t>
      </w:r>
      <w:r w:rsidR="00C66805" w:rsidRPr="00EB6E3E">
        <w:t xml:space="preserve"> </w:t>
      </w:r>
      <w:r w:rsidRPr="00EB6E3E">
        <w:t>have not faced competitive pressures.</w:t>
      </w:r>
      <w:r w:rsidR="00CD6880" w:rsidRPr="00CD6880">
        <w:rPr>
          <w:vertAlign w:val="superscript"/>
        </w:rPr>
        <w:t xml:space="preserve"> </w:t>
      </w:r>
      <w:r w:rsidR="00CD6880" w:rsidRPr="00CD6880">
        <w:rPr>
          <w:vertAlign w:val="superscript"/>
        </w:rPr>
        <w:footnoteReference w:id="81"/>
      </w:r>
      <w:r w:rsidR="00CD6880" w:rsidRPr="00CD6880">
        <w:t xml:space="preserve"> </w:t>
      </w:r>
      <w:r w:rsidRPr="00EB6E3E">
        <w:t xml:space="preserve"> Finally, we are concerned that it may be inappropriate to charge customers different exit fees that would vary with meter type and age because such investment decisions were made by </w:t>
      </w:r>
      <w:r w:rsidR="00C66805">
        <w:t>distributors</w:t>
      </w:r>
      <w:r w:rsidR="00C66805" w:rsidRPr="00EB6E3E">
        <w:t xml:space="preserve"> </w:t>
      </w:r>
      <w:r w:rsidRPr="00EB6E3E">
        <w:t xml:space="preserve">independently of customer choice. </w:t>
      </w:r>
    </w:p>
    <w:p w:rsidR="004E6893" w:rsidRPr="004E6893" w:rsidRDefault="00EB6E3E" w:rsidP="004E6893">
      <w:pPr>
        <w:rPr>
          <w:b/>
        </w:rPr>
      </w:pPr>
      <w:r w:rsidRPr="00EB6E3E">
        <w:t xml:space="preserve">We therefore looked for an alternative approach and tested various options with stakeholders at our metering workshop on 11 September 2014. We explored the possibility of having more granular exit fees based on meter type, the impact of accelerated depreciation and classifying some metering costs as standard control. </w:t>
      </w:r>
      <w:r w:rsidR="004E6893" w:rsidRPr="004E6893">
        <w:t>T</w:t>
      </w:r>
      <w:r w:rsidR="00013251">
        <w:t>here was general consensus that</w:t>
      </w:r>
      <w:r w:rsidR="004E6893" w:rsidRPr="004E6893">
        <w:t>:</w:t>
      </w:r>
    </w:p>
    <w:p w:rsidR="004E6893" w:rsidRPr="004E6893" w:rsidRDefault="00CD6880" w:rsidP="004E6893">
      <w:pPr>
        <w:pStyle w:val="AERbulletlistfirststyle"/>
        <w:rPr>
          <w:b/>
        </w:rPr>
      </w:pPr>
      <w:r w:rsidRPr="004E6893">
        <w:t>lump sum charges</w:t>
      </w:r>
      <w:r w:rsidR="004E6893" w:rsidRPr="004E6893">
        <w:t xml:space="preserve"> by way of exit fees</w:t>
      </w:r>
      <w:r w:rsidRPr="004E6893">
        <w:t xml:space="preserve"> to recover residual capital costs would deter competitive</w:t>
      </w:r>
      <w:r w:rsidR="004E6893" w:rsidRPr="004E6893">
        <w:t xml:space="preserve"> entry</w:t>
      </w:r>
    </w:p>
    <w:p w:rsidR="00EB6E3E" w:rsidRPr="00013251" w:rsidRDefault="004E6893" w:rsidP="00EB6E3E">
      <w:pPr>
        <w:pStyle w:val="AERbulletlistfirststyle"/>
        <w:rPr>
          <w:b/>
        </w:rPr>
      </w:pPr>
      <w:proofErr w:type="gramStart"/>
      <w:r w:rsidRPr="004E6893">
        <w:t>an</w:t>
      </w:r>
      <w:proofErr w:type="gramEnd"/>
      <w:r w:rsidRPr="004E6893">
        <w:t xml:space="preserve"> alternative to lump sum charges would be to re-bundle some portion of metering costs as standard control, but at the same time, any such decision should not distort annual metering charges. There was a general concern with maintaining annual charge as cost reflective of actual metering costs as possible by not opting for re-bundling options that would distort these charges by for example, re-bundling certain types of meters such as those already installed in the earlier regulatory control period.</w:t>
      </w:r>
    </w:p>
    <w:p w:rsidR="00EB6E3E" w:rsidRPr="00EB6E3E" w:rsidRDefault="00EB6E3E" w:rsidP="00EB6E3E">
      <w:r w:rsidRPr="00EB6E3E">
        <w:t xml:space="preserve">Our draft decision is therefore to allow Endeavour Energy to recover residual </w:t>
      </w:r>
      <w:r w:rsidR="007F0EAB">
        <w:t>capital</w:t>
      </w:r>
      <w:r w:rsidRPr="00EB6E3E">
        <w:t xml:space="preserve"> costs through general network tariffs i.e. smeared across the general customer base. In practice, regulated metering customers will pay for metering assets as part of their annual charges. This will ensure that the annual charges are</w:t>
      </w:r>
      <w:r w:rsidR="007F0EAB">
        <w:t xml:space="preserve">, to the extent possible, </w:t>
      </w:r>
      <w:r w:rsidRPr="00EB6E3E">
        <w:t>transparent and cost reflective</w:t>
      </w:r>
      <w:r w:rsidR="007F0EAB">
        <w:t>.</w:t>
      </w:r>
      <w:r w:rsidRPr="00EB6E3E">
        <w:t xml:space="preserve"> If a customer chooses to switch to an unregulated metering provider, the remaining portion of metering assets attributable to that customer that risks becoming stranded is moved back into the standard control RAB. Due to information constraints, this portion will be an average amount each customer owes, rather than varying by the particular meter assets at the customer’s premise which will vary with meter type and age. </w:t>
      </w:r>
    </w:p>
    <w:p w:rsidR="00EB6E3E" w:rsidRPr="00EB6E3E" w:rsidRDefault="00EB6E3E" w:rsidP="00EB6E3E">
      <w:r w:rsidRPr="00EB6E3E">
        <w:t xml:space="preserve">The adjustment of moving residual metering costs back into standard control RAB would happen on an annual basis through a B-factor adjustment (see </w:t>
      </w:r>
      <w:r w:rsidR="00606BA0">
        <w:t>attachment 14</w:t>
      </w:r>
      <w:r w:rsidRPr="00EB6E3E">
        <w:t xml:space="preserve"> for how it would operate). </w:t>
      </w:r>
    </w:p>
    <w:p w:rsidR="00EB6E3E" w:rsidRPr="00EB6E3E" w:rsidRDefault="00EB6E3E" w:rsidP="00EB6E3E">
      <w:r w:rsidRPr="00EB6E3E">
        <w:t xml:space="preserve">There is a risk that if many customers churn in </w:t>
      </w:r>
      <w:r w:rsidR="00606BA0">
        <w:t>the same year, the impact on DUo</w:t>
      </w:r>
      <w:r w:rsidRPr="00EB6E3E">
        <w:t>S tariffs may be large. To mitigate this possible price volatility, we propose to introduce a tolerance limit which would cap how much extra revenue may be added to DU</w:t>
      </w:r>
      <w:r w:rsidR="00606BA0">
        <w:t>o</w:t>
      </w:r>
      <w:r w:rsidRPr="00EB6E3E">
        <w:t xml:space="preserve">S tariffs on an annual basis (any amount above the annual tolerance level would be recovered in subsequent years). See </w:t>
      </w:r>
      <w:r w:rsidR="00606BA0">
        <w:t>attachment 14</w:t>
      </w:r>
      <w:r w:rsidRPr="00EB6E3E">
        <w:t xml:space="preserve"> for the mechanics of how this tolerance level would work. </w:t>
      </w:r>
    </w:p>
    <w:p w:rsidR="00EB6E3E" w:rsidRPr="00EB6E3E" w:rsidRDefault="00EB6E3E" w:rsidP="00EB6E3E">
      <w:r w:rsidRPr="00EB6E3E">
        <w:t>We consider our alternative approach better meets the cri</w:t>
      </w:r>
      <w:r w:rsidR="00131885">
        <w:t>teria outlined in 1.6.3 of this attachment</w:t>
      </w:r>
      <w:r w:rsidRPr="00EB6E3E">
        <w:t>:</w:t>
      </w:r>
    </w:p>
    <w:p w:rsidR="00EB6E3E" w:rsidRPr="00EB6E3E" w:rsidRDefault="00EB6E3E" w:rsidP="00337A3F">
      <w:pPr>
        <w:pStyle w:val="AERbulletlistfirststyle"/>
      </w:pPr>
      <w:r w:rsidRPr="00EB6E3E">
        <w:t xml:space="preserve">Impact on competition – our approach does not involve directly charging </w:t>
      </w:r>
      <w:r w:rsidR="00606BA0">
        <w:t>leaving customers for residual capital</w:t>
      </w:r>
      <w:r w:rsidRPr="00EB6E3E">
        <w:t xml:space="preserve"> costs through a lump sum exit fee which stakeholders identified as a significant barrier to competitive entry. </w:t>
      </w:r>
    </w:p>
    <w:p w:rsidR="00EB6E3E" w:rsidRPr="00EB6E3E" w:rsidRDefault="00EB6E3E" w:rsidP="00337A3F">
      <w:pPr>
        <w:pStyle w:val="AERbulletlistfirststyle"/>
      </w:pPr>
      <w:r w:rsidRPr="00EB6E3E">
        <w:t xml:space="preserve">Administrative simplicity – </w:t>
      </w:r>
    </w:p>
    <w:p w:rsidR="00EB6E3E" w:rsidRPr="00EB6E3E" w:rsidRDefault="00EB6E3E" w:rsidP="00337A3F">
      <w:pPr>
        <w:pStyle w:val="AERbulletlistsecondstyle"/>
      </w:pPr>
      <w:r w:rsidRPr="00EB6E3E">
        <w:t>Simple for switching customers because they do not incur exit fees based on decisions regarding cost and meter type that they did not have any choice in originally.</w:t>
      </w:r>
    </w:p>
    <w:p w:rsidR="00EB6E3E" w:rsidRPr="00EB6E3E" w:rsidRDefault="00EB6E3E" w:rsidP="00337A3F">
      <w:pPr>
        <w:pStyle w:val="AERbulletlistsecondstyle"/>
      </w:pPr>
      <w:r w:rsidRPr="00EB6E3E">
        <w:t>Makes use of existing information that Endeavour Energy has, rather than requesting further calculations on the remaining economic or technical life of individual metering assets which wo</w:t>
      </w:r>
      <w:r w:rsidR="00131885">
        <w:t>uld be burdensome to determine</w:t>
      </w:r>
    </w:p>
    <w:p w:rsidR="00EB6E3E" w:rsidRPr="00EB6E3E" w:rsidRDefault="00EB6E3E" w:rsidP="00337A3F">
      <w:pPr>
        <w:pStyle w:val="AERbulletlistsecondstyle"/>
      </w:pPr>
      <w:r w:rsidRPr="00EB6E3E">
        <w:t>Requires limited additional work for Endeavour Energy and the AER in making b-factor adjustments and managing the tole</w:t>
      </w:r>
      <w:r w:rsidR="00131885">
        <w:t>rance levels on an annual basis.</w:t>
      </w:r>
    </w:p>
    <w:p w:rsidR="00EB6E3E" w:rsidRPr="00EB6E3E" w:rsidRDefault="00EB6E3E" w:rsidP="00337A3F">
      <w:pPr>
        <w:pStyle w:val="AERbulletlistfirststyle"/>
      </w:pPr>
      <w:r w:rsidRPr="00EB6E3E">
        <w:t xml:space="preserve">Minimise cross subsidies – our approach does involve some cross subsidies because when a customer leaves, the proportion of the metering RAB they would have paid through their annual charges is put back into standard control RAB and recovered through the general network customer base. </w:t>
      </w:r>
    </w:p>
    <w:p w:rsidR="00EB6E3E" w:rsidRPr="00EB6E3E" w:rsidRDefault="00EB6E3E" w:rsidP="00337A3F">
      <w:pPr>
        <w:pStyle w:val="AERbulletlistfirststyle"/>
        <w:numPr>
          <w:ilvl w:val="0"/>
          <w:numId w:val="0"/>
        </w:numPr>
        <w:ind w:left="357"/>
      </w:pPr>
      <w:r w:rsidRPr="00EB6E3E">
        <w:t xml:space="preserve">We are satisfied that this is appropriate overall, as future metering costs are signalled directly to specific customers through having a reasonably cost reflective annual charge and charging new meter assets upfront. Limited cross subsidies to recover just the residual metering costs is considered reasonable as these relate to existing meters which are sunk costs that customers did not originally have choice in incurring. </w:t>
      </w:r>
    </w:p>
    <w:p w:rsidR="00EB6E3E" w:rsidRPr="00EB6E3E" w:rsidRDefault="00EB6E3E" w:rsidP="00337A3F">
      <w:pPr>
        <w:pStyle w:val="AERbulletlistfirststyle"/>
        <w:numPr>
          <w:ilvl w:val="0"/>
          <w:numId w:val="0"/>
        </w:numPr>
        <w:ind w:left="357"/>
      </w:pPr>
      <w:r w:rsidRPr="00EB6E3E">
        <w:t>This is analogous to the approach taken by the AEMC on the distribution pricing rule change where future costs are signalled to customers, but residual network costs are to be recovered in a way that minimises distortions</w:t>
      </w:r>
      <w:r w:rsidRPr="00013251">
        <w:rPr>
          <w:rStyle w:val="FootnoteReference"/>
          <w:rFonts w:eastAsia="Calibri"/>
          <w:szCs w:val="20"/>
        </w:rPr>
        <w:footnoteReference w:id="82"/>
      </w:r>
      <w:r w:rsidRPr="00EB6E3E">
        <w:t xml:space="preserve"> which may also lead to some cross subsidies. </w:t>
      </w:r>
    </w:p>
    <w:p w:rsidR="00EB6E3E" w:rsidRPr="00EB6E3E" w:rsidRDefault="00EB6E3E" w:rsidP="00337A3F">
      <w:pPr>
        <w:pStyle w:val="AERbulletlistfirststyle"/>
        <w:numPr>
          <w:ilvl w:val="0"/>
          <w:numId w:val="0"/>
        </w:numPr>
        <w:ind w:left="357"/>
      </w:pPr>
      <w:r w:rsidRPr="00EB6E3E">
        <w:t xml:space="preserve">Any concern with residual cross subsidies is mitigated by the fact that there are likely to be collective benefits from switching to advanced metering technologies such as better demand side participation which may help lower overall network costs for all customers. </w:t>
      </w:r>
    </w:p>
    <w:p w:rsidR="00EB6E3E" w:rsidRPr="00EB6E3E" w:rsidRDefault="00EB6E3E" w:rsidP="00EB6E3E">
      <w:r w:rsidRPr="00EB6E3E">
        <w:t xml:space="preserve">In regard to our obligation to ensure reasonable opportunity to recover at least efficient costs, our alternative approach is revenue neutral compared with the proposed exit fee approach. </w:t>
      </w:r>
    </w:p>
    <w:p w:rsidR="00EB6E3E" w:rsidRPr="00EB6E3E" w:rsidRDefault="00EB6E3E" w:rsidP="00EB6E3E">
      <w:r w:rsidRPr="00EB6E3E">
        <w:t>We acknowledge that our</w:t>
      </w:r>
      <w:r w:rsidR="00E76D1B">
        <w:t xml:space="preserve"> decision to classify residual capital</w:t>
      </w:r>
      <w:r w:rsidRPr="00EB6E3E">
        <w:t xml:space="preserve"> costs as a standard control service leads to lower exit fees and risks relatively increased levels of meter switching. We do not know what the actual efficient exit fee should be for each customer, but given that these are all functioning meters, it is likely that there is some remaining economic life and therefore the efficient fee would be a positive amount. Our alternative approach therefore risks faster entry than otherwise i.e. some meters being replaced even though they have significant remaining economic value, because our alternative exit fee (based on incremental administrative costs) will be below the efficient exit fee. </w:t>
      </w:r>
    </w:p>
    <w:p w:rsidR="00EB6E3E" w:rsidRPr="00EB6E3E" w:rsidRDefault="00EB6E3E" w:rsidP="00EB6E3E">
      <w:r w:rsidRPr="00EB6E3E">
        <w:t>However, on balance, we prefer to err on the side of faster entry rather than too low entry (the risk if we accept Endeavour Energy’s proposal to charge a high exit fee). We make this decision on the basis that it is the clear intent of policy makers to see a competitive metering market develop in the NEM. We also consider that it will help further the national electricity objective because advanced metering solutions facilitate the move towards cost reflective tariffs which are fundamental to achieve efficient use of and investment in distribution networks.</w:t>
      </w:r>
    </w:p>
    <w:p w:rsidR="00EB6E3E" w:rsidRPr="00337A3F" w:rsidRDefault="00EB6E3E" w:rsidP="00EB6E3E">
      <w:pPr>
        <w:rPr>
          <w:rStyle w:val="AERtextbold"/>
        </w:rPr>
      </w:pPr>
      <w:r w:rsidRPr="00337A3F">
        <w:rPr>
          <w:rStyle w:val="AERtextbold"/>
        </w:rPr>
        <w:t>Administration cost</w:t>
      </w:r>
    </w:p>
    <w:p w:rsidR="00EB6E3E" w:rsidRPr="00EB6E3E" w:rsidRDefault="00EB6E3E" w:rsidP="00EB6E3E">
      <w:r w:rsidRPr="00EB6E3E">
        <w:t xml:space="preserve">Stakeholder submissions raised concern that the proposed administration charges seemed excessively high and questioned whether </w:t>
      </w:r>
      <w:r w:rsidR="00C66805">
        <w:t>distributors</w:t>
      </w:r>
      <w:r w:rsidRPr="00EB6E3E">
        <w:t xml:space="preserve"> should be allowed to recover administration costs at all.</w:t>
      </w:r>
      <w:r w:rsidRPr="00D4117F">
        <w:rPr>
          <w:rStyle w:val="FootnoteReference"/>
        </w:rPr>
        <w:footnoteReference w:id="83"/>
      </w:r>
      <w:r w:rsidRPr="00D4117F">
        <w:rPr>
          <w:rStyle w:val="FootnoteReference"/>
        </w:rPr>
        <w:t xml:space="preserve">  </w:t>
      </w:r>
    </w:p>
    <w:p w:rsidR="00EB6E3E" w:rsidRPr="00EB6E3E" w:rsidRDefault="00EB6E3E" w:rsidP="00EB6E3E">
      <w:r w:rsidRPr="00EB6E3E">
        <w:t xml:space="preserve">We accept in principle that DNSPs should be allowed </w:t>
      </w:r>
      <w:r w:rsidR="00131885">
        <w:t xml:space="preserve">to </w:t>
      </w:r>
      <w:r w:rsidRPr="00EB6E3E">
        <w:t xml:space="preserve">charge an exit fee based on incremental administrative costs incurred to process a customer transfer. However, as Endeavour Energy did not adequately demonstrate they will incur incremental administrative costs, we are led to reject an exit fee based on administrative costs. </w:t>
      </w:r>
    </w:p>
    <w:p w:rsidR="00EB6E3E" w:rsidRPr="00EB6E3E" w:rsidRDefault="00EB6E3E" w:rsidP="00EB6E3E">
      <w:r w:rsidRPr="00EB6E3E">
        <w:t xml:space="preserve">Endeavour Energy proposed administrative costs were calculated as estimated time taken multiplied by labour rate—but this approach does not demonstrate that such costs are incremental. </w:t>
      </w:r>
    </w:p>
    <w:p w:rsidR="00EB6E3E" w:rsidRPr="00EB6E3E" w:rsidRDefault="00EB6E3E" w:rsidP="00EB6E3E">
      <w:r w:rsidRPr="00EB6E3E">
        <w:t xml:space="preserve">To demonstrate that Endeavour Energy will face incremental costs, we consider that it would have to show a reasonable forecast of additional staff they expect to hire over the regulatory period to process customer transfers. </w:t>
      </w:r>
    </w:p>
    <w:p w:rsidR="00EB6E3E" w:rsidRPr="00EB6E3E" w:rsidRDefault="00EB6E3E" w:rsidP="00EB6E3E">
      <w:r w:rsidRPr="00EB6E3E">
        <w:t>For example, the proposed administration charge revenue ($46.3 million</w:t>
      </w:r>
      <w:r w:rsidRPr="006B57F3">
        <w:rPr>
          <w:rStyle w:val="FootnoteReference"/>
        </w:rPr>
        <w:footnoteReference w:id="84"/>
      </w:r>
      <w:r w:rsidRPr="00EB6E3E">
        <w:t xml:space="preserve">) implies that if all customers </w:t>
      </w:r>
      <w:r w:rsidR="00131885">
        <w:t xml:space="preserve">were </w:t>
      </w:r>
      <w:r w:rsidRPr="00EB6E3E">
        <w:t>to exi</w:t>
      </w:r>
      <w:r w:rsidR="00131885">
        <w:t>t in the</w:t>
      </w:r>
      <w:r w:rsidRPr="00EB6E3E">
        <w:t xml:space="preserve"> five year period, Endeavour Energy would have to hire an additional 29 dedicated full time staff per year to handle customer transfers to </w:t>
      </w:r>
      <w:r w:rsidR="006B57F3">
        <w:t>substantiate its proposed costs.</w:t>
      </w:r>
      <w:r w:rsidRPr="006B57F3">
        <w:rPr>
          <w:rStyle w:val="FootnoteReference"/>
        </w:rPr>
        <w:footnoteReference w:id="85"/>
      </w:r>
      <w:r w:rsidRPr="00EB6E3E">
        <w:t xml:space="preserve"> This seems implausible given the relatively simple administrative task involved to process a customer exiting. </w:t>
      </w:r>
    </w:p>
    <w:p w:rsidR="00EB6E3E" w:rsidRPr="00EB6E3E" w:rsidRDefault="00EB6E3E" w:rsidP="00EB6E3E">
      <w:r w:rsidRPr="00EB6E3E">
        <w:t>Indeed, Endeavour Energy forecast metering customer numbers to grow overall over the period so it is not evident that they expect many customers to churn in the upcoming period. As such, it may be possible that current levels of administrative staff have enough capacity to perform this additional administrative task without the business incurring further costs.</w:t>
      </w:r>
    </w:p>
    <w:p w:rsidR="00855127" w:rsidRDefault="00EB6E3E" w:rsidP="00EB6E3E">
      <w:r w:rsidRPr="00EB6E3E">
        <w:t xml:space="preserve">As it is not clear that Endeavour Energy expect to hire additional staff to perform this task, we do not accept </w:t>
      </w:r>
      <w:r w:rsidR="00F66AC3">
        <w:t>Endeavour Energy</w:t>
      </w:r>
      <w:r w:rsidRPr="00EB6E3E">
        <w:t>’s administration costs. This means that an exit fee will not apply in Endeavour Energy’s circumstances.</w:t>
      </w:r>
    </w:p>
    <w:p w:rsidR="00976298" w:rsidRDefault="00976298" w:rsidP="00976298">
      <w:pPr>
        <w:pStyle w:val="Heading3"/>
      </w:pPr>
      <w:bookmarkStart w:id="64" w:name="_Toc404324964"/>
      <w:r>
        <w:t>Control mechanism for metering</w:t>
      </w:r>
      <w:bookmarkEnd w:id="64"/>
    </w:p>
    <w:p w:rsidR="00976298" w:rsidRPr="002C37DA" w:rsidRDefault="00976298" w:rsidP="00976298">
      <w:pPr>
        <w:pStyle w:val="AERbodytext"/>
      </w:pPr>
      <w:r>
        <w:t>Our</w:t>
      </w:r>
      <w:r w:rsidRPr="002C37DA">
        <w:t xml:space="preserve"> draft decision is to apply a price cap for the form of control to </w:t>
      </w:r>
      <w:r>
        <w:t>metering</w:t>
      </w:r>
      <w:r w:rsidRPr="002C37DA">
        <w:t xml:space="preserve"> services. Under this form of control a schedule of prices is set for the first year. For the following year's the previous year</w:t>
      </w:r>
      <w:r>
        <w:t>’</w:t>
      </w:r>
      <w:r w:rsidRPr="002C37DA">
        <w:t xml:space="preserve">s prices are adjusted by CPI and an X factor. The form of control for </w:t>
      </w:r>
      <w:r>
        <w:t>metering</w:t>
      </w:r>
      <w:r w:rsidRPr="002C37DA">
        <w:t xml:space="preserve"> services is set out below</w:t>
      </w:r>
      <w:r w:rsidR="00C92FF1">
        <w:t>.</w:t>
      </w:r>
      <w:r w:rsidRPr="002C37DA">
        <w:t xml:space="preserve"> </w:t>
      </w:r>
    </w:p>
    <w:p w:rsidR="00976298" w:rsidRDefault="00976298" w:rsidP="00976298">
      <w:pPr>
        <w:pStyle w:val="AERbodytext"/>
      </w:pPr>
      <w:r w:rsidRPr="00AA7FCC">
        <w:t xml:space="preserve"> </w:t>
      </w:r>
      <w:r w:rsidRPr="001762C7">
        <w:object w:dxaOrig="760" w:dyaOrig="380">
          <v:shape id="_x0000_i1032" type="#_x0000_t75" style="width:38.45pt;height:18.75pt" o:ole="">
            <v:imagedata r:id="rId34" o:title=""/>
          </v:shape>
          <o:OLEObject Type="Embed" ProgID="Equation.3" ShapeID="_x0000_i1032" DrawAspect="Content" ObjectID="_1478531706" r:id="rId35"/>
        </w:object>
      </w:r>
      <w:r>
        <w:tab/>
      </w:r>
      <w:r>
        <w:tab/>
      </w:r>
      <w:r>
        <w:tab/>
      </w:r>
      <w:r>
        <w:tab/>
      </w:r>
      <w:r>
        <w:tab/>
      </w:r>
      <w:r>
        <w:tab/>
      </w:r>
      <w:r>
        <w:tab/>
      </w:r>
      <w:r>
        <w:tab/>
      </w:r>
      <w:proofErr w:type="spellStart"/>
      <w:r>
        <w:t>i</w:t>
      </w:r>
      <w:proofErr w:type="spellEnd"/>
      <w:r>
        <w:t>=1,...,n and t=1,2,3,4</w:t>
      </w:r>
    </w:p>
    <w:p w:rsidR="00976298" w:rsidRDefault="00976298" w:rsidP="00976298">
      <w:pPr>
        <w:pStyle w:val="AERbodytext"/>
      </w:pPr>
      <w:r w:rsidRPr="00D24838">
        <w:rPr>
          <w:position w:val="-12"/>
        </w:rPr>
        <w:object w:dxaOrig="2640" w:dyaOrig="380">
          <v:shape id="_x0000_i1033" type="#_x0000_t75" style="width:132.15pt;height:18.75pt" o:ole="">
            <v:imagedata r:id="rId36" o:title=""/>
          </v:shape>
          <o:OLEObject Type="Embed" ProgID="Equation.3" ShapeID="_x0000_i1033" DrawAspect="Content" ObjectID="_1478531707" r:id="rId37"/>
        </w:object>
      </w:r>
    </w:p>
    <w:p w:rsidR="00976298" w:rsidRPr="00AA7FCC" w:rsidRDefault="00976298" w:rsidP="00976298">
      <w:pPr>
        <w:pStyle w:val="AERbodytext"/>
      </w:pPr>
      <w:r w:rsidRPr="00AA7FCC">
        <w:t>Where:</w:t>
      </w:r>
    </w:p>
    <w:p w:rsidR="00976298" w:rsidRPr="00AA7FCC" w:rsidRDefault="00976298" w:rsidP="00976298">
      <w:pPr>
        <w:pStyle w:val="AERbodytext"/>
      </w:pPr>
      <w:r w:rsidRPr="00AA7FCC">
        <w:object w:dxaOrig="279" w:dyaOrig="380">
          <v:shape id="_x0000_i1034" type="#_x0000_t75" style="width:13.8pt;height:18.75pt" o:ole="">
            <v:imagedata r:id="rId15" o:title=""/>
          </v:shape>
          <o:OLEObject Type="Embed" ProgID="Equation.3" ShapeID="_x0000_i1034" DrawAspect="Content" ObjectID="_1478531708" r:id="rId38"/>
        </w:object>
      </w:r>
      <w:proofErr w:type="gramStart"/>
      <w:r w:rsidRPr="00AA7FCC">
        <w:t>is</w:t>
      </w:r>
      <w:proofErr w:type="gramEnd"/>
      <w:r w:rsidRPr="00AA7FCC">
        <w:t xml:space="preserve"> the cap on the price of service </w:t>
      </w:r>
      <w:proofErr w:type="spellStart"/>
      <w:r w:rsidRPr="00AA7FCC">
        <w:t>i</w:t>
      </w:r>
      <w:proofErr w:type="spellEnd"/>
      <w:r w:rsidRPr="00AA7FCC">
        <w:t xml:space="preserve"> in year t.</w:t>
      </w:r>
      <w:r>
        <w:t xml:space="preserve"> However, for 2015–16 this is the price as determined in Appendix</w:t>
      </w:r>
      <w:r w:rsidR="00107A18">
        <w:t xml:space="preserve"> A.1</w:t>
      </w:r>
      <w:r>
        <w:t>.</w:t>
      </w:r>
    </w:p>
    <w:p w:rsidR="00976298" w:rsidRPr="00AA7FCC" w:rsidRDefault="00976298" w:rsidP="00976298">
      <w:pPr>
        <w:pStyle w:val="AERbodytext"/>
      </w:pPr>
      <w:r w:rsidRPr="00AA7FCC">
        <w:object w:dxaOrig="279" w:dyaOrig="380">
          <v:shape id="_x0000_i1035" type="#_x0000_t75" style="width:13.8pt;height:18.75pt" o:ole="">
            <v:imagedata r:id="rId17" o:title=""/>
          </v:shape>
          <o:OLEObject Type="Embed" ProgID="Equation.3" ShapeID="_x0000_i1035" DrawAspect="Content" ObjectID="_1478531709" r:id="rId39"/>
        </w:object>
      </w:r>
      <w:proofErr w:type="gramStart"/>
      <w:r w:rsidRPr="00AA7FCC">
        <w:t>is</w:t>
      </w:r>
      <w:proofErr w:type="gramEnd"/>
      <w:r w:rsidRPr="00AA7FCC">
        <w:t xml:space="preserve"> the price of service </w:t>
      </w:r>
      <w:proofErr w:type="spellStart"/>
      <w:r w:rsidRPr="00AA7FCC">
        <w:t>i</w:t>
      </w:r>
      <w:proofErr w:type="spellEnd"/>
      <w:r w:rsidRPr="00AA7FCC">
        <w:t xml:space="preserve"> in year </w:t>
      </w:r>
      <w:r w:rsidRPr="00EF5867">
        <w:rPr>
          <w:rStyle w:val="AERtextitalic"/>
        </w:rPr>
        <w:t>t</w:t>
      </w:r>
      <w:r w:rsidRPr="00AA7FCC">
        <w:t>.</w:t>
      </w:r>
    </w:p>
    <w:p w:rsidR="00976298" w:rsidRDefault="00976298" w:rsidP="00976298">
      <w:pPr>
        <w:pStyle w:val="AERbodytext"/>
      </w:pPr>
      <w:r w:rsidRPr="00AA7FCC">
        <w:object w:dxaOrig="520" w:dyaOrig="360">
          <v:shape id="_x0000_i1036" type="#_x0000_t75" style="width:25.65pt;height:18.75pt" o:ole="">
            <v:imagedata r:id="rId19" o:title=""/>
          </v:shape>
          <o:OLEObject Type="Embed" ProgID="Equation.3" ShapeID="_x0000_i1036" DrawAspect="Content" ObjectID="_1478531710" r:id="rId40"/>
        </w:object>
      </w:r>
      <w:proofErr w:type="gramStart"/>
      <w:r w:rsidRPr="00AA7FCC">
        <w:t>is</w:t>
      </w:r>
      <w:proofErr w:type="gramEnd"/>
      <w:r w:rsidRPr="00AA7FCC">
        <w:t xml:space="preserve"> the percentage increase in the consumer price index.</w:t>
      </w:r>
      <w:r>
        <w:t xml:space="preserve"> It is calculated as follows:</w:t>
      </w:r>
    </w:p>
    <w:p w:rsidR="00976298" w:rsidRPr="002455B1" w:rsidRDefault="00976298" w:rsidP="00976298">
      <w:r w:rsidRPr="002455B1">
        <w:t>The Consumer Price Index, All Groups Index Number (weighted average of</w:t>
      </w:r>
      <w:r>
        <w:t xml:space="preserve"> </w:t>
      </w:r>
      <w:r w:rsidRPr="002455B1">
        <w:t>eight capital cities) published by the Australia Bureau of Statistics for the</w:t>
      </w:r>
      <w:r>
        <w:t xml:space="preserve"> </w:t>
      </w:r>
      <w:r w:rsidRPr="007456F3">
        <w:rPr>
          <w:rStyle w:val="AERbodytextChar"/>
          <w:rFonts w:eastAsia="Calibri"/>
        </w:rPr>
        <w:t>December</w:t>
      </w:r>
      <w:r w:rsidRPr="002455B1">
        <w:t xml:space="preserve"> Quarter immediately preceding the start of regulatory year t;</w:t>
      </w:r>
    </w:p>
    <w:p w:rsidR="00976298" w:rsidRPr="002455B1" w:rsidRDefault="00976298" w:rsidP="00976298">
      <w:proofErr w:type="gramStart"/>
      <w:r w:rsidRPr="002455B1">
        <w:t>divided</w:t>
      </w:r>
      <w:proofErr w:type="gramEnd"/>
      <w:r w:rsidRPr="002455B1">
        <w:t xml:space="preserve"> by</w:t>
      </w:r>
    </w:p>
    <w:p w:rsidR="00976298" w:rsidRPr="002455B1" w:rsidRDefault="00976298" w:rsidP="00976298">
      <w:r w:rsidRPr="002455B1">
        <w:t>The Consumer Price Index, All Groups Index Number (weighted average of</w:t>
      </w:r>
      <w:r>
        <w:t xml:space="preserve"> </w:t>
      </w:r>
      <w:r w:rsidRPr="002455B1">
        <w:t>eight capital cities) published by the Australia Bureau of Statistics for the</w:t>
      </w:r>
      <w:r>
        <w:t xml:space="preserve"> </w:t>
      </w:r>
      <w:r w:rsidRPr="007456F3">
        <w:rPr>
          <w:rStyle w:val="AERbodytextChar"/>
          <w:rFonts w:eastAsia="Calibri"/>
        </w:rPr>
        <w:t>December</w:t>
      </w:r>
      <w:r w:rsidRPr="002455B1">
        <w:t xml:space="preserve"> Quarter immediately preceding the start of regulatory year t</w:t>
      </w:r>
      <w:r>
        <w:t>–</w:t>
      </w:r>
      <w:r w:rsidRPr="002455B1">
        <w:t>1;</w:t>
      </w:r>
    </w:p>
    <w:p w:rsidR="00976298" w:rsidRDefault="00976298" w:rsidP="00976298">
      <w:pPr>
        <w:pStyle w:val="AERbodytext"/>
      </w:pPr>
      <w:proofErr w:type="gramStart"/>
      <w:r w:rsidRPr="002455B1">
        <w:t>minus</w:t>
      </w:r>
      <w:proofErr w:type="gramEnd"/>
      <w:r w:rsidRPr="002455B1">
        <w:t xml:space="preserve"> one.</w:t>
      </w:r>
    </w:p>
    <w:p w:rsidR="00976298" w:rsidRPr="002B6AC8" w:rsidRDefault="00976298" w:rsidP="00976298">
      <w:pPr>
        <w:pStyle w:val="AERbodytext"/>
      </w:pPr>
      <w:r w:rsidRPr="002B6AC8">
        <w:object w:dxaOrig="340" w:dyaOrig="380">
          <v:shape id="_x0000_i1037" type="#_x0000_t75" style="width:18.75pt;height:18.75pt" o:ole="">
            <v:imagedata r:id="rId21" o:title=""/>
          </v:shape>
          <o:OLEObject Type="Embed" ProgID="Equation.3" ShapeID="_x0000_i1037" DrawAspect="Content" ObjectID="_1478531711" r:id="rId41"/>
        </w:object>
      </w:r>
      <w:r w:rsidRPr="002B6AC8">
        <w:t xml:space="preserve">x is zero </w:t>
      </w:r>
    </w:p>
    <w:p w:rsidR="00D311E7" w:rsidRPr="00EB6E3E" w:rsidRDefault="00D311E7" w:rsidP="00D311E7">
      <w:pPr>
        <w:pStyle w:val="Heading2"/>
      </w:pPr>
      <w:bookmarkStart w:id="65" w:name="_Ref402523374"/>
      <w:bookmarkStart w:id="66" w:name="_Toc404324965"/>
      <w:r w:rsidRPr="00EB6E3E">
        <w:t>Public Lighting</w:t>
      </w:r>
      <w:bookmarkEnd w:id="65"/>
      <w:bookmarkEnd w:id="66"/>
    </w:p>
    <w:p w:rsidR="00D311E7" w:rsidRDefault="00D311E7" w:rsidP="00D311E7">
      <w:r>
        <w:t>Public lighting services include the design, financing, procurement and construction of public lighting installations, as well as their on-going maintenance and operation. Endeavour Energy serves 29 public lighting customers, including 23 local councils, with over 196,000 installed lights.</w:t>
      </w:r>
      <w:r>
        <w:rPr>
          <w:rStyle w:val="FootnoteReference"/>
        </w:rPr>
        <w:footnoteReference w:id="86"/>
      </w:r>
    </w:p>
    <w:p w:rsidR="00D311E7" w:rsidRDefault="00D311E7" w:rsidP="00D311E7">
      <w:r w:rsidRPr="001B0EF1">
        <w:t>We have maintained public lighting as alternative control because a defined group of customers—local councils and road authorities—purchase these services.</w:t>
      </w:r>
    </w:p>
    <w:p w:rsidR="00D311E7" w:rsidRDefault="00D311E7" w:rsidP="00D311E7">
      <w:pPr>
        <w:pStyle w:val="AERbodytext"/>
      </w:pPr>
      <w:r>
        <w:t xml:space="preserve">A key element of all decision on this topic is the contestability or otherwise of public lighting services, and which of those services are regulated by us. </w:t>
      </w:r>
    </w:p>
    <w:p w:rsidR="00D311E7" w:rsidRDefault="00D311E7" w:rsidP="00D311E7">
      <w:pPr>
        <w:pStyle w:val="AERbodytext"/>
      </w:pPr>
      <w:r>
        <w:t xml:space="preserve">Under clause 2 of the </w:t>
      </w:r>
      <w:r w:rsidRPr="008D3B2F">
        <w:rPr>
          <w:rStyle w:val="AERtextitalic"/>
        </w:rPr>
        <w:t>Code of practic</w:t>
      </w:r>
      <w:r>
        <w:rPr>
          <w:rStyle w:val="AERtextitalic"/>
        </w:rPr>
        <w:t>e</w:t>
      </w:r>
      <w:r w:rsidRPr="008D3B2F">
        <w:rPr>
          <w:rStyle w:val="AERtextitalic"/>
          <w:rFonts w:hint="eastAsia"/>
        </w:rPr>
        <w:t>–</w:t>
      </w:r>
      <w:r w:rsidRPr="008D3B2F">
        <w:rPr>
          <w:rStyle w:val="AERtextitalic"/>
        </w:rPr>
        <w:t>contestable works</w:t>
      </w:r>
      <w:r>
        <w:t xml:space="preserve">, installation works are contestable. These works involve new or increased capacity connection and are customer funded. </w:t>
      </w:r>
    </w:p>
    <w:p w:rsidR="00C117FF" w:rsidRDefault="00C117FF" w:rsidP="00C117FF">
      <w:pPr>
        <w:pStyle w:val="AERbodytext"/>
      </w:pPr>
      <w:r>
        <w:t xml:space="preserve">Maintenance of public lighting is not a contestable activity under the </w:t>
      </w:r>
      <w:r>
        <w:rPr>
          <w:rStyle w:val="AERtextitalic"/>
        </w:rPr>
        <w:t>Code of practice–contestable works</w:t>
      </w:r>
      <w:r>
        <w:t xml:space="preserve">. For public lighting assets owned by a </w:t>
      </w:r>
      <w:r w:rsidR="007B58DD">
        <w:t>distribution business</w:t>
      </w:r>
      <w:r>
        <w:t xml:space="preserve">, like-for-like replacements––either initiated by the </w:t>
      </w:r>
      <w:r w:rsidR="007B58DD">
        <w:t>distribution business</w:t>
      </w:r>
      <w:r>
        <w:t xml:space="preserve"> or on request from a customer––and maintenance are not contestable. Government policy change would be required to make this contestable.</w:t>
      </w:r>
    </w:p>
    <w:p w:rsidR="00C117FF" w:rsidRDefault="00C117FF" w:rsidP="00C117FF">
      <w:pPr>
        <w:pStyle w:val="AERbodytext"/>
      </w:pPr>
      <w:r>
        <w:t xml:space="preserve">Assets installed on a contestable basis are gifted to the distribution network service provider and entered into their asset base at zero value. Once the asset is gifted to the distribution network service provider, the </w:t>
      </w:r>
      <w:r w:rsidR="007B58DD">
        <w:t>distribution business</w:t>
      </w:r>
      <w:r>
        <w:t xml:space="preserve"> becomes the owner of the asset and is responsible for the on-going maintenance and replacement of the asset. Maintenance charges for assets gifted to the service provider therefore do not include costs to recover capital.</w:t>
      </w:r>
    </w:p>
    <w:p w:rsidR="00D311E7" w:rsidRDefault="00D311E7" w:rsidP="00D311E7">
      <w:pPr>
        <w:pStyle w:val="AERbodytext"/>
      </w:pPr>
      <w:r>
        <w:t>Charges are set according whether the asset was either installed by the distribution network service provider or gifted to them and the type of asset (pole, luminaire model).</w:t>
      </w:r>
    </w:p>
    <w:p w:rsidR="00D311E7" w:rsidRDefault="00D311E7" w:rsidP="00D311E7">
      <w:pPr>
        <w:pStyle w:val="Heading3"/>
      </w:pPr>
      <w:bookmarkStart w:id="67" w:name="_Toc404324966"/>
      <w:r>
        <w:t>Draft Decision</w:t>
      </w:r>
      <w:bookmarkEnd w:id="67"/>
    </w:p>
    <w:p w:rsidR="00D311E7" w:rsidRDefault="00AC3CCE" w:rsidP="00D311E7">
      <w:pPr>
        <w:pStyle w:val="AERbodytext"/>
        <w:numPr>
          <w:ilvl w:val="0"/>
          <w:numId w:val="0"/>
        </w:numPr>
      </w:pPr>
      <w:r>
        <w:t>Our</w:t>
      </w:r>
      <w:r w:rsidR="00D311E7">
        <w:t xml:space="preserve"> draft decision is to not approve Endeavour Energy's proposed public lighting</w:t>
      </w:r>
      <w:r w:rsidR="00D311E7" w:rsidRPr="007C648C">
        <w:t xml:space="preserve"> </w:t>
      </w:r>
      <w:r w:rsidR="00D311E7">
        <w:t xml:space="preserve">prices. </w:t>
      </w:r>
      <w:r w:rsidR="00D311E7" w:rsidRPr="00063E71">
        <w:t>This is because we do not accept</w:t>
      </w:r>
      <w:r w:rsidR="00D311E7">
        <w:t xml:space="preserve"> the weighted average cost of capital proposed by Endeavour Energy,</w:t>
      </w:r>
      <w:r w:rsidR="00D311E7" w:rsidRPr="001B5469">
        <w:t xml:space="preserve"> </w:t>
      </w:r>
      <w:r w:rsidR="00D311E7">
        <w:t xml:space="preserve">and </w:t>
      </w:r>
      <w:r w:rsidR="00D311E7" w:rsidRPr="001B5469">
        <w:t>a bulk replacement program of 3 years for some of its lamps</w:t>
      </w:r>
      <w:r w:rsidR="00D311E7">
        <w:t xml:space="preserve"> or the labour escalator.</w:t>
      </w:r>
      <w:r w:rsidR="00D311E7" w:rsidRPr="00063E71">
        <w:t xml:space="preserve"> </w:t>
      </w:r>
    </w:p>
    <w:p w:rsidR="00D311E7" w:rsidRDefault="00D311E7" w:rsidP="00D311E7">
      <w:pPr>
        <w:pStyle w:val="AERbodytext"/>
        <w:numPr>
          <w:ilvl w:val="0"/>
          <w:numId w:val="0"/>
        </w:numPr>
      </w:pPr>
      <w:r>
        <w:t>In considering Endeavour Energy's proposal we had regard to the following key inputs:</w:t>
      </w:r>
    </w:p>
    <w:p w:rsidR="00D311E7" w:rsidRDefault="00D311E7" w:rsidP="00D311E7">
      <w:pPr>
        <w:pStyle w:val="AERbulletlistsecondstyle"/>
      </w:pPr>
      <w:r>
        <w:t>The bulk light replacement rate</w:t>
      </w:r>
    </w:p>
    <w:p w:rsidR="00D311E7" w:rsidRDefault="00D311E7" w:rsidP="00D311E7">
      <w:pPr>
        <w:pStyle w:val="AERbulletlistsecondstyle"/>
      </w:pPr>
      <w:r>
        <w:t>Lamp spot failure rates</w:t>
      </w:r>
    </w:p>
    <w:p w:rsidR="00D311E7" w:rsidRDefault="00D311E7" w:rsidP="00D311E7">
      <w:pPr>
        <w:pStyle w:val="AERbulletlistsecondstyle"/>
      </w:pPr>
      <w:r>
        <w:t xml:space="preserve">Labour rates </w:t>
      </w:r>
    </w:p>
    <w:p w:rsidR="00D311E7" w:rsidRPr="00245E14" w:rsidRDefault="00D311E7" w:rsidP="00D311E7">
      <w:pPr>
        <w:pStyle w:val="AERbodytext"/>
      </w:pPr>
      <w:r>
        <w:t>In reviewing these inputs we consider</w:t>
      </w:r>
      <w:r w:rsidRPr="00245E14">
        <w:t xml:space="preserve"> the following benchmarks to be appropriate:</w:t>
      </w:r>
    </w:p>
    <w:p w:rsidR="00D311E7" w:rsidRDefault="00D311E7" w:rsidP="00D311E7">
      <w:pPr>
        <w:pStyle w:val="AERbulletlistfirststyle"/>
      </w:pPr>
      <w:proofErr w:type="gramStart"/>
      <w:r w:rsidRPr="0009532F">
        <w:t>a</w:t>
      </w:r>
      <w:proofErr w:type="gramEnd"/>
      <w:r w:rsidRPr="0009532F">
        <w:t xml:space="preserve"> </w:t>
      </w:r>
      <w:r>
        <w:t>4</w:t>
      </w:r>
      <w:r w:rsidRPr="0009532F">
        <w:t xml:space="preserve"> year bulk replacement program for </w:t>
      </w:r>
      <w:r>
        <w:t xml:space="preserve">all </w:t>
      </w:r>
      <w:r w:rsidRPr="0009532F">
        <w:t>lamp</w:t>
      </w:r>
      <w:r>
        <w:t>s. Currently Endeavour Energy has a 4 year cycle for high pressure sodium lamps with wattages of 150, 250 and 400. For all other lamps it is three years.</w:t>
      </w:r>
    </w:p>
    <w:p w:rsidR="00D311E7" w:rsidRDefault="00D311E7" w:rsidP="00D311E7">
      <w:pPr>
        <w:pStyle w:val="AERbulletlistfirststyle"/>
      </w:pPr>
      <w:r>
        <w:t xml:space="preserve">a WACC </w:t>
      </w:r>
      <w:r w:rsidR="009E2FA7">
        <w:t>of 7.15</w:t>
      </w:r>
      <w:r>
        <w:t xml:space="preserve"> cent instead of the proposed </w:t>
      </w:r>
      <w:r w:rsidR="009E2FA7">
        <w:t xml:space="preserve">8.83 per </w:t>
      </w:r>
      <w:r>
        <w:t>cent</w:t>
      </w:r>
    </w:p>
    <w:p w:rsidR="00D311E7" w:rsidRDefault="00D311E7" w:rsidP="00D311E7">
      <w:pPr>
        <w:pStyle w:val="AERbulletlistfirststyle"/>
      </w:pPr>
      <w:r>
        <w:t>a useful life of 20 years for LED luminaires</w:t>
      </w:r>
      <w:r w:rsidR="009E2FA7">
        <w:t xml:space="preserve"> instead of the proposed 12 years</w:t>
      </w:r>
    </w:p>
    <w:p w:rsidR="00D311E7" w:rsidRDefault="00D311E7" w:rsidP="00D311E7">
      <w:pPr>
        <w:pStyle w:val="AERbulletlistfirststyle"/>
      </w:pPr>
      <w:r>
        <w:t>labour escalators consistent with our decision (opex chapter)</w:t>
      </w:r>
    </w:p>
    <w:p w:rsidR="00D311E7" w:rsidRPr="00CC70FD" w:rsidRDefault="00D311E7" w:rsidP="00D311E7">
      <w:pPr>
        <w:pStyle w:val="AERbodytext"/>
      </w:pPr>
      <w:r w:rsidRPr="00CC70FD">
        <w:rPr>
          <w:rStyle w:val="AERbody"/>
        </w:rPr>
        <w:t xml:space="preserve">By applying our benchmarks instead of those </w:t>
      </w:r>
      <w:proofErr w:type="gramStart"/>
      <w:r w:rsidRPr="00CC70FD">
        <w:rPr>
          <w:rStyle w:val="AERbody"/>
        </w:rPr>
        <w:t>proposed,</w:t>
      </w:r>
      <w:proofErr w:type="gramEnd"/>
      <w:r w:rsidRPr="00CC70FD">
        <w:rPr>
          <w:rStyle w:val="AERbody"/>
        </w:rPr>
        <w:t xml:space="preserve"> </w:t>
      </w:r>
      <w:r>
        <w:rPr>
          <w:rStyle w:val="AERbody"/>
        </w:rPr>
        <w:t>Endeavour Energy</w:t>
      </w:r>
      <w:r w:rsidRPr="00CC70FD">
        <w:rPr>
          <w:rStyle w:val="AERbody"/>
        </w:rPr>
        <w:t xml:space="preserve">’s public lighting charges decrease </w:t>
      </w:r>
      <w:r w:rsidR="00E26DF8">
        <w:rPr>
          <w:rStyle w:val="AERbody"/>
        </w:rPr>
        <w:t xml:space="preserve">on average by </w:t>
      </w:r>
      <w:r w:rsidR="00C26877">
        <w:rPr>
          <w:rStyle w:val="AERbody"/>
        </w:rPr>
        <w:t>6</w:t>
      </w:r>
      <w:r w:rsidRPr="00CC70FD">
        <w:rPr>
          <w:rStyle w:val="AERbody"/>
        </w:rPr>
        <w:t xml:space="preserve"> per cent in 2015-16 from the previous year. </w:t>
      </w:r>
      <w:r w:rsidRPr="00CC70FD">
        <w:t>Prices for the remaining years will be adjusted according to our price cap form of control.</w:t>
      </w:r>
    </w:p>
    <w:p w:rsidR="00F92C29" w:rsidRPr="00F92C29" w:rsidRDefault="00D311E7" w:rsidP="00D311E7">
      <w:pPr>
        <w:pStyle w:val="AERbodytext"/>
        <w:rPr>
          <w:b/>
        </w:rPr>
      </w:pPr>
      <w:r>
        <w:t>The schedule of public lighting charges we approve is set out in</w:t>
      </w:r>
      <w:r w:rsidR="008019E5">
        <w:t xml:space="preserve"> appendix </w:t>
      </w:r>
      <w:r w:rsidR="00F92C29">
        <w:fldChar w:fldCharType="begin"/>
      </w:r>
      <w:r w:rsidR="00F92C29">
        <w:instrText xml:space="preserve"> REF _Ref403663103 \n \h </w:instrText>
      </w:r>
      <w:r w:rsidR="00F92C29">
        <w:fldChar w:fldCharType="separate"/>
      </w:r>
      <w:r w:rsidR="000A6EFE">
        <w:t>A.1</w:t>
      </w:r>
      <w:r w:rsidR="00F92C29">
        <w:fldChar w:fldCharType="end"/>
      </w:r>
      <w:r w:rsidR="00AC3CCE">
        <w:t>.</w:t>
      </w:r>
    </w:p>
    <w:p w:rsidR="008D6482" w:rsidRDefault="008D6482" w:rsidP="00D311E7">
      <w:pPr>
        <w:pStyle w:val="AERbodytext"/>
        <w:rPr>
          <w:rStyle w:val="AERtextbold"/>
        </w:rPr>
      </w:pPr>
    </w:p>
    <w:p w:rsidR="008D6482" w:rsidRDefault="008D6482" w:rsidP="00D311E7">
      <w:pPr>
        <w:pStyle w:val="AERbodytext"/>
        <w:rPr>
          <w:rStyle w:val="AERtextbold"/>
        </w:rPr>
      </w:pPr>
    </w:p>
    <w:p w:rsidR="008D6482" w:rsidRDefault="008D6482" w:rsidP="00D311E7">
      <w:pPr>
        <w:pStyle w:val="AERbodytext"/>
        <w:rPr>
          <w:rStyle w:val="AERtextbold"/>
        </w:rPr>
      </w:pPr>
    </w:p>
    <w:p w:rsidR="00D311E7" w:rsidRPr="002D7215" w:rsidRDefault="00D311E7" w:rsidP="00D311E7">
      <w:pPr>
        <w:pStyle w:val="AERbodytext"/>
        <w:rPr>
          <w:rStyle w:val="AERtextbold"/>
        </w:rPr>
      </w:pPr>
      <w:r w:rsidRPr="002D7215">
        <w:rPr>
          <w:rStyle w:val="AERtextbold"/>
        </w:rPr>
        <w:t>Form of price control</w:t>
      </w:r>
    </w:p>
    <w:p w:rsidR="00D311E7" w:rsidRDefault="00D311E7" w:rsidP="00D311E7">
      <w:pPr>
        <w:pStyle w:val="AERbodytext"/>
        <w:rPr>
          <w:rStyle w:val="AERbody"/>
        </w:rPr>
      </w:pPr>
      <w:r>
        <w:rPr>
          <w:rStyle w:val="AERbody"/>
        </w:rPr>
        <w:t>The form of price control for public lighting charges is as per our Stage 1 Framework and Approach Paper.</w:t>
      </w:r>
      <w:r>
        <w:rPr>
          <w:rStyle w:val="FootnoteReference"/>
        </w:rPr>
        <w:footnoteReference w:id="87"/>
      </w:r>
      <w:r>
        <w:rPr>
          <w:rStyle w:val="AERbody"/>
        </w:rPr>
        <w:t xml:space="preserve"> </w:t>
      </w:r>
    </w:p>
    <w:p w:rsidR="00D311E7" w:rsidRPr="00AA7FCC" w:rsidRDefault="00D311E7" w:rsidP="00D311E7">
      <w:pPr>
        <w:pStyle w:val="AERbodytext"/>
      </w:pPr>
      <w:r w:rsidRPr="00063E71">
        <w:rPr>
          <w:noProof/>
          <w:lang w:eastAsia="en-AU"/>
        </w:rPr>
        <w:drawing>
          <wp:inline distT="0" distB="0" distL="0" distR="0" wp14:anchorId="7695E961" wp14:editId="70273375">
            <wp:extent cx="487045" cy="23749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487045" cy="237490"/>
                    </a:xfrm>
                    <a:prstGeom prst="rect">
                      <a:avLst/>
                    </a:prstGeom>
                    <a:noFill/>
                    <a:ln>
                      <a:noFill/>
                    </a:ln>
                  </pic:spPr>
                </pic:pic>
              </a:graphicData>
            </a:graphic>
          </wp:inline>
        </w:drawing>
      </w:r>
      <w:r w:rsidRPr="00AA7FCC">
        <w:tab/>
      </w:r>
      <w:r w:rsidRPr="00AA7FCC">
        <w:tab/>
      </w:r>
      <w:r w:rsidRPr="00AA7FCC">
        <w:tab/>
      </w:r>
      <w:r w:rsidRPr="00AA7FCC">
        <w:tab/>
      </w:r>
      <w:r w:rsidRPr="00AA7FCC">
        <w:tab/>
      </w:r>
      <w:r w:rsidRPr="00AA7FCC">
        <w:tab/>
      </w:r>
      <w:r w:rsidRPr="00AA7FCC">
        <w:tab/>
      </w:r>
      <w:r w:rsidRPr="00AA7FCC">
        <w:tab/>
      </w:r>
      <w:r w:rsidRPr="00AA7FCC">
        <w:tab/>
      </w:r>
      <w:proofErr w:type="spellStart"/>
      <w:r w:rsidRPr="00AA7FCC">
        <w:t>i</w:t>
      </w:r>
      <w:proofErr w:type="spellEnd"/>
      <w:r w:rsidRPr="00AA7FCC">
        <w:t>=1,...,n and t=1,..,4,</w:t>
      </w:r>
    </w:p>
    <w:p w:rsidR="00D311E7" w:rsidRDefault="00D311E7" w:rsidP="00D311E7">
      <w:pPr>
        <w:pStyle w:val="AERbodytext"/>
      </w:pPr>
      <w:r w:rsidRPr="001762C7">
        <w:object w:dxaOrig="3080" w:dyaOrig="380">
          <v:shape id="_x0000_i1038" type="#_x0000_t75" style="width:153.85pt;height:17.75pt" o:ole="">
            <v:imagedata r:id="rId13" o:title=""/>
          </v:shape>
          <o:OLEObject Type="Embed" ProgID="Equation.3" ShapeID="_x0000_i1038" DrawAspect="Content" ObjectID="_1478531712" r:id="rId43"/>
        </w:object>
      </w:r>
    </w:p>
    <w:p w:rsidR="00D311E7" w:rsidRPr="00AA7FCC" w:rsidRDefault="00D311E7" w:rsidP="00D311E7">
      <w:pPr>
        <w:pStyle w:val="AERbodytext"/>
      </w:pPr>
      <w:r w:rsidRPr="00AA7FCC">
        <w:t>Where:</w:t>
      </w:r>
    </w:p>
    <w:p w:rsidR="00D311E7" w:rsidRPr="00AA7FCC" w:rsidRDefault="00D311E7" w:rsidP="00D311E7">
      <w:pPr>
        <w:pStyle w:val="AERbodytext"/>
      </w:pPr>
      <w:r w:rsidRPr="00AA7FCC">
        <w:object w:dxaOrig="279" w:dyaOrig="380">
          <v:shape id="_x0000_i1039" type="#_x0000_t75" style="width:13.8pt;height:17.75pt" o:ole="">
            <v:imagedata r:id="rId15" o:title=""/>
          </v:shape>
          <o:OLEObject Type="Embed" ProgID="Equation.3" ShapeID="_x0000_i1039" DrawAspect="Content" ObjectID="_1478531713" r:id="rId44"/>
        </w:object>
      </w:r>
      <w:proofErr w:type="gramStart"/>
      <w:r w:rsidRPr="00AA7FCC">
        <w:t>is</w:t>
      </w:r>
      <w:proofErr w:type="gramEnd"/>
      <w:r w:rsidRPr="00AA7FCC">
        <w:t xml:space="preserve"> the cap on the price of service </w:t>
      </w:r>
      <w:proofErr w:type="spellStart"/>
      <w:r w:rsidRPr="00AA7FCC">
        <w:t>i</w:t>
      </w:r>
      <w:proofErr w:type="spellEnd"/>
      <w:r w:rsidRPr="00AA7FCC">
        <w:t xml:space="preserve"> in year t.</w:t>
      </w:r>
      <w:r>
        <w:t xml:space="preserve"> However, for 2015–16 this is the price as determined in Appendix</w:t>
      </w:r>
      <w:r w:rsidR="00324ACA">
        <w:t xml:space="preserve"> </w:t>
      </w:r>
      <w:r w:rsidR="00324ACA">
        <w:fldChar w:fldCharType="begin"/>
      </w:r>
      <w:r w:rsidR="00324ACA">
        <w:instrText xml:space="preserve"> REF _Ref403660701 \r \h </w:instrText>
      </w:r>
      <w:r w:rsidR="00324ACA">
        <w:fldChar w:fldCharType="separate"/>
      </w:r>
      <w:r w:rsidR="000A6EFE">
        <w:t>A.1.3</w:t>
      </w:r>
      <w:r w:rsidR="00324ACA">
        <w:fldChar w:fldCharType="end"/>
      </w:r>
      <w:r>
        <w:t>.</w:t>
      </w:r>
    </w:p>
    <w:p w:rsidR="00D311E7" w:rsidRPr="00AA7FCC" w:rsidRDefault="00D311E7" w:rsidP="00D311E7">
      <w:pPr>
        <w:pStyle w:val="AERbodytext"/>
      </w:pPr>
      <w:r w:rsidRPr="00AA7FCC">
        <w:object w:dxaOrig="279" w:dyaOrig="380">
          <v:shape id="_x0000_i1040" type="#_x0000_t75" style="width:13.8pt;height:17.75pt" o:ole="">
            <v:imagedata r:id="rId17" o:title=""/>
          </v:shape>
          <o:OLEObject Type="Embed" ProgID="Equation.3" ShapeID="_x0000_i1040" DrawAspect="Content" ObjectID="_1478531714" r:id="rId45"/>
        </w:object>
      </w:r>
      <w:proofErr w:type="gramStart"/>
      <w:r w:rsidRPr="00AA7FCC">
        <w:t>is</w:t>
      </w:r>
      <w:proofErr w:type="gramEnd"/>
      <w:r w:rsidRPr="00AA7FCC">
        <w:t xml:space="preserve"> the price of service </w:t>
      </w:r>
      <w:proofErr w:type="spellStart"/>
      <w:r w:rsidRPr="00AA7FCC">
        <w:t>i</w:t>
      </w:r>
      <w:proofErr w:type="spellEnd"/>
      <w:r w:rsidRPr="00AA7FCC">
        <w:t xml:space="preserve"> in year </w:t>
      </w:r>
      <w:r w:rsidRPr="000D42D9">
        <w:rPr>
          <w:rStyle w:val="AERtextitalic"/>
        </w:rPr>
        <w:t>t</w:t>
      </w:r>
      <w:r w:rsidRPr="00AA7FCC">
        <w:t>.</w:t>
      </w:r>
      <w:r>
        <w:t xml:space="preserve"> </w:t>
      </w:r>
    </w:p>
    <w:p w:rsidR="00D311E7" w:rsidRDefault="00D311E7" w:rsidP="00D311E7">
      <w:pPr>
        <w:pStyle w:val="AERbodytext"/>
      </w:pPr>
      <w:r w:rsidRPr="00AA7FCC">
        <w:object w:dxaOrig="520" w:dyaOrig="360">
          <v:shape id="_x0000_i1041" type="#_x0000_t75" style="width:26.65pt;height:17.75pt" o:ole="">
            <v:imagedata r:id="rId19" o:title=""/>
          </v:shape>
          <o:OLEObject Type="Embed" ProgID="Equation.3" ShapeID="_x0000_i1041" DrawAspect="Content" ObjectID="_1478531715" r:id="rId46"/>
        </w:object>
      </w:r>
      <w:proofErr w:type="gramStart"/>
      <w:r w:rsidRPr="00AA7FCC">
        <w:t>is</w:t>
      </w:r>
      <w:proofErr w:type="gramEnd"/>
      <w:r w:rsidRPr="00AA7FCC">
        <w:t xml:space="preserve"> the percentage increase in the consumer price index.</w:t>
      </w:r>
      <w:r>
        <w:t xml:space="preserve"> It is calculated as follows:</w:t>
      </w:r>
    </w:p>
    <w:p w:rsidR="00D311E7" w:rsidRPr="002455B1" w:rsidRDefault="00D311E7" w:rsidP="00D311E7">
      <w:r w:rsidRPr="002455B1">
        <w:t>The Consumer Price Index, All Groups Index Number (weighted average of</w:t>
      </w:r>
      <w:r>
        <w:t xml:space="preserve"> </w:t>
      </w:r>
      <w:r w:rsidRPr="002455B1">
        <w:t xml:space="preserve">eight capital cities) published by the Australia Bureau of Statistics for </w:t>
      </w:r>
      <w:r w:rsidR="009E2FA7">
        <w:t>the December</w:t>
      </w:r>
      <w:r w:rsidRPr="002455B1">
        <w:t xml:space="preserve"> Quarter immediately preceding the start of regulatory year t;</w:t>
      </w:r>
    </w:p>
    <w:p w:rsidR="00D311E7" w:rsidRPr="002455B1" w:rsidRDefault="00D311E7" w:rsidP="00D311E7">
      <w:proofErr w:type="gramStart"/>
      <w:r w:rsidRPr="002455B1">
        <w:t>divided</w:t>
      </w:r>
      <w:proofErr w:type="gramEnd"/>
      <w:r w:rsidRPr="002455B1">
        <w:t xml:space="preserve"> by</w:t>
      </w:r>
    </w:p>
    <w:p w:rsidR="00D311E7" w:rsidRPr="002455B1" w:rsidRDefault="00D311E7" w:rsidP="00D311E7">
      <w:r w:rsidRPr="002455B1">
        <w:t>The Consumer Price Index, All Groups Index Number (weighted average of</w:t>
      </w:r>
      <w:r>
        <w:t xml:space="preserve"> </w:t>
      </w:r>
      <w:r w:rsidRPr="002455B1">
        <w:t xml:space="preserve">eight capital cities) published by the Australia Bureau of Statistics for </w:t>
      </w:r>
      <w:r w:rsidR="009E2FA7">
        <w:t>the December</w:t>
      </w:r>
      <w:r w:rsidRPr="002455B1">
        <w:t xml:space="preserve"> Quarter immediately preceding the start of regulatory year t-1;</w:t>
      </w:r>
    </w:p>
    <w:p w:rsidR="00D311E7" w:rsidRDefault="00D311E7" w:rsidP="00D311E7">
      <w:pPr>
        <w:pStyle w:val="AERbodytext"/>
      </w:pPr>
      <w:proofErr w:type="gramStart"/>
      <w:r w:rsidRPr="002455B1">
        <w:t>minus</w:t>
      </w:r>
      <w:proofErr w:type="gramEnd"/>
      <w:r w:rsidRPr="002455B1">
        <w:t xml:space="preserve"> one.</w:t>
      </w:r>
    </w:p>
    <w:p w:rsidR="00D311E7" w:rsidRDefault="00D311E7" w:rsidP="00D311E7">
      <w:pPr>
        <w:pStyle w:val="AERbodytext"/>
      </w:pPr>
      <w:r w:rsidRPr="00AA7FCC">
        <w:object w:dxaOrig="340" w:dyaOrig="380">
          <v:shape id="_x0000_i1042" type="#_x0000_t75" style="width:17.75pt;height:17.75pt" o:ole="">
            <v:imagedata r:id="rId21" o:title=""/>
          </v:shape>
          <o:OLEObject Type="Embed" ProgID="Equation.3" ShapeID="_x0000_i1042" DrawAspect="Content" ObjectID="_1478531716" r:id="rId47"/>
        </w:object>
      </w:r>
      <w:proofErr w:type="gramStart"/>
      <w:r w:rsidRPr="00AA7FCC">
        <w:t>is</w:t>
      </w:r>
      <w:proofErr w:type="gramEnd"/>
      <w:r w:rsidRPr="00AA7FCC">
        <w:t xml:space="preserve"> the </w:t>
      </w:r>
      <w:r>
        <w:t>value of X for the year t i</w:t>
      </w:r>
      <w:r w:rsidR="00204188">
        <w:t>n the regulatory control period. There are no X-factors for public lighting.</w:t>
      </w:r>
    </w:p>
    <w:p w:rsidR="00D311E7" w:rsidRDefault="00D311E7" w:rsidP="00D311E7">
      <w:pPr>
        <w:pStyle w:val="AERbodytext"/>
      </w:pPr>
      <w:r w:rsidRPr="00601D88">
        <w:object w:dxaOrig="300" w:dyaOrig="380">
          <v:shape id="_x0000_i1043" type="#_x0000_t75" style="width:14.8pt;height:17.75pt" o:ole="">
            <v:imagedata r:id="rId25" o:title=""/>
          </v:shape>
          <o:OLEObject Type="Embed" ProgID="Equation.3" ShapeID="_x0000_i1043" DrawAspect="Content" ObjectID="_1478531717" r:id="rId48"/>
        </w:object>
      </w:r>
      <w:proofErr w:type="gramStart"/>
      <w:r>
        <w:t>is</w:t>
      </w:r>
      <w:proofErr w:type="gramEnd"/>
      <w:r>
        <w:t xml:space="preserve"> an adjustment factor. Likely to include, but not limited to adjustments for residual charges when customers choose to replace assets before the end of their economic life. </w:t>
      </w:r>
    </w:p>
    <w:p w:rsidR="00D311E7" w:rsidRDefault="00D311E7" w:rsidP="00D311E7">
      <w:pPr>
        <w:pStyle w:val="Heading3"/>
      </w:pPr>
      <w:bookmarkStart w:id="68" w:name="_Toc404324967"/>
      <w:r>
        <w:t>Proposal</w:t>
      </w:r>
      <w:bookmarkEnd w:id="68"/>
    </w:p>
    <w:p w:rsidR="00D311E7" w:rsidRPr="00735A00" w:rsidRDefault="00D311E7" w:rsidP="00D311E7">
      <w:r w:rsidRPr="00735A00">
        <w:t xml:space="preserve">Endeavour Energy </w:t>
      </w:r>
      <w:proofErr w:type="gramStart"/>
      <w:r w:rsidRPr="00735A00">
        <w:t>propose</w:t>
      </w:r>
      <w:proofErr w:type="gramEnd"/>
      <w:r w:rsidRPr="00735A00">
        <w:t xml:space="preserve"> </w:t>
      </w:r>
      <w:r>
        <w:t>a</w:t>
      </w:r>
      <w:r w:rsidRPr="00735A00">
        <w:t xml:space="preserve"> decrease in public lighting charges </w:t>
      </w:r>
      <w:r w:rsidR="009E2FA7">
        <w:t xml:space="preserve">to councils </w:t>
      </w:r>
      <w:r w:rsidRPr="00735A00">
        <w:t xml:space="preserve">of </w:t>
      </w:r>
      <w:r w:rsidR="009E2FA7">
        <w:t>13 per</w:t>
      </w:r>
      <w:r w:rsidRPr="00735A00">
        <w:t xml:space="preserve"> cent in 2015</w:t>
      </w:r>
      <w:r w:rsidRPr="00735A00">
        <w:noBreakHyphen/>
        <w:t>16.</w:t>
      </w:r>
    </w:p>
    <w:p w:rsidR="00D311E7" w:rsidRPr="00FA08B3" w:rsidRDefault="00D311E7" w:rsidP="00D311E7">
      <w:pPr>
        <w:pStyle w:val="AERbodytext"/>
      </w:pPr>
      <w:r>
        <w:t xml:space="preserve">Endeavour Energy has proposed a top down approach to public lighting services. </w:t>
      </w:r>
    </w:p>
    <w:p w:rsidR="00D311E7" w:rsidRDefault="00D311E7" w:rsidP="00D311E7">
      <w:pPr>
        <w:pStyle w:val="AERquote"/>
      </w:pPr>
      <w:r>
        <w:t>In reviewing feedback from our public lighting customers we identified that our customers were generally happy with our compliance of the Public Lighting Code and the outturn service that they receive from us. On the basis the outcome of the public lighting activities matches customer expectations applying a top down pricing approach seeks to ensure that the activities and resultant costs incurred in delivering the service required by the customer is maintained. If however feedback from our customers had not been supportive of the existing service levels (and therefore the resources Endeavour utilises to deliver the service would necessarily change) Endeavour would have been required to develop a bottom up costing model to allow the cost total to be varied in line with the expected resource / activity changes necessary to deliver the desired service outcomes of our customers.</w:t>
      </w:r>
      <w:r>
        <w:rPr>
          <w:rStyle w:val="FootnoteReference"/>
        </w:rPr>
        <w:footnoteReference w:id="88"/>
      </w:r>
    </w:p>
    <w:p w:rsidR="00D311E7" w:rsidRPr="00735A00" w:rsidRDefault="00D311E7" w:rsidP="00D311E7">
      <w:r>
        <w:t xml:space="preserve">Endeavour Energy </w:t>
      </w:r>
      <w:proofErr w:type="gramStart"/>
      <w:r>
        <w:t>submit</w:t>
      </w:r>
      <w:proofErr w:type="gramEnd"/>
      <w:r>
        <w:t xml:space="preserve"> that the</w:t>
      </w:r>
      <w:r w:rsidRPr="00735A00">
        <w:t xml:space="preserve"> major drive</w:t>
      </w:r>
      <w:r>
        <w:t>r</w:t>
      </w:r>
      <w:r w:rsidRPr="00735A00">
        <w:t>s of the price decrease proposed by Endeavour Energy are:</w:t>
      </w:r>
    </w:p>
    <w:p w:rsidR="00D311E7" w:rsidRDefault="00D311E7" w:rsidP="00D311E7">
      <w:pPr>
        <w:pStyle w:val="AERbulletlistfirststyle"/>
      </w:pPr>
      <w:r>
        <w:t>the efficient maintenance program based on</w:t>
      </w:r>
      <w:r w:rsidRPr="00735A00">
        <w:t xml:space="preserve"> </w:t>
      </w:r>
      <w:r>
        <w:t>four</w:t>
      </w:r>
      <w:r w:rsidRPr="00735A00">
        <w:t xml:space="preserve"> year bulk replacement program for lamps</w:t>
      </w:r>
      <w:r>
        <w:t xml:space="preserve"> and</w:t>
      </w:r>
      <w:r w:rsidRPr="00735A00">
        <w:t xml:space="preserve"> </w:t>
      </w:r>
      <w:r>
        <w:t>lamp</w:t>
      </w:r>
      <w:r w:rsidRPr="00735A00">
        <w:t xml:space="preserve"> failure rate</w:t>
      </w:r>
      <w:r>
        <w:t xml:space="preserve"> of</w:t>
      </w:r>
      <w:r w:rsidRPr="00735A00">
        <w:t xml:space="preserve"> for 2</w:t>
      </w:r>
      <w:r>
        <w:t>015–</w:t>
      </w:r>
      <w:r w:rsidRPr="00735A00">
        <w:t xml:space="preserve">19 </w:t>
      </w:r>
    </w:p>
    <w:p w:rsidR="00D311E7" w:rsidRPr="00851849" w:rsidRDefault="00D311E7" w:rsidP="00D311E7">
      <w:pPr>
        <w:pStyle w:val="AERbulletlistfirststyle"/>
        <w:rPr>
          <w:rStyle w:val="AERtexthighlight"/>
          <w:shd w:val="clear" w:color="auto" w:fill="auto"/>
        </w:rPr>
      </w:pPr>
      <w:r w:rsidRPr="00851849">
        <w:rPr>
          <w:rStyle w:val="AERtexthighlight"/>
          <w:shd w:val="clear" w:color="auto" w:fill="auto"/>
        </w:rPr>
        <w:t xml:space="preserve">a reduction in corporate overheads from scale efficiencies </w:t>
      </w:r>
    </w:p>
    <w:p w:rsidR="00D311E7" w:rsidRDefault="00D311E7" w:rsidP="00D311E7">
      <w:pPr>
        <w:pStyle w:val="AERbulletlistfirststyle"/>
      </w:pPr>
      <w:proofErr w:type="gramStart"/>
      <w:r>
        <w:t>savings</w:t>
      </w:r>
      <w:proofErr w:type="gramEnd"/>
      <w:r>
        <w:t xml:space="preserve"> for councils from the impact of </w:t>
      </w:r>
      <w:r w:rsidR="00AC3CCE">
        <w:t>depreciation of pre 2009 assets.</w:t>
      </w:r>
    </w:p>
    <w:p w:rsidR="00D311E7" w:rsidRPr="00A37394" w:rsidRDefault="00D311E7" w:rsidP="00D311E7">
      <w:pPr>
        <w:pStyle w:val="AERbodytext"/>
        <w:numPr>
          <w:ilvl w:val="0"/>
          <w:numId w:val="0"/>
        </w:numPr>
      </w:pPr>
      <w:r w:rsidRPr="00A37394">
        <w:t xml:space="preserve">In summary Endeavour Energy's tariff structure is set out in </w:t>
      </w:r>
      <w:r w:rsidR="00736A34">
        <w:fldChar w:fldCharType="begin"/>
      </w:r>
      <w:r w:rsidR="00736A34">
        <w:instrText xml:space="preserve"> REF _Ref403127568 \h </w:instrText>
      </w:r>
      <w:r w:rsidR="00736A34">
        <w:fldChar w:fldCharType="separate"/>
      </w:r>
      <w:r w:rsidR="00736A34">
        <w:t xml:space="preserve">Table </w:t>
      </w:r>
      <w:r w:rsidR="00736A34">
        <w:rPr>
          <w:noProof/>
        </w:rPr>
        <w:t>16</w:t>
      </w:r>
      <w:r w:rsidR="00736A34">
        <w:noBreakHyphen/>
      </w:r>
      <w:r w:rsidR="00736A34">
        <w:rPr>
          <w:noProof/>
        </w:rPr>
        <w:t>17</w:t>
      </w:r>
      <w:r w:rsidR="00736A34">
        <w:fldChar w:fldCharType="end"/>
      </w:r>
    </w:p>
    <w:p w:rsidR="00F04A5E" w:rsidRDefault="00F04A5E" w:rsidP="000D42D9">
      <w:pPr>
        <w:pStyle w:val="Caption"/>
      </w:pPr>
      <w:bookmarkStart w:id="69" w:name="_Ref403127568"/>
      <w:r>
        <w:t xml:space="preserve">Table </w:t>
      </w:r>
      <w:r w:rsidR="004667DE">
        <w:fldChar w:fldCharType="begin"/>
      </w:r>
      <w:r w:rsidR="004667DE">
        <w:instrText xml:space="preserve"> STYLEREF 1 \s </w:instrText>
      </w:r>
      <w:r w:rsidR="004667DE">
        <w:fldChar w:fldCharType="separate"/>
      </w:r>
      <w:r w:rsidR="003E262F">
        <w:rPr>
          <w:noProof/>
        </w:rPr>
        <w:t>16</w:t>
      </w:r>
      <w:r w:rsidR="004667DE">
        <w:rPr>
          <w:noProof/>
        </w:rPr>
        <w:fldChar w:fldCharType="end"/>
      </w:r>
      <w:r w:rsidR="003E262F">
        <w:noBreakHyphen/>
      </w:r>
      <w:r w:rsidR="004667DE">
        <w:fldChar w:fldCharType="begin"/>
      </w:r>
      <w:r w:rsidR="004667DE">
        <w:instrText xml:space="preserve"> SEQ Table \* ARABIC \s 1 </w:instrText>
      </w:r>
      <w:r w:rsidR="004667DE">
        <w:fldChar w:fldCharType="separate"/>
      </w:r>
      <w:r w:rsidR="003E262F">
        <w:rPr>
          <w:noProof/>
        </w:rPr>
        <w:t>17</w:t>
      </w:r>
      <w:r w:rsidR="004667DE">
        <w:rPr>
          <w:noProof/>
        </w:rPr>
        <w:fldChar w:fldCharType="end"/>
      </w:r>
      <w:bookmarkEnd w:id="69"/>
      <w:r>
        <w:t xml:space="preserve"> Endeavour Energy public lighting tariff structure</w:t>
      </w:r>
    </w:p>
    <w:tbl>
      <w:tblPr>
        <w:tblStyle w:val="AERtable-numbers"/>
        <w:tblW w:w="0" w:type="auto"/>
        <w:tblLook w:val="04A0" w:firstRow="1" w:lastRow="0" w:firstColumn="1" w:lastColumn="0" w:noHBand="0" w:noVBand="1"/>
      </w:tblPr>
      <w:tblGrid>
        <w:gridCol w:w="1848"/>
        <w:gridCol w:w="1848"/>
        <w:gridCol w:w="1848"/>
        <w:gridCol w:w="1849"/>
        <w:gridCol w:w="1849"/>
      </w:tblGrid>
      <w:tr w:rsidR="00D311E7" w:rsidTr="00F27D0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8" w:type="dxa"/>
          </w:tcPr>
          <w:p w:rsidR="00D311E7" w:rsidRPr="00A37394" w:rsidRDefault="00D311E7" w:rsidP="007848A6">
            <w:pPr>
              <w:pStyle w:val="AERtabletextleft"/>
            </w:pPr>
            <w:r>
              <w:t>Tariff</w:t>
            </w:r>
          </w:p>
        </w:tc>
        <w:tc>
          <w:tcPr>
            <w:tcW w:w="1848" w:type="dxa"/>
          </w:tcPr>
          <w:p w:rsidR="00D311E7" w:rsidRPr="00A37394" w:rsidRDefault="00D311E7" w:rsidP="000D42D9">
            <w:pPr>
              <w:pStyle w:val="AERtabletextright"/>
              <w:cnfStyle w:val="100000000000" w:firstRow="1" w:lastRow="0" w:firstColumn="0" w:lastColumn="0" w:oddVBand="0" w:evenVBand="0" w:oddHBand="0" w:evenHBand="0" w:firstRowFirstColumn="0" w:firstRowLastColumn="0" w:lastRowFirstColumn="0" w:lastRowLastColumn="0"/>
            </w:pPr>
            <w:r>
              <w:t>Installation date</w:t>
            </w:r>
          </w:p>
        </w:tc>
        <w:tc>
          <w:tcPr>
            <w:tcW w:w="1848" w:type="dxa"/>
          </w:tcPr>
          <w:p w:rsidR="00D311E7" w:rsidRPr="00A37394" w:rsidRDefault="00D311E7" w:rsidP="000D42D9">
            <w:pPr>
              <w:pStyle w:val="AERtabletextright"/>
              <w:cnfStyle w:val="100000000000" w:firstRow="1" w:lastRow="0" w:firstColumn="0" w:lastColumn="0" w:oddVBand="0" w:evenVBand="0" w:oddHBand="0" w:evenHBand="0" w:firstRowFirstColumn="0" w:firstRowLastColumn="0" w:lastRowFirstColumn="0" w:lastRowLastColumn="0"/>
            </w:pPr>
            <w:r>
              <w:t>Capital provision</w:t>
            </w:r>
          </w:p>
        </w:tc>
        <w:tc>
          <w:tcPr>
            <w:tcW w:w="1849" w:type="dxa"/>
          </w:tcPr>
          <w:p w:rsidR="00D311E7" w:rsidRPr="00A37394" w:rsidRDefault="00D311E7" w:rsidP="000D42D9">
            <w:pPr>
              <w:pStyle w:val="AERtabletextright"/>
              <w:cnfStyle w:val="100000000000" w:firstRow="1" w:lastRow="0" w:firstColumn="0" w:lastColumn="0" w:oddVBand="0" w:evenVBand="0" w:oddHBand="0" w:evenHBand="0" w:firstRowFirstColumn="0" w:firstRowLastColumn="0" w:lastRowFirstColumn="0" w:lastRowLastColumn="0"/>
            </w:pPr>
            <w:r>
              <w:t xml:space="preserve">Maintenance </w:t>
            </w:r>
          </w:p>
          <w:p w:rsidR="00D311E7" w:rsidRPr="00A37394" w:rsidRDefault="00D311E7" w:rsidP="000D42D9">
            <w:pPr>
              <w:pStyle w:val="AERtabletextright"/>
              <w:cnfStyle w:val="100000000000" w:firstRow="1" w:lastRow="0" w:firstColumn="0" w:lastColumn="0" w:oddVBand="0" w:evenVBand="0" w:oddHBand="0" w:evenHBand="0" w:firstRowFirstColumn="0" w:firstRowLastColumn="0" w:lastRowFirstColumn="0" w:lastRowLastColumn="0"/>
            </w:pPr>
            <w:r>
              <w:t>responsibility</w:t>
            </w:r>
          </w:p>
        </w:tc>
        <w:tc>
          <w:tcPr>
            <w:tcW w:w="1849" w:type="dxa"/>
          </w:tcPr>
          <w:p w:rsidR="00D311E7" w:rsidRPr="00A37394" w:rsidRDefault="00D311E7" w:rsidP="000D42D9">
            <w:pPr>
              <w:pStyle w:val="AERtabletextright"/>
              <w:cnfStyle w:val="100000000000" w:firstRow="1" w:lastRow="0" w:firstColumn="0" w:lastColumn="0" w:oddVBand="0" w:evenVBand="0" w:oddHBand="0" w:evenHBand="0" w:firstRowFirstColumn="0" w:firstRowLastColumn="0" w:lastRowFirstColumn="0" w:lastRowLastColumn="0"/>
            </w:pPr>
            <w:r>
              <w:t xml:space="preserve">Replacement </w:t>
            </w:r>
          </w:p>
          <w:p w:rsidR="00D311E7" w:rsidRPr="00A37394" w:rsidRDefault="00D311E7" w:rsidP="000D42D9">
            <w:pPr>
              <w:pStyle w:val="AERtabletextright"/>
              <w:cnfStyle w:val="100000000000" w:firstRow="1" w:lastRow="0" w:firstColumn="0" w:lastColumn="0" w:oddVBand="0" w:evenVBand="0" w:oddHBand="0" w:evenHBand="0" w:firstRowFirstColumn="0" w:firstRowLastColumn="0" w:lastRowFirstColumn="0" w:lastRowLastColumn="0"/>
            </w:pPr>
            <w:r>
              <w:t>responsibility</w:t>
            </w:r>
          </w:p>
        </w:tc>
      </w:tr>
      <w:tr w:rsidR="00D311E7" w:rsidTr="00F27D00">
        <w:tc>
          <w:tcPr>
            <w:cnfStyle w:val="001000000000" w:firstRow="0" w:lastRow="0" w:firstColumn="1" w:lastColumn="0" w:oddVBand="0" w:evenVBand="0" w:oddHBand="0" w:evenHBand="0" w:firstRowFirstColumn="0" w:firstRowLastColumn="0" w:lastRowFirstColumn="0" w:lastRowLastColumn="0"/>
            <w:tcW w:w="1848" w:type="dxa"/>
          </w:tcPr>
          <w:p w:rsidR="00D311E7" w:rsidRPr="00A37394" w:rsidRDefault="00D311E7" w:rsidP="007848A6">
            <w:pPr>
              <w:pStyle w:val="AERtabletextleft"/>
            </w:pPr>
            <w:r>
              <w:t>Rate 1</w:t>
            </w:r>
          </w:p>
        </w:tc>
        <w:tc>
          <w:tcPr>
            <w:tcW w:w="1848" w:type="dxa"/>
          </w:tcPr>
          <w:p w:rsidR="00D311E7" w:rsidRPr="00A37394" w:rsidRDefault="00D311E7" w:rsidP="000D42D9">
            <w:pPr>
              <w:pStyle w:val="AERtabletextright"/>
              <w:cnfStyle w:val="000000000000" w:firstRow="0" w:lastRow="0" w:firstColumn="0" w:lastColumn="0" w:oddVBand="0" w:evenVBand="0" w:oddHBand="0" w:evenHBand="0" w:firstRowFirstColumn="0" w:firstRowLastColumn="0" w:lastRowFirstColumn="0" w:lastRowLastColumn="0"/>
            </w:pPr>
            <w:r>
              <w:t>prior to 1 July 2009</w:t>
            </w:r>
          </w:p>
        </w:tc>
        <w:tc>
          <w:tcPr>
            <w:tcW w:w="1848" w:type="dxa"/>
          </w:tcPr>
          <w:p w:rsidR="00D311E7" w:rsidRPr="00A37394" w:rsidRDefault="00D311E7" w:rsidP="000D42D9">
            <w:pPr>
              <w:pStyle w:val="AERtabletextright"/>
              <w:cnfStyle w:val="000000000000" w:firstRow="0" w:lastRow="0" w:firstColumn="0" w:lastColumn="0" w:oddVBand="0" w:evenVBand="0" w:oddHBand="0" w:evenHBand="0" w:firstRowFirstColumn="0" w:firstRowLastColumn="0" w:lastRowFirstColumn="0" w:lastRowLastColumn="0"/>
            </w:pPr>
            <w:r>
              <w:t xml:space="preserve">Endeavour </w:t>
            </w:r>
            <w:r w:rsidRPr="00A37394">
              <w:t>Energy</w:t>
            </w:r>
          </w:p>
        </w:tc>
        <w:tc>
          <w:tcPr>
            <w:tcW w:w="1849" w:type="dxa"/>
          </w:tcPr>
          <w:p w:rsidR="00D311E7" w:rsidRPr="00A37394" w:rsidRDefault="00D311E7" w:rsidP="000D42D9">
            <w:pPr>
              <w:pStyle w:val="AERtabletextright"/>
              <w:cnfStyle w:val="000000000000" w:firstRow="0" w:lastRow="0" w:firstColumn="0" w:lastColumn="0" w:oddVBand="0" w:evenVBand="0" w:oddHBand="0" w:evenHBand="0" w:firstRowFirstColumn="0" w:firstRowLastColumn="0" w:lastRowFirstColumn="0" w:lastRowLastColumn="0"/>
            </w:pPr>
            <w:r>
              <w:t>Endeavour Energy</w:t>
            </w:r>
          </w:p>
        </w:tc>
        <w:tc>
          <w:tcPr>
            <w:tcW w:w="1849" w:type="dxa"/>
          </w:tcPr>
          <w:p w:rsidR="00D311E7" w:rsidRPr="00A37394" w:rsidRDefault="00D311E7" w:rsidP="000D42D9">
            <w:pPr>
              <w:pStyle w:val="AERtabletextright"/>
              <w:cnfStyle w:val="000000000000" w:firstRow="0" w:lastRow="0" w:firstColumn="0" w:lastColumn="0" w:oddVBand="0" w:evenVBand="0" w:oddHBand="0" w:evenHBand="0" w:firstRowFirstColumn="0" w:firstRowLastColumn="0" w:lastRowFirstColumn="0" w:lastRowLastColumn="0"/>
            </w:pPr>
            <w:r>
              <w:t>Endeavour Energy</w:t>
            </w:r>
          </w:p>
        </w:tc>
      </w:tr>
      <w:tr w:rsidR="00D311E7" w:rsidTr="00F27D0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8" w:type="dxa"/>
          </w:tcPr>
          <w:p w:rsidR="00D311E7" w:rsidRPr="00A37394" w:rsidRDefault="00D311E7" w:rsidP="007848A6">
            <w:pPr>
              <w:pStyle w:val="AERtabletextleft"/>
            </w:pPr>
            <w:r>
              <w:t>Rate 2</w:t>
            </w:r>
          </w:p>
        </w:tc>
        <w:tc>
          <w:tcPr>
            <w:tcW w:w="1848" w:type="dxa"/>
          </w:tcPr>
          <w:p w:rsidR="00D311E7" w:rsidRPr="00A37394" w:rsidRDefault="00D311E7" w:rsidP="000D42D9">
            <w:pPr>
              <w:pStyle w:val="AERtabletextright"/>
              <w:cnfStyle w:val="000000010000" w:firstRow="0" w:lastRow="0" w:firstColumn="0" w:lastColumn="0" w:oddVBand="0" w:evenVBand="0" w:oddHBand="0" w:evenHBand="1" w:firstRowFirstColumn="0" w:firstRowLastColumn="0" w:lastRowFirstColumn="0" w:lastRowLastColumn="0"/>
            </w:pPr>
            <w:r>
              <w:t xml:space="preserve">prior to 1 </w:t>
            </w:r>
            <w:r w:rsidRPr="00A37394">
              <w:t>July 2009</w:t>
            </w:r>
          </w:p>
        </w:tc>
        <w:tc>
          <w:tcPr>
            <w:tcW w:w="1848" w:type="dxa"/>
          </w:tcPr>
          <w:p w:rsidR="00D311E7" w:rsidRPr="00A37394" w:rsidRDefault="00D311E7" w:rsidP="000D42D9">
            <w:pPr>
              <w:pStyle w:val="AERtabletextright"/>
              <w:cnfStyle w:val="000000010000" w:firstRow="0" w:lastRow="0" w:firstColumn="0" w:lastColumn="0" w:oddVBand="0" w:evenVBand="0" w:oddHBand="0" w:evenHBand="1" w:firstRowFirstColumn="0" w:firstRowLastColumn="0" w:lastRowFirstColumn="0" w:lastRowLastColumn="0"/>
            </w:pPr>
            <w:r>
              <w:t>Customer</w:t>
            </w:r>
          </w:p>
        </w:tc>
        <w:tc>
          <w:tcPr>
            <w:tcW w:w="1849" w:type="dxa"/>
          </w:tcPr>
          <w:p w:rsidR="00D311E7" w:rsidRPr="00A37394" w:rsidRDefault="00D311E7" w:rsidP="000D42D9">
            <w:pPr>
              <w:pStyle w:val="AERtabletextright"/>
              <w:cnfStyle w:val="000000010000" w:firstRow="0" w:lastRow="0" w:firstColumn="0" w:lastColumn="0" w:oddVBand="0" w:evenVBand="0" w:oddHBand="0" w:evenHBand="1" w:firstRowFirstColumn="0" w:firstRowLastColumn="0" w:lastRowFirstColumn="0" w:lastRowLastColumn="0"/>
            </w:pPr>
            <w:r>
              <w:t>Endeavour Energy</w:t>
            </w:r>
          </w:p>
        </w:tc>
        <w:tc>
          <w:tcPr>
            <w:tcW w:w="1849" w:type="dxa"/>
          </w:tcPr>
          <w:p w:rsidR="00D311E7" w:rsidRPr="00A37394" w:rsidRDefault="00D311E7" w:rsidP="000D42D9">
            <w:pPr>
              <w:pStyle w:val="AERtabletextright"/>
              <w:cnfStyle w:val="000000010000" w:firstRow="0" w:lastRow="0" w:firstColumn="0" w:lastColumn="0" w:oddVBand="0" w:evenVBand="0" w:oddHBand="0" w:evenHBand="1" w:firstRowFirstColumn="0" w:firstRowLastColumn="0" w:lastRowFirstColumn="0" w:lastRowLastColumn="0"/>
            </w:pPr>
            <w:r>
              <w:t>Endeavour Energy</w:t>
            </w:r>
          </w:p>
        </w:tc>
      </w:tr>
      <w:tr w:rsidR="00D311E7" w:rsidTr="00F27D00">
        <w:tc>
          <w:tcPr>
            <w:cnfStyle w:val="001000000000" w:firstRow="0" w:lastRow="0" w:firstColumn="1" w:lastColumn="0" w:oddVBand="0" w:evenVBand="0" w:oddHBand="0" w:evenHBand="0" w:firstRowFirstColumn="0" w:firstRowLastColumn="0" w:lastRowFirstColumn="0" w:lastRowLastColumn="0"/>
            <w:tcW w:w="1848" w:type="dxa"/>
          </w:tcPr>
          <w:p w:rsidR="00D311E7" w:rsidRPr="00A37394" w:rsidRDefault="00D311E7" w:rsidP="007848A6">
            <w:pPr>
              <w:pStyle w:val="AERtabletextleft"/>
            </w:pPr>
            <w:r>
              <w:t xml:space="preserve">Rate 3 </w:t>
            </w:r>
          </w:p>
        </w:tc>
        <w:tc>
          <w:tcPr>
            <w:tcW w:w="1848" w:type="dxa"/>
          </w:tcPr>
          <w:p w:rsidR="00D311E7" w:rsidRPr="00A37394" w:rsidRDefault="00D311E7" w:rsidP="000D42D9">
            <w:pPr>
              <w:pStyle w:val="AERtabletextright"/>
              <w:cnfStyle w:val="000000000000" w:firstRow="0" w:lastRow="0" w:firstColumn="0" w:lastColumn="0" w:oddVBand="0" w:evenVBand="0" w:oddHBand="0" w:evenHBand="0" w:firstRowFirstColumn="0" w:firstRowLastColumn="0" w:lastRowFirstColumn="0" w:lastRowLastColumn="0"/>
            </w:pPr>
            <w:r>
              <w:t>after 30 June 2009</w:t>
            </w:r>
          </w:p>
        </w:tc>
        <w:tc>
          <w:tcPr>
            <w:tcW w:w="1848" w:type="dxa"/>
          </w:tcPr>
          <w:p w:rsidR="00D311E7" w:rsidRPr="00A37394" w:rsidRDefault="00D311E7" w:rsidP="000D42D9">
            <w:pPr>
              <w:pStyle w:val="AERtabletextright"/>
              <w:cnfStyle w:val="000000000000" w:firstRow="0" w:lastRow="0" w:firstColumn="0" w:lastColumn="0" w:oddVBand="0" w:evenVBand="0" w:oddHBand="0" w:evenHBand="0" w:firstRowFirstColumn="0" w:firstRowLastColumn="0" w:lastRowFirstColumn="0" w:lastRowLastColumn="0"/>
            </w:pPr>
            <w:r>
              <w:t>Endeavour Energy</w:t>
            </w:r>
          </w:p>
        </w:tc>
        <w:tc>
          <w:tcPr>
            <w:tcW w:w="1849" w:type="dxa"/>
          </w:tcPr>
          <w:p w:rsidR="00D311E7" w:rsidRPr="00A37394" w:rsidRDefault="00D311E7" w:rsidP="000D42D9">
            <w:pPr>
              <w:pStyle w:val="AERtabletextright"/>
              <w:cnfStyle w:val="000000000000" w:firstRow="0" w:lastRow="0" w:firstColumn="0" w:lastColumn="0" w:oddVBand="0" w:evenVBand="0" w:oddHBand="0" w:evenHBand="0" w:firstRowFirstColumn="0" w:firstRowLastColumn="0" w:lastRowFirstColumn="0" w:lastRowLastColumn="0"/>
            </w:pPr>
            <w:r>
              <w:t>Endeavour Energy</w:t>
            </w:r>
          </w:p>
        </w:tc>
        <w:tc>
          <w:tcPr>
            <w:tcW w:w="1849" w:type="dxa"/>
          </w:tcPr>
          <w:p w:rsidR="00D311E7" w:rsidRPr="00A37394" w:rsidRDefault="00D311E7" w:rsidP="000D42D9">
            <w:pPr>
              <w:pStyle w:val="AERtabletextright"/>
              <w:cnfStyle w:val="000000000000" w:firstRow="0" w:lastRow="0" w:firstColumn="0" w:lastColumn="0" w:oddVBand="0" w:evenVBand="0" w:oddHBand="0" w:evenHBand="0" w:firstRowFirstColumn="0" w:firstRowLastColumn="0" w:lastRowFirstColumn="0" w:lastRowLastColumn="0"/>
            </w:pPr>
            <w:r>
              <w:t>Endeavour Energy</w:t>
            </w:r>
          </w:p>
        </w:tc>
      </w:tr>
      <w:tr w:rsidR="00D311E7" w:rsidTr="00F27D0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8" w:type="dxa"/>
          </w:tcPr>
          <w:p w:rsidR="00D311E7" w:rsidRPr="00A37394" w:rsidRDefault="00D311E7" w:rsidP="007848A6">
            <w:pPr>
              <w:pStyle w:val="AERtabletextleft"/>
            </w:pPr>
            <w:r>
              <w:t>Rate 4</w:t>
            </w:r>
          </w:p>
        </w:tc>
        <w:tc>
          <w:tcPr>
            <w:tcW w:w="1848" w:type="dxa"/>
          </w:tcPr>
          <w:p w:rsidR="00D311E7" w:rsidRPr="00A37394" w:rsidRDefault="00D311E7" w:rsidP="000D42D9">
            <w:pPr>
              <w:pStyle w:val="AERtabletextright"/>
              <w:cnfStyle w:val="000000010000" w:firstRow="0" w:lastRow="0" w:firstColumn="0" w:lastColumn="0" w:oddVBand="0" w:evenVBand="0" w:oddHBand="0" w:evenHBand="1" w:firstRowFirstColumn="0" w:firstRowLastColumn="0" w:lastRowFirstColumn="0" w:lastRowLastColumn="0"/>
            </w:pPr>
            <w:r>
              <w:t>after 30 June 2009</w:t>
            </w:r>
          </w:p>
        </w:tc>
        <w:tc>
          <w:tcPr>
            <w:tcW w:w="1848" w:type="dxa"/>
          </w:tcPr>
          <w:p w:rsidR="00D311E7" w:rsidRPr="00A37394" w:rsidRDefault="00D311E7" w:rsidP="000D42D9">
            <w:pPr>
              <w:pStyle w:val="AERtabletextright"/>
              <w:cnfStyle w:val="000000010000" w:firstRow="0" w:lastRow="0" w:firstColumn="0" w:lastColumn="0" w:oddVBand="0" w:evenVBand="0" w:oddHBand="0" w:evenHBand="1" w:firstRowFirstColumn="0" w:firstRowLastColumn="0" w:lastRowFirstColumn="0" w:lastRowLastColumn="0"/>
            </w:pPr>
            <w:r>
              <w:t>Customer</w:t>
            </w:r>
          </w:p>
        </w:tc>
        <w:tc>
          <w:tcPr>
            <w:tcW w:w="1849" w:type="dxa"/>
          </w:tcPr>
          <w:p w:rsidR="00D311E7" w:rsidRPr="00A37394" w:rsidRDefault="00D311E7" w:rsidP="000D42D9">
            <w:pPr>
              <w:pStyle w:val="AERtabletextright"/>
              <w:cnfStyle w:val="000000010000" w:firstRow="0" w:lastRow="0" w:firstColumn="0" w:lastColumn="0" w:oddVBand="0" w:evenVBand="0" w:oddHBand="0" w:evenHBand="1" w:firstRowFirstColumn="0" w:firstRowLastColumn="0" w:lastRowFirstColumn="0" w:lastRowLastColumn="0"/>
            </w:pPr>
            <w:r>
              <w:t>Endeavour Energy</w:t>
            </w:r>
          </w:p>
        </w:tc>
        <w:tc>
          <w:tcPr>
            <w:tcW w:w="1849" w:type="dxa"/>
          </w:tcPr>
          <w:p w:rsidR="00D311E7" w:rsidRPr="00A37394" w:rsidRDefault="00D311E7" w:rsidP="000D42D9">
            <w:pPr>
              <w:pStyle w:val="AERtabletextright"/>
              <w:cnfStyle w:val="000000010000" w:firstRow="0" w:lastRow="0" w:firstColumn="0" w:lastColumn="0" w:oddVBand="0" w:evenVBand="0" w:oddHBand="0" w:evenHBand="1" w:firstRowFirstColumn="0" w:firstRowLastColumn="0" w:lastRowFirstColumn="0" w:lastRowLastColumn="0"/>
            </w:pPr>
            <w:r>
              <w:t>Endeavour Energy</w:t>
            </w:r>
          </w:p>
        </w:tc>
      </w:tr>
      <w:tr w:rsidR="00D311E7" w:rsidTr="00F27D00">
        <w:tc>
          <w:tcPr>
            <w:cnfStyle w:val="001000000000" w:firstRow="0" w:lastRow="0" w:firstColumn="1" w:lastColumn="0" w:oddVBand="0" w:evenVBand="0" w:oddHBand="0" w:evenHBand="0" w:firstRowFirstColumn="0" w:firstRowLastColumn="0" w:lastRowFirstColumn="0" w:lastRowLastColumn="0"/>
            <w:tcW w:w="1848" w:type="dxa"/>
          </w:tcPr>
          <w:p w:rsidR="00D311E7" w:rsidRPr="00A37394" w:rsidRDefault="00D311E7" w:rsidP="007848A6">
            <w:pPr>
              <w:pStyle w:val="AERtabletextleft"/>
            </w:pPr>
            <w:r>
              <w:t>Rate 6</w:t>
            </w:r>
          </w:p>
        </w:tc>
        <w:tc>
          <w:tcPr>
            <w:tcW w:w="1848" w:type="dxa"/>
          </w:tcPr>
          <w:p w:rsidR="00D311E7" w:rsidRPr="00A37394" w:rsidRDefault="00D311E7" w:rsidP="000D42D9">
            <w:pPr>
              <w:pStyle w:val="AERtabletextright"/>
              <w:cnfStyle w:val="000000000000" w:firstRow="0" w:lastRow="0" w:firstColumn="0" w:lastColumn="0" w:oddVBand="0" w:evenVBand="0" w:oddHBand="0" w:evenHBand="0" w:firstRowFirstColumn="0" w:firstRowLastColumn="0" w:lastRowFirstColumn="0" w:lastRowLastColumn="0"/>
            </w:pPr>
            <w:r>
              <w:t>N/A</w:t>
            </w:r>
          </w:p>
        </w:tc>
        <w:tc>
          <w:tcPr>
            <w:tcW w:w="1848" w:type="dxa"/>
          </w:tcPr>
          <w:p w:rsidR="00D311E7" w:rsidRPr="00A37394" w:rsidRDefault="00D311E7" w:rsidP="000D42D9">
            <w:pPr>
              <w:pStyle w:val="AERtabletextright"/>
              <w:cnfStyle w:val="000000000000" w:firstRow="0" w:lastRow="0" w:firstColumn="0" w:lastColumn="0" w:oddVBand="0" w:evenVBand="0" w:oddHBand="0" w:evenHBand="0" w:firstRowFirstColumn="0" w:firstRowLastColumn="0" w:lastRowFirstColumn="0" w:lastRowLastColumn="0"/>
            </w:pPr>
            <w:r>
              <w:t>Customer</w:t>
            </w:r>
          </w:p>
        </w:tc>
        <w:tc>
          <w:tcPr>
            <w:tcW w:w="1849" w:type="dxa"/>
          </w:tcPr>
          <w:p w:rsidR="00D311E7" w:rsidRPr="00A37394" w:rsidRDefault="00D311E7" w:rsidP="000D42D9">
            <w:pPr>
              <w:pStyle w:val="AERtabletextright"/>
              <w:cnfStyle w:val="000000000000" w:firstRow="0" w:lastRow="0" w:firstColumn="0" w:lastColumn="0" w:oddVBand="0" w:evenVBand="0" w:oddHBand="0" w:evenHBand="0" w:firstRowFirstColumn="0" w:firstRowLastColumn="0" w:lastRowFirstColumn="0" w:lastRowLastColumn="0"/>
            </w:pPr>
            <w:r>
              <w:t>Endeavour Energy manages the lamp</w:t>
            </w:r>
          </w:p>
        </w:tc>
        <w:tc>
          <w:tcPr>
            <w:tcW w:w="1849" w:type="dxa"/>
          </w:tcPr>
          <w:p w:rsidR="00D311E7" w:rsidRPr="00A37394" w:rsidRDefault="00D311E7" w:rsidP="000D42D9">
            <w:pPr>
              <w:pStyle w:val="AERtabletextright"/>
              <w:cnfStyle w:val="000000000000" w:firstRow="0" w:lastRow="0" w:firstColumn="0" w:lastColumn="0" w:oddVBand="0" w:evenVBand="0" w:oddHBand="0" w:evenHBand="0" w:firstRowFirstColumn="0" w:firstRowLastColumn="0" w:lastRowFirstColumn="0" w:lastRowLastColumn="0"/>
            </w:pPr>
            <w:r>
              <w:t>Endeavour Energy Customer Photo cell and Fuse. Rest of maintenance by the customer.</w:t>
            </w:r>
          </w:p>
        </w:tc>
      </w:tr>
    </w:tbl>
    <w:p w:rsidR="00D311E7" w:rsidRPr="00735A00" w:rsidRDefault="00C66805" w:rsidP="00C66805">
      <w:pPr>
        <w:pStyle w:val="AERtablesource"/>
      </w:pPr>
      <w:r>
        <w:t>Source: Endeavour Energy.</w:t>
      </w:r>
    </w:p>
    <w:p w:rsidR="00D311E7" w:rsidRDefault="00D311E7" w:rsidP="00D311E7">
      <w:pPr>
        <w:pStyle w:val="Heading3"/>
      </w:pPr>
      <w:bookmarkStart w:id="70" w:name="_Toc404324968"/>
      <w:r>
        <w:t>Assessment approach</w:t>
      </w:r>
      <w:bookmarkEnd w:id="70"/>
    </w:p>
    <w:p w:rsidR="00D311E7" w:rsidRDefault="00D311E7" w:rsidP="00D311E7">
      <w:pPr>
        <w:pStyle w:val="AERbodytext"/>
      </w:pPr>
      <w:r>
        <w:t xml:space="preserve">In our 2009–10 to 2013–14 decision we decided it was important to </w:t>
      </w:r>
      <w:r w:rsidRPr="00E57E9B">
        <w:t>develop two schedules of prices, one for assets constructed prior to 1 July 2009 and</w:t>
      </w:r>
      <w:r>
        <w:t xml:space="preserve"> </w:t>
      </w:r>
      <w:r w:rsidRPr="00E57E9B">
        <w:t xml:space="preserve">another for those assets constructed after 30 June 2009. </w:t>
      </w:r>
      <w:r>
        <w:t xml:space="preserve">This was due to the limited information on the age of assets constructed before 1 July 2009. Accordingly public lighting charges are set to recover capital charges for pre 2009 assets, capital charges for post 2009 assets and maintenance charges for both pre 2009 assets and post 2009 assets. </w:t>
      </w:r>
    </w:p>
    <w:p w:rsidR="00D311E7" w:rsidRDefault="00D311E7" w:rsidP="00D311E7">
      <w:pPr>
        <w:pStyle w:val="AERbodytext"/>
      </w:pPr>
      <w:r>
        <w:t>The capital charges for the</w:t>
      </w:r>
      <w:r>
        <w:rPr>
          <w:rStyle w:val="AERbody"/>
        </w:rPr>
        <w:t xml:space="preserve"> pre 2009 assets were developed using a building block approach. Those are depreciated in accordance with the building block model</w:t>
      </w:r>
      <w:r w:rsidRPr="009F3306">
        <w:rPr>
          <w:rStyle w:val="AERbody"/>
        </w:rPr>
        <w:t xml:space="preserve">. </w:t>
      </w:r>
      <w:r w:rsidRPr="008658EA">
        <w:rPr>
          <w:rStyle w:val="AERbody"/>
        </w:rPr>
        <w:t>This model rolls forward the regulatory asset base (RAB) with allowance for depreciation, indexation and assets that are written off. It calculates the return of capital for each public lighting customer as well as the residual values of components that are replaced before the end of their economic life. There is no additional capital expenditure component. We have reviewed the capital charges model to ensure that depreciation, asset lives and weighted average cost of capital</w:t>
      </w:r>
      <w:r w:rsidRPr="009F3306">
        <w:rPr>
          <w:rStyle w:val="AERbody"/>
        </w:rPr>
        <w:t xml:space="preserve"> (WACC) have been</w:t>
      </w:r>
      <w:r w:rsidRPr="00840143">
        <w:rPr>
          <w:rStyle w:val="AERbody"/>
        </w:rPr>
        <w:t xml:space="preserve"> correctly applied as per </w:t>
      </w:r>
      <w:r>
        <w:rPr>
          <w:rStyle w:val="AERbody"/>
        </w:rPr>
        <w:t>our</w:t>
      </w:r>
      <w:r w:rsidRPr="00840143">
        <w:rPr>
          <w:rStyle w:val="AERbody"/>
        </w:rPr>
        <w:t xml:space="preserve"> </w:t>
      </w:r>
      <w:r>
        <w:rPr>
          <w:rStyle w:val="AERbody"/>
        </w:rPr>
        <w:t>2009–14 decision</w:t>
      </w:r>
      <w:r w:rsidRPr="00840143">
        <w:rPr>
          <w:rStyle w:val="AERbody"/>
        </w:rPr>
        <w:t xml:space="preserve">. We </w:t>
      </w:r>
      <w:r>
        <w:rPr>
          <w:rStyle w:val="AERbody"/>
        </w:rPr>
        <w:t>have made no further</w:t>
      </w:r>
      <w:r w:rsidRPr="00840143">
        <w:rPr>
          <w:rStyle w:val="AERbody"/>
        </w:rPr>
        <w:t xml:space="preserve"> changes to the inputs or assumptions underlying these models </w:t>
      </w:r>
      <w:r>
        <w:rPr>
          <w:rStyle w:val="AERbody"/>
        </w:rPr>
        <w:t>which were comprehensively addressed in our 2009–14 determination.</w:t>
      </w:r>
    </w:p>
    <w:p w:rsidR="00D311E7" w:rsidRPr="00840143" w:rsidRDefault="00D311E7" w:rsidP="00D311E7">
      <w:pPr>
        <w:pStyle w:val="AERbodytext"/>
        <w:rPr>
          <w:rStyle w:val="AERbody"/>
        </w:rPr>
      </w:pPr>
      <w:r>
        <w:t xml:space="preserve">Capital charges for post 30 June 2009 assets </w:t>
      </w:r>
      <w:r>
        <w:rPr>
          <w:rStyle w:val="AERbody"/>
        </w:rPr>
        <w:t>are determined using an annuity capital charge approach, which this draft decision continues with</w:t>
      </w:r>
      <w:r w:rsidRPr="009F3306">
        <w:rPr>
          <w:rStyle w:val="AERbody"/>
        </w:rPr>
        <w:t xml:space="preserve">. </w:t>
      </w:r>
      <w:r w:rsidRPr="008658EA">
        <w:rPr>
          <w:rStyle w:val="AERbody"/>
        </w:rPr>
        <w:t>This model derives an annuity charge for each asset, taking into account the capital cost, expected service life and the WACC.</w:t>
      </w:r>
      <w:r w:rsidRPr="009F3306">
        <w:rPr>
          <w:rStyle w:val="AERbody"/>
        </w:rPr>
        <w:t xml:space="preserve"> In reviewing post </w:t>
      </w:r>
      <w:r w:rsidRPr="009F3306">
        <w:t xml:space="preserve">30 June </w:t>
      </w:r>
      <w:r w:rsidRPr="009F3306">
        <w:rPr>
          <w:rStyle w:val="AERbody"/>
        </w:rPr>
        <w:t>2009 capital charges we have focussed on the major</w:t>
      </w:r>
      <w:r w:rsidRPr="00840143">
        <w:rPr>
          <w:rStyle w:val="AERbody"/>
        </w:rPr>
        <w:t xml:space="preserve"> light types used by N</w:t>
      </w:r>
      <w:r>
        <w:rPr>
          <w:rStyle w:val="AERbody"/>
        </w:rPr>
        <w:t xml:space="preserve">ew </w:t>
      </w:r>
      <w:r w:rsidRPr="00840143">
        <w:rPr>
          <w:rStyle w:val="AERbody"/>
        </w:rPr>
        <w:t>S</w:t>
      </w:r>
      <w:r>
        <w:rPr>
          <w:rStyle w:val="AERbody"/>
        </w:rPr>
        <w:t xml:space="preserve">outh </w:t>
      </w:r>
      <w:r w:rsidRPr="00840143">
        <w:rPr>
          <w:rStyle w:val="AERbody"/>
        </w:rPr>
        <w:t>W</w:t>
      </w:r>
      <w:r>
        <w:rPr>
          <w:rStyle w:val="AERbody"/>
        </w:rPr>
        <w:t>ales</w:t>
      </w:r>
      <w:r w:rsidRPr="00840143">
        <w:rPr>
          <w:rStyle w:val="AERbody"/>
        </w:rPr>
        <w:t xml:space="preserve"> distributors</w:t>
      </w:r>
      <w:r>
        <w:rPr>
          <w:rStyle w:val="AERbody"/>
        </w:rPr>
        <w:t>;</w:t>
      </w:r>
      <w:r w:rsidRPr="00840143">
        <w:rPr>
          <w:rStyle w:val="AERbody"/>
        </w:rPr>
        <w:t xml:space="preserve"> the Merc</w:t>
      </w:r>
      <w:r>
        <w:rPr>
          <w:rStyle w:val="AERbody"/>
        </w:rPr>
        <w:t>ur</w:t>
      </w:r>
      <w:r w:rsidRPr="00840143">
        <w:rPr>
          <w:rStyle w:val="AERbody"/>
        </w:rPr>
        <w:t xml:space="preserve">y Vapour 80, Compact Fluorescent 42 and High Pressure Sodium's (70, 150 and 250 watt).  </w:t>
      </w:r>
    </w:p>
    <w:p w:rsidR="00D311E7" w:rsidRDefault="00D311E7" w:rsidP="00D311E7">
      <w:pPr>
        <w:pStyle w:val="AERbodytext"/>
      </w:pPr>
      <w:r>
        <w:t>We have identified the maintenance charges as being the major driver for the proposed increases in public lighting charges. In this review we focused our attention on the following key maintenance inputs  and to benchmarked these against the Victorian distribution businesses:</w:t>
      </w:r>
    </w:p>
    <w:p w:rsidR="00D311E7" w:rsidRDefault="00D311E7" w:rsidP="00D311E7">
      <w:pPr>
        <w:pStyle w:val="AERbulletlistsecondstyle"/>
      </w:pPr>
      <w:r>
        <w:t>The bulk light replacement rate</w:t>
      </w:r>
    </w:p>
    <w:p w:rsidR="00D311E7" w:rsidRDefault="00D311E7" w:rsidP="00D311E7">
      <w:pPr>
        <w:pStyle w:val="AERbulletlistsecondstyle"/>
      </w:pPr>
      <w:r>
        <w:t>Spot replacements per day</w:t>
      </w:r>
    </w:p>
    <w:p w:rsidR="00D311E7" w:rsidRDefault="00D311E7" w:rsidP="00D311E7">
      <w:pPr>
        <w:pStyle w:val="AERbulletlistsecondstyle"/>
      </w:pPr>
      <w:r>
        <w:t>Lamp spot failure rates</w:t>
      </w:r>
    </w:p>
    <w:p w:rsidR="00D311E7" w:rsidRDefault="00D311E7" w:rsidP="00D311E7">
      <w:pPr>
        <w:pStyle w:val="AERbulletlistsecondstyle"/>
      </w:pPr>
      <w:r>
        <w:t>Labour rates</w:t>
      </w:r>
      <w:r w:rsidR="000B0C8B">
        <w:t>.</w:t>
      </w:r>
      <w:r>
        <w:t xml:space="preserve"> </w:t>
      </w:r>
    </w:p>
    <w:p w:rsidR="00D311E7" w:rsidRDefault="00D311E7" w:rsidP="00D311E7">
      <w:pPr>
        <w:pStyle w:val="AERbodytext"/>
      </w:pPr>
      <w:r w:rsidRPr="00995267">
        <w:t>Endeavour's top down approach to public lighting differs from the current approach and the approach adopted by both E</w:t>
      </w:r>
      <w:r>
        <w:t>ssential Energy and Ausgrid. In assessing Endeavour's approach we have had to ask for further information regarding labour rates, spot replacements and failure rates as these were not explicit in Endeavour Energy's proposal.</w:t>
      </w:r>
    </w:p>
    <w:p w:rsidR="00D311E7" w:rsidRPr="00995267" w:rsidRDefault="00D311E7" w:rsidP="00D311E7">
      <w:pPr>
        <w:pStyle w:val="AERbodytext"/>
      </w:pPr>
      <w:r>
        <w:t>Our review of Endeavour Energy has been to consider the proposed charges and further information in response to our information requests.</w:t>
      </w:r>
    </w:p>
    <w:p w:rsidR="00D311E7" w:rsidRDefault="00D311E7" w:rsidP="00D311E7">
      <w:pPr>
        <w:pStyle w:val="Heading3"/>
      </w:pPr>
      <w:bookmarkStart w:id="71" w:name="_Toc404324969"/>
      <w:r>
        <w:t>Submissions</w:t>
      </w:r>
      <w:bookmarkEnd w:id="71"/>
    </w:p>
    <w:p w:rsidR="00D311E7" w:rsidRPr="00A325F0" w:rsidRDefault="00D311E7" w:rsidP="00D311E7">
      <w:pPr>
        <w:pStyle w:val="AERbodytext"/>
        <w:rPr>
          <w:rStyle w:val="AERbody"/>
        </w:rPr>
      </w:pPr>
      <w:r w:rsidRPr="00A325F0">
        <w:rPr>
          <w:rStyle w:val="AERbody"/>
        </w:rPr>
        <w:t xml:space="preserve">Councils made the </w:t>
      </w:r>
      <w:r w:rsidRPr="00A325F0">
        <w:t xml:space="preserve">following </w:t>
      </w:r>
      <w:r w:rsidRPr="00A325F0">
        <w:rPr>
          <w:rStyle w:val="AERbody"/>
        </w:rPr>
        <w:t>submissions on Endeavour Energy's proposal.</w:t>
      </w:r>
      <w:r w:rsidRPr="00A325F0">
        <w:rPr>
          <w:rStyle w:val="FootnoteReference"/>
        </w:rPr>
        <w:footnoteReference w:id="89"/>
      </w:r>
    </w:p>
    <w:p w:rsidR="00D311E7" w:rsidRPr="00A325F0" w:rsidRDefault="00D311E7" w:rsidP="00D311E7">
      <w:pPr>
        <w:pStyle w:val="AERbodytext"/>
        <w:rPr>
          <w:rStyle w:val="AERbody"/>
        </w:rPr>
      </w:pPr>
      <w:r w:rsidRPr="00A325F0">
        <w:rPr>
          <w:rStyle w:val="AERbody"/>
        </w:rPr>
        <w:t>Hawkesbury Council:</w:t>
      </w:r>
    </w:p>
    <w:p w:rsidR="00D311E7" w:rsidRPr="00A325F0" w:rsidRDefault="00D311E7" w:rsidP="00D311E7">
      <w:pPr>
        <w:pStyle w:val="AERbulletlistfirststyle"/>
        <w:rPr>
          <w:rStyle w:val="AERbody"/>
        </w:rPr>
      </w:pPr>
      <w:r w:rsidRPr="00A325F0">
        <w:rPr>
          <w:rStyle w:val="AERbody"/>
        </w:rPr>
        <w:t>Welcomes keeping price increases to CPI, but notes the high starting costs base due to substantial investment in previous years and that the AER should closely investigate these base figures.</w:t>
      </w:r>
    </w:p>
    <w:p w:rsidR="00D311E7" w:rsidRPr="00A325F0" w:rsidRDefault="00D311E7" w:rsidP="00D311E7">
      <w:pPr>
        <w:pStyle w:val="AERbodytext"/>
        <w:rPr>
          <w:rStyle w:val="AERbody"/>
        </w:rPr>
      </w:pPr>
      <w:r w:rsidRPr="00A325F0">
        <w:rPr>
          <w:rStyle w:val="AERbody"/>
        </w:rPr>
        <w:t>Wollongong Council:</w:t>
      </w:r>
    </w:p>
    <w:p w:rsidR="00D311E7" w:rsidRPr="00A325F0" w:rsidRDefault="00D311E7" w:rsidP="00D311E7">
      <w:pPr>
        <w:pStyle w:val="AERbulletlistfirststyle"/>
        <w:rPr>
          <w:rStyle w:val="AERbody"/>
        </w:rPr>
      </w:pPr>
      <w:r w:rsidRPr="00A325F0">
        <w:rPr>
          <w:rStyle w:val="AERbody"/>
        </w:rPr>
        <w:t>Supports proposal for price increases of no more than 2.5 per cent.</w:t>
      </w:r>
    </w:p>
    <w:p w:rsidR="00D311E7" w:rsidRPr="00A325F0" w:rsidRDefault="00D311E7" w:rsidP="00D311E7">
      <w:pPr>
        <w:pStyle w:val="AERbodytext"/>
        <w:rPr>
          <w:rStyle w:val="AERbody"/>
        </w:rPr>
      </w:pPr>
      <w:r w:rsidRPr="00A325F0">
        <w:rPr>
          <w:rStyle w:val="AERbody"/>
        </w:rPr>
        <w:t xml:space="preserve">Camden Council's consultant, the Trans-Tasman Energy Group contends: </w:t>
      </w:r>
    </w:p>
    <w:p w:rsidR="00D311E7" w:rsidRPr="00A325F0" w:rsidRDefault="00D311E7" w:rsidP="00D311E7">
      <w:pPr>
        <w:pStyle w:val="AERbulletlistfirststyle"/>
        <w:rPr>
          <w:rStyle w:val="AERbody"/>
        </w:rPr>
      </w:pPr>
      <w:proofErr w:type="gramStart"/>
      <w:r w:rsidRPr="00A325F0">
        <w:rPr>
          <w:rStyle w:val="AERbody"/>
        </w:rPr>
        <w:t>the</w:t>
      </w:r>
      <w:proofErr w:type="gramEnd"/>
      <w:r w:rsidRPr="00A325F0">
        <w:rPr>
          <w:rStyle w:val="AERbody"/>
        </w:rPr>
        <w:t xml:space="preserve"> proposal is unnecessarily complex and that in future</w:t>
      </w:r>
      <w:r w:rsidRPr="00A325F0" w:rsidDel="00BD47BF">
        <w:rPr>
          <w:rStyle w:val="AERbody"/>
        </w:rPr>
        <w:t xml:space="preserve"> </w:t>
      </w:r>
      <w:r w:rsidRPr="00A325F0">
        <w:rPr>
          <w:rStyle w:val="AERbody"/>
        </w:rPr>
        <w:t xml:space="preserve">a simplified proposal that can be easily understood and verified ought to be developed. </w:t>
      </w:r>
    </w:p>
    <w:p w:rsidR="00D311E7" w:rsidRPr="00A325F0" w:rsidRDefault="00D311E7" w:rsidP="00D311E7">
      <w:pPr>
        <w:pStyle w:val="AERbulletlistfirststyle"/>
        <w:rPr>
          <w:rStyle w:val="AERbody"/>
        </w:rPr>
      </w:pPr>
      <w:proofErr w:type="gramStart"/>
      <w:r w:rsidRPr="00A325F0">
        <w:rPr>
          <w:rStyle w:val="AERbody"/>
        </w:rPr>
        <w:t>that</w:t>
      </w:r>
      <w:proofErr w:type="gramEnd"/>
      <w:r w:rsidRPr="00A325F0">
        <w:rPr>
          <w:rStyle w:val="AERbody"/>
        </w:rPr>
        <w:t xml:space="preserve"> the public lighting service classification should be changed to a negotiated service, so that councils can receive more information.</w:t>
      </w:r>
    </w:p>
    <w:p w:rsidR="00D311E7" w:rsidRPr="00A325F0" w:rsidRDefault="00D311E7" w:rsidP="00D311E7">
      <w:pPr>
        <w:pStyle w:val="AERbulletlistfirststyle"/>
        <w:rPr>
          <w:rStyle w:val="AERbody"/>
        </w:rPr>
      </w:pPr>
      <w:proofErr w:type="gramStart"/>
      <w:r w:rsidRPr="00A325F0">
        <w:rPr>
          <w:rStyle w:val="AERbody"/>
        </w:rPr>
        <w:t>that</w:t>
      </w:r>
      <w:proofErr w:type="gramEnd"/>
      <w:r w:rsidRPr="00A325F0">
        <w:rPr>
          <w:rStyle w:val="AERbody"/>
        </w:rPr>
        <w:t xml:space="preserve"> excessive profits well above expected industry norms are being earned.</w:t>
      </w:r>
    </w:p>
    <w:p w:rsidR="00D311E7" w:rsidRPr="00A325F0" w:rsidRDefault="00D311E7" w:rsidP="00D311E7">
      <w:pPr>
        <w:pStyle w:val="AERbulletlistfirststyle"/>
        <w:rPr>
          <w:rStyle w:val="AERbody"/>
        </w:rPr>
      </w:pPr>
      <w:proofErr w:type="gramStart"/>
      <w:r w:rsidRPr="00A325F0">
        <w:rPr>
          <w:rStyle w:val="AERbody"/>
        </w:rPr>
        <w:t>that</w:t>
      </w:r>
      <w:proofErr w:type="gramEnd"/>
      <w:r w:rsidRPr="00A325F0">
        <w:rPr>
          <w:rStyle w:val="AERbody"/>
        </w:rPr>
        <w:t xml:space="preserve"> 2011-12 capex should be the $5.55 million reported in its CAM, not the proposed $6.8 million capex.</w:t>
      </w:r>
    </w:p>
    <w:p w:rsidR="00D311E7" w:rsidRPr="00A325F0" w:rsidRDefault="00D311E7" w:rsidP="00D311E7">
      <w:pPr>
        <w:pStyle w:val="AERbulletlistfirststyle"/>
        <w:rPr>
          <w:rStyle w:val="AERbody"/>
        </w:rPr>
      </w:pPr>
      <w:r w:rsidRPr="00A325F0">
        <w:rPr>
          <w:rStyle w:val="AERbody"/>
        </w:rPr>
        <w:t>the AER should reject the inclusion of tax charges in the proposal</w:t>
      </w:r>
    </w:p>
    <w:p w:rsidR="00D311E7" w:rsidRPr="00A325F0" w:rsidRDefault="00D311E7" w:rsidP="00D311E7">
      <w:pPr>
        <w:pStyle w:val="AERbulletlistsecondstyle"/>
        <w:rPr>
          <w:rStyle w:val="AERbody"/>
        </w:rPr>
      </w:pPr>
      <w:r w:rsidRPr="00A325F0">
        <w:rPr>
          <w:rStyle w:val="AERbody"/>
        </w:rPr>
        <w:t>and further that as the tax asset base has depreciated down to $1.6 million, the asset base of $28.6 million is not justified and the proposed capital charges are not cost reflective</w:t>
      </w:r>
    </w:p>
    <w:p w:rsidR="00D311E7" w:rsidRPr="00A325F0" w:rsidRDefault="00D311E7" w:rsidP="00D311E7">
      <w:pPr>
        <w:pStyle w:val="AERbulletlistfirststyle"/>
        <w:rPr>
          <w:rStyle w:val="AERbody"/>
        </w:rPr>
      </w:pPr>
      <w:r w:rsidRPr="00A325F0">
        <w:rPr>
          <w:rStyle w:val="AERbody"/>
        </w:rPr>
        <w:t>proposed LED luminaire tariffs are not cost reflective and should be rejected and moreover emerging lighting technologies should be classified as a negotiated service</w:t>
      </w:r>
    </w:p>
    <w:p w:rsidR="00D311E7" w:rsidRPr="00A325F0" w:rsidRDefault="00D311E7" w:rsidP="00D311E7">
      <w:pPr>
        <w:pStyle w:val="AERbulletlistfirststyle"/>
        <w:rPr>
          <w:rStyle w:val="AERbody"/>
        </w:rPr>
      </w:pPr>
      <w:r>
        <w:rPr>
          <w:rStyle w:val="AERbody"/>
        </w:rPr>
        <w:t>charges should be reduced as a result of the repeal of the carbon tax</w:t>
      </w:r>
    </w:p>
    <w:p w:rsidR="00D311E7" w:rsidRPr="00A325F0" w:rsidRDefault="00D311E7" w:rsidP="00D311E7">
      <w:pPr>
        <w:pStyle w:val="AERbulletlistfirststyle"/>
        <w:rPr>
          <w:rStyle w:val="AERbody"/>
        </w:rPr>
      </w:pPr>
      <w:proofErr w:type="gramStart"/>
      <w:r w:rsidRPr="00A325F0">
        <w:rPr>
          <w:rStyle w:val="AERbody"/>
        </w:rPr>
        <w:t>there</w:t>
      </w:r>
      <w:proofErr w:type="gramEnd"/>
      <w:r w:rsidRPr="00A325F0">
        <w:rPr>
          <w:rStyle w:val="AERbody"/>
        </w:rPr>
        <w:t xml:space="preserve"> is an assumption that for tariff classes 1 to 4, luminaires will automatically be replaced at the end of their useful life, but Councils should be given the opportunity to change to tariff class 6 and own and maintain the replacement luminaire. </w:t>
      </w:r>
    </w:p>
    <w:p w:rsidR="00D311E7" w:rsidRPr="002D7215" w:rsidRDefault="00D311E7" w:rsidP="00D311E7">
      <w:pPr>
        <w:pStyle w:val="AERbodytext"/>
        <w:rPr>
          <w:rStyle w:val="AERbody"/>
        </w:rPr>
      </w:pPr>
      <w:r w:rsidRPr="002D7215">
        <w:rPr>
          <w:rStyle w:val="AERbody"/>
        </w:rPr>
        <w:t>The minutes of Endeavour E</w:t>
      </w:r>
      <w:r w:rsidR="008E02B9">
        <w:rPr>
          <w:rStyle w:val="AERbody"/>
        </w:rPr>
        <w:t>nergy's meetings with c</w:t>
      </w:r>
      <w:r w:rsidRPr="002D7215">
        <w:rPr>
          <w:rStyle w:val="AERbody"/>
        </w:rPr>
        <w:t>ouncils indicate a gene</w:t>
      </w:r>
      <w:r w:rsidR="008E02B9">
        <w:rPr>
          <w:rStyle w:val="AERbody"/>
        </w:rPr>
        <w:t>ral level of satisfaction from c</w:t>
      </w:r>
      <w:r w:rsidRPr="002D7215">
        <w:rPr>
          <w:rStyle w:val="AERbody"/>
        </w:rPr>
        <w:t>ouncils in relation to the service provided and consultation being undertaken by Endeavour Energy.</w:t>
      </w:r>
      <w:r w:rsidRPr="002D7215">
        <w:rPr>
          <w:rStyle w:val="FootnoteReference"/>
        </w:rPr>
        <w:footnoteReference w:id="90"/>
      </w:r>
    </w:p>
    <w:p w:rsidR="00D311E7" w:rsidRDefault="00D311E7" w:rsidP="00D311E7">
      <w:pPr>
        <w:pStyle w:val="Heading3"/>
      </w:pPr>
      <w:bookmarkStart w:id="72" w:name="_Toc404324970"/>
      <w:r>
        <w:t>Reasons for draft decision</w:t>
      </w:r>
      <w:bookmarkEnd w:id="72"/>
    </w:p>
    <w:p w:rsidR="00D311E7" w:rsidRDefault="00D311E7" w:rsidP="00D311E7">
      <w:pPr>
        <w:pStyle w:val="AERbodytext"/>
      </w:pPr>
      <w:r>
        <w:t xml:space="preserve">The </w:t>
      </w:r>
      <w:r w:rsidRPr="008E19C0">
        <w:t xml:space="preserve">draft decision is to not approve Endeavour Energy's proposed public lighting prices. This is because we do not accept the weighted average cost of capital </w:t>
      </w:r>
      <w:r>
        <w:t xml:space="preserve">of </w:t>
      </w:r>
      <w:r w:rsidR="009E2FA7">
        <w:t>8.83 per cent p</w:t>
      </w:r>
      <w:r w:rsidRPr="008E19C0">
        <w:t>roposed by Endeavour Energy</w:t>
      </w:r>
      <w:r>
        <w:t>, a bulk replacement program of 3 years for some of its lamps or the labour escalator.</w:t>
      </w:r>
    </w:p>
    <w:p w:rsidR="00D311E7" w:rsidRPr="00F24B29" w:rsidRDefault="00D311E7" w:rsidP="00D311E7">
      <w:pPr>
        <w:pStyle w:val="AERbodytext"/>
      </w:pPr>
      <w:r w:rsidRPr="00F24B29">
        <w:t xml:space="preserve">In relation to setting </w:t>
      </w:r>
      <w:r w:rsidR="00180045">
        <w:t>public lighting charges, we consider</w:t>
      </w:r>
      <w:r w:rsidRPr="00F24B29">
        <w:t xml:space="preserve"> </w:t>
      </w:r>
      <w:r>
        <w:t>a four year bulk lamp replacement program that applies in Victoria as</w:t>
      </w:r>
      <w:r w:rsidRPr="00F24B29">
        <w:t xml:space="preserve"> the </w:t>
      </w:r>
      <w:r>
        <w:t>appropriate benchmark.</w:t>
      </w:r>
      <w:r w:rsidRPr="00F24B29">
        <w:t xml:space="preserve"> </w:t>
      </w:r>
    </w:p>
    <w:p w:rsidR="00D311E7" w:rsidRPr="00AA0464" w:rsidRDefault="00D311E7" w:rsidP="00D311E7">
      <w:pPr>
        <w:pStyle w:val="AERbodytext"/>
      </w:pPr>
      <w:r w:rsidRPr="006A5497">
        <w:t>E</w:t>
      </w:r>
      <w:r>
        <w:t>ndeavour</w:t>
      </w:r>
      <w:r w:rsidRPr="006A5497">
        <w:t xml:space="preserve"> Energy's proposed lamp failure rate assumptions are considered efficient. The proposed failure rates reflect the benchmarks that are being achieved by efficient distributors across the NEM. </w:t>
      </w:r>
      <w:r w:rsidRPr="00AA0464">
        <w:t>The MV80 in Victoria has an assumed failure rate of 15 per cent over four years (3.75 per cent per annum) and the T5 lamps an 8.6 per cent failure rate over four years (2.15 per cent per annum).</w:t>
      </w:r>
      <w:r>
        <w:rPr>
          <w:rStyle w:val="FootnoteReference"/>
        </w:rPr>
        <w:footnoteReference w:id="91"/>
      </w:r>
    </w:p>
    <w:p w:rsidR="00D311E7" w:rsidRPr="00030616" w:rsidRDefault="00D311E7" w:rsidP="00D311E7">
      <w:pPr>
        <w:pStyle w:val="AERbodytext"/>
        <w:rPr>
          <w:rStyle w:val="AERbody"/>
        </w:rPr>
      </w:pPr>
      <w:r w:rsidRPr="00A77354">
        <w:rPr>
          <w:rStyle w:val="AERbody"/>
        </w:rPr>
        <w:t xml:space="preserve">Endeavour Energy has achieved and is again proposing for the forthcoming regulatory control period lower failure rates across its lamps of 4.46 per cent which is in line with Victorian distributors. </w:t>
      </w:r>
      <w:r w:rsidRPr="00030616">
        <w:rPr>
          <w:rStyle w:val="AERbody"/>
        </w:rPr>
        <w:t xml:space="preserve">Our draft decision failure rates are based on assessment of manufactures claimed failure rates and actual failure rates for different light types being </w:t>
      </w:r>
      <w:r w:rsidR="000B0C8B">
        <w:rPr>
          <w:rStyle w:val="AERbody"/>
        </w:rPr>
        <w:t>achieved across the NEM. We have</w:t>
      </w:r>
      <w:r w:rsidRPr="00030616">
        <w:rPr>
          <w:rStyle w:val="AERbody"/>
        </w:rPr>
        <w:t xml:space="preserve"> taken into account that observed failure rates can often be higher in the field than what is claimed by manufactures.</w:t>
      </w:r>
    </w:p>
    <w:p w:rsidR="00C26877" w:rsidRPr="00516E8C" w:rsidRDefault="00C26877" w:rsidP="000D42D9">
      <w:pPr>
        <w:pStyle w:val="Caption"/>
      </w:pPr>
      <w:r w:rsidRPr="00C26877">
        <w:t xml:space="preserve">Table </w:t>
      </w:r>
      <w:r w:rsidR="004667DE">
        <w:fldChar w:fldCharType="begin"/>
      </w:r>
      <w:r w:rsidR="004667DE">
        <w:instrText xml:space="preserve"> STYLEREF 1 \s </w:instrText>
      </w:r>
      <w:r w:rsidR="004667DE">
        <w:fldChar w:fldCharType="separate"/>
      </w:r>
      <w:r w:rsidR="003E262F">
        <w:rPr>
          <w:noProof/>
        </w:rPr>
        <w:t>16</w:t>
      </w:r>
      <w:r w:rsidR="004667DE">
        <w:rPr>
          <w:noProof/>
        </w:rPr>
        <w:fldChar w:fldCharType="end"/>
      </w:r>
      <w:r w:rsidR="003E262F">
        <w:noBreakHyphen/>
      </w:r>
      <w:r w:rsidR="004667DE">
        <w:fldChar w:fldCharType="begin"/>
      </w:r>
      <w:r w:rsidR="004667DE">
        <w:instrText xml:space="preserve"> SEQ Table \* ARABIC \s 1 </w:instrText>
      </w:r>
      <w:r w:rsidR="004667DE">
        <w:fldChar w:fldCharType="separate"/>
      </w:r>
      <w:r w:rsidR="003E262F">
        <w:rPr>
          <w:noProof/>
        </w:rPr>
        <w:t>18</w:t>
      </w:r>
      <w:r w:rsidR="004667DE">
        <w:rPr>
          <w:noProof/>
        </w:rPr>
        <w:fldChar w:fldCharType="end"/>
      </w:r>
      <w:r w:rsidRPr="00143577">
        <w:rPr>
          <w:rStyle w:val="AERtextbold"/>
          <w:b/>
        </w:rPr>
        <w:t xml:space="preserve"> Endeavour Energy Failure Rates</w:t>
      </w:r>
    </w:p>
    <w:tbl>
      <w:tblPr>
        <w:tblStyle w:val="AERtable-numbers"/>
        <w:tblW w:w="5000" w:type="pct"/>
        <w:tblLook w:val="04A0" w:firstRow="1" w:lastRow="0" w:firstColumn="1" w:lastColumn="0" w:noHBand="0" w:noVBand="1"/>
      </w:tblPr>
      <w:tblGrid>
        <w:gridCol w:w="3119"/>
        <w:gridCol w:w="1021"/>
        <w:gridCol w:w="1021"/>
        <w:gridCol w:w="1021"/>
        <w:gridCol w:w="1020"/>
        <w:gridCol w:w="1020"/>
        <w:gridCol w:w="1020"/>
      </w:tblGrid>
      <w:tr w:rsidR="00D311E7" w:rsidTr="00F27D0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87" w:type="pct"/>
          </w:tcPr>
          <w:p w:rsidR="00D311E7" w:rsidRDefault="00D311E7" w:rsidP="00F27D00">
            <w:pPr>
              <w:rPr>
                <w:rStyle w:val="AERtextbold"/>
              </w:rPr>
            </w:pPr>
          </w:p>
        </w:tc>
        <w:tc>
          <w:tcPr>
            <w:tcW w:w="552" w:type="pct"/>
          </w:tcPr>
          <w:p w:rsidR="00D311E7" w:rsidRDefault="00D311E7" w:rsidP="00F27D00">
            <w:pPr>
              <w:pStyle w:val="AERtabletextright"/>
              <w:cnfStyle w:val="100000000000" w:firstRow="1" w:lastRow="0" w:firstColumn="0" w:lastColumn="0" w:oddVBand="0" w:evenVBand="0" w:oddHBand="0" w:evenHBand="0" w:firstRowFirstColumn="0" w:firstRowLastColumn="0" w:lastRowFirstColumn="0" w:lastRowLastColumn="0"/>
              <w:rPr>
                <w:rStyle w:val="AERtextbold"/>
              </w:rPr>
            </w:pPr>
            <w:r>
              <w:rPr>
                <w:rStyle w:val="AERtextbold"/>
              </w:rPr>
              <w:t>2008-09</w:t>
            </w:r>
          </w:p>
        </w:tc>
        <w:tc>
          <w:tcPr>
            <w:tcW w:w="552" w:type="pct"/>
          </w:tcPr>
          <w:p w:rsidR="00D311E7" w:rsidRDefault="00D311E7" w:rsidP="00F27D00">
            <w:pPr>
              <w:pStyle w:val="AERtabletextright"/>
              <w:cnfStyle w:val="100000000000" w:firstRow="1" w:lastRow="0" w:firstColumn="0" w:lastColumn="0" w:oddVBand="0" w:evenVBand="0" w:oddHBand="0" w:evenHBand="0" w:firstRowFirstColumn="0" w:firstRowLastColumn="0" w:lastRowFirstColumn="0" w:lastRowLastColumn="0"/>
              <w:rPr>
                <w:rStyle w:val="AERtextbold"/>
              </w:rPr>
            </w:pPr>
            <w:r>
              <w:rPr>
                <w:rStyle w:val="AERtextbold"/>
              </w:rPr>
              <w:t>2009-10</w:t>
            </w:r>
          </w:p>
        </w:tc>
        <w:tc>
          <w:tcPr>
            <w:tcW w:w="552" w:type="pct"/>
          </w:tcPr>
          <w:p w:rsidR="00D311E7" w:rsidRDefault="00D311E7" w:rsidP="00F27D00">
            <w:pPr>
              <w:pStyle w:val="AERtabletextright"/>
              <w:cnfStyle w:val="100000000000" w:firstRow="1" w:lastRow="0" w:firstColumn="0" w:lastColumn="0" w:oddVBand="0" w:evenVBand="0" w:oddHBand="0" w:evenHBand="0" w:firstRowFirstColumn="0" w:firstRowLastColumn="0" w:lastRowFirstColumn="0" w:lastRowLastColumn="0"/>
              <w:rPr>
                <w:rStyle w:val="AERtextbold"/>
              </w:rPr>
            </w:pPr>
            <w:r>
              <w:rPr>
                <w:rStyle w:val="AERtextbold"/>
              </w:rPr>
              <w:t>2010-11</w:t>
            </w:r>
          </w:p>
        </w:tc>
        <w:tc>
          <w:tcPr>
            <w:tcW w:w="552" w:type="pct"/>
          </w:tcPr>
          <w:p w:rsidR="00D311E7" w:rsidRDefault="00D311E7" w:rsidP="00F27D00">
            <w:pPr>
              <w:pStyle w:val="AERtabletextright"/>
              <w:cnfStyle w:val="100000000000" w:firstRow="1" w:lastRow="0" w:firstColumn="0" w:lastColumn="0" w:oddVBand="0" w:evenVBand="0" w:oddHBand="0" w:evenHBand="0" w:firstRowFirstColumn="0" w:firstRowLastColumn="0" w:lastRowFirstColumn="0" w:lastRowLastColumn="0"/>
              <w:rPr>
                <w:rStyle w:val="AERtextbold"/>
              </w:rPr>
            </w:pPr>
            <w:r>
              <w:rPr>
                <w:rStyle w:val="AERtextbold"/>
              </w:rPr>
              <w:t>2011-12</w:t>
            </w:r>
          </w:p>
        </w:tc>
        <w:tc>
          <w:tcPr>
            <w:tcW w:w="552" w:type="pct"/>
          </w:tcPr>
          <w:p w:rsidR="00D311E7" w:rsidRDefault="00D311E7" w:rsidP="00F27D00">
            <w:pPr>
              <w:pStyle w:val="AERtabletextright"/>
              <w:cnfStyle w:val="100000000000" w:firstRow="1" w:lastRow="0" w:firstColumn="0" w:lastColumn="0" w:oddVBand="0" w:evenVBand="0" w:oddHBand="0" w:evenHBand="0" w:firstRowFirstColumn="0" w:firstRowLastColumn="0" w:lastRowFirstColumn="0" w:lastRowLastColumn="0"/>
              <w:rPr>
                <w:rStyle w:val="AERtextbold"/>
              </w:rPr>
            </w:pPr>
            <w:r>
              <w:rPr>
                <w:rStyle w:val="AERtextbold"/>
              </w:rPr>
              <w:t>2012-13</w:t>
            </w:r>
          </w:p>
        </w:tc>
        <w:tc>
          <w:tcPr>
            <w:tcW w:w="552" w:type="pct"/>
          </w:tcPr>
          <w:p w:rsidR="00D311E7" w:rsidRDefault="00D311E7" w:rsidP="00F27D00">
            <w:pPr>
              <w:pStyle w:val="AERtabletextright"/>
              <w:cnfStyle w:val="100000000000" w:firstRow="1" w:lastRow="0" w:firstColumn="0" w:lastColumn="0" w:oddVBand="0" w:evenVBand="0" w:oddHBand="0" w:evenHBand="0" w:firstRowFirstColumn="0" w:firstRowLastColumn="0" w:lastRowFirstColumn="0" w:lastRowLastColumn="0"/>
              <w:rPr>
                <w:rStyle w:val="AERtextbold"/>
              </w:rPr>
            </w:pPr>
            <w:r>
              <w:rPr>
                <w:rStyle w:val="AERtextbold"/>
              </w:rPr>
              <w:t>2013-14</w:t>
            </w:r>
          </w:p>
        </w:tc>
      </w:tr>
      <w:tr w:rsidR="00D311E7" w:rsidTr="00F27D00">
        <w:tc>
          <w:tcPr>
            <w:cnfStyle w:val="001000000000" w:firstRow="0" w:lastRow="0" w:firstColumn="1" w:lastColumn="0" w:oddVBand="0" w:evenVBand="0" w:oddHBand="0" w:evenHBand="0" w:firstRowFirstColumn="0" w:firstRowLastColumn="0" w:lastRowFirstColumn="0" w:lastRowLastColumn="0"/>
            <w:tcW w:w="1687" w:type="pct"/>
          </w:tcPr>
          <w:p w:rsidR="00D311E7" w:rsidRPr="000D42D9" w:rsidRDefault="00D311E7" w:rsidP="007848A6">
            <w:pPr>
              <w:pStyle w:val="AERtabletextleft"/>
              <w:rPr>
                <w:rStyle w:val="AERtextsize8"/>
              </w:rPr>
            </w:pPr>
            <w:r w:rsidRPr="000D42D9">
              <w:rPr>
                <w:rStyle w:val="AERtextsize8"/>
              </w:rPr>
              <w:t>Total number of public lights</w:t>
            </w:r>
          </w:p>
        </w:tc>
        <w:tc>
          <w:tcPr>
            <w:tcW w:w="552" w:type="pct"/>
          </w:tcPr>
          <w:p w:rsidR="00D311E7" w:rsidRPr="000D42D9" w:rsidRDefault="00D311E7" w:rsidP="000D42D9">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0D42D9">
              <w:rPr>
                <w:rStyle w:val="AERtextsize8"/>
              </w:rPr>
              <w:t>184,455</w:t>
            </w:r>
          </w:p>
        </w:tc>
        <w:tc>
          <w:tcPr>
            <w:tcW w:w="552" w:type="pct"/>
          </w:tcPr>
          <w:p w:rsidR="00D311E7" w:rsidRPr="000D42D9" w:rsidRDefault="00D311E7" w:rsidP="000D42D9">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0D42D9">
              <w:rPr>
                <w:rStyle w:val="AERtextsize8"/>
              </w:rPr>
              <w:t>186,519</w:t>
            </w:r>
          </w:p>
        </w:tc>
        <w:tc>
          <w:tcPr>
            <w:tcW w:w="552" w:type="pct"/>
          </w:tcPr>
          <w:p w:rsidR="00D311E7" w:rsidRPr="000D42D9" w:rsidRDefault="00D311E7" w:rsidP="000D42D9">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0D42D9">
              <w:rPr>
                <w:rStyle w:val="AERtextsize8"/>
              </w:rPr>
              <w:t>189,519</w:t>
            </w:r>
          </w:p>
        </w:tc>
        <w:tc>
          <w:tcPr>
            <w:tcW w:w="552" w:type="pct"/>
          </w:tcPr>
          <w:p w:rsidR="00D311E7" w:rsidRPr="000D42D9" w:rsidRDefault="00D311E7" w:rsidP="000D42D9">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0D42D9">
              <w:rPr>
                <w:rStyle w:val="AERtextsize8"/>
              </w:rPr>
              <w:t>192,208</w:t>
            </w:r>
          </w:p>
        </w:tc>
        <w:tc>
          <w:tcPr>
            <w:tcW w:w="552" w:type="pct"/>
          </w:tcPr>
          <w:p w:rsidR="00D311E7" w:rsidRPr="000D42D9" w:rsidRDefault="00D311E7" w:rsidP="000D42D9">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0D42D9">
              <w:rPr>
                <w:rStyle w:val="AERtextsize8"/>
              </w:rPr>
              <w:t>195,630</w:t>
            </w:r>
          </w:p>
        </w:tc>
        <w:tc>
          <w:tcPr>
            <w:tcW w:w="552" w:type="pct"/>
          </w:tcPr>
          <w:p w:rsidR="00D311E7" w:rsidRPr="000D42D9" w:rsidRDefault="00D311E7" w:rsidP="000D42D9">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0D42D9">
              <w:rPr>
                <w:rStyle w:val="AERtextsize8"/>
              </w:rPr>
              <w:t>198,907</w:t>
            </w:r>
          </w:p>
        </w:tc>
      </w:tr>
      <w:tr w:rsidR="00D311E7" w:rsidTr="00F27D0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87" w:type="pct"/>
          </w:tcPr>
          <w:p w:rsidR="00D311E7" w:rsidRPr="000D42D9" w:rsidRDefault="00D311E7" w:rsidP="007848A6">
            <w:pPr>
              <w:pStyle w:val="AERtabletextleft"/>
              <w:rPr>
                <w:rStyle w:val="AERtextsize8"/>
              </w:rPr>
            </w:pPr>
            <w:r w:rsidRPr="000D42D9">
              <w:rPr>
                <w:rStyle w:val="AERtextsize8"/>
              </w:rPr>
              <w:t>Total number of lamp failures</w:t>
            </w:r>
          </w:p>
        </w:tc>
        <w:tc>
          <w:tcPr>
            <w:tcW w:w="552" w:type="pct"/>
          </w:tcPr>
          <w:p w:rsidR="00D311E7" w:rsidRPr="000D42D9" w:rsidRDefault="00D311E7" w:rsidP="000D42D9">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0D42D9">
              <w:rPr>
                <w:rStyle w:val="AERtextsize8"/>
              </w:rPr>
              <w:t>12,622</w:t>
            </w:r>
          </w:p>
        </w:tc>
        <w:tc>
          <w:tcPr>
            <w:tcW w:w="552" w:type="pct"/>
          </w:tcPr>
          <w:p w:rsidR="00D311E7" w:rsidRPr="000D42D9" w:rsidRDefault="00D311E7" w:rsidP="000D42D9">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0D42D9">
              <w:rPr>
                <w:rStyle w:val="AERtextsize8"/>
              </w:rPr>
              <w:t>10,431</w:t>
            </w:r>
          </w:p>
        </w:tc>
        <w:tc>
          <w:tcPr>
            <w:tcW w:w="552" w:type="pct"/>
          </w:tcPr>
          <w:p w:rsidR="00D311E7" w:rsidRPr="000D42D9" w:rsidRDefault="00D311E7" w:rsidP="000D42D9">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0D42D9">
              <w:rPr>
                <w:rStyle w:val="AERtextsize8"/>
              </w:rPr>
              <w:t>9,353</w:t>
            </w:r>
          </w:p>
        </w:tc>
        <w:tc>
          <w:tcPr>
            <w:tcW w:w="552" w:type="pct"/>
          </w:tcPr>
          <w:p w:rsidR="00D311E7" w:rsidRPr="000D42D9" w:rsidRDefault="00D311E7" w:rsidP="000D42D9">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0D42D9">
              <w:rPr>
                <w:rStyle w:val="AERtextsize8"/>
              </w:rPr>
              <w:t>8,980</w:t>
            </w:r>
          </w:p>
        </w:tc>
        <w:tc>
          <w:tcPr>
            <w:tcW w:w="552" w:type="pct"/>
          </w:tcPr>
          <w:p w:rsidR="00D311E7" w:rsidRPr="000D42D9" w:rsidRDefault="00D311E7" w:rsidP="000D42D9">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0D42D9">
              <w:rPr>
                <w:rStyle w:val="AERtextsize8"/>
              </w:rPr>
              <w:t>8,928</w:t>
            </w:r>
          </w:p>
        </w:tc>
        <w:tc>
          <w:tcPr>
            <w:tcW w:w="552" w:type="pct"/>
          </w:tcPr>
          <w:p w:rsidR="00D311E7" w:rsidRPr="000D42D9" w:rsidRDefault="00D311E7" w:rsidP="000D42D9">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0D42D9">
              <w:rPr>
                <w:rStyle w:val="AERtextsize8"/>
              </w:rPr>
              <w:t>8</w:t>
            </w:r>
            <w:r w:rsidR="003C1FF2" w:rsidRPr="000D42D9">
              <w:rPr>
                <w:rStyle w:val="AERtextsize8"/>
              </w:rPr>
              <w:t>,</w:t>
            </w:r>
            <w:r w:rsidRPr="000D42D9">
              <w:rPr>
                <w:rStyle w:val="AERtextsize8"/>
              </w:rPr>
              <w:t>730</w:t>
            </w:r>
          </w:p>
        </w:tc>
      </w:tr>
      <w:tr w:rsidR="00D311E7" w:rsidTr="00F27D00">
        <w:tc>
          <w:tcPr>
            <w:cnfStyle w:val="001000000000" w:firstRow="0" w:lastRow="0" w:firstColumn="1" w:lastColumn="0" w:oddVBand="0" w:evenVBand="0" w:oddHBand="0" w:evenHBand="0" w:firstRowFirstColumn="0" w:firstRowLastColumn="0" w:lastRowFirstColumn="0" w:lastRowLastColumn="0"/>
            <w:tcW w:w="1687" w:type="pct"/>
          </w:tcPr>
          <w:p w:rsidR="00D311E7" w:rsidRPr="000D42D9" w:rsidRDefault="00D311E7" w:rsidP="007848A6">
            <w:pPr>
              <w:pStyle w:val="AERtabletextleft"/>
              <w:rPr>
                <w:rStyle w:val="AERtextsize8"/>
              </w:rPr>
            </w:pPr>
            <w:r w:rsidRPr="000D42D9">
              <w:rPr>
                <w:rStyle w:val="AERtextsize8"/>
              </w:rPr>
              <w:t>Failure per cent</w:t>
            </w:r>
          </w:p>
        </w:tc>
        <w:tc>
          <w:tcPr>
            <w:tcW w:w="552" w:type="pct"/>
          </w:tcPr>
          <w:p w:rsidR="00D311E7" w:rsidRPr="000D42D9" w:rsidRDefault="00D311E7" w:rsidP="000D42D9">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0D42D9">
              <w:rPr>
                <w:rStyle w:val="AERtextsize8"/>
              </w:rPr>
              <w:t>6.84</w:t>
            </w:r>
          </w:p>
        </w:tc>
        <w:tc>
          <w:tcPr>
            <w:tcW w:w="552" w:type="pct"/>
          </w:tcPr>
          <w:p w:rsidR="00D311E7" w:rsidRPr="000D42D9" w:rsidRDefault="00D311E7" w:rsidP="000D42D9">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0D42D9">
              <w:rPr>
                <w:rStyle w:val="AERtextsize8"/>
              </w:rPr>
              <w:t>5.59</w:t>
            </w:r>
          </w:p>
        </w:tc>
        <w:tc>
          <w:tcPr>
            <w:tcW w:w="552" w:type="pct"/>
          </w:tcPr>
          <w:p w:rsidR="00D311E7" w:rsidRPr="000D42D9" w:rsidRDefault="00D311E7" w:rsidP="000D42D9">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0D42D9">
              <w:rPr>
                <w:rStyle w:val="AERtextsize8"/>
              </w:rPr>
              <w:t>4.94</w:t>
            </w:r>
          </w:p>
        </w:tc>
        <w:tc>
          <w:tcPr>
            <w:tcW w:w="552" w:type="pct"/>
          </w:tcPr>
          <w:p w:rsidR="00D311E7" w:rsidRPr="000D42D9" w:rsidRDefault="00D311E7" w:rsidP="000D42D9">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0D42D9">
              <w:rPr>
                <w:rStyle w:val="AERtextsize8"/>
              </w:rPr>
              <w:t>4.67</w:t>
            </w:r>
          </w:p>
        </w:tc>
        <w:tc>
          <w:tcPr>
            <w:tcW w:w="552" w:type="pct"/>
          </w:tcPr>
          <w:p w:rsidR="00D311E7" w:rsidRPr="000D42D9" w:rsidRDefault="00D311E7" w:rsidP="000D42D9">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0D42D9">
              <w:rPr>
                <w:rStyle w:val="AERtextsize8"/>
              </w:rPr>
              <w:t>4.56</w:t>
            </w:r>
          </w:p>
        </w:tc>
        <w:tc>
          <w:tcPr>
            <w:tcW w:w="552" w:type="pct"/>
          </w:tcPr>
          <w:p w:rsidR="00D311E7" w:rsidRPr="000D42D9" w:rsidRDefault="00D311E7" w:rsidP="000D42D9">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0D42D9">
              <w:rPr>
                <w:rStyle w:val="AERtextsize8"/>
              </w:rPr>
              <w:t>4.39</w:t>
            </w:r>
          </w:p>
        </w:tc>
      </w:tr>
    </w:tbl>
    <w:p w:rsidR="00D311E7" w:rsidRPr="00FE3E34" w:rsidRDefault="00D311E7" w:rsidP="000B0C8B">
      <w:pPr>
        <w:pStyle w:val="AERtablesource"/>
        <w:rPr>
          <w:rStyle w:val="AERtextbold"/>
          <w:b w:val="0"/>
        </w:rPr>
      </w:pPr>
      <w:r w:rsidRPr="00FE3E34">
        <w:rPr>
          <w:rStyle w:val="AERtextbold"/>
          <w:b w:val="0"/>
        </w:rPr>
        <w:t xml:space="preserve">Source: </w:t>
      </w:r>
      <w:r w:rsidR="00C26877">
        <w:t>Endeavour Energy, Response to AER Information Request 027, 17 September 2014.</w:t>
      </w:r>
    </w:p>
    <w:p w:rsidR="00D311E7" w:rsidRPr="00A325F0" w:rsidRDefault="00D311E7" w:rsidP="00D311E7">
      <w:pPr>
        <w:numPr>
          <w:ilvl w:val="0"/>
          <w:numId w:val="2"/>
        </w:numPr>
      </w:pPr>
      <w:r w:rsidRPr="00A325F0">
        <w:t>Endeavour Energy proposed the foll</w:t>
      </w:r>
      <w:r w:rsidR="000B0C8B">
        <w:t>owing labour escalators. We do</w:t>
      </w:r>
      <w:r w:rsidRPr="00A325F0">
        <w:t xml:space="preserve"> not accept the pr</w:t>
      </w:r>
      <w:r w:rsidR="008E02B9">
        <w:t>oposed labour escalators and have</w:t>
      </w:r>
      <w:r w:rsidRPr="00A325F0">
        <w:t xml:space="preserve"> instead applied the following labour escalators</w:t>
      </w:r>
      <w:r w:rsidR="000D42D9">
        <w:t xml:space="preserve"> as per our attachment opex rate of change.</w:t>
      </w:r>
    </w:p>
    <w:p w:rsidR="00C26877" w:rsidRDefault="00C26877" w:rsidP="000D42D9">
      <w:pPr>
        <w:pStyle w:val="Caption"/>
      </w:pPr>
      <w:r>
        <w:t xml:space="preserve">Table </w:t>
      </w:r>
      <w:r w:rsidR="004667DE">
        <w:fldChar w:fldCharType="begin"/>
      </w:r>
      <w:r w:rsidR="004667DE">
        <w:instrText xml:space="preserve"> STYLEREF 1 \s </w:instrText>
      </w:r>
      <w:r w:rsidR="004667DE">
        <w:fldChar w:fldCharType="separate"/>
      </w:r>
      <w:r w:rsidR="003E262F">
        <w:rPr>
          <w:noProof/>
        </w:rPr>
        <w:t>16</w:t>
      </w:r>
      <w:r w:rsidR="004667DE">
        <w:rPr>
          <w:noProof/>
        </w:rPr>
        <w:fldChar w:fldCharType="end"/>
      </w:r>
      <w:r w:rsidR="003E262F">
        <w:noBreakHyphen/>
      </w:r>
      <w:r w:rsidR="004667DE">
        <w:fldChar w:fldCharType="begin"/>
      </w:r>
      <w:r w:rsidR="004667DE">
        <w:instrText xml:space="preserve"> SEQ Table \* ARABIC \s 1 </w:instrText>
      </w:r>
      <w:r w:rsidR="004667DE">
        <w:fldChar w:fldCharType="separate"/>
      </w:r>
      <w:r w:rsidR="003E262F">
        <w:rPr>
          <w:noProof/>
        </w:rPr>
        <w:t>19</w:t>
      </w:r>
      <w:r w:rsidR="004667DE">
        <w:rPr>
          <w:noProof/>
        </w:rPr>
        <w:fldChar w:fldCharType="end"/>
      </w:r>
      <w:r>
        <w:t xml:space="preserve"> </w:t>
      </w:r>
      <w:r w:rsidRPr="00A325F0">
        <w:t>NSW Labour Escalators</w:t>
      </w:r>
      <w:r w:rsidR="000D42D9">
        <w:t xml:space="preserve"> (percentage)</w:t>
      </w:r>
    </w:p>
    <w:tbl>
      <w:tblPr>
        <w:tblStyle w:val="AERtable-numbers"/>
        <w:tblW w:w="5000" w:type="pct"/>
        <w:tblLook w:val="04A0" w:firstRow="1" w:lastRow="0" w:firstColumn="1" w:lastColumn="0" w:noHBand="0" w:noVBand="1"/>
      </w:tblPr>
      <w:tblGrid>
        <w:gridCol w:w="2958"/>
        <w:gridCol w:w="1048"/>
        <w:gridCol w:w="1048"/>
        <w:gridCol w:w="1048"/>
        <w:gridCol w:w="1048"/>
        <w:gridCol w:w="1048"/>
        <w:gridCol w:w="1044"/>
      </w:tblGrid>
      <w:tr w:rsidR="00D311E7" w:rsidTr="000D42D9">
        <w:trPr>
          <w:cnfStyle w:val="100000000000" w:firstRow="1" w:lastRow="0" w:firstColumn="0" w:lastColumn="0" w:oddVBand="0" w:evenVBand="0" w:oddHBand="0" w:evenHBand="0" w:firstRowFirstColumn="0" w:firstRowLastColumn="0" w:lastRowFirstColumn="0" w:lastRowLastColumn="0"/>
          <w:trHeight w:val="1022"/>
        </w:trPr>
        <w:tc>
          <w:tcPr>
            <w:cnfStyle w:val="001000000000" w:firstRow="0" w:lastRow="0" w:firstColumn="1" w:lastColumn="0" w:oddVBand="0" w:evenVBand="0" w:oddHBand="0" w:evenHBand="0" w:firstRowFirstColumn="0" w:firstRowLastColumn="0" w:lastRowFirstColumn="0" w:lastRowLastColumn="0"/>
            <w:tcW w:w="1600" w:type="pct"/>
          </w:tcPr>
          <w:p w:rsidR="00D311E7" w:rsidRPr="00A325F0" w:rsidRDefault="00D311E7" w:rsidP="000D42D9">
            <w:pPr>
              <w:pStyle w:val="AERtabletextright"/>
            </w:pPr>
          </w:p>
        </w:tc>
        <w:tc>
          <w:tcPr>
            <w:tcW w:w="567" w:type="pct"/>
          </w:tcPr>
          <w:p w:rsidR="00D311E7" w:rsidRPr="00A325F0" w:rsidRDefault="00D311E7" w:rsidP="000D42D9">
            <w:pPr>
              <w:pStyle w:val="AERtabletextright"/>
              <w:cnfStyle w:val="100000000000" w:firstRow="1" w:lastRow="0" w:firstColumn="0" w:lastColumn="0" w:oddVBand="0" w:evenVBand="0" w:oddHBand="0" w:evenHBand="0" w:firstRowFirstColumn="0" w:firstRowLastColumn="0" w:lastRowFirstColumn="0" w:lastRowLastColumn="0"/>
            </w:pPr>
            <w:r w:rsidRPr="00A325F0">
              <w:t>2013-14</w:t>
            </w:r>
          </w:p>
        </w:tc>
        <w:tc>
          <w:tcPr>
            <w:tcW w:w="567" w:type="pct"/>
          </w:tcPr>
          <w:p w:rsidR="00D311E7" w:rsidRPr="00A325F0" w:rsidRDefault="00D311E7" w:rsidP="000D42D9">
            <w:pPr>
              <w:pStyle w:val="AERtabletextright"/>
              <w:cnfStyle w:val="100000000000" w:firstRow="1" w:lastRow="0" w:firstColumn="0" w:lastColumn="0" w:oddVBand="0" w:evenVBand="0" w:oddHBand="0" w:evenHBand="0" w:firstRowFirstColumn="0" w:firstRowLastColumn="0" w:lastRowFirstColumn="0" w:lastRowLastColumn="0"/>
            </w:pPr>
            <w:r w:rsidRPr="00A325F0">
              <w:t>2014-15</w:t>
            </w:r>
          </w:p>
        </w:tc>
        <w:tc>
          <w:tcPr>
            <w:tcW w:w="567" w:type="pct"/>
          </w:tcPr>
          <w:p w:rsidR="00D311E7" w:rsidRPr="00A325F0" w:rsidRDefault="00D311E7" w:rsidP="000D42D9">
            <w:pPr>
              <w:pStyle w:val="AERtabletextright"/>
              <w:cnfStyle w:val="100000000000" w:firstRow="1" w:lastRow="0" w:firstColumn="0" w:lastColumn="0" w:oddVBand="0" w:evenVBand="0" w:oddHBand="0" w:evenHBand="0" w:firstRowFirstColumn="0" w:firstRowLastColumn="0" w:lastRowFirstColumn="0" w:lastRowLastColumn="0"/>
            </w:pPr>
            <w:r w:rsidRPr="00A325F0">
              <w:t>2015-16</w:t>
            </w:r>
          </w:p>
        </w:tc>
        <w:tc>
          <w:tcPr>
            <w:tcW w:w="567" w:type="pct"/>
          </w:tcPr>
          <w:p w:rsidR="00D311E7" w:rsidRPr="00A325F0" w:rsidRDefault="00D311E7" w:rsidP="000D42D9">
            <w:pPr>
              <w:pStyle w:val="AERtabletextright"/>
              <w:cnfStyle w:val="100000000000" w:firstRow="1" w:lastRow="0" w:firstColumn="0" w:lastColumn="0" w:oddVBand="0" w:evenVBand="0" w:oddHBand="0" w:evenHBand="0" w:firstRowFirstColumn="0" w:firstRowLastColumn="0" w:lastRowFirstColumn="0" w:lastRowLastColumn="0"/>
            </w:pPr>
            <w:r w:rsidRPr="00A325F0">
              <w:t>2016-17</w:t>
            </w:r>
          </w:p>
        </w:tc>
        <w:tc>
          <w:tcPr>
            <w:tcW w:w="567" w:type="pct"/>
          </w:tcPr>
          <w:p w:rsidR="00D311E7" w:rsidRPr="00A325F0" w:rsidRDefault="00D311E7" w:rsidP="000D42D9">
            <w:pPr>
              <w:pStyle w:val="AERtabletextright"/>
              <w:cnfStyle w:val="100000000000" w:firstRow="1" w:lastRow="0" w:firstColumn="0" w:lastColumn="0" w:oddVBand="0" w:evenVBand="0" w:oddHBand="0" w:evenHBand="0" w:firstRowFirstColumn="0" w:firstRowLastColumn="0" w:lastRowFirstColumn="0" w:lastRowLastColumn="0"/>
            </w:pPr>
            <w:r w:rsidRPr="00A325F0">
              <w:t>2017-18</w:t>
            </w:r>
          </w:p>
        </w:tc>
        <w:tc>
          <w:tcPr>
            <w:tcW w:w="565" w:type="pct"/>
          </w:tcPr>
          <w:p w:rsidR="00D311E7" w:rsidRPr="00A325F0" w:rsidRDefault="00D311E7" w:rsidP="000D42D9">
            <w:pPr>
              <w:pStyle w:val="AERtabletextright"/>
              <w:cnfStyle w:val="100000000000" w:firstRow="1" w:lastRow="0" w:firstColumn="0" w:lastColumn="0" w:oddVBand="0" w:evenVBand="0" w:oddHBand="0" w:evenHBand="0" w:firstRowFirstColumn="0" w:firstRowLastColumn="0" w:lastRowFirstColumn="0" w:lastRowLastColumn="0"/>
            </w:pPr>
            <w:r w:rsidRPr="00A325F0">
              <w:t>2018-19</w:t>
            </w:r>
          </w:p>
        </w:tc>
      </w:tr>
      <w:tr w:rsidR="00D311E7" w:rsidTr="000D42D9">
        <w:trPr>
          <w:trHeight w:val="1022"/>
        </w:trPr>
        <w:tc>
          <w:tcPr>
            <w:cnfStyle w:val="001000000000" w:firstRow="0" w:lastRow="0" w:firstColumn="1" w:lastColumn="0" w:oddVBand="0" w:evenVBand="0" w:oddHBand="0" w:evenHBand="0" w:firstRowFirstColumn="0" w:firstRowLastColumn="0" w:lastRowFirstColumn="0" w:lastRowLastColumn="0"/>
            <w:tcW w:w="1600" w:type="pct"/>
          </w:tcPr>
          <w:p w:rsidR="00D311E7" w:rsidRPr="00A325F0" w:rsidRDefault="00D311E7" w:rsidP="007848A6">
            <w:pPr>
              <w:pStyle w:val="AERtabletextleft"/>
            </w:pPr>
            <w:r w:rsidRPr="00A325F0">
              <w:t>Endeavour Energy Proposed</w:t>
            </w:r>
          </w:p>
        </w:tc>
        <w:tc>
          <w:tcPr>
            <w:tcW w:w="567" w:type="pct"/>
          </w:tcPr>
          <w:p w:rsidR="00D311E7" w:rsidRPr="00A325F0" w:rsidRDefault="00D311E7" w:rsidP="000D42D9">
            <w:pPr>
              <w:pStyle w:val="AERtabletextright"/>
              <w:cnfStyle w:val="000000000000" w:firstRow="0" w:lastRow="0" w:firstColumn="0" w:lastColumn="0" w:oddVBand="0" w:evenVBand="0" w:oddHBand="0" w:evenHBand="0" w:firstRowFirstColumn="0" w:firstRowLastColumn="0" w:lastRowFirstColumn="0" w:lastRowLastColumn="0"/>
            </w:pPr>
            <w:r w:rsidRPr="00A325F0">
              <w:t>Na</w:t>
            </w:r>
          </w:p>
        </w:tc>
        <w:tc>
          <w:tcPr>
            <w:tcW w:w="567" w:type="pct"/>
          </w:tcPr>
          <w:p w:rsidR="00D311E7" w:rsidRPr="00A325F0" w:rsidRDefault="00D311E7" w:rsidP="000D42D9">
            <w:pPr>
              <w:pStyle w:val="AERtabletextright"/>
              <w:cnfStyle w:val="000000000000" w:firstRow="0" w:lastRow="0" w:firstColumn="0" w:lastColumn="0" w:oddVBand="0" w:evenVBand="0" w:oddHBand="0" w:evenHBand="0" w:firstRowFirstColumn="0" w:firstRowLastColumn="0" w:lastRowFirstColumn="0" w:lastRowLastColumn="0"/>
            </w:pPr>
            <w:r w:rsidRPr="00A325F0">
              <w:t>1.20</w:t>
            </w:r>
          </w:p>
        </w:tc>
        <w:tc>
          <w:tcPr>
            <w:tcW w:w="567" w:type="pct"/>
          </w:tcPr>
          <w:p w:rsidR="00D311E7" w:rsidRPr="00A325F0" w:rsidRDefault="00D311E7" w:rsidP="000D42D9">
            <w:pPr>
              <w:pStyle w:val="AERtabletextright"/>
              <w:cnfStyle w:val="000000000000" w:firstRow="0" w:lastRow="0" w:firstColumn="0" w:lastColumn="0" w:oddVBand="0" w:evenVBand="0" w:oddHBand="0" w:evenHBand="0" w:firstRowFirstColumn="0" w:firstRowLastColumn="0" w:lastRowFirstColumn="0" w:lastRowLastColumn="0"/>
            </w:pPr>
            <w:r w:rsidRPr="00A325F0">
              <w:t>1.60</w:t>
            </w:r>
          </w:p>
        </w:tc>
        <w:tc>
          <w:tcPr>
            <w:tcW w:w="567" w:type="pct"/>
          </w:tcPr>
          <w:p w:rsidR="00D311E7" w:rsidRPr="00A325F0" w:rsidRDefault="00D311E7" w:rsidP="000D42D9">
            <w:pPr>
              <w:pStyle w:val="AERtabletextright"/>
              <w:cnfStyle w:val="000000000000" w:firstRow="0" w:lastRow="0" w:firstColumn="0" w:lastColumn="0" w:oddVBand="0" w:evenVBand="0" w:oddHBand="0" w:evenHBand="0" w:firstRowFirstColumn="0" w:firstRowLastColumn="0" w:lastRowFirstColumn="0" w:lastRowLastColumn="0"/>
            </w:pPr>
            <w:r w:rsidRPr="00A325F0">
              <w:t>2.10</w:t>
            </w:r>
          </w:p>
        </w:tc>
        <w:tc>
          <w:tcPr>
            <w:tcW w:w="567" w:type="pct"/>
          </w:tcPr>
          <w:p w:rsidR="00D311E7" w:rsidRPr="00A325F0" w:rsidRDefault="00D311E7" w:rsidP="000D42D9">
            <w:pPr>
              <w:pStyle w:val="AERtabletextright"/>
              <w:cnfStyle w:val="000000000000" w:firstRow="0" w:lastRow="0" w:firstColumn="0" w:lastColumn="0" w:oddVBand="0" w:evenVBand="0" w:oddHBand="0" w:evenHBand="0" w:firstRowFirstColumn="0" w:firstRowLastColumn="0" w:lastRowFirstColumn="0" w:lastRowLastColumn="0"/>
            </w:pPr>
            <w:r w:rsidRPr="00A325F0">
              <w:t>2.10</w:t>
            </w:r>
          </w:p>
        </w:tc>
        <w:tc>
          <w:tcPr>
            <w:tcW w:w="565" w:type="pct"/>
          </w:tcPr>
          <w:p w:rsidR="00D311E7" w:rsidRPr="00A325F0" w:rsidRDefault="00D311E7" w:rsidP="000D42D9">
            <w:pPr>
              <w:pStyle w:val="AERtabletextright"/>
              <w:cnfStyle w:val="000000000000" w:firstRow="0" w:lastRow="0" w:firstColumn="0" w:lastColumn="0" w:oddVBand="0" w:evenVBand="0" w:oddHBand="0" w:evenHBand="0" w:firstRowFirstColumn="0" w:firstRowLastColumn="0" w:lastRowFirstColumn="0" w:lastRowLastColumn="0"/>
            </w:pPr>
            <w:r w:rsidRPr="00A325F0">
              <w:t>2.00</w:t>
            </w:r>
          </w:p>
        </w:tc>
      </w:tr>
      <w:tr w:rsidR="00D311E7" w:rsidTr="000D42D9">
        <w:trPr>
          <w:cnfStyle w:val="000000010000" w:firstRow="0" w:lastRow="0" w:firstColumn="0" w:lastColumn="0" w:oddVBand="0" w:evenVBand="0" w:oddHBand="0" w:evenHBand="1" w:firstRowFirstColumn="0" w:firstRowLastColumn="0" w:lastRowFirstColumn="0" w:lastRowLastColumn="0"/>
          <w:trHeight w:val="1022"/>
        </w:trPr>
        <w:tc>
          <w:tcPr>
            <w:cnfStyle w:val="001000000000" w:firstRow="0" w:lastRow="0" w:firstColumn="1" w:lastColumn="0" w:oddVBand="0" w:evenVBand="0" w:oddHBand="0" w:evenHBand="0" w:firstRowFirstColumn="0" w:firstRowLastColumn="0" w:lastRowFirstColumn="0" w:lastRowLastColumn="0"/>
            <w:tcW w:w="1600" w:type="pct"/>
          </w:tcPr>
          <w:p w:rsidR="00D311E7" w:rsidRPr="00A325F0" w:rsidRDefault="00D311E7" w:rsidP="007848A6">
            <w:pPr>
              <w:pStyle w:val="AERtabletextleft"/>
            </w:pPr>
            <w:r w:rsidRPr="00A325F0">
              <w:t>Draft Decision</w:t>
            </w:r>
          </w:p>
        </w:tc>
        <w:tc>
          <w:tcPr>
            <w:tcW w:w="567" w:type="pct"/>
          </w:tcPr>
          <w:p w:rsidR="00D311E7" w:rsidRPr="00A325F0" w:rsidRDefault="00D311E7" w:rsidP="000D42D9">
            <w:pPr>
              <w:pStyle w:val="AERtabletextright"/>
              <w:cnfStyle w:val="000000010000" w:firstRow="0" w:lastRow="0" w:firstColumn="0" w:lastColumn="0" w:oddVBand="0" w:evenVBand="0" w:oddHBand="0" w:evenHBand="1" w:firstRowFirstColumn="0" w:firstRowLastColumn="0" w:lastRowFirstColumn="0" w:lastRowLastColumn="0"/>
            </w:pPr>
            <w:r w:rsidRPr="00A325F0">
              <w:t>0.58</w:t>
            </w:r>
          </w:p>
        </w:tc>
        <w:tc>
          <w:tcPr>
            <w:tcW w:w="567" w:type="pct"/>
          </w:tcPr>
          <w:p w:rsidR="00D311E7" w:rsidRPr="00A325F0" w:rsidRDefault="00D311E7" w:rsidP="000D42D9">
            <w:pPr>
              <w:pStyle w:val="AERtabletextright"/>
              <w:cnfStyle w:val="000000010000" w:firstRow="0" w:lastRow="0" w:firstColumn="0" w:lastColumn="0" w:oddVBand="0" w:evenVBand="0" w:oddHBand="0" w:evenHBand="1" w:firstRowFirstColumn="0" w:firstRowLastColumn="0" w:lastRowFirstColumn="0" w:lastRowLastColumn="0"/>
            </w:pPr>
            <w:r w:rsidRPr="00A325F0">
              <w:t>0.89</w:t>
            </w:r>
          </w:p>
        </w:tc>
        <w:tc>
          <w:tcPr>
            <w:tcW w:w="567" w:type="pct"/>
          </w:tcPr>
          <w:p w:rsidR="00D311E7" w:rsidRPr="00A325F0" w:rsidRDefault="00D311E7" w:rsidP="000D42D9">
            <w:pPr>
              <w:pStyle w:val="AERtabletextright"/>
              <w:cnfStyle w:val="000000010000" w:firstRow="0" w:lastRow="0" w:firstColumn="0" w:lastColumn="0" w:oddVBand="0" w:evenVBand="0" w:oddHBand="0" w:evenHBand="1" w:firstRowFirstColumn="0" w:firstRowLastColumn="0" w:lastRowFirstColumn="0" w:lastRowLastColumn="0"/>
            </w:pPr>
            <w:r w:rsidRPr="00A325F0">
              <w:t>0.87</w:t>
            </w:r>
          </w:p>
        </w:tc>
        <w:tc>
          <w:tcPr>
            <w:tcW w:w="567" w:type="pct"/>
          </w:tcPr>
          <w:p w:rsidR="00D311E7" w:rsidRPr="00A325F0" w:rsidRDefault="00D311E7" w:rsidP="000D42D9">
            <w:pPr>
              <w:pStyle w:val="AERtabletextright"/>
              <w:cnfStyle w:val="000000010000" w:firstRow="0" w:lastRow="0" w:firstColumn="0" w:lastColumn="0" w:oddVBand="0" w:evenVBand="0" w:oddHBand="0" w:evenHBand="1" w:firstRowFirstColumn="0" w:firstRowLastColumn="0" w:lastRowFirstColumn="0" w:lastRowLastColumn="0"/>
            </w:pPr>
            <w:r w:rsidRPr="00A325F0">
              <w:t>1.40</w:t>
            </w:r>
          </w:p>
        </w:tc>
        <w:tc>
          <w:tcPr>
            <w:tcW w:w="567" w:type="pct"/>
          </w:tcPr>
          <w:p w:rsidR="00D311E7" w:rsidRPr="00A325F0" w:rsidRDefault="00D311E7" w:rsidP="000D42D9">
            <w:pPr>
              <w:pStyle w:val="AERtabletextright"/>
              <w:cnfStyle w:val="000000010000" w:firstRow="0" w:lastRow="0" w:firstColumn="0" w:lastColumn="0" w:oddVBand="0" w:evenVBand="0" w:oddHBand="0" w:evenHBand="1" w:firstRowFirstColumn="0" w:firstRowLastColumn="0" w:lastRowFirstColumn="0" w:lastRowLastColumn="0"/>
            </w:pPr>
            <w:r w:rsidRPr="00A325F0">
              <w:t>1.62</w:t>
            </w:r>
          </w:p>
        </w:tc>
        <w:tc>
          <w:tcPr>
            <w:tcW w:w="565" w:type="pct"/>
          </w:tcPr>
          <w:p w:rsidR="00D311E7" w:rsidRPr="00A325F0" w:rsidRDefault="00D311E7" w:rsidP="000D42D9">
            <w:pPr>
              <w:pStyle w:val="AERtabletextright"/>
              <w:cnfStyle w:val="000000010000" w:firstRow="0" w:lastRow="0" w:firstColumn="0" w:lastColumn="0" w:oddVBand="0" w:evenVBand="0" w:oddHBand="0" w:evenHBand="1" w:firstRowFirstColumn="0" w:firstRowLastColumn="0" w:lastRowFirstColumn="0" w:lastRowLastColumn="0"/>
            </w:pPr>
            <w:r w:rsidRPr="00A325F0">
              <w:t>1.44</w:t>
            </w:r>
          </w:p>
        </w:tc>
      </w:tr>
    </w:tbl>
    <w:p w:rsidR="00D311E7" w:rsidRDefault="00C66805" w:rsidP="00C66805">
      <w:pPr>
        <w:pStyle w:val="AERtablesource"/>
        <w:rPr>
          <w:rStyle w:val="AERbody"/>
        </w:rPr>
      </w:pPr>
      <w:r w:rsidRPr="00C66805">
        <w:t>Source: AER analysis</w:t>
      </w:r>
      <w:r>
        <w:rPr>
          <w:rStyle w:val="AERbody"/>
        </w:rPr>
        <w:t>.</w:t>
      </w:r>
    </w:p>
    <w:p w:rsidR="00D311E7" w:rsidRPr="00AB1C47" w:rsidRDefault="00D311E7" w:rsidP="00D311E7">
      <w:pPr>
        <w:pStyle w:val="AERbodytext"/>
        <w:rPr>
          <w:rStyle w:val="AERbody"/>
        </w:rPr>
      </w:pPr>
      <w:r>
        <w:rPr>
          <w:rStyle w:val="AERbody"/>
        </w:rPr>
        <w:t xml:space="preserve">Our consideration of </w:t>
      </w:r>
      <w:r w:rsidRPr="00AB1C47">
        <w:rPr>
          <w:rStyle w:val="AERbody"/>
        </w:rPr>
        <w:t>Camden Council</w:t>
      </w:r>
      <w:r>
        <w:rPr>
          <w:rStyle w:val="AERbody"/>
        </w:rPr>
        <w:t>'s</w:t>
      </w:r>
      <w:r w:rsidRPr="00AB1C47">
        <w:rPr>
          <w:rStyle w:val="AERbody"/>
        </w:rPr>
        <w:t xml:space="preserve"> </w:t>
      </w:r>
      <w:r>
        <w:rPr>
          <w:rStyle w:val="AERbody"/>
        </w:rPr>
        <w:t>submission includes the following observations</w:t>
      </w:r>
      <w:r w:rsidRPr="00AB1C47">
        <w:rPr>
          <w:rStyle w:val="AERbody"/>
        </w:rPr>
        <w:t xml:space="preserve">: </w:t>
      </w:r>
    </w:p>
    <w:p w:rsidR="00D311E7" w:rsidRDefault="00D311E7" w:rsidP="00D311E7">
      <w:pPr>
        <w:pStyle w:val="AERbulletlistfirststyle"/>
        <w:rPr>
          <w:rStyle w:val="AERbody"/>
        </w:rPr>
      </w:pPr>
      <w:r>
        <w:rPr>
          <w:rStyle w:val="AERbody"/>
        </w:rPr>
        <w:t xml:space="preserve">We agree that model simplification is a worthy pursuit. Endeavour Energy simplified the pricing model from that used in the 2009–14 regulatory control </w:t>
      </w:r>
      <w:proofErr w:type="gramStart"/>
      <w:r>
        <w:rPr>
          <w:rStyle w:val="AERbody"/>
        </w:rPr>
        <w:t>period</w:t>
      </w:r>
      <w:proofErr w:type="gramEnd"/>
      <w:r>
        <w:rPr>
          <w:rStyle w:val="AERbody"/>
        </w:rPr>
        <w:t xml:space="preserve"> and it will enable customers to calculate prices and assist councils in making decisions about public lighting. It is not clear what additional m</w:t>
      </w:r>
      <w:r w:rsidR="008E02B9">
        <w:rPr>
          <w:rStyle w:val="AERbody"/>
        </w:rPr>
        <w:t>odifications the council sought</w:t>
      </w:r>
    </w:p>
    <w:p w:rsidR="00D311E7" w:rsidRDefault="00D311E7" w:rsidP="00D311E7">
      <w:pPr>
        <w:pStyle w:val="AERbulletlistfirststyle"/>
        <w:rPr>
          <w:rStyle w:val="AERbody"/>
        </w:rPr>
      </w:pPr>
      <w:r>
        <w:rPr>
          <w:rStyle w:val="AERbody"/>
        </w:rPr>
        <w:t>Public lighting will remain an alternative control service and that the decision on classification does not impact upon the amount of information that is or can be provi</w:t>
      </w:r>
      <w:r w:rsidR="008E02B9">
        <w:rPr>
          <w:rStyle w:val="AERbody"/>
        </w:rPr>
        <w:t>ded by distributors to councils</w:t>
      </w:r>
    </w:p>
    <w:p w:rsidR="00D311E7" w:rsidRDefault="00D311E7" w:rsidP="00D311E7">
      <w:pPr>
        <w:pStyle w:val="AERbulletlistfirststyle"/>
        <w:rPr>
          <w:rStyle w:val="AERbody"/>
        </w:rPr>
      </w:pPr>
      <w:r>
        <w:rPr>
          <w:rStyle w:val="AERbody"/>
        </w:rPr>
        <w:t>That the concern about exce</w:t>
      </w:r>
      <w:r w:rsidR="008E02B9">
        <w:rPr>
          <w:rStyle w:val="AERbody"/>
        </w:rPr>
        <w:t>ss profits is misplaced. We do</w:t>
      </w:r>
      <w:r>
        <w:rPr>
          <w:rStyle w:val="AERbody"/>
        </w:rPr>
        <w:t xml:space="preserve"> not set profi</w:t>
      </w:r>
      <w:r w:rsidR="008E02B9">
        <w:rPr>
          <w:rStyle w:val="AERbody"/>
        </w:rPr>
        <w:t>ts, rather revenues and prices</w:t>
      </w:r>
    </w:p>
    <w:p w:rsidR="00D311E7" w:rsidRDefault="00D311E7" w:rsidP="00D311E7">
      <w:pPr>
        <w:pStyle w:val="AERbulletlistfirststyle"/>
        <w:rPr>
          <w:rStyle w:val="AERbody"/>
        </w:rPr>
      </w:pPr>
      <w:r>
        <w:rPr>
          <w:rStyle w:val="AERbody"/>
        </w:rPr>
        <w:t>There will be no impact from the carbon tax repeal, as the tax did not apply to electricity distributors, so there are no savings to be passed onto</w:t>
      </w:r>
      <w:r w:rsidR="008E02B9">
        <w:rPr>
          <w:rStyle w:val="AERbody"/>
        </w:rPr>
        <w:t xml:space="preserve"> local municipalities</w:t>
      </w:r>
    </w:p>
    <w:p w:rsidR="00D311E7" w:rsidRDefault="00D311E7" w:rsidP="00D311E7">
      <w:pPr>
        <w:pStyle w:val="AERbulletlistfirststyle"/>
        <w:rPr>
          <w:rStyle w:val="AERbody"/>
        </w:rPr>
      </w:pPr>
      <w:r>
        <w:rPr>
          <w:rStyle w:val="AERbody"/>
        </w:rPr>
        <w:t>Gifted public lighting assets (entered into the asset base at zero cost) still incur a tax payment because the distributor earns revenue from the provision of services associated with the asset, so incurring a tax liability. Regulated revenue recovery is permissible for this taxation payment.</w:t>
      </w:r>
    </w:p>
    <w:p w:rsidR="00D311E7" w:rsidRPr="00AB1C47" w:rsidRDefault="00C26877" w:rsidP="00D311E7">
      <w:pPr>
        <w:pStyle w:val="AERbulletlistfirststyle"/>
        <w:rPr>
          <w:rStyle w:val="AERbody"/>
        </w:rPr>
      </w:pPr>
      <w:r>
        <w:rPr>
          <w:rStyle w:val="AERbody"/>
        </w:rPr>
        <w:t>P</w:t>
      </w:r>
      <w:r w:rsidR="00D311E7">
        <w:rPr>
          <w:rStyle w:val="AERbody"/>
        </w:rPr>
        <w:t>ropose a 12 year life for LED luminaries compared to 20 year useful life for all other luminaire types. Whilst this is emerging technology</w:t>
      </w:r>
      <w:r w:rsidR="008E02B9">
        <w:rPr>
          <w:rStyle w:val="AERbody"/>
        </w:rPr>
        <w:t>,</w:t>
      </w:r>
      <w:r w:rsidR="00D311E7">
        <w:rPr>
          <w:rStyle w:val="AERbody"/>
        </w:rPr>
        <w:t xml:space="preserve"> evidence suggests a long life of 15 to 20 years or longer for this technology.</w:t>
      </w:r>
      <w:r w:rsidR="00D311E7">
        <w:rPr>
          <w:rStyle w:val="FootnoteReference"/>
        </w:rPr>
        <w:footnoteReference w:id="92"/>
      </w:r>
      <w:r w:rsidR="00D311E7">
        <w:rPr>
          <w:rStyle w:val="AERbody"/>
        </w:rPr>
        <w:t xml:space="preserve"> This is also consistent with Ausgrid's proposed life of 20 years for LED luminaries. We consider a useful lif</w:t>
      </w:r>
      <w:r w:rsidR="008E02B9">
        <w:rPr>
          <w:rStyle w:val="AERbody"/>
        </w:rPr>
        <w:t>e of 20 years to be appropriate</w:t>
      </w:r>
    </w:p>
    <w:p w:rsidR="00D311E7" w:rsidRDefault="00D311E7" w:rsidP="00D311E7">
      <w:pPr>
        <w:pStyle w:val="AERbulletlistfirststyle"/>
        <w:rPr>
          <w:rStyle w:val="AERbody"/>
        </w:rPr>
      </w:pPr>
      <w:r>
        <w:rPr>
          <w:rStyle w:val="AERbody"/>
        </w:rPr>
        <w:t xml:space="preserve">We agree that luminaries should not automatically be replaced like for like at the end of their useful life and that councils and distributors have always been free to come up with an agreed approach to asset </w:t>
      </w:r>
      <w:proofErr w:type="gramStart"/>
      <w:r>
        <w:rPr>
          <w:rStyle w:val="AERbody"/>
        </w:rPr>
        <w:t>replacements that satisfies</w:t>
      </w:r>
      <w:proofErr w:type="gramEnd"/>
      <w:r>
        <w:rPr>
          <w:rStyle w:val="AERbody"/>
        </w:rPr>
        <w:t xml:space="preserve"> both parties' interest</w:t>
      </w:r>
      <w:r w:rsidR="008E02B9">
        <w:rPr>
          <w:rStyle w:val="AERbody"/>
        </w:rPr>
        <w:t>.</w:t>
      </w:r>
    </w:p>
    <w:p w:rsidR="00D311E7" w:rsidRPr="00C26877" w:rsidRDefault="00D311E7" w:rsidP="00D311E7">
      <w:pPr>
        <w:pStyle w:val="AERbodytext"/>
      </w:pPr>
      <w:r>
        <w:t xml:space="preserve">We have also given some weight to council minutes that expressed satisfaction with </w:t>
      </w:r>
      <w:r w:rsidR="009E2FA7">
        <w:t>Endeavour E</w:t>
      </w:r>
      <w:r>
        <w:t xml:space="preserve">nergy's charging. </w:t>
      </w:r>
      <w:r w:rsidRPr="00432589">
        <w:t>Our decision in relation to E</w:t>
      </w:r>
      <w:r>
        <w:t>ndeavour</w:t>
      </w:r>
      <w:r w:rsidRPr="00432589">
        <w:t xml:space="preserve"> Energy’s proposals will </w:t>
      </w:r>
      <w:r>
        <w:t>decrease</w:t>
      </w:r>
      <w:r w:rsidRPr="00432589">
        <w:t xml:space="preserve"> public </w:t>
      </w:r>
      <w:r w:rsidRPr="00C26877">
        <w:t xml:space="preserve">lighting prices and </w:t>
      </w:r>
      <w:r w:rsidR="00C66805" w:rsidRPr="00C26877">
        <w:t>council’s</w:t>
      </w:r>
      <w:r w:rsidRPr="00C26877">
        <w:t xml:space="preserve"> bills by </w:t>
      </w:r>
      <w:r w:rsidR="00C26877" w:rsidRPr="00C26877">
        <w:t xml:space="preserve">6 per cent over and above that proposed </w:t>
      </w:r>
      <w:r w:rsidR="00C26877">
        <w:t xml:space="preserve">by </w:t>
      </w:r>
      <w:r w:rsidR="00C26877" w:rsidRPr="00432589">
        <w:t>E</w:t>
      </w:r>
      <w:r w:rsidR="00C26877">
        <w:t>ndeavour</w:t>
      </w:r>
      <w:r w:rsidR="00C26877" w:rsidRPr="00432589">
        <w:t xml:space="preserve"> Energy</w:t>
      </w:r>
      <w:r w:rsidRPr="00C26877">
        <w:t>. </w:t>
      </w:r>
    </w:p>
    <w:p w:rsidR="00D311E7" w:rsidRPr="008571E0" w:rsidRDefault="00D311E7" w:rsidP="00D311E7">
      <w:pPr>
        <w:rPr>
          <w:rStyle w:val="AERtextbold"/>
        </w:rPr>
      </w:pPr>
      <w:r w:rsidRPr="008571E0">
        <w:rPr>
          <w:rStyle w:val="AERtextbold"/>
        </w:rPr>
        <w:t>Service Standards</w:t>
      </w:r>
    </w:p>
    <w:p w:rsidR="00D311E7" w:rsidRPr="0021087A" w:rsidRDefault="00D311E7" w:rsidP="00D311E7">
      <w:pPr>
        <w:rPr>
          <w:rStyle w:val="AERbody"/>
        </w:rPr>
      </w:pPr>
      <w:r>
        <w:rPr>
          <w:rStyle w:val="AERbody"/>
        </w:rPr>
        <w:t>The NSW Public Lighting Code</w:t>
      </w:r>
      <w:r w:rsidRPr="0021087A">
        <w:rPr>
          <w:rStyle w:val="AERbody"/>
        </w:rPr>
        <w:t xml:space="preserve"> sets </w:t>
      </w:r>
      <w:r>
        <w:rPr>
          <w:rStyle w:val="AERbody"/>
        </w:rPr>
        <w:t>out</w:t>
      </w:r>
      <w:r w:rsidRPr="0021087A">
        <w:rPr>
          <w:rStyle w:val="AERbody"/>
        </w:rPr>
        <w:t xml:space="preserve"> minimum levels of service </w:t>
      </w:r>
      <w:r>
        <w:rPr>
          <w:rStyle w:val="AERbody"/>
        </w:rPr>
        <w:t>from di</w:t>
      </w:r>
      <w:r w:rsidR="008E02B9">
        <w:rPr>
          <w:rStyle w:val="AERbody"/>
        </w:rPr>
        <w:t>stributors and protections for c</w:t>
      </w:r>
      <w:r>
        <w:rPr>
          <w:rStyle w:val="AERbody"/>
        </w:rPr>
        <w:t>ouncils for Public Lighting in NSW.</w:t>
      </w:r>
    </w:p>
    <w:p w:rsidR="00D311E7" w:rsidRPr="00FB15AF" w:rsidRDefault="00D311E7" w:rsidP="00D311E7">
      <w:pPr>
        <w:rPr>
          <w:rStyle w:val="AERbody"/>
        </w:rPr>
      </w:pPr>
      <w:r w:rsidRPr="00FB15AF">
        <w:rPr>
          <w:rStyle w:val="AERbody"/>
        </w:rPr>
        <w:t xml:space="preserve">In relation to service standards </w:t>
      </w:r>
      <w:r>
        <w:rPr>
          <w:rStyle w:val="AERbody"/>
        </w:rPr>
        <w:t>we</w:t>
      </w:r>
      <w:r w:rsidRPr="00FB15AF">
        <w:rPr>
          <w:rStyle w:val="AERbody"/>
        </w:rPr>
        <w:t xml:space="preserve"> consider that there is a trade-off between the prices paid by councils and the service provided by distributors. </w:t>
      </w:r>
    </w:p>
    <w:p w:rsidR="00D311E7" w:rsidRPr="00337A3F" w:rsidRDefault="00D311E7" w:rsidP="00D311E7">
      <w:pPr>
        <w:pStyle w:val="AERbodytext"/>
      </w:pPr>
      <w:r w:rsidRPr="008571E0">
        <w:rPr>
          <w:rStyle w:val="AERbody"/>
        </w:rPr>
        <w:t xml:space="preserve">Whilst the NSW Public Lighting Code sets standards for distributors to adhere to, it is </w:t>
      </w:r>
      <w:r>
        <w:rPr>
          <w:rStyle w:val="AERbody"/>
        </w:rPr>
        <w:t>only</w:t>
      </w:r>
      <w:r w:rsidRPr="008571E0">
        <w:rPr>
          <w:rStyle w:val="AERbody"/>
        </w:rPr>
        <w:t xml:space="preserve"> voluntary. </w:t>
      </w:r>
      <w:r>
        <w:rPr>
          <w:rStyle w:val="AERbody"/>
        </w:rPr>
        <w:t>We see our role as setting a minimum level of protection. Negotiation between councils and Endeavour Energy can secure lower prices than those set by our determinations but councils must recognise that the trade-off will be a lower level of service offered by their distributor.</w:t>
      </w:r>
      <w:r w:rsidR="008E02B9">
        <w:rPr>
          <w:rStyle w:val="AERbody"/>
        </w:rPr>
        <w:t xml:space="preserve"> Or a higher price for a tailored</w:t>
      </w:r>
      <w:r>
        <w:rPr>
          <w:rStyle w:val="AERbody"/>
        </w:rPr>
        <w:t xml:space="preserve"> level of service.</w:t>
      </w:r>
    </w:p>
    <w:p w:rsidR="0035741C" w:rsidRDefault="0035741C" w:rsidP="0035741C">
      <w:pPr>
        <w:spacing w:after="0" w:line="240" w:lineRule="auto"/>
        <w:jc w:val="left"/>
        <w:rPr>
          <w:rStyle w:val="AERbody"/>
        </w:rPr>
        <w:sectPr w:rsidR="0035741C" w:rsidSect="003E262F">
          <w:footerReference w:type="even" r:id="rId49"/>
          <w:footerReference w:type="default" r:id="rId50"/>
          <w:pgSz w:w="11906" w:h="16838"/>
          <w:pgMar w:top="1440" w:right="1440" w:bottom="1440" w:left="1440" w:header="708" w:footer="708" w:gutter="0"/>
          <w:pgNumType w:chapStyle="1"/>
          <w:cols w:space="708"/>
          <w:docGrid w:linePitch="360"/>
        </w:sectPr>
      </w:pPr>
    </w:p>
    <w:p w:rsidR="0035741C" w:rsidRDefault="00D45E64" w:rsidP="00D45E64">
      <w:pPr>
        <w:pStyle w:val="Heading7"/>
      </w:pPr>
      <w:bookmarkStart w:id="73" w:name="_Ref403659531"/>
      <w:bookmarkStart w:id="74" w:name="_Toc404324971"/>
      <w:r>
        <w:t>Appendix 1</w:t>
      </w:r>
      <w:bookmarkEnd w:id="73"/>
      <w:bookmarkEnd w:id="74"/>
    </w:p>
    <w:p w:rsidR="00D45E64" w:rsidRPr="00D45E64" w:rsidRDefault="00D45E64" w:rsidP="00D45E64">
      <w:pPr>
        <w:pStyle w:val="Heading8"/>
      </w:pPr>
      <w:bookmarkStart w:id="75" w:name="_Ref403663103"/>
      <w:bookmarkStart w:id="76" w:name="_Toc404324972"/>
      <w:r>
        <w:t>Alternative Control services</w:t>
      </w:r>
      <w:bookmarkEnd w:id="75"/>
      <w:bookmarkEnd w:id="76"/>
    </w:p>
    <w:p w:rsidR="0035741C" w:rsidRPr="0035741C" w:rsidRDefault="0035741C" w:rsidP="00D45E64">
      <w:pPr>
        <w:pStyle w:val="Heading9"/>
      </w:pPr>
      <w:bookmarkStart w:id="77" w:name="_Ref403659714"/>
      <w:bookmarkStart w:id="78" w:name="_Toc404324973"/>
      <w:r w:rsidRPr="0035741C">
        <w:t>Ancillary Network Services</w:t>
      </w:r>
      <w:bookmarkEnd w:id="77"/>
      <w:bookmarkEnd w:id="78"/>
    </w:p>
    <w:p w:rsidR="00D45E64" w:rsidRPr="00F92C29" w:rsidRDefault="00D45E64" w:rsidP="00D45E64">
      <w:pPr>
        <w:keepNext/>
        <w:tabs>
          <w:tab w:val="left" w:pos="1440"/>
        </w:tabs>
        <w:spacing w:before="120" w:after="120"/>
        <w:ind w:left="1440" w:hanging="1440"/>
        <w:rPr>
          <w:rStyle w:val="AERtextbold"/>
        </w:rPr>
      </w:pPr>
      <w:r w:rsidRPr="00F92C29">
        <w:rPr>
          <w:rStyle w:val="AERtextbold"/>
        </w:rPr>
        <w:t xml:space="preserve">Table </w:t>
      </w:r>
      <w:r w:rsidR="003E262F">
        <w:rPr>
          <w:rStyle w:val="AERtextbold"/>
        </w:rPr>
        <w:fldChar w:fldCharType="begin"/>
      </w:r>
      <w:r w:rsidR="003E262F">
        <w:rPr>
          <w:rStyle w:val="AERtextbold"/>
        </w:rPr>
        <w:instrText xml:space="preserve"> STYLEREF 1 \s </w:instrText>
      </w:r>
      <w:r w:rsidR="003E262F">
        <w:rPr>
          <w:rStyle w:val="AERtextbold"/>
        </w:rPr>
        <w:fldChar w:fldCharType="separate"/>
      </w:r>
      <w:r w:rsidR="003E262F">
        <w:rPr>
          <w:rStyle w:val="AERtextbold"/>
          <w:noProof/>
        </w:rPr>
        <w:t>16</w:t>
      </w:r>
      <w:r w:rsidR="003E262F">
        <w:rPr>
          <w:rStyle w:val="AERtextbold"/>
        </w:rPr>
        <w:fldChar w:fldCharType="end"/>
      </w:r>
      <w:r w:rsidR="003E262F">
        <w:rPr>
          <w:rStyle w:val="AERtextbold"/>
        </w:rPr>
        <w:noBreakHyphen/>
      </w:r>
      <w:r w:rsidR="003E262F">
        <w:rPr>
          <w:rStyle w:val="AERtextbold"/>
        </w:rPr>
        <w:fldChar w:fldCharType="begin"/>
      </w:r>
      <w:r w:rsidR="003E262F">
        <w:rPr>
          <w:rStyle w:val="AERtextbold"/>
        </w:rPr>
        <w:instrText xml:space="preserve"> SEQ Table \* ARABIC \s 1 </w:instrText>
      </w:r>
      <w:r w:rsidR="003E262F">
        <w:rPr>
          <w:rStyle w:val="AERtextbold"/>
        </w:rPr>
        <w:fldChar w:fldCharType="separate"/>
      </w:r>
      <w:r w:rsidR="003E262F">
        <w:rPr>
          <w:rStyle w:val="AERtextbold"/>
          <w:noProof/>
        </w:rPr>
        <w:t>20</w:t>
      </w:r>
      <w:r w:rsidR="003E262F">
        <w:rPr>
          <w:rStyle w:val="AERtextbold"/>
        </w:rPr>
        <w:fldChar w:fldCharType="end"/>
      </w:r>
      <w:r w:rsidRPr="00F92C29">
        <w:rPr>
          <w:rStyle w:val="AERtextbold"/>
        </w:rPr>
        <w:t xml:space="preserve"> Ancillary network services – Endeavour Energy – draft determination</w:t>
      </w:r>
    </w:p>
    <w:tbl>
      <w:tblPr>
        <w:tblStyle w:val="AERtable-numbers"/>
        <w:tblW w:w="0" w:type="auto"/>
        <w:tblLook w:val="04A0" w:firstRow="1" w:lastRow="0" w:firstColumn="1" w:lastColumn="0" w:noHBand="0" w:noVBand="1"/>
      </w:tblPr>
      <w:tblGrid>
        <w:gridCol w:w="1642"/>
        <w:gridCol w:w="1643"/>
        <w:gridCol w:w="1642"/>
        <w:gridCol w:w="888"/>
        <w:gridCol w:w="1381"/>
        <w:gridCol w:w="1093"/>
        <w:gridCol w:w="1022"/>
        <w:gridCol w:w="1608"/>
        <w:gridCol w:w="1026"/>
        <w:gridCol w:w="1192"/>
      </w:tblGrid>
      <w:tr w:rsidR="00993461" w:rsidRPr="00195D8B" w:rsidTr="0090530B">
        <w:trPr>
          <w:cnfStyle w:val="100000000000" w:firstRow="1" w:lastRow="0" w:firstColumn="0" w:lastColumn="0" w:oddVBand="0" w:evenVBand="0" w:oddHBand="0" w:evenHBand="0" w:firstRowFirstColumn="0" w:firstRowLastColumn="0" w:lastRowFirstColumn="0" w:lastRowLastColumn="0"/>
          <w:trHeight w:val="84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7848A6">
            <w:pPr>
              <w:pStyle w:val="AERtabletextleft"/>
            </w:pPr>
            <w:r w:rsidRPr="00195D8B">
              <w:t>Service</w:t>
            </w:r>
          </w:p>
        </w:tc>
        <w:tc>
          <w:tcPr>
            <w:tcW w:w="1381" w:type="dxa"/>
            <w:noWrap/>
            <w:hideMark/>
          </w:tcPr>
          <w:p w:rsidR="00993461" w:rsidRPr="00195D8B" w:rsidRDefault="00993461" w:rsidP="00F92C29">
            <w:pPr>
              <w:pStyle w:val="AERtabletextright"/>
              <w:cnfStyle w:val="100000000000" w:firstRow="1" w:lastRow="0" w:firstColumn="0" w:lastColumn="0" w:oddVBand="0" w:evenVBand="0" w:oddHBand="0" w:evenHBand="0" w:firstRowFirstColumn="0" w:firstRowLastColumn="0" w:lastRowFirstColumn="0" w:lastRowLastColumn="0"/>
            </w:pPr>
            <w:r w:rsidRPr="00195D8B">
              <w:t>Driver</w:t>
            </w:r>
          </w:p>
        </w:tc>
        <w:tc>
          <w:tcPr>
            <w:tcW w:w="1093" w:type="dxa"/>
            <w:noWrap/>
            <w:hideMark/>
          </w:tcPr>
          <w:p w:rsidR="00993461" w:rsidRPr="00195D8B" w:rsidRDefault="00993461" w:rsidP="00F92C29">
            <w:pPr>
              <w:pStyle w:val="AERtabletextright"/>
              <w:cnfStyle w:val="100000000000" w:firstRow="1" w:lastRow="0" w:firstColumn="0" w:lastColumn="0" w:oddVBand="0" w:evenVBand="0" w:oddHBand="0" w:evenHBand="0" w:firstRowFirstColumn="0" w:firstRowLastColumn="0" w:lastRowFirstColumn="0" w:lastRowLastColumn="0"/>
            </w:pPr>
            <w:r w:rsidRPr="00195D8B">
              <w:t>Fee type</w:t>
            </w:r>
          </w:p>
        </w:tc>
        <w:tc>
          <w:tcPr>
            <w:tcW w:w="1022" w:type="dxa"/>
            <w:hideMark/>
          </w:tcPr>
          <w:p w:rsidR="00993461" w:rsidRPr="00195D8B" w:rsidRDefault="00993461" w:rsidP="00F92C29">
            <w:pPr>
              <w:pStyle w:val="AERtabletextright"/>
              <w:cnfStyle w:val="100000000000" w:firstRow="1" w:lastRow="0" w:firstColumn="0" w:lastColumn="0" w:oddVBand="0" w:evenVBand="0" w:oddHBand="0" w:evenHBand="0" w:firstRowFirstColumn="0" w:firstRowLastColumn="0" w:lastRowFirstColumn="0" w:lastRowLastColumn="0"/>
            </w:pPr>
            <w:r w:rsidRPr="00195D8B">
              <w:t>Current price</w:t>
            </w:r>
            <w:r>
              <w:t xml:space="preserve"> ($2014–15)</w:t>
            </w:r>
          </w:p>
        </w:tc>
        <w:tc>
          <w:tcPr>
            <w:tcW w:w="1608" w:type="dxa"/>
            <w:hideMark/>
          </w:tcPr>
          <w:p w:rsidR="00993461" w:rsidRPr="00195D8B" w:rsidRDefault="00993461" w:rsidP="00F92C29">
            <w:pPr>
              <w:pStyle w:val="AERtabletextright"/>
              <w:cnfStyle w:val="100000000000" w:firstRow="1" w:lastRow="0" w:firstColumn="0" w:lastColumn="0" w:oddVBand="0" w:evenVBand="0" w:oddHBand="0" w:evenHBand="0" w:firstRowFirstColumn="0" w:firstRowLastColumn="0" w:lastRowFirstColumn="0" w:lastRowLastColumn="0"/>
            </w:pPr>
            <w:r w:rsidRPr="00195D8B">
              <w:t>Proposed price</w:t>
            </w:r>
            <w:r>
              <w:t xml:space="preserve"> ($2014–15)</w:t>
            </w:r>
          </w:p>
        </w:tc>
        <w:tc>
          <w:tcPr>
            <w:tcW w:w="1026" w:type="dxa"/>
            <w:hideMark/>
          </w:tcPr>
          <w:p w:rsidR="00993461" w:rsidRPr="00195D8B" w:rsidRDefault="00993461" w:rsidP="00F92C29">
            <w:pPr>
              <w:pStyle w:val="AERtabletextright"/>
              <w:cnfStyle w:val="100000000000" w:firstRow="1" w:lastRow="0" w:firstColumn="0" w:lastColumn="0" w:oddVBand="0" w:evenVBand="0" w:oddHBand="0" w:evenHBand="0" w:firstRowFirstColumn="0" w:firstRowLastColumn="0" w:lastRowFirstColumn="0" w:lastRowLastColumn="0"/>
            </w:pPr>
            <w:r w:rsidRPr="00195D8B">
              <w:t>AER draft decision</w:t>
            </w:r>
            <w:r>
              <w:t xml:space="preserve"> ($2014–15)</w:t>
            </w:r>
          </w:p>
        </w:tc>
        <w:tc>
          <w:tcPr>
            <w:tcW w:w="1192" w:type="dxa"/>
            <w:hideMark/>
          </w:tcPr>
          <w:p w:rsidR="00993461" w:rsidRPr="00195D8B" w:rsidRDefault="00993461" w:rsidP="00F92C29">
            <w:pPr>
              <w:pStyle w:val="AERtabletextright"/>
              <w:cnfStyle w:val="100000000000" w:firstRow="1" w:lastRow="0" w:firstColumn="0" w:lastColumn="0" w:oddVBand="0" w:evenVBand="0" w:oddHBand="0" w:evenHBand="0" w:firstRowFirstColumn="0" w:firstRowLastColumn="0" w:lastRowFirstColumn="0" w:lastRowLastColumn="0"/>
            </w:pPr>
            <w:r w:rsidRPr="00195D8B">
              <w:t xml:space="preserve">% (draft </w:t>
            </w:r>
            <w:proofErr w:type="spellStart"/>
            <w:r w:rsidRPr="00195D8B">
              <w:t>cf</w:t>
            </w:r>
            <w:proofErr w:type="spellEnd"/>
            <w:r w:rsidRPr="00195D8B">
              <w:t xml:space="preserve"> proposed)</w:t>
            </w: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993461" w:rsidRPr="00195D8B" w:rsidRDefault="00993461" w:rsidP="00F92C29">
            <w:pPr>
              <w:pStyle w:val="AERtabletextright"/>
            </w:pPr>
          </w:p>
        </w:tc>
        <w:tc>
          <w:tcPr>
            <w:tcW w:w="164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64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888" w:type="dxa"/>
            <w:noWrap/>
            <w:hideMark/>
          </w:tcPr>
          <w:p w:rsidR="00993461" w:rsidRPr="00195D8B" w:rsidRDefault="00993461" w:rsidP="007848A6">
            <w:pPr>
              <w:pStyle w:val="AERtabletextleft"/>
              <w:cnfStyle w:val="000000000000" w:firstRow="0" w:lastRow="0" w:firstColumn="0" w:lastColumn="0" w:oddVBand="0" w:evenVBand="0" w:oddHBand="0" w:evenHBand="0"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285" w:type="dxa"/>
            <w:gridSpan w:val="2"/>
            <w:noWrap/>
            <w:hideMark/>
          </w:tcPr>
          <w:p w:rsidR="00993461" w:rsidRPr="00195D8B" w:rsidRDefault="00993461" w:rsidP="00C65A0E">
            <w:pPr>
              <w:pStyle w:val="AERtabletextleft"/>
            </w:pPr>
            <w:r w:rsidRPr="00195D8B">
              <w:t>Administration fee</w:t>
            </w:r>
          </w:p>
        </w:tc>
        <w:tc>
          <w:tcPr>
            <w:tcW w:w="1642"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888" w:type="dxa"/>
            <w:noWrap/>
            <w:hideMark/>
          </w:tcPr>
          <w:p w:rsidR="00993461" w:rsidRPr="00195D8B" w:rsidRDefault="00993461" w:rsidP="007848A6">
            <w:pPr>
              <w:pStyle w:val="AERtabletextleft"/>
              <w:cnfStyle w:val="000000010000" w:firstRow="0" w:lastRow="0" w:firstColumn="0" w:lastColumn="0" w:oddVBand="0" w:evenVBand="0" w:oddHBand="0" w:evenHBand="1"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pPr>
            <w:r w:rsidRPr="00195D8B">
              <w:t>Subdivision - URD - Underground - 1-5 lots</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193</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633.45</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356.24</w:t>
            </w:r>
          </w:p>
        </w:tc>
        <w:tc>
          <w:tcPr>
            <w:tcW w:w="1192" w:type="dxa"/>
            <w:noWrap/>
            <w:hideMark/>
          </w:tcPr>
          <w:p w:rsidR="00993461"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t>-43.8</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pPr>
            <w:r w:rsidRPr="00195D8B">
              <w:t>Subdivision - URD - Underground - 6-10 lots</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258</w:t>
            </w: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791.82</w:t>
            </w: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445.30</w:t>
            </w:r>
          </w:p>
        </w:tc>
        <w:tc>
          <w:tcPr>
            <w:tcW w:w="1192" w:type="dxa"/>
            <w:noWrap/>
            <w:hideMark/>
          </w:tcPr>
          <w:p w:rsidR="00993461"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t>-43.8</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URD - Underground - 11-40 lots</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322</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1,108.55</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623.42</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B22E44">
              <w:t>-43.8</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URD - Underground - 41+ lots</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387</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1,266.91</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712.48</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B22E44">
              <w:t>-43.8</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Non Urban - Underground - 1-5 lots</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193</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475.09</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267.18</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B22E44">
              <w:t>-43.8</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Non Urban - Underground - 6-10 lots</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258</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633.45</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356.24</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B22E44">
              <w:t>-43.8</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Non Urban - Underground - 11-40 lots</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322</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791.82</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445.30</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B22E44">
              <w:t>-43.8</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Non Urban - Underground - 41+ lots</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387</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950.18</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534.36</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B22E44">
              <w:t>-43.8</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Non Urban - Overhead - 1-5 poles</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193</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633.45</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356.24</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F9245C">
              <w:t>-43.8</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Non Urban - Overhead - 6-10 poles</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258</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791.82</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445.30</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F9245C">
              <w:t>-43.8</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Non Urban - Overhead - 11+ poles</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387</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1,425.27</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801.54</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F9245C">
              <w:t>-43.8</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Industrial &amp; Commercial - Per Hour</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64</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158.36</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89.06</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F9245C">
              <w:t>-43.8</w:t>
            </w:r>
          </w:p>
        </w:tc>
      </w:tr>
      <w:tr w:rsidR="00586F05" w:rsidRPr="00195D8B" w:rsidTr="008F1948">
        <w:trPr>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586F05" w:rsidRPr="00195D8B" w:rsidRDefault="00586F05" w:rsidP="00C65A0E">
            <w:pPr>
              <w:pStyle w:val="AERtabletextleft"/>
            </w:pPr>
          </w:p>
        </w:tc>
        <w:tc>
          <w:tcPr>
            <w:tcW w:w="1643" w:type="dxa"/>
            <w:noWrap/>
            <w:hideMark/>
          </w:tcPr>
          <w:p w:rsidR="00586F05" w:rsidRPr="00195D8B" w:rsidRDefault="00586F05"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1642" w:type="dxa"/>
            <w:noWrap/>
            <w:hideMark/>
          </w:tcPr>
          <w:p w:rsidR="00586F05" w:rsidRPr="00195D8B" w:rsidRDefault="00586F05"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888" w:type="dxa"/>
            <w:noWrap/>
            <w:hideMark/>
          </w:tcPr>
          <w:p w:rsidR="00586F05" w:rsidRPr="00195D8B" w:rsidRDefault="00586F05" w:rsidP="007848A6">
            <w:pPr>
              <w:pStyle w:val="AERtabletextleft"/>
              <w:cnfStyle w:val="000000000000" w:firstRow="0" w:lastRow="0" w:firstColumn="0" w:lastColumn="0" w:oddVBand="0" w:evenVBand="0" w:oddHBand="0" w:evenHBand="0" w:firstRowFirstColumn="0" w:firstRowLastColumn="0" w:lastRowFirstColumn="0" w:lastRowLastColumn="0"/>
            </w:pP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93" w:type="dxa"/>
            <w:noWrap/>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22" w:type="dxa"/>
            <w:noWrap/>
            <w:vAlign w:val="top"/>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608" w:type="dxa"/>
            <w:noWrap/>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19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URD</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64</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158.36</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89.06</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F9245C">
              <w:t>-43.8</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 xml:space="preserve">Connection of Load - Industrial &amp; Commercial </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64</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158.36</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89.06</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F9245C">
              <w:t>-43.8</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 xml:space="preserve">Connection of Load - Non Urban - Underground </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64</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158.36</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89.06</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F9245C">
              <w:t>-43.8</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Non Urban - Overhead - 1-5 poles</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193</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633.45</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356.24</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F9245C">
              <w:t>-43.8</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Non Urban - Overhead - 6-10 poles</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258</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950.18</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534.36</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F9245C">
              <w:t>-43.8</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Non Urban - Overhead - 11+ poles</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387</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1,266.91</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712.48</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F9245C">
              <w:t>-43.8</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993461" w:rsidRPr="00195D8B" w:rsidRDefault="00993461" w:rsidP="00C65A0E">
            <w:pPr>
              <w:pStyle w:val="AERtabletextleft"/>
            </w:pPr>
          </w:p>
        </w:tc>
        <w:tc>
          <w:tcPr>
            <w:tcW w:w="1643"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642"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888" w:type="dxa"/>
            <w:noWrap/>
            <w:hideMark/>
          </w:tcPr>
          <w:p w:rsidR="00993461" w:rsidRPr="00195D8B" w:rsidRDefault="00993461" w:rsidP="007848A6">
            <w:pPr>
              <w:pStyle w:val="AERtabletextleft"/>
              <w:cnfStyle w:val="000000010000" w:firstRow="0" w:lastRow="0" w:firstColumn="0" w:lastColumn="0" w:oddVBand="0" w:evenVBand="0" w:oddHBand="0" w:evenHBand="1"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Other - Asset Relocation - Per Hour</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64</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158.36</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89.06</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5C2AD2">
              <w:t>-43.8</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Other - Public Lighting - Per Hour</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64</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158.36</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89.06</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5C2AD2">
              <w:t>-43.8</w:t>
            </w: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993461" w:rsidRPr="00195D8B" w:rsidRDefault="00993461" w:rsidP="00C65A0E">
            <w:pPr>
              <w:pStyle w:val="AERtabletextleft"/>
            </w:pPr>
          </w:p>
        </w:tc>
        <w:tc>
          <w:tcPr>
            <w:tcW w:w="1643" w:type="dxa"/>
            <w:noWrap/>
            <w:hideMark/>
          </w:tcPr>
          <w:p w:rsidR="00993461" w:rsidRPr="00195D8B" w:rsidRDefault="00993461"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1642" w:type="dxa"/>
            <w:noWrap/>
            <w:hideMark/>
          </w:tcPr>
          <w:p w:rsidR="00993461" w:rsidRPr="00195D8B" w:rsidRDefault="00993461"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888" w:type="dxa"/>
            <w:noWrap/>
            <w:hideMark/>
          </w:tcPr>
          <w:p w:rsidR="00993461" w:rsidRPr="00195D8B" w:rsidRDefault="00993461" w:rsidP="007848A6">
            <w:pPr>
              <w:pStyle w:val="AERtabletextleft"/>
              <w:cnfStyle w:val="000000000000" w:firstRow="0" w:lastRow="0" w:firstColumn="0" w:lastColumn="0" w:oddVBand="0" w:evenVBand="0" w:oddHBand="0" w:evenHBand="0"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927" w:type="dxa"/>
            <w:gridSpan w:val="3"/>
            <w:noWrap/>
            <w:hideMark/>
          </w:tcPr>
          <w:p w:rsidR="00993461" w:rsidRPr="00195D8B" w:rsidRDefault="00993461" w:rsidP="00C65A0E">
            <w:pPr>
              <w:pStyle w:val="AERtabletextleft"/>
              <w:rPr>
                <w:b/>
                <w:i/>
                <w:iCs/>
              </w:rPr>
            </w:pPr>
            <w:r w:rsidRPr="00195D8B">
              <w:rPr>
                <w:b/>
                <w:i/>
                <w:iCs/>
              </w:rPr>
              <w:t>Design information fee</w:t>
            </w:r>
          </w:p>
        </w:tc>
        <w:tc>
          <w:tcPr>
            <w:tcW w:w="888" w:type="dxa"/>
            <w:noWrap/>
            <w:hideMark/>
          </w:tcPr>
          <w:p w:rsidR="00993461" w:rsidRPr="00195D8B" w:rsidRDefault="00993461" w:rsidP="007848A6">
            <w:pPr>
              <w:pStyle w:val="AERtabletextleft"/>
              <w:cnfStyle w:val="000000010000" w:firstRow="0" w:lastRow="0" w:firstColumn="0" w:lastColumn="0" w:oddVBand="0" w:evenVBand="0" w:oddHBand="0" w:evenHBand="1"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pPr>
            <w:r w:rsidRPr="00195D8B">
              <w:t>Subdivision - URD - Underground - 1-5 lots</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159</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586.51</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428.43</w:t>
            </w:r>
          </w:p>
        </w:tc>
        <w:tc>
          <w:tcPr>
            <w:tcW w:w="119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w:t>
            </w:r>
            <w:r w:rsidR="00586F05">
              <w:t>27.0</w:t>
            </w:r>
          </w:p>
        </w:tc>
      </w:tr>
      <w:tr w:rsidR="00586F05"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URD - Underground - 6-10 lots</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239</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782.01</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571.24</w:t>
            </w:r>
          </w:p>
        </w:tc>
        <w:tc>
          <w:tcPr>
            <w:tcW w:w="119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w:t>
            </w:r>
            <w:r>
              <w:t>27.0</w:t>
            </w:r>
          </w:p>
        </w:tc>
      </w:tr>
      <w:tr w:rsidR="00586F05"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URD - Underground - 11-40 lots</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398</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1,368.52</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999.67</w:t>
            </w:r>
          </w:p>
        </w:tc>
        <w:tc>
          <w:tcPr>
            <w:tcW w:w="119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w:t>
            </w:r>
            <w:r>
              <w:t>27.0</w:t>
            </w:r>
          </w:p>
        </w:tc>
      </w:tr>
      <w:tr w:rsidR="00586F05"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URD - Underground - 41+ lots</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478</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1,759.53</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1,285.29</w:t>
            </w:r>
          </w:p>
        </w:tc>
        <w:tc>
          <w:tcPr>
            <w:tcW w:w="119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w:t>
            </w:r>
            <w:r>
              <w:t>27.0</w:t>
            </w:r>
          </w:p>
        </w:tc>
      </w:tr>
      <w:tr w:rsidR="00586F05"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Non Urban - Per Hour</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80</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195.50</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142.81</w:t>
            </w:r>
          </w:p>
        </w:tc>
        <w:tc>
          <w:tcPr>
            <w:tcW w:w="119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w:t>
            </w:r>
            <w:r>
              <w:t>27.0</w:t>
            </w:r>
          </w:p>
        </w:tc>
      </w:tr>
      <w:tr w:rsidR="00586F05"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Industrial &amp; Commercial - Per Hour</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80</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195.50</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142.81</w:t>
            </w:r>
          </w:p>
        </w:tc>
        <w:tc>
          <w:tcPr>
            <w:tcW w:w="119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w:t>
            </w:r>
            <w:r>
              <w:t>27.0</w:t>
            </w:r>
          </w:p>
        </w:tc>
      </w:tr>
      <w:tr w:rsidR="00586F05" w:rsidRPr="00195D8B" w:rsidTr="008F1948">
        <w:trPr>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586F05" w:rsidRPr="00195D8B" w:rsidRDefault="00586F05" w:rsidP="00C65A0E">
            <w:pPr>
              <w:pStyle w:val="AERtabletextleft"/>
            </w:pPr>
          </w:p>
        </w:tc>
        <w:tc>
          <w:tcPr>
            <w:tcW w:w="1643" w:type="dxa"/>
            <w:noWrap/>
            <w:hideMark/>
          </w:tcPr>
          <w:p w:rsidR="00586F05" w:rsidRPr="00195D8B" w:rsidRDefault="00586F05"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1642" w:type="dxa"/>
            <w:noWrap/>
            <w:hideMark/>
          </w:tcPr>
          <w:p w:rsidR="00586F05" w:rsidRPr="00195D8B" w:rsidRDefault="00586F05"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888" w:type="dxa"/>
            <w:noWrap/>
            <w:hideMark/>
          </w:tcPr>
          <w:p w:rsidR="00586F05" w:rsidRPr="00195D8B" w:rsidRDefault="00586F05"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93" w:type="dxa"/>
            <w:noWrap/>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22" w:type="dxa"/>
            <w:noWrap/>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608" w:type="dxa"/>
            <w:noWrap/>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19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p>
        </w:tc>
      </w:tr>
      <w:tr w:rsidR="00586F05"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Industrial &amp; Commercial - &lt;= 200A/Phase (LV)</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80</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195.50</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142.81</w:t>
            </w:r>
          </w:p>
        </w:tc>
        <w:tc>
          <w:tcPr>
            <w:tcW w:w="119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w:t>
            </w:r>
            <w:r>
              <w:t>27.0</w:t>
            </w:r>
          </w:p>
        </w:tc>
      </w:tr>
      <w:tr w:rsidR="00586F05"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Industrial &amp; Commercial - &lt;= 700A/Phase (LV)</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80</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195.50</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142.81</w:t>
            </w:r>
          </w:p>
        </w:tc>
        <w:tc>
          <w:tcPr>
            <w:tcW w:w="119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w:t>
            </w:r>
            <w:r>
              <w:t>27.0</w:t>
            </w:r>
          </w:p>
        </w:tc>
      </w:tr>
      <w:tr w:rsidR="00586F05"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Industrial &amp; Commercial - &gt; 700A/Phase (LV)</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80</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195.50</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142.81</w:t>
            </w:r>
          </w:p>
        </w:tc>
        <w:tc>
          <w:tcPr>
            <w:tcW w:w="119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w:t>
            </w:r>
            <w:r>
              <w:t>27.0</w:t>
            </w:r>
          </w:p>
        </w:tc>
      </w:tr>
      <w:tr w:rsidR="00586F05"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Industrial &amp; Commercial - HV Customer</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80</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195.50</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142.81</w:t>
            </w:r>
          </w:p>
        </w:tc>
        <w:tc>
          <w:tcPr>
            <w:tcW w:w="119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w:t>
            </w:r>
            <w:r>
              <w:t>27.0</w:t>
            </w:r>
          </w:p>
        </w:tc>
      </w:tr>
      <w:tr w:rsidR="00586F05"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Industrial &amp; Commercial - Transmission</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80</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195.50</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142.81</w:t>
            </w:r>
          </w:p>
        </w:tc>
        <w:tc>
          <w:tcPr>
            <w:tcW w:w="119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w:t>
            </w:r>
            <w:r>
              <w:t>27.0</w:t>
            </w:r>
          </w:p>
        </w:tc>
      </w:tr>
      <w:tr w:rsidR="00586F05"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Multi-Dwelling - &lt;= 5 units</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80</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195.50</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142.81</w:t>
            </w:r>
          </w:p>
        </w:tc>
        <w:tc>
          <w:tcPr>
            <w:tcW w:w="119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w:t>
            </w:r>
            <w:r>
              <w:t>27.0</w:t>
            </w:r>
          </w:p>
        </w:tc>
      </w:tr>
      <w:tr w:rsidR="00586F05"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Multi-Dwelling - &lt;= 20 units</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80</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195.50</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142.81</w:t>
            </w:r>
          </w:p>
        </w:tc>
        <w:tc>
          <w:tcPr>
            <w:tcW w:w="119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w:t>
            </w:r>
            <w:r>
              <w:t>27.0</w:t>
            </w:r>
          </w:p>
        </w:tc>
      </w:tr>
      <w:tr w:rsidR="00586F05"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Multi-Dwelling - &lt;= 40 units</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80</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195.50</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142.81</w:t>
            </w:r>
          </w:p>
        </w:tc>
        <w:tc>
          <w:tcPr>
            <w:tcW w:w="119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w:t>
            </w:r>
            <w:r>
              <w:t>27.0</w:t>
            </w:r>
          </w:p>
        </w:tc>
      </w:tr>
      <w:tr w:rsidR="00586F05"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Multi-Dwelling - &gt; 40 units</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80</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195.50</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142.81</w:t>
            </w:r>
          </w:p>
        </w:tc>
        <w:tc>
          <w:tcPr>
            <w:tcW w:w="119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w:t>
            </w:r>
            <w:r>
              <w:t>27.0</w:t>
            </w:r>
          </w:p>
        </w:tc>
      </w:tr>
      <w:tr w:rsidR="00586F05"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Non Urban - I&amp;C - &lt;= 200A/Phase (LV)</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80</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195.50</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142.81</w:t>
            </w:r>
          </w:p>
        </w:tc>
        <w:tc>
          <w:tcPr>
            <w:tcW w:w="119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w:t>
            </w:r>
            <w:r>
              <w:t>27.0</w:t>
            </w:r>
          </w:p>
        </w:tc>
      </w:tr>
      <w:tr w:rsidR="00586F05"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Non Urban - I&amp;C - &lt;= 700A/Phase (LV)</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80</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195.50</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142.81</w:t>
            </w:r>
          </w:p>
        </w:tc>
        <w:tc>
          <w:tcPr>
            <w:tcW w:w="119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w:t>
            </w:r>
            <w:r>
              <w:t>27.0</w:t>
            </w:r>
          </w:p>
        </w:tc>
      </w:tr>
      <w:tr w:rsidR="00586F05"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Non Urban - I&amp;C - &gt;  700A/Phase (LV)</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80</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195.50</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142.81</w:t>
            </w:r>
          </w:p>
        </w:tc>
        <w:tc>
          <w:tcPr>
            <w:tcW w:w="119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w:t>
            </w:r>
            <w:r>
              <w:t>27.0</w:t>
            </w:r>
          </w:p>
        </w:tc>
      </w:tr>
      <w:tr w:rsidR="00586F05"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Non Urban - I&amp;C - HV Customer</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80</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195.50</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142.81</w:t>
            </w:r>
          </w:p>
        </w:tc>
        <w:tc>
          <w:tcPr>
            <w:tcW w:w="119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w:t>
            </w:r>
            <w:r>
              <w:t>27.0</w:t>
            </w:r>
          </w:p>
        </w:tc>
      </w:tr>
      <w:tr w:rsidR="00586F05"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Non Urban - I&amp;C - Transmission</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80</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195.50</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142.81</w:t>
            </w:r>
          </w:p>
        </w:tc>
        <w:tc>
          <w:tcPr>
            <w:tcW w:w="119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w:t>
            </w:r>
            <w:r>
              <w:t>27.0</w:t>
            </w:r>
          </w:p>
        </w:tc>
      </w:tr>
      <w:tr w:rsidR="00586F05"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Non Urban - Multi-Dwelling - &lt;= 5 units</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80</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195.50</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142.81</w:t>
            </w:r>
          </w:p>
        </w:tc>
        <w:tc>
          <w:tcPr>
            <w:tcW w:w="119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w:t>
            </w:r>
            <w:r>
              <w:t>27.0</w:t>
            </w:r>
          </w:p>
        </w:tc>
      </w:tr>
      <w:tr w:rsidR="00586F05"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Non Urban - Multi-Dwelling - &lt;= 20 units</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80</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195.50</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142.81</w:t>
            </w:r>
          </w:p>
        </w:tc>
        <w:tc>
          <w:tcPr>
            <w:tcW w:w="119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w:t>
            </w:r>
            <w:r>
              <w:t>27.0</w:t>
            </w:r>
          </w:p>
        </w:tc>
      </w:tr>
      <w:tr w:rsidR="00586F05"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Non Urban - Multi-Dwelling - &lt;= 40 units</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80</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195.50</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142.81</w:t>
            </w:r>
          </w:p>
        </w:tc>
        <w:tc>
          <w:tcPr>
            <w:tcW w:w="119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w:t>
            </w:r>
            <w:r>
              <w:t>27.0</w:t>
            </w:r>
          </w:p>
        </w:tc>
      </w:tr>
      <w:tr w:rsidR="00586F05"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Non Urban - Multi-Dwelling - &gt; 40 units</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80</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195.50</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142.81</w:t>
            </w:r>
          </w:p>
        </w:tc>
        <w:tc>
          <w:tcPr>
            <w:tcW w:w="119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w:t>
            </w:r>
            <w:r>
              <w:t>27.0</w:t>
            </w:r>
          </w:p>
        </w:tc>
      </w:tr>
      <w:tr w:rsidR="00586F05"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Non Urban - Single Residential - Per Hour</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80</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195.50</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142.81</w:t>
            </w:r>
          </w:p>
        </w:tc>
        <w:tc>
          <w:tcPr>
            <w:tcW w:w="119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w:t>
            </w:r>
            <w:r>
              <w:t>27.0</w:t>
            </w:r>
          </w:p>
        </w:tc>
      </w:tr>
      <w:tr w:rsidR="00586F05" w:rsidRPr="00195D8B" w:rsidTr="008F1948">
        <w:trPr>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586F05" w:rsidRPr="00195D8B" w:rsidRDefault="00586F05" w:rsidP="00C65A0E">
            <w:pPr>
              <w:pStyle w:val="AERtabletextleft"/>
            </w:pPr>
          </w:p>
        </w:tc>
        <w:tc>
          <w:tcPr>
            <w:tcW w:w="1643" w:type="dxa"/>
            <w:noWrap/>
            <w:hideMark/>
          </w:tcPr>
          <w:p w:rsidR="00586F05" w:rsidRPr="00195D8B" w:rsidRDefault="00586F05"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1642" w:type="dxa"/>
            <w:noWrap/>
            <w:hideMark/>
          </w:tcPr>
          <w:p w:rsidR="00586F05" w:rsidRPr="00195D8B" w:rsidRDefault="00586F05"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888" w:type="dxa"/>
            <w:noWrap/>
            <w:hideMark/>
          </w:tcPr>
          <w:p w:rsidR="00586F05" w:rsidRPr="00195D8B" w:rsidRDefault="00586F05"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93" w:type="dxa"/>
            <w:noWrap/>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22" w:type="dxa"/>
            <w:noWrap/>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608" w:type="dxa"/>
            <w:noWrap/>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19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p>
        </w:tc>
      </w:tr>
      <w:tr w:rsidR="00586F05"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Asset Relocation - Engineer</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96</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195.50</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142.81</w:t>
            </w:r>
          </w:p>
        </w:tc>
        <w:tc>
          <w:tcPr>
            <w:tcW w:w="119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w:t>
            </w:r>
            <w:r>
              <w:t>27.0</w:t>
            </w:r>
          </w:p>
        </w:tc>
      </w:tr>
      <w:tr w:rsidR="00586F05"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Asset Relocation - Designer</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80</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195.50</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142.81</w:t>
            </w:r>
          </w:p>
        </w:tc>
        <w:tc>
          <w:tcPr>
            <w:tcW w:w="119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w:t>
            </w:r>
            <w:r>
              <w:t>27.0</w:t>
            </w:r>
          </w:p>
        </w:tc>
      </w:tr>
      <w:tr w:rsidR="00586F05"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Public Lighting - Engineer</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96</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195.50</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142.81</w:t>
            </w:r>
          </w:p>
        </w:tc>
        <w:tc>
          <w:tcPr>
            <w:tcW w:w="119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w:t>
            </w:r>
            <w:r>
              <w:t>27.0</w:t>
            </w:r>
          </w:p>
        </w:tc>
      </w:tr>
      <w:tr w:rsidR="00586F05"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Public Lighting - Designer</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80</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195.50</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142.81</w:t>
            </w:r>
          </w:p>
        </w:tc>
        <w:tc>
          <w:tcPr>
            <w:tcW w:w="119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w:t>
            </w:r>
            <w:r>
              <w:t>27.0</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993461" w:rsidRPr="00195D8B" w:rsidRDefault="00993461" w:rsidP="00C65A0E">
            <w:pPr>
              <w:pStyle w:val="AERtabletextleft"/>
            </w:pPr>
          </w:p>
        </w:tc>
        <w:tc>
          <w:tcPr>
            <w:tcW w:w="1643"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642"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888"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4927" w:type="dxa"/>
            <w:gridSpan w:val="3"/>
            <w:noWrap/>
            <w:hideMark/>
          </w:tcPr>
          <w:p w:rsidR="00993461" w:rsidRPr="00195D8B" w:rsidRDefault="00993461" w:rsidP="00C65A0E">
            <w:pPr>
              <w:pStyle w:val="AERtabletextleft"/>
              <w:rPr>
                <w:b/>
                <w:i/>
                <w:iCs/>
              </w:rPr>
            </w:pPr>
            <w:r w:rsidRPr="00195D8B">
              <w:rPr>
                <w:b/>
                <w:i/>
                <w:iCs/>
              </w:rPr>
              <w:t>Design certification fee</w:t>
            </w:r>
          </w:p>
        </w:tc>
        <w:tc>
          <w:tcPr>
            <w:tcW w:w="888" w:type="dxa"/>
            <w:noWrap/>
            <w:hideMark/>
          </w:tcPr>
          <w:p w:rsidR="00993461" w:rsidRPr="00195D8B" w:rsidRDefault="00993461"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pPr>
            <w:r w:rsidRPr="00195D8B">
              <w:t>Subdivision - URD - Underground - 1-5 lots</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80.00</w:t>
            </w: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401.11</w:t>
            </w: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285.62</w:t>
            </w: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-28.</w:t>
            </w:r>
            <w:r w:rsidR="00586F05">
              <w:t>8</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URD - Underground - 6-10 lots</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159.09</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601.66</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428.43</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B42055">
              <w:t>-28.8</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URD - Underground - 11-40 lots</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239.09</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1,002.77</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714.05</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B42055">
              <w:t>-28.8</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URD - Underground - 41+ lots</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318.18</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1,203.33</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856.86</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B42055">
              <w:t>-28.8</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Non Urban - Underground - 1-5 lots</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80.00</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200.55</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B42055">
              <w:t>-28.8</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Non Urban - Underground - 6-10 lots</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159.09</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601.66</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428.43</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B42055">
              <w:t>-28.8</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Non Urban - Underground - 11-40 lots</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239.09</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802.22</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571.24</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B42055">
              <w:t>-28.8</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Non Urban - Underground - 41+ lots</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318.18</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802.22</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571.24</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B42055">
              <w:t>-28.8</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Non Urban - Overhead - 1-5 poles</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80.00</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401.11</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285.62</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B42055">
              <w:t>-28.8</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Non Urban - Overhead - 6-10 poles</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159.09</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601.66</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428.43</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B42055">
              <w:t>-28.8</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Non Urban - Overhead - 11+ poles</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239.09</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1,002.77</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714.05</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B42055">
              <w:t>-28.8</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Industrial &amp; Commercial - Underground - 1-10 lots</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159.09</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601.66</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428.43</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B42055">
              <w:t>-28.8</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Industrial &amp; Commercial - Underground - 11-40 lots</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239.09</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802.22</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571.24</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B42055">
              <w:t>-28.8</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Industrial &amp; Commercial - Underground - 41 + lots</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478.18</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1,203.33</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856.86</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743566">
              <w:t>-28.8</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Industrial &amp; Commercial - Overhead - 1-5 poles</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80.00</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401.11</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285.62</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743566">
              <w:t>-28.8</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Industrial &amp; Commercial - Overhead - 6-10 poles</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159.09</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601.66</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428.43</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743566">
              <w:t>-28.8</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Industrial &amp; Commercial - Overhead - 11+ poles</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239.09</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1,002.77</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714.05</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743566">
              <w:t>-28.8</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586F05" w:rsidRPr="00195D8B" w:rsidRDefault="00586F05" w:rsidP="00C65A0E">
            <w:pPr>
              <w:pStyle w:val="AERtabletextleft"/>
            </w:pPr>
          </w:p>
        </w:tc>
        <w:tc>
          <w:tcPr>
            <w:tcW w:w="1643" w:type="dxa"/>
            <w:noWrap/>
            <w:hideMark/>
          </w:tcPr>
          <w:p w:rsidR="00586F05" w:rsidRPr="00195D8B" w:rsidRDefault="00586F05"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1642" w:type="dxa"/>
            <w:noWrap/>
            <w:hideMark/>
          </w:tcPr>
          <w:p w:rsidR="00586F05" w:rsidRPr="00195D8B" w:rsidRDefault="00586F05"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888" w:type="dxa"/>
            <w:noWrap/>
            <w:hideMark/>
          </w:tcPr>
          <w:p w:rsidR="00586F05" w:rsidRPr="00195D8B" w:rsidRDefault="00586F05" w:rsidP="007848A6">
            <w:pPr>
              <w:pStyle w:val="AERtabletextleft"/>
              <w:cnfStyle w:val="000000000000" w:firstRow="0" w:lastRow="0" w:firstColumn="0" w:lastColumn="0" w:oddVBand="0" w:evenVBand="0" w:oddHBand="0" w:evenHBand="0" w:firstRowFirstColumn="0" w:firstRowLastColumn="0" w:lastRowFirstColumn="0" w:lastRowLastColumn="0"/>
            </w:pP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93" w:type="dxa"/>
            <w:noWrap/>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22" w:type="dxa"/>
            <w:noWrap/>
            <w:vAlign w:val="top"/>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608" w:type="dxa"/>
            <w:noWrap/>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19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Industrial &amp; Commercial - &lt;= 200A/Phase (LV)</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 xml:space="preserve">        96.36 </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200.55</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743566">
              <w:t>-28.8</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Industrial &amp; Commercial - &lt;= 700A/Phase (LV)</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        96.36 </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200.55</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743566">
              <w:t>-28.8</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Industrial &amp; Commercial - &gt; 700A/Phase (LV)</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 xml:space="preserve">        96.36 </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200.55</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743566">
              <w:t>-28.8</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Industrial &amp; Commercial - HV Customer</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        96.36 </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200.55</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743566">
              <w:t>-28.8</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Industrial &amp; Commercial - Transmission</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 xml:space="preserve">        96.36 </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200.55</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743566">
              <w:t>-28.8</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Multi-Dwelling - &lt;= 5 units</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        96.36 </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200.55</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743566">
              <w:t>-28.8</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Multi-Dwelling - &lt;= 20 units</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 xml:space="preserve">        96.36 </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200.55</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743566">
              <w:t>-28.8</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Multi-Dwelling - &lt;= 40 units</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        96.36 </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200.55</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743566">
              <w:t>-28.8</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Multi-Dwelling - &gt; 40 units</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 xml:space="preserve">        96.36 </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200.55</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743566">
              <w:t>-28.8</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Non Urban - Underground - Per Hour</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        96.36 </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200.55</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743566">
              <w:t>-28.8</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Non Urban - Overhead - 1-5 poles</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 xml:space="preserve">        80.00 </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401.11</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285.62</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743566">
              <w:t>-28.8</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Non Urban - Overhead - 6-10 poles</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      159.09 </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601.66</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428.43</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743566">
              <w:t>-28.8</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Non Urban - Overhead - 11+ poles</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 xml:space="preserve">      239.09 </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1,002.77</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714.05</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743566">
              <w:t>-28.8</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Indoor Substation - Per Hour</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        96.36 </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200.55</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743566">
              <w:t>-28.8</w:t>
            </w:r>
          </w:p>
        </w:tc>
      </w:tr>
      <w:tr w:rsidR="00586F05" w:rsidRPr="00195D8B" w:rsidTr="008F1948">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586F05" w:rsidRPr="00195D8B" w:rsidRDefault="00586F05" w:rsidP="00C65A0E">
            <w:pPr>
              <w:pStyle w:val="AERtabletextleft"/>
            </w:pPr>
          </w:p>
        </w:tc>
        <w:tc>
          <w:tcPr>
            <w:tcW w:w="1643" w:type="dxa"/>
            <w:noWrap/>
            <w:hideMark/>
          </w:tcPr>
          <w:p w:rsidR="00586F05" w:rsidRPr="00195D8B" w:rsidRDefault="00586F05"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642" w:type="dxa"/>
            <w:noWrap/>
            <w:hideMark/>
          </w:tcPr>
          <w:p w:rsidR="00586F05" w:rsidRPr="00195D8B" w:rsidRDefault="00586F05"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888" w:type="dxa"/>
            <w:noWrap/>
            <w:hideMark/>
          </w:tcPr>
          <w:p w:rsidR="00586F05" w:rsidRPr="00195D8B" w:rsidRDefault="00586F05" w:rsidP="007848A6">
            <w:pPr>
              <w:pStyle w:val="AERtabletextleft"/>
              <w:cnfStyle w:val="000000010000" w:firstRow="0" w:lastRow="0" w:firstColumn="0" w:lastColumn="0" w:oddVBand="0" w:evenVBand="0" w:oddHBand="0" w:evenHBand="1" w:firstRowFirstColumn="0" w:firstRowLastColumn="0" w:lastRowFirstColumn="0" w:lastRowLastColumn="0"/>
            </w:pP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vAlign w:val="top"/>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Asset Relocation - Engineer</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        96.36 </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200.55</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743566">
              <w:t>-28.8</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Asset Relocation - Designer</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 xml:space="preserve">        80.00 </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200.55</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743566">
              <w:t>-28.8</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Public Lighting - Engineer</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        96.36 </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200.55</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743566">
              <w:t>-28.8</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Public Lighting - Designer</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 xml:space="preserve">        80.00 </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200.55</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743566">
              <w:t>-28.8</w:t>
            </w: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993461" w:rsidRPr="00195D8B" w:rsidRDefault="00993461" w:rsidP="00C65A0E">
            <w:pPr>
              <w:pStyle w:val="AERtabletextleft"/>
            </w:pPr>
          </w:p>
        </w:tc>
        <w:tc>
          <w:tcPr>
            <w:tcW w:w="1643" w:type="dxa"/>
            <w:noWrap/>
            <w:hideMark/>
          </w:tcPr>
          <w:p w:rsidR="00993461" w:rsidRPr="00195D8B" w:rsidRDefault="00993461"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1642" w:type="dxa"/>
            <w:noWrap/>
            <w:hideMark/>
          </w:tcPr>
          <w:p w:rsidR="00993461" w:rsidRPr="00195D8B" w:rsidRDefault="00993461"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888" w:type="dxa"/>
            <w:noWrap/>
            <w:hideMark/>
          </w:tcPr>
          <w:p w:rsidR="00993461" w:rsidRPr="00195D8B" w:rsidRDefault="00993461" w:rsidP="007848A6">
            <w:pPr>
              <w:pStyle w:val="AERtabletextleft"/>
              <w:cnfStyle w:val="000000000000" w:firstRow="0" w:lastRow="0" w:firstColumn="0" w:lastColumn="0" w:oddVBand="0" w:evenVBand="0" w:oddHBand="0" w:evenHBand="0"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927" w:type="dxa"/>
            <w:gridSpan w:val="3"/>
            <w:noWrap/>
            <w:hideMark/>
          </w:tcPr>
          <w:p w:rsidR="00993461" w:rsidRPr="00195D8B" w:rsidRDefault="00993461" w:rsidP="00C65A0E">
            <w:pPr>
              <w:pStyle w:val="AERtabletextleft"/>
              <w:rPr>
                <w:b/>
                <w:i/>
                <w:iCs/>
              </w:rPr>
            </w:pPr>
            <w:r w:rsidRPr="00195D8B">
              <w:rPr>
                <w:b/>
                <w:i/>
                <w:iCs/>
              </w:rPr>
              <w:t>Design re-certification fee</w:t>
            </w:r>
          </w:p>
        </w:tc>
        <w:tc>
          <w:tcPr>
            <w:tcW w:w="888" w:type="dxa"/>
            <w:noWrap/>
            <w:hideMark/>
          </w:tcPr>
          <w:p w:rsidR="00993461" w:rsidRPr="00195D8B" w:rsidRDefault="00993461" w:rsidP="007848A6">
            <w:pPr>
              <w:pStyle w:val="AERtabletextleft"/>
              <w:cnfStyle w:val="000000010000" w:firstRow="0" w:lastRow="0" w:firstColumn="0" w:lastColumn="0" w:oddVBand="0" w:evenVBand="0" w:oddHBand="0" w:evenHBand="1"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Industrial &amp; Commercial - Per Hour</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        80.00 </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200.55</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743566">
              <w:t>-28.8</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Non Urban - Per Hour</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 xml:space="preserve">        80.00 </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200.55</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743566">
              <w:t>-28.8</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URD - Per Hour</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        80.00 </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200.55</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743566">
              <w:t>-28.8</w:t>
            </w:r>
          </w:p>
        </w:tc>
      </w:tr>
      <w:tr w:rsidR="00586F05" w:rsidRPr="00195D8B" w:rsidTr="008F1948">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586F05" w:rsidRPr="00195D8B" w:rsidRDefault="00586F05" w:rsidP="00C65A0E">
            <w:pPr>
              <w:pStyle w:val="AERtabletextleft"/>
            </w:pPr>
          </w:p>
        </w:tc>
        <w:tc>
          <w:tcPr>
            <w:tcW w:w="1643" w:type="dxa"/>
            <w:noWrap/>
            <w:hideMark/>
          </w:tcPr>
          <w:p w:rsidR="00586F05" w:rsidRPr="00195D8B" w:rsidRDefault="00586F05"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642" w:type="dxa"/>
            <w:noWrap/>
            <w:hideMark/>
          </w:tcPr>
          <w:p w:rsidR="00586F05" w:rsidRPr="00195D8B" w:rsidRDefault="00586F05"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888" w:type="dxa"/>
            <w:noWrap/>
            <w:hideMark/>
          </w:tcPr>
          <w:p w:rsidR="00586F05" w:rsidRPr="00195D8B" w:rsidRDefault="00586F05"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vAlign w:val="top"/>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Industrial &amp; Commercial - Per Hour</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        96.36 </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200.55</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743566">
              <w:t>-28.8</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Non Urban - Per Hour</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 xml:space="preserve">        96.36 </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200.55</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743566">
              <w:t>-28.8</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URD - Per Hour</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        96.36 </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200.55</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743566">
              <w:t>-28.8</w:t>
            </w:r>
          </w:p>
        </w:tc>
      </w:tr>
      <w:tr w:rsidR="00586F05" w:rsidRPr="00195D8B" w:rsidTr="008F1948">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586F05" w:rsidRPr="00195D8B" w:rsidRDefault="00586F05" w:rsidP="00C65A0E">
            <w:pPr>
              <w:pStyle w:val="AERtabletextleft"/>
            </w:pPr>
          </w:p>
        </w:tc>
        <w:tc>
          <w:tcPr>
            <w:tcW w:w="1643" w:type="dxa"/>
            <w:noWrap/>
            <w:hideMark/>
          </w:tcPr>
          <w:p w:rsidR="00586F05" w:rsidRPr="00195D8B" w:rsidRDefault="00586F05"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642" w:type="dxa"/>
            <w:noWrap/>
            <w:hideMark/>
          </w:tcPr>
          <w:p w:rsidR="00586F05" w:rsidRPr="00195D8B" w:rsidRDefault="00586F05"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888" w:type="dxa"/>
            <w:noWrap/>
            <w:hideMark/>
          </w:tcPr>
          <w:p w:rsidR="00586F05" w:rsidRPr="00195D8B" w:rsidRDefault="00586F05"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vAlign w:val="top"/>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Asset Relocation - Engineer</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        96.36 </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200.55</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743566">
              <w:t>-28.8</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Asset Relocation - Designer</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 xml:space="preserve">        80.00 </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200.55</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743566">
              <w:t>-28.8</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Public Lighting - Engineer</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        96.36 </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200.55</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743566">
              <w:t>-28.8</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Public Lighting - Designer</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 xml:space="preserve">        80.00 </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200.55</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743566">
              <w:t>-28.8</w:t>
            </w: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993461" w:rsidRPr="00195D8B" w:rsidRDefault="00993461" w:rsidP="00C65A0E">
            <w:pPr>
              <w:pStyle w:val="AERtabletextleft"/>
            </w:pPr>
          </w:p>
        </w:tc>
        <w:tc>
          <w:tcPr>
            <w:tcW w:w="1643" w:type="dxa"/>
            <w:noWrap/>
            <w:hideMark/>
          </w:tcPr>
          <w:p w:rsidR="00993461" w:rsidRPr="00195D8B" w:rsidRDefault="00993461"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1642" w:type="dxa"/>
            <w:noWrap/>
            <w:hideMark/>
          </w:tcPr>
          <w:p w:rsidR="00993461" w:rsidRPr="00195D8B" w:rsidRDefault="00993461"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888" w:type="dxa"/>
            <w:noWrap/>
            <w:hideMark/>
          </w:tcPr>
          <w:p w:rsidR="00993461" w:rsidRPr="00195D8B" w:rsidRDefault="00993461"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927" w:type="dxa"/>
            <w:gridSpan w:val="3"/>
            <w:noWrap/>
            <w:hideMark/>
          </w:tcPr>
          <w:p w:rsidR="00993461" w:rsidRPr="00195D8B" w:rsidRDefault="00993461" w:rsidP="00C65A0E">
            <w:pPr>
              <w:pStyle w:val="AERtabletextleft"/>
              <w:rPr>
                <w:b/>
                <w:i/>
                <w:iCs/>
              </w:rPr>
            </w:pPr>
            <w:r w:rsidRPr="00195D8B">
              <w:rPr>
                <w:b/>
                <w:i/>
                <w:iCs/>
              </w:rPr>
              <w:t>Notification of Arrangement</w:t>
            </w:r>
          </w:p>
        </w:tc>
        <w:tc>
          <w:tcPr>
            <w:tcW w:w="888"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pPr>
            <w:r w:rsidRPr="00195D8B">
              <w:t>Subdivision - Industrial &amp; Commercial - Per NOA</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      192.73 </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344.94</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178.12</w:t>
            </w:r>
          </w:p>
        </w:tc>
        <w:tc>
          <w:tcPr>
            <w:tcW w:w="119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-48.</w:t>
            </w:r>
            <w:r w:rsidR="00586F05">
              <w:t>4</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pPr>
            <w:r w:rsidRPr="00195D8B">
              <w:t>Subdivision - Non Urban - Per NOA</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 xml:space="preserve">      192.73 </w:t>
            </w: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344.94</w:t>
            </w: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178.12</w:t>
            </w:r>
          </w:p>
        </w:tc>
        <w:tc>
          <w:tcPr>
            <w:tcW w:w="1192" w:type="dxa"/>
            <w:noWrap/>
            <w:hideMark/>
          </w:tcPr>
          <w:p w:rsidR="00993461"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-48.</w:t>
            </w:r>
            <w:r>
              <w:t>4</w:t>
            </w: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pPr>
            <w:r w:rsidRPr="00195D8B">
              <w:t>Subdivision - URD - Per NOA</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      192.73 </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344.94</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178.12</w:t>
            </w:r>
          </w:p>
        </w:tc>
        <w:tc>
          <w:tcPr>
            <w:tcW w:w="1192" w:type="dxa"/>
            <w:noWrap/>
            <w:hideMark/>
          </w:tcPr>
          <w:p w:rsidR="00993461"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-48.</w:t>
            </w:r>
            <w:r>
              <w:t>4</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Industrial &amp; Commercial - Per hour for early notification</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 xml:space="preserve">        63.64 </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172.47</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89.06</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A44A6E">
              <w:t>-48.4</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Non Urban - Per hour for early notification</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        63.64 </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172.47</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89.06</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A44A6E">
              <w:t>-48.4</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URD - Per hour for early notification</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 xml:space="preserve">        63.64 </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172.47</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89.06</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A44A6E">
              <w:t>-48.4</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586F05" w:rsidRPr="00195D8B" w:rsidRDefault="00586F05" w:rsidP="00C65A0E">
            <w:pPr>
              <w:pStyle w:val="AERtabletextleft"/>
            </w:pPr>
          </w:p>
        </w:tc>
        <w:tc>
          <w:tcPr>
            <w:tcW w:w="1643" w:type="dxa"/>
            <w:noWrap/>
            <w:hideMark/>
          </w:tcPr>
          <w:p w:rsidR="00586F05" w:rsidRPr="00195D8B" w:rsidRDefault="00586F05"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1642" w:type="dxa"/>
            <w:noWrap/>
            <w:hideMark/>
          </w:tcPr>
          <w:p w:rsidR="00586F05" w:rsidRPr="00195D8B" w:rsidRDefault="00586F05"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888" w:type="dxa"/>
            <w:noWrap/>
            <w:hideMark/>
          </w:tcPr>
          <w:p w:rsidR="00586F05" w:rsidRPr="00195D8B" w:rsidRDefault="00586F05"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93" w:type="dxa"/>
            <w:noWrap/>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22" w:type="dxa"/>
            <w:noWrap/>
            <w:vAlign w:val="top"/>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19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p>
        </w:tc>
      </w:tr>
      <w:tr w:rsidR="00586F05" w:rsidRPr="00195D8B" w:rsidTr="008F1948">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927" w:type="dxa"/>
            <w:gridSpan w:val="3"/>
            <w:noWrap/>
            <w:hideMark/>
          </w:tcPr>
          <w:p w:rsidR="00586F05" w:rsidRPr="00195D8B" w:rsidRDefault="00586F05" w:rsidP="00C65A0E">
            <w:pPr>
              <w:pStyle w:val="AERtabletextleft"/>
              <w:rPr>
                <w:b/>
                <w:i/>
                <w:iCs/>
              </w:rPr>
            </w:pPr>
            <w:r w:rsidRPr="00195D8B">
              <w:rPr>
                <w:b/>
                <w:i/>
                <w:iCs/>
              </w:rPr>
              <w:t>Compliance certificate</w:t>
            </w:r>
          </w:p>
        </w:tc>
        <w:tc>
          <w:tcPr>
            <w:tcW w:w="888" w:type="dxa"/>
            <w:noWrap/>
            <w:hideMark/>
          </w:tcPr>
          <w:p w:rsidR="00586F05" w:rsidRPr="00195D8B" w:rsidRDefault="00586F05"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vAlign w:val="top"/>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Industrial &amp; Commercial - Per Compliance Cert</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      192.73 </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344.94</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178.12</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A44A6E">
              <w:t>-48.4</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Non Urban - Per Compliance Cert</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 xml:space="preserve">      192.73 </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517.40</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267.18</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A44A6E">
              <w:t>-48.4</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URD - Per Compliance Cert</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      192.73 </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344.94</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178.12</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A44A6E">
              <w:t>-48.4</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Industrial &amp; Commercial - Per hour for early cert</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 xml:space="preserve">        63.64 </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172.47</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89.06</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A44A6E">
              <w:t>-48.4</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Non Urban - Per hour for early cert</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        63.64 </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172.47</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89.06</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A44A6E">
              <w:t>-48.4</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URD - Per hour for early cert</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 xml:space="preserve">        63.64 </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172.47</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89.06</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A44A6E">
              <w:t>-48.4</w:t>
            </w: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993461" w:rsidRPr="00195D8B" w:rsidRDefault="00993461" w:rsidP="00C65A0E">
            <w:pPr>
              <w:pStyle w:val="AERtabletextleft"/>
            </w:pPr>
          </w:p>
        </w:tc>
        <w:tc>
          <w:tcPr>
            <w:tcW w:w="1643" w:type="dxa"/>
            <w:noWrap/>
            <w:hideMark/>
          </w:tcPr>
          <w:p w:rsidR="00993461" w:rsidRPr="00195D8B" w:rsidRDefault="00993461"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1642" w:type="dxa"/>
            <w:noWrap/>
            <w:hideMark/>
          </w:tcPr>
          <w:p w:rsidR="00993461" w:rsidRPr="00195D8B" w:rsidRDefault="00993461"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888" w:type="dxa"/>
            <w:noWrap/>
            <w:hideMark/>
          </w:tcPr>
          <w:p w:rsidR="00993461" w:rsidRPr="00195D8B" w:rsidRDefault="00993461" w:rsidP="007848A6">
            <w:pPr>
              <w:pStyle w:val="AERtabletextleft"/>
              <w:cnfStyle w:val="000000000000" w:firstRow="0" w:lastRow="0" w:firstColumn="0" w:lastColumn="0" w:oddVBand="0" w:evenVBand="0" w:oddHBand="0" w:evenHBand="0"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rPr>
                <w:i/>
                <w:iCs/>
              </w:rPr>
            </w:pPr>
            <w:r w:rsidRPr="00195D8B">
              <w:rPr>
                <w:i/>
                <w:iCs/>
              </w:rPr>
              <w:t>Inspection of service work (level 1)</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pPr>
            <w:r w:rsidRPr="00195D8B">
              <w:t>Subdivision - URD - Underground - Per Lot (1 - 10) - Grade A</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40</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92.94</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71.41</w:t>
            </w:r>
          </w:p>
        </w:tc>
        <w:tc>
          <w:tcPr>
            <w:tcW w:w="119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-23.</w:t>
            </w:r>
            <w:r w:rsidR="00586F05">
              <w:t>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URD - Underground - Per Lot (11 - 50) - Grade A</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24</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55.76</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42.84</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A717AF">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URD - Underground - Per Lot (51 +) - Grade A</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8</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18.59</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14.28</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A717AF">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URD - Underground - Per Lot (1 - 10) - Grade B</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96</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213.76</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164.23</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A717AF">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URD - Underground - Per Lot (11 - 50) - Grade B</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56</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130.11</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99.97</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A717AF">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URD - Underground - Per Lot (51 +) - Grade B</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32</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74.35</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57.12</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A717AF">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URD - Underground - Per Lot (1 - 10) - Grade C</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200</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464.69</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357.03</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A717AF">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URD - Underground - Per Lot (11 - 50) - Grade C</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120</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260.22</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199.93</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A717AF">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URD - Underground - Per Lot (51 +) - Grade C</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56</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120.82</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92.83</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A717AF">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URD - Underground - Per Hour + 44 travel time</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80</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185.87</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A717AF">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Non Urban - Underground - Per Lot (1 - 10) - Grade A</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40</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92.94</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71.41</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A717AF">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Non Urban - Underground - Per Lot (11 - 50) - Grade A</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24</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55.76</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42.84</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A717AF">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Non Urban - Underground - Per Lot (51+) - Grade A</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8</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18.59</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14.28</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A717AF">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Non Urban - Underground - Per Lot (1 - 10) - Grade B</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96</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223.05</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171.37</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A717AF">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Non Urban - Underground - Per Lot (11 - 50) - Grade B</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56</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120.82</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92.83</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A717AF">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Non Urban - Underground - Per Lot (51+) - Grade B</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32</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74.35</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57.12</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315C4F">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Non Urban - Underground - Per Lot (1 - 10) - Grade C</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200</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473.98</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364.17</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315C4F">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Non Urban - Underground - Per Lot (11 - 50) - Grade C</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120</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278.81</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214.22</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315C4F">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Non Urban - Underground - Per Lot (51+) - Grade C</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56</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130.11</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99.97</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315C4F">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Non Urban - Overhead - Per Pole (1 - 5) - Grade A</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48</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111.52</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85.69</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315C4F">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Non Urban - Overhead - Per Pole (6 - 10) - Grade A</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40</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92.94</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71.41</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315C4F">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Non Urban - Overhead - Per Pole (11 +) - Grade A</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32</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74.35</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57.12</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315C4F">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Non Urban - Overhead - Per Pole Sub - Grade A</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280</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631.97</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485.55</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315C4F">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Non Urban - Overhead - Per Pole (1 - 5) - Grade B</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96</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223.05</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171.37</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315C4F">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Non Urban - Overhead - Per Pole (6 - 10) - Grade B</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80</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185.87</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315C4F">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Non Urban - Overhead - Per Pole (11 +) - Grade B</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56</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120.82</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92.83</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315C4F">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Non Urban - Overhead - Per Pole Sub - Grade B</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560</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1,301.12</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999.67</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315C4F">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Non Urban - Overhead - Per Pole (1 - 5) - Grade C</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176</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371.75</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285.62</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315C4F">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Non Urban - Overhead - Per Pole (6 - 10) - Grade C</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159</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343.87</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264.20</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315C4F">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Non Urban - Overhead - Per Pole (11 +) - Grade C</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120</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260.22</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199.93</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315C4F">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Non Urban - Overhead - Per Pole Sub - Grade C</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704</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1,579.93</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1,213.89</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3C0AD4">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Industrial &amp; Commercial - Overhead - Per Pole (1 - 5) - Grade A</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48</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111.52</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85.69</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3C0AD4">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Industrial &amp; Commercial - Overhead - Per Pole (6 - 10) - Grade A</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40</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92.94</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71.41</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3C0AD4">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Industrial &amp; Commercial - Overhead - Per Pole (11 +) - Grade A</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32</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74.35</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57.12</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3C0AD4">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Industrial &amp; Commercial - Overhead - Per Pole Sub - Grade A</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280</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650.56</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499.84</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3C0AD4">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Industrial &amp; Commercial - Overhead - Per Pole (1 - 5) - Grade B</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96</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204.46</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157.09</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3C0AD4">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Industrial &amp; Commercial - Overhead - Per Pole (6 - 10) - Grade B</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80</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185.87</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3C0AD4">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Industrial &amp; Commercial - Overhead - Per Pole (11 +) - Grade B</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56</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130.11</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99.97</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3C0AD4">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Industrial &amp; Commercial - Overhead - Per Pole Sub - Grade B</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560</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1,301.12</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999.67</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3C0AD4">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Industrial &amp; Commercial - Overhead - Per Pole (1 - 5) - Grade C</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176</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408.92</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314.18</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3C0AD4">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Industrial &amp; Commercial - Overhead - Per Pole (6 - 10) - Grade C</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159</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369.89</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284.19</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3C0AD4">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Industrial &amp; Commercial - Overhead - Per Pole (11 +) - Grade C</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120</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278.81</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214.22</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3C0AD4">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Industrial &amp; Commercial - Overhead - Per Pole Sub - Grade C</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704</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1,635.70</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1,256.73</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3C0AD4">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Industrial &amp; Commercial - Underground - Per Lot (1 - 10) - Grade A</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40</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92.94</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71.41</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3C0AD4">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Industrial &amp; Commercial - Underground - Per Lot (11 - 50) - Grade A</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40</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92.94</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71.41</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3C0AD4">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Industrial &amp; Commercial - Underground - Per Lot (51+) - Grade A</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40</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92.94</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71.41</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3C0AD4">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Industrial &amp; Commercial - Underground - Per Lot (1 - 10) - Grade B</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96</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223.05</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171.37</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3C0AD4">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Industrial &amp; Commercial - Underground - Per Lot (11 - 50) - Grade B</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96</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223.05</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171.37</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3C0AD4">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Industrial &amp; Commercial - Underground - Per Lot (51+) - Grade B</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96</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223.05</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171.37</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3C0AD4">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Industrial &amp; Commercial - Underground - Per Lot (1 - 10) - Grade C</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200</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464.69</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357.03</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3C0AD4">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Industrial &amp; Commercial - Underground - Per Lot (11 - 50) - Grade C</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200</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464.69</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357.03</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3C0AD4">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Subdivision - Industrial &amp; Commercial - Underground - Per Lot (51+) - Grade C</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200</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464.69</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357.03</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3C0AD4">
              <w:t>-23.2</w:t>
            </w:r>
          </w:p>
        </w:tc>
      </w:tr>
      <w:tr w:rsidR="00586F05" w:rsidRPr="00195D8B" w:rsidTr="008F1948">
        <w:trPr>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586F05" w:rsidRPr="00195D8B" w:rsidRDefault="00586F05" w:rsidP="00C65A0E">
            <w:pPr>
              <w:pStyle w:val="AERtabletextleft"/>
            </w:pPr>
          </w:p>
        </w:tc>
        <w:tc>
          <w:tcPr>
            <w:tcW w:w="1643" w:type="dxa"/>
            <w:noWrap/>
            <w:hideMark/>
          </w:tcPr>
          <w:p w:rsidR="00586F05" w:rsidRPr="00195D8B" w:rsidRDefault="00586F05"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1642" w:type="dxa"/>
            <w:noWrap/>
            <w:hideMark/>
          </w:tcPr>
          <w:p w:rsidR="00586F05" w:rsidRPr="00195D8B" w:rsidRDefault="00586F05"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888" w:type="dxa"/>
            <w:noWrap/>
            <w:hideMark/>
          </w:tcPr>
          <w:p w:rsidR="00586F05" w:rsidRPr="00195D8B" w:rsidRDefault="00586F05" w:rsidP="007848A6">
            <w:pPr>
              <w:pStyle w:val="AERtabletextleft"/>
              <w:cnfStyle w:val="000000000000" w:firstRow="0" w:lastRow="0" w:firstColumn="0" w:lastColumn="0" w:oddVBand="0" w:evenVBand="0" w:oddHBand="0" w:evenHBand="0" w:firstRowFirstColumn="0" w:firstRowLastColumn="0" w:lastRowFirstColumn="0" w:lastRowLastColumn="0"/>
            </w:pP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93" w:type="dxa"/>
            <w:noWrap/>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22" w:type="dxa"/>
            <w:noWrap/>
            <w:vAlign w:val="top"/>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608" w:type="dxa"/>
            <w:noWrap/>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026" w:type="dxa"/>
            <w:noWrap/>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192" w:type="dxa"/>
            <w:noWrap/>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URD - Underground - Per hour (Inspector) + travel time</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80</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185.87</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3C0AD4">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URD - Underground - Per hour (Engineer) + travel time</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96</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185.87</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3C0AD4">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Non Urban - Underground - Per hour (Inspector) + travel time</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80</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185.87</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3C0AD4">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Non Urban - Underground - Per hour (Engineer) + travel time</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96</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185.87</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3C0AD4">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Non Urban - Overhead - Per Pole (1 - 5) - Grade A</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48</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111.52</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85.69</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3C0AD4">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Non Urban - Overhead - Per Pole (1 - 5) - Grade B</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96</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223.05</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171.37</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3C0AD4">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Non Urban - Overhead - Per Pole (1 - 5) - Grade C</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176</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408.92</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314.18</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3C0AD4">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Non Urban - Overhead - Per Pole (6 - 10) - Grade A</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40</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92.94</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71.41</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3C0AD4">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Non Urban - Overhead - Per Pole (6 - 10) - Grade B</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80</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185.87</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3C0AD4">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Non Urban - Overhead - Per Pole (6 - 10) - Grade C</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159</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369.89</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284.19</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CB595B">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Non Urban - Overhead - Per Pole (11 +) - Grade A</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32</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74.35</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57.12</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CB595B">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Non Urban - Overhead - Per Pole (11 +) - Grade B</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56</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130.11</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99.97</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CB595B">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Non Urban - Overhead - Per Pole (11 +) - Grade C</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120</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278.81</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214.22</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CB595B">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Non Urban - Overhead - Per Pole Sub - Grade A</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280</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631.97</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485.55</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CB595B">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Non Urban - Overhead - Per Pole Sub - Grade B</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560</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1,301.12</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999.67</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CB595B">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Non Urban - Overhead - Per Pole Sub - Grade C</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704</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1,579.93</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1,213.89</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CB595B">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Industrial &amp; Commercial - Underground - Per Hour (Inspector) + travel time</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80</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185.87</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CB595B">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Industrial &amp; Commercial - Underground - Per Hour (Engineer) + travel time</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96</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185.87</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CB595B">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Industrial &amp; Commercial - Overhead - Per Pole (1 - 5) - Grade A</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48</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111.52</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85.69</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CB595B">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Industrial &amp; Commercial - Overhead - Per Pole (1 - 5) - Grade B</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96</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213.76</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164.23</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CB595B">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Industrial &amp; Commercial - Overhead - Per Pole (1 - 5) - Grade C</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176</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408.92</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314.18</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CB595B">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Industrial &amp; Commercial - Overhead - Per Pole (6 - 10) - Grade A</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40</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92.94</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71.41</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CB595B">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Industrial &amp; Commercial - Overhead - Per Pole (6 - 10) - Grade B</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80</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185.87</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CB595B">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Industrial &amp; Commercial - Overhead - Per Pole (6 - 10) - Grade C</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159</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369.89</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284.19</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CB595B">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Industrial &amp; Commercial - Overhead - Per Pole (11+) - Grade A</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32</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74.35</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57.12</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CB595B">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Industrial &amp; Commercial - Overhead - Per Pole (11+) - Grade B</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56</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130.11</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99.97</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CB595B">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Industrial &amp; Commercial - Overhead - Per Pole (11+) - Grade C</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120</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278.81</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214.22</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CB595B">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Industrial &amp; Commercial - Overhead - Per Pole Sub - Grade A</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280</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650.56</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499.84</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CB595B">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Industrial &amp; Commercial - Overhead - Per Pole Sub - Grade B</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560</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1,301.12</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999.67</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66660C">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Connection of Load - Industrial &amp; Commercial - Overhead - Per Pole Sub - Grade C</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704</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1,635.70</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1,256.73</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66660C">
              <w:t>-23.2</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993461" w:rsidRPr="00195D8B" w:rsidRDefault="00993461" w:rsidP="00C65A0E">
            <w:pPr>
              <w:pStyle w:val="AERtabletextleft"/>
            </w:pPr>
          </w:p>
        </w:tc>
        <w:tc>
          <w:tcPr>
            <w:tcW w:w="1643"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642"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888" w:type="dxa"/>
            <w:noWrap/>
            <w:hideMark/>
          </w:tcPr>
          <w:p w:rsidR="00993461" w:rsidRPr="00195D8B" w:rsidRDefault="00993461" w:rsidP="007848A6">
            <w:pPr>
              <w:pStyle w:val="AERtabletextleft"/>
              <w:cnfStyle w:val="000000010000" w:firstRow="0" w:lastRow="0" w:firstColumn="0" w:lastColumn="0" w:oddVBand="0" w:evenVBand="0" w:oddHBand="0" w:evenHBand="1"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Asset Relocation - Asset Relocation - Underground - Per Hour (Inspector) + travel time</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80</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185.87</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D335B8">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Asset Relocation - Asset Relocation - Underground - Per Hour (Engineer) + travel time</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96</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185.87</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D335B8">
              <w:t>-23.2</w:t>
            </w:r>
          </w:p>
        </w:tc>
      </w:tr>
      <w:tr w:rsidR="00586F05" w:rsidRPr="00195D8B" w:rsidTr="00586F05">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Public Lighting - Public Lighting - Underground - Per Hour (Inspector) + travel time</w:t>
            </w:r>
          </w:p>
        </w:tc>
        <w:tc>
          <w:tcPr>
            <w:tcW w:w="1381"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80</w:t>
            </w:r>
          </w:p>
        </w:tc>
        <w:tc>
          <w:tcPr>
            <w:tcW w:w="1608"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185.87</w:t>
            </w:r>
          </w:p>
        </w:tc>
        <w:tc>
          <w:tcPr>
            <w:tcW w:w="1026" w:type="dxa"/>
            <w:noWrap/>
            <w:hideMark/>
          </w:tcPr>
          <w:p w:rsidR="00586F05"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rsidRPr="00D335B8">
              <w:t>-23.2</w:t>
            </w:r>
          </w:p>
        </w:tc>
      </w:tr>
      <w:tr w:rsidR="00586F05" w:rsidRPr="00195D8B" w:rsidTr="00586F0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586F05" w:rsidRPr="00195D8B" w:rsidRDefault="00586F05" w:rsidP="00C65A0E">
            <w:pPr>
              <w:pStyle w:val="AERtabletextleft"/>
            </w:pPr>
            <w:r w:rsidRPr="00195D8B">
              <w:t>Public Lighting - Public Lighting - Underground - Per Hour (Engineer) + travel time</w:t>
            </w:r>
          </w:p>
        </w:tc>
        <w:tc>
          <w:tcPr>
            <w:tcW w:w="1381"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96</w:t>
            </w:r>
          </w:p>
        </w:tc>
        <w:tc>
          <w:tcPr>
            <w:tcW w:w="1608"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185.87</w:t>
            </w:r>
          </w:p>
        </w:tc>
        <w:tc>
          <w:tcPr>
            <w:tcW w:w="1026" w:type="dxa"/>
            <w:noWrap/>
            <w:hideMark/>
          </w:tcPr>
          <w:p w:rsidR="00586F05"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142.81</w:t>
            </w:r>
          </w:p>
        </w:tc>
        <w:tc>
          <w:tcPr>
            <w:tcW w:w="1192" w:type="dxa"/>
            <w:noWrap/>
            <w:vAlign w:val="top"/>
            <w:hideMark/>
          </w:tcPr>
          <w:p w:rsidR="00586F05"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rsidRPr="00D335B8">
              <w:t>-23.2</w:t>
            </w: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993461" w:rsidRPr="00195D8B" w:rsidRDefault="00993461" w:rsidP="00C65A0E">
            <w:pPr>
              <w:pStyle w:val="AERtabletextleft"/>
            </w:pPr>
          </w:p>
        </w:tc>
        <w:tc>
          <w:tcPr>
            <w:tcW w:w="1643" w:type="dxa"/>
            <w:noWrap/>
            <w:hideMark/>
          </w:tcPr>
          <w:p w:rsidR="00993461" w:rsidRPr="00195D8B" w:rsidRDefault="00993461"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1642" w:type="dxa"/>
            <w:noWrap/>
            <w:hideMark/>
          </w:tcPr>
          <w:p w:rsidR="00993461" w:rsidRPr="00195D8B" w:rsidRDefault="00993461"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888" w:type="dxa"/>
            <w:noWrap/>
            <w:hideMark/>
          </w:tcPr>
          <w:p w:rsidR="00993461" w:rsidRPr="00195D8B" w:rsidRDefault="00993461" w:rsidP="007848A6">
            <w:pPr>
              <w:pStyle w:val="AERtabletextleft"/>
              <w:cnfStyle w:val="000000000000" w:firstRow="0" w:lastRow="0" w:firstColumn="0" w:lastColumn="0" w:oddVBand="0" w:evenVBand="0" w:oddHBand="0" w:evenHBand="0"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rPr>
                <w:i/>
                <w:iCs/>
              </w:rPr>
            </w:pPr>
            <w:r w:rsidRPr="00195D8B">
              <w:rPr>
                <w:i/>
                <w:iCs/>
              </w:rPr>
              <w:t>Inspection of works outside normal working hours</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pPr>
            <w:r w:rsidRPr="00195D8B">
              <w:t>Administration Fee</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n/a</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92.94</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92.94</w:t>
            </w:r>
          </w:p>
        </w:tc>
        <w:tc>
          <w:tcPr>
            <w:tcW w:w="1192" w:type="dxa"/>
            <w:noWrap/>
            <w:hideMark/>
          </w:tcPr>
          <w:p w:rsidR="00993461"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t>0.0</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pPr>
            <w:r w:rsidRPr="00195D8B">
              <w:t>Overtime Hours Rate</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n/a</w:t>
            </w: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139.41</w:t>
            </w: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139.41</w:t>
            </w:r>
          </w:p>
        </w:tc>
        <w:tc>
          <w:tcPr>
            <w:tcW w:w="1192" w:type="dxa"/>
            <w:noWrap/>
            <w:hideMark/>
          </w:tcPr>
          <w:p w:rsidR="00993461" w:rsidRPr="00195D8B" w:rsidRDefault="00586F05" w:rsidP="00F92C29">
            <w:pPr>
              <w:pStyle w:val="AERtabletextright"/>
              <w:cnfStyle w:val="000000010000" w:firstRow="0" w:lastRow="0" w:firstColumn="0" w:lastColumn="0" w:oddVBand="0" w:evenVBand="0" w:oddHBand="0" w:evenHBand="1" w:firstRowFirstColumn="0" w:firstRowLastColumn="0" w:lastRowFirstColumn="0" w:lastRowLastColumn="0"/>
            </w:pPr>
            <w:r>
              <w:t>0.0</w:t>
            </w: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pPr>
            <w:r w:rsidRPr="00195D8B">
              <w:t>Access Permits</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AA or ATW</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n/a</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3,294.07</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2,108.48</w:t>
            </w:r>
          </w:p>
        </w:tc>
        <w:tc>
          <w:tcPr>
            <w:tcW w:w="119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w:t>
            </w:r>
            <w:r w:rsidR="00586F05">
              <w:t>36.0</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993461" w:rsidRPr="00195D8B" w:rsidRDefault="00993461" w:rsidP="00C65A0E">
            <w:pPr>
              <w:pStyle w:val="AERtabletextleft"/>
            </w:pPr>
          </w:p>
        </w:tc>
        <w:tc>
          <w:tcPr>
            <w:tcW w:w="1643"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642"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888" w:type="dxa"/>
            <w:noWrap/>
            <w:hideMark/>
          </w:tcPr>
          <w:p w:rsidR="00993461" w:rsidRPr="00195D8B" w:rsidRDefault="00993461" w:rsidP="007848A6">
            <w:pPr>
              <w:pStyle w:val="AERtabletextleft"/>
              <w:cnfStyle w:val="000000010000" w:firstRow="0" w:lastRow="0" w:firstColumn="0" w:lastColumn="0" w:oddVBand="0" w:evenVBand="0" w:oddHBand="0" w:evenHBand="1"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rPr>
                <w:i/>
                <w:iCs/>
              </w:rPr>
            </w:pPr>
            <w:r w:rsidRPr="00195D8B">
              <w:rPr>
                <w:i/>
                <w:iCs/>
              </w:rPr>
              <w:t>Reinspection Fee (Level 1 &amp; Level 2 work)</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n/a</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176.70</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142.81</w:t>
            </w:r>
          </w:p>
        </w:tc>
        <w:tc>
          <w:tcPr>
            <w:tcW w:w="1192" w:type="dxa"/>
            <w:noWrap/>
            <w:hideMark/>
          </w:tcPr>
          <w:p w:rsidR="00993461" w:rsidRPr="00195D8B" w:rsidRDefault="00586F05" w:rsidP="00F92C29">
            <w:pPr>
              <w:pStyle w:val="AERtabletextright"/>
              <w:cnfStyle w:val="000000000000" w:firstRow="0" w:lastRow="0" w:firstColumn="0" w:lastColumn="0" w:oddVBand="0" w:evenVBand="0" w:oddHBand="0" w:evenHBand="0" w:firstRowFirstColumn="0" w:firstRowLastColumn="0" w:lastRowFirstColumn="0" w:lastRowLastColumn="0"/>
            </w:pPr>
            <w:r>
              <w:t>-19.2</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993461" w:rsidRPr="00195D8B" w:rsidRDefault="00993461" w:rsidP="00C65A0E">
            <w:pPr>
              <w:pStyle w:val="AERtabletextleft"/>
            </w:pPr>
          </w:p>
        </w:tc>
        <w:tc>
          <w:tcPr>
            <w:tcW w:w="1643"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642"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888" w:type="dxa"/>
            <w:noWrap/>
            <w:hideMark/>
          </w:tcPr>
          <w:p w:rsidR="00993461" w:rsidRPr="00195D8B" w:rsidRDefault="00993461" w:rsidP="007848A6">
            <w:pPr>
              <w:pStyle w:val="AERtabletextleft"/>
              <w:cnfStyle w:val="000000010000" w:firstRow="0" w:lastRow="0" w:firstColumn="0" w:lastColumn="0" w:oddVBand="0" w:evenVBand="0" w:oddHBand="0" w:evenHBand="1"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rPr>
                <w:i/>
                <w:iCs/>
              </w:rPr>
            </w:pPr>
            <w:r w:rsidRPr="00195D8B">
              <w:rPr>
                <w:i/>
                <w:iCs/>
              </w:rPr>
              <w:t>Inspection of service work (Level 2 work)</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pPr>
            <w:r w:rsidRPr="00195D8B">
              <w:t>Per NOSW - A Grade</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NOSW</w:t>
            </w: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20</w:t>
            </w: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59.85</w:t>
            </w: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49.98</w:t>
            </w:r>
          </w:p>
        </w:tc>
        <w:tc>
          <w:tcPr>
            <w:tcW w:w="1192" w:type="dxa"/>
            <w:noWrap/>
            <w:hideMark/>
          </w:tcPr>
          <w:p w:rsidR="00993461"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t>-16.5</w:t>
            </w:r>
          </w:p>
        </w:tc>
      </w:tr>
      <w:tr w:rsidR="008F1948"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8F1948" w:rsidRPr="00195D8B" w:rsidRDefault="008F1948" w:rsidP="00C65A0E">
            <w:pPr>
              <w:pStyle w:val="AERtabletextleft"/>
            </w:pPr>
            <w:r w:rsidRPr="00195D8B">
              <w:t>Per NOSW - B Grade</w:t>
            </w:r>
          </w:p>
        </w:tc>
        <w:tc>
          <w:tcPr>
            <w:tcW w:w="1381" w:type="dxa"/>
            <w:noWrap/>
            <w:hideMark/>
          </w:tcPr>
          <w:p w:rsidR="008F1948"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NOSW</w:t>
            </w:r>
          </w:p>
        </w:tc>
        <w:tc>
          <w:tcPr>
            <w:tcW w:w="1093" w:type="dxa"/>
            <w:noWrap/>
            <w:hideMark/>
          </w:tcPr>
          <w:p w:rsidR="008F1948"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8F1948"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33</w:t>
            </w:r>
          </w:p>
        </w:tc>
        <w:tc>
          <w:tcPr>
            <w:tcW w:w="1608" w:type="dxa"/>
            <w:noWrap/>
            <w:hideMark/>
          </w:tcPr>
          <w:p w:rsidR="008F1948"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102.59</w:t>
            </w:r>
          </w:p>
        </w:tc>
        <w:tc>
          <w:tcPr>
            <w:tcW w:w="1026" w:type="dxa"/>
            <w:noWrap/>
            <w:hideMark/>
          </w:tcPr>
          <w:p w:rsidR="008F1948"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85.69</w:t>
            </w:r>
          </w:p>
        </w:tc>
        <w:tc>
          <w:tcPr>
            <w:tcW w:w="1192" w:type="dxa"/>
            <w:noWrap/>
            <w:hideMark/>
          </w:tcPr>
          <w:p w:rsidR="008F1948"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t>-16.5</w:t>
            </w:r>
          </w:p>
        </w:tc>
      </w:tr>
      <w:tr w:rsidR="008F1948"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8F1948" w:rsidRPr="00195D8B" w:rsidRDefault="008F1948" w:rsidP="00C65A0E">
            <w:pPr>
              <w:pStyle w:val="AERtabletextleft"/>
            </w:pPr>
            <w:r w:rsidRPr="00195D8B">
              <w:t>Per NOSW - C Grade</w:t>
            </w:r>
          </w:p>
        </w:tc>
        <w:tc>
          <w:tcPr>
            <w:tcW w:w="1381"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NOSW</w:t>
            </w:r>
          </w:p>
        </w:tc>
        <w:tc>
          <w:tcPr>
            <w:tcW w:w="1093"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96</w:t>
            </w:r>
          </w:p>
        </w:tc>
        <w:tc>
          <w:tcPr>
            <w:tcW w:w="1608"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341.97</w:t>
            </w:r>
          </w:p>
        </w:tc>
        <w:tc>
          <w:tcPr>
            <w:tcW w:w="1026"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285.62</w:t>
            </w:r>
          </w:p>
        </w:tc>
        <w:tc>
          <w:tcPr>
            <w:tcW w:w="1192"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t>-16.5</w:t>
            </w: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993461" w:rsidRPr="00195D8B" w:rsidRDefault="00993461" w:rsidP="00C65A0E">
            <w:pPr>
              <w:pStyle w:val="AERtabletextleft"/>
            </w:pPr>
          </w:p>
        </w:tc>
        <w:tc>
          <w:tcPr>
            <w:tcW w:w="1643" w:type="dxa"/>
            <w:noWrap/>
            <w:hideMark/>
          </w:tcPr>
          <w:p w:rsidR="00993461" w:rsidRPr="00195D8B" w:rsidRDefault="00993461"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1642" w:type="dxa"/>
            <w:noWrap/>
            <w:hideMark/>
          </w:tcPr>
          <w:p w:rsidR="00993461" w:rsidRPr="00195D8B" w:rsidRDefault="00993461"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888" w:type="dxa"/>
            <w:noWrap/>
            <w:hideMark/>
          </w:tcPr>
          <w:p w:rsidR="00993461" w:rsidRPr="00195D8B" w:rsidRDefault="00993461" w:rsidP="007848A6">
            <w:pPr>
              <w:pStyle w:val="AERtabletextleft"/>
              <w:cnfStyle w:val="000000000000" w:firstRow="0" w:lastRow="0" w:firstColumn="0" w:lastColumn="0" w:oddVBand="0" w:evenVBand="0" w:oddHBand="0" w:evenHBand="0"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rPr>
                <w:i/>
                <w:iCs/>
              </w:rPr>
            </w:pPr>
            <w:r w:rsidRPr="00195D8B">
              <w:rPr>
                <w:i/>
                <w:iCs/>
              </w:rPr>
              <w:t>Provision of Access Fee (Standby)</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pPr>
            <w:r w:rsidRPr="00195D8B">
              <w:t>Normal Time - 1 x Visit - Open / Close - 1 hour - Per Job</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64</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137.90</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t>116.51</w:t>
            </w:r>
          </w:p>
        </w:tc>
        <w:tc>
          <w:tcPr>
            <w:tcW w:w="119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t>-15.5</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pPr>
            <w:r w:rsidRPr="00195D8B">
              <w:t>Normal Time - 1 x Visit - Open / Isolate &amp; CSO to close - 1 hour - Per Job</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144</w:t>
            </w: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306.48</w:t>
            </w: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t>258.95</w:t>
            </w: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t>-15.5</w:t>
            </w: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pPr>
            <w:r w:rsidRPr="00195D8B">
              <w:t>Normal Time - 2 x Visit - Open / Close &amp; no isolation - 2 hours - Per Job</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128</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275.80</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t>233.05</w:t>
            </w:r>
          </w:p>
        </w:tc>
        <w:tc>
          <w:tcPr>
            <w:tcW w:w="119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t>-15.5</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pPr>
            <w:r w:rsidRPr="00195D8B">
              <w:t>Normal Time - 2 x Visit - Open / Isolate / Close - 2 hours - Per Job</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288</w:t>
            </w: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612.97</w:t>
            </w: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t>517.96</w:t>
            </w: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t>-15.5</w:t>
            </w: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pPr>
            <w:r w:rsidRPr="00195D8B">
              <w:t>Overtime - 1 x Visit - Open / Close - 1 hour - Per Job</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112</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241.33</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t>203.90</w:t>
            </w:r>
          </w:p>
        </w:tc>
        <w:tc>
          <w:tcPr>
            <w:tcW w:w="119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t>-15.5</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pPr>
            <w:r w:rsidRPr="00195D8B">
              <w:t>Overtime - 1 x Visit - Open / Isolate &amp; CSO to close - 1 hour - Per Job</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252</w:t>
            </w: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536.35</w:t>
            </w: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t>453.16</w:t>
            </w: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t>-15.5</w:t>
            </w: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pPr>
            <w:r w:rsidRPr="00195D8B">
              <w:t>Overtime - 2 x Visit - Open / Close &amp; no isolation - 2 hours - Per Job</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224</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482.66</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t>407.84</w:t>
            </w:r>
          </w:p>
        </w:tc>
        <w:tc>
          <w:tcPr>
            <w:tcW w:w="119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t>-15.5</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pPr>
            <w:r w:rsidRPr="00195D8B">
              <w:t>Overtime - 2 x Visit - Open / Isolate / Close - 2 hours - Per Job</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504</w:t>
            </w: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1,072.69</w:t>
            </w: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t>906.43</w:t>
            </w: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t>-15.5</w:t>
            </w: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993461" w:rsidRPr="00195D8B" w:rsidRDefault="00993461" w:rsidP="00C65A0E">
            <w:pPr>
              <w:pStyle w:val="AERtabletextleft"/>
            </w:pPr>
          </w:p>
        </w:tc>
        <w:tc>
          <w:tcPr>
            <w:tcW w:w="1643" w:type="dxa"/>
            <w:noWrap/>
            <w:hideMark/>
          </w:tcPr>
          <w:p w:rsidR="00993461" w:rsidRPr="00195D8B" w:rsidRDefault="00993461"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1642" w:type="dxa"/>
            <w:noWrap/>
            <w:hideMark/>
          </w:tcPr>
          <w:p w:rsidR="00993461" w:rsidRPr="00195D8B" w:rsidRDefault="00993461"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888" w:type="dxa"/>
            <w:noWrap/>
            <w:hideMark/>
          </w:tcPr>
          <w:p w:rsidR="00993461" w:rsidRPr="00195D8B" w:rsidRDefault="00993461" w:rsidP="007848A6">
            <w:pPr>
              <w:pStyle w:val="AERtabletextleft"/>
              <w:cnfStyle w:val="000000000000" w:firstRow="0" w:lastRow="0" w:firstColumn="0" w:lastColumn="0" w:oddVBand="0" w:evenVBand="0" w:oddHBand="0" w:evenHBand="0"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rPr>
                <w:i/>
                <w:iCs/>
              </w:rPr>
            </w:pPr>
            <w:r w:rsidRPr="00195D8B">
              <w:rPr>
                <w:i/>
                <w:iCs/>
              </w:rPr>
              <w:t>Access permits</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pPr>
            <w:r w:rsidRPr="00195D8B">
              <w:t>Subdivision - URD - Per Lot</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Lot</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n/a</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76.08</w:t>
            </w:r>
          </w:p>
        </w:tc>
        <w:tc>
          <w:tcPr>
            <w:tcW w:w="1026" w:type="dxa"/>
            <w:noWrap/>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t>76.08</w:t>
            </w:r>
          </w:p>
        </w:tc>
        <w:tc>
          <w:tcPr>
            <w:tcW w:w="1192" w:type="dxa"/>
            <w:noWrap/>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t>0%</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pPr>
            <w:r w:rsidRPr="00195D8B">
              <w:t>All Other - Industrial &amp; Commercial - Per access authorisation (AA) or authority to work (ATW)</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AA or ATW</w:t>
            </w: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n/a</w:t>
            </w: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3,294.07</w:t>
            </w: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2,108.48</w:t>
            </w: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w:t>
            </w:r>
            <w:r w:rsidR="008F1948">
              <w:t>36.0</w:t>
            </w:r>
          </w:p>
        </w:tc>
      </w:tr>
      <w:tr w:rsidR="008F1948"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8F1948" w:rsidRPr="00195D8B" w:rsidRDefault="008F1948" w:rsidP="00C65A0E">
            <w:pPr>
              <w:pStyle w:val="AERtabletextleft"/>
            </w:pPr>
            <w:r w:rsidRPr="00195D8B">
              <w:t>All Other - Non Urban - Per access authorisation (AA) or authority to work (ATW)</w:t>
            </w:r>
          </w:p>
        </w:tc>
        <w:tc>
          <w:tcPr>
            <w:tcW w:w="1381" w:type="dxa"/>
            <w:noWrap/>
            <w:hideMark/>
          </w:tcPr>
          <w:p w:rsidR="008F1948"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AA or ATW</w:t>
            </w:r>
          </w:p>
        </w:tc>
        <w:tc>
          <w:tcPr>
            <w:tcW w:w="1093" w:type="dxa"/>
            <w:noWrap/>
            <w:hideMark/>
          </w:tcPr>
          <w:p w:rsidR="008F1948"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8F1948"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n/a</w:t>
            </w:r>
          </w:p>
        </w:tc>
        <w:tc>
          <w:tcPr>
            <w:tcW w:w="1608" w:type="dxa"/>
            <w:noWrap/>
            <w:hideMark/>
          </w:tcPr>
          <w:p w:rsidR="008F1948"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3,294.07</w:t>
            </w:r>
          </w:p>
        </w:tc>
        <w:tc>
          <w:tcPr>
            <w:tcW w:w="1026" w:type="dxa"/>
            <w:noWrap/>
            <w:hideMark/>
          </w:tcPr>
          <w:p w:rsidR="008F1948"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2,108.48</w:t>
            </w:r>
          </w:p>
        </w:tc>
        <w:tc>
          <w:tcPr>
            <w:tcW w:w="1192" w:type="dxa"/>
            <w:noWrap/>
            <w:hideMark/>
          </w:tcPr>
          <w:p w:rsidR="008F1948"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w:t>
            </w:r>
            <w:r>
              <w:t>36.0</w:t>
            </w:r>
          </w:p>
        </w:tc>
      </w:tr>
      <w:tr w:rsidR="008F1948"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8F1948" w:rsidRPr="00195D8B" w:rsidRDefault="008F1948" w:rsidP="00C65A0E">
            <w:pPr>
              <w:pStyle w:val="AERtabletextleft"/>
            </w:pPr>
            <w:r w:rsidRPr="00195D8B">
              <w:t>All Other - URD - Per access authorisation (AA) or authority to work (ATW)</w:t>
            </w:r>
          </w:p>
        </w:tc>
        <w:tc>
          <w:tcPr>
            <w:tcW w:w="1381"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AA or ATW</w:t>
            </w:r>
          </w:p>
        </w:tc>
        <w:tc>
          <w:tcPr>
            <w:tcW w:w="1093"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n/a</w:t>
            </w:r>
          </w:p>
        </w:tc>
        <w:tc>
          <w:tcPr>
            <w:tcW w:w="1608"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3,294.07</w:t>
            </w:r>
          </w:p>
        </w:tc>
        <w:tc>
          <w:tcPr>
            <w:tcW w:w="1026"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2,108.48</w:t>
            </w:r>
          </w:p>
        </w:tc>
        <w:tc>
          <w:tcPr>
            <w:tcW w:w="1192"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w:t>
            </w:r>
            <w:r>
              <w:t>36.0</w:t>
            </w:r>
          </w:p>
        </w:tc>
      </w:tr>
      <w:tr w:rsidR="008F1948"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8F1948" w:rsidRPr="00195D8B" w:rsidRDefault="008F1948" w:rsidP="00C65A0E">
            <w:pPr>
              <w:pStyle w:val="AERtabletextleft"/>
            </w:pPr>
            <w:r w:rsidRPr="00195D8B">
              <w:t>All Other - Asset Relocation - Per access authorisation (AA) or authority to work (ATW)</w:t>
            </w:r>
          </w:p>
        </w:tc>
        <w:tc>
          <w:tcPr>
            <w:tcW w:w="1381" w:type="dxa"/>
            <w:noWrap/>
            <w:hideMark/>
          </w:tcPr>
          <w:p w:rsidR="008F1948"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AA or ATW</w:t>
            </w:r>
          </w:p>
        </w:tc>
        <w:tc>
          <w:tcPr>
            <w:tcW w:w="1093" w:type="dxa"/>
            <w:noWrap/>
            <w:hideMark/>
          </w:tcPr>
          <w:p w:rsidR="008F1948"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8F1948"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n/a</w:t>
            </w:r>
          </w:p>
        </w:tc>
        <w:tc>
          <w:tcPr>
            <w:tcW w:w="1608" w:type="dxa"/>
            <w:noWrap/>
            <w:hideMark/>
          </w:tcPr>
          <w:p w:rsidR="008F1948"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3,294.07</w:t>
            </w:r>
          </w:p>
        </w:tc>
        <w:tc>
          <w:tcPr>
            <w:tcW w:w="1026" w:type="dxa"/>
            <w:noWrap/>
            <w:hideMark/>
          </w:tcPr>
          <w:p w:rsidR="008F1948"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2,108.48</w:t>
            </w:r>
          </w:p>
        </w:tc>
        <w:tc>
          <w:tcPr>
            <w:tcW w:w="1192" w:type="dxa"/>
            <w:noWrap/>
            <w:hideMark/>
          </w:tcPr>
          <w:p w:rsidR="008F1948"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w:t>
            </w:r>
            <w:r>
              <w:t>36.0</w:t>
            </w:r>
          </w:p>
        </w:tc>
      </w:tr>
      <w:tr w:rsidR="008F1948"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8F1948" w:rsidRPr="00195D8B" w:rsidRDefault="008F1948" w:rsidP="00C65A0E">
            <w:pPr>
              <w:pStyle w:val="AERtabletextleft"/>
            </w:pPr>
            <w:r w:rsidRPr="00195D8B">
              <w:t>All Other - Public Lighting - Per access authorisation (AA) or authority to work (ATW)</w:t>
            </w:r>
          </w:p>
        </w:tc>
        <w:tc>
          <w:tcPr>
            <w:tcW w:w="1381"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AA or ATW</w:t>
            </w:r>
          </w:p>
        </w:tc>
        <w:tc>
          <w:tcPr>
            <w:tcW w:w="1093"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n/a</w:t>
            </w:r>
          </w:p>
        </w:tc>
        <w:tc>
          <w:tcPr>
            <w:tcW w:w="1608"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3,294.07</w:t>
            </w:r>
          </w:p>
        </w:tc>
        <w:tc>
          <w:tcPr>
            <w:tcW w:w="1026"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2,108.48</w:t>
            </w:r>
          </w:p>
        </w:tc>
        <w:tc>
          <w:tcPr>
            <w:tcW w:w="1192"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w:t>
            </w:r>
            <w:r>
              <w:t>36.0</w:t>
            </w: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993461" w:rsidRPr="00195D8B" w:rsidRDefault="00993461" w:rsidP="00C65A0E">
            <w:pPr>
              <w:pStyle w:val="AERtabletextleft"/>
            </w:pPr>
          </w:p>
        </w:tc>
        <w:tc>
          <w:tcPr>
            <w:tcW w:w="1643" w:type="dxa"/>
            <w:noWrap/>
            <w:hideMark/>
          </w:tcPr>
          <w:p w:rsidR="00993461" w:rsidRPr="00195D8B" w:rsidRDefault="00993461"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1642" w:type="dxa"/>
            <w:noWrap/>
            <w:hideMark/>
          </w:tcPr>
          <w:p w:rsidR="00993461" w:rsidRPr="00195D8B" w:rsidRDefault="00993461"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888" w:type="dxa"/>
            <w:noWrap/>
            <w:hideMark/>
          </w:tcPr>
          <w:p w:rsidR="00993461" w:rsidRPr="00195D8B" w:rsidRDefault="00993461" w:rsidP="007848A6">
            <w:pPr>
              <w:pStyle w:val="AERtabletextleft"/>
              <w:cnfStyle w:val="000000000000" w:firstRow="0" w:lastRow="0" w:firstColumn="0" w:lastColumn="0" w:oddVBand="0" w:evenVBand="0" w:oddHBand="0" w:evenHBand="0"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rPr>
                <w:i/>
                <w:iCs/>
              </w:rPr>
            </w:pPr>
            <w:r w:rsidRPr="00195D8B">
              <w:rPr>
                <w:i/>
                <w:iCs/>
              </w:rPr>
              <w:t>Substation Commission Fee</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pPr>
            <w:r w:rsidRPr="00195D8B">
              <w:t>Subdivision - URD - Per Lot</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Lot</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        27.27 </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70.74</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58.21</w:t>
            </w:r>
          </w:p>
        </w:tc>
        <w:tc>
          <w:tcPr>
            <w:tcW w:w="1192" w:type="dxa"/>
            <w:noWrap/>
            <w:hideMark/>
          </w:tcPr>
          <w:p w:rsidR="00993461"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t>-17.7</w:t>
            </w:r>
          </w:p>
        </w:tc>
      </w:tr>
      <w:tr w:rsidR="008F1948"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8F1948" w:rsidRPr="00195D8B" w:rsidRDefault="008F1948" w:rsidP="00C65A0E">
            <w:pPr>
              <w:pStyle w:val="AERtabletextleft"/>
            </w:pPr>
            <w:r w:rsidRPr="00195D8B">
              <w:t>All Other - Industrial &amp; Commercial - Per Substation</w:t>
            </w:r>
          </w:p>
        </w:tc>
        <w:tc>
          <w:tcPr>
            <w:tcW w:w="1381"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Substation</w:t>
            </w:r>
          </w:p>
        </w:tc>
        <w:tc>
          <w:tcPr>
            <w:tcW w:w="1093"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 xml:space="preserve">      886.36 </w:t>
            </w:r>
          </w:p>
        </w:tc>
        <w:tc>
          <w:tcPr>
            <w:tcW w:w="1608"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2,051.56</w:t>
            </w:r>
          </w:p>
        </w:tc>
        <w:tc>
          <w:tcPr>
            <w:tcW w:w="1026"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1,687.96</w:t>
            </w:r>
          </w:p>
        </w:tc>
        <w:tc>
          <w:tcPr>
            <w:tcW w:w="1192"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t>-17.7</w:t>
            </w:r>
          </w:p>
        </w:tc>
      </w:tr>
      <w:tr w:rsidR="008F1948"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8F1948" w:rsidRPr="00195D8B" w:rsidRDefault="008F1948" w:rsidP="00C65A0E">
            <w:pPr>
              <w:pStyle w:val="AERtabletextleft"/>
            </w:pPr>
            <w:r w:rsidRPr="00195D8B">
              <w:t>All Other - Non Urban - Per Substation</w:t>
            </w:r>
          </w:p>
        </w:tc>
        <w:tc>
          <w:tcPr>
            <w:tcW w:w="1381" w:type="dxa"/>
            <w:noWrap/>
            <w:hideMark/>
          </w:tcPr>
          <w:p w:rsidR="008F1948"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Substation</w:t>
            </w:r>
          </w:p>
        </w:tc>
        <w:tc>
          <w:tcPr>
            <w:tcW w:w="1093" w:type="dxa"/>
            <w:noWrap/>
            <w:hideMark/>
          </w:tcPr>
          <w:p w:rsidR="008F1948"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8F1948"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      886.36 </w:t>
            </w:r>
          </w:p>
        </w:tc>
        <w:tc>
          <w:tcPr>
            <w:tcW w:w="1608" w:type="dxa"/>
            <w:noWrap/>
            <w:hideMark/>
          </w:tcPr>
          <w:p w:rsidR="008F1948"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2,051.56</w:t>
            </w:r>
          </w:p>
        </w:tc>
        <w:tc>
          <w:tcPr>
            <w:tcW w:w="1026" w:type="dxa"/>
            <w:noWrap/>
            <w:hideMark/>
          </w:tcPr>
          <w:p w:rsidR="008F1948"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1,687.96</w:t>
            </w:r>
          </w:p>
        </w:tc>
        <w:tc>
          <w:tcPr>
            <w:tcW w:w="1192" w:type="dxa"/>
            <w:noWrap/>
            <w:hideMark/>
          </w:tcPr>
          <w:p w:rsidR="008F1948"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t>-17.7</w:t>
            </w:r>
          </w:p>
        </w:tc>
      </w:tr>
      <w:tr w:rsidR="008F1948"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8F1948" w:rsidRPr="00195D8B" w:rsidRDefault="008F1948" w:rsidP="00C65A0E">
            <w:pPr>
              <w:pStyle w:val="AERtabletextleft"/>
            </w:pPr>
            <w:r w:rsidRPr="00195D8B">
              <w:t>All Other - URD - Per Substation</w:t>
            </w:r>
          </w:p>
        </w:tc>
        <w:tc>
          <w:tcPr>
            <w:tcW w:w="1381"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Substation</w:t>
            </w:r>
          </w:p>
        </w:tc>
        <w:tc>
          <w:tcPr>
            <w:tcW w:w="1093"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 xml:space="preserve">      886.36 </w:t>
            </w:r>
          </w:p>
        </w:tc>
        <w:tc>
          <w:tcPr>
            <w:tcW w:w="1608"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2,051.56</w:t>
            </w:r>
          </w:p>
        </w:tc>
        <w:tc>
          <w:tcPr>
            <w:tcW w:w="1026"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1,687.96</w:t>
            </w:r>
          </w:p>
        </w:tc>
        <w:tc>
          <w:tcPr>
            <w:tcW w:w="1192"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t>-17.7</w:t>
            </w:r>
          </w:p>
        </w:tc>
      </w:tr>
      <w:tr w:rsidR="008F1948"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8F1948" w:rsidRPr="00195D8B" w:rsidRDefault="008F1948" w:rsidP="00C65A0E">
            <w:pPr>
              <w:pStyle w:val="AERtabletextleft"/>
            </w:pPr>
            <w:r w:rsidRPr="00195D8B">
              <w:t>All Other - Asset Relocation - Per Substation</w:t>
            </w:r>
          </w:p>
        </w:tc>
        <w:tc>
          <w:tcPr>
            <w:tcW w:w="1381" w:type="dxa"/>
            <w:noWrap/>
            <w:hideMark/>
          </w:tcPr>
          <w:p w:rsidR="008F1948"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Substation</w:t>
            </w:r>
          </w:p>
        </w:tc>
        <w:tc>
          <w:tcPr>
            <w:tcW w:w="1093" w:type="dxa"/>
            <w:noWrap/>
            <w:hideMark/>
          </w:tcPr>
          <w:p w:rsidR="008F1948"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8F1948"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      886.36 </w:t>
            </w:r>
          </w:p>
        </w:tc>
        <w:tc>
          <w:tcPr>
            <w:tcW w:w="1608" w:type="dxa"/>
            <w:noWrap/>
            <w:hideMark/>
          </w:tcPr>
          <w:p w:rsidR="008F1948"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2,051.56</w:t>
            </w:r>
          </w:p>
        </w:tc>
        <w:tc>
          <w:tcPr>
            <w:tcW w:w="1026" w:type="dxa"/>
            <w:noWrap/>
            <w:hideMark/>
          </w:tcPr>
          <w:p w:rsidR="008F1948"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1,687.96</w:t>
            </w:r>
          </w:p>
        </w:tc>
        <w:tc>
          <w:tcPr>
            <w:tcW w:w="1192" w:type="dxa"/>
            <w:noWrap/>
            <w:hideMark/>
          </w:tcPr>
          <w:p w:rsidR="008F1948"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t>-17.7</w:t>
            </w:r>
          </w:p>
        </w:tc>
      </w:tr>
      <w:tr w:rsidR="008F1948"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8F1948" w:rsidRPr="00195D8B" w:rsidRDefault="008F1948" w:rsidP="00C65A0E">
            <w:pPr>
              <w:pStyle w:val="AERtabletextleft"/>
            </w:pPr>
            <w:r w:rsidRPr="00195D8B">
              <w:t>All Other - Public Lighting - Per Substation</w:t>
            </w:r>
          </w:p>
        </w:tc>
        <w:tc>
          <w:tcPr>
            <w:tcW w:w="1381"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Substation</w:t>
            </w:r>
          </w:p>
        </w:tc>
        <w:tc>
          <w:tcPr>
            <w:tcW w:w="1093"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 xml:space="preserve">      886.36 </w:t>
            </w:r>
          </w:p>
        </w:tc>
        <w:tc>
          <w:tcPr>
            <w:tcW w:w="1608"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2,051.56</w:t>
            </w:r>
          </w:p>
        </w:tc>
        <w:tc>
          <w:tcPr>
            <w:tcW w:w="1026"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1,687.96</w:t>
            </w:r>
          </w:p>
        </w:tc>
        <w:tc>
          <w:tcPr>
            <w:tcW w:w="1192"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t>-17.7</w:t>
            </w: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993461" w:rsidRPr="00195D8B" w:rsidRDefault="00993461" w:rsidP="00C65A0E">
            <w:pPr>
              <w:pStyle w:val="AERtabletextleft"/>
            </w:pPr>
          </w:p>
        </w:tc>
        <w:tc>
          <w:tcPr>
            <w:tcW w:w="1643" w:type="dxa"/>
            <w:noWrap/>
            <w:hideMark/>
          </w:tcPr>
          <w:p w:rsidR="00993461" w:rsidRPr="00195D8B" w:rsidRDefault="00993461"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1642" w:type="dxa"/>
            <w:noWrap/>
            <w:hideMark/>
          </w:tcPr>
          <w:p w:rsidR="00993461" w:rsidRPr="00195D8B" w:rsidRDefault="00993461"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888" w:type="dxa"/>
            <w:noWrap/>
            <w:hideMark/>
          </w:tcPr>
          <w:p w:rsidR="00993461" w:rsidRPr="00195D8B" w:rsidRDefault="00993461" w:rsidP="007848A6">
            <w:pPr>
              <w:pStyle w:val="AERtabletextleft"/>
              <w:cnfStyle w:val="000000000000" w:firstRow="0" w:lastRow="0" w:firstColumn="0" w:lastColumn="0" w:oddVBand="0" w:evenVBand="0" w:oddHBand="0" w:evenHBand="0"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645"/>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rPr>
                <w:i/>
                <w:iCs/>
              </w:rPr>
            </w:pPr>
            <w:r w:rsidRPr="00195D8B">
              <w:rPr>
                <w:i/>
                <w:iCs/>
              </w:rPr>
              <w:t>Excluded distribution services - Cost of excluded distribution services for interruption avoidance measures for contestable work planned electricity supply interruptions</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r w:rsidRPr="00195D8B">
              <w:rPr>
                <w:b/>
              </w:rPr>
              <w:t xml:space="preserve"> </w:t>
            </w: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pPr>
            <w:r w:rsidRPr="00195D8B">
              <w:t>Install &amp; remove HV live line links - One set</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  2,832.73 </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4,289.04</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3,281.05</w:t>
            </w:r>
          </w:p>
        </w:tc>
        <w:tc>
          <w:tcPr>
            <w:tcW w:w="1192" w:type="dxa"/>
            <w:noWrap/>
            <w:hideMark/>
          </w:tcPr>
          <w:p w:rsidR="00993461"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t>-23.5</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pPr>
            <w:r w:rsidRPr="00195D8B">
              <w:t>Install &amp; remove HV live line links - Each additional set</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 xml:space="preserve">  1,834.55 </w:t>
            </w: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2,569.50</w:t>
            </w: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1,978.14</w:t>
            </w:r>
          </w:p>
        </w:tc>
        <w:tc>
          <w:tcPr>
            <w:tcW w:w="1192" w:type="dxa"/>
            <w:noWrap/>
            <w:hideMark/>
          </w:tcPr>
          <w:p w:rsidR="00993461"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t>-23.0</w:t>
            </w: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pPr>
            <w:r w:rsidRPr="00195D8B">
              <w:t>Break &amp; remake HV bonds - One set</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  2,223.64 </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3,373.88</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2,574.55</w:t>
            </w:r>
          </w:p>
        </w:tc>
        <w:tc>
          <w:tcPr>
            <w:tcW w:w="1192" w:type="dxa"/>
            <w:noWrap/>
            <w:hideMark/>
          </w:tcPr>
          <w:p w:rsidR="00993461"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t>-23.7</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pPr>
            <w:r w:rsidRPr="00195D8B">
              <w:t>Break &amp; remake HV bonds - Each additional set</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 xml:space="preserve">  1,225.45 </w:t>
            </w: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1,723.72</w:t>
            </w: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1,327.38</w:t>
            </w:r>
          </w:p>
        </w:tc>
        <w:tc>
          <w:tcPr>
            <w:tcW w:w="1192" w:type="dxa"/>
            <w:noWrap/>
            <w:hideMark/>
          </w:tcPr>
          <w:p w:rsidR="00993461"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t>-23.0</w:t>
            </w: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pPr>
            <w:r w:rsidRPr="00195D8B">
              <w:t>Break &amp; remake LV bonds - One set</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  1,437.27 </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2,150.07</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1,640.79</w:t>
            </w:r>
          </w:p>
        </w:tc>
        <w:tc>
          <w:tcPr>
            <w:tcW w:w="1192" w:type="dxa"/>
            <w:noWrap/>
            <w:hideMark/>
          </w:tcPr>
          <w:p w:rsidR="00993461"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t>-23.7</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pPr>
            <w:r w:rsidRPr="00195D8B">
              <w:t>Break &amp; remake LV bonds - Each additional set</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 xml:space="preserve">      695.45 </w:t>
            </w: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919.68</w:t>
            </w: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710.14</w:t>
            </w:r>
          </w:p>
        </w:tc>
        <w:tc>
          <w:tcPr>
            <w:tcW w:w="1192" w:type="dxa"/>
            <w:noWrap/>
            <w:hideMark/>
          </w:tcPr>
          <w:p w:rsidR="00993461"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t>-22.8</w:t>
            </w: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pPr>
            <w:r w:rsidRPr="00195D8B">
              <w:t>Install &amp; remove LV live line links - One set</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  1,427.27 </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2,118.21</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1,615.20</w:t>
            </w:r>
          </w:p>
        </w:tc>
        <w:tc>
          <w:tcPr>
            <w:tcW w:w="1192" w:type="dxa"/>
            <w:noWrap/>
            <w:hideMark/>
          </w:tcPr>
          <w:p w:rsidR="00993461"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t>-23.8</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pPr>
            <w:r w:rsidRPr="00195D8B">
              <w:t>Install &amp; remove LV live line links - Each additional set</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 xml:space="preserve">      684.55 </w:t>
            </w: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887.83</w:t>
            </w: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684.55</w:t>
            </w:r>
          </w:p>
        </w:tc>
        <w:tc>
          <w:tcPr>
            <w:tcW w:w="1192" w:type="dxa"/>
            <w:noWrap/>
            <w:hideMark/>
          </w:tcPr>
          <w:p w:rsidR="00993461"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t>-22.9</w:t>
            </w: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pPr>
            <w:r w:rsidRPr="00195D8B">
              <w:t>Connect &amp; disconnect generator to LV OH mains - One generator</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  1,400.00 </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2,057.56</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1,566.47</w:t>
            </w:r>
          </w:p>
        </w:tc>
        <w:tc>
          <w:tcPr>
            <w:tcW w:w="1192" w:type="dxa"/>
            <w:noWrap/>
            <w:hideMark/>
          </w:tcPr>
          <w:p w:rsidR="00993461"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t>-23.9</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pPr>
            <w:r w:rsidRPr="00195D8B">
              <w:t>Connect &amp; disconnect generator to LV OH mains - Each additional generator</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 xml:space="preserve">      657.27 </w:t>
            </w: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827.17</w:t>
            </w: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635.82</w:t>
            </w:r>
          </w:p>
        </w:tc>
        <w:tc>
          <w:tcPr>
            <w:tcW w:w="1192" w:type="dxa"/>
            <w:noWrap/>
            <w:hideMark/>
          </w:tcPr>
          <w:p w:rsidR="00993461"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t>-23.1</w:t>
            </w: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pPr>
            <w:r w:rsidRPr="00195D8B">
              <w:t xml:space="preserve">Connect &amp; disconnect generator to a </w:t>
            </w:r>
            <w:proofErr w:type="spellStart"/>
            <w:r w:rsidRPr="00195D8B">
              <w:t>padmount</w:t>
            </w:r>
            <w:proofErr w:type="spellEnd"/>
            <w:r w:rsidRPr="00195D8B">
              <w:t xml:space="preserve"> / indoor substation - One generator</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  1,103.64 </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2,057.56</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1,566.47</w:t>
            </w:r>
          </w:p>
        </w:tc>
        <w:tc>
          <w:tcPr>
            <w:tcW w:w="1192" w:type="dxa"/>
            <w:noWrap/>
            <w:hideMark/>
          </w:tcPr>
          <w:p w:rsidR="00993461"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t>-23.9</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555"/>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pPr>
            <w:r w:rsidRPr="00195D8B">
              <w:t xml:space="preserve">Connect &amp; disconnect generator to a </w:t>
            </w:r>
            <w:proofErr w:type="spellStart"/>
            <w:r w:rsidRPr="00195D8B">
              <w:t>padmount</w:t>
            </w:r>
            <w:proofErr w:type="spellEnd"/>
            <w:r w:rsidRPr="00195D8B">
              <w:t xml:space="preserve"> / indoor substation - Each additional gen</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 xml:space="preserve">      480.00 </w:t>
            </w: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827.17</w:t>
            </w: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635.82</w:t>
            </w:r>
          </w:p>
        </w:tc>
        <w:tc>
          <w:tcPr>
            <w:tcW w:w="1192" w:type="dxa"/>
            <w:noWrap/>
            <w:hideMark/>
          </w:tcPr>
          <w:p w:rsidR="00993461"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t>-23.1</w:t>
            </w: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993461" w:rsidRPr="00195D8B" w:rsidRDefault="00993461" w:rsidP="00C65A0E">
            <w:pPr>
              <w:pStyle w:val="AERtabletextleft"/>
            </w:pPr>
          </w:p>
        </w:tc>
        <w:tc>
          <w:tcPr>
            <w:tcW w:w="1643" w:type="dxa"/>
            <w:noWrap/>
            <w:hideMark/>
          </w:tcPr>
          <w:p w:rsidR="00993461" w:rsidRPr="00195D8B" w:rsidRDefault="00993461"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1642" w:type="dxa"/>
            <w:noWrap/>
            <w:hideMark/>
          </w:tcPr>
          <w:p w:rsidR="00993461" w:rsidRPr="00195D8B" w:rsidRDefault="00993461"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888" w:type="dxa"/>
            <w:noWrap/>
            <w:hideMark/>
          </w:tcPr>
          <w:p w:rsidR="00993461" w:rsidRPr="00195D8B" w:rsidRDefault="00993461" w:rsidP="007848A6">
            <w:pPr>
              <w:pStyle w:val="AERtabletextleft"/>
              <w:cnfStyle w:val="000000000000" w:firstRow="0" w:lastRow="0" w:firstColumn="0" w:lastColumn="0" w:oddVBand="0" w:evenVBand="0" w:oddHBand="0" w:evenHBand="0"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78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rPr>
                <w:i/>
                <w:iCs/>
              </w:rPr>
            </w:pPr>
            <w:r w:rsidRPr="00195D8B">
              <w:rPr>
                <w:i/>
                <w:iCs/>
              </w:rPr>
              <w:t>Excluded distribution services - Cost of excluded distribution services to terminate cable at zone substations and first joint out from the zone substation</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pPr>
            <w:r w:rsidRPr="00195D8B">
              <w:t>Zone substation access and supervision for installation of cable(s) for one feeder</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  1,760.00 </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3,236.02</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2,468.58</w:t>
            </w:r>
          </w:p>
        </w:tc>
        <w:tc>
          <w:tcPr>
            <w:tcW w:w="1192" w:type="dxa"/>
            <w:noWrap/>
            <w:hideMark/>
          </w:tcPr>
          <w:p w:rsidR="00993461"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t>-23.7</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pPr>
            <w:r w:rsidRPr="00195D8B">
              <w:t>Protection setting</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 xml:space="preserve">  2,416.36 </w:t>
            </w: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4,597.25</w:t>
            </w: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3,643.21</w:t>
            </w:r>
          </w:p>
        </w:tc>
        <w:tc>
          <w:tcPr>
            <w:tcW w:w="1192" w:type="dxa"/>
            <w:noWrap/>
            <w:hideMark/>
          </w:tcPr>
          <w:p w:rsidR="00993461"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t>-20.8</w:t>
            </w: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pPr>
            <w:r w:rsidRPr="00195D8B">
              <w:t>Testing cable prior to commissioning</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  2,848.18 </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4,915.26</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3,898.67</w:t>
            </w:r>
          </w:p>
        </w:tc>
        <w:tc>
          <w:tcPr>
            <w:tcW w:w="1192" w:type="dxa"/>
            <w:noWrap/>
            <w:hideMark/>
          </w:tcPr>
          <w:p w:rsidR="00993461"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t>-20.7</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pPr>
            <w:r w:rsidRPr="00195D8B">
              <w:t>11kV Zone substation circuit breaker cable termination</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 xml:space="preserve">  2,061.82 </w:t>
            </w: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3,906.34</w:t>
            </w: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3,007.05</w:t>
            </w:r>
          </w:p>
        </w:tc>
        <w:tc>
          <w:tcPr>
            <w:tcW w:w="1192" w:type="dxa"/>
            <w:noWrap/>
            <w:hideMark/>
          </w:tcPr>
          <w:p w:rsidR="00993461"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t>-23.0</w:t>
            </w: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pPr>
            <w:r w:rsidRPr="00195D8B">
              <w:t>22kV Zone substation circuit breaker cable termination</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  2,132.73 </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4,063.48</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3,133.28</w:t>
            </w:r>
          </w:p>
        </w:tc>
        <w:tc>
          <w:tcPr>
            <w:tcW w:w="1192" w:type="dxa"/>
            <w:noWrap/>
            <w:hideMark/>
          </w:tcPr>
          <w:p w:rsidR="00993461"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t>-22.9</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pPr>
            <w:r w:rsidRPr="00195D8B">
              <w:t xml:space="preserve">11kV </w:t>
            </w:r>
            <w:proofErr w:type="spellStart"/>
            <w:r w:rsidRPr="00195D8B">
              <w:t>Padmount</w:t>
            </w:r>
            <w:proofErr w:type="spellEnd"/>
            <w:r w:rsidRPr="00195D8B">
              <w:t>/Indoor substation cable termination</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 xml:space="preserve">  2,190.00 </w:t>
            </w: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4,263.57</w:t>
            </w: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3,294.01</w:t>
            </w:r>
          </w:p>
        </w:tc>
        <w:tc>
          <w:tcPr>
            <w:tcW w:w="1192" w:type="dxa"/>
            <w:noWrap/>
            <w:hideMark/>
          </w:tcPr>
          <w:p w:rsidR="00993461"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t>-22.7</w:t>
            </w: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pPr>
            <w:r w:rsidRPr="00195D8B">
              <w:t xml:space="preserve">22kV </w:t>
            </w:r>
            <w:proofErr w:type="spellStart"/>
            <w:r w:rsidRPr="00195D8B">
              <w:t>Padmount</w:t>
            </w:r>
            <w:proofErr w:type="spellEnd"/>
            <w:r w:rsidRPr="00195D8B">
              <w:t>/Indoor substation cable termination</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  2,714.55 </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5,241.35</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4,079.46</w:t>
            </w:r>
          </w:p>
        </w:tc>
        <w:tc>
          <w:tcPr>
            <w:tcW w:w="1192" w:type="dxa"/>
            <w:noWrap/>
            <w:hideMark/>
          </w:tcPr>
          <w:p w:rsidR="00993461"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t>-22.2</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pPr>
            <w:r w:rsidRPr="00195D8B">
              <w:t>11kV Pole top termination (UGOH) and bonding to OH</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 xml:space="preserve">  3,180.91 </w:t>
            </w: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5,112.59</w:t>
            </w: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3,976.03</w:t>
            </w:r>
          </w:p>
        </w:tc>
        <w:tc>
          <w:tcPr>
            <w:tcW w:w="1192" w:type="dxa"/>
            <w:noWrap/>
            <w:hideMark/>
          </w:tcPr>
          <w:p w:rsidR="00993461"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t>-22.2</w:t>
            </w: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pPr>
            <w:r w:rsidRPr="00195D8B">
              <w:t>22kV Pole top termination (UGOH) and bonding to OH</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  3,338.18 </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5,765.95</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4,500.87</w:t>
            </w:r>
          </w:p>
        </w:tc>
        <w:tc>
          <w:tcPr>
            <w:tcW w:w="1192" w:type="dxa"/>
            <w:noWrap/>
            <w:hideMark/>
          </w:tcPr>
          <w:p w:rsidR="00993461"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t>-21.9</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pPr>
            <w:r w:rsidRPr="00195D8B">
              <w:t>11kV Straight through joint</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 xml:space="preserve">  2,190.00 </w:t>
            </w: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4,191.94</w:t>
            </w: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3,236.46</w:t>
            </w:r>
          </w:p>
        </w:tc>
        <w:tc>
          <w:tcPr>
            <w:tcW w:w="1192" w:type="dxa"/>
            <w:noWrap/>
            <w:hideMark/>
          </w:tcPr>
          <w:p w:rsidR="00993461"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t>-22.8</w:t>
            </w: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pPr>
            <w:r w:rsidRPr="00195D8B">
              <w:t>22kV Straight through joint</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  2,280.00 </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4,391.34</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3,396.64</w:t>
            </w:r>
          </w:p>
        </w:tc>
        <w:tc>
          <w:tcPr>
            <w:tcW w:w="1192" w:type="dxa"/>
            <w:noWrap/>
            <w:hideMark/>
          </w:tcPr>
          <w:p w:rsidR="00993461"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t>-22.7</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pP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rPr>
                <w:i/>
                <w:iCs/>
              </w:rPr>
            </w:pPr>
            <w:r w:rsidRPr="00195D8B">
              <w:rPr>
                <w:i/>
                <w:iCs/>
              </w:rPr>
              <w:t>Excluded distribution services - traffic control</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66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pPr>
            <w:r w:rsidRPr="00195D8B">
              <w:t>Traffic Management to install &amp; remove, break &amp; remake, connect &amp; disconnect excluded distribution services</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 xml:space="preserve">  2,257.27 </w:t>
            </w: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4,699.48</w:t>
            </w: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3,775.08</w:t>
            </w:r>
          </w:p>
        </w:tc>
        <w:tc>
          <w:tcPr>
            <w:tcW w:w="1192" w:type="dxa"/>
            <w:noWrap/>
            <w:hideMark/>
          </w:tcPr>
          <w:p w:rsidR="00993461"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t>-19.7</w:t>
            </w: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pPr>
            <w:r w:rsidRPr="00195D8B">
              <w:t>Traffic Management to test, terminate and joint excluded distribution services</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  2,078.18 </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4,308.41</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3,460.94</w:t>
            </w:r>
          </w:p>
        </w:tc>
        <w:tc>
          <w:tcPr>
            <w:tcW w:w="1192" w:type="dxa"/>
            <w:noWrap/>
            <w:hideMark/>
          </w:tcPr>
          <w:p w:rsidR="00993461"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t>-19.7</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993461" w:rsidRPr="00195D8B" w:rsidRDefault="00993461" w:rsidP="00C65A0E">
            <w:pPr>
              <w:pStyle w:val="AERtabletextleft"/>
            </w:pPr>
          </w:p>
        </w:tc>
        <w:tc>
          <w:tcPr>
            <w:tcW w:w="1643"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642"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888" w:type="dxa"/>
            <w:noWrap/>
            <w:hideMark/>
          </w:tcPr>
          <w:p w:rsidR="00993461" w:rsidRPr="00195D8B" w:rsidRDefault="00993461" w:rsidP="007848A6">
            <w:pPr>
              <w:pStyle w:val="AERtabletextleft"/>
              <w:cnfStyle w:val="000000010000" w:firstRow="0" w:lastRow="0" w:firstColumn="0" w:lastColumn="0" w:oddVBand="0" w:evenVBand="0" w:oddHBand="0" w:evenHBand="1"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rPr>
                <w:i/>
                <w:iCs/>
              </w:rPr>
            </w:pPr>
            <w:r w:rsidRPr="00195D8B">
              <w:rPr>
                <w:i/>
                <w:iCs/>
              </w:rPr>
              <w:t>Authorisation</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pPr>
            <w:r w:rsidRPr="00195D8B">
              <w:t>Authorisation - Renewal</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Authorisation</w:t>
            </w: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159</w:t>
            </w: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533.82</w:t>
            </w: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407.70</w:t>
            </w:r>
          </w:p>
        </w:tc>
        <w:tc>
          <w:tcPr>
            <w:tcW w:w="1192" w:type="dxa"/>
            <w:noWrap/>
            <w:hideMark/>
          </w:tcPr>
          <w:p w:rsidR="00993461"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t>-23.6</w:t>
            </w: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noWrap/>
            <w:hideMark/>
          </w:tcPr>
          <w:p w:rsidR="00993461" w:rsidRPr="00195D8B" w:rsidRDefault="00993461" w:rsidP="00C65A0E">
            <w:pPr>
              <w:pStyle w:val="AERtabletextleft"/>
            </w:pPr>
            <w:r w:rsidRPr="00195D8B">
              <w:t>Authorisation - New</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Authorisation</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159</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583.24</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446.03</w:t>
            </w:r>
          </w:p>
        </w:tc>
        <w:tc>
          <w:tcPr>
            <w:tcW w:w="1192" w:type="dxa"/>
            <w:noWrap/>
            <w:hideMark/>
          </w:tcPr>
          <w:p w:rsidR="00993461"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t>-23.5</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993461" w:rsidRPr="00195D8B" w:rsidRDefault="00993461" w:rsidP="00C65A0E">
            <w:pPr>
              <w:pStyle w:val="AERtabletextleft"/>
            </w:pPr>
          </w:p>
        </w:tc>
        <w:tc>
          <w:tcPr>
            <w:tcW w:w="1643"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642"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888" w:type="dxa"/>
            <w:noWrap/>
            <w:hideMark/>
          </w:tcPr>
          <w:p w:rsidR="00993461" w:rsidRPr="00195D8B" w:rsidRDefault="00993461" w:rsidP="007848A6">
            <w:pPr>
              <w:pStyle w:val="AERtabletextleft"/>
              <w:cnfStyle w:val="000000010000" w:firstRow="0" w:lastRow="0" w:firstColumn="0" w:lastColumn="0" w:oddVBand="0" w:evenVBand="0" w:oddHBand="0" w:evenHBand="1"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rPr>
                <w:i/>
                <w:iCs/>
              </w:rPr>
            </w:pPr>
            <w:r w:rsidRPr="00195D8B">
              <w:rPr>
                <w:i/>
                <w:iCs/>
              </w:rPr>
              <w:t>Site Establishment Fee</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new NMI</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139</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45.19</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45.19</w:t>
            </w:r>
          </w:p>
        </w:tc>
        <w:tc>
          <w:tcPr>
            <w:tcW w:w="1192" w:type="dxa"/>
            <w:noWrap/>
            <w:hideMark/>
          </w:tcPr>
          <w:p w:rsidR="00993461"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t>0.0</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993461" w:rsidRPr="00195D8B" w:rsidRDefault="00993461" w:rsidP="00C65A0E">
            <w:pPr>
              <w:pStyle w:val="AERtabletextleft"/>
            </w:pPr>
          </w:p>
        </w:tc>
        <w:tc>
          <w:tcPr>
            <w:tcW w:w="1643"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642"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888" w:type="dxa"/>
            <w:noWrap/>
            <w:hideMark/>
          </w:tcPr>
          <w:p w:rsidR="00993461" w:rsidRPr="00195D8B" w:rsidRDefault="00993461" w:rsidP="007848A6">
            <w:pPr>
              <w:pStyle w:val="AERtabletextleft"/>
              <w:cnfStyle w:val="000000010000" w:firstRow="0" w:lastRow="0" w:firstColumn="0" w:lastColumn="0" w:oddVBand="0" w:evenVBand="0" w:oddHBand="0" w:evenHBand="1"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rPr>
                <w:i/>
                <w:iCs/>
              </w:rPr>
            </w:pPr>
            <w:proofErr w:type="spellStart"/>
            <w:r w:rsidRPr="00195D8B">
              <w:rPr>
                <w:i/>
                <w:iCs/>
              </w:rPr>
              <w:t>Conveyancing</w:t>
            </w:r>
            <w:proofErr w:type="spellEnd"/>
            <w:r w:rsidRPr="00195D8B">
              <w:rPr>
                <w:i/>
                <w:iCs/>
              </w:rPr>
              <w:t xml:space="preserve"> Information</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Inquiry</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n/a</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76.52</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59.27</w:t>
            </w:r>
          </w:p>
        </w:tc>
        <w:tc>
          <w:tcPr>
            <w:tcW w:w="1192" w:type="dxa"/>
            <w:noWrap/>
            <w:hideMark/>
          </w:tcPr>
          <w:p w:rsidR="00993461"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t>-22.5</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993461" w:rsidRPr="00195D8B" w:rsidRDefault="00993461" w:rsidP="00C65A0E">
            <w:pPr>
              <w:pStyle w:val="AERtabletextleft"/>
            </w:pPr>
          </w:p>
        </w:tc>
        <w:tc>
          <w:tcPr>
            <w:tcW w:w="1643"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642"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888" w:type="dxa"/>
            <w:noWrap/>
            <w:hideMark/>
          </w:tcPr>
          <w:p w:rsidR="00993461" w:rsidRPr="00195D8B" w:rsidRDefault="00993461" w:rsidP="007848A6">
            <w:pPr>
              <w:pStyle w:val="AERtabletextleft"/>
              <w:cnfStyle w:val="000000010000" w:firstRow="0" w:lastRow="0" w:firstColumn="0" w:lastColumn="0" w:oddVBand="0" w:evenVBand="0" w:oddHBand="0" w:evenHBand="1"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rPr>
                <w:i/>
                <w:iCs/>
              </w:rPr>
            </w:pPr>
            <w:r w:rsidRPr="00195D8B">
              <w:rPr>
                <w:i/>
                <w:iCs/>
              </w:rPr>
              <w:t>Planning Studies</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66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pPr>
            <w:r w:rsidRPr="00195D8B">
              <w:t xml:space="preserve">Carrying out planning studies and analysis relating to distribution (including </w:t>
            </w:r>
            <w:proofErr w:type="spellStart"/>
            <w:r w:rsidRPr="00195D8B">
              <w:t>subtransmission</w:t>
            </w:r>
            <w:proofErr w:type="spellEnd"/>
            <w:r w:rsidRPr="00195D8B">
              <w:t xml:space="preserve"> and dual function assets) connection applications - SIMPLE JOBS</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new fee</w:t>
            </w: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189.00</w:t>
            </w: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177.52</w:t>
            </w:r>
          </w:p>
        </w:tc>
        <w:tc>
          <w:tcPr>
            <w:tcW w:w="1192" w:type="dxa"/>
            <w:noWrap/>
            <w:hideMark/>
          </w:tcPr>
          <w:p w:rsidR="00993461"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t>-6.1</w:t>
            </w:r>
          </w:p>
        </w:tc>
      </w:tr>
      <w:tr w:rsidR="00993461" w:rsidRPr="00195D8B" w:rsidTr="0090530B">
        <w:trPr>
          <w:trHeight w:val="75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pPr>
            <w:r w:rsidRPr="00195D8B">
              <w:t xml:space="preserve">Carrying out planning studies and analysis relating to distribution (including </w:t>
            </w:r>
            <w:proofErr w:type="spellStart"/>
            <w:r w:rsidRPr="00195D8B">
              <w:t>subtransmission</w:t>
            </w:r>
            <w:proofErr w:type="spellEnd"/>
            <w:r w:rsidRPr="00195D8B">
              <w:t xml:space="preserve"> and dual function assets) connection applications - COMPLEX JOBS</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new fee</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234.32</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210.96</w:t>
            </w:r>
          </w:p>
        </w:tc>
        <w:tc>
          <w:tcPr>
            <w:tcW w:w="1192" w:type="dxa"/>
            <w:noWrap/>
            <w:hideMark/>
          </w:tcPr>
          <w:p w:rsidR="00993461"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t>-10.0</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993461" w:rsidRPr="00195D8B" w:rsidRDefault="00993461" w:rsidP="00C65A0E">
            <w:pPr>
              <w:pStyle w:val="AERtabletextleft"/>
            </w:pPr>
          </w:p>
        </w:tc>
        <w:tc>
          <w:tcPr>
            <w:tcW w:w="1643"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642"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888" w:type="dxa"/>
            <w:noWrap/>
            <w:hideMark/>
          </w:tcPr>
          <w:p w:rsidR="00993461" w:rsidRPr="00195D8B" w:rsidRDefault="00993461" w:rsidP="007848A6">
            <w:pPr>
              <w:pStyle w:val="AERtabletextleft"/>
              <w:cnfStyle w:val="000000010000" w:firstRow="0" w:lastRow="0" w:firstColumn="0" w:lastColumn="0" w:oddVBand="0" w:evenVBand="0" w:oddHBand="0" w:evenHBand="1"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4927" w:type="dxa"/>
            <w:gridSpan w:val="3"/>
            <w:noWrap/>
            <w:hideMark/>
          </w:tcPr>
          <w:p w:rsidR="00993461" w:rsidRPr="00195D8B" w:rsidRDefault="00993461" w:rsidP="00C65A0E">
            <w:pPr>
              <w:pStyle w:val="AERtabletextleft"/>
              <w:rPr>
                <w:b/>
                <w:i/>
                <w:iCs/>
              </w:rPr>
            </w:pPr>
            <w:r w:rsidRPr="00195D8B">
              <w:rPr>
                <w:b/>
                <w:i/>
                <w:iCs/>
              </w:rPr>
              <w:t>Connection offer service</w:t>
            </w:r>
          </w:p>
        </w:tc>
        <w:tc>
          <w:tcPr>
            <w:tcW w:w="888" w:type="dxa"/>
            <w:noWrap/>
            <w:hideMark/>
          </w:tcPr>
          <w:p w:rsidR="00993461" w:rsidRPr="00195D8B" w:rsidRDefault="00993461" w:rsidP="007848A6">
            <w:pPr>
              <w:pStyle w:val="AERtabletextleft"/>
              <w:cnfStyle w:val="000000000000" w:firstRow="0" w:lastRow="0" w:firstColumn="0" w:lastColumn="0" w:oddVBand="0" w:evenVBand="0" w:oddHBand="0" w:evenHBand="0"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pPr>
            <w:r w:rsidRPr="00195D8B">
              <w:t>Connection Offer Service (Basic)</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Offer</w:t>
            </w: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new fee</w:t>
            </w: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32.18</w:t>
            </w: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23.50</w:t>
            </w:r>
          </w:p>
        </w:tc>
        <w:tc>
          <w:tcPr>
            <w:tcW w:w="1192" w:type="dxa"/>
            <w:noWrap/>
            <w:hideMark/>
          </w:tcPr>
          <w:p w:rsidR="00993461"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t>-27.0</w:t>
            </w: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pPr>
            <w:r w:rsidRPr="00195D8B">
              <w:t>Connection Offer Service (Standard)</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Offer</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new fee</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235.89</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182.60</w:t>
            </w:r>
          </w:p>
        </w:tc>
        <w:tc>
          <w:tcPr>
            <w:tcW w:w="1192" w:type="dxa"/>
            <w:noWrap/>
            <w:hideMark/>
          </w:tcPr>
          <w:p w:rsidR="00993461"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t>-22.6</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993461" w:rsidRPr="00195D8B" w:rsidRDefault="00993461" w:rsidP="00C65A0E">
            <w:pPr>
              <w:pStyle w:val="AERtabletextleft"/>
            </w:pPr>
          </w:p>
        </w:tc>
        <w:tc>
          <w:tcPr>
            <w:tcW w:w="1643"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642"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888"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rPr>
                <w:i/>
                <w:iCs/>
              </w:rPr>
            </w:pPr>
            <w:r w:rsidRPr="00195D8B">
              <w:rPr>
                <w:i/>
                <w:iCs/>
              </w:rPr>
              <w:t>Customer Interface co-ordination for contestable works</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new fee</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202.04</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166.23</w:t>
            </w:r>
          </w:p>
        </w:tc>
        <w:tc>
          <w:tcPr>
            <w:tcW w:w="1192" w:type="dxa"/>
            <w:noWrap/>
            <w:hideMark/>
          </w:tcPr>
          <w:p w:rsidR="00993461"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t>-17.7</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993461" w:rsidRPr="00195D8B" w:rsidRDefault="00993461" w:rsidP="00C65A0E">
            <w:pPr>
              <w:pStyle w:val="AERtabletextleft"/>
            </w:pPr>
          </w:p>
        </w:tc>
        <w:tc>
          <w:tcPr>
            <w:tcW w:w="1643"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642"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888"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993461" w:rsidRPr="00195D8B" w:rsidTr="0090530B">
        <w:trPr>
          <w:trHeight w:val="6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rPr>
                <w:i/>
                <w:iCs/>
              </w:rPr>
            </w:pPr>
            <w:r w:rsidRPr="00195D8B">
              <w:rPr>
                <w:i/>
                <w:iCs/>
              </w:rPr>
              <w:t>Investigation, review &amp; implementation of remedial actions associated with ASP's connection work</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new fee</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185.77</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142.81</w:t>
            </w:r>
          </w:p>
        </w:tc>
        <w:tc>
          <w:tcPr>
            <w:tcW w:w="1192" w:type="dxa"/>
            <w:noWrap/>
            <w:hideMark/>
          </w:tcPr>
          <w:p w:rsidR="00993461"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t>-23.1</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993461" w:rsidRPr="00195D8B" w:rsidRDefault="00993461" w:rsidP="00C65A0E">
            <w:pPr>
              <w:pStyle w:val="AERtabletextleft"/>
            </w:pPr>
          </w:p>
        </w:tc>
        <w:tc>
          <w:tcPr>
            <w:tcW w:w="1643"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642"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888"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rPr>
                <w:i/>
                <w:iCs/>
              </w:rPr>
            </w:pPr>
            <w:r w:rsidRPr="00195D8B">
              <w:rPr>
                <w:i/>
                <w:iCs/>
              </w:rPr>
              <w:t>Preliminary Enquiry Service</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pPr>
            <w:r w:rsidRPr="00195D8B">
              <w:t>Preliminary Enquiry Service - SIMPLE JOBS</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new fee</w:t>
            </w: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164.83</w:t>
            </w: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89.06</w:t>
            </w:r>
          </w:p>
        </w:tc>
        <w:tc>
          <w:tcPr>
            <w:tcW w:w="1192" w:type="dxa"/>
            <w:noWrap/>
            <w:hideMark/>
          </w:tcPr>
          <w:p w:rsidR="00993461"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t>-46.0</w:t>
            </w: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pPr>
            <w:r w:rsidRPr="00195D8B">
              <w:t>Preliminary Enquiry Service - COMPLEX JOBS</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new fee</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294.49</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t>210.96</w:t>
            </w:r>
          </w:p>
        </w:tc>
        <w:tc>
          <w:tcPr>
            <w:tcW w:w="1192" w:type="dxa"/>
            <w:noWrap/>
            <w:hideMark/>
          </w:tcPr>
          <w:p w:rsidR="00993461"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t>-28.4</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993461" w:rsidRPr="00195D8B" w:rsidRDefault="00993461" w:rsidP="00C65A0E">
            <w:pPr>
              <w:pStyle w:val="AERtabletextleft"/>
            </w:pPr>
          </w:p>
        </w:tc>
        <w:tc>
          <w:tcPr>
            <w:tcW w:w="1643"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642"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888"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rPr>
                <w:i/>
                <w:iCs/>
              </w:rPr>
            </w:pPr>
            <w:r w:rsidRPr="00195D8B">
              <w:rPr>
                <w:i/>
                <w:iCs/>
              </w:rPr>
              <w:t>Services involved in obtaining deeds of agreement</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new fee</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180.60</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142.81 </w:t>
            </w:r>
          </w:p>
        </w:tc>
        <w:tc>
          <w:tcPr>
            <w:tcW w:w="1192" w:type="dxa"/>
            <w:noWrap/>
            <w:hideMark/>
          </w:tcPr>
          <w:p w:rsidR="00993461"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t>-20.9</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993461" w:rsidRPr="00195D8B" w:rsidRDefault="00993461" w:rsidP="00C65A0E">
            <w:pPr>
              <w:pStyle w:val="AERtabletextleft"/>
            </w:pPr>
          </w:p>
        </w:tc>
        <w:tc>
          <w:tcPr>
            <w:tcW w:w="1643"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642"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888"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rPr>
                <w:i/>
                <w:iCs/>
              </w:rPr>
            </w:pPr>
            <w:r w:rsidRPr="00195D8B">
              <w:rPr>
                <w:i/>
                <w:iCs/>
              </w:rPr>
              <w:t>Off Peak Conversions</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n/a</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115.04</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111.5</w:t>
            </w:r>
          </w:p>
        </w:tc>
        <w:tc>
          <w:tcPr>
            <w:tcW w:w="1192" w:type="dxa"/>
            <w:noWrap/>
            <w:hideMark/>
          </w:tcPr>
          <w:p w:rsidR="00993461"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t>-3.1</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993461" w:rsidRPr="00195D8B" w:rsidRDefault="00993461" w:rsidP="00C65A0E">
            <w:pPr>
              <w:pStyle w:val="AERtabletextleft"/>
            </w:pPr>
          </w:p>
        </w:tc>
        <w:tc>
          <w:tcPr>
            <w:tcW w:w="1643"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642"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888"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rPr>
                <w:i/>
                <w:iCs/>
              </w:rPr>
            </w:pPr>
            <w:r w:rsidRPr="00195D8B">
              <w:rPr>
                <w:i/>
                <w:iCs/>
              </w:rPr>
              <w:t>Clearance to Work</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n/a</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2,495.63</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t>2,108.55</w:t>
            </w:r>
          </w:p>
        </w:tc>
        <w:tc>
          <w:tcPr>
            <w:tcW w:w="119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t>-1</w:t>
            </w:r>
            <w:r w:rsidR="008F1948">
              <w:t>5.5</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993461" w:rsidRPr="00195D8B" w:rsidRDefault="00993461" w:rsidP="00C65A0E">
            <w:pPr>
              <w:pStyle w:val="AERtabletextleft"/>
            </w:pPr>
          </w:p>
        </w:tc>
        <w:tc>
          <w:tcPr>
            <w:tcW w:w="1643"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642"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888"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rPr>
                <w:i/>
                <w:iCs/>
              </w:rPr>
            </w:pPr>
            <w:r w:rsidRPr="00195D8B">
              <w:rPr>
                <w:i/>
                <w:iCs/>
              </w:rPr>
              <w:t>Rectification works</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pPr>
            <w:r w:rsidRPr="00195D8B">
              <w:t>Tiger Tails (Hourly Rate)</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n/a</w:t>
            </w: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142.32</w:t>
            </w: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133.80</w:t>
            </w:r>
          </w:p>
        </w:tc>
        <w:tc>
          <w:tcPr>
            <w:tcW w:w="1192" w:type="dxa"/>
            <w:noWrap/>
            <w:hideMark/>
          </w:tcPr>
          <w:p w:rsidR="00993461"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t>-6.0</w:t>
            </w: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pPr>
            <w:r w:rsidRPr="00195D8B">
              <w:t>Tiger Tails (Materials Rate) weekly rental for each 2.5m</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Tiger Tail</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n/a</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4.44</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4.44</w:t>
            </w:r>
          </w:p>
        </w:tc>
        <w:tc>
          <w:tcPr>
            <w:tcW w:w="1192" w:type="dxa"/>
            <w:noWrap/>
            <w:hideMark/>
          </w:tcPr>
          <w:p w:rsidR="00993461"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t>0.0</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pPr>
            <w:r w:rsidRPr="00195D8B">
              <w:t>High Load Escorts (Hourly Rate + materials)</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Hour</w:t>
            </w: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Quote</w:t>
            </w: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n/a</w:t>
            </w: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142.32</w:t>
            </w: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133.80</w:t>
            </w:r>
          </w:p>
        </w:tc>
        <w:tc>
          <w:tcPr>
            <w:tcW w:w="1192" w:type="dxa"/>
            <w:noWrap/>
            <w:hideMark/>
          </w:tcPr>
          <w:p w:rsidR="00993461"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t>-6.0</w:t>
            </w:r>
          </w:p>
        </w:tc>
      </w:tr>
      <w:tr w:rsidR="008F1948" w:rsidRPr="00195D8B" w:rsidTr="00F92C29">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8F1948" w:rsidRPr="00195D8B" w:rsidRDefault="008F1948" w:rsidP="00C65A0E">
            <w:pPr>
              <w:pStyle w:val="AERtabletextleft"/>
            </w:pPr>
            <w:r w:rsidRPr="00195D8B">
              <w:t>Provision of service crew / additional crew (Additional person per crew)</w:t>
            </w:r>
          </w:p>
        </w:tc>
        <w:tc>
          <w:tcPr>
            <w:tcW w:w="1381" w:type="dxa"/>
            <w:noWrap/>
            <w:hideMark/>
          </w:tcPr>
          <w:p w:rsidR="008F1948"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Hour</w:t>
            </w:r>
          </w:p>
        </w:tc>
        <w:tc>
          <w:tcPr>
            <w:tcW w:w="1093" w:type="dxa"/>
            <w:noWrap/>
            <w:hideMark/>
          </w:tcPr>
          <w:p w:rsidR="008F1948"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8F1948"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n/a</w:t>
            </w:r>
          </w:p>
        </w:tc>
        <w:tc>
          <w:tcPr>
            <w:tcW w:w="1608" w:type="dxa"/>
            <w:noWrap/>
            <w:hideMark/>
          </w:tcPr>
          <w:p w:rsidR="008F1948"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142.32</w:t>
            </w:r>
          </w:p>
        </w:tc>
        <w:tc>
          <w:tcPr>
            <w:tcW w:w="1026" w:type="dxa"/>
            <w:noWrap/>
            <w:hideMark/>
          </w:tcPr>
          <w:p w:rsidR="008F1948"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133.80</w:t>
            </w:r>
          </w:p>
        </w:tc>
        <w:tc>
          <w:tcPr>
            <w:tcW w:w="1192" w:type="dxa"/>
            <w:noWrap/>
            <w:vAlign w:val="top"/>
            <w:hideMark/>
          </w:tcPr>
          <w:p w:rsidR="008F1948"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rsidRPr="00BE001A">
              <w:t>-6.0</w:t>
            </w:r>
          </w:p>
        </w:tc>
      </w:tr>
      <w:tr w:rsidR="008F1948" w:rsidRPr="00195D8B" w:rsidTr="00F92C29">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8F1948" w:rsidRPr="00195D8B" w:rsidRDefault="008F1948" w:rsidP="00C65A0E">
            <w:pPr>
              <w:pStyle w:val="AERtabletextleft"/>
            </w:pPr>
            <w:r w:rsidRPr="00195D8B">
              <w:t>Rectification of illegal connections</w:t>
            </w:r>
          </w:p>
        </w:tc>
        <w:tc>
          <w:tcPr>
            <w:tcW w:w="1381"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n/a</w:t>
            </w:r>
          </w:p>
        </w:tc>
        <w:tc>
          <w:tcPr>
            <w:tcW w:w="1608"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569.25</w:t>
            </w:r>
          </w:p>
        </w:tc>
        <w:tc>
          <w:tcPr>
            <w:tcW w:w="1026" w:type="dxa"/>
            <w:noWrap/>
            <w:hideMark/>
          </w:tcPr>
          <w:p w:rsidR="008F1948"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535.20</w:t>
            </w:r>
          </w:p>
        </w:tc>
        <w:tc>
          <w:tcPr>
            <w:tcW w:w="1192" w:type="dxa"/>
            <w:noWrap/>
            <w:vAlign w:val="top"/>
            <w:hideMark/>
          </w:tcPr>
          <w:p w:rsidR="008F1948"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rsidRPr="00BE001A">
              <w:t>-6.0</w:t>
            </w: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993461" w:rsidRPr="00195D8B" w:rsidRDefault="00993461" w:rsidP="00C65A0E">
            <w:pPr>
              <w:pStyle w:val="AERtabletextleft"/>
            </w:pPr>
          </w:p>
        </w:tc>
        <w:tc>
          <w:tcPr>
            <w:tcW w:w="1643" w:type="dxa"/>
            <w:noWrap/>
            <w:hideMark/>
          </w:tcPr>
          <w:p w:rsidR="00993461" w:rsidRPr="00195D8B" w:rsidRDefault="00993461"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1642" w:type="dxa"/>
            <w:noWrap/>
            <w:hideMark/>
          </w:tcPr>
          <w:p w:rsidR="00993461" w:rsidRPr="00195D8B" w:rsidRDefault="00993461"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888" w:type="dxa"/>
            <w:noWrap/>
            <w:hideMark/>
          </w:tcPr>
          <w:p w:rsidR="00993461" w:rsidRPr="00195D8B" w:rsidRDefault="00993461"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rPr>
                <w:i/>
                <w:iCs/>
              </w:rPr>
            </w:pPr>
            <w:r w:rsidRPr="00195D8B">
              <w:rPr>
                <w:i/>
                <w:iCs/>
              </w:rPr>
              <w:t>Meter Test Fee - Per Request</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n/a</w:t>
            </w: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607.33</w:t>
            </w: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401.39</w:t>
            </w:r>
          </w:p>
        </w:tc>
        <w:tc>
          <w:tcPr>
            <w:tcW w:w="1192" w:type="dxa"/>
            <w:noWrap/>
            <w:hideMark/>
          </w:tcPr>
          <w:p w:rsidR="00993461"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t>-33.9</w:t>
            </w: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993461" w:rsidRPr="00195D8B" w:rsidRDefault="00993461" w:rsidP="00C65A0E">
            <w:pPr>
              <w:pStyle w:val="AERtabletextleft"/>
            </w:pPr>
          </w:p>
        </w:tc>
        <w:tc>
          <w:tcPr>
            <w:tcW w:w="1643" w:type="dxa"/>
            <w:noWrap/>
            <w:hideMark/>
          </w:tcPr>
          <w:p w:rsidR="00993461" w:rsidRPr="00195D8B" w:rsidRDefault="00993461"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1642" w:type="dxa"/>
            <w:noWrap/>
            <w:hideMark/>
          </w:tcPr>
          <w:p w:rsidR="00993461" w:rsidRPr="00195D8B" w:rsidRDefault="00993461"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888" w:type="dxa"/>
            <w:noWrap/>
            <w:hideMark/>
          </w:tcPr>
          <w:p w:rsidR="00993461" w:rsidRPr="00195D8B" w:rsidRDefault="00993461" w:rsidP="00C65A0E">
            <w:pPr>
              <w:pStyle w:val="AERtabletextleft"/>
              <w:cnfStyle w:val="000000000000" w:firstRow="0" w:lastRow="0" w:firstColumn="0" w:lastColumn="0" w:oddVBand="0" w:evenVBand="0" w:oddHBand="0" w:evenHBand="0"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rPr>
                <w:i/>
                <w:iCs/>
              </w:rPr>
            </w:pPr>
            <w:r w:rsidRPr="00195D8B">
              <w:rPr>
                <w:i/>
                <w:iCs/>
              </w:rPr>
              <w:t>Reconnections / Disconnections</w:t>
            </w:r>
            <w:r w:rsidR="009B1503">
              <w:rPr>
                <w:i/>
                <w:iCs/>
              </w:rPr>
              <w:t xml:space="preserve"> </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pPr>
            <w:r w:rsidRPr="00195D8B">
              <w:t>Disconnections (Meter Box) - Includes Reconnection</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Disco</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n/a</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208.68</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63.94</w:t>
            </w:r>
          </w:p>
        </w:tc>
        <w:tc>
          <w:tcPr>
            <w:tcW w:w="1192" w:type="dxa"/>
            <w:noWrap/>
            <w:hideMark/>
          </w:tcPr>
          <w:p w:rsidR="00993461"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t>-69.4</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pPr>
            <w:r w:rsidRPr="00195D8B">
              <w:t>Disconnections (Meter Load Tail) - Includes Reconnection</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Disco</w:t>
            </w: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n/a</w:t>
            </w: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252.49</w:t>
            </w: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241.68</w:t>
            </w:r>
          </w:p>
        </w:tc>
        <w:tc>
          <w:tcPr>
            <w:tcW w:w="1192" w:type="dxa"/>
            <w:noWrap/>
            <w:hideMark/>
          </w:tcPr>
          <w:p w:rsidR="00993461"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t>-4.3</w:t>
            </w: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pPr>
            <w:r w:rsidRPr="00195D8B">
              <w:t>Reconnections/Disconnections (Site Visit))</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Visit</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n/a</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69.29</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69.29</w:t>
            </w:r>
          </w:p>
        </w:tc>
        <w:tc>
          <w:tcPr>
            <w:tcW w:w="1192" w:type="dxa"/>
            <w:noWrap/>
            <w:hideMark/>
          </w:tcPr>
          <w:p w:rsidR="00993461"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t>0.0</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pPr>
            <w:r w:rsidRPr="00195D8B">
              <w:t>Disconnections (Pole Top / Pillar Box) - Includes Reconnection</w:t>
            </w: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n/a</w:t>
            </w: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430.78</w:t>
            </w: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r w:rsidRPr="00195D8B">
              <w:t>417.96</w:t>
            </w:r>
          </w:p>
        </w:tc>
        <w:tc>
          <w:tcPr>
            <w:tcW w:w="1192" w:type="dxa"/>
            <w:noWrap/>
            <w:hideMark/>
          </w:tcPr>
          <w:p w:rsidR="00993461" w:rsidRPr="00195D8B" w:rsidRDefault="008F1948" w:rsidP="00F92C29">
            <w:pPr>
              <w:pStyle w:val="AERtabletextright"/>
              <w:cnfStyle w:val="000000010000" w:firstRow="0" w:lastRow="0" w:firstColumn="0" w:lastColumn="0" w:oddVBand="0" w:evenVBand="0" w:oddHBand="0" w:evenHBand="1" w:firstRowFirstColumn="0" w:firstRowLastColumn="0" w:lastRowFirstColumn="0" w:lastRowLastColumn="0"/>
            </w:pPr>
            <w:r>
              <w:t>-3.0</w:t>
            </w: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pPr>
            <w:r w:rsidRPr="00195D8B">
              <w:t>Disconnections at Pole Top / Pillar Box - Site Visit</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n/a</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183.87</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t>144.74</w:t>
            </w:r>
          </w:p>
        </w:tc>
        <w:tc>
          <w:tcPr>
            <w:tcW w:w="1192" w:type="dxa"/>
            <w:noWrap/>
            <w:hideMark/>
          </w:tcPr>
          <w:p w:rsidR="00993461"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t>-21.3</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993461" w:rsidRPr="00195D8B" w:rsidRDefault="00993461" w:rsidP="00C65A0E">
            <w:pPr>
              <w:pStyle w:val="AERtabletextleft"/>
            </w:pPr>
          </w:p>
        </w:tc>
        <w:tc>
          <w:tcPr>
            <w:tcW w:w="1643"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642"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888"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rPr>
                <w:i/>
                <w:iCs/>
              </w:rPr>
            </w:pPr>
            <w:r w:rsidRPr="00195D8B">
              <w:rPr>
                <w:i/>
                <w:iCs/>
              </w:rPr>
              <w:t>Network tariff change request</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new fee</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84.40</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t>0</w:t>
            </w:r>
          </w:p>
        </w:tc>
        <w:tc>
          <w:tcPr>
            <w:tcW w:w="119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t>This service is not approved</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993461" w:rsidRPr="00195D8B" w:rsidRDefault="00993461" w:rsidP="00C65A0E">
            <w:pPr>
              <w:pStyle w:val="AERtabletextleft"/>
            </w:pPr>
          </w:p>
        </w:tc>
        <w:tc>
          <w:tcPr>
            <w:tcW w:w="1643"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642"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888"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rPr>
                <w:i/>
                <w:iCs/>
              </w:rPr>
            </w:pPr>
            <w:r w:rsidRPr="00195D8B">
              <w:rPr>
                <w:i/>
                <w:iCs/>
              </w:rPr>
              <w:t>Special Meter Reads</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n/a</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33.77</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33.45 </w:t>
            </w:r>
          </w:p>
        </w:tc>
        <w:tc>
          <w:tcPr>
            <w:tcW w:w="1192" w:type="dxa"/>
            <w:noWrap/>
            <w:hideMark/>
          </w:tcPr>
          <w:p w:rsidR="00993461"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t>-1.0</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993461" w:rsidRPr="00195D8B" w:rsidRDefault="00993461" w:rsidP="00C65A0E">
            <w:pPr>
              <w:pStyle w:val="AERtabletextleft"/>
            </w:pPr>
          </w:p>
        </w:tc>
        <w:tc>
          <w:tcPr>
            <w:tcW w:w="1643"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642"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888"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rPr>
                <w:i/>
                <w:iCs/>
              </w:rPr>
            </w:pPr>
            <w:r w:rsidRPr="00195D8B">
              <w:rPr>
                <w:i/>
                <w:iCs/>
              </w:rPr>
              <w:t>Move in move out meter reads</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new fee</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33.77</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t>33.45</w:t>
            </w:r>
          </w:p>
        </w:tc>
        <w:tc>
          <w:tcPr>
            <w:tcW w:w="119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t>-</w:t>
            </w:r>
            <w:r w:rsidR="008F1948">
              <w:t>1.0</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993461" w:rsidRPr="00195D8B" w:rsidRDefault="00993461" w:rsidP="00C65A0E">
            <w:pPr>
              <w:pStyle w:val="AERtabletextleft"/>
            </w:pPr>
          </w:p>
        </w:tc>
        <w:tc>
          <w:tcPr>
            <w:tcW w:w="1643"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642"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888"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rPr>
                <w:i/>
                <w:iCs/>
              </w:rPr>
            </w:pPr>
            <w:r w:rsidRPr="00195D8B">
              <w:rPr>
                <w:i/>
                <w:iCs/>
              </w:rPr>
              <w:t>Recovery of debt collection costs</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new fee</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22.15</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16.17 </w:t>
            </w:r>
          </w:p>
        </w:tc>
        <w:tc>
          <w:tcPr>
            <w:tcW w:w="1192" w:type="dxa"/>
            <w:noWrap/>
            <w:hideMark/>
          </w:tcPr>
          <w:p w:rsidR="00993461"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t>-27.0</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993461" w:rsidRPr="00195D8B" w:rsidRDefault="00993461" w:rsidP="00C65A0E">
            <w:pPr>
              <w:pStyle w:val="AERtabletextleft"/>
            </w:pPr>
          </w:p>
        </w:tc>
        <w:tc>
          <w:tcPr>
            <w:tcW w:w="1643"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642"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888"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rPr>
                <w:i/>
                <w:iCs/>
              </w:rPr>
            </w:pPr>
            <w:r w:rsidRPr="00195D8B">
              <w:rPr>
                <w:i/>
                <w:iCs/>
              </w:rPr>
              <w:t>Type 5-7 Non Standard Meter data Services</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new fee</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26.21</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16.06 </w:t>
            </w:r>
          </w:p>
        </w:tc>
        <w:tc>
          <w:tcPr>
            <w:tcW w:w="1192" w:type="dxa"/>
            <w:noWrap/>
            <w:hideMark/>
          </w:tcPr>
          <w:p w:rsidR="00993461"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t>-38.7</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993461" w:rsidRPr="00195D8B" w:rsidRDefault="00993461" w:rsidP="00C65A0E">
            <w:pPr>
              <w:pStyle w:val="AERtabletextleft"/>
            </w:pPr>
          </w:p>
        </w:tc>
        <w:tc>
          <w:tcPr>
            <w:tcW w:w="1643"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642"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888"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rPr>
                <w:i/>
                <w:iCs/>
              </w:rPr>
            </w:pPr>
            <w:r w:rsidRPr="00195D8B">
              <w:rPr>
                <w:i/>
                <w:iCs/>
              </w:rPr>
              <w:t>Franchise CT Meter Install</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Fee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new fee</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577.40</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 xml:space="preserve">337.18 </w:t>
            </w:r>
          </w:p>
        </w:tc>
        <w:tc>
          <w:tcPr>
            <w:tcW w:w="1192" w:type="dxa"/>
            <w:noWrap/>
            <w:hideMark/>
          </w:tcPr>
          <w:p w:rsidR="00993461" w:rsidRPr="00195D8B" w:rsidRDefault="008F1948" w:rsidP="00F92C29">
            <w:pPr>
              <w:pStyle w:val="AERtabletextright"/>
              <w:cnfStyle w:val="000000000000" w:firstRow="0" w:lastRow="0" w:firstColumn="0" w:lastColumn="0" w:oddVBand="0" w:evenVBand="0" w:oddHBand="0" w:evenHBand="0" w:firstRowFirstColumn="0" w:firstRowLastColumn="0" w:lastRowFirstColumn="0" w:lastRowLastColumn="0"/>
            </w:pPr>
            <w:r>
              <w:t>-41.6</w:t>
            </w: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993461" w:rsidRPr="00195D8B" w:rsidRDefault="00993461" w:rsidP="00C65A0E">
            <w:pPr>
              <w:pStyle w:val="AERtabletextleft"/>
            </w:pPr>
          </w:p>
        </w:tc>
        <w:tc>
          <w:tcPr>
            <w:tcW w:w="1643"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642"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888"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rPr>
                <w:i/>
                <w:iCs/>
              </w:rPr>
            </w:pPr>
            <w:r w:rsidRPr="00195D8B">
              <w:rPr>
                <w:i/>
                <w:iCs/>
              </w:rPr>
              <w:t>ROLR</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n/a</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t>Quote</w:t>
            </w:r>
          </w:p>
        </w:tc>
        <w:tc>
          <w:tcPr>
            <w:tcW w:w="119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p>
        </w:tc>
      </w:tr>
      <w:tr w:rsidR="00993461" w:rsidRPr="00195D8B" w:rsidTr="0090530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642" w:type="dxa"/>
            <w:noWrap/>
            <w:hideMark/>
          </w:tcPr>
          <w:p w:rsidR="00993461" w:rsidRPr="00195D8B" w:rsidRDefault="00993461" w:rsidP="00C65A0E">
            <w:pPr>
              <w:pStyle w:val="AERtabletextleft"/>
            </w:pPr>
          </w:p>
        </w:tc>
        <w:tc>
          <w:tcPr>
            <w:tcW w:w="1643"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642"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888" w:type="dxa"/>
            <w:noWrap/>
            <w:hideMark/>
          </w:tcPr>
          <w:p w:rsidR="00993461" w:rsidRPr="00195D8B" w:rsidRDefault="00993461" w:rsidP="00C65A0E">
            <w:pPr>
              <w:pStyle w:val="AERtabletextleft"/>
              <w:cnfStyle w:val="000000010000" w:firstRow="0" w:lastRow="0" w:firstColumn="0" w:lastColumn="0" w:oddVBand="0" w:evenVBand="0" w:oddHBand="0" w:evenHBand="1" w:firstRowFirstColumn="0" w:firstRowLastColumn="0" w:lastRowFirstColumn="0" w:lastRowLastColumn="0"/>
            </w:pPr>
          </w:p>
        </w:tc>
        <w:tc>
          <w:tcPr>
            <w:tcW w:w="1381"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93"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rPr>
                <w:b/>
              </w:rPr>
            </w:pPr>
          </w:p>
        </w:tc>
        <w:tc>
          <w:tcPr>
            <w:tcW w:w="102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608"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026"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c>
          <w:tcPr>
            <w:tcW w:w="1192" w:type="dxa"/>
            <w:noWrap/>
            <w:hideMark/>
          </w:tcPr>
          <w:p w:rsidR="00993461" w:rsidRPr="00195D8B" w:rsidRDefault="00993461" w:rsidP="00F92C29">
            <w:pPr>
              <w:pStyle w:val="AERtabletextright"/>
              <w:cnfStyle w:val="000000010000" w:firstRow="0" w:lastRow="0" w:firstColumn="0" w:lastColumn="0" w:oddVBand="0" w:evenVBand="0" w:oddHBand="0" w:evenHBand="1" w:firstRowFirstColumn="0" w:firstRowLastColumn="0" w:lastRowFirstColumn="0" w:lastRowLastColumn="0"/>
            </w:pPr>
          </w:p>
        </w:tc>
      </w:tr>
      <w:tr w:rsidR="00993461" w:rsidRPr="00195D8B" w:rsidTr="0090530B">
        <w:trPr>
          <w:trHeight w:val="300"/>
        </w:trPr>
        <w:tc>
          <w:tcPr>
            <w:cnfStyle w:val="001000000000" w:firstRow="0" w:lastRow="0" w:firstColumn="1" w:lastColumn="0" w:oddVBand="0" w:evenVBand="0" w:oddHBand="0" w:evenHBand="0" w:firstRowFirstColumn="0" w:firstRowLastColumn="0" w:lastRowFirstColumn="0" w:lastRowLastColumn="0"/>
            <w:tcW w:w="5815" w:type="dxa"/>
            <w:gridSpan w:val="4"/>
            <w:hideMark/>
          </w:tcPr>
          <w:p w:rsidR="00993461" w:rsidRPr="00195D8B" w:rsidRDefault="00993461" w:rsidP="00C65A0E">
            <w:pPr>
              <w:pStyle w:val="AERtabletextleft"/>
              <w:rPr>
                <w:i/>
                <w:iCs/>
              </w:rPr>
            </w:pPr>
            <w:r w:rsidRPr="00195D8B">
              <w:rPr>
                <w:i/>
                <w:iCs/>
              </w:rPr>
              <w:t>Reconnections outside normal business hours</w:t>
            </w:r>
          </w:p>
        </w:tc>
        <w:tc>
          <w:tcPr>
            <w:tcW w:w="1381"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Per Job</w:t>
            </w:r>
          </w:p>
        </w:tc>
        <w:tc>
          <w:tcPr>
            <w:tcW w:w="1093"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Quote</w:t>
            </w:r>
          </w:p>
        </w:tc>
        <w:tc>
          <w:tcPr>
            <w:tcW w:w="102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n/a</w:t>
            </w:r>
          </w:p>
        </w:tc>
        <w:tc>
          <w:tcPr>
            <w:tcW w:w="1608"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rsidRPr="00195D8B">
              <w:t>78.25</w:t>
            </w:r>
          </w:p>
        </w:tc>
        <w:tc>
          <w:tcPr>
            <w:tcW w:w="1026"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t>78.25</w:t>
            </w:r>
          </w:p>
        </w:tc>
        <w:tc>
          <w:tcPr>
            <w:tcW w:w="1192" w:type="dxa"/>
            <w:noWrap/>
            <w:hideMark/>
          </w:tcPr>
          <w:p w:rsidR="00993461" w:rsidRPr="00195D8B"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t>0</w:t>
            </w:r>
            <w:r w:rsidR="008F1948">
              <w:t>.0</w:t>
            </w:r>
            <w:r>
              <w:t>%</w:t>
            </w:r>
          </w:p>
        </w:tc>
      </w:tr>
    </w:tbl>
    <w:p w:rsidR="00736A34" w:rsidRDefault="00736A34" w:rsidP="0069721B">
      <w:pPr>
        <w:pStyle w:val="AERtablesource"/>
      </w:pPr>
      <w:r>
        <w:t xml:space="preserve">Source: </w:t>
      </w:r>
      <w:r w:rsidR="0069721B">
        <w:t>AER analysis, Marsden Jacob.</w:t>
      </w:r>
    </w:p>
    <w:p w:rsidR="00993461" w:rsidRDefault="00993461" w:rsidP="00993461">
      <w:pPr>
        <w:pStyle w:val="AERtablesource"/>
      </w:pPr>
    </w:p>
    <w:p w:rsidR="00F92C29" w:rsidRDefault="00F92C29" w:rsidP="00F92C29">
      <w:pPr>
        <w:pStyle w:val="Caption"/>
        <w:rPr>
          <w:rStyle w:val="AERbody"/>
        </w:rPr>
      </w:pPr>
      <w:r>
        <w:t xml:space="preserve">Table </w:t>
      </w:r>
      <w:r w:rsidR="004667DE">
        <w:fldChar w:fldCharType="begin"/>
      </w:r>
      <w:r w:rsidR="004667DE">
        <w:instrText xml:space="preserve"> STYLEREF 1 \s </w:instrText>
      </w:r>
      <w:r w:rsidR="004667DE">
        <w:fldChar w:fldCharType="separate"/>
      </w:r>
      <w:r w:rsidR="003E262F">
        <w:rPr>
          <w:noProof/>
        </w:rPr>
        <w:t>16</w:t>
      </w:r>
      <w:r w:rsidR="004667DE">
        <w:rPr>
          <w:noProof/>
        </w:rPr>
        <w:fldChar w:fldCharType="end"/>
      </w:r>
      <w:r w:rsidR="003E262F">
        <w:noBreakHyphen/>
      </w:r>
      <w:r w:rsidR="004667DE">
        <w:fldChar w:fldCharType="begin"/>
      </w:r>
      <w:r w:rsidR="004667DE">
        <w:instrText xml:space="preserve"> SEQ Table \* ARABIC \s 1 </w:instrText>
      </w:r>
      <w:r w:rsidR="004667DE">
        <w:fldChar w:fldCharType="separate"/>
      </w:r>
      <w:r w:rsidR="003E262F">
        <w:rPr>
          <w:noProof/>
        </w:rPr>
        <w:t>21</w:t>
      </w:r>
      <w:r w:rsidR="004667DE">
        <w:rPr>
          <w:noProof/>
        </w:rPr>
        <w:fldChar w:fldCharType="end"/>
      </w:r>
      <w:r>
        <w:t xml:space="preserve"> </w:t>
      </w:r>
      <w:r w:rsidRPr="00275D4C">
        <w:rPr>
          <w:rStyle w:val="AERbody"/>
        </w:rPr>
        <w:t xml:space="preserve">AER maximum hourly </w:t>
      </w:r>
      <w:r w:rsidR="00C66805">
        <w:rPr>
          <w:rStyle w:val="AERbody"/>
        </w:rPr>
        <w:t>$</w:t>
      </w:r>
      <w:r w:rsidRPr="00275D4C">
        <w:rPr>
          <w:rStyle w:val="AERbody"/>
        </w:rPr>
        <w:t>2014–15 labour rates (including on-costs and overhead) for quoted services</w:t>
      </w:r>
    </w:p>
    <w:tbl>
      <w:tblPr>
        <w:tblStyle w:val="AERtable-numbers"/>
        <w:tblW w:w="0" w:type="auto"/>
        <w:tblLook w:val="04A0" w:firstRow="1" w:lastRow="0" w:firstColumn="1" w:lastColumn="0" w:noHBand="0" w:noVBand="1"/>
      </w:tblPr>
      <w:tblGrid>
        <w:gridCol w:w="4092"/>
        <w:gridCol w:w="9057"/>
      </w:tblGrid>
      <w:tr w:rsidR="00C66805" w:rsidTr="00736A3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092" w:type="dxa"/>
          </w:tcPr>
          <w:p w:rsidR="00C66805" w:rsidRPr="00AA7FCC" w:rsidRDefault="00C66805" w:rsidP="007848A6">
            <w:pPr>
              <w:pStyle w:val="AERtabletextleft"/>
            </w:pPr>
            <w:r w:rsidRPr="00AA7FCC">
              <w:t>Classification</w:t>
            </w:r>
          </w:p>
        </w:tc>
        <w:tc>
          <w:tcPr>
            <w:tcW w:w="9057" w:type="dxa"/>
          </w:tcPr>
          <w:p w:rsidR="00C66805" w:rsidRPr="00760327" w:rsidRDefault="00C66805" w:rsidP="00C66805">
            <w:pPr>
              <w:pStyle w:val="AERtabletextright"/>
              <w:cnfStyle w:val="100000000000" w:firstRow="1" w:lastRow="0" w:firstColumn="0" w:lastColumn="0" w:oddVBand="0" w:evenVBand="0" w:oddHBand="0" w:evenHBand="0" w:firstRowFirstColumn="0" w:firstRowLastColumn="0" w:lastRowFirstColumn="0" w:lastRowLastColumn="0"/>
            </w:pPr>
            <w:r w:rsidRPr="006C1FDB">
              <w:t xml:space="preserve">AER Draft Decision maximum labour rate - includes </w:t>
            </w:r>
            <w:r>
              <w:t xml:space="preserve">on-cost and </w:t>
            </w:r>
            <w:r w:rsidRPr="006C1FDB">
              <w:t xml:space="preserve">overhead </w:t>
            </w:r>
          </w:p>
        </w:tc>
      </w:tr>
      <w:tr w:rsidR="00C66805" w:rsidTr="00736A34">
        <w:tc>
          <w:tcPr>
            <w:cnfStyle w:val="001000000000" w:firstRow="0" w:lastRow="0" w:firstColumn="1" w:lastColumn="0" w:oddVBand="0" w:evenVBand="0" w:oddHBand="0" w:evenHBand="0" w:firstRowFirstColumn="0" w:firstRowLastColumn="0" w:lastRowFirstColumn="0" w:lastRowLastColumn="0"/>
            <w:tcW w:w="4092" w:type="dxa"/>
          </w:tcPr>
          <w:p w:rsidR="00C66805" w:rsidRPr="00AA7FCC" w:rsidRDefault="00C66805" w:rsidP="007848A6">
            <w:pPr>
              <w:pStyle w:val="AERtabletextleft"/>
            </w:pPr>
            <w:r>
              <w:t>Admin</w:t>
            </w:r>
          </w:p>
        </w:tc>
        <w:tc>
          <w:tcPr>
            <w:tcW w:w="9057" w:type="dxa"/>
          </w:tcPr>
          <w:p w:rsidR="00C66805" w:rsidRPr="00C66805" w:rsidRDefault="00C66805" w:rsidP="00F92C29">
            <w:pPr>
              <w:pStyle w:val="AERtabletextright"/>
              <w:cnfStyle w:val="000000000000" w:firstRow="0" w:lastRow="0" w:firstColumn="0" w:lastColumn="0" w:oddVBand="0" w:evenVBand="0" w:oddHBand="0" w:evenHBand="0" w:firstRowFirstColumn="0" w:firstRowLastColumn="0" w:lastRowFirstColumn="0" w:lastRowLastColumn="0"/>
              <w:rPr>
                <w:rStyle w:val="AERtextbold"/>
                <w:b w:val="0"/>
              </w:rPr>
            </w:pPr>
            <w:r w:rsidRPr="00C66805">
              <w:rPr>
                <w:rStyle w:val="AERtextbold"/>
                <w:b w:val="0"/>
              </w:rPr>
              <w:t>88.98</w:t>
            </w:r>
          </w:p>
        </w:tc>
      </w:tr>
      <w:tr w:rsidR="00C66805" w:rsidTr="00736A3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092" w:type="dxa"/>
          </w:tcPr>
          <w:p w:rsidR="00C66805" w:rsidRPr="00AA7FCC" w:rsidRDefault="00C66805" w:rsidP="007848A6">
            <w:pPr>
              <w:pStyle w:val="AERtabletextleft"/>
            </w:pPr>
            <w:r>
              <w:t>Technical specialist</w:t>
            </w:r>
          </w:p>
        </w:tc>
        <w:tc>
          <w:tcPr>
            <w:tcW w:w="9057" w:type="dxa"/>
          </w:tcPr>
          <w:p w:rsidR="00C66805" w:rsidRPr="00C66805" w:rsidRDefault="00C66805" w:rsidP="00F92C29">
            <w:pPr>
              <w:pStyle w:val="AERtabletextright"/>
              <w:cnfStyle w:val="000000010000" w:firstRow="0" w:lastRow="0" w:firstColumn="0" w:lastColumn="0" w:oddVBand="0" w:evenVBand="0" w:oddHBand="0" w:evenHBand="1" w:firstRowFirstColumn="0" w:firstRowLastColumn="0" w:lastRowFirstColumn="0" w:lastRowLastColumn="0"/>
              <w:rPr>
                <w:rStyle w:val="AERtextbold"/>
                <w:b w:val="0"/>
              </w:rPr>
            </w:pPr>
            <w:r w:rsidRPr="00C66805">
              <w:rPr>
                <w:rStyle w:val="AERtextbold"/>
                <w:b w:val="0"/>
              </w:rPr>
              <w:t>142.49</w:t>
            </w:r>
          </w:p>
        </w:tc>
      </w:tr>
      <w:tr w:rsidR="00C66805" w:rsidTr="00736A34">
        <w:tc>
          <w:tcPr>
            <w:cnfStyle w:val="001000000000" w:firstRow="0" w:lastRow="0" w:firstColumn="1" w:lastColumn="0" w:oddVBand="0" w:evenVBand="0" w:oddHBand="0" w:evenHBand="0" w:firstRowFirstColumn="0" w:firstRowLastColumn="0" w:lastRowFirstColumn="0" w:lastRowLastColumn="0"/>
            <w:tcW w:w="4092" w:type="dxa"/>
          </w:tcPr>
          <w:p w:rsidR="00C66805" w:rsidRPr="00AA7FCC" w:rsidRDefault="00C66805" w:rsidP="007848A6">
            <w:pPr>
              <w:pStyle w:val="AERtabletextleft"/>
            </w:pPr>
            <w:r>
              <w:t>EO 7/Engineer</w:t>
            </w:r>
          </w:p>
        </w:tc>
        <w:tc>
          <w:tcPr>
            <w:tcW w:w="9057" w:type="dxa"/>
          </w:tcPr>
          <w:p w:rsidR="00C66805" w:rsidRPr="00C66805" w:rsidRDefault="00C66805" w:rsidP="00F92C29">
            <w:pPr>
              <w:pStyle w:val="AERtabletextright"/>
              <w:cnfStyle w:val="000000000000" w:firstRow="0" w:lastRow="0" w:firstColumn="0" w:lastColumn="0" w:oddVBand="0" w:evenVBand="0" w:oddHBand="0" w:evenHBand="0" w:firstRowFirstColumn="0" w:firstRowLastColumn="0" w:lastRowFirstColumn="0" w:lastRowLastColumn="0"/>
              <w:rPr>
                <w:rStyle w:val="AERtextbold"/>
                <w:b w:val="0"/>
              </w:rPr>
            </w:pPr>
            <w:r w:rsidRPr="00C66805">
              <w:rPr>
                <w:rStyle w:val="AERtextbold"/>
                <w:b w:val="0"/>
              </w:rPr>
              <w:t>165.75</w:t>
            </w:r>
          </w:p>
        </w:tc>
      </w:tr>
      <w:tr w:rsidR="00C66805" w:rsidTr="00736A3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092" w:type="dxa"/>
          </w:tcPr>
          <w:p w:rsidR="00C66805" w:rsidRPr="00AA7FCC" w:rsidRDefault="00C66805" w:rsidP="007848A6">
            <w:pPr>
              <w:pStyle w:val="AERtabletextleft"/>
            </w:pPr>
            <w:r>
              <w:t>Field worker R4</w:t>
            </w:r>
          </w:p>
        </w:tc>
        <w:tc>
          <w:tcPr>
            <w:tcW w:w="9057" w:type="dxa"/>
          </w:tcPr>
          <w:p w:rsidR="00C66805" w:rsidRPr="00C66805" w:rsidRDefault="00C66805" w:rsidP="00F92C29">
            <w:pPr>
              <w:pStyle w:val="AERtabletextright"/>
              <w:cnfStyle w:val="000000010000" w:firstRow="0" w:lastRow="0" w:firstColumn="0" w:lastColumn="0" w:oddVBand="0" w:evenVBand="0" w:oddHBand="0" w:evenHBand="1" w:firstRowFirstColumn="0" w:firstRowLastColumn="0" w:lastRowFirstColumn="0" w:lastRowLastColumn="0"/>
              <w:rPr>
                <w:rStyle w:val="AERtextbold"/>
                <w:b w:val="0"/>
              </w:rPr>
            </w:pPr>
            <w:r w:rsidRPr="00C66805">
              <w:rPr>
                <w:rStyle w:val="AERtextbold"/>
                <w:b w:val="0"/>
              </w:rPr>
              <w:t>112.65</w:t>
            </w:r>
          </w:p>
        </w:tc>
      </w:tr>
      <w:tr w:rsidR="00C66805" w:rsidTr="00736A34">
        <w:tc>
          <w:tcPr>
            <w:cnfStyle w:val="001000000000" w:firstRow="0" w:lastRow="0" w:firstColumn="1" w:lastColumn="0" w:oddVBand="0" w:evenVBand="0" w:oddHBand="0" w:evenHBand="0" w:firstRowFirstColumn="0" w:firstRowLastColumn="0" w:lastRowFirstColumn="0" w:lastRowLastColumn="0"/>
            <w:tcW w:w="4092" w:type="dxa"/>
          </w:tcPr>
          <w:p w:rsidR="00C66805" w:rsidRPr="00AA7FCC" w:rsidRDefault="00C66805" w:rsidP="007848A6">
            <w:pPr>
              <w:pStyle w:val="AERtabletextleft"/>
            </w:pPr>
            <w:r>
              <w:t>Senior Engineer</w:t>
            </w:r>
          </w:p>
        </w:tc>
        <w:tc>
          <w:tcPr>
            <w:tcW w:w="9057" w:type="dxa"/>
          </w:tcPr>
          <w:p w:rsidR="00C66805" w:rsidRPr="00C66805" w:rsidRDefault="00C66805" w:rsidP="00F92C29">
            <w:pPr>
              <w:pStyle w:val="AERtabletextright"/>
              <w:cnfStyle w:val="000000000000" w:firstRow="0" w:lastRow="0" w:firstColumn="0" w:lastColumn="0" w:oddVBand="0" w:evenVBand="0" w:oddHBand="0" w:evenHBand="0" w:firstRowFirstColumn="0" w:firstRowLastColumn="0" w:lastRowFirstColumn="0" w:lastRowLastColumn="0"/>
              <w:rPr>
                <w:rStyle w:val="AERtextbold"/>
                <w:b w:val="0"/>
              </w:rPr>
            </w:pPr>
            <w:r w:rsidRPr="00C66805">
              <w:rPr>
                <w:rStyle w:val="AERtextbold"/>
                <w:b w:val="0"/>
              </w:rPr>
              <w:t>169.40</w:t>
            </w:r>
          </w:p>
        </w:tc>
      </w:tr>
    </w:tbl>
    <w:p w:rsidR="00993461" w:rsidRDefault="00C66805" w:rsidP="00993461">
      <w:pPr>
        <w:pStyle w:val="AERtablesource"/>
      </w:pPr>
      <w:r>
        <w:t>Source: Marsden Jacob.</w:t>
      </w:r>
    </w:p>
    <w:p w:rsidR="00F92C29" w:rsidRDefault="00F92C29" w:rsidP="00F92C29">
      <w:pPr>
        <w:pStyle w:val="Caption"/>
      </w:pPr>
      <w:r>
        <w:t xml:space="preserve">Table </w:t>
      </w:r>
      <w:r w:rsidR="004667DE">
        <w:fldChar w:fldCharType="begin"/>
      </w:r>
      <w:r w:rsidR="004667DE">
        <w:instrText xml:space="preserve"> STYLEREF 1 \s </w:instrText>
      </w:r>
      <w:r w:rsidR="004667DE">
        <w:fldChar w:fldCharType="separate"/>
      </w:r>
      <w:r w:rsidR="003E262F">
        <w:rPr>
          <w:noProof/>
        </w:rPr>
        <w:t>16</w:t>
      </w:r>
      <w:r w:rsidR="004667DE">
        <w:rPr>
          <w:noProof/>
        </w:rPr>
        <w:fldChar w:fldCharType="end"/>
      </w:r>
      <w:r w:rsidR="003E262F">
        <w:noBreakHyphen/>
      </w:r>
      <w:r w:rsidR="004667DE">
        <w:fldChar w:fldCharType="begin"/>
      </w:r>
      <w:r w:rsidR="004667DE">
        <w:instrText xml:space="preserve"> SEQ Table \* ARABIC \s 1 </w:instrText>
      </w:r>
      <w:r w:rsidR="004667DE">
        <w:fldChar w:fldCharType="separate"/>
      </w:r>
      <w:r w:rsidR="003E262F">
        <w:rPr>
          <w:noProof/>
        </w:rPr>
        <w:t>22</w:t>
      </w:r>
      <w:r w:rsidR="004667DE">
        <w:rPr>
          <w:noProof/>
        </w:rPr>
        <w:fldChar w:fldCharType="end"/>
      </w:r>
      <w:r>
        <w:t xml:space="preserve"> AER draft decision on X factors for each year of the regulatory control period for</w:t>
      </w:r>
      <w:r w:rsidR="00C66805">
        <w:t xml:space="preserve"> ancillary</w:t>
      </w:r>
      <w:r>
        <w:t xml:space="preserve"> network services (percentage)</w:t>
      </w:r>
    </w:p>
    <w:tbl>
      <w:tblPr>
        <w:tblStyle w:val="AERtable-numbers"/>
        <w:tblW w:w="13149" w:type="dxa"/>
        <w:tblLayout w:type="fixed"/>
        <w:tblLook w:val="04A0" w:firstRow="1" w:lastRow="0" w:firstColumn="1" w:lastColumn="0" w:noHBand="0" w:noVBand="1"/>
      </w:tblPr>
      <w:tblGrid>
        <w:gridCol w:w="2180"/>
        <w:gridCol w:w="2742"/>
        <w:gridCol w:w="2742"/>
        <w:gridCol w:w="2742"/>
        <w:gridCol w:w="2743"/>
      </w:tblGrid>
      <w:tr w:rsidR="00993461" w:rsidTr="00736A34">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180" w:type="dxa"/>
            <w:noWrap/>
            <w:hideMark/>
          </w:tcPr>
          <w:p w:rsidR="00993461" w:rsidRPr="00A57F7F" w:rsidRDefault="00993461" w:rsidP="007848A6">
            <w:pPr>
              <w:pStyle w:val="AERtabletextleft"/>
            </w:pPr>
            <w:r w:rsidRPr="00A57F7F">
              <w:t> </w:t>
            </w:r>
          </w:p>
        </w:tc>
        <w:tc>
          <w:tcPr>
            <w:tcW w:w="2742" w:type="dxa"/>
            <w:hideMark/>
          </w:tcPr>
          <w:p w:rsidR="00993461" w:rsidRPr="00A57F7F" w:rsidRDefault="00993461" w:rsidP="00F92C29">
            <w:pPr>
              <w:pStyle w:val="AERtabletextright"/>
              <w:cnfStyle w:val="100000000000" w:firstRow="1" w:lastRow="0" w:firstColumn="0" w:lastColumn="0" w:oddVBand="0" w:evenVBand="0" w:oddHBand="0" w:evenHBand="0" w:firstRowFirstColumn="0" w:firstRowLastColumn="0" w:lastRowFirstColumn="0" w:lastRowLastColumn="0"/>
            </w:pPr>
            <w:r w:rsidRPr="00AB2D97">
              <w:t>2015–16</w:t>
            </w:r>
          </w:p>
        </w:tc>
        <w:tc>
          <w:tcPr>
            <w:tcW w:w="2742" w:type="dxa"/>
            <w:hideMark/>
          </w:tcPr>
          <w:p w:rsidR="00993461" w:rsidRPr="00A57F7F" w:rsidRDefault="00993461" w:rsidP="00F92C29">
            <w:pPr>
              <w:pStyle w:val="AERtabletextright"/>
              <w:cnfStyle w:val="100000000000" w:firstRow="1" w:lastRow="0" w:firstColumn="0" w:lastColumn="0" w:oddVBand="0" w:evenVBand="0" w:oddHBand="0" w:evenHBand="0" w:firstRowFirstColumn="0" w:firstRowLastColumn="0" w:lastRowFirstColumn="0" w:lastRowLastColumn="0"/>
            </w:pPr>
            <w:r w:rsidRPr="00AB2D97">
              <w:t>2016–17</w:t>
            </w:r>
          </w:p>
        </w:tc>
        <w:tc>
          <w:tcPr>
            <w:tcW w:w="2742" w:type="dxa"/>
            <w:hideMark/>
          </w:tcPr>
          <w:p w:rsidR="00993461" w:rsidRPr="00A57F7F" w:rsidRDefault="00993461" w:rsidP="00F92C29">
            <w:pPr>
              <w:pStyle w:val="AERtabletextright"/>
              <w:cnfStyle w:val="100000000000" w:firstRow="1" w:lastRow="0" w:firstColumn="0" w:lastColumn="0" w:oddVBand="0" w:evenVBand="0" w:oddHBand="0" w:evenHBand="0" w:firstRowFirstColumn="0" w:firstRowLastColumn="0" w:lastRowFirstColumn="0" w:lastRowLastColumn="0"/>
            </w:pPr>
            <w:r w:rsidRPr="00AB2D97">
              <w:t>2017–18</w:t>
            </w:r>
          </w:p>
        </w:tc>
        <w:tc>
          <w:tcPr>
            <w:tcW w:w="2743" w:type="dxa"/>
            <w:hideMark/>
          </w:tcPr>
          <w:p w:rsidR="00993461" w:rsidRPr="00A57F7F" w:rsidRDefault="00993461" w:rsidP="00F92C29">
            <w:pPr>
              <w:pStyle w:val="AERtabletextright"/>
              <w:cnfStyle w:val="100000000000" w:firstRow="1" w:lastRow="0" w:firstColumn="0" w:lastColumn="0" w:oddVBand="0" w:evenVBand="0" w:oddHBand="0" w:evenHBand="0" w:firstRowFirstColumn="0" w:firstRowLastColumn="0" w:lastRowFirstColumn="0" w:lastRowLastColumn="0"/>
            </w:pPr>
            <w:r w:rsidRPr="00AB2D97">
              <w:t>2018–19</w:t>
            </w:r>
          </w:p>
        </w:tc>
      </w:tr>
      <w:tr w:rsidR="00993461" w:rsidTr="00736A34">
        <w:trPr>
          <w:trHeight w:val="300"/>
        </w:trPr>
        <w:tc>
          <w:tcPr>
            <w:cnfStyle w:val="001000000000" w:firstRow="0" w:lastRow="0" w:firstColumn="1" w:lastColumn="0" w:oddVBand="0" w:evenVBand="0" w:oddHBand="0" w:evenHBand="0" w:firstRowFirstColumn="0" w:firstRowLastColumn="0" w:lastRowFirstColumn="0" w:lastRowLastColumn="0"/>
            <w:tcW w:w="2180" w:type="dxa"/>
            <w:noWrap/>
            <w:hideMark/>
          </w:tcPr>
          <w:p w:rsidR="00993461" w:rsidRPr="00A57F7F" w:rsidRDefault="00993461" w:rsidP="007848A6">
            <w:pPr>
              <w:pStyle w:val="AERtabletextleft"/>
            </w:pPr>
            <w:r>
              <w:t>X factor</w:t>
            </w:r>
          </w:p>
        </w:tc>
        <w:tc>
          <w:tcPr>
            <w:tcW w:w="2742" w:type="dxa"/>
            <w:noWrap/>
            <w:hideMark/>
          </w:tcPr>
          <w:p w:rsidR="00993461" w:rsidRPr="00A57F7F"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t>-</w:t>
            </w:r>
            <w:r w:rsidRPr="00AB2D97">
              <w:t>0.54</w:t>
            </w:r>
          </w:p>
        </w:tc>
        <w:tc>
          <w:tcPr>
            <w:tcW w:w="2742" w:type="dxa"/>
            <w:noWrap/>
            <w:hideMark/>
          </w:tcPr>
          <w:p w:rsidR="00993461" w:rsidRPr="00A57F7F"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t>-</w:t>
            </w:r>
            <w:r w:rsidRPr="00AB2D97">
              <w:t>0.87</w:t>
            </w:r>
          </w:p>
        </w:tc>
        <w:tc>
          <w:tcPr>
            <w:tcW w:w="2742" w:type="dxa"/>
            <w:noWrap/>
            <w:hideMark/>
          </w:tcPr>
          <w:p w:rsidR="00993461" w:rsidRPr="00A57F7F"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t>-</w:t>
            </w:r>
            <w:r w:rsidRPr="00AB2D97">
              <w:t>1.00</w:t>
            </w:r>
          </w:p>
        </w:tc>
        <w:tc>
          <w:tcPr>
            <w:tcW w:w="2743" w:type="dxa"/>
            <w:noWrap/>
            <w:hideMark/>
          </w:tcPr>
          <w:p w:rsidR="00993461" w:rsidRPr="00A57F7F" w:rsidRDefault="00993461" w:rsidP="00F92C29">
            <w:pPr>
              <w:pStyle w:val="AERtabletextright"/>
              <w:cnfStyle w:val="000000000000" w:firstRow="0" w:lastRow="0" w:firstColumn="0" w:lastColumn="0" w:oddVBand="0" w:evenVBand="0" w:oddHBand="0" w:evenHBand="0" w:firstRowFirstColumn="0" w:firstRowLastColumn="0" w:lastRowFirstColumn="0" w:lastRowLastColumn="0"/>
            </w:pPr>
            <w:r>
              <w:t>-</w:t>
            </w:r>
            <w:r w:rsidRPr="00AB2D97">
              <w:t>0.89</w:t>
            </w:r>
          </w:p>
        </w:tc>
      </w:tr>
    </w:tbl>
    <w:p w:rsidR="00143577" w:rsidRPr="00E06369" w:rsidRDefault="00993461" w:rsidP="00E06369">
      <w:pPr>
        <w:pStyle w:val="AERtablesource"/>
        <w:rPr>
          <w:rStyle w:val="AERbody"/>
          <w:sz w:val="16"/>
        </w:rPr>
      </w:pPr>
      <w:r w:rsidRPr="00FD5EB6">
        <w:rPr>
          <w:rStyle w:val="AERsuperscript"/>
          <w:vertAlign w:val="baseline"/>
        </w:rPr>
        <w:t>Note: these x factors are consistent with the AER draft decision on labour escalation factors as set out in Opex Attachment. By adopting the labour escalation rate as X factor we are allowing for increases in labour cost in addition to CPI over the next regulatory period.</w:t>
      </w:r>
    </w:p>
    <w:p w:rsidR="00143577" w:rsidRDefault="00143577">
      <w:pPr>
        <w:spacing w:after="0" w:line="240" w:lineRule="auto"/>
        <w:jc w:val="left"/>
        <w:rPr>
          <w:rStyle w:val="AERbody"/>
        </w:rPr>
      </w:pPr>
    </w:p>
    <w:p w:rsidR="00143577" w:rsidRDefault="00D45E64" w:rsidP="00D45E64">
      <w:pPr>
        <w:pStyle w:val="Heading9"/>
        <w:rPr>
          <w:rStyle w:val="AERbody"/>
          <w:color w:val="E36C0A"/>
          <w:sz w:val="24"/>
        </w:rPr>
      </w:pPr>
      <w:bookmarkStart w:id="79" w:name="_Ref403653144"/>
      <w:bookmarkStart w:id="80" w:name="_Toc404324974"/>
      <w:r w:rsidRPr="00D45E64">
        <w:rPr>
          <w:rStyle w:val="AERbody"/>
          <w:color w:val="E36C0A"/>
          <w:sz w:val="24"/>
        </w:rPr>
        <w:t>Metering Services</w:t>
      </w:r>
      <w:bookmarkEnd w:id="79"/>
      <w:bookmarkEnd w:id="80"/>
    </w:p>
    <w:p w:rsidR="0031432E" w:rsidRPr="000C1424" w:rsidRDefault="0031432E" w:rsidP="0031432E">
      <w:pPr>
        <w:pStyle w:val="Caption"/>
      </w:pPr>
      <w:r>
        <w:t xml:space="preserve">Table </w:t>
      </w:r>
      <w:r w:rsidR="004667DE">
        <w:fldChar w:fldCharType="begin"/>
      </w:r>
      <w:r w:rsidR="004667DE">
        <w:instrText xml:space="preserve"> STYLEREF 1 \s </w:instrText>
      </w:r>
      <w:r w:rsidR="004667DE">
        <w:fldChar w:fldCharType="separate"/>
      </w:r>
      <w:r w:rsidR="003E262F">
        <w:rPr>
          <w:noProof/>
        </w:rPr>
        <w:t>16</w:t>
      </w:r>
      <w:r w:rsidR="004667DE">
        <w:rPr>
          <w:noProof/>
        </w:rPr>
        <w:fldChar w:fldCharType="end"/>
      </w:r>
      <w:r w:rsidR="003E262F">
        <w:noBreakHyphen/>
      </w:r>
      <w:r w:rsidR="004667DE">
        <w:fldChar w:fldCharType="begin"/>
      </w:r>
      <w:r w:rsidR="004667DE">
        <w:instrText xml:space="preserve"> SEQ Table \* ARABIC \s 1 </w:instrText>
      </w:r>
      <w:r w:rsidR="004667DE">
        <w:fldChar w:fldCharType="separate"/>
      </w:r>
      <w:r w:rsidR="003E262F">
        <w:rPr>
          <w:noProof/>
        </w:rPr>
        <w:t>23</w:t>
      </w:r>
      <w:r w:rsidR="004667DE">
        <w:rPr>
          <w:noProof/>
        </w:rPr>
        <w:fldChar w:fldCharType="end"/>
      </w:r>
      <w:r>
        <w:tab/>
        <w:t xml:space="preserve">Endeavour Energy’s approved annual metering charges </w:t>
      </w:r>
      <w:r w:rsidR="00C66805">
        <w:t>($</w:t>
      </w:r>
      <w:r>
        <w:t>2014–15)</w:t>
      </w:r>
    </w:p>
    <w:tbl>
      <w:tblPr>
        <w:tblStyle w:val="AERtable-numbers"/>
        <w:tblW w:w="0" w:type="auto"/>
        <w:tblLook w:val="04A0" w:firstRow="1" w:lastRow="0" w:firstColumn="1" w:lastColumn="0" w:noHBand="0" w:noVBand="1"/>
      </w:tblPr>
      <w:tblGrid>
        <w:gridCol w:w="1540"/>
        <w:gridCol w:w="1540"/>
        <w:gridCol w:w="2557"/>
        <w:gridCol w:w="1842"/>
        <w:gridCol w:w="1701"/>
        <w:gridCol w:w="1843"/>
        <w:gridCol w:w="2126"/>
      </w:tblGrid>
      <w:tr w:rsidR="001E65C7" w:rsidTr="00736A34">
        <w:trPr>
          <w:cnfStyle w:val="100000000000" w:firstRow="1" w:lastRow="0" w:firstColumn="0" w:lastColumn="0" w:oddVBand="0" w:evenVBand="0" w:oddHBand="0" w:evenHBand="0" w:firstRowFirstColumn="0" w:firstRowLastColumn="0" w:lastRowFirstColumn="0" w:lastRowLastColumn="0"/>
          <w:trHeight w:val="265"/>
        </w:trPr>
        <w:tc>
          <w:tcPr>
            <w:cnfStyle w:val="001000000000" w:firstRow="0" w:lastRow="0" w:firstColumn="1" w:lastColumn="0" w:oddVBand="0" w:evenVBand="0" w:oddHBand="0" w:evenHBand="0" w:firstRowFirstColumn="0" w:firstRowLastColumn="0" w:lastRowFirstColumn="0" w:lastRowLastColumn="0"/>
            <w:tcW w:w="1540" w:type="dxa"/>
            <w:vMerge w:val="restart"/>
          </w:tcPr>
          <w:p w:rsidR="001E65C7" w:rsidRDefault="001E65C7" w:rsidP="009B1503">
            <w:pPr>
              <w:pStyle w:val="AERbodytext"/>
            </w:pPr>
          </w:p>
        </w:tc>
        <w:tc>
          <w:tcPr>
            <w:tcW w:w="1540" w:type="dxa"/>
          </w:tcPr>
          <w:p w:rsidR="001E65C7" w:rsidRDefault="001E65C7" w:rsidP="001E65C7">
            <w:pPr>
              <w:pStyle w:val="AERbodytext"/>
              <w:jc w:val="center"/>
              <w:cnfStyle w:val="100000000000" w:firstRow="1" w:lastRow="0" w:firstColumn="0" w:lastColumn="0" w:oddVBand="0" w:evenVBand="0" w:oddHBand="0" w:evenHBand="0" w:firstRowFirstColumn="0" w:firstRowLastColumn="0" w:lastRowFirstColumn="0" w:lastRowLastColumn="0"/>
            </w:pPr>
            <w:r>
              <w:t>Proposed</w:t>
            </w:r>
          </w:p>
        </w:tc>
        <w:tc>
          <w:tcPr>
            <w:tcW w:w="10069" w:type="dxa"/>
            <w:gridSpan w:val="5"/>
          </w:tcPr>
          <w:p w:rsidR="001E65C7" w:rsidRDefault="001E65C7" w:rsidP="001E65C7">
            <w:pPr>
              <w:pStyle w:val="AERbodytext"/>
              <w:jc w:val="center"/>
              <w:cnfStyle w:val="100000000000" w:firstRow="1" w:lastRow="0" w:firstColumn="0" w:lastColumn="0" w:oddVBand="0" w:evenVBand="0" w:oddHBand="0" w:evenHBand="0" w:firstRowFirstColumn="0" w:firstRowLastColumn="0" w:lastRowFirstColumn="0" w:lastRowLastColumn="0"/>
            </w:pPr>
            <w:r>
              <w:t>Draft decision</w:t>
            </w:r>
          </w:p>
        </w:tc>
      </w:tr>
      <w:tr w:rsidR="001E65C7" w:rsidTr="00736A34">
        <w:trPr>
          <w:trHeight w:val="265"/>
        </w:trPr>
        <w:tc>
          <w:tcPr>
            <w:cnfStyle w:val="001000000000" w:firstRow="0" w:lastRow="0" w:firstColumn="1" w:lastColumn="0" w:oddVBand="0" w:evenVBand="0" w:oddHBand="0" w:evenHBand="0" w:firstRowFirstColumn="0" w:firstRowLastColumn="0" w:lastRowFirstColumn="0" w:lastRowLastColumn="0"/>
            <w:tcW w:w="1540" w:type="dxa"/>
            <w:vMerge/>
            <w:shd w:val="clear" w:color="auto" w:fill="365F91"/>
          </w:tcPr>
          <w:p w:rsidR="001E65C7" w:rsidRDefault="001E65C7" w:rsidP="009B1503">
            <w:pPr>
              <w:pStyle w:val="AERbodytext"/>
            </w:pPr>
          </w:p>
        </w:tc>
        <w:tc>
          <w:tcPr>
            <w:tcW w:w="1540" w:type="dxa"/>
            <w:shd w:val="clear" w:color="auto" w:fill="365F91"/>
          </w:tcPr>
          <w:p w:rsidR="001E65C7" w:rsidRDefault="001E65C7" w:rsidP="009B1503">
            <w:pPr>
              <w:pStyle w:val="AERbodytext"/>
              <w:jc w:val="right"/>
              <w:cnfStyle w:val="000000000000" w:firstRow="0" w:lastRow="0" w:firstColumn="0" w:lastColumn="0" w:oddVBand="0" w:evenVBand="0" w:oddHBand="0" w:evenHBand="0" w:firstRowFirstColumn="0" w:firstRowLastColumn="0" w:lastRowFirstColumn="0" w:lastRowLastColumn="0"/>
            </w:pPr>
            <w:r w:rsidRPr="001E65C7">
              <w:rPr>
                <w:b/>
                <w:color w:val="FFFFFF"/>
              </w:rPr>
              <w:t>Average (2014-15 to 2018-19)</w:t>
            </w:r>
          </w:p>
        </w:tc>
        <w:tc>
          <w:tcPr>
            <w:tcW w:w="2557" w:type="dxa"/>
            <w:shd w:val="clear" w:color="auto" w:fill="365F91"/>
          </w:tcPr>
          <w:p w:rsidR="001E65C7" w:rsidRPr="001E65C7" w:rsidRDefault="001E65C7" w:rsidP="00177FA5">
            <w:pPr>
              <w:pStyle w:val="AERbodytext"/>
              <w:jc w:val="right"/>
              <w:cnfStyle w:val="000000000000" w:firstRow="0" w:lastRow="0" w:firstColumn="0" w:lastColumn="0" w:oddVBand="0" w:evenVBand="0" w:oddHBand="0" w:evenHBand="0" w:firstRowFirstColumn="0" w:firstRowLastColumn="0" w:lastRowFirstColumn="0" w:lastRowLastColumn="0"/>
              <w:rPr>
                <w:b/>
                <w:color w:val="FFFFFF"/>
              </w:rPr>
            </w:pPr>
            <w:r w:rsidRPr="001E65C7">
              <w:rPr>
                <w:b/>
                <w:color w:val="FFFFFF"/>
              </w:rPr>
              <w:t>2014–15</w:t>
            </w:r>
          </w:p>
        </w:tc>
        <w:tc>
          <w:tcPr>
            <w:tcW w:w="1842" w:type="dxa"/>
            <w:shd w:val="clear" w:color="auto" w:fill="365F91"/>
          </w:tcPr>
          <w:p w:rsidR="001E65C7" w:rsidRPr="001E65C7" w:rsidRDefault="001E65C7" w:rsidP="00177FA5">
            <w:pPr>
              <w:pStyle w:val="AERbodytext"/>
              <w:jc w:val="right"/>
              <w:cnfStyle w:val="000000000000" w:firstRow="0" w:lastRow="0" w:firstColumn="0" w:lastColumn="0" w:oddVBand="0" w:evenVBand="0" w:oddHBand="0" w:evenHBand="0" w:firstRowFirstColumn="0" w:firstRowLastColumn="0" w:lastRowFirstColumn="0" w:lastRowLastColumn="0"/>
              <w:rPr>
                <w:b/>
                <w:color w:val="FFFFFF"/>
              </w:rPr>
            </w:pPr>
            <w:r w:rsidRPr="001E65C7">
              <w:rPr>
                <w:b/>
                <w:color w:val="FFFFFF"/>
              </w:rPr>
              <w:t>2015–16</w:t>
            </w:r>
          </w:p>
        </w:tc>
        <w:tc>
          <w:tcPr>
            <w:tcW w:w="1701" w:type="dxa"/>
            <w:shd w:val="clear" w:color="auto" w:fill="365F91"/>
          </w:tcPr>
          <w:p w:rsidR="001E65C7" w:rsidRPr="001E65C7" w:rsidRDefault="001E65C7" w:rsidP="00177FA5">
            <w:pPr>
              <w:pStyle w:val="AERbodytext"/>
              <w:jc w:val="right"/>
              <w:cnfStyle w:val="000000000000" w:firstRow="0" w:lastRow="0" w:firstColumn="0" w:lastColumn="0" w:oddVBand="0" w:evenVBand="0" w:oddHBand="0" w:evenHBand="0" w:firstRowFirstColumn="0" w:firstRowLastColumn="0" w:lastRowFirstColumn="0" w:lastRowLastColumn="0"/>
              <w:rPr>
                <w:b/>
                <w:color w:val="FFFFFF"/>
              </w:rPr>
            </w:pPr>
            <w:r w:rsidRPr="001E65C7">
              <w:rPr>
                <w:b/>
                <w:color w:val="FFFFFF"/>
              </w:rPr>
              <w:t>2016–17</w:t>
            </w:r>
          </w:p>
        </w:tc>
        <w:tc>
          <w:tcPr>
            <w:tcW w:w="1843" w:type="dxa"/>
            <w:shd w:val="clear" w:color="auto" w:fill="365F91"/>
          </w:tcPr>
          <w:p w:rsidR="001E65C7" w:rsidRPr="001E65C7" w:rsidRDefault="001E65C7" w:rsidP="00177FA5">
            <w:pPr>
              <w:pStyle w:val="AERbodytext"/>
              <w:jc w:val="right"/>
              <w:cnfStyle w:val="000000000000" w:firstRow="0" w:lastRow="0" w:firstColumn="0" w:lastColumn="0" w:oddVBand="0" w:evenVBand="0" w:oddHBand="0" w:evenHBand="0" w:firstRowFirstColumn="0" w:firstRowLastColumn="0" w:lastRowFirstColumn="0" w:lastRowLastColumn="0"/>
              <w:rPr>
                <w:b/>
                <w:color w:val="FFFFFF"/>
              </w:rPr>
            </w:pPr>
            <w:r w:rsidRPr="001E65C7">
              <w:rPr>
                <w:b/>
                <w:color w:val="FFFFFF"/>
              </w:rPr>
              <w:t>2017–18</w:t>
            </w:r>
          </w:p>
        </w:tc>
        <w:tc>
          <w:tcPr>
            <w:tcW w:w="2126" w:type="dxa"/>
            <w:shd w:val="clear" w:color="auto" w:fill="365F91"/>
          </w:tcPr>
          <w:p w:rsidR="001E65C7" w:rsidRPr="001E65C7" w:rsidRDefault="001E65C7" w:rsidP="00177FA5">
            <w:pPr>
              <w:pStyle w:val="AERbodytext"/>
              <w:jc w:val="right"/>
              <w:cnfStyle w:val="000000000000" w:firstRow="0" w:lastRow="0" w:firstColumn="0" w:lastColumn="0" w:oddVBand="0" w:evenVBand="0" w:oddHBand="0" w:evenHBand="0" w:firstRowFirstColumn="0" w:firstRowLastColumn="0" w:lastRowFirstColumn="0" w:lastRowLastColumn="0"/>
              <w:rPr>
                <w:b/>
                <w:color w:val="FFFFFF"/>
              </w:rPr>
            </w:pPr>
            <w:r w:rsidRPr="001E65C7">
              <w:rPr>
                <w:b/>
                <w:color w:val="FFFFFF"/>
              </w:rPr>
              <w:t>2018–19</w:t>
            </w:r>
          </w:p>
        </w:tc>
      </w:tr>
      <w:tr w:rsidR="001E65C7" w:rsidRPr="00F52894" w:rsidTr="00736A3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40" w:type="dxa"/>
            <w:vAlign w:val="bottom"/>
          </w:tcPr>
          <w:p w:rsidR="001E65C7" w:rsidRPr="000C1424" w:rsidRDefault="001E65C7" w:rsidP="007848A6">
            <w:pPr>
              <w:pStyle w:val="AERtabletextleft"/>
            </w:pPr>
            <w:r w:rsidRPr="000C1424">
              <w:t>Residential Anytime</w:t>
            </w:r>
          </w:p>
        </w:tc>
        <w:tc>
          <w:tcPr>
            <w:tcW w:w="1540" w:type="dxa"/>
            <w:vAlign w:val="bottom"/>
          </w:tcPr>
          <w:p w:rsidR="001E65C7" w:rsidRPr="0031432E" w:rsidRDefault="001E65C7" w:rsidP="00177FA5">
            <w:pPr>
              <w:pStyle w:val="AERtabletextright"/>
              <w:cnfStyle w:val="000000010000" w:firstRow="0" w:lastRow="0" w:firstColumn="0" w:lastColumn="0" w:oddVBand="0" w:evenVBand="0" w:oddHBand="0" w:evenHBand="1" w:firstRowFirstColumn="0" w:firstRowLastColumn="0" w:lastRowFirstColumn="0" w:lastRowLastColumn="0"/>
            </w:pPr>
            <w:r w:rsidRPr="0031432E">
              <w:t>25.63</w:t>
            </w:r>
          </w:p>
        </w:tc>
        <w:tc>
          <w:tcPr>
            <w:tcW w:w="2557" w:type="dxa"/>
            <w:vAlign w:val="bottom"/>
          </w:tcPr>
          <w:p w:rsidR="001E65C7" w:rsidRPr="000C1424" w:rsidRDefault="001E65C7" w:rsidP="009B1503">
            <w:pPr>
              <w:jc w:val="right"/>
              <w:cnfStyle w:val="000000010000" w:firstRow="0" w:lastRow="0" w:firstColumn="0" w:lastColumn="0" w:oddVBand="0" w:evenVBand="0" w:oddHBand="0" w:evenHBand="1" w:firstRowFirstColumn="0" w:firstRowLastColumn="0" w:lastRowFirstColumn="0" w:lastRowLastColumn="0"/>
            </w:pPr>
            <w:r w:rsidRPr="000C1424">
              <w:t>13.92</w:t>
            </w:r>
          </w:p>
        </w:tc>
        <w:tc>
          <w:tcPr>
            <w:tcW w:w="1842" w:type="dxa"/>
            <w:vAlign w:val="bottom"/>
          </w:tcPr>
          <w:p w:rsidR="001E65C7" w:rsidRPr="000C1424" w:rsidRDefault="001E65C7" w:rsidP="009B1503">
            <w:pPr>
              <w:jc w:val="right"/>
              <w:cnfStyle w:val="000000010000" w:firstRow="0" w:lastRow="0" w:firstColumn="0" w:lastColumn="0" w:oddVBand="0" w:evenVBand="0" w:oddHBand="0" w:evenHBand="1" w:firstRowFirstColumn="0" w:firstRowLastColumn="0" w:lastRowFirstColumn="0" w:lastRowLastColumn="0"/>
            </w:pPr>
            <w:r w:rsidRPr="000C1424">
              <w:t>14.14</w:t>
            </w:r>
          </w:p>
        </w:tc>
        <w:tc>
          <w:tcPr>
            <w:tcW w:w="1701" w:type="dxa"/>
            <w:vAlign w:val="bottom"/>
          </w:tcPr>
          <w:p w:rsidR="001E65C7" w:rsidRPr="000C1424" w:rsidRDefault="001E65C7" w:rsidP="009B1503">
            <w:pPr>
              <w:jc w:val="right"/>
              <w:cnfStyle w:val="000000010000" w:firstRow="0" w:lastRow="0" w:firstColumn="0" w:lastColumn="0" w:oddVBand="0" w:evenVBand="0" w:oddHBand="0" w:evenHBand="1" w:firstRowFirstColumn="0" w:firstRowLastColumn="0" w:lastRowFirstColumn="0" w:lastRowLastColumn="0"/>
            </w:pPr>
            <w:r w:rsidRPr="000C1424">
              <w:t>13.91</w:t>
            </w:r>
          </w:p>
        </w:tc>
        <w:tc>
          <w:tcPr>
            <w:tcW w:w="1843" w:type="dxa"/>
            <w:vAlign w:val="bottom"/>
          </w:tcPr>
          <w:p w:rsidR="001E65C7" w:rsidRPr="000C1424" w:rsidRDefault="001E65C7" w:rsidP="009B1503">
            <w:pPr>
              <w:jc w:val="right"/>
              <w:cnfStyle w:val="000000010000" w:firstRow="0" w:lastRow="0" w:firstColumn="0" w:lastColumn="0" w:oddVBand="0" w:evenVBand="0" w:oddHBand="0" w:evenHBand="1" w:firstRowFirstColumn="0" w:firstRowLastColumn="0" w:lastRowFirstColumn="0" w:lastRowLastColumn="0"/>
            </w:pPr>
            <w:r w:rsidRPr="000C1424">
              <w:t>13.68</w:t>
            </w:r>
          </w:p>
        </w:tc>
        <w:tc>
          <w:tcPr>
            <w:tcW w:w="2126" w:type="dxa"/>
            <w:vAlign w:val="bottom"/>
          </w:tcPr>
          <w:p w:rsidR="001E65C7" w:rsidRPr="000C1424" w:rsidRDefault="001E65C7" w:rsidP="009B1503">
            <w:pPr>
              <w:jc w:val="right"/>
              <w:cnfStyle w:val="000000010000" w:firstRow="0" w:lastRow="0" w:firstColumn="0" w:lastColumn="0" w:oddVBand="0" w:evenVBand="0" w:oddHBand="0" w:evenHBand="1" w:firstRowFirstColumn="0" w:firstRowLastColumn="0" w:lastRowFirstColumn="0" w:lastRowLastColumn="0"/>
            </w:pPr>
            <w:r w:rsidRPr="000C1424">
              <w:t>13.45</w:t>
            </w:r>
          </w:p>
        </w:tc>
      </w:tr>
      <w:tr w:rsidR="001E65C7" w:rsidRPr="00F52894" w:rsidTr="00736A34">
        <w:tc>
          <w:tcPr>
            <w:cnfStyle w:val="001000000000" w:firstRow="0" w:lastRow="0" w:firstColumn="1" w:lastColumn="0" w:oddVBand="0" w:evenVBand="0" w:oddHBand="0" w:evenHBand="0" w:firstRowFirstColumn="0" w:firstRowLastColumn="0" w:lastRowFirstColumn="0" w:lastRowLastColumn="0"/>
            <w:tcW w:w="1540" w:type="dxa"/>
            <w:vAlign w:val="bottom"/>
          </w:tcPr>
          <w:p w:rsidR="001E65C7" w:rsidRPr="000C1424" w:rsidRDefault="001E65C7" w:rsidP="007848A6">
            <w:pPr>
              <w:pStyle w:val="AERtabletextleft"/>
            </w:pPr>
            <w:r w:rsidRPr="000C1424">
              <w:t>Residential TOU - Type 6 Meter</w:t>
            </w:r>
          </w:p>
        </w:tc>
        <w:tc>
          <w:tcPr>
            <w:tcW w:w="1540" w:type="dxa"/>
            <w:vAlign w:val="bottom"/>
          </w:tcPr>
          <w:p w:rsidR="001E65C7" w:rsidRPr="0031432E" w:rsidRDefault="001E65C7" w:rsidP="00177FA5">
            <w:pPr>
              <w:pStyle w:val="AERtabletextright"/>
              <w:cnfStyle w:val="000000000000" w:firstRow="0" w:lastRow="0" w:firstColumn="0" w:lastColumn="0" w:oddVBand="0" w:evenVBand="0" w:oddHBand="0" w:evenHBand="0" w:firstRowFirstColumn="0" w:firstRowLastColumn="0" w:lastRowFirstColumn="0" w:lastRowLastColumn="0"/>
            </w:pPr>
            <w:r w:rsidRPr="0031432E">
              <w:t>47.79</w:t>
            </w:r>
          </w:p>
        </w:tc>
        <w:tc>
          <w:tcPr>
            <w:tcW w:w="2557" w:type="dxa"/>
            <w:vAlign w:val="bottom"/>
          </w:tcPr>
          <w:p w:rsidR="001E65C7" w:rsidRPr="000C1424" w:rsidRDefault="001E65C7" w:rsidP="009B1503">
            <w:pPr>
              <w:jc w:val="right"/>
              <w:cnfStyle w:val="000000000000" w:firstRow="0" w:lastRow="0" w:firstColumn="0" w:lastColumn="0" w:oddVBand="0" w:evenVBand="0" w:oddHBand="0" w:evenHBand="0" w:firstRowFirstColumn="0" w:firstRowLastColumn="0" w:lastRowFirstColumn="0" w:lastRowLastColumn="0"/>
            </w:pPr>
            <w:r w:rsidRPr="000C1424">
              <w:t>28.34</w:t>
            </w:r>
          </w:p>
        </w:tc>
        <w:tc>
          <w:tcPr>
            <w:tcW w:w="1842" w:type="dxa"/>
            <w:vAlign w:val="bottom"/>
          </w:tcPr>
          <w:p w:rsidR="001E65C7" w:rsidRPr="000C1424" w:rsidRDefault="001E65C7" w:rsidP="009B1503">
            <w:pPr>
              <w:jc w:val="right"/>
              <w:cnfStyle w:val="000000000000" w:firstRow="0" w:lastRow="0" w:firstColumn="0" w:lastColumn="0" w:oddVBand="0" w:evenVBand="0" w:oddHBand="0" w:evenHBand="0" w:firstRowFirstColumn="0" w:firstRowLastColumn="0" w:lastRowFirstColumn="0" w:lastRowLastColumn="0"/>
            </w:pPr>
            <w:r w:rsidRPr="000C1424">
              <w:t>28.58</w:t>
            </w:r>
          </w:p>
        </w:tc>
        <w:tc>
          <w:tcPr>
            <w:tcW w:w="1701" w:type="dxa"/>
            <w:vAlign w:val="bottom"/>
          </w:tcPr>
          <w:p w:rsidR="001E65C7" w:rsidRPr="000C1424" w:rsidRDefault="001E65C7" w:rsidP="009B1503">
            <w:pPr>
              <w:jc w:val="right"/>
              <w:cnfStyle w:val="000000000000" w:firstRow="0" w:lastRow="0" w:firstColumn="0" w:lastColumn="0" w:oddVBand="0" w:evenVBand="0" w:oddHBand="0" w:evenHBand="0" w:firstRowFirstColumn="0" w:firstRowLastColumn="0" w:lastRowFirstColumn="0" w:lastRowLastColumn="0"/>
            </w:pPr>
            <w:r w:rsidRPr="000C1424">
              <w:t>28.02</w:t>
            </w:r>
          </w:p>
        </w:tc>
        <w:tc>
          <w:tcPr>
            <w:tcW w:w="1843" w:type="dxa"/>
            <w:vAlign w:val="bottom"/>
          </w:tcPr>
          <w:p w:rsidR="001E65C7" w:rsidRPr="000C1424" w:rsidRDefault="001E65C7" w:rsidP="009B1503">
            <w:pPr>
              <w:jc w:val="right"/>
              <w:cnfStyle w:val="000000000000" w:firstRow="0" w:lastRow="0" w:firstColumn="0" w:lastColumn="0" w:oddVBand="0" w:evenVBand="0" w:oddHBand="0" w:evenHBand="0" w:firstRowFirstColumn="0" w:firstRowLastColumn="0" w:lastRowFirstColumn="0" w:lastRowLastColumn="0"/>
            </w:pPr>
            <w:r w:rsidRPr="000C1424">
              <w:t>27.47</w:t>
            </w:r>
          </w:p>
        </w:tc>
        <w:tc>
          <w:tcPr>
            <w:tcW w:w="2126" w:type="dxa"/>
            <w:vAlign w:val="bottom"/>
          </w:tcPr>
          <w:p w:rsidR="001E65C7" w:rsidRPr="000C1424" w:rsidRDefault="001E65C7" w:rsidP="009B1503">
            <w:pPr>
              <w:jc w:val="right"/>
              <w:cnfStyle w:val="000000000000" w:firstRow="0" w:lastRow="0" w:firstColumn="0" w:lastColumn="0" w:oddVBand="0" w:evenVBand="0" w:oddHBand="0" w:evenHBand="0" w:firstRowFirstColumn="0" w:firstRowLastColumn="0" w:lastRowFirstColumn="0" w:lastRowLastColumn="0"/>
            </w:pPr>
            <w:r w:rsidRPr="000C1424">
              <w:t>26.92</w:t>
            </w:r>
          </w:p>
        </w:tc>
      </w:tr>
      <w:tr w:rsidR="001E65C7" w:rsidRPr="00F52894" w:rsidTr="00736A3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40" w:type="dxa"/>
            <w:vAlign w:val="bottom"/>
          </w:tcPr>
          <w:p w:rsidR="001E65C7" w:rsidRPr="000C1424" w:rsidRDefault="001E65C7" w:rsidP="007848A6">
            <w:pPr>
              <w:pStyle w:val="AERtabletextleft"/>
            </w:pPr>
            <w:r w:rsidRPr="000C1424">
              <w:t>Residential TOU - Type 5 Meter</w:t>
            </w:r>
          </w:p>
        </w:tc>
        <w:tc>
          <w:tcPr>
            <w:tcW w:w="1540" w:type="dxa"/>
            <w:vAlign w:val="bottom"/>
          </w:tcPr>
          <w:p w:rsidR="001E65C7" w:rsidRPr="0031432E" w:rsidRDefault="001E65C7" w:rsidP="00177FA5">
            <w:pPr>
              <w:pStyle w:val="AERtabletextright"/>
              <w:cnfStyle w:val="000000010000" w:firstRow="0" w:lastRow="0" w:firstColumn="0" w:lastColumn="0" w:oddVBand="0" w:evenVBand="0" w:oddHBand="0" w:evenHBand="1" w:firstRowFirstColumn="0" w:firstRowLastColumn="0" w:lastRowFirstColumn="0" w:lastRowLastColumn="0"/>
            </w:pPr>
            <w:r w:rsidRPr="0031432E">
              <w:t>177.84</w:t>
            </w:r>
          </w:p>
        </w:tc>
        <w:tc>
          <w:tcPr>
            <w:tcW w:w="2557" w:type="dxa"/>
            <w:vAlign w:val="bottom"/>
          </w:tcPr>
          <w:p w:rsidR="001E65C7" w:rsidRPr="000C1424" w:rsidRDefault="001E65C7" w:rsidP="009B1503">
            <w:pPr>
              <w:jc w:val="right"/>
              <w:cnfStyle w:val="000000010000" w:firstRow="0" w:lastRow="0" w:firstColumn="0" w:lastColumn="0" w:oddVBand="0" w:evenVBand="0" w:oddHBand="0" w:evenHBand="1" w:firstRowFirstColumn="0" w:firstRowLastColumn="0" w:lastRowFirstColumn="0" w:lastRowLastColumn="0"/>
            </w:pPr>
            <w:r w:rsidRPr="000C1424">
              <w:t>114.04</w:t>
            </w:r>
          </w:p>
        </w:tc>
        <w:tc>
          <w:tcPr>
            <w:tcW w:w="1842" w:type="dxa"/>
            <w:vAlign w:val="bottom"/>
          </w:tcPr>
          <w:p w:rsidR="001E65C7" w:rsidRPr="000C1424" w:rsidRDefault="001E65C7" w:rsidP="009B1503">
            <w:pPr>
              <w:jc w:val="right"/>
              <w:cnfStyle w:val="000000010000" w:firstRow="0" w:lastRow="0" w:firstColumn="0" w:lastColumn="0" w:oddVBand="0" w:evenVBand="0" w:oddHBand="0" w:evenHBand="1" w:firstRowFirstColumn="0" w:firstRowLastColumn="0" w:lastRowFirstColumn="0" w:lastRowLastColumn="0"/>
            </w:pPr>
            <w:r w:rsidRPr="000C1424">
              <w:t>114.34</w:t>
            </w:r>
          </w:p>
        </w:tc>
        <w:tc>
          <w:tcPr>
            <w:tcW w:w="1701" w:type="dxa"/>
            <w:vAlign w:val="bottom"/>
          </w:tcPr>
          <w:p w:rsidR="001E65C7" w:rsidRPr="000C1424" w:rsidRDefault="001E65C7" w:rsidP="009B1503">
            <w:pPr>
              <w:jc w:val="right"/>
              <w:cnfStyle w:val="000000010000" w:firstRow="0" w:lastRow="0" w:firstColumn="0" w:lastColumn="0" w:oddVBand="0" w:evenVBand="0" w:oddHBand="0" w:evenHBand="1" w:firstRowFirstColumn="0" w:firstRowLastColumn="0" w:lastRowFirstColumn="0" w:lastRowLastColumn="0"/>
            </w:pPr>
            <w:r w:rsidRPr="000C1424">
              <w:t>111.73</w:t>
            </w:r>
          </w:p>
        </w:tc>
        <w:tc>
          <w:tcPr>
            <w:tcW w:w="1843" w:type="dxa"/>
            <w:vAlign w:val="bottom"/>
          </w:tcPr>
          <w:p w:rsidR="001E65C7" w:rsidRPr="000C1424" w:rsidRDefault="001E65C7" w:rsidP="009B1503">
            <w:pPr>
              <w:jc w:val="right"/>
              <w:cnfStyle w:val="000000010000" w:firstRow="0" w:lastRow="0" w:firstColumn="0" w:lastColumn="0" w:oddVBand="0" w:evenVBand="0" w:oddHBand="0" w:evenHBand="1" w:firstRowFirstColumn="0" w:firstRowLastColumn="0" w:lastRowFirstColumn="0" w:lastRowLastColumn="0"/>
            </w:pPr>
            <w:r w:rsidRPr="000C1424">
              <w:t>109.20</w:t>
            </w:r>
          </w:p>
        </w:tc>
        <w:tc>
          <w:tcPr>
            <w:tcW w:w="2126" w:type="dxa"/>
            <w:vAlign w:val="bottom"/>
          </w:tcPr>
          <w:p w:rsidR="001E65C7" w:rsidRPr="000C1424" w:rsidRDefault="001E65C7" w:rsidP="009B1503">
            <w:pPr>
              <w:jc w:val="right"/>
              <w:cnfStyle w:val="000000010000" w:firstRow="0" w:lastRow="0" w:firstColumn="0" w:lastColumn="0" w:oddVBand="0" w:evenVBand="0" w:oddHBand="0" w:evenHBand="1" w:firstRowFirstColumn="0" w:firstRowLastColumn="0" w:lastRowFirstColumn="0" w:lastRowLastColumn="0"/>
            </w:pPr>
            <w:r w:rsidRPr="000C1424">
              <w:t>106.72</w:t>
            </w:r>
          </w:p>
        </w:tc>
      </w:tr>
      <w:tr w:rsidR="001E65C7" w:rsidRPr="00F52894" w:rsidTr="00736A34">
        <w:tc>
          <w:tcPr>
            <w:cnfStyle w:val="001000000000" w:firstRow="0" w:lastRow="0" w:firstColumn="1" w:lastColumn="0" w:oddVBand="0" w:evenVBand="0" w:oddHBand="0" w:evenHBand="0" w:firstRowFirstColumn="0" w:firstRowLastColumn="0" w:lastRowFirstColumn="0" w:lastRowLastColumn="0"/>
            <w:tcW w:w="1540" w:type="dxa"/>
            <w:vAlign w:val="bottom"/>
          </w:tcPr>
          <w:p w:rsidR="001E65C7" w:rsidRPr="000C1424" w:rsidRDefault="001E65C7" w:rsidP="007848A6">
            <w:pPr>
              <w:pStyle w:val="AERtabletextleft"/>
            </w:pPr>
            <w:r w:rsidRPr="000C1424">
              <w:t>Small Business Anytime</w:t>
            </w:r>
          </w:p>
        </w:tc>
        <w:tc>
          <w:tcPr>
            <w:tcW w:w="1540" w:type="dxa"/>
            <w:vAlign w:val="bottom"/>
          </w:tcPr>
          <w:p w:rsidR="001E65C7" w:rsidRPr="0031432E" w:rsidRDefault="001E65C7" w:rsidP="00177FA5">
            <w:pPr>
              <w:pStyle w:val="AERtabletextright"/>
              <w:cnfStyle w:val="000000000000" w:firstRow="0" w:lastRow="0" w:firstColumn="0" w:lastColumn="0" w:oddVBand="0" w:evenVBand="0" w:oddHBand="0" w:evenHBand="0" w:firstRowFirstColumn="0" w:firstRowLastColumn="0" w:lastRowFirstColumn="0" w:lastRowLastColumn="0"/>
            </w:pPr>
            <w:r w:rsidRPr="0031432E">
              <w:t>35.35</w:t>
            </w:r>
          </w:p>
        </w:tc>
        <w:tc>
          <w:tcPr>
            <w:tcW w:w="2557" w:type="dxa"/>
            <w:vAlign w:val="bottom"/>
          </w:tcPr>
          <w:p w:rsidR="001E65C7" w:rsidRPr="000C1424" w:rsidRDefault="001E65C7" w:rsidP="009B1503">
            <w:pPr>
              <w:jc w:val="right"/>
              <w:cnfStyle w:val="000000000000" w:firstRow="0" w:lastRow="0" w:firstColumn="0" w:lastColumn="0" w:oddVBand="0" w:evenVBand="0" w:oddHBand="0" w:evenHBand="0" w:firstRowFirstColumn="0" w:firstRowLastColumn="0" w:lastRowFirstColumn="0" w:lastRowLastColumn="0"/>
            </w:pPr>
            <w:r w:rsidRPr="000C1424">
              <w:t>20.17</w:t>
            </w:r>
          </w:p>
        </w:tc>
        <w:tc>
          <w:tcPr>
            <w:tcW w:w="1842" w:type="dxa"/>
            <w:vAlign w:val="bottom"/>
          </w:tcPr>
          <w:p w:rsidR="001E65C7" w:rsidRPr="000C1424" w:rsidRDefault="001E65C7" w:rsidP="009B1503">
            <w:pPr>
              <w:jc w:val="right"/>
              <w:cnfStyle w:val="000000000000" w:firstRow="0" w:lastRow="0" w:firstColumn="0" w:lastColumn="0" w:oddVBand="0" w:evenVBand="0" w:oddHBand="0" w:evenHBand="0" w:firstRowFirstColumn="0" w:firstRowLastColumn="0" w:lastRowFirstColumn="0" w:lastRowLastColumn="0"/>
            </w:pPr>
            <w:r w:rsidRPr="000C1424">
              <w:t>20.40</w:t>
            </w:r>
          </w:p>
        </w:tc>
        <w:tc>
          <w:tcPr>
            <w:tcW w:w="1701" w:type="dxa"/>
            <w:vAlign w:val="bottom"/>
          </w:tcPr>
          <w:p w:rsidR="001E65C7" w:rsidRPr="000C1424" w:rsidRDefault="001E65C7" w:rsidP="009B1503">
            <w:pPr>
              <w:jc w:val="right"/>
              <w:cnfStyle w:val="000000000000" w:firstRow="0" w:lastRow="0" w:firstColumn="0" w:lastColumn="0" w:oddVBand="0" w:evenVBand="0" w:oddHBand="0" w:evenHBand="0" w:firstRowFirstColumn="0" w:firstRowLastColumn="0" w:lastRowFirstColumn="0" w:lastRowLastColumn="0"/>
            </w:pPr>
            <w:r w:rsidRPr="000C1424">
              <w:t>20.03</w:t>
            </w:r>
          </w:p>
        </w:tc>
        <w:tc>
          <w:tcPr>
            <w:tcW w:w="1843" w:type="dxa"/>
            <w:vAlign w:val="bottom"/>
          </w:tcPr>
          <w:p w:rsidR="001E65C7" w:rsidRPr="000C1424" w:rsidRDefault="001E65C7" w:rsidP="009B1503">
            <w:pPr>
              <w:jc w:val="right"/>
              <w:cnfStyle w:val="000000000000" w:firstRow="0" w:lastRow="0" w:firstColumn="0" w:lastColumn="0" w:oddVBand="0" w:evenVBand="0" w:oddHBand="0" w:evenHBand="0" w:firstRowFirstColumn="0" w:firstRowLastColumn="0" w:lastRowFirstColumn="0" w:lastRowLastColumn="0"/>
            </w:pPr>
            <w:r w:rsidRPr="000C1424">
              <w:t>19.67</w:t>
            </w:r>
          </w:p>
        </w:tc>
        <w:tc>
          <w:tcPr>
            <w:tcW w:w="2126" w:type="dxa"/>
            <w:vAlign w:val="bottom"/>
          </w:tcPr>
          <w:p w:rsidR="001E65C7" w:rsidRPr="000C1424" w:rsidRDefault="001E65C7" w:rsidP="009B1503">
            <w:pPr>
              <w:jc w:val="right"/>
              <w:cnfStyle w:val="000000000000" w:firstRow="0" w:lastRow="0" w:firstColumn="0" w:lastColumn="0" w:oddVBand="0" w:evenVBand="0" w:oddHBand="0" w:evenHBand="0" w:firstRowFirstColumn="0" w:firstRowLastColumn="0" w:lastRowFirstColumn="0" w:lastRowLastColumn="0"/>
            </w:pPr>
            <w:r w:rsidRPr="000C1424">
              <w:t>19.31</w:t>
            </w:r>
          </w:p>
        </w:tc>
      </w:tr>
      <w:tr w:rsidR="001E65C7" w:rsidRPr="00F52894" w:rsidTr="00736A3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40" w:type="dxa"/>
            <w:vAlign w:val="bottom"/>
          </w:tcPr>
          <w:p w:rsidR="001E65C7" w:rsidRPr="000C1424" w:rsidRDefault="001E65C7" w:rsidP="007848A6">
            <w:pPr>
              <w:pStyle w:val="AERtabletextleft"/>
            </w:pPr>
            <w:r w:rsidRPr="000C1424">
              <w:t>Small Business TOU - Type 6 Meter</w:t>
            </w:r>
          </w:p>
        </w:tc>
        <w:tc>
          <w:tcPr>
            <w:tcW w:w="1540" w:type="dxa"/>
            <w:vAlign w:val="bottom"/>
          </w:tcPr>
          <w:p w:rsidR="001E65C7" w:rsidRPr="0031432E" w:rsidRDefault="001E65C7" w:rsidP="00177FA5">
            <w:pPr>
              <w:pStyle w:val="AERtabletextright"/>
              <w:cnfStyle w:val="000000010000" w:firstRow="0" w:lastRow="0" w:firstColumn="0" w:lastColumn="0" w:oddVBand="0" w:evenVBand="0" w:oddHBand="0" w:evenHBand="1" w:firstRowFirstColumn="0" w:firstRowLastColumn="0" w:lastRowFirstColumn="0" w:lastRowLastColumn="0"/>
            </w:pPr>
            <w:r w:rsidRPr="0031432E">
              <w:t>76.93</w:t>
            </w:r>
          </w:p>
        </w:tc>
        <w:tc>
          <w:tcPr>
            <w:tcW w:w="2557" w:type="dxa"/>
            <w:vAlign w:val="bottom"/>
          </w:tcPr>
          <w:p w:rsidR="001E65C7" w:rsidRPr="000C1424" w:rsidRDefault="001E65C7" w:rsidP="009B1503">
            <w:pPr>
              <w:jc w:val="right"/>
              <w:cnfStyle w:val="000000010000" w:firstRow="0" w:lastRow="0" w:firstColumn="0" w:lastColumn="0" w:oddVBand="0" w:evenVBand="0" w:oddHBand="0" w:evenHBand="1" w:firstRowFirstColumn="0" w:firstRowLastColumn="0" w:lastRowFirstColumn="0" w:lastRowLastColumn="0"/>
            </w:pPr>
            <w:r w:rsidRPr="000C1424">
              <w:t>47.08</w:t>
            </w:r>
          </w:p>
        </w:tc>
        <w:tc>
          <w:tcPr>
            <w:tcW w:w="1842" w:type="dxa"/>
            <w:vAlign w:val="bottom"/>
          </w:tcPr>
          <w:p w:rsidR="001E65C7" w:rsidRPr="000C1424" w:rsidRDefault="001E65C7" w:rsidP="009B1503">
            <w:pPr>
              <w:jc w:val="right"/>
              <w:cnfStyle w:val="000000010000" w:firstRow="0" w:lastRow="0" w:firstColumn="0" w:lastColumn="0" w:oddVBand="0" w:evenVBand="0" w:oddHBand="0" w:evenHBand="1" w:firstRowFirstColumn="0" w:firstRowLastColumn="0" w:lastRowFirstColumn="0" w:lastRowLastColumn="0"/>
            </w:pPr>
            <w:r w:rsidRPr="000C1424">
              <w:t>47.37</w:t>
            </w:r>
          </w:p>
        </w:tc>
        <w:tc>
          <w:tcPr>
            <w:tcW w:w="1701" w:type="dxa"/>
            <w:vAlign w:val="bottom"/>
          </w:tcPr>
          <w:p w:rsidR="001E65C7" w:rsidRPr="000C1424" w:rsidRDefault="001E65C7" w:rsidP="009B1503">
            <w:pPr>
              <w:jc w:val="right"/>
              <w:cnfStyle w:val="000000010000" w:firstRow="0" w:lastRow="0" w:firstColumn="0" w:lastColumn="0" w:oddVBand="0" w:evenVBand="0" w:oddHBand="0" w:evenHBand="1" w:firstRowFirstColumn="0" w:firstRowLastColumn="0" w:lastRowFirstColumn="0" w:lastRowLastColumn="0"/>
            </w:pPr>
            <w:r w:rsidRPr="000C1424">
              <w:t>46.39</w:t>
            </w:r>
          </w:p>
        </w:tc>
        <w:tc>
          <w:tcPr>
            <w:tcW w:w="1843" w:type="dxa"/>
            <w:vAlign w:val="bottom"/>
          </w:tcPr>
          <w:p w:rsidR="001E65C7" w:rsidRPr="000C1424" w:rsidRDefault="001E65C7" w:rsidP="009B1503">
            <w:pPr>
              <w:jc w:val="right"/>
              <w:cnfStyle w:val="000000010000" w:firstRow="0" w:lastRow="0" w:firstColumn="0" w:lastColumn="0" w:oddVBand="0" w:evenVBand="0" w:oddHBand="0" w:evenHBand="1" w:firstRowFirstColumn="0" w:firstRowLastColumn="0" w:lastRowFirstColumn="0" w:lastRowLastColumn="0"/>
            </w:pPr>
            <w:r w:rsidRPr="000C1424">
              <w:t>45.44</w:t>
            </w:r>
          </w:p>
        </w:tc>
        <w:tc>
          <w:tcPr>
            <w:tcW w:w="2126" w:type="dxa"/>
            <w:vAlign w:val="bottom"/>
          </w:tcPr>
          <w:p w:rsidR="001E65C7" w:rsidRPr="000C1424" w:rsidRDefault="001E65C7" w:rsidP="009B1503">
            <w:pPr>
              <w:jc w:val="right"/>
              <w:cnfStyle w:val="000000010000" w:firstRow="0" w:lastRow="0" w:firstColumn="0" w:lastColumn="0" w:oddVBand="0" w:evenVBand="0" w:oddHBand="0" w:evenHBand="1" w:firstRowFirstColumn="0" w:firstRowLastColumn="0" w:lastRowFirstColumn="0" w:lastRowLastColumn="0"/>
            </w:pPr>
            <w:r w:rsidRPr="000C1424">
              <w:t>44.51</w:t>
            </w:r>
          </w:p>
        </w:tc>
      </w:tr>
      <w:tr w:rsidR="001E65C7" w:rsidRPr="00F52894" w:rsidTr="00736A34">
        <w:tc>
          <w:tcPr>
            <w:cnfStyle w:val="001000000000" w:firstRow="0" w:lastRow="0" w:firstColumn="1" w:lastColumn="0" w:oddVBand="0" w:evenVBand="0" w:oddHBand="0" w:evenHBand="0" w:firstRowFirstColumn="0" w:firstRowLastColumn="0" w:lastRowFirstColumn="0" w:lastRowLastColumn="0"/>
            <w:tcW w:w="1540" w:type="dxa"/>
            <w:vAlign w:val="bottom"/>
          </w:tcPr>
          <w:p w:rsidR="001E65C7" w:rsidRPr="000C1424" w:rsidRDefault="001E65C7" w:rsidP="007848A6">
            <w:pPr>
              <w:pStyle w:val="AERtabletextleft"/>
            </w:pPr>
            <w:r w:rsidRPr="000C1424">
              <w:t>Small Business TOU - Type 5 Meter</w:t>
            </w:r>
          </w:p>
        </w:tc>
        <w:tc>
          <w:tcPr>
            <w:tcW w:w="1540" w:type="dxa"/>
            <w:vAlign w:val="bottom"/>
          </w:tcPr>
          <w:p w:rsidR="001E65C7" w:rsidRPr="0031432E" w:rsidRDefault="001E65C7" w:rsidP="00177FA5">
            <w:pPr>
              <w:pStyle w:val="AERtabletextright"/>
              <w:cnfStyle w:val="000000000000" w:firstRow="0" w:lastRow="0" w:firstColumn="0" w:lastColumn="0" w:oddVBand="0" w:evenVBand="0" w:oddHBand="0" w:evenHBand="0" w:firstRowFirstColumn="0" w:firstRowLastColumn="0" w:lastRowFirstColumn="0" w:lastRowLastColumn="0"/>
            </w:pPr>
            <w:r w:rsidRPr="0031432E">
              <w:t>194.18</w:t>
            </w:r>
          </w:p>
        </w:tc>
        <w:tc>
          <w:tcPr>
            <w:tcW w:w="2557" w:type="dxa"/>
            <w:vAlign w:val="bottom"/>
          </w:tcPr>
          <w:p w:rsidR="001E65C7" w:rsidRPr="000C1424" w:rsidRDefault="001E65C7" w:rsidP="009B1503">
            <w:pPr>
              <w:jc w:val="right"/>
              <w:cnfStyle w:val="000000000000" w:firstRow="0" w:lastRow="0" w:firstColumn="0" w:lastColumn="0" w:oddVBand="0" w:evenVBand="0" w:oddHBand="0" w:evenHBand="0" w:firstRowFirstColumn="0" w:firstRowLastColumn="0" w:lastRowFirstColumn="0" w:lastRowLastColumn="0"/>
            </w:pPr>
            <w:r w:rsidRPr="000C1424">
              <w:t>132.78</w:t>
            </w:r>
          </w:p>
        </w:tc>
        <w:tc>
          <w:tcPr>
            <w:tcW w:w="1842" w:type="dxa"/>
            <w:vAlign w:val="bottom"/>
          </w:tcPr>
          <w:p w:rsidR="001E65C7" w:rsidRPr="000C1424" w:rsidRDefault="001E65C7" w:rsidP="009B1503">
            <w:pPr>
              <w:jc w:val="right"/>
              <w:cnfStyle w:val="000000000000" w:firstRow="0" w:lastRow="0" w:firstColumn="0" w:lastColumn="0" w:oddVBand="0" w:evenVBand="0" w:oddHBand="0" w:evenHBand="0" w:firstRowFirstColumn="0" w:firstRowLastColumn="0" w:lastRowFirstColumn="0" w:lastRowLastColumn="0"/>
            </w:pPr>
            <w:r w:rsidRPr="000C1424">
              <w:t>133.12</w:t>
            </w:r>
          </w:p>
        </w:tc>
        <w:tc>
          <w:tcPr>
            <w:tcW w:w="1701" w:type="dxa"/>
            <w:vAlign w:val="bottom"/>
          </w:tcPr>
          <w:p w:rsidR="001E65C7" w:rsidRPr="000C1424" w:rsidRDefault="001E65C7" w:rsidP="009B1503">
            <w:pPr>
              <w:jc w:val="right"/>
              <w:cnfStyle w:val="000000000000" w:firstRow="0" w:lastRow="0" w:firstColumn="0" w:lastColumn="0" w:oddVBand="0" w:evenVBand="0" w:oddHBand="0" w:evenHBand="0" w:firstRowFirstColumn="0" w:firstRowLastColumn="0" w:lastRowFirstColumn="0" w:lastRowLastColumn="0"/>
            </w:pPr>
            <w:r w:rsidRPr="000C1424">
              <w:t>130.10</w:t>
            </w:r>
          </w:p>
        </w:tc>
        <w:tc>
          <w:tcPr>
            <w:tcW w:w="1843" w:type="dxa"/>
            <w:vAlign w:val="bottom"/>
          </w:tcPr>
          <w:p w:rsidR="001E65C7" w:rsidRPr="000C1424" w:rsidRDefault="001E65C7" w:rsidP="009B1503">
            <w:pPr>
              <w:jc w:val="right"/>
              <w:cnfStyle w:val="000000000000" w:firstRow="0" w:lastRow="0" w:firstColumn="0" w:lastColumn="0" w:oddVBand="0" w:evenVBand="0" w:oddHBand="0" w:evenHBand="0" w:firstRowFirstColumn="0" w:firstRowLastColumn="0" w:lastRowFirstColumn="0" w:lastRowLastColumn="0"/>
            </w:pPr>
            <w:r w:rsidRPr="000C1424">
              <w:t>127.17</w:t>
            </w:r>
          </w:p>
        </w:tc>
        <w:tc>
          <w:tcPr>
            <w:tcW w:w="2126" w:type="dxa"/>
            <w:vAlign w:val="bottom"/>
          </w:tcPr>
          <w:p w:rsidR="001E65C7" w:rsidRPr="000C1424" w:rsidRDefault="001E65C7" w:rsidP="009B1503">
            <w:pPr>
              <w:jc w:val="right"/>
              <w:cnfStyle w:val="000000000000" w:firstRow="0" w:lastRow="0" w:firstColumn="0" w:lastColumn="0" w:oddVBand="0" w:evenVBand="0" w:oddHBand="0" w:evenHBand="0" w:firstRowFirstColumn="0" w:firstRowLastColumn="0" w:lastRowFirstColumn="0" w:lastRowLastColumn="0"/>
            </w:pPr>
            <w:r w:rsidRPr="000C1424">
              <w:t>124.31</w:t>
            </w:r>
          </w:p>
        </w:tc>
      </w:tr>
      <w:tr w:rsidR="001E65C7" w:rsidRPr="00F52894" w:rsidTr="00736A3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40" w:type="dxa"/>
            <w:vAlign w:val="bottom"/>
          </w:tcPr>
          <w:p w:rsidR="001E65C7" w:rsidRPr="000C1424" w:rsidRDefault="001E65C7" w:rsidP="007848A6">
            <w:pPr>
              <w:pStyle w:val="AERtabletextleft"/>
            </w:pPr>
            <w:r w:rsidRPr="000C1424">
              <w:t>Controlled Load</w:t>
            </w:r>
          </w:p>
        </w:tc>
        <w:tc>
          <w:tcPr>
            <w:tcW w:w="1540" w:type="dxa"/>
            <w:vAlign w:val="bottom"/>
          </w:tcPr>
          <w:p w:rsidR="001E65C7" w:rsidRPr="0031432E" w:rsidRDefault="001E65C7" w:rsidP="00177FA5">
            <w:pPr>
              <w:pStyle w:val="AERtabletextright"/>
              <w:cnfStyle w:val="000000010000" w:firstRow="0" w:lastRow="0" w:firstColumn="0" w:lastColumn="0" w:oddVBand="0" w:evenVBand="0" w:oddHBand="0" w:evenHBand="1" w:firstRowFirstColumn="0" w:firstRowLastColumn="0" w:lastRowFirstColumn="0" w:lastRowLastColumn="0"/>
            </w:pPr>
            <w:r w:rsidRPr="0031432E">
              <w:t>11.71</w:t>
            </w:r>
          </w:p>
        </w:tc>
        <w:tc>
          <w:tcPr>
            <w:tcW w:w="2557" w:type="dxa"/>
            <w:vAlign w:val="bottom"/>
          </w:tcPr>
          <w:p w:rsidR="001E65C7" w:rsidRPr="000C1424" w:rsidRDefault="001E65C7" w:rsidP="009B1503">
            <w:pPr>
              <w:jc w:val="right"/>
              <w:cnfStyle w:val="000000010000" w:firstRow="0" w:lastRow="0" w:firstColumn="0" w:lastColumn="0" w:oddVBand="0" w:evenVBand="0" w:oddHBand="0" w:evenHBand="1" w:firstRowFirstColumn="0" w:firstRowLastColumn="0" w:lastRowFirstColumn="0" w:lastRowLastColumn="0"/>
            </w:pPr>
            <w:r w:rsidRPr="000C1424">
              <w:t>4.74</w:t>
            </w:r>
          </w:p>
        </w:tc>
        <w:tc>
          <w:tcPr>
            <w:tcW w:w="1842" w:type="dxa"/>
            <w:vAlign w:val="bottom"/>
          </w:tcPr>
          <w:p w:rsidR="001E65C7" w:rsidRPr="000C1424" w:rsidRDefault="001E65C7" w:rsidP="009B1503">
            <w:pPr>
              <w:jc w:val="right"/>
              <w:cnfStyle w:val="000000010000" w:firstRow="0" w:lastRow="0" w:firstColumn="0" w:lastColumn="0" w:oddVBand="0" w:evenVBand="0" w:oddHBand="0" w:evenHBand="1" w:firstRowFirstColumn="0" w:firstRowLastColumn="0" w:lastRowFirstColumn="0" w:lastRowLastColumn="0"/>
            </w:pPr>
            <w:r w:rsidRPr="000C1424">
              <w:t>4.95</w:t>
            </w:r>
          </w:p>
        </w:tc>
        <w:tc>
          <w:tcPr>
            <w:tcW w:w="1701" w:type="dxa"/>
            <w:vAlign w:val="bottom"/>
          </w:tcPr>
          <w:p w:rsidR="001E65C7" w:rsidRPr="000C1424" w:rsidRDefault="001E65C7" w:rsidP="009B1503">
            <w:pPr>
              <w:jc w:val="right"/>
              <w:cnfStyle w:val="000000010000" w:firstRow="0" w:lastRow="0" w:firstColumn="0" w:lastColumn="0" w:oddVBand="0" w:evenVBand="0" w:oddHBand="0" w:evenHBand="1" w:firstRowFirstColumn="0" w:firstRowLastColumn="0" w:lastRowFirstColumn="0" w:lastRowLastColumn="0"/>
            </w:pPr>
            <w:r w:rsidRPr="000C1424">
              <w:t>4.94</w:t>
            </w:r>
          </w:p>
        </w:tc>
        <w:tc>
          <w:tcPr>
            <w:tcW w:w="1843" w:type="dxa"/>
            <w:vAlign w:val="bottom"/>
          </w:tcPr>
          <w:p w:rsidR="001E65C7" w:rsidRPr="000C1424" w:rsidRDefault="001E65C7" w:rsidP="009B1503">
            <w:pPr>
              <w:jc w:val="right"/>
              <w:cnfStyle w:val="000000010000" w:firstRow="0" w:lastRow="0" w:firstColumn="0" w:lastColumn="0" w:oddVBand="0" w:evenVBand="0" w:oddHBand="0" w:evenHBand="1" w:firstRowFirstColumn="0" w:firstRowLastColumn="0" w:lastRowFirstColumn="0" w:lastRowLastColumn="0"/>
            </w:pPr>
            <w:r w:rsidRPr="000C1424">
              <w:t>4.92</w:t>
            </w:r>
          </w:p>
        </w:tc>
        <w:tc>
          <w:tcPr>
            <w:tcW w:w="2126" w:type="dxa"/>
            <w:vAlign w:val="bottom"/>
          </w:tcPr>
          <w:p w:rsidR="001E65C7" w:rsidRPr="000C1424" w:rsidRDefault="001E65C7" w:rsidP="009B1503">
            <w:pPr>
              <w:jc w:val="right"/>
              <w:cnfStyle w:val="000000010000" w:firstRow="0" w:lastRow="0" w:firstColumn="0" w:lastColumn="0" w:oddVBand="0" w:evenVBand="0" w:oddHBand="0" w:evenHBand="1" w:firstRowFirstColumn="0" w:firstRowLastColumn="0" w:lastRowFirstColumn="0" w:lastRowLastColumn="0"/>
            </w:pPr>
            <w:r w:rsidRPr="000C1424">
              <w:t>4.89</w:t>
            </w:r>
          </w:p>
        </w:tc>
      </w:tr>
      <w:tr w:rsidR="001E65C7" w:rsidRPr="00F52894" w:rsidTr="00736A34">
        <w:tc>
          <w:tcPr>
            <w:cnfStyle w:val="001000000000" w:firstRow="0" w:lastRow="0" w:firstColumn="1" w:lastColumn="0" w:oddVBand="0" w:evenVBand="0" w:oddHBand="0" w:evenHBand="0" w:firstRowFirstColumn="0" w:firstRowLastColumn="0" w:lastRowFirstColumn="0" w:lastRowLastColumn="0"/>
            <w:tcW w:w="1540" w:type="dxa"/>
            <w:vAlign w:val="bottom"/>
          </w:tcPr>
          <w:p w:rsidR="001E65C7" w:rsidRPr="000C1424" w:rsidRDefault="001E65C7" w:rsidP="007848A6">
            <w:pPr>
              <w:pStyle w:val="AERtabletextleft"/>
            </w:pPr>
          </w:p>
        </w:tc>
        <w:tc>
          <w:tcPr>
            <w:tcW w:w="1540" w:type="dxa"/>
            <w:vAlign w:val="bottom"/>
          </w:tcPr>
          <w:p w:rsidR="001E65C7" w:rsidRPr="0031432E" w:rsidRDefault="001E65C7" w:rsidP="00177FA5">
            <w:pPr>
              <w:pStyle w:val="AERtabletextright"/>
              <w:cnfStyle w:val="000000000000" w:firstRow="0" w:lastRow="0" w:firstColumn="0" w:lastColumn="0" w:oddVBand="0" w:evenVBand="0" w:oddHBand="0" w:evenHBand="0" w:firstRowFirstColumn="0" w:firstRowLastColumn="0" w:lastRowFirstColumn="0" w:lastRowLastColumn="0"/>
            </w:pPr>
            <w:r w:rsidRPr="0031432E">
              <w:t>11.71</w:t>
            </w:r>
          </w:p>
        </w:tc>
        <w:tc>
          <w:tcPr>
            <w:tcW w:w="2557" w:type="dxa"/>
            <w:vAlign w:val="bottom"/>
          </w:tcPr>
          <w:p w:rsidR="001E65C7" w:rsidRPr="000C1424" w:rsidRDefault="001E65C7" w:rsidP="009B1503">
            <w:pPr>
              <w:jc w:val="right"/>
              <w:cnfStyle w:val="000000000000" w:firstRow="0" w:lastRow="0" w:firstColumn="0" w:lastColumn="0" w:oddVBand="0" w:evenVBand="0" w:oddHBand="0" w:evenHBand="0" w:firstRowFirstColumn="0" w:firstRowLastColumn="0" w:lastRowFirstColumn="0" w:lastRowLastColumn="0"/>
            </w:pPr>
          </w:p>
        </w:tc>
        <w:tc>
          <w:tcPr>
            <w:tcW w:w="1842" w:type="dxa"/>
            <w:vAlign w:val="bottom"/>
          </w:tcPr>
          <w:p w:rsidR="001E65C7" w:rsidRPr="000C1424" w:rsidRDefault="001E65C7" w:rsidP="009B1503">
            <w:pPr>
              <w:jc w:val="right"/>
              <w:cnfStyle w:val="000000000000" w:firstRow="0" w:lastRow="0" w:firstColumn="0" w:lastColumn="0" w:oddVBand="0" w:evenVBand="0" w:oddHBand="0" w:evenHBand="0" w:firstRowFirstColumn="0" w:firstRowLastColumn="0" w:lastRowFirstColumn="0" w:lastRowLastColumn="0"/>
            </w:pPr>
          </w:p>
        </w:tc>
        <w:tc>
          <w:tcPr>
            <w:tcW w:w="1701" w:type="dxa"/>
            <w:vAlign w:val="bottom"/>
          </w:tcPr>
          <w:p w:rsidR="001E65C7" w:rsidRPr="000C1424" w:rsidRDefault="001E65C7" w:rsidP="009B1503">
            <w:pPr>
              <w:jc w:val="right"/>
              <w:cnfStyle w:val="000000000000" w:firstRow="0" w:lastRow="0" w:firstColumn="0" w:lastColumn="0" w:oddVBand="0" w:evenVBand="0" w:oddHBand="0" w:evenHBand="0" w:firstRowFirstColumn="0" w:firstRowLastColumn="0" w:lastRowFirstColumn="0" w:lastRowLastColumn="0"/>
            </w:pPr>
          </w:p>
        </w:tc>
        <w:tc>
          <w:tcPr>
            <w:tcW w:w="1843" w:type="dxa"/>
            <w:vAlign w:val="bottom"/>
          </w:tcPr>
          <w:p w:rsidR="001E65C7" w:rsidRPr="000C1424" w:rsidRDefault="001E65C7" w:rsidP="009B1503">
            <w:pPr>
              <w:jc w:val="right"/>
              <w:cnfStyle w:val="000000000000" w:firstRow="0" w:lastRow="0" w:firstColumn="0" w:lastColumn="0" w:oddVBand="0" w:evenVBand="0" w:oddHBand="0" w:evenHBand="0" w:firstRowFirstColumn="0" w:firstRowLastColumn="0" w:lastRowFirstColumn="0" w:lastRowLastColumn="0"/>
            </w:pPr>
          </w:p>
        </w:tc>
        <w:tc>
          <w:tcPr>
            <w:tcW w:w="2126" w:type="dxa"/>
            <w:vAlign w:val="bottom"/>
          </w:tcPr>
          <w:p w:rsidR="001E65C7" w:rsidRPr="000C1424" w:rsidRDefault="001E65C7" w:rsidP="009B1503">
            <w:pPr>
              <w:jc w:val="right"/>
              <w:cnfStyle w:val="000000000000" w:firstRow="0" w:lastRow="0" w:firstColumn="0" w:lastColumn="0" w:oddVBand="0" w:evenVBand="0" w:oddHBand="0" w:evenHBand="0" w:firstRowFirstColumn="0" w:firstRowLastColumn="0" w:lastRowFirstColumn="0" w:lastRowLastColumn="0"/>
            </w:pPr>
          </w:p>
        </w:tc>
      </w:tr>
    </w:tbl>
    <w:p w:rsidR="00314B06" w:rsidRDefault="00736A34" w:rsidP="0069721B">
      <w:pPr>
        <w:pStyle w:val="AERtablesource"/>
      </w:pPr>
      <w:r>
        <w:t xml:space="preserve">Source: </w:t>
      </w:r>
      <w:r w:rsidR="00314B06">
        <w:t xml:space="preserve">AER analysis; Endeavour Energy, Regulatory proposal, Attachment 0.17 – Metering model and prices, May 2014. </w:t>
      </w:r>
    </w:p>
    <w:p w:rsidR="00736A34" w:rsidRDefault="00736A34" w:rsidP="0069721B">
      <w:pPr>
        <w:pStyle w:val="AERtablesource"/>
      </w:pPr>
    </w:p>
    <w:p w:rsidR="0031432E" w:rsidRDefault="0031432E" w:rsidP="0031432E">
      <w:pPr>
        <w:pStyle w:val="AERbodytext"/>
        <w:numPr>
          <w:ilvl w:val="0"/>
          <w:numId w:val="0"/>
        </w:numPr>
      </w:pPr>
    </w:p>
    <w:p w:rsidR="0031432E" w:rsidRPr="00401B5A" w:rsidRDefault="0031432E" w:rsidP="0031432E">
      <w:pPr>
        <w:pStyle w:val="Caption"/>
      </w:pPr>
      <w:r>
        <w:t xml:space="preserve">Table </w:t>
      </w:r>
      <w:r w:rsidR="004667DE">
        <w:fldChar w:fldCharType="begin"/>
      </w:r>
      <w:r w:rsidR="004667DE">
        <w:instrText xml:space="preserve"> STYLEREF 1 \s </w:instrText>
      </w:r>
      <w:r w:rsidR="004667DE">
        <w:fldChar w:fldCharType="separate"/>
      </w:r>
      <w:r w:rsidR="003E262F">
        <w:rPr>
          <w:noProof/>
        </w:rPr>
        <w:t>16</w:t>
      </w:r>
      <w:r w:rsidR="004667DE">
        <w:rPr>
          <w:noProof/>
        </w:rPr>
        <w:fldChar w:fldCharType="end"/>
      </w:r>
      <w:r w:rsidR="003E262F">
        <w:noBreakHyphen/>
      </w:r>
      <w:r w:rsidR="004667DE">
        <w:fldChar w:fldCharType="begin"/>
      </w:r>
      <w:r w:rsidR="004667DE">
        <w:instrText xml:space="preserve"> SEQ Table \* ARABIC \s 1 </w:instrText>
      </w:r>
      <w:r w:rsidR="004667DE">
        <w:fldChar w:fldCharType="separate"/>
      </w:r>
      <w:r w:rsidR="003E262F">
        <w:rPr>
          <w:noProof/>
        </w:rPr>
        <w:t>24</w:t>
      </w:r>
      <w:r w:rsidR="004667DE">
        <w:rPr>
          <w:noProof/>
        </w:rPr>
        <w:fldChar w:fldCharType="end"/>
      </w:r>
      <w:r>
        <w:tab/>
        <w:t>Endeavour Energy’s approved new or upgraded prices ($ 2014–15)</w:t>
      </w:r>
    </w:p>
    <w:tbl>
      <w:tblPr>
        <w:tblStyle w:val="AERtable-text"/>
        <w:tblW w:w="0" w:type="auto"/>
        <w:tblLook w:val="04A0" w:firstRow="1" w:lastRow="0" w:firstColumn="1" w:lastColumn="0" w:noHBand="0" w:noVBand="1"/>
      </w:tblPr>
      <w:tblGrid>
        <w:gridCol w:w="4621"/>
        <w:gridCol w:w="4621"/>
        <w:gridCol w:w="4621"/>
      </w:tblGrid>
      <w:tr w:rsidR="00557F61" w:rsidTr="00177FA5">
        <w:trPr>
          <w:cnfStyle w:val="100000000000" w:firstRow="1" w:lastRow="0" w:firstColumn="0" w:lastColumn="0" w:oddVBand="0" w:evenVBand="0" w:oddHBand="0" w:evenHBand="0" w:firstRowFirstColumn="0" w:firstRowLastColumn="0" w:lastRowFirstColumn="0" w:lastRowLastColumn="0"/>
        </w:trPr>
        <w:tc>
          <w:tcPr>
            <w:tcW w:w="4621" w:type="dxa"/>
          </w:tcPr>
          <w:p w:rsidR="00557F61" w:rsidRDefault="00557F61" w:rsidP="009B1503">
            <w:pPr>
              <w:pStyle w:val="AERbodytext"/>
            </w:pPr>
          </w:p>
        </w:tc>
        <w:tc>
          <w:tcPr>
            <w:tcW w:w="4621" w:type="dxa"/>
          </w:tcPr>
          <w:p w:rsidR="00557F61" w:rsidRDefault="00557F61" w:rsidP="009B1503">
            <w:pPr>
              <w:pStyle w:val="AERbodytext"/>
              <w:jc w:val="right"/>
            </w:pPr>
            <w:r>
              <w:t>Proposed</w:t>
            </w:r>
          </w:p>
        </w:tc>
        <w:tc>
          <w:tcPr>
            <w:tcW w:w="4621" w:type="dxa"/>
          </w:tcPr>
          <w:p w:rsidR="00557F61" w:rsidRDefault="00557F61" w:rsidP="009B1503">
            <w:pPr>
              <w:pStyle w:val="AERbodytext"/>
              <w:jc w:val="right"/>
            </w:pPr>
            <w:r>
              <w:t>Draft Decision</w:t>
            </w:r>
          </w:p>
        </w:tc>
      </w:tr>
      <w:tr w:rsidR="00557F61" w:rsidTr="00177FA5">
        <w:tc>
          <w:tcPr>
            <w:tcW w:w="4621" w:type="dxa"/>
          </w:tcPr>
          <w:p w:rsidR="00557F61" w:rsidRPr="00557F61" w:rsidRDefault="00557F61" w:rsidP="007848A6">
            <w:pPr>
              <w:pStyle w:val="AERtabletextleft"/>
              <w:rPr>
                <w:b/>
              </w:rPr>
            </w:pPr>
            <w:r w:rsidRPr="00557F61">
              <w:rPr>
                <w:b/>
              </w:rPr>
              <w:t>Accumulation meters</w:t>
            </w:r>
          </w:p>
        </w:tc>
        <w:tc>
          <w:tcPr>
            <w:tcW w:w="4621" w:type="dxa"/>
          </w:tcPr>
          <w:p w:rsidR="00557F61" w:rsidRPr="00401B5A" w:rsidRDefault="00557F61" w:rsidP="009B1503">
            <w:pPr>
              <w:jc w:val="right"/>
            </w:pPr>
          </w:p>
        </w:tc>
        <w:tc>
          <w:tcPr>
            <w:tcW w:w="4621" w:type="dxa"/>
          </w:tcPr>
          <w:p w:rsidR="00557F61" w:rsidRPr="00401B5A" w:rsidRDefault="00557F61" w:rsidP="009B1503">
            <w:pPr>
              <w:jc w:val="right"/>
            </w:pPr>
          </w:p>
        </w:tc>
      </w:tr>
      <w:tr w:rsidR="007126AD" w:rsidTr="007126AD">
        <w:trPr>
          <w:cnfStyle w:val="000000010000" w:firstRow="0" w:lastRow="0" w:firstColumn="0" w:lastColumn="0" w:oddVBand="0" w:evenVBand="0" w:oddHBand="0" w:evenHBand="1" w:firstRowFirstColumn="0" w:firstRowLastColumn="0" w:lastRowFirstColumn="0" w:lastRowLastColumn="0"/>
        </w:trPr>
        <w:tc>
          <w:tcPr>
            <w:tcW w:w="4621" w:type="dxa"/>
          </w:tcPr>
          <w:p w:rsidR="007126AD" w:rsidRPr="00401B5A" w:rsidRDefault="007126AD" w:rsidP="007848A6">
            <w:pPr>
              <w:pStyle w:val="AERtabletextleft"/>
            </w:pPr>
            <w:r w:rsidRPr="00401B5A">
              <w:t>Single phase accumulation meter</w:t>
            </w:r>
          </w:p>
        </w:tc>
        <w:tc>
          <w:tcPr>
            <w:tcW w:w="4621" w:type="dxa"/>
          </w:tcPr>
          <w:p w:rsidR="007126AD" w:rsidRPr="00EB6E3E" w:rsidRDefault="007126AD" w:rsidP="00177FA5">
            <w:pPr>
              <w:pStyle w:val="AERtabletextright"/>
            </w:pPr>
            <w:r w:rsidRPr="00EB6E3E">
              <w:t>41.85</w:t>
            </w:r>
          </w:p>
        </w:tc>
        <w:tc>
          <w:tcPr>
            <w:tcW w:w="4621" w:type="dxa"/>
            <w:vAlign w:val="bottom"/>
          </w:tcPr>
          <w:p w:rsidR="007126AD" w:rsidRPr="00401B5A" w:rsidRDefault="007126AD" w:rsidP="007126AD">
            <w:pPr>
              <w:pStyle w:val="AERtabletextright"/>
            </w:pPr>
            <w:r w:rsidRPr="007126AD">
              <w:t>41.66</w:t>
            </w:r>
          </w:p>
        </w:tc>
      </w:tr>
      <w:tr w:rsidR="007126AD" w:rsidTr="007126AD">
        <w:tc>
          <w:tcPr>
            <w:tcW w:w="4621" w:type="dxa"/>
          </w:tcPr>
          <w:p w:rsidR="007126AD" w:rsidRPr="00401B5A" w:rsidRDefault="007126AD" w:rsidP="007848A6">
            <w:pPr>
              <w:pStyle w:val="AERtabletextleft"/>
            </w:pPr>
            <w:r w:rsidRPr="00401B5A">
              <w:t>Single phase accumulation combination meter</w:t>
            </w:r>
          </w:p>
        </w:tc>
        <w:tc>
          <w:tcPr>
            <w:tcW w:w="4621" w:type="dxa"/>
          </w:tcPr>
          <w:p w:rsidR="007126AD" w:rsidRPr="00EB6E3E" w:rsidRDefault="007126AD" w:rsidP="00177FA5">
            <w:pPr>
              <w:pStyle w:val="AERtabletextright"/>
            </w:pPr>
            <w:r w:rsidRPr="00EB6E3E">
              <w:t>180.74</w:t>
            </w:r>
          </w:p>
        </w:tc>
        <w:tc>
          <w:tcPr>
            <w:tcW w:w="4621" w:type="dxa"/>
            <w:vAlign w:val="bottom"/>
          </w:tcPr>
          <w:p w:rsidR="007126AD" w:rsidRPr="00401B5A" w:rsidRDefault="007126AD" w:rsidP="007126AD">
            <w:pPr>
              <w:pStyle w:val="AERtabletextright"/>
            </w:pPr>
            <w:r w:rsidRPr="007126AD">
              <w:t>180.19</w:t>
            </w:r>
          </w:p>
        </w:tc>
      </w:tr>
      <w:tr w:rsidR="007126AD" w:rsidTr="007126AD">
        <w:trPr>
          <w:cnfStyle w:val="000000010000" w:firstRow="0" w:lastRow="0" w:firstColumn="0" w:lastColumn="0" w:oddVBand="0" w:evenVBand="0" w:oddHBand="0" w:evenHBand="1" w:firstRowFirstColumn="0" w:firstRowLastColumn="0" w:lastRowFirstColumn="0" w:lastRowLastColumn="0"/>
        </w:trPr>
        <w:tc>
          <w:tcPr>
            <w:tcW w:w="4621" w:type="dxa"/>
          </w:tcPr>
          <w:p w:rsidR="007126AD" w:rsidRPr="00401B5A" w:rsidRDefault="007126AD" w:rsidP="007848A6">
            <w:pPr>
              <w:pStyle w:val="AERtabletextleft"/>
            </w:pPr>
            <w:r w:rsidRPr="00401B5A">
              <w:t>Three phase accumulation meter</w:t>
            </w:r>
          </w:p>
        </w:tc>
        <w:tc>
          <w:tcPr>
            <w:tcW w:w="4621" w:type="dxa"/>
          </w:tcPr>
          <w:p w:rsidR="007126AD" w:rsidRPr="00EB6E3E" w:rsidRDefault="007126AD" w:rsidP="00177FA5">
            <w:pPr>
              <w:pStyle w:val="AERtabletextright"/>
            </w:pPr>
            <w:r w:rsidRPr="00EB6E3E">
              <w:t>114.20</w:t>
            </w:r>
          </w:p>
        </w:tc>
        <w:tc>
          <w:tcPr>
            <w:tcW w:w="4621" w:type="dxa"/>
            <w:vAlign w:val="bottom"/>
          </w:tcPr>
          <w:p w:rsidR="007126AD" w:rsidRPr="00401B5A" w:rsidRDefault="007126AD" w:rsidP="007126AD">
            <w:pPr>
              <w:pStyle w:val="AERtabletextright"/>
            </w:pPr>
            <w:r w:rsidRPr="007126AD">
              <w:t>111.23</w:t>
            </w:r>
          </w:p>
        </w:tc>
      </w:tr>
      <w:tr w:rsidR="00557F61" w:rsidTr="00177FA5">
        <w:tc>
          <w:tcPr>
            <w:tcW w:w="4621" w:type="dxa"/>
          </w:tcPr>
          <w:p w:rsidR="00557F61" w:rsidRPr="00557F61" w:rsidRDefault="00557F61" w:rsidP="007848A6">
            <w:pPr>
              <w:pStyle w:val="AERtabletextleft"/>
              <w:rPr>
                <w:b/>
              </w:rPr>
            </w:pPr>
            <w:r w:rsidRPr="00557F61">
              <w:rPr>
                <w:b/>
              </w:rPr>
              <w:t>Interval meter</w:t>
            </w:r>
          </w:p>
        </w:tc>
        <w:tc>
          <w:tcPr>
            <w:tcW w:w="4621" w:type="dxa"/>
          </w:tcPr>
          <w:p w:rsidR="00557F61" w:rsidRPr="00401B5A" w:rsidRDefault="00557F61" w:rsidP="009B1503">
            <w:pPr>
              <w:jc w:val="right"/>
            </w:pPr>
          </w:p>
        </w:tc>
        <w:tc>
          <w:tcPr>
            <w:tcW w:w="4621" w:type="dxa"/>
          </w:tcPr>
          <w:p w:rsidR="00557F61" w:rsidRPr="00401B5A" w:rsidRDefault="00557F61" w:rsidP="009B1503">
            <w:pPr>
              <w:jc w:val="right"/>
            </w:pPr>
          </w:p>
        </w:tc>
      </w:tr>
      <w:tr w:rsidR="007126AD" w:rsidTr="007126AD">
        <w:trPr>
          <w:cnfStyle w:val="000000010000" w:firstRow="0" w:lastRow="0" w:firstColumn="0" w:lastColumn="0" w:oddVBand="0" w:evenVBand="0" w:oddHBand="0" w:evenHBand="1" w:firstRowFirstColumn="0" w:firstRowLastColumn="0" w:lastRowFirstColumn="0" w:lastRowLastColumn="0"/>
        </w:trPr>
        <w:tc>
          <w:tcPr>
            <w:tcW w:w="4621" w:type="dxa"/>
          </w:tcPr>
          <w:p w:rsidR="007126AD" w:rsidRPr="00401B5A" w:rsidRDefault="007126AD" w:rsidP="007848A6">
            <w:pPr>
              <w:pStyle w:val="AERtabletextleft"/>
            </w:pPr>
            <w:r w:rsidRPr="00401B5A">
              <w:t>Single phase interval (TOU) meter</w:t>
            </w:r>
          </w:p>
        </w:tc>
        <w:tc>
          <w:tcPr>
            <w:tcW w:w="4621" w:type="dxa"/>
          </w:tcPr>
          <w:p w:rsidR="007126AD" w:rsidRPr="00EB6E3E" w:rsidRDefault="007126AD" w:rsidP="00177FA5">
            <w:pPr>
              <w:pStyle w:val="AERtabletextright"/>
            </w:pPr>
            <w:r w:rsidRPr="00EB6E3E">
              <w:t>335.80</w:t>
            </w:r>
          </w:p>
        </w:tc>
        <w:tc>
          <w:tcPr>
            <w:tcW w:w="4621" w:type="dxa"/>
          </w:tcPr>
          <w:p w:rsidR="007126AD" w:rsidRPr="00401B5A" w:rsidRDefault="007126AD" w:rsidP="009B1503">
            <w:pPr>
              <w:jc w:val="right"/>
            </w:pPr>
            <w:r>
              <w:rPr>
                <w:rFonts w:ascii="Calibri" w:hAnsi="Calibri" w:cs="Calibri"/>
                <w:color w:val="000000"/>
                <w:sz w:val="20"/>
              </w:rPr>
              <w:t>87.86</w:t>
            </w:r>
          </w:p>
        </w:tc>
      </w:tr>
      <w:tr w:rsidR="007126AD" w:rsidTr="007126AD">
        <w:tc>
          <w:tcPr>
            <w:tcW w:w="4621" w:type="dxa"/>
          </w:tcPr>
          <w:p w:rsidR="007126AD" w:rsidRPr="00401B5A" w:rsidRDefault="007126AD" w:rsidP="007848A6">
            <w:pPr>
              <w:pStyle w:val="AERtabletextleft"/>
            </w:pPr>
            <w:r w:rsidRPr="00401B5A">
              <w:t>Single phase interval (TOU) combination meter</w:t>
            </w:r>
          </w:p>
        </w:tc>
        <w:tc>
          <w:tcPr>
            <w:tcW w:w="4621" w:type="dxa"/>
          </w:tcPr>
          <w:p w:rsidR="007126AD" w:rsidRPr="00EB6E3E" w:rsidRDefault="007126AD" w:rsidP="00177FA5">
            <w:pPr>
              <w:pStyle w:val="AERtabletextright"/>
            </w:pPr>
            <w:r w:rsidRPr="00EB6E3E">
              <w:t>381.47</w:t>
            </w:r>
          </w:p>
        </w:tc>
        <w:tc>
          <w:tcPr>
            <w:tcW w:w="4621" w:type="dxa"/>
          </w:tcPr>
          <w:p w:rsidR="007126AD" w:rsidRPr="00401B5A" w:rsidRDefault="007126AD" w:rsidP="009B1503">
            <w:pPr>
              <w:jc w:val="right"/>
            </w:pPr>
            <w:r>
              <w:rPr>
                <w:rFonts w:ascii="Calibri" w:hAnsi="Calibri" w:cs="Calibri"/>
                <w:color w:val="000000"/>
                <w:sz w:val="20"/>
              </w:rPr>
              <w:t>176.37</w:t>
            </w:r>
          </w:p>
        </w:tc>
      </w:tr>
      <w:tr w:rsidR="007126AD" w:rsidTr="007126AD">
        <w:trPr>
          <w:cnfStyle w:val="000000010000" w:firstRow="0" w:lastRow="0" w:firstColumn="0" w:lastColumn="0" w:oddVBand="0" w:evenVBand="0" w:oddHBand="0" w:evenHBand="1" w:firstRowFirstColumn="0" w:firstRowLastColumn="0" w:lastRowFirstColumn="0" w:lastRowLastColumn="0"/>
        </w:trPr>
        <w:tc>
          <w:tcPr>
            <w:tcW w:w="4621" w:type="dxa"/>
          </w:tcPr>
          <w:p w:rsidR="007126AD" w:rsidRPr="00401B5A" w:rsidRDefault="007126AD" w:rsidP="007848A6">
            <w:pPr>
              <w:pStyle w:val="AERtabletextleft"/>
            </w:pPr>
            <w:r w:rsidRPr="00401B5A">
              <w:t>Three phase (TOU) meter</w:t>
            </w:r>
          </w:p>
        </w:tc>
        <w:tc>
          <w:tcPr>
            <w:tcW w:w="4621" w:type="dxa"/>
          </w:tcPr>
          <w:p w:rsidR="007126AD" w:rsidRPr="00EB6E3E" w:rsidRDefault="007126AD" w:rsidP="00177FA5">
            <w:pPr>
              <w:pStyle w:val="AERtabletextright"/>
            </w:pPr>
            <w:r>
              <w:t>458.99</w:t>
            </w:r>
          </w:p>
        </w:tc>
        <w:tc>
          <w:tcPr>
            <w:tcW w:w="4621" w:type="dxa"/>
          </w:tcPr>
          <w:p w:rsidR="007126AD" w:rsidRPr="00401B5A" w:rsidRDefault="007126AD" w:rsidP="009B1503">
            <w:pPr>
              <w:jc w:val="right"/>
            </w:pPr>
            <w:r>
              <w:rPr>
                <w:rFonts w:ascii="Calibri" w:hAnsi="Calibri" w:cs="Calibri"/>
                <w:color w:val="000000"/>
                <w:sz w:val="20"/>
              </w:rPr>
              <w:t>248.18</w:t>
            </w:r>
          </w:p>
        </w:tc>
      </w:tr>
    </w:tbl>
    <w:p w:rsidR="00314B06" w:rsidRDefault="00736A34" w:rsidP="0069721B">
      <w:pPr>
        <w:pStyle w:val="AERtablesource"/>
      </w:pPr>
      <w:r>
        <w:t xml:space="preserve">Source: </w:t>
      </w:r>
      <w:r w:rsidR="00314B06">
        <w:t xml:space="preserve">AER analysis; Endeavour Energy, Regulatory proposal, Attachment 0.17 – Metering model and prices, May 2014. </w:t>
      </w:r>
    </w:p>
    <w:p w:rsidR="00736A34" w:rsidRDefault="00736A34" w:rsidP="0069721B">
      <w:pPr>
        <w:pStyle w:val="AERtablesource"/>
      </w:pPr>
    </w:p>
    <w:p w:rsidR="00F92C29" w:rsidRPr="00F92C29" w:rsidRDefault="00F92C29" w:rsidP="0031432E">
      <w:pPr>
        <w:pStyle w:val="AERbodytext"/>
        <w:numPr>
          <w:ilvl w:val="0"/>
          <w:numId w:val="0"/>
        </w:numPr>
      </w:pPr>
    </w:p>
    <w:p w:rsidR="00D45E64" w:rsidRPr="00D45E64" w:rsidRDefault="00D45E64" w:rsidP="00D45E64">
      <w:pPr>
        <w:pStyle w:val="Heading9"/>
      </w:pPr>
      <w:bookmarkStart w:id="81" w:name="_Ref403660701"/>
      <w:bookmarkStart w:id="82" w:name="_Toc404324975"/>
      <w:r>
        <w:t>Public Lighting</w:t>
      </w:r>
      <w:bookmarkEnd w:id="81"/>
      <w:bookmarkEnd w:id="82"/>
    </w:p>
    <w:p w:rsidR="00F92C29" w:rsidRDefault="00F92C29" w:rsidP="006C7F77">
      <w:pPr>
        <w:keepNext/>
        <w:tabs>
          <w:tab w:val="left" w:pos="1440"/>
        </w:tabs>
        <w:spacing w:before="120" w:after="120"/>
        <w:ind w:left="1440" w:hanging="1440"/>
      </w:pPr>
      <w:r w:rsidRPr="00F92C29">
        <w:rPr>
          <w:rStyle w:val="AERtextbold"/>
        </w:rPr>
        <w:t xml:space="preserve">Table </w:t>
      </w:r>
      <w:r w:rsidR="003E262F">
        <w:rPr>
          <w:rStyle w:val="AERtextbold"/>
        </w:rPr>
        <w:fldChar w:fldCharType="begin"/>
      </w:r>
      <w:r w:rsidR="003E262F">
        <w:rPr>
          <w:rStyle w:val="AERtextbold"/>
        </w:rPr>
        <w:instrText xml:space="preserve"> STYLEREF 1 \s </w:instrText>
      </w:r>
      <w:r w:rsidR="003E262F">
        <w:rPr>
          <w:rStyle w:val="AERtextbold"/>
        </w:rPr>
        <w:fldChar w:fldCharType="separate"/>
      </w:r>
      <w:r w:rsidR="003E262F">
        <w:rPr>
          <w:rStyle w:val="AERtextbold"/>
          <w:noProof/>
        </w:rPr>
        <w:t>16</w:t>
      </w:r>
      <w:r w:rsidR="003E262F">
        <w:rPr>
          <w:rStyle w:val="AERtextbold"/>
        </w:rPr>
        <w:fldChar w:fldCharType="end"/>
      </w:r>
      <w:r w:rsidR="003E262F">
        <w:rPr>
          <w:rStyle w:val="AERtextbold"/>
        </w:rPr>
        <w:noBreakHyphen/>
      </w:r>
      <w:r w:rsidR="003E262F">
        <w:rPr>
          <w:rStyle w:val="AERtextbold"/>
        </w:rPr>
        <w:fldChar w:fldCharType="begin"/>
      </w:r>
      <w:r w:rsidR="003E262F">
        <w:rPr>
          <w:rStyle w:val="AERtextbold"/>
        </w:rPr>
        <w:instrText xml:space="preserve"> SEQ Table \* ARABIC \s 1 </w:instrText>
      </w:r>
      <w:r w:rsidR="003E262F">
        <w:rPr>
          <w:rStyle w:val="AERtextbold"/>
        </w:rPr>
        <w:fldChar w:fldCharType="separate"/>
      </w:r>
      <w:r w:rsidR="003E262F">
        <w:rPr>
          <w:rStyle w:val="AERtextbold"/>
          <w:noProof/>
        </w:rPr>
        <w:t>25</w:t>
      </w:r>
      <w:r w:rsidR="003E262F">
        <w:rPr>
          <w:rStyle w:val="AERtextbold"/>
        </w:rPr>
        <w:fldChar w:fldCharType="end"/>
      </w:r>
      <w:r w:rsidRPr="00F92C29">
        <w:rPr>
          <w:rStyle w:val="AERtextbold"/>
        </w:rPr>
        <w:t xml:space="preserve"> Public Lighting – Endeavour Energy – draft determination</w:t>
      </w:r>
    </w:p>
    <w:tbl>
      <w:tblPr>
        <w:tblStyle w:val="AERtable-text"/>
        <w:tblW w:w="5000" w:type="pct"/>
        <w:tblLook w:val="04A0" w:firstRow="1" w:lastRow="0" w:firstColumn="1" w:lastColumn="0" w:noHBand="0" w:noVBand="1"/>
      </w:tblPr>
      <w:tblGrid>
        <w:gridCol w:w="5483"/>
        <w:gridCol w:w="1783"/>
        <w:gridCol w:w="2659"/>
        <w:gridCol w:w="1865"/>
        <w:gridCol w:w="2384"/>
      </w:tblGrid>
      <w:tr w:rsidR="0035741C" w:rsidRPr="00745089" w:rsidTr="001749C6">
        <w:trPr>
          <w:cnfStyle w:val="100000000000" w:firstRow="1" w:lastRow="0" w:firstColumn="0" w:lastColumn="0" w:oddVBand="0" w:evenVBand="0" w:oddHBand="0" w:evenHBand="0" w:firstRowFirstColumn="0" w:firstRowLastColumn="0" w:lastRowFirstColumn="0" w:lastRowLastColumn="0"/>
          <w:trHeight w:val="255"/>
        </w:trPr>
        <w:tc>
          <w:tcPr>
            <w:tcW w:w="1934" w:type="pct"/>
            <w:noWrap/>
            <w:hideMark/>
          </w:tcPr>
          <w:p w:rsidR="0035741C" w:rsidRPr="00745089" w:rsidRDefault="0035741C" w:rsidP="007848A6">
            <w:pPr>
              <w:pStyle w:val="AERtabletextleft"/>
            </w:pPr>
            <w:r w:rsidRPr="00745089">
              <w:t>Tariff Class 1 &amp; 2</w:t>
            </w:r>
          </w:p>
        </w:tc>
        <w:tc>
          <w:tcPr>
            <w:tcW w:w="1567" w:type="pct"/>
            <w:gridSpan w:val="2"/>
            <w:noWrap/>
            <w:hideMark/>
          </w:tcPr>
          <w:p w:rsidR="0035741C" w:rsidRPr="00745089" w:rsidRDefault="0035741C" w:rsidP="00F92C29">
            <w:pPr>
              <w:pStyle w:val="AERtabletextright"/>
            </w:pPr>
            <w:r w:rsidRPr="00745089">
              <w:t>Tariff 2 Opex</w:t>
            </w:r>
          </w:p>
        </w:tc>
        <w:tc>
          <w:tcPr>
            <w:tcW w:w="1499" w:type="pct"/>
            <w:gridSpan w:val="2"/>
            <w:noWrap/>
            <w:hideMark/>
          </w:tcPr>
          <w:p w:rsidR="0035741C" w:rsidRPr="00745089" w:rsidRDefault="0035741C" w:rsidP="00F92C29">
            <w:pPr>
              <w:pStyle w:val="AERtabletextright"/>
            </w:pPr>
            <w:r w:rsidRPr="00745089">
              <w:t>Total Tariff 1</w:t>
            </w:r>
          </w:p>
        </w:tc>
      </w:tr>
      <w:tr w:rsidR="0035741C" w:rsidRPr="00745089" w:rsidTr="001749C6">
        <w:trPr>
          <w:trHeight w:val="255"/>
        </w:trPr>
        <w:tc>
          <w:tcPr>
            <w:tcW w:w="1934" w:type="pct"/>
            <w:noWrap/>
            <w:hideMark/>
          </w:tcPr>
          <w:p w:rsidR="0035741C" w:rsidRPr="00745089" w:rsidRDefault="0035741C" w:rsidP="007848A6">
            <w:pPr>
              <w:pStyle w:val="AERtabletextleft"/>
            </w:pPr>
            <w:r w:rsidRPr="00745089">
              <w:t>Type</w:t>
            </w:r>
          </w:p>
        </w:tc>
        <w:tc>
          <w:tcPr>
            <w:tcW w:w="629" w:type="pct"/>
            <w:noWrap/>
            <w:hideMark/>
          </w:tcPr>
          <w:p w:rsidR="0035741C" w:rsidRPr="00745089" w:rsidRDefault="0035741C" w:rsidP="00F92C29">
            <w:pPr>
              <w:pStyle w:val="AERtabletextright"/>
            </w:pPr>
            <w:r w:rsidRPr="00745089">
              <w:t>Proposed</w:t>
            </w:r>
          </w:p>
        </w:tc>
        <w:tc>
          <w:tcPr>
            <w:tcW w:w="938" w:type="pct"/>
            <w:noWrap/>
            <w:hideMark/>
          </w:tcPr>
          <w:p w:rsidR="0035741C" w:rsidRPr="00745089" w:rsidRDefault="0035741C" w:rsidP="00F92C29">
            <w:pPr>
              <w:pStyle w:val="AERtabletextright"/>
            </w:pPr>
            <w:r w:rsidRPr="00745089">
              <w:t xml:space="preserve"> Draft decision </w:t>
            </w:r>
          </w:p>
        </w:tc>
        <w:tc>
          <w:tcPr>
            <w:tcW w:w="658" w:type="pct"/>
            <w:noWrap/>
            <w:hideMark/>
          </w:tcPr>
          <w:p w:rsidR="0035741C" w:rsidRPr="00745089" w:rsidRDefault="0035741C" w:rsidP="00F92C29">
            <w:pPr>
              <w:pStyle w:val="AERtabletextright"/>
            </w:pPr>
            <w:r w:rsidRPr="00745089">
              <w:t xml:space="preserve"> Proposed </w:t>
            </w:r>
          </w:p>
        </w:tc>
        <w:tc>
          <w:tcPr>
            <w:tcW w:w="841" w:type="pct"/>
            <w:noWrap/>
            <w:hideMark/>
          </w:tcPr>
          <w:p w:rsidR="0035741C" w:rsidRPr="00745089" w:rsidRDefault="0035741C" w:rsidP="00F92C29">
            <w:pPr>
              <w:pStyle w:val="AERtabletextright"/>
            </w:pPr>
            <w:r w:rsidRPr="00745089">
              <w:t xml:space="preserve"> Draft decision </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934" w:type="pct"/>
            <w:noWrap/>
            <w:hideMark/>
          </w:tcPr>
          <w:p w:rsidR="0035741C" w:rsidRPr="00745089" w:rsidRDefault="0035741C" w:rsidP="007848A6">
            <w:pPr>
              <w:pStyle w:val="AERtabletextleft"/>
            </w:pPr>
            <w:r w:rsidRPr="00745089">
              <w:t>1 x 20 W Fluorescent</w:t>
            </w:r>
          </w:p>
        </w:tc>
        <w:tc>
          <w:tcPr>
            <w:tcW w:w="629" w:type="pct"/>
            <w:noWrap/>
            <w:vAlign w:val="bottom"/>
            <w:hideMark/>
          </w:tcPr>
          <w:p w:rsidR="0035741C" w:rsidRPr="00B0350C" w:rsidRDefault="0035741C" w:rsidP="00F92C29">
            <w:pPr>
              <w:pStyle w:val="AERtabletextright"/>
            </w:pPr>
            <w:r w:rsidRPr="00B0350C">
              <w:t>46.28</w:t>
            </w:r>
          </w:p>
        </w:tc>
        <w:tc>
          <w:tcPr>
            <w:tcW w:w="938" w:type="pct"/>
            <w:noWrap/>
            <w:vAlign w:val="bottom"/>
            <w:hideMark/>
          </w:tcPr>
          <w:p w:rsidR="0035741C" w:rsidRPr="00B0350C" w:rsidRDefault="0035741C" w:rsidP="00F92C29">
            <w:pPr>
              <w:pStyle w:val="AERtabletextright"/>
            </w:pPr>
            <w:r w:rsidRPr="00B0350C">
              <w:t>44.05</w:t>
            </w:r>
          </w:p>
        </w:tc>
        <w:tc>
          <w:tcPr>
            <w:tcW w:w="658" w:type="pct"/>
            <w:noWrap/>
            <w:vAlign w:val="bottom"/>
            <w:hideMark/>
          </w:tcPr>
          <w:p w:rsidR="0035741C" w:rsidRPr="00B0350C" w:rsidRDefault="0035741C" w:rsidP="00F92C29">
            <w:pPr>
              <w:pStyle w:val="AERtabletextright"/>
            </w:pPr>
            <w:r w:rsidRPr="00B0350C">
              <w:t>46.93</w:t>
            </w:r>
          </w:p>
        </w:tc>
        <w:tc>
          <w:tcPr>
            <w:tcW w:w="841" w:type="pct"/>
            <w:noWrap/>
            <w:vAlign w:val="bottom"/>
            <w:hideMark/>
          </w:tcPr>
          <w:p w:rsidR="0035741C" w:rsidRPr="00B0350C" w:rsidRDefault="0035741C" w:rsidP="00F92C29">
            <w:pPr>
              <w:pStyle w:val="AERtabletextright"/>
            </w:pPr>
            <w:r w:rsidRPr="00B0350C">
              <w:t>44.68</w:t>
            </w:r>
          </w:p>
        </w:tc>
      </w:tr>
      <w:tr w:rsidR="0035741C" w:rsidRPr="00745089" w:rsidTr="001749C6">
        <w:trPr>
          <w:trHeight w:val="255"/>
        </w:trPr>
        <w:tc>
          <w:tcPr>
            <w:tcW w:w="1934" w:type="pct"/>
            <w:noWrap/>
            <w:hideMark/>
          </w:tcPr>
          <w:p w:rsidR="0035741C" w:rsidRPr="00745089" w:rsidRDefault="0035741C" w:rsidP="007848A6">
            <w:pPr>
              <w:pStyle w:val="AERtabletextleft"/>
            </w:pPr>
            <w:r w:rsidRPr="00745089">
              <w:t>2 x 20 W Fluorescent</w:t>
            </w:r>
          </w:p>
        </w:tc>
        <w:tc>
          <w:tcPr>
            <w:tcW w:w="629" w:type="pct"/>
            <w:noWrap/>
            <w:vAlign w:val="bottom"/>
            <w:hideMark/>
          </w:tcPr>
          <w:p w:rsidR="0035741C" w:rsidRPr="00B0350C" w:rsidRDefault="0035741C" w:rsidP="00F92C29">
            <w:pPr>
              <w:pStyle w:val="AERtabletextright"/>
            </w:pPr>
            <w:r w:rsidRPr="00B0350C">
              <w:t>49.02</w:t>
            </w:r>
          </w:p>
        </w:tc>
        <w:tc>
          <w:tcPr>
            <w:tcW w:w="938" w:type="pct"/>
            <w:noWrap/>
            <w:vAlign w:val="bottom"/>
            <w:hideMark/>
          </w:tcPr>
          <w:p w:rsidR="0035741C" w:rsidRPr="00B0350C" w:rsidRDefault="0035741C" w:rsidP="00F92C29">
            <w:pPr>
              <w:pStyle w:val="AERtabletextright"/>
            </w:pPr>
            <w:r w:rsidRPr="00B0350C">
              <w:t>46.66</w:t>
            </w:r>
          </w:p>
        </w:tc>
        <w:tc>
          <w:tcPr>
            <w:tcW w:w="658" w:type="pct"/>
            <w:noWrap/>
            <w:vAlign w:val="bottom"/>
            <w:hideMark/>
          </w:tcPr>
          <w:p w:rsidR="0035741C" w:rsidRPr="00B0350C" w:rsidRDefault="0035741C" w:rsidP="00F92C29">
            <w:pPr>
              <w:pStyle w:val="AERtabletextright"/>
            </w:pPr>
            <w:r w:rsidRPr="00B0350C">
              <w:t>49.30</w:t>
            </w:r>
          </w:p>
        </w:tc>
        <w:tc>
          <w:tcPr>
            <w:tcW w:w="841" w:type="pct"/>
            <w:noWrap/>
            <w:vAlign w:val="bottom"/>
            <w:hideMark/>
          </w:tcPr>
          <w:p w:rsidR="0035741C" w:rsidRPr="00B0350C" w:rsidRDefault="0035741C" w:rsidP="00F92C29">
            <w:pPr>
              <w:pStyle w:val="AERtabletextright"/>
            </w:pPr>
            <w:r w:rsidRPr="00B0350C">
              <w:t>46.93</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934" w:type="pct"/>
            <w:noWrap/>
            <w:hideMark/>
          </w:tcPr>
          <w:p w:rsidR="0035741C" w:rsidRPr="00745089" w:rsidRDefault="0035741C" w:rsidP="007848A6">
            <w:pPr>
              <w:pStyle w:val="AERtabletextleft"/>
            </w:pPr>
            <w:r w:rsidRPr="00745089">
              <w:t>4 x 20 W Fluorescent</w:t>
            </w:r>
          </w:p>
        </w:tc>
        <w:tc>
          <w:tcPr>
            <w:tcW w:w="629" w:type="pct"/>
            <w:noWrap/>
            <w:vAlign w:val="bottom"/>
            <w:hideMark/>
          </w:tcPr>
          <w:p w:rsidR="0035741C" w:rsidRPr="00B0350C" w:rsidRDefault="0035741C" w:rsidP="00F92C29">
            <w:pPr>
              <w:pStyle w:val="AERtabletextright"/>
            </w:pPr>
            <w:r w:rsidRPr="00B0350C">
              <w:t>54.51</w:t>
            </w:r>
          </w:p>
        </w:tc>
        <w:tc>
          <w:tcPr>
            <w:tcW w:w="938" w:type="pct"/>
            <w:noWrap/>
            <w:vAlign w:val="bottom"/>
            <w:hideMark/>
          </w:tcPr>
          <w:p w:rsidR="0035741C" w:rsidRPr="00B0350C" w:rsidRDefault="0035741C" w:rsidP="00F92C29">
            <w:pPr>
              <w:pStyle w:val="AERtabletextright"/>
            </w:pPr>
            <w:r w:rsidRPr="00B0350C">
              <w:t>51.88</w:t>
            </w:r>
          </w:p>
        </w:tc>
        <w:tc>
          <w:tcPr>
            <w:tcW w:w="658" w:type="pct"/>
            <w:noWrap/>
            <w:vAlign w:val="bottom"/>
            <w:hideMark/>
          </w:tcPr>
          <w:p w:rsidR="0035741C" w:rsidRPr="00B0350C" w:rsidRDefault="0035741C" w:rsidP="00F92C29">
            <w:pPr>
              <w:pStyle w:val="AERtabletextright"/>
            </w:pPr>
            <w:r w:rsidRPr="00B0350C">
              <w:t>54.51</w:t>
            </w:r>
          </w:p>
        </w:tc>
        <w:tc>
          <w:tcPr>
            <w:tcW w:w="841" w:type="pct"/>
            <w:noWrap/>
            <w:vAlign w:val="bottom"/>
            <w:hideMark/>
          </w:tcPr>
          <w:p w:rsidR="0035741C" w:rsidRPr="00B0350C" w:rsidRDefault="0035741C" w:rsidP="00F92C29">
            <w:pPr>
              <w:pStyle w:val="AERtabletextright"/>
            </w:pPr>
            <w:r w:rsidRPr="00B0350C">
              <w:t>51.88</w:t>
            </w:r>
          </w:p>
        </w:tc>
      </w:tr>
      <w:tr w:rsidR="0035741C" w:rsidRPr="00745089" w:rsidTr="001749C6">
        <w:trPr>
          <w:trHeight w:val="255"/>
        </w:trPr>
        <w:tc>
          <w:tcPr>
            <w:tcW w:w="1934" w:type="pct"/>
            <w:noWrap/>
            <w:hideMark/>
          </w:tcPr>
          <w:p w:rsidR="0035741C" w:rsidRPr="00745089" w:rsidRDefault="0035741C" w:rsidP="007848A6">
            <w:pPr>
              <w:pStyle w:val="AERtabletextleft"/>
            </w:pPr>
            <w:r w:rsidRPr="00745089">
              <w:t>2 x 14 W Fluorescent</w:t>
            </w:r>
          </w:p>
        </w:tc>
        <w:tc>
          <w:tcPr>
            <w:tcW w:w="629" w:type="pct"/>
            <w:noWrap/>
            <w:vAlign w:val="bottom"/>
            <w:hideMark/>
          </w:tcPr>
          <w:p w:rsidR="0035741C" w:rsidRPr="00B0350C" w:rsidRDefault="0035741C" w:rsidP="00F92C29">
            <w:pPr>
              <w:pStyle w:val="AERtabletextright"/>
            </w:pPr>
            <w:r w:rsidRPr="00B0350C">
              <w:t>45.00</w:t>
            </w:r>
          </w:p>
        </w:tc>
        <w:tc>
          <w:tcPr>
            <w:tcW w:w="938" w:type="pct"/>
            <w:noWrap/>
            <w:vAlign w:val="bottom"/>
            <w:hideMark/>
          </w:tcPr>
          <w:p w:rsidR="0035741C" w:rsidRPr="00B0350C" w:rsidRDefault="0035741C" w:rsidP="00F92C29">
            <w:pPr>
              <w:pStyle w:val="AERtabletextright"/>
            </w:pPr>
            <w:r w:rsidRPr="00B0350C">
              <w:t>42.83</w:t>
            </w:r>
          </w:p>
        </w:tc>
        <w:tc>
          <w:tcPr>
            <w:tcW w:w="658" w:type="pct"/>
            <w:noWrap/>
            <w:vAlign w:val="bottom"/>
            <w:hideMark/>
          </w:tcPr>
          <w:p w:rsidR="0035741C" w:rsidRPr="00B0350C" w:rsidRDefault="0035741C" w:rsidP="00F92C29">
            <w:pPr>
              <w:pStyle w:val="AERtabletextright"/>
            </w:pPr>
            <w:r w:rsidRPr="00B0350C">
              <w:t>45.13</w:t>
            </w:r>
          </w:p>
        </w:tc>
        <w:tc>
          <w:tcPr>
            <w:tcW w:w="841" w:type="pct"/>
            <w:noWrap/>
            <w:vAlign w:val="bottom"/>
            <w:hideMark/>
          </w:tcPr>
          <w:p w:rsidR="0035741C" w:rsidRPr="00B0350C" w:rsidRDefault="0035741C" w:rsidP="00F92C29">
            <w:pPr>
              <w:pStyle w:val="AERtabletextright"/>
            </w:pPr>
            <w:r w:rsidRPr="00B0350C">
              <w:t>42.95</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934" w:type="pct"/>
            <w:noWrap/>
            <w:hideMark/>
          </w:tcPr>
          <w:p w:rsidR="0035741C" w:rsidRPr="00745089" w:rsidRDefault="0035741C" w:rsidP="007848A6">
            <w:pPr>
              <w:pStyle w:val="AERtabletextleft"/>
            </w:pPr>
            <w:r w:rsidRPr="00745089">
              <w:t>2 x 24 W Fluorescent</w:t>
            </w:r>
          </w:p>
        </w:tc>
        <w:tc>
          <w:tcPr>
            <w:tcW w:w="629" w:type="pct"/>
            <w:noWrap/>
            <w:vAlign w:val="bottom"/>
            <w:hideMark/>
          </w:tcPr>
          <w:p w:rsidR="0035741C" w:rsidRPr="00B0350C" w:rsidRDefault="0035741C" w:rsidP="00F92C29">
            <w:pPr>
              <w:pStyle w:val="AERtabletextright"/>
            </w:pPr>
            <w:r w:rsidRPr="00B0350C">
              <w:t>46.28</w:t>
            </w:r>
          </w:p>
        </w:tc>
        <w:tc>
          <w:tcPr>
            <w:tcW w:w="938" w:type="pct"/>
            <w:noWrap/>
            <w:vAlign w:val="bottom"/>
            <w:hideMark/>
          </w:tcPr>
          <w:p w:rsidR="0035741C" w:rsidRPr="00B0350C" w:rsidRDefault="0035741C" w:rsidP="00F92C29">
            <w:pPr>
              <w:pStyle w:val="AERtabletextright"/>
            </w:pPr>
            <w:r w:rsidRPr="00B0350C">
              <w:t>44.05</w:t>
            </w:r>
          </w:p>
        </w:tc>
        <w:tc>
          <w:tcPr>
            <w:tcW w:w="658" w:type="pct"/>
            <w:noWrap/>
            <w:vAlign w:val="bottom"/>
            <w:hideMark/>
          </w:tcPr>
          <w:p w:rsidR="0035741C" w:rsidRPr="00B0350C" w:rsidRDefault="0035741C" w:rsidP="00F92C29">
            <w:pPr>
              <w:pStyle w:val="AERtabletextright"/>
            </w:pPr>
            <w:r w:rsidRPr="00B0350C">
              <w:t>46.28</w:t>
            </w:r>
          </w:p>
        </w:tc>
        <w:tc>
          <w:tcPr>
            <w:tcW w:w="841" w:type="pct"/>
            <w:noWrap/>
            <w:vAlign w:val="bottom"/>
            <w:hideMark/>
          </w:tcPr>
          <w:p w:rsidR="0035741C" w:rsidRPr="00B0350C" w:rsidRDefault="0035741C" w:rsidP="00F92C29">
            <w:pPr>
              <w:pStyle w:val="AERtabletextright"/>
            </w:pPr>
            <w:r w:rsidRPr="00B0350C">
              <w:t>44.05</w:t>
            </w:r>
          </w:p>
        </w:tc>
      </w:tr>
      <w:tr w:rsidR="0035741C" w:rsidRPr="00745089" w:rsidTr="001749C6">
        <w:trPr>
          <w:trHeight w:val="255"/>
        </w:trPr>
        <w:tc>
          <w:tcPr>
            <w:tcW w:w="1934" w:type="pct"/>
            <w:noWrap/>
            <w:hideMark/>
          </w:tcPr>
          <w:p w:rsidR="0035741C" w:rsidRPr="00745089" w:rsidRDefault="0035741C" w:rsidP="007848A6">
            <w:pPr>
              <w:pStyle w:val="AERtabletextleft"/>
            </w:pPr>
            <w:r w:rsidRPr="00745089">
              <w:t>1 x 40 W Fluorescent</w:t>
            </w:r>
          </w:p>
        </w:tc>
        <w:tc>
          <w:tcPr>
            <w:tcW w:w="629" w:type="pct"/>
            <w:noWrap/>
            <w:vAlign w:val="bottom"/>
            <w:hideMark/>
          </w:tcPr>
          <w:p w:rsidR="0035741C" w:rsidRPr="00B0350C" w:rsidRDefault="0035741C" w:rsidP="00F92C29">
            <w:pPr>
              <w:pStyle w:val="AERtabletextright"/>
            </w:pPr>
            <w:r w:rsidRPr="00B0350C">
              <w:t>45.02</w:t>
            </w:r>
          </w:p>
        </w:tc>
        <w:tc>
          <w:tcPr>
            <w:tcW w:w="938" w:type="pct"/>
            <w:noWrap/>
            <w:vAlign w:val="bottom"/>
            <w:hideMark/>
          </w:tcPr>
          <w:p w:rsidR="0035741C" w:rsidRPr="00B0350C" w:rsidRDefault="0035741C" w:rsidP="00F92C29">
            <w:pPr>
              <w:pStyle w:val="AERtabletextright"/>
            </w:pPr>
            <w:r w:rsidRPr="00B0350C">
              <w:t>42.85</w:t>
            </w:r>
          </w:p>
        </w:tc>
        <w:tc>
          <w:tcPr>
            <w:tcW w:w="658" w:type="pct"/>
            <w:noWrap/>
            <w:vAlign w:val="bottom"/>
            <w:hideMark/>
          </w:tcPr>
          <w:p w:rsidR="0035741C" w:rsidRPr="00B0350C" w:rsidRDefault="0035741C" w:rsidP="00F92C29">
            <w:pPr>
              <w:pStyle w:val="AERtabletextright"/>
            </w:pPr>
            <w:r w:rsidRPr="00B0350C">
              <w:t>45.08</w:t>
            </w:r>
          </w:p>
        </w:tc>
        <w:tc>
          <w:tcPr>
            <w:tcW w:w="841" w:type="pct"/>
            <w:noWrap/>
            <w:vAlign w:val="bottom"/>
            <w:hideMark/>
          </w:tcPr>
          <w:p w:rsidR="0035741C" w:rsidRPr="00B0350C" w:rsidRDefault="0035741C" w:rsidP="00F92C29">
            <w:pPr>
              <w:pStyle w:val="AERtabletextright"/>
            </w:pPr>
            <w:r w:rsidRPr="00B0350C">
              <w:t>42.91</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934" w:type="pct"/>
            <w:noWrap/>
            <w:hideMark/>
          </w:tcPr>
          <w:p w:rsidR="0035741C" w:rsidRPr="00745089" w:rsidRDefault="0035741C" w:rsidP="007848A6">
            <w:pPr>
              <w:pStyle w:val="AERtabletextleft"/>
            </w:pPr>
            <w:r w:rsidRPr="00745089">
              <w:t>2 x 40 W Fluorescent</w:t>
            </w:r>
          </w:p>
        </w:tc>
        <w:tc>
          <w:tcPr>
            <w:tcW w:w="629" w:type="pct"/>
            <w:noWrap/>
            <w:vAlign w:val="bottom"/>
            <w:hideMark/>
          </w:tcPr>
          <w:p w:rsidR="0035741C" w:rsidRPr="00B0350C" w:rsidRDefault="0035741C" w:rsidP="00F92C29">
            <w:pPr>
              <w:pStyle w:val="AERtabletextright"/>
            </w:pPr>
            <w:r w:rsidRPr="00B0350C">
              <w:t>46.49</w:t>
            </w:r>
          </w:p>
        </w:tc>
        <w:tc>
          <w:tcPr>
            <w:tcW w:w="938" w:type="pct"/>
            <w:noWrap/>
            <w:vAlign w:val="bottom"/>
            <w:hideMark/>
          </w:tcPr>
          <w:p w:rsidR="0035741C" w:rsidRPr="00B0350C" w:rsidRDefault="0035741C" w:rsidP="00F92C29">
            <w:pPr>
              <w:pStyle w:val="AERtabletextright"/>
            </w:pPr>
            <w:r w:rsidRPr="00B0350C">
              <w:t>44.25</w:t>
            </w:r>
          </w:p>
        </w:tc>
        <w:tc>
          <w:tcPr>
            <w:tcW w:w="658" w:type="pct"/>
            <w:noWrap/>
            <w:vAlign w:val="bottom"/>
            <w:hideMark/>
          </w:tcPr>
          <w:p w:rsidR="0035741C" w:rsidRPr="00B0350C" w:rsidRDefault="0035741C" w:rsidP="00F92C29">
            <w:pPr>
              <w:pStyle w:val="AERtabletextright"/>
            </w:pPr>
            <w:r w:rsidRPr="00B0350C">
              <w:t>46.49</w:t>
            </w:r>
          </w:p>
        </w:tc>
        <w:tc>
          <w:tcPr>
            <w:tcW w:w="841" w:type="pct"/>
            <w:noWrap/>
            <w:vAlign w:val="bottom"/>
            <w:hideMark/>
          </w:tcPr>
          <w:p w:rsidR="0035741C" w:rsidRPr="00B0350C" w:rsidRDefault="0035741C" w:rsidP="00F92C29">
            <w:pPr>
              <w:pStyle w:val="AERtabletextright"/>
            </w:pPr>
            <w:r w:rsidRPr="00B0350C">
              <w:t>44.25</w:t>
            </w:r>
          </w:p>
        </w:tc>
      </w:tr>
      <w:tr w:rsidR="0035741C" w:rsidRPr="00745089" w:rsidTr="001749C6">
        <w:trPr>
          <w:trHeight w:val="255"/>
        </w:trPr>
        <w:tc>
          <w:tcPr>
            <w:tcW w:w="1934" w:type="pct"/>
            <w:noWrap/>
            <w:hideMark/>
          </w:tcPr>
          <w:p w:rsidR="0035741C" w:rsidRPr="00745089" w:rsidRDefault="0035741C" w:rsidP="007848A6">
            <w:pPr>
              <w:pStyle w:val="AERtabletextleft"/>
            </w:pPr>
            <w:r w:rsidRPr="00745089">
              <w:t>1 x 42 W Fluorescent</w:t>
            </w:r>
          </w:p>
        </w:tc>
        <w:tc>
          <w:tcPr>
            <w:tcW w:w="629" w:type="pct"/>
            <w:noWrap/>
            <w:vAlign w:val="bottom"/>
            <w:hideMark/>
          </w:tcPr>
          <w:p w:rsidR="0035741C" w:rsidRPr="00B0350C" w:rsidRDefault="0035741C" w:rsidP="00F92C29">
            <w:pPr>
              <w:pStyle w:val="AERtabletextright"/>
            </w:pPr>
            <w:r w:rsidRPr="00B0350C">
              <w:t>45.02</w:t>
            </w:r>
          </w:p>
        </w:tc>
        <w:tc>
          <w:tcPr>
            <w:tcW w:w="938" w:type="pct"/>
            <w:noWrap/>
            <w:vAlign w:val="bottom"/>
            <w:hideMark/>
          </w:tcPr>
          <w:p w:rsidR="0035741C" w:rsidRPr="00B0350C" w:rsidRDefault="0035741C" w:rsidP="00F92C29">
            <w:pPr>
              <w:pStyle w:val="AERtabletextright"/>
            </w:pPr>
            <w:r w:rsidRPr="00B0350C">
              <w:t>42.85</w:t>
            </w:r>
          </w:p>
        </w:tc>
        <w:tc>
          <w:tcPr>
            <w:tcW w:w="658" w:type="pct"/>
            <w:noWrap/>
            <w:vAlign w:val="bottom"/>
            <w:hideMark/>
          </w:tcPr>
          <w:p w:rsidR="0035741C" w:rsidRPr="00B0350C" w:rsidRDefault="0035741C" w:rsidP="00F92C29">
            <w:pPr>
              <w:pStyle w:val="AERtabletextright"/>
            </w:pPr>
            <w:r w:rsidRPr="00B0350C">
              <w:t>45.02</w:t>
            </w:r>
          </w:p>
        </w:tc>
        <w:tc>
          <w:tcPr>
            <w:tcW w:w="841" w:type="pct"/>
            <w:noWrap/>
            <w:vAlign w:val="bottom"/>
            <w:hideMark/>
          </w:tcPr>
          <w:p w:rsidR="0035741C" w:rsidRPr="00B0350C" w:rsidRDefault="0035741C" w:rsidP="00F92C29">
            <w:pPr>
              <w:pStyle w:val="AERtabletextright"/>
            </w:pPr>
            <w:r w:rsidRPr="00B0350C">
              <w:t>42.85</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934" w:type="pct"/>
            <w:noWrap/>
            <w:hideMark/>
          </w:tcPr>
          <w:p w:rsidR="0035741C" w:rsidRPr="00745089" w:rsidRDefault="0035741C" w:rsidP="007848A6">
            <w:pPr>
              <w:pStyle w:val="AERtabletextleft"/>
            </w:pPr>
            <w:r w:rsidRPr="00745089">
              <w:t>50W Mercury</w:t>
            </w:r>
          </w:p>
        </w:tc>
        <w:tc>
          <w:tcPr>
            <w:tcW w:w="629" w:type="pct"/>
            <w:noWrap/>
            <w:vAlign w:val="bottom"/>
            <w:hideMark/>
          </w:tcPr>
          <w:p w:rsidR="0035741C" w:rsidRPr="00B0350C" w:rsidRDefault="0035741C" w:rsidP="00F92C29">
            <w:pPr>
              <w:pStyle w:val="AERtabletextright"/>
            </w:pPr>
            <w:r w:rsidRPr="00B0350C">
              <w:t>44.17</w:t>
            </w:r>
          </w:p>
        </w:tc>
        <w:tc>
          <w:tcPr>
            <w:tcW w:w="938" w:type="pct"/>
            <w:noWrap/>
            <w:vAlign w:val="bottom"/>
            <w:hideMark/>
          </w:tcPr>
          <w:p w:rsidR="0035741C" w:rsidRPr="00B0350C" w:rsidRDefault="0035741C" w:rsidP="00F92C29">
            <w:pPr>
              <w:pStyle w:val="AERtabletextright"/>
            </w:pPr>
            <w:r w:rsidRPr="00B0350C">
              <w:t>42.04</w:t>
            </w:r>
          </w:p>
        </w:tc>
        <w:tc>
          <w:tcPr>
            <w:tcW w:w="658" w:type="pct"/>
            <w:noWrap/>
            <w:vAlign w:val="bottom"/>
            <w:hideMark/>
          </w:tcPr>
          <w:p w:rsidR="0035741C" w:rsidRPr="00B0350C" w:rsidRDefault="0035741C" w:rsidP="00F92C29">
            <w:pPr>
              <w:pStyle w:val="AERtabletextright"/>
            </w:pPr>
            <w:r w:rsidRPr="00B0350C">
              <w:t>53.95</w:t>
            </w:r>
          </w:p>
        </w:tc>
        <w:tc>
          <w:tcPr>
            <w:tcW w:w="841" w:type="pct"/>
            <w:noWrap/>
            <w:vAlign w:val="bottom"/>
            <w:hideMark/>
          </w:tcPr>
          <w:p w:rsidR="0035741C" w:rsidRPr="00B0350C" w:rsidRDefault="0035741C" w:rsidP="00F92C29">
            <w:pPr>
              <w:pStyle w:val="AERtabletextright"/>
            </w:pPr>
            <w:r w:rsidRPr="00B0350C">
              <w:t>51.56</w:t>
            </w:r>
          </w:p>
        </w:tc>
      </w:tr>
      <w:tr w:rsidR="0035741C" w:rsidRPr="00745089" w:rsidTr="001749C6">
        <w:trPr>
          <w:trHeight w:val="255"/>
        </w:trPr>
        <w:tc>
          <w:tcPr>
            <w:tcW w:w="1934" w:type="pct"/>
            <w:noWrap/>
            <w:hideMark/>
          </w:tcPr>
          <w:p w:rsidR="0035741C" w:rsidRPr="00745089" w:rsidRDefault="0035741C" w:rsidP="007848A6">
            <w:pPr>
              <w:pStyle w:val="AERtabletextleft"/>
            </w:pPr>
            <w:r w:rsidRPr="00745089">
              <w:t>80W Mercury</w:t>
            </w:r>
          </w:p>
        </w:tc>
        <w:tc>
          <w:tcPr>
            <w:tcW w:w="629" w:type="pct"/>
            <w:noWrap/>
            <w:vAlign w:val="bottom"/>
            <w:hideMark/>
          </w:tcPr>
          <w:p w:rsidR="0035741C" w:rsidRPr="00B0350C" w:rsidRDefault="0035741C" w:rsidP="00F92C29">
            <w:pPr>
              <w:pStyle w:val="AERtabletextright"/>
            </w:pPr>
            <w:r w:rsidRPr="00B0350C">
              <w:t>44.64</w:t>
            </w:r>
          </w:p>
        </w:tc>
        <w:tc>
          <w:tcPr>
            <w:tcW w:w="938" w:type="pct"/>
            <w:noWrap/>
            <w:vAlign w:val="bottom"/>
            <w:hideMark/>
          </w:tcPr>
          <w:p w:rsidR="0035741C" w:rsidRPr="00B0350C" w:rsidRDefault="0035741C" w:rsidP="00F92C29">
            <w:pPr>
              <w:pStyle w:val="AERtabletextright"/>
            </w:pPr>
            <w:r w:rsidRPr="00B0350C">
              <w:t>42.49</w:t>
            </w:r>
          </w:p>
        </w:tc>
        <w:tc>
          <w:tcPr>
            <w:tcW w:w="658" w:type="pct"/>
            <w:noWrap/>
            <w:vAlign w:val="bottom"/>
            <w:hideMark/>
          </w:tcPr>
          <w:p w:rsidR="0035741C" w:rsidRPr="00B0350C" w:rsidRDefault="0035741C" w:rsidP="00F92C29">
            <w:pPr>
              <w:pStyle w:val="AERtabletextright"/>
            </w:pPr>
            <w:r w:rsidRPr="00B0350C">
              <w:t>47.11</w:t>
            </w:r>
          </w:p>
        </w:tc>
        <w:tc>
          <w:tcPr>
            <w:tcW w:w="841" w:type="pct"/>
            <w:noWrap/>
            <w:vAlign w:val="bottom"/>
            <w:hideMark/>
          </w:tcPr>
          <w:p w:rsidR="0035741C" w:rsidRPr="00B0350C" w:rsidRDefault="0035741C" w:rsidP="00F92C29">
            <w:pPr>
              <w:pStyle w:val="AERtabletextright"/>
            </w:pPr>
            <w:r w:rsidRPr="00B0350C">
              <w:t>44.91</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934" w:type="pct"/>
            <w:noWrap/>
            <w:hideMark/>
          </w:tcPr>
          <w:p w:rsidR="0035741C" w:rsidRPr="00745089" w:rsidRDefault="0035741C" w:rsidP="007848A6">
            <w:pPr>
              <w:pStyle w:val="AERtabletextleft"/>
            </w:pPr>
            <w:r w:rsidRPr="00745089">
              <w:t>125W Mercury</w:t>
            </w:r>
          </w:p>
        </w:tc>
        <w:tc>
          <w:tcPr>
            <w:tcW w:w="629" w:type="pct"/>
            <w:noWrap/>
            <w:vAlign w:val="bottom"/>
            <w:hideMark/>
          </w:tcPr>
          <w:p w:rsidR="0035741C" w:rsidRPr="00B0350C" w:rsidRDefault="0035741C" w:rsidP="00F92C29">
            <w:pPr>
              <w:pStyle w:val="AERtabletextright"/>
            </w:pPr>
            <w:r w:rsidRPr="00B0350C">
              <w:t>44.64</w:t>
            </w:r>
          </w:p>
        </w:tc>
        <w:tc>
          <w:tcPr>
            <w:tcW w:w="938" w:type="pct"/>
            <w:noWrap/>
            <w:vAlign w:val="bottom"/>
            <w:hideMark/>
          </w:tcPr>
          <w:p w:rsidR="0035741C" w:rsidRPr="00B0350C" w:rsidRDefault="0035741C" w:rsidP="00F92C29">
            <w:pPr>
              <w:pStyle w:val="AERtabletextright"/>
            </w:pPr>
            <w:r w:rsidRPr="00B0350C">
              <w:t>42.49</w:t>
            </w:r>
          </w:p>
        </w:tc>
        <w:tc>
          <w:tcPr>
            <w:tcW w:w="658" w:type="pct"/>
            <w:noWrap/>
            <w:vAlign w:val="bottom"/>
            <w:hideMark/>
          </w:tcPr>
          <w:p w:rsidR="0035741C" w:rsidRPr="00B0350C" w:rsidRDefault="0035741C" w:rsidP="00F92C29">
            <w:pPr>
              <w:pStyle w:val="AERtabletextright"/>
            </w:pPr>
            <w:r w:rsidRPr="00B0350C">
              <w:t>44.96</w:t>
            </w:r>
          </w:p>
        </w:tc>
        <w:tc>
          <w:tcPr>
            <w:tcW w:w="841" w:type="pct"/>
            <w:noWrap/>
            <w:vAlign w:val="bottom"/>
            <w:hideMark/>
          </w:tcPr>
          <w:p w:rsidR="0035741C" w:rsidRPr="00B0350C" w:rsidRDefault="0035741C" w:rsidP="00F92C29">
            <w:pPr>
              <w:pStyle w:val="AERtabletextright"/>
            </w:pPr>
            <w:r w:rsidRPr="00B0350C">
              <w:t>42.80</w:t>
            </w:r>
          </w:p>
        </w:tc>
      </w:tr>
      <w:tr w:rsidR="0035741C" w:rsidRPr="00745089" w:rsidTr="001749C6">
        <w:trPr>
          <w:trHeight w:val="255"/>
        </w:trPr>
        <w:tc>
          <w:tcPr>
            <w:tcW w:w="1934" w:type="pct"/>
            <w:noWrap/>
            <w:hideMark/>
          </w:tcPr>
          <w:p w:rsidR="0035741C" w:rsidRPr="00745089" w:rsidRDefault="0035741C" w:rsidP="007848A6">
            <w:pPr>
              <w:pStyle w:val="AERtabletextleft"/>
            </w:pPr>
            <w:r w:rsidRPr="00745089">
              <w:t>250W Mercury</w:t>
            </w:r>
          </w:p>
        </w:tc>
        <w:tc>
          <w:tcPr>
            <w:tcW w:w="629" w:type="pct"/>
            <w:noWrap/>
            <w:vAlign w:val="bottom"/>
            <w:hideMark/>
          </w:tcPr>
          <w:p w:rsidR="0035741C" w:rsidRPr="00B0350C" w:rsidRDefault="0035741C" w:rsidP="00F92C29">
            <w:pPr>
              <w:pStyle w:val="AERtabletextright"/>
            </w:pPr>
            <w:r w:rsidRPr="00B0350C">
              <w:t>44.64</w:t>
            </w:r>
          </w:p>
        </w:tc>
        <w:tc>
          <w:tcPr>
            <w:tcW w:w="938" w:type="pct"/>
            <w:noWrap/>
            <w:vAlign w:val="bottom"/>
            <w:hideMark/>
          </w:tcPr>
          <w:p w:rsidR="0035741C" w:rsidRPr="00B0350C" w:rsidRDefault="0035741C" w:rsidP="00F92C29">
            <w:pPr>
              <w:pStyle w:val="AERtabletextright"/>
            </w:pPr>
            <w:r w:rsidRPr="00B0350C">
              <w:t>42.49</w:t>
            </w:r>
          </w:p>
        </w:tc>
        <w:tc>
          <w:tcPr>
            <w:tcW w:w="658" w:type="pct"/>
            <w:noWrap/>
            <w:vAlign w:val="bottom"/>
            <w:hideMark/>
          </w:tcPr>
          <w:p w:rsidR="0035741C" w:rsidRPr="00B0350C" w:rsidRDefault="0035741C" w:rsidP="00F92C29">
            <w:pPr>
              <w:pStyle w:val="AERtabletextright"/>
            </w:pPr>
            <w:r w:rsidRPr="00B0350C">
              <w:t>48.96</w:t>
            </w:r>
          </w:p>
        </w:tc>
        <w:tc>
          <w:tcPr>
            <w:tcW w:w="841" w:type="pct"/>
            <w:noWrap/>
            <w:vAlign w:val="bottom"/>
            <w:hideMark/>
          </w:tcPr>
          <w:p w:rsidR="0035741C" w:rsidRPr="00B0350C" w:rsidRDefault="0035741C" w:rsidP="00F92C29">
            <w:pPr>
              <w:pStyle w:val="AERtabletextright"/>
            </w:pPr>
            <w:r w:rsidRPr="00B0350C">
              <w:t>46.68</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934" w:type="pct"/>
            <w:noWrap/>
            <w:hideMark/>
          </w:tcPr>
          <w:p w:rsidR="0035741C" w:rsidRPr="00745089" w:rsidRDefault="0035741C" w:rsidP="007848A6">
            <w:pPr>
              <w:pStyle w:val="AERtabletextleft"/>
            </w:pPr>
            <w:r w:rsidRPr="00745089">
              <w:t>2 x 250W Mercury</w:t>
            </w:r>
          </w:p>
        </w:tc>
        <w:tc>
          <w:tcPr>
            <w:tcW w:w="629" w:type="pct"/>
            <w:noWrap/>
            <w:vAlign w:val="bottom"/>
            <w:hideMark/>
          </w:tcPr>
          <w:p w:rsidR="0035741C" w:rsidRPr="00B0350C" w:rsidRDefault="0035741C" w:rsidP="00F92C29">
            <w:pPr>
              <w:pStyle w:val="AERtabletextright"/>
            </w:pPr>
            <w:r w:rsidRPr="00B0350C">
              <w:t>45.73</w:t>
            </w:r>
          </w:p>
        </w:tc>
        <w:tc>
          <w:tcPr>
            <w:tcW w:w="938" w:type="pct"/>
            <w:noWrap/>
            <w:vAlign w:val="bottom"/>
            <w:hideMark/>
          </w:tcPr>
          <w:p w:rsidR="0035741C" w:rsidRPr="00B0350C" w:rsidRDefault="0035741C" w:rsidP="00F92C29">
            <w:pPr>
              <w:pStyle w:val="AERtabletextright"/>
            </w:pPr>
            <w:r w:rsidRPr="00B0350C">
              <w:t>43.53</w:t>
            </w:r>
          </w:p>
        </w:tc>
        <w:tc>
          <w:tcPr>
            <w:tcW w:w="658" w:type="pct"/>
            <w:noWrap/>
            <w:vAlign w:val="bottom"/>
            <w:hideMark/>
          </w:tcPr>
          <w:p w:rsidR="0035741C" w:rsidRPr="00B0350C" w:rsidRDefault="0035741C" w:rsidP="00F92C29">
            <w:pPr>
              <w:pStyle w:val="AERtabletextright"/>
            </w:pPr>
            <w:r w:rsidRPr="00B0350C">
              <w:t>45.73</w:t>
            </w:r>
          </w:p>
        </w:tc>
        <w:tc>
          <w:tcPr>
            <w:tcW w:w="841" w:type="pct"/>
            <w:noWrap/>
            <w:vAlign w:val="bottom"/>
            <w:hideMark/>
          </w:tcPr>
          <w:p w:rsidR="0035741C" w:rsidRPr="00B0350C" w:rsidRDefault="0035741C" w:rsidP="00F92C29">
            <w:pPr>
              <w:pStyle w:val="AERtabletextright"/>
            </w:pPr>
            <w:r w:rsidRPr="00B0350C">
              <w:t>43.53</w:t>
            </w:r>
          </w:p>
        </w:tc>
      </w:tr>
      <w:tr w:rsidR="0035741C" w:rsidRPr="00745089" w:rsidTr="001749C6">
        <w:trPr>
          <w:trHeight w:val="255"/>
        </w:trPr>
        <w:tc>
          <w:tcPr>
            <w:tcW w:w="1934" w:type="pct"/>
            <w:noWrap/>
            <w:hideMark/>
          </w:tcPr>
          <w:p w:rsidR="0035741C" w:rsidRPr="00745089" w:rsidRDefault="0035741C" w:rsidP="007848A6">
            <w:pPr>
              <w:pStyle w:val="AERtabletextleft"/>
            </w:pPr>
            <w:r w:rsidRPr="00745089">
              <w:t>400 W Mercury</w:t>
            </w:r>
          </w:p>
        </w:tc>
        <w:tc>
          <w:tcPr>
            <w:tcW w:w="629" w:type="pct"/>
            <w:noWrap/>
            <w:vAlign w:val="bottom"/>
            <w:hideMark/>
          </w:tcPr>
          <w:p w:rsidR="0035741C" w:rsidRPr="00B0350C" w:rsidRDefault="0035741C" w:rsidP="00F92C29">
            <w:pPr>
              <w:pStyle w:val="AERtabletextright"/>
            </w:pPr>
            <w:r w:rsidRPr="00B0350C">
              <w:t>44.64</w:t>
            </w:r>
          </w:p>
        </w:tc>
        <w:tc>
          <w:tcPr>
            <w:tcW w:w="938" w:type="pct"/>
            <w:noWrap/>
            <w:vAlign w:val="bottom"/>
            <w:hideMark/>
          </w:tcPr>
          <w:p w:rsidR="0035741C" w:rsidRPr="00B0350C" w:rsidRDefault="0035741C" w:rsidP="00F92C29">
            <w:pPr>
              <w:pStyle w:val="AERtabletextright"/>
            </w:pPr>
            <w:r w:rsidRPr="00B0350C">
              <w:t>42.49</w:t>
            </w:r>
          </w:p>
        </w:tc>
        <w:tc>
          <w:tcPr>
            <w:tcW w:w="658" w:type="pct"/>
            <w:noWrap/>
            <w:vAlign w:val="bottom"/>
            <w:hideMark/>
          </w:tcPr>
          <w:p w:rsidR="0035741C" w:rsidRPr="00B0350C" w:rsidRDefault="0035741C" w:rsidP="00F92C29">
            <w:pPr>
              <w:pStyle w:val="AERtabletextright"/>
            </w:pPr>
            <w:r w:rsidRPr="00B0350C">
              <w:t>49.61</w:t>
            </w:r>
          </w:p>
        </w:tc>
        <w:tc>
          <w:tcPr>
            <w:tcW w:w="841" w:type="pct"/>
            <w:noWrap/>
            <w:vAlign w:val="bottom"/>
            <w:hideMark/>
          </w:tcPr>
          <w:p w:rsidR="0035741C" w:rsidRPr="00B0350C" w:rsidRDefault="0035741C" w:rsidP="00F92C29">
            <w:pPr>
              <w:pStyle w:val="AERtabletextright"/>
            </w:pPr>
            <w:r w:rsidRPr="00B0350C">
              <w:t>47.31</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934" w:type="pct"/>
            <w:noWrap/>
            <w:hideMark/>
          </w:tcPr>
          <w:p w:rsidR="0035741C" w:rsidRPr="00745089" w:rsidRDefault="0035741C" w:rsidP="007848A6">
            <w:pPr>
              <w:pStyle w:val="AERtabletextleft"/>
            </w:pPr>
            <w:r w:rsidRPr="00745089">
              <w:t>50W Sodium</w:t>
            </w:r>
          </w:p>
        </w:tc>
        <w:tc>
          <w:tcPr>
            <w:tcW w:w="629" w:type="pct"/>
            <w:noWrap/>
            <w:vAlign w:val="bottom"/>
            <w:hideMark/>
          </w:tcPr>
          <w:p w:rsidR="0035741C" w:rsidRPr="00B0350C" w:rsidRDefault="0035741C" w:rsidP="00F92C29">
            <w:pPr>
              <w:pStyle w:val="AERtabletextright"/>
            </w:pPr>
            <w:r w:rsidRPr="00B0350C">
              <w:t>45.55</w:t>
            </w:r>
          </w:p>
        </w:tc>
        <w:tc>
          <w:tcPr>
            <w:tcW w:w="938" w:type="pct"/>
            <w:noWrap/>
            <w:vAlign w:val="bottom"/>
            <w:hideMark/>
          </w:tcPr>
          <w:p w:rsidR="0035741C" w:rsidRPr="00B0350C" w:rsidRDefault="0035741C" w:rsidP="00F92C29">
            <w:pPr>
              <w:pStyle w:val="AERtabletextright"/>
            </w:pPr>
            <w:r w:rsidRPr="00B0350C">
              <w:t>43.36</w:t>
            </w:r>
          </w:p>
        </w:tc>
        <w:tc>
          <w:tcPr>
            <w:tcW w:w="658" w:type="pct"/>
            <w:noWrap/>
            <w:vAlign w:val="bottom"/>
            <w:hideMark/>
          </w:tcPr>
          <w:p w:rsidR="0035741C" w:rsidRPr="00B0350C" w:rsidRDefault="0035741C" w:rsidP="00F92C29">
            <w:pPr>
              <w:pStyle w:val="AERtabletextright"/>
            </w:pPr>
            <w:r w:rsidRPr="00B0350C">
              <w:t>45.55</w:t>
            </w:r>
          </w:p>
        </w:tc>
        <w:tc>
          <w:tcPr>
            <w:tcW w:w="841" w:type="pct"/>
            <w:noWrap/>
            <w:vAlign w:val="bottom"/>
            <w:hideMark/>
          </w:tcPr>
          <w:p w:rsidR="0035741C" w:rsidRPr="00B0350C" w:rsidRDefault="0035741C" w:rsidP="00F92C29">
            <w:pPr>
              <w:pStyle w:val="AERtabletextright"/>
            </w:pPr>
            <w:r w:rsidRPr="00B0350C">
              <w:t>43.36</w:t>
            </w:r>
          </w:p>
        </w:tc>
      </w:tr>
      <w:tr w:rsidR="0035741C" w:rsidRPr="00745089" w:rsidTr="001749C6">
        <w:trPr>
          <w:trHeight w:val="255"/>
        </w:trPr>
        <w:tc>
          <w:tcPr>
            <w:tcW w:w="1934" w:type="pct"/>
            <w:noWrap/>
            <w:hideMark/>
          </w:tcPr>
          <w:p w:rsidR="0035741C" w:rsidRPr="00745089" w:rsidRDefault="0035741C" w:rsidP="007848A6">
            <w:pPr>
              <w:pStyle w:val="AERtabletextleft"/>
            </w:pPr>
            <w:r w:rsidRPr="00745089">
              <w:t>70W Sodium</w:t>
            </w:r>
          </w:p>
        </w:tc>
        <w:tc>
          <w:tcPr>
            <w:tcW w:w="629" w:type="pct"/>
            <w:noWrap/>
            <w:vAlign w:val="bottom"/>
            <w:hideMark/>
          </w:tcPr>
          <w:p w:rsidR="0035741C" w:rsidRPr="00B0350C" w:rsidRDefault="0035741C" w:rsidP="00F92C29">
            <w:pPr>
              <w:pStyle w:val="AERtabletextright"/>
            </w:pPr>
            <w:r w:rsidRPr="00B0350C">
              <w:t>45.55</w:t>
            </w:r>
          </w:p>
        </w:tc>
        <w:tc>
          <w:tcPr>
            <w:tcW w:w="938" w:type="pct"/>
            <w:noWrap/>
            <w:vAlign w:val="bottom"/>
            <w:hideMark/>
          </w:tcPr>
          <w:p w:rsidR="0035741C" w:rsidRPr="00B0350C" w:rsidRDefault="0035741C" w:rsidP="00F92C29">
            <w:pPr>
              <w:pStyle w:val="AERtabletextright"/>
            </w:pPr>
            <w:r w:rsidRPr="00B0350C">
              <w:t>43.36</w:t>
            </w:r>
          </w:p>
        </w:tc>
        <w:tc>
          <w:tcPr>
            <w:tcW w:w="658" w:type="pct"/>
            <w:noWrap/>
            <w:vAlign w:val="bottom"/>
            <w:hideMark/>
          </w:tcPr>
          <w:p w:rsidR="0035741C" w:rsidRPr="00B0350C" w:rsidRDefault="0035741C" w:rsidP="00F92C29">
            <w:pPr>
              <w:pStyle w:val="AERtabletextright"/>
            </w:pPr>
            <w:r w:rsidRPr="00B0350C">
              <w:t>45.55</w:t>
            </w:r>
          </w:p>
        </w:tc>
        <w:tc>
          <w:tcPr>
            <w:tcW w:w="841" w:type="pct"/>
            <w:noWrap/>
            <w:vAlign w:val="bottom"/>
            <w:hideMark/>
          </w:tcPr>
          <w:p w:rsidR="0035741C" w:rsidRPr="00B0350C" w:rsidRDefault="0035741C" w:rsidP="00F92C29">
            <w:pPr>
              <w:pStyle w:val="AERtabletextright"/>
            </w:pPr>
            <w:r w:rsidRPr="00B0350C">
              <w:t>43.36</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934" w:type="pct"/>
            <w:noWrap/>
            <w:hideMark/>
          </w:tcPr>
          <w:p w:rsidR="0035741C" w:rsidRPr="00745089" w:rsidRDefault="0035741C" w:rsidP="007848A6">
            <w:pPr>
              <w:pStyle w:val="AERtabletextleft"/>
            </w:pPr>
            <w:r w:rsidRPr="00745089">
              <w:t>90W Sodium</w:t>
            </w:r>
          </w:p>
        </w:tc>
        <w:tc>
          <w:tcPr>
            <w:tcW w:w="629" w:type="pct"/>
            <w:noWrap/>
            <w:vAlign w:val="bottom"/>
            <w:hideMark/>
          </w:tcPr>
          <w:p w:rsidR="0035741C" w:rsidRPr="00B0350C" w:rsidRDefault="0035741C" w:rsidP="00F92C29">
            <w:pPr>
              <w:pStyle w:val="AERtabletextright"/>
            </w:pPr>
            <w:r w:rsidRPr="00B0350C">
              <w:t>46.24</w:t>
            </w:r>
          </w:p>
        </w:tc>
        <w:tc>
          <w:tcPr>
            <w:tcW w:w="938" w:type="pct"/>
            <w:noWrap/>
            <w:vAlign w:val="bottom"/>
            <w:hideMark/>
          </w:tcPr>
          <w:p w:rsidR="0035741C" w:rsidRPr="00B0350C" w:rsidRDefault="0035741C" w:rsidP="00F92C29">
            <w:pPr>
              <w:pStyle w:val="AERtabletextright"/>
            </w:pPr>
            <w:r w:rsidRPr="00B0350C">
              <w:t>44.01</w:t>
            </w:r>
          </w:p>
        </w:tc>
        <w:tc>
          <w:tcPr>
            <w:tcW w:w="658" w:type="pct"/>
            <w:noWrap/>
            <w:vAlign w:val="bottom"/>
            <w:hideMark/>
          </w:tcPr>
          <w:p w:rsidR="0035741C" w:rsidRPr="00B0350C" w:rsidRDefault="0035741C" w:rsidP="00F92C29">
            <w:pPr>
              <w:pStyle w:val="AERtabletextright"/>
            </w:pPr>
            <w:r w:rsidRPr="00B0350C">
              <w:t>46.24</w:t>
            </w:r>
          </w:p>
        </w:tc>
        <w:tc>
          <w:tcPr>
            <w:tcW w:w="841" w:type="pct"/>
            <w:noWrap/>
            <w:vAlign w:val="bottom"/>
            <w:hideMark/>
          </w:tcPr>
          <w:p w:rsidR="0035741C" w:rsidRPr="00B0350C" w:rsidRDefault="0035741C" w:rsidP="00F92C29">
            <w:pPr>
              <w:pStyle w:val="AERtabletextright"/>
            </w:pPr>
            <w:r w:rsidRPr="00B0350C">
              <w:t>44.01</w:t>
            </w:r>
          </w:p>
        </w:tc>
      </w:tr>
      <w:tr w:rsidR="0035741C" w:rsidRPr="00745089" w:rsidTr="001749C6">
        <w:trPr>
          <w:trHeight w:val="255"/>
        </w:trPr>
        <w:tc>
          <w:tcPr>
            <w:tcW w:w="1934" w:type="pct"/>
            <w:noWrap/>
            <w:hideMark/>
          </w:tcPr>
          <w:p w:rsidR="0035741C" w:rsidRPr="00745089" w:rsidRDefault="0035741C" w:rsidP="007848A6">
            <w:pPr>
              <w:pStyle w:val="AERtabletextleft"/>
            </w:pPr>
            <w:r w:rsidRPr="00745089">
              <w:t>100W Sodium</w:t>
            </w:r>
          </w:p>
        </w:tc>
        <w:tc>
          <w:tcPr>
            <w:tcW w:w="629" w:type="pct"/>
            <w:noWrap/>
            <w:vAlign w:val="bottom"/>
            <w:hideMark/>
          </w:tcPr>
          <w:p w:rsidR="0035741C" w:rsidRPr="00B0350C" w:rsidRDefault="0035741C" w:rsidP="00F92C29">
            <w:pPr>
              <w:pStyle w:val="AERtabletextright"/>
            </w:pPr>
            <w:r w:rsidRPr="00B0350C">
              <w:t>46.24</w:t>
            </w:r>
          </w:p>
        </w:tc>
        <w:tc>
          <w:tcPr>
            <w:tcW w:w="938" w:type="pct"/>
            <w:noWrap/>
            <w:vAlign w:val="bottom"/>
            <w:hideMark/>
          </w:tcPr>
          <w:p w:rsidR="0035741C" w:rsidRPr="00B0350C" w:rsidRDefault="0035741C" w:rsidP="00F92C29">
            <w:pPr>
              <w:pStyle w:val="AERtabletextright"/>
            </w:pPr>
            <w:r w:rsidRPr="00B0350C">
              <w:t>44.01</w:t>
            </w:r>
          </w:p>
        </w:tc>
        <w:tc>
          <w:tcPr>
            <w:tcW w:w="658" w:type="pct"/>
            <w:noWrap/>
            <w:vAlign w:val="bottom"/>
            <w:hideMark/>
          </w:tcPr>
          <w:p w:rsidR="0035741C" w:rsidRPr="00B0350C" w:rsidRDefault="0035741C" w:rsidP="00F92C29">
            <w:pPr>
              <w:pStyle w:val="AERtabletextright"/>
            </w:pPr>
            <w:r w:rsidRPr="00B0350C">
              <w:t>74.67</w:t>
            </w:r>
          </w:p>
        </w:tc>
        <w:tc>
          <w:tcPr>
            <w:tcW w:w="841" w:type="pct"/>
            <w:noWrap/>
            <w:vAlign w:val="bottom"/>
            <w:hideMark/>
          </w:tcPr>
          <w:p w:rsidR="0035741C" w:rsidRPr="00B0350C" w:rsidRDefault="0035741C" w:rsidP="00F92C29">
            <w:pPr>
              <w:pStyle w:val="AERtabletextright"/>
            </w:pPr>
            <w:r w:rsidRPr="00B0350C">
              <w:t>71.74</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934" w:type="pct"/>
            <w:noWrap/>
            <w:hideMark/>
          </w:tcPr>
          <w:p w:rsidR="0035741C" w:rsidRPr="00745089" w:rsidRDefault="0035741C" w:rsidP="007848A6">
            <w:pPr>
              <w:pStyle w:val="AERtabletextleft"/>
            </w:pPr>
            <w:r w:rsidRPr="00745089">
              <w:t>120W Sodium</w:t>
            </w:r>
          </w:p>
        </w:tc>
        <w:tc>
          <w:tcPr>
            <w:tcW w:w="629" w:type="pct"/>
            <w:noWrap/>
            <w:vAlign w:val="bottom"/>
            <w:hideMark/>
          </w:tcPr>
          <w:p w:rsidR="0035741C" w:rsidRPr="00B0350C" w:rsidRDefault="0035741C" w:rsidP="00F92C29">
            <w:pPr>
              <w:pStyle w:val="AERtabletextright"/>
            </w:pPr>
            <w:r w:rsidRPr="00B0350C">
              <w:t>45.38</w:t>
            </w:r>
          </w:p>
        </w:tc>
        <w:tc>
          <w:tcPr>
            <w:tcW w:w="938" w:type="pct"/>
            <w:noWrap/>
            <w:vAlign w:val="bottom"/>
            <w:hideMark/>
          </w:tcPr>
          <w:p w:rsidR="0035741C" w:rsidRPr="00B0350C" w:rsidRDefault="0035741C" w:rsidP="00F92C29">
            <w:pPr>
              <w:pStyle w:val="AERtabletextright"/>
            </w:pPr>
            <w:r w:rsidRPr="00B0350C">
              <w:t>43.20</w:t>
            </w:r>
          </w:p>
        </w:tc>
        <w:tc>
          <w:tcPr>
            <w:tcW w:w="658" w:type="pct"/>
            <w:noWrap/>
            <w:vAlign w:val="bottom"/>
            <w:hideMark/>
          </w:tcPr>
          <w:p w:rsidR="0035741C" w:rsidRPr="00B0350C" w:rsidRDefault="0035741C" w:rsidP="00F92C29">
            <w:pPr>
              <w:pStyle w:val="AERtabletextright"/>
            </w:pPr>
            <w:r w:rsidRPr="00B0350C">
              <w:t>183.03</w:t>
            </w:r>
          </w:p>
        </w:tc>
        <w:tc>
          <w:tcPr>
            <w:tcW w:w="841" w:type="pct"/>
            <w:noWrap/>
            <w:vAlign w:val="bottom"/>
            <w:hideMark/>
          </w:tcPr>
          <w:p w:rsidR="0035741C" w:rsidRPr="00B0350C" w:rsidRDefault="0035741C" w:rsidP="00F92C29">
            <w:pPr>
              <w:pStyle w:val="AERtabletextright"/>
            </w:pPr>
            <w:r w:rsidRPr="00B0350C">
              <w:t>177.15</w:t>
            </w:r>
          </w:p>
        </w:tc>
      </w:tr>
      <w:tr w:rsidR="0035741C" w:rsidRPr="00745089" w:rsidTr="001749C6">
        <w:trPr>
          <w:trHeight w:val="255"/>
        </w:trPr>
        <w:tc>
          <w:tcPr>
            <w:tcW w:w="1934" w:type="pct"/>
            <w:noWrap/>
            <w:hideMark/>
          </w:tcPr>
          <w:p w:rsidR="0035741C" w:rsidRPr="00745089" w:rsidRDefault="0035741C" w:rsidP="007848A6">
            <w:pPr>
              <w:pStyle w:val="AERtabletextleft"/>
            </w:pPr>
            <w:r w:rsidRPr="00745089">
              <w:t>150W Sodium</w:t>
            </w:r>
          </w:p>
        </w:tc>
        <w:tc>
          <w:tcPr>
            <w:tcW w:w="629" w:type="pct"/>
            <w:noWrap/>
            <w:vAlign w:val="bottom"/>
            <w:hideMark/>
          </w:tcPr>
          <w:p w:rsidR="0035741C" w:rsidRPr="00B0350C" w:rsidRDefault="0035741C" w:rsidP="00F92C29">
            <w:pPr>
              <w:pStyle w:val="AERtabletextright"/>
            </w:pPr>
            <w:r w:rsidRPr="00B0350C">
              <w:t>45.38</w:t>
            </w:r>
          </w:p>
        </w:tc>
        <w:tc>
          <w:tcPr>
            <w:tcW w:w="938" w:type="pct"/>
            <w:noWrap/>
            <w:vAlign w:val="bottom"/>
            <w:hideMark/>
          </w:tcPr>
          <w:p w:rsidR="0035741C" w:rsidRPr="00B0350C" w:rsidRDefault="0035741C" w:rsidP="00F92C29">
            <w:pPr>
              <w:pStyle w:val="AERtabletextright"/>
            </w:pPr>
            <w:r w:rsidRPr="00B0350C">
              <w:t>43.20</w:t>
            </w:r>
          </w:p>
        </w:tc>
        <w:tc>
          <w:tcPr>
            <w:tcW w:w="658" w:type="pct"/>
            <w:noWrap/>
            <w:vAlign w:val="bottom"/>
            <w:hideMark/>
          </w:tcPr>
          <w:p w:rsidR="0035741C" w:rsidRPr="00B0350C" w:rsidRDefault="0035741C" w:rsidP="00F92C29">
            <w:pPr>
              <w:pStyle w:val="AERtabletextright"/>
            </w:pPr>
            <w:r w:rsidRPr="00B0350C">
              <w:t>51.69</w:t>
            </w:r>
          </w:p>
        </w:tc>
        <w:tc>
          <w:tcPr>
            <w:tcW w:w="841" w:type="pct"/>
            <w:noWrap/>
            <w:vAlign w:val="bottom"/>
            <w:hideMark/>
          </w:tcPr>
          <w:p w:rsidR="0035741C" w:rsidRPr="00B0350C" w:rsidRDefault="0035741C" w:rsidP="00F92C29">
            <w:pPr>
              <w:pStyle w:val="AERtabletextright"/>
            </w:pPr>
            <w:r w:rsidRPr="00B0350C">
              <w:t>49.34</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934" w:type="pct"/>
            <w:noWrap/>
            <w:hideMark/>
          </w:tcPr>
          <w:p w:rsidR="0035741C" w:rsidRPr="00745089" w:rsidRDefault="0035741C" w:rsidP="007848A6">
            <w:pPr>
              <w:pStyle w:val="AERtabletextleft"/>
            </w:pPr>
            <w:r w:rsidRPr="00745089">
              <w:t>250W Sodium</w:t>
            </w:r>
          </w:p>
        </w:tc>
        <w:tc>
          <w:tcPr>
            <w:tcW w:w="629" w:type="pct"/>
            <w:noWrap/>
            <w:vAlign w:val="bottom"/>
            <w:hideMark/>
          </w:tcPr>
          <w:p w:rsidR="0035741C" w:rsidRPr="00B0350C" w:rsidRDefault="0035741C" w:rsidP="00F92C29">
            <w:pPr>
              <w:pStyle w:val="AERtabletextright"/>
            </w:pPr>
            <w:r w:rsidRPr="00B0350C">
              <w:t>45.62</w:t>
            </w:r>
          </w:p>
        </w:tc>
        <w:tc>
          <w:tcPr>
            <w:tcW w:w="938" w:type="pct"/>
            <w:noWrap/>
            <w:vAlign w:val="bottom"/>
            <w:hideMark/>
          </w:tcPr>
          <w:p w:rsidR="0035741C" w:rsidRPr="00B0350C" w:rsidRDefault="0035741C" w:rsidP="00F92C29">
            <w:pPr>
              <w:pStyle w:val="AERtabletextright"/>
            </w:pPr>
            <w:r w:rsidRPr="00B0350C">
              <w:t>43.42</w:t>
            </w:r>
          </w:p>
        </w:tc>
        <w:tc>
          <w:tcPr>
            <w:tcW w:w="658" w:type="pct"/>
            <w:noWrap/>
            <w:vAlign w:val="bottom"/>
            <w:hideMark/>
          </w:tcPr>
          <w:p w:rsidR="0035741C" w:rsidRPr="00B0350C" w:rsidRDefault="0035741C" w:rsidP="00F92C29">
            <w:pPr>
              <w:pStyle w:val="AERtabletextright"/>
            </w:pPr>
            <w:r w:rsidRPr="00B0350C">
              <w:t>51.58</w:t>
            </w:r>
          </w:p>
        </w:tc>
        <w:tc>
          <w:tcPr>
            <w:tcW w:w="841" w:type="pct"/>
            <w:noWrap/>
            <w:vAlign w:val="bottom"/>
            <w:hideMark/>
          </w:tcPr>
          <w:p w:rsidR="0035741C" w:rsidRPr="00B0350C" w:rsidRDefault="0035741C" w:rsidP="00F92C29">
            <w:pPr>
              <w:pStyle w:val="AERtabletextright"/>
            </w:pPr>
            <w:r w:rsidRPr="00B0350C">
              <w:t>49.22</w:t>
            </w:r>
          </w:p>
        </w:tc>
      </w:tr>
      <w:tr w:rsidR="0035741C" w:rsidRPr="00745089" w:rsidTr="001749C6">
        <w:trPr>
          <w:trHeight w:val="255"/>
        </w:trPr>
        <w:tc>
          <w:tcPr>
            <w:tcW w:w="1934" w:type="pct"/>
            <w:noWrap/>
            <w:hideMark/>
          </w:tcPr>
          <w:p w:rsidR="0035741C" w:rsidRPr="00745089" w:rsidRDefault="0035741C" w:rsidP="007848A6">
            <w:pPr>
              <w:pStyle w:val="AERtabletextleft"/>
            </w:pPr>
            <w:r w:rsidRPr="00745089">
              <w:t>2 x 250W Sodium</w:t>
            </w:r>
          </w:p>
        </w:tc>
        <w:tc>
          <w:tcPr>
            <w:tcW w:w="629" w:type="pct"/>
            <w:noWrap/>
            <w:vAlign w:val="bottom"/>
            <w:hideMark/>
          </w:tcPr>
          <w:p w:rsidR="0035741C" w:rsidRPr="00B0350C" w:rsidRDefault="0035741C" w:rsidP="00F92C29">
            <w:pPr>
              <w:pStyle w:val="AERtabletextright"/>
            </w:pPr>
            <w:r w:rsidRPr="00B0350C">
              <w:t>47.69</w:t>
            </w:r>
          </w:p>
        </w:tc>
        <w:tc>
          <w:tcPr>
            <w:tcW w:w="938" w:type="pct"/>
            <w:noWrap/>
            <w:vAlign w:val="bottom"/>
            <w:hideMark/>
          </w:tcPr>
          <w:p w:rsidR="0035741C" w:rsidRPr="00B0350C" w:rsidRDefault="0035741C" w:rsidP="00F92C29">
            <w:pPr>
              <w:pStyle w:val="AERtabletextright"/>
            </w:pPr>
            <w:r w:rsidRPr="00B0350C">
              <w:t>45.39</w:t>
            </w:r>
          </w:p>
        </w:tc>
        <w:tc>
          <w:tcPr>
            <w:tcW w:w="658" w:type="pct"/>
            <w:noWrap/>
            <w:vAlign w:val="bottom"/>
            <w:hideMark/>
          </w:tcPr>
          <w:p w:rsidR="0035741C" w:rsidRPr="00B0350C" w:rsidRDefault="0035741C" w:rsidP="00F92C29">
            <w:pPr>
              <w:pStyle w:val="AERtabletextright"/>
            </w:pPr>
            <w:r w:rsidRPr="00B0350C">
              <w:t>47.69</w:t>
            </w:r>
          </w:p>
        </w:tc>
        <w:tc>
          <w:tcPr>
            <w:tcW w:w="841" w:type="pct"/>
            <w:noWrap/>
            <w:vAlign w:val="bottom"/>
            <w:hideMark/>
          </w:tcPr>
          <w:p w:rsidR="0035741C" w:rsidRPr="00B0350C" w:rsidRDefault="0035741C" w:rsidP="00F92C29">
            <w:pPr>
              <w:pStyle w:val="AERtabletextright"/>
            </w:pPr>
            <w:r w:rsidRPr="00B0350C">
              <w:t>45.39</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934" w:type="pct"/>
            <w:noWrap/>
            <w:hideMark/>
          </w:tcPr>
          <w:p w:rsidR="0035741C" w:rsidRPr="00745089" w:rsidRDefault="0035741C" w:rsidP="007848A6">
            <w:pPr>
              <w:pStyle w:val="AERtabletextleft"/>
            </w:pPr>
            <w:r w:rsidRPr="00745089">
              <w:t>310W Sodium</w:t>
            </w:r>
          </w:p>
        </w:tc>
        <w:tc>
          <w:tcPr>
            <w:tcW w:w="629" w:type="pct"/>
            <w:noWrap/>
            <w:vAlign w:val="bottom"/>
            <w:hideMark/>
          </w:tcPr>
          <w:p w:rsidR="0035741C" w:rsidRPr="00B0350C" w:rsidRDefault="0035741C" w:rsidP="00F92C29">
            <w:pPr>
              <w:pStyle w:val="AERtabletextright"/>
            </w:pPr>
            <w:r w:rsidRPr="00B0350C">
              <w:t>45.62</w:t>
            </w:r>
          </w:p>
        </w:tc>
        <w:tc>
          <w:tcPr>
            <w:tcW w:w="938" w:type="pct"/>
            <w:noWrap/>
            <w:vAlign w:val="bottom"/>
            <w:hideMark/>
          </w:tcPr>
          <w:p w:rsidR="0035741C" w:rsidRPr="00B0350C" w:rsidRDefault="0035741C" w:rsidP="00F92C29">
            <w:pPr>
              <w:pStyle w:val="AERtabletextright"/>
            </w:pPr>
            <w:r w:rsidRPr="00B0350C">
              <w:t>43.42</w:t>
            </w:r>
          </w:p>
        </w:tc>
        <w:tc>
          <w:tcPr>
            <w:tcW w:w="658" w:type="pct"/>
            <w:noWrap/>
            <w:vAlign w:val="bottom"/>
            <w:hideMark/>
          </w:tcPr>
          <w:p w:rsidR="0035741C" w:rsidRPr="00B0350C" w:rsidRDefault="0035741C" w:rsidP="00F92C29">
            <w:pPr>
              <w:pStyle w:val="AERtabletextright"/>
            </w:pPr>
            <w:r w:rsidRPr="00B0350C">
              <w:t>45.62</w:t>
            </w:r>
          </w:p>
        </w:tc>
        <w:tc>
          <w:tcPr>
            <w:tcW w:w="841" w:type="pct"/>
            <w:noWrap/>
            <w:vAlign w:val="bottom"/>
            <w:hideMark/>
          </w:tcPr>
          <w:p w:rsidR="0035741C" w:rsidRPr="00B0350C" w:rsidRDefault="0035741C" w:rsidP="00F92C29">
            <w:pPr>
              <w:pStyle w:val="AERtabletextright"/>
            </w:pPr>
            <w:r w:rsidRPr="00B0350C">
              <w:t>43.42</w:t>
            </w:r>
          </w:p>
        </w:tc>
      </w:tr>
      <w:tr w:rsidR="0035741C" w:rsidRPr="00745089" w:rsidTr="001749C6">
        <w:trPr>
          <w:trHeight w:val="255"/>
        </w:trPr>
        <w:tc>
          <w:tcPr>
            <w:tcW w:w="1934" w:type="pct"/>
            <w:noWrap/>
            <w:hideMark/>
          </w:tcPr>
          <w:p w:rsidR="0035741C" w:rsidRPr="00745089" w:rsidRDefault="0035741C" w:rsidP="007848A6">
            <w:pPr>
              <w:pStyle w:val="AERtabletextleft"/>
            </w:pPr>
            <w:r w:rsidRPr="00745089">
              <w:t>400 W Sodium</w:t>
            </w:r>
          </w:p>
        </w:tc>
        <w:tc>
          <w:tcPr>
            <w:tcW w:w="629" w:type="pct"/>
            <w:noWrap/>
            <w:vAlign w:val="bottom"/>
            <w:hideMark/>
          </w:tcPr>
          <w:p w:rsidR="0035741C" w:rsidRPr="00B0350C" w:rsidRDefault="0035741C" w:rsidP="00F92C29">
            <w:pPr>
              <w:pStyle w:val="AERtabletextright"/>
            </w:pPr>
            <w:r w:rsidRPr="00B0350C">
              <w:t>45.84</w:t>
            </w:r>
          </w:p>
        </w:tc>
        <w:tc>
          <w:tcPr>
            <w:tcW w:w="938" w:type="pct"/>
            <w:noWrap/>
            <w:vAlign w:val="bottom"/>
            <w:hideMark/>
          </w:tcPr>
          <w:p w:rsidR="0035741C" w:rsidRPr="00B0350C" w:rsidRDefault="0035741C" w:rsidP="00F92C29">
            <w:pPr>
              <w:pStyle w:val="AERtabletextright"/>
            </w:pPr>
            <w:r w:rsidRPr="00B0350C">
              <w:t>43.63</w:t>
            </w:r>
          </w:p>
        </w:tc>
        <w:tc>
          <w:tcPr>
            <w:tcW w:w="658" w:type="pct"/>
            <w:noWrap/>
            <w:vAlign w:val="bottom"/>
            <w:hideMark/>
          </w:tcPr>
          <w:p w:rsidR="0035741C" w:rsidRPr="00B0350C" w:rsidRDefault="0035741C" w:rsidP="00F92C29">
            <w:pPr>
              <w:pStyle w:val="AERtabletextright"/>
            </w:pPr>
            <w:r w:rsidRPr="00B0350C">
              <w:t>48.39</w:t>
            </w:r>
          </w:p>
        </w:tc>
        <w:tc>
          <w:tcPr>
            <w:tcW w:w="841" w:type="pct"/>
            <w:noWrap/>
            <w:vAlign w:val="bottom"/>
            <w:hideMark/>
          </w:tcPr>
          <w:p w:rsidR="0035741C" w:rsidRPr="00B0350C" w:rsidRDefault="0035741C" w:rsidP="00F92C29">
            <w:pPr>
              <w:pStyle w:val="AERtabletextright"/>
            </w:pPr>
            <w:r w:rsidRPr="00B0350C">
              <w:t>46.19</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934" w:type="pct"/>
            <w:noWrap/>
            <w:hideMark/>
          </w:tcPr>
          <w:p w:rsidR="0035741C" w:rsidRPr="00745089" w:rsidRDefault="0035741C" w:rsidP="007848A6">
            <w:pPr>
              <w:pStyle w:val="AERtabletextleft"/>
            </w:pPr>
            <w:r w:rsidRPr="00745089">
              <w:t>2 x 400 W Sodium</w:t>
            </w:r>
          </w:p>
        </w:tc>
        <w:tc>
          <w:tcPr>
            <w:tcW w:w="629" w:type="pct"/>
            <w:noWrap/>
            <w:vAlign w:val="bottom"/>
            <w:hideMark/>
          </w:tcPr>
          <w:p w:rsidR="0035741C" w:rsidRPr="00B0350C" w:rsidRDefault="0035741C" w:rsidP="00F92C29">
            <w:pPr>
              <w:pStyle w:val="AERtabletextright"/>
            </w:pPr>
            <w:r w:rsidRPr="00B0350C">
              <w:t>48.13</w:t>
            </w:r>
          </w:p>
        </w:tc>
        <w:tc>
          <w:tcPr>
            <w:tcW w:w="938" w:type="pct"/>
            <w:noWrap/>
            <w:vAlign w:val="bottom"/>
            <w:hideMark/>
          </w:tcPr>
          <w:p w:rsidR="0035741C" w:rsidRPr="00B0350C" w:rsidRDefault="0035741C" w:rsidP="00F92C29">
            <w:pPr>
              <w:pStyle w:val="AERtabletextright"/>
            </w:pPr>
            <w:r w:rsidRPr="00B0350C">
              <w:t>45.81</w:t>
            </w:r>
          </w:p>
        </w:tc>
        <w:tc>
          <w:tcPr>
            <w:tcW w:w="658" w:type="pct"/>
            <w:noWrap/>
            <w:vAlign w:val="bottom"/>
            <w:hideMark/>
          </w:tcPr>
          <w:p w:rsidR="0035741C" w:rsidRPr="00B0350C" w:rsidRDefault="0035741C" w:rsidP="00F92C29">
            <w:pPr>
              <w:pStyle w:val="AERtabletextright"/>
            </w:pPr>
            <w:r w:rsidRPr="00B0350C">
              <w:t>60.16</w:t>
            </w:r>
          </w:p>
        </w:tc>
        <w:tc>
          <w:tcPr>
            <w:tcW w:w="841" w:type="pct"/>
            <w:noWrap/>
            <w:vAlign w:val="bottom"/>
            <w:hideMark/>
          </w:tcPr>
          <w:p w:rsidR="0035741C" w:rsidRPr="00B0350C" w:rsidRDefault="0035741C" w:rsidP="00F92C29">
            <w:pPr>
              <w:pStyle w:val="AERtabletextright"/>
            </w:pPr>
            <w:r w:rsidRPr="00B0350C">
              <w:t>57.45</w:t>
            </w:r>
          </w:p>
        </w:tc>
      </w:tr>
      <w:tr w:rsidR="0035741C" w:rsidRPr="00745089" w:rsidTr="001749C6">
        <w:trPr>
          <w:trHeight w:val="255"/>
        </w:trPr>
        <w:tc>
          <w:tcPr>
            <w:tcW w:w="1934" w:type="pct"/>
            <w:noWrap/>
            <w:hideMark/>
          </w:tcPr>
          <w:p w:rsidR="0035741C" w:rsidRPr="00745089" w:rsidRDefault="0035741C" w:rsidP="007848A6">
            <w:pPr>
              <w:pStyle w:val="AERtabletextleft"/>
            </w:pPr>
            <w:r w:rsidRPr="00745089">
              <w:t>4 x 600W Sodium</w:t>
            </w:r>
          </w:p>
        </w:tc>
        <w:tc>
          <w:tcPr>
            <w:tcW w:w="629" w:type="pct"/>
            <w:noWrap/>
            <w:vAlign w:val="bottom"/>
            <w:hideMark/>
          </w:tcPr>
          <w:p w:rsidR="0035741C" w:rsidRPr="00B0350C" w:rsidRDefault="0035741C" w:rsidP="00F92C29">
            <w:pPr>
              <w:pStyle w:val="AERtabletextright"/>
            </w:pPr>
            <w:r w:rsidRPr="00B0350C">
              <w:t>52.72</w:t>
            </w:r>
          </w:p>
        </w:tc>
        <w:tc>
          <w:tcPr>
            <w:tcW w:w="938" w:type="pct"/>
            <w:noWrap/>
            <w:vAlign w:val="bottom"/>
            <w:hideMark/>
          </w:tcPr>
          <w:p w:rsidR="0035741C" w:rsidRPr="00B0350C" w:rsidRDefault="0035741C" w:rsidP="00F92C29">
            <w:pPr>
              <w:pStyle w:val="AERtabletextright"/>
            </w:pPr>
            <w:r w:rsidRPr="00B0350C">
              <w:t>50.18</w:t>
            </w:r>
          </w:p>
        </w:tc>
        <w:tc>
          <w:tcPr>
            <w:tcW w:w="658" w:type="pct"/>
            <w:noWrap/>
            <w:vAlign w:val="bottom"/>
            <w:hideMark/>
          </w:tcPr>
          <w:p w:rsidR="0035741C" w:rsidRPr="00B0350C" w:rsidRDefault="0035741C" w:rsidP="00F92C29">
            <w:pPr>
              <w:pStyle w:val="AERtabletextright"/>
            </w:pPr>
            <w:r w:rsidRPr="00B0350C">
              <w:t>52.72</w:t>
            </w:r>
          </w:p>
        </w:tc>
        <w:tc>
          <w:tcPr>
            <w:tcW w:w="841" w:type="pct"/>
            <w:noWrap/>
            <w:vAlign w:val="bottom"/>
            <w:hideMark/>
          </w:tcPr>
          <w:p w:rsidR="0035741C" w:rsidRPr="00B0350C" w:rsidRDefault="0035741C" w:rsidP="00F92C29">
            <w:pPr>
              <w:pStyle w:val="AERtabletextright"/>
            </w:pPr>
            <w:r w:rsidRPr="00B0350C">
              <w:t>50.18</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934" w:type="pct"/>
            <w:noWrap/>
            <w:hideMark/>
          </w:tcPr>
          <w:p w:rsidR="0035741C" w:rsidRPr="00745089" w:rsidRDefault="0035741C" w:rsidP="007848A6">
            <w:pPr>
              <w:pStyle w:val="AERtabletextleft"/>
            </w:pPr>
            <w:r w:rsidRPr="00745089">
              <w:t>60 W Incandescent</w:t>
            </w:r>
          </w:p>
        </w:tc>
        <w:tc>
          <w:tcPr>
            <w:tcW w:w="629" w:type="pct"/>
            <w:noWrap/>
            <w:vAlign w:val="bottom"/>
            <w:hideMark/>
          </w:tcPr>
          <w:p w:rsidR="0035741C" w:rsidRPr="00B0350C" w:rsidRDefault="0035741C" w:rsidP="00F92C29">
            <w:pPr>
              <w:pStyle w:val="AERtabletextright"/>
            </w:pPr>
            <w:r w:rsidRPr="00B0350C">
              <w:t>43.54</w:t>
            </w:r>
          </w:p>
        </w:tc>
        <w:tc>
          <w:tcPr>
            <w:tcW w:w="938" w:type="pct"/>
            <w:noWrap/>
            <w:vAlign w:val="bottom"/>
            <w:hideMark/>
          </w:tcPr>
          <w:p w:rsidR="0035741C" w:rsidRPr="00B0350C" w:rsidRDefault="0035741C" w:rsidP="00F92C29">
            <w:pPr>
              <w:pStyle w:val="AERtabletextright"/>
            </w:pPr>
            <w:r w:rsidRPr="00B0350C">
              <w:t>41.44</w:t>
            </w:r>
          </w:p>
        </w:tc>
        <w:tc>
          <w:tcPr>
            <w:tcW w:w="658" w:type="pct"/>
            <w:noWrap/>
            <w:vAlign w:val="bottom"/>
            <w:hideMark/>
          </w:tcPr>
          <w:p w:rsidR="0035741C" w:rsidRPr="00B0350C" w:rsidRDefault="0035741C" w:rsidP="00F92C29">
            <w:pPr>
              <w:pStyle w:val="AERtabletextright"/>
            </w:pPr>
            <w:r w:rsidRPr="00B0350C">
              <w:t>43.54</w:t>
            </w:r>
          </w:p>
        </w:tc>
        <w:tc>
          <w:tcPr>
            <w:tcW w:w="841" w:type="pct"/>
            <w:noWrap/>
            <w:vAlign w:val="bottom"/>
            <w:hideMark/>
          </w:tcPr>
          <w:p w:rsidR="0035741C" w:rsidRPr="00B0350C" w:rsidRDefault="0035741C" w:rsidP="00F92C29">
            <w:pPr>
              <w:pStyle w:val="AERtabletextright"/>
            </w:pPr>
            <w:r w:rsidRPr="00B0350C">
              <w:t>41.44</w:t>
            </w:r>
          </w:p>
        </w:tc>
      </w:tr>
      <w:tr w:rsidR="0035741C" w:rsidRPr="00745089" w:rsidTr="001749C6">
        <w:trPr>
          <w:trHeight w:val="255"/>
        </w:trPr>
        <w:tc>
          <w:tcPr>
            <w:tcW w:w="1934" w:type="pct"/>
            <w:noWrap/>
            <w:hideMark/>
          </w:tcPr>
          <w:p w:rsidR="0035741C" w:rsidRPr="00745089" w:rsidRDefault="0035741C" w:rsidP="007848A6">
            <w:pPr>
              <w:pStyle w:val="AERtabletextleft"/>
            </w:pPr>
            <w:r w:rsidRPr="00745089">
              <w:t>100 W Incandescent</w:t>
            </w:r>
          </w:p>
        </w:tc>
        <w:tc>
          <w:tcPr>
            <w:tcW w:w="629" w:type="pct"/>
            <w:noWrap/>
            <w:vAlign w:val="bottom"/>
            <w:hideMark/>
          </w:tcPr>
          <w:p w:rsidR="0035741C" w:rsidRPr="00B0350C" w:rsidRDefault="0035741C" w:rsidP="00F92C29">
            <w:pPr>
              <w:pStyle w:val="AERtabletextright"/>
            </w:pPr>
            <w:r w:rsidRPr="00B0350C">
              <w:t>43.54</w:t>
            </w:r>
          </w:p>
        </w:tc>
        <w:tc>
          <w:tcPr>
            <w:tcW w:w="938" w:type="pct"/>
            <w:noWrap/>
            <w:vAlign w:val="bottom"/>
            <w:hideMark/>
          </w:tcPr>
          <w:p w:rsidR="0035741C" w:rsidRPr="00B0350C" w:rsidRDefault="0035741C" w:rsidP="00F92C29">
            <w:pPr>
              <w:pStyle w:val="AERtabletextright"/>
            </w:pPr>
            <w:r w:rsidRPr="00B0350C">
              <w:t>41.44</w:t>
            </w:r>
          </w:p>
        </w:tc>
        <w:tc>
          <w:tcPr>
            <w:tcW w:w="658" w:type="pct"/>
            <w:noWrap/>
            <w:vAlign w:val="bottom"/>
            <w:hideMark/>
          </w:tcPr>
          <w:p w:rsidR="0035741C" w:rsidRPr="00B0350C" w:rsidRDefault="0035741C" w:rsidP="00F92C29">
            <w:pPr>
              <w:pStyle w:val="AERtabletextright"/>
            </w:pPr>
            <w:r w:rsidRPr="00B0350C">
              <w:t>43.54</w:t>
            </w:r>
          </w:p>
        </w:tc>
        <w:tc>
          <w:tcPr>
            <w:tcW w:w="841" w:type="pct"/>
            <w:noWrap/>
            <w:vAlign w:val="bottom"/>
            <w:hideMark/>
          </w:tcPr>
          <w:p w:rsidR="0035741C" w:rsidRPr="00B0350C" w:rsidRDefault="0035741C" w:rsidP="00F92C29">
            <w:pPr>
              <w:pStyle w:val="AERtabletextright"/>
            </w:pPr>
            <w:r w:rsidRPr="00B0350C">
              <w:t>41.44</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934" w:type="pct"/>
            <w:noWrap/>
            <w:hideMark/>
          </w:tcPr>
          <w:p w:rsidR="0035741C" w:rsidRPr="00745089" w:rsidRDefault="0035741C" w:rsidP="007848A6">
            <w:pPr>
              <w:pStyle w:val="AERtabletextleft"/>
            </w:pPr>
            <w:r w:rsidRPr="00745089">
              <w:t>500 W Incandescent</w:t>
            </w:r>
          </w:p>
        </w:tc>
        <w:tc>
          <w:tcPr>
            <w:tcW w:w="629" w:type="pct"/>
            <w:noWrap/>
            <w:vAlign w:val="bottom"/>
            <w:hideMark/>
          </w:tcPr>
          <w:p w:rsidR="0035741C" w:rsidRPr="00B0350C" w:rsidRDefault="0035741C" w:rsidP="00F92C29">
            <w:pPr>
              <w:pStyle w:val="AERtabletextright"/>
            </w:pPr>
            <w:r w:rsidRPr="00B0350C">
              <w:t>43.54</w:t>
            </w:r>
          </w:p>
        </w:tc>
        <w:tc>
          <w:tcPr>
            <w:tcW w:w="938" w:type="pct"/>
            <w:noWrap/>
            <w:vAlign w:val="bottom"/>
            <w:hideMark/>
          </w:tcPr>
          <w:p w:rsidR="0035741C" w:rsidRPr="00B0350C" w:rsidRDefault="0035741C" w:rsidP="00F92C29">
            <w:pPr>
              <w:pStyle w:val="AERtabletextright"/>
            </w:pPr>
            <w:r w:rsidRPr="00B0350C">
              <w:t>41.44</w:t>
            </w:r>
          </w:p>
        </w:tc>
        <w:tc>
          <w:tcPr>
            <w:tcW w:w="658" w:type="pct"/>
            <w:noWrap/>
            <w:vAlign w:val="bottom"/>
            <w:hideMark/>
          </w:tcPr>
          <w:p w:rsidR="0035741C" w:rsidRPr="00B0350C" w:rsidRDefault="0035741C" w:rsidP="00F92C29">
            <w:pPr>
              <w:pStyle w:val="AERtabletextright"/>
            </w:pPr>
            <w:r w:rsidRPr="00B0350C">
              <w:t>43.56</w:t>
            </w:r>
          </w:p>
        </w:tc>
        <w:tc>
          <w:tcPr>
            <w:tcW w:w="841" w:type="pct"/>
            <w:noWrap/>
            <w:vAlign w:val="bottom"/>
            <w:hideMark/>
          </w:tcPr>
          <w:p w:rsidR="0035741C" w:rsidRPr="00B0350C" w:rsidRDefault="0035741C" w:rsidP="00F92C29">
            <w:pPr>
              <w:pStyle w:val="AERtabletextright"/>
            </w:pPr>
            <w:r w:rsidRPr="00B0350C">
              <w:t>41.46</w:t>
            </w:r>
          </w:p>
        </w:tc>
      </w:tr>
      <w:tr w:rsidR="0035741C" w:rsidRPr="00745089" w:rsidTr="001749C6">
        <w:trPr>
          <w:trHeight w:val="255"/>
        </w:trPr>
        <w:tc>
          <w:tcPr>
            <w:tcW w:w="1934" w:type="pct"/>
            <w:noWrap/>
            <w:hideMark/>
          </w:tcPr>
          <w:p w:rsidR="0035741C" w:rsidRPr="00745089" w:rsidRDefault="0035741C" w:rsidP="007848A6">
            <w:pPr>
              <w:pStyle w:val="AERtabletextleft"/>
            </w:pPr>
            <w:r w:rsidRPr="00745089">
              <w:t>100 W Metal Halide</w:t>
            </w:r>
          </w:p>
        </w:tc>
        <w:tc>
          <w:tcPr>
            <w:tcW w:w="629" w:type="pct"/>
            <w:noWrap/>
            <w:vAlign w:val="bottom"/>
            <w:hideMark/>
          </w:tcPr>
          <w:p w:rsidR="0035741C" w:rsidRPr="00B0350C" w:rsidRDefault="0035741C" w:rsidP="00F92C29">
            <w:pPr>
              <w:pStyle w:val="AERtabletextright"/>
            </w:pPr>
            <w:r w:rsidRPr="00B0350C">
              <w:t>52.56</w:t>
            </w:r>
          </w:p>
        </w:tc>
        <w:tc>
          <w:tcPr>
            <w:tcW w:w="938" w:type="pct"/>
            <w:noWrap/>
            <w:vAlign w:val="bottom"/>
            <w:hideMark/>
          </w:tcPr>
          <w:p w:rsidR="0035741C" w:rsidRPr="00B0350C" w:rsidRDefault="0035741C" w:rsidP="00F92C29">
            <w:pPr>
              <w:pStyle w:val="AERtabletextright"/>
            </w:pPr>
            <w:r w:rsidRPr="00B0350C">
              <w:t>50.03</w:t>
            </w:r>
          </w:p>
        </w:tc>
        <w:tc>
          <w:tcPr>
            <w:tcW w:w="658" w:type="pct"/>
            <w:noWrap/>
            <w:vAlign w:val="bottom"/>
            <w:hideMark/>
          </w:tcPr>
          <w:p w:rsidR="0035741C" w:rsidRPr="00B0350C" w:rsidRDefault="0035741C" w:rsidP="00F92C29">
            <w:pPr>
              <w:pStyle w:val="AERtabletextright"/>
            </w:pPr>
            <w:r w:rsidRPr="00B0350C">
              <w:t>53.55</w:t>
            </w:r>
          </w:p>
        </w:tc>
        <w:tc>
          <w:tcPr>
            <w:tcW w:w="841" w:type="pct"/>
            <w:noWrap/>
            <w:vAlign w:val="bottom"/>
            <w:hideMark/>
          </w:tcPr>
          <w:p w:rsidR="0035741C" w:rsidRPr="00B0350C" w:rsidRDefault="0035741C" w:rsidP="00F92C29">
            <w:pPr>
              <w:pStyle w:val="AERtabletextright"/>
            </w:pPr>
            <w:r w:rsidRPr="00B0350C">
              <w:t>50.99</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934" w:type="pct"/>
            <w:noWrap/>
            <w:hideMark/>
          </w:tcPr>
          <w:p w:rsidR="0035741C" w:rsidRPr="00745089" w:rsidRDefault="0035741C" w:rsidP="007848A6">
            <w:pPr>
              <w:pStyle w:val="AERtabletextleft"/>
            </w:pPr>
            <w:r w:rsidRPr="00745089">
              <w:t>150 W Metal Halide</w:t>
            </w:r>
          </w:p>
        </w:tc>
        <w:tc>
          <w:tcPr>
            <w:tcW w:w="629" w:type="pct"/>
            <w:noWrap/>
            <w:vAlign w:val="bottom"/>
            <w:hideMark/>
          </w:tcPr>
          <w:p w:rsidR="0035741C" w:rsidRPr="00B0350C" w:rsidRDefault="0035741C" w:rsidP="00F92C29">
            <w:pPr>
              <w:pStyle w:val="AERtabletextright"/>
            </w:pPr>
            <w:r w:rsidRPr="00B0350C">
              <w:t>58.96</w:t>
            </w:r>
          </w:p>
        </w:tc>
        <w:tc>
          <w:tcPr>
            <w:tcW w:w="938" w:type="pct"/>
            <w:noWrap/>
            <w:vAlign w:val="bottom"/>
            <w:hideMark/>
          </w:tcPr>
          <w:p w:rsidR="0035741C" w:rsidRPr="00B0350C" w:rsidRDefault="0035741C" w:rsidP="00F92C29">
            <w:pPr>
              <w:pStyle w:val="AERtabletextright"/>
            </w:pPr>
            <w:r w:rsidRPr="00B0350C">
              <w:t>56.12</w:t>
            </w:r>
          </w:p>
        </w:tc>
        <w:tc>
          <w:tcPr>
            <w:tcW w:w="658" w:type="pct"/>
            <w:noWrap/>
            <w:vAlign w:val="bottom"/>
            <w:hideMark/>
          </w:tcPr>
          <w:p w:rsidR="0035741C" w:rsidRPr="00B0350C" w:rsidRDefault="0035741C" w:rsidP="00F92C29">
            <w:pPr>
              <w:pStyle w:val="AERtabletextright"/>
            </w:pPr>
            <w:r w:rsidRPr="00B0350C">
              <w:t>61.83</w:t>
            </w:r>
          </w:p>
        </w:tc>
        <w:tc>
          <w:tcPr>
            <w:tcW w:w="841" w:type="pct"/>
            <w:noWrap/>
            <w:vAlign w:val="bottom"/>
            <w:hideMark/>
          </w:tcPr>
          <w:p w:rsidR="0035741C" w:rsidRPr="00B0350C" w:rsidRDefault="0035741C" w:rsidP="00F92C29">
            <w:pPr>
              <w:pStyle w:val="AERtabletextright"/>
            </w:pPr>
            <w:r w:rsidRPr="00B0350C">
              <w:t>58.86</w:t>
            </w:r>
          </w:p>
        </w:tc>
      </w:tr>
      <w:tr w:rsidR="0035741C" w:rsidRPr="00745089" w:rsidTr="001749C6">
        <w:trPr>
          <w:trHeight w:val="255"/>
        </w:trPr>
        <w:tc>
          <w:tcPr>
            <w:tcW w:w="1934" w:type="pct"/>
            <w:noWrap/>
            <w:hideMark/>
          </w:tcPr>
          <w:p w:rsidR="0035741C" w:rsidRPr="00745089" w:rsidRDefault="0035741C" w:rsidP="007848A6">
            <w:pPr>
              <w:pStyle w:val="AERtabletextleft"/>
            </w:pPr>
            <w:r w:rsidRPr="00745089">
              <w:t>250 W Metal Halide</w:t>
            </w:r>
          </w:p>
        </w:tc>
        <w:tc>
          <w:tcPr>
            <w:tcW w:w="629" w:type="pct"/>
            <w:noWrap/>
            <w:vAlign w:val="bottom"/>
            <w:hideMark/>
          </w:tcPr>
          <w:p w:rsidR="0035741C" w:rsidRPr="00B0350C" w:rsidRDefault="0035741C" w:rsidP="00F92C29">
            <w:pPr>
              <w:pStyle w:val="AERtabletextright"/>
            </w:pPr>
            <w:r w:rsidRPr="00B0350C">
              <w:t>48.60</w:t>
            </w:r>
          </w:p>
        </w:tc>
        <w:tc>
          <w:tcPr>
            <w:tcW w:w="938" w:type="pct"/>
            <w:noWrap/>
            <w:vAlign w:val="bottom"/>
            <w:hideMark/>
          </w:tcPr>
          <w:p w:rsidR="0035741C" w:rsidRPr="00B0350C" w:rsidRDefault="0035741C" w:rsidP="00F92C29">
            <w:pPr>
              <w:pStyle w:val="AERtabletextright"/>
            </w:pPr>
            <w:r w:rsidRPr="00B0350C">
              <w:t>46.25</w:t>
            </w:r>
          </w:p>
        </w:tc>
        <w:tc>
          <w:tcPr>
            <w:tcW w:w="658" w:type="pct"/>
            <w:noWrap/>
            <w:vAlign w:val="bottom"/>
            <w:hideMark/>
          </w:tcPr>
          <w:p w:rsidR="0035741C" w:rsidRPr="00B0350C" w:rsidRDefault="0035741C" w:rsidP="00F92C29">
            <w:pPr>
              <w:pStyle w:val="AERtabletextright"/>
            </w:pPr>
            <w:r w:rsidRPr="00B0350C">
              <w:t>54.54</w:t>
            </w:r>
          </w:p>
        </w:tc>
        <w:tc>
          <w:tcPr>
            <w:tcW w:w="841" w:type="pct"/>
            <w:noWrap/>
            <w:vAlign w:val="bottom"/>
            <w:hideMark/>
          </w:tcPr>
          <w:p w:rsidR="0035741C" w:rsidRPr="00B0350C" w:rsidRDefault="0035741C" w:rsidP="00F92C29">
            <w:pPr>
              <w:pStyle w:val="AERtabletextright"/>
            </w:pPr>
            <w:r w:rsidRPr="00B0350C">
              <w:t>52.06</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934" w:type="pct"/>
            <w:noWrap/>
            <w:hideMark/>
          </w:tcPr>
          <w:p w:rsidR="0035741C" w:rsidRPr="00745089" w:rsidRDefault="0035741C" w:rsidP="007848A6">
            <w:pPr>
              <w:pStyle w:val="AERtabletextleft"/>
            </w:pPr>
            <w:r w:rsidRPr="00745089">
              <w:t>2 x 250 W Metal Halide</w:t>
            </w:r>
          </w:p>
        </w:tc>
        <w:tc>
          <w:tcPr>
            <w:tcW w:w="629" w:type="pct"/>
            <w:noWrap/>
            <w:vAlign w:val="bottom"/>
            <w:hideMark/>
          </w:tcPr>
          <w:p w:rsidR="0035741C" w:rsidRPr="00B0350C" w:rsidRDefault="0035741C" w:rsidP="00F92C29">
            <w:pPr>
              <w:pStyle w:val="AERtabletextright"/>
            </w:pPr>
            <w:r w:rsidRPr="00B0350C">
              <w:t>53.65</w:t>
            </w:r>
          </w:p>
        </w:tc>
        <w:tc>
          <w:tcPr>
            <w:tcW w:w="938" w:type="pct"/>
            <w:noWrap/>
            <w:vAlign w:val="bottom"/>
            <w:hideMark/>
          </w:tcPr>
          <w:p w:rsidR="0035741C" w:rsidRPr="00B0350C" w:rsidRDefault="0035741C" w:rsidP="00F92C29">
            <w:pPr>
              <w:pStyle w:val="AERtabletextright"/>
            </w:pPr>
            <w:r w:rsidRPr="00B0350C">
              <w:t>51.07</w:t>
            </w:r>
          </w:p>
        </w:tc>
        <w:tc>
          <w:tcPr>
            <w:tcW w:w="658" w:type="pct"/>
            <w:noWrap/>
            <w:vAlign w:val="bottom"/>
            <w:hideMark/>
          </w:tcPr>
          <w:p w:rsidR="0035741C" w:rsidRPr="00B0350C" w:rsidRDefault="0035741C" w:rsidP="00F92C29">
            <w:pPr>
              <w:pStyle w:val="AERtabletextright"/>
            </w:pPr>
            <w:r w:rsidRPr="00B0350C">
              <w:t>71.07</w:t>
            </w:r>
          </w:p>
        </w:tc>
        <w:tc>
          <w:tcPr>
            <w:tcW w:w="841" w:type="pct"/>
            <w:noWrap/>
            <w:vAlign w:val="bottom"/>
            <w:hideMark/>
          </w:tcPr>
          <w:p w:rsidR="0035741C" w:rsidRPr="00B0350C" w:rsidRDefault="0035741C" w:rsidP="00F92C29">
            <w:pPr>
              <w:pStyle w:val="AERtabletextright"/>
            </w:pPr>
            <w:r w:rsidRPr="00B0350C">
              <w:t>67.92</w:t>
            </w:r>
          </w:p>
        </w:tc>
      </w:tr>
      <w:tr w:rsidR="0035741C" w:rsidRPr="00745089" w:rsidTr="001749C6">
        <w:trPr>
          <w:trHeight w:val="255"/>
        </w:trPr>
        <w:tc>
          <w:tcPr>
            <w:tcW w:w="1934" w:type="pct"/>
            <w:noWrap/>
            <w:hideMark/>
          </w:tcPr>
          <w:p w:rsidR="0035741C" w:rsidRPr="00745089" w:rsidRDefault="0035741C" w:rsidP="007848A6">
            <w:pPr>
              <w:pStyle w:val="AERtabletextleft"/>
            </w:pPr>
            <w:r w:rsidRPr="00745089">
              <w:t>400 W Metal Halide</w:t>
            </w:r>
          </w:p>
        </w:tc>
        <w:tc>
          <w:tcPr>
            <w:tcW w:w="629" w:type="pct"/>
            <w:noWrap/>
            <w:vAlign w:val="bottom"/>
            <w:hideMark/>
          </w:tcPr>
          <w:p w:rsidR="0035741C" w:rsidRPr="00B0350C" w:rsidRDefault="0035741C" w:rsidP="00F92C29">
            <w:pPr>
              <w:pStyle w:val="AERtabletextright"/>
            </w:pPr>
            <w:r w:rsidRPr="00B0350C">
              <w:t>45.84</w:t>
            </w:r>
          </w:p>
        </w:tc>
        <w:tc>
          <w:tcPr>
            <w:tcW w:w="938" w:type="pct"/>
            <w:noWrap/>
            <w:vAlign w:val="bottom"/>
            <w:hideMark/>
          </w:tcPr>
          <w:p w:rsidR="0035741C" w:rsidRPr="00B0350C" w:rsidRDefault="0035741C" w:rsidP="00F92C29">
            <w:pPr>
              <w:pStyle w:val="AERtabletextright"/>
            </w:pPr>
            <w:r w:rsidRPr="00B0350C">
              <w:t>43.63</w:t>
            </w:r>
          </w:p>
        </w:tc>
        <w:tc>
          <w:tcPr>
            <w:tcW w:w="658" w:type="pct"/>
            <w:noWrap/>
            <w:vAlign w:val="bottom"/>
            <w:hideMark/>
          </w:tcPr>
          <w:p w:rsidR="0035741C" w:rsidRPr="00B0350C" w:rsidRDefault="0035741C" w:rsidP="00F92C29">
            <w:pPr>
              <w:pStyle w:val="AERtabletextright"/>
            </w:pPr>
            <w:r w:rsidRPr="00B0350C">
              <w:t>46.27</w:t>
            </w:r>
          </w:p>
        </w:tc>
        <w:tc>
          <w:tcPr>
            <w:tcW w:w="841" w:type="pct"/>
            <w:noWrap/>
            <w:vAlign w:val="bottom"/>
            <w:hideMark/>
          </w:tcPr>
          <w:p w:rsidR="0035741C" w:rsidRPr="00B0350C" w:rsidRDefault="0035741C" w:rsidP="00F92C29">
            <w:pPr>
              <w:pStyle w:val="AERtabletextright"/>
            </w:pPr>
            <w:r w:rsidRPr="00B0350C">
              <w:t>44.04</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934" w:type="pct"/>
            <w:noWrap/>
            <w:hideMark/>
          </w:tcPr>
          <w:p w:rsidR="0035741C" w:rsidRPr="00745089" w:rsidRDefault="0035741C" w:rsidP="007848A6">
            <w:pPr>
              <w:pStyle w:val="AERtabletextleft"/>
            </w:pPr>
            <w:r w:rsidRPr="00745089">
              <w:t>2 x 400 W Metal Halide</w:t>
            </w:r>
          </w:p>
        </w:tc>
        <w:tc>
          <w:tcPr>
            <w:tcW w:w="629" w:type="pct"/>
            <w:noWrap/>
            <w:vAlign w:val="bottom"/>
            <w:hideMark/>
          </w:tcPr>
          <w:p w:rsidR="0035741C" w:rsidRPr="00B0350C" w:rsidRDefault="0035741C" w:rsidP="00F92C29">
            <w:pPr>
              <w:pStyle w:val="AERtabletextright"/>
            </w:pPr>
            <w:r w:rsidRPr="00B0350C">
              <w:t>48.13</w:t>
            </w:r>
          </w:p>
        </w:tc>
        <w:tc>
          <w:tcPr>
            <w:tcW w:w="938" w:type="pct"/>
            <w:noWrap/>
            <w:vAlign w:val="bottom"/>
            <w:hideMark/>
          </w:tcPr>
          <w:p w:rsidR="0035741C" w:rsidRPr="00B0350C" w:rsidRDefault="0035741C" w:rsidP="00F92C29">
            <w:pPr>
              <w:pStyle w:val="AERtabletextright"/>
            </w:pPr>
            <w:r w:rsidRPr="00B0350C">
              <w:t>45.81</w:t>
            </w:r>
          </w:p>
        </w:tc>
        <w:tc>
          <w:tcPr>
            <w:tcW w:w="658" w:type="pct"/>
            <w:noWrap/>
            <w:vAlign w:val="bottom"/>
            <w:hideMark/>
          </w:tcPr>
          <w:p w:rsidR="0035741C" w:rsidRPr="00B0350C" w:rsidRDefault="0035741C" w:rsidP="00F92C29">
            <w:pPr>
              <w:pStyle w:val="AERtabletextright"/>
            </w:pPr>
            <w:r w:rsidRPr="00B0350C">
              <w:t>71.12</w:t>
            </w:r>
          </w:p>
        </w:tc>
        <w:tc>
          <w:tcPr>
            <w:tcW w:w="841" w:type="pct"/>
            <w:noWrap/>
            <w:vAlign w:val="bottom"/>
            <w:hideMark/>
          </w:tcPr>
          <w:p w:rsidR="0035741C" w:rsidRPr="00B0350C" w:rsidRDefault="0035741C" w:rsidP="00F92C29">
            <w:pPr>
              <w:pStyle w:val="AERtabletextright"/>
            </w:pPr>
            <w:r w:rsidRPr="00B0350C">
              <w:t>68.05</w:t>
            </w:r>
          </w:p>
        </w:tc>
      </w:tr>
      <w:tr w:rsidR="0035741C" w:rsidRPr="00745089" w:rsidTr="001749C6">
        <w:trPr>
          <w:trHeight w:val="255"/>
        </w:trPr>
        <w:tc>
          <w:tcPr>
            <w:tcW w:w="1934" w:type="pct"/>
            <w:noWrap/>
            <w:hideMark/>
          </w:tcPr>
          <w:p w:rsidR="0035741C" w:rsidRPr="00745089" w:rsidRDefault="0035741C" w:rsidP="007848A6">
            <w:pPr>
              <w:pStyle w:val="AERtabletextleft"/>
            </w:pPr>
            <w:r w:rsidRPr="00745089">
              <w:t>1000 W Metal Halide</w:t>
            </w:r>
          </w:p>
        </w:tc>
        <w:tc>
          <w:tcPr>
            <w:tcW w:w="629" w:type="pct"/>
            <w:noWrap/>
            <w:vAlign w:val="bottom"/>
            <w:hideMark/>
          </w:tcPr>
          <w:p w:rsidR="0035741C" w:rsidRPr="00B0350C" w:rsidRDefault="0035741C" w:rsidP="00F92C29">
            <w:pPr>
              <w:pStyle w:val="AERtabletextright"/>
            </w:pPr>
            <w:r w:rsidRPr="00B0350C">
              <w:t>45.84</w:t>
            </w:r>
          </w:p>
        </w:tc>
        <w:tc>
          <w:tcPr>
            <w:tcW w:w="938" w:type="pct"/>
            <w:noWrap/>
            <w:vAlign w:val="bottom"/>
            <w:hideMark/>
          </w:tcPr>
          <w:p w:rsidR="0035741C" w:rsidRPr="00B0350C" w:rsidRDefault="0035741C" w:rsidP="00F92C29">
            <w:pPr>
              <w:pStyle w:val="AERtabletextright"/>
            </w:pPr>
            <w:r w:rsidRPr="00B0350C">
              <w:t>43.63</w:t>
            </w:r>
          </w:p>
        </w:tc>
        <w:tc>
          <w:tcPr>
            <w:tcW w:w="658" w:type="pct"/>
            <w:noWrap/>
            <w:vAlign w:val="bottom"/>
            <w:hideMark/>
          </w:tcPr>
          <w:p w:rsidR="0035741C" w:rsidRPr="00B0350C" w:rsidRDefault="0035741C" w:rsidP="00F92C29">
            <w:pPr>
              <w:pStyle w:val="AERtabletextright"/>
            </w:pPr>
            <w:r w:rsidRPr="00B0350C">
              <w:t>45.54</w:t>
            </w:r>
          </w:p>
        </w:tc>
        <w:tc>
          <w:tcPr>
            <w:tcW w:w="841" w:type="pct"/>
            <w:noWrap/>
            <w:vAlign w:val="bottom"/>
            <w:hideMark/>
          </w:tcPr>
          <w:p w:rsidR="0035741C" w:rsidRPr="00B0350C" w:rsidRDefault="0035741C" w:rsidP="00F92C29">
            <w:pPr>
              <w:pStyle w:val="AERtabletextright"/>
            </w:pPr>
            <w:r w:rsidRPr="00B0350C">
              <w:t>43.34</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934" w:type="pct"/>
            <w:noWrap/>
            <w:hideMark/>
          </w:tcPr>
          <w:p w:rsidR="0035741C" w:rsidRPr="00745089" w:rsidRDefault="0035741C" w:rsidP="007848A6">
            <w:pPr>
              <w:pStyle w:val="AERtabletextleft"/>
            </w:pPr>
            <w:r w:rsidRPr="00745089">
              <w:t>600 W Sodium</w:t>
            </w:r>
          </w:p>
        </w:tc>
        <w:tc>
          <w:tcPr>
            <w:tcW w:w="629" w:type="pct"/>
            <w:noWrap/>
            <w:vAlign w:val="bottom"/>
            <w:hideMark/>
          </w:tcPr>
          <w:p w:rsidR="0035741C" w:rsidRPr="00B0350C" w:rsidRDefault="0035741C" w:rsidP="00F92C29">
            <w:pPr>
              <w:pStyle w:val="AERtabletextright"/>
            </w:pPr>
            <w:r w:rsidRPr="00B0350C">
              <w:t>45.84</w:t>
            </w:r>
          </w:p>
        </w:tc>
        <w:tc>
          <w:tcPr>
            <w:tcW w:w="938" w:type="pct"/>
            <w:noWrap/>
            <w:vAlign w:val="bottom"/>
            <w:hideMark/>
          </w:tcPr>
          <w:p w:rsidR="0035741C" w:rsidRPr="00B0350C" w:rsidRDefault="0035741C" w:rsidP="00F92C29">
            <w:pPr>
              <w:pStyle w:val="AERtabletextright"/>
            </w:pPr>
            <w:r w:rsidRPr="00B0350C">
              <w:t>43.63</w:t>
            </w:r>
          </w:p>
        </w:tc>
        <w:tc>
          <w:tcPr>
            <w:tcW w:w="658" w:type="pct"/>
            <w:noWrap/>
            <w:vAlign w:val="bottom"/>
            <w:hideMark/>
          </w:tcPr>
          <w:p w:rsidR="0035741C" w:rsidRPr="00B0350C" w:rsidRDefault="0035741C" w:rsidP="00F92C29">
            <w:pPr>
              <w:pStyle w:val="AERtabletextright"/>
            </w:pPr>
            <w:r w:rsidRPr="00B0350C">
              <w:t>69.02</w:t>
            </w:r>
          </w:p>
        </w:tc>
        <w:tc>
          <w:tcPr>
            <w:tcW w:w="841" w:type="pct"/>
            <w:noWrap/>
            <w:vAlign w:val="bottom"/>
            <w:hideMark/>
          </w:tcPr>
          <w:p w:rsidR="0035741C" w:rsidRPr="00B0350C" w:rsidRDefault="0035741C" w:rsidP="00F92C29">
            <w:pPr>
              <w:pStyle w:val="AERtabletextright"/>
            </w:pPr>
            <w:r w:rsidRPr="00B0350C">
              <w:t>66.14</w:t>
            </w:r>
          </w:p>
        </w:tc>
      </w:tr>
      <w:tr w:rsidR="0035741C" w:rsidRPr="00745089" w:rsidTr="001749C6">
        <w:trPr>
          <w:trHeight w:val="255"/>
        </w:trPr>
        <w:tc>
          <w:tcPr>
            <w:tcW w:w="1934" w:type="pct"/>
            <w:noWrap/>
            <w:hideMark/>
          </w:tcPr>
          <w:p w:rsidR="0035741C" w:rsidRPr="00745089" w:rsidRDefault="0035741C" w:rsidP="007848A6">
            <w:pPr>
              <w:pStyle w:val="AERtabletextleft"/>
            </w:pPr>
            <w:r w:rsidRPr="00745089">
              <w:t>Pole mounting bracket minor (&lt;=3m)</w:t>
            </w:r>
          </w:p>
        </w:tc>
        <w:tc>
          <w:tcPr>
            <w:tcW w:w="629" w:type="pct"/>
            <w:noWrap/>
            <w:vAlign w:val="bottom"/>
            <w:hideMark/>
          </w:tcPr>
          <w:p w:rsidR="0035741C" w:rsidRPr="00B0350C" w:rsidRDefault="0035741C" w:rsidP="00F92C29">
            <w:pPr>
              <w:pStyle w:val="AERtabletextright"/>
            </w:pPr>
            <w:r w:rsidRPr="00B0350C">
              <w:t>10.89</w:t>
            </w:r>
          </w:p>
        </w:tc>
        <w:tc>
          <w:tcPr>
            <w:tcW w:w="938" w:type="pct"/>
            <w:noWrap/>
            <w:vAlign w:val="bottom"/>
            <w:hideMark/>
          </w:tcPr>
          <w:p w:rsidR="0035741C" w:rsidRPr="00B0350C" w:rsidRDefault="0035741C" w:rsidP="00F92C29">
            <w:pPr>
              <w:pStyle w:val="AERtabletextright"/>
            </w:pPr>
            <w:r w:rsidRPr="00B0350C">
              <w:t>10.36</w:t>
            </w:r>
          </w:p>
        </w:tc>
        <w:tc>
          <w:tcPr>
            <w:tcW w:w="658" w:type="pct"/>
            <w:noWrap/>
            <w:vAlign w:val="bottom"/>
            <w:hideMark/>
          </w:tcPr>
          <w:p w:rsidR="0035741C" w:rsidRPr="00B0350C" w:rsidRDefault="0035741C" w:rsidP="00F92C29">
            <w:pPr>
              <w:pStyle w:val="AERtabletextright"/>
            </w:pPr>
            <w:r w:rsidRPr="00B0350C">
              <w:t>12.07</w:t>
            </w:r>
          </w:p>
        </w:tc>
        <w:tc>
          <w:tcPr>
            <w:tcW w:w="841" w:type="pct"/>
            <w:noWrap/>
            <w:vAlign w:val="bottom"/>
            <w:hideMark/>
          </w:tcPr>
          <w:p w:rsidR="0035741C" w:rsidRPr="00B0350C" w:rsidRDefault="0035741C" w:rsidP="00F92C29">
            <w:pPr>
              <w:pStyle w:val="AERtabletextright"/>
            </w:pPr>
            <w:r w:rsidRPr="00B0350C">
              <w:t>11.52</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934" w:type="pct"/>
            <w:noWrap/>
            <w:hideMark/>
          </w:tcPr>
          <w:p w:rsidR="0035741C" w:rsidRPr="00745089" w:rsidRDefault="0035741C" w:rsidP="007848A6">
            <w:pPr>
              <w:pStyle w:val="AERtabletextleft"/>
            </w:pPr>
            <w:r w:rsidRPr="00745089">
              <w:t>Pole mounting bracket major (&gt;3m)</w:t>
            </w:r>
          </w:p>
        </w:tc>
        <w:tc>
          <w:tcPr>
            <w:tcW w:w="629" w:type="pct"/>
            <w:noWrap/>
            <w:vAlign w:val="bottom"/>
            <w:hideMark/>
          </w:tcPr>
          <w:p w:rsidR="0035741C" w:rsidRPr="00B0350C" w:rsidRDefault="0035741C" w:rsidP="00F92C29">
            <w:pPr>
              <w:pStyle w:val="AERtabletextright"/>
            </w:pPr>
            <w:r w:rsidRPr="00B0350C">
              <w:t>10.89</w:t>
            </w:r>
          </w:p>
        </w:tc>
        <w:tc>
          <w:tcPr>
            <w:tcW w:w="938" w:type="pct"/>
            <w:noWrap/>
            <w:vAlign w:val="bottom"/>
            <w:hideMark/>
          </w:tcPr>
          <w:p w:rsidR="0035741C" w:rsidRPr="00B0350C" w:rsidRDefault="0035741C" w:rsidP="00F92C29">
            <w:pPr>
              <w:pStyle w:val="AERtabletextright"/>
            </w:pPr>
            <w:r w:rsidRPr="00B0350C">
              <w:t>10.36</w:t>
            </w:r>
          </w:p>
        </w:tc>
        <w:tc>
          <w:tcPr>
            <w:tcW w:w="658" w:type="pct"/>
            <w:noWrap/>
            <w:vAlign w:val="bottom"/>
            <w:hideMark/>
          </w:tcPr>
          <w:p w:rsidR="0035741C" w:rsidRPr="00B0350C" w:rsidRDefault="0035741C" w:rsidP="00F92C29">
            <w:pPr>
              <w:pStyle w:val="AERtabletextright"/>
            </w:pPr>
            <w:r w:rsidRPr="00B0350C">
              <w:t>17.03</w:t>
            </w:r>
          </w:p>
        </w:tc>
        <w:tc>
          <w:tcPr>
            <w:tcW w:w="841" w:type="pct"/>
            <w:noWrap/>
            <w:vAlign w:val="bottom"/>
            <w:hideMark/>
          </w:tcPr>
          <w:p w:rsidR="0035741C" w:rsidRPr="00B0350C" w:rsidRDefault="0035741C" w:rsidP="00F92C29">
            <w:pPr>
              <w:pStyle w:val="AERtabletextright"/>
            </w:pPr>
            <w:r w:rsidRPr="00B0350C">
              <w:t>16.37</w:t>
            </w:r>
          </w:p>
        </w:tc>
      </w:tr>
      <w:tr w:rsidR="0035741C" w:rsidRPr="00745089" w:rsidTr="001749C6">
        <w:trPr>
          <w:trHeight w:val="255"/>
        </w:trPr>
        <w:tc>
          <w:tcPr>
            <w:tcW w:w="1934" w:type="pct"/>
            <w:noWrap/>
            <w:hideMark/>
          </w:tcPr>
          <w:p w:rsidR="0035741C" w:rsidRPr="00745089" w:rsidRDefault="0035741C" w:rsidP="007848A6">
            <w:pPr>
              <w:pStyle w:val="AERtabletextleft"/>
            </w:pPr>
            <w:r w:rsidRPr="00745089">
              <w:t>Outreach Minor (&lt;=2m)</w:t>
            </w:r>
          </w:p>
        </w:tc>
        <w:tc>
          <w:tcPr>
            <w:tcW w:w="629" w:type="pct"/>
            <w:noWrap/>
            <w:vAlign w:val="bottom"/>
            <w:hideMark/>
          </w:tcPr>
          <w:p w:rsidR="0035741C" w:rsidRPr="00B0350C" w:rsidRDefault="0035741C" w:rsidP="00F92C29">
            <w:pPr>
              <w:pStyle w:val="AERtabletextright"/>
            </w:pPr>
            <w:r w:rsidRPr="00B0350C">
              <w:t>10.89</w:t>
            </w:r>
          </w:p>
        </w:tc>
        <w:tc>
          <w:tcPr>
            <w:tcW w:w="938" w:type="pct"/>
            <w:noWrap/>
            <w:vAlign w:val="bottom"/>
            <w:hideMark/>
          </w:tcPr>
          <w:p w:rsidR="0035741C" w:rsidRPr="00B0350C" w:rsidRDefault="0035741C" w:rsidP="00F92C29">
            <w:pPr>
              <w:pStyle w:val="AERtabletextright"/>
            </w:pPr>
            <w:r w:rsidRPr="00B0350C">
              <w:t>10.36</w:t>
            </w:r>
          </w:p>
        </w:tc>
        <w:tc>
          <w:tcPr>
            <w:tcW w:w="658" w:type="pct"/>
            <w:noWrap/>
            <w:vAlign w:val="bottom"/>
            <w:hideMark/>
          </w:tcPr>
          <w:p w:rsidR="0035741C" w:rsidRPr="00B0350C" w:rsidRDefault="0035741C" w:rsidP="00F92C29">
            <w:pPr>
              <w:pStyle w:val="AERtabletextright"/>
            </w:pPr>
            <w:r w:rsidRPr="00B0350C">
              <w:t>13.94</w:t>
            </w:r>
          </w:p>
        </w:tc>
        <w:tc>
          <w:tcPr>
            <w:tcW w:w="841" w:type="pct"/>
            <w:noWrap/>
            <w:vAlign w:val="bottom"/>
            <w:hideMark/>
          </w:tcPr>
          <w:p w:rsidR="0035741C" w:rsidRPr="00B0350C" w:rsidRDefault="0035741C" w:rsidP="00F92C29">
            <w:pPr>
              <w:pStyle w:val="AERtabletextright"/>
            </w:pPr>
            <w:r w:rsidRPr="00B0350C">
              <w:t>13.33</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934" w:type="pct"/>
            <w:noWrap/>
            <w:hideMark/>
          </w:tcPr>
          <w:p w:rsidR="0035741C" w:rsidRPr="00745089" w:rsidRDefault="0035741C" w:rsidP="007848A6">
            <w:pPr>
              <w:pStyle w:val="AERtabletextleft"/>
            </w:pPr>
            <w:r w:rsidRPr="00745089">
              <w:t>Outreach Major (&gt;2m)</w:t>
            </w:r>
          </w:p>
        </w:tc>
        <w:tc>
          <w:tcPr>
            <w:tcW w:w="629" w:type="pct"/>
            <w:noWrap/>
            <w:vAlign w:val="bottom"/>
            <w:hideMark/>
          </w:tcPr>
          <w:p w:rsidR="0035741C" w:rsidRPr="00B0350C" w:rsidRDefault="0035741C" w:rsidP="00F92C29">
            <w:pPr>
              <w:pStyle w:val="AERtabletextright"/>
            </w:pPr>
            <w:r w:rsidRPr="00B0350C">
              <w:t>10.89</w:t>
            </w:r>
          </w:p>
        </w:tc>
        <w:tc>
          <w:tcPr>
            <w:tcW w:w="938" w:type="pct"/>
            <w:noWrap/>
            <w:vAlign w:val="bottom"/>
            <w:hideMark/>
          </w:tcPr>
          <w:p w:rsidR="0035741C" w:rsidRPr="00B0350C" w:rsidRDefault="0035741C" w:rsidP="00F92C29">
            <w:pPr>
              <w:pStyle w:val="AERtabletextright"/>
            </w:pPr>
            <w:r w:rsidRPr="00B0350C">
              <w:t>10.36</w:t>
            </w:r>
          </w:p>
        </w:tc>
        <w:tc>
          <w:tcPr>
            <w:tcW w:w="658" w:type="pct"/>
            <w:noWrap/>
            <w:vAlign w:val="bottom"/>
            <w:hideMark/>
          </w:tcPr>
          <w:p w:rsidR="0035741C" w:rsidRPr="00B0350C" w:rsidRDefault="0035741C" w:rsidP="00F92C29">
            <w:pPr>
              <w:pStyle w:val="AERtabletextright"/>
            </w:pPr>
            <w:r w:rsidRPr="00B0350C">
              <w:t>13.14</w:t>
            </w:r>
          </w:p>
        </w:tc>
        <w:tc>
          <w:tcPr>
            <w:tcW w:w="841" w:type="pct"/>
            <w:noWrap/>
            <w:vAlign w:val="bottom"/>
            <w:hideMark/>
          </w:tcPr>
          <w:p w:rsidR="0035741C" w:rsidRPr="00B0350C" w:rsidRDefault="0035741C" w:rsidP="00F92C29">
            <w:pPr>
              <w:pStyle w:val="AERtabletextright"/>
            </w:pPr>
            <w:r w:rsidRPr="00B0350C">
              <w:t>12.56</w:t>
            </w:r>
          </w:p>
        </w:tc>
      </w:tr>
      <w:tr w:rsidR="0035741C" w:rsidRPr="00745089" w:rsidTr="001749C6">
        <w:trPr>
          <w:trHeight w:val="255"/>
        </w:trPr>
        <w:tc>
          <w:tcPr>
            <w:tcW w:w="1934" w:type="pct"/>
            <w:noWrap/>
            <w:hideMark/>
          </w:tcPr>
          <w:p w:rsidR="0035741C" w:rsidRPr="00745089" w:rsidRDefault="0035741C" w:rsidP="007848A6">
            <w:pPr>
              <w:pStyle w:val="AERtabletextleft"/>
            </w:pPr>
            <w:r w:rsidRPr="00745089">
              <w:t>Minor Column (&lt;=9)</w:t>
            </w:r>
          </w:p>
        </w:tc>
        <w:tc>
          <w:tcPr>
            <w:tcW w:w="629" w:type="pct"/>
            <w:noWrap/>
            <w:vAlign w:val="bottom"/>
            <w:hideMark/>
          </w:tcPr>
          <w:p w:rsidR="0035741C" w:rsidRPr="00B0350C" w:rsidRDefault="0035741C" w:rsidP="00F92C29">
            <w:pPr>
              <w:pStyle w:val="AERtabletextright"/>
            </w:pPr>
            <w:r w:rsidRPr="00B0350C">
              <w:t>11.42</w:t>
            </w:r>
          </w:p>
        </w:tc>
        <w:tc>
          <w:tcPr>
            <w:tcW w:w="938" w:type="pct"/>
            <w:noWrap/>
            <w:vAlign w:val="bottom"/>
            <w:hideMark/>
          </w:tcPr>
          <w:p w:rsidR="0035741C" w:rsidRPr="00B0350C" w:rsidRDefault="0035741C" w:rsidP="00F92C29">
            <w:pPr>
              <w:pStyle w:val="AERtabletextright"/>
            </w:pPr>
            <w:r w:rsidRPr="00B0350C">
              <w:t>10.87</w:t>
            </w:r>
          </w:p>
        </w:tc>
        <w:tc>
          <w:tcPr>
            <w:tcW w:w="658" w:type="pct"/>
            <w:noWrap/>
            <w:vAlign w:val="bottom"/>
            <w:hideMark/>
          </w:tcPr>
          <w:p w:rsidR="0035741C" w:rsidRPr="00B0350C" w:rsidRDefault="0035741C" w:rsidP="00F92C29">
            <w:pPr>
              <w:pStyle w:val="AERtabletextright"/>
            </w:pPr>
            <w:r w:rsidRPr="00B0350C">
              <w:t>46.43</w:t>
            </w:r>
          </w:p>
        </w:tc>
        <w:tc>
          <w:tcPr>
            <w:tcW w:w="841" w:type="pct"/>
            <w:noWrap/>
            <w:vAlign w:val="bottom"/>
            <w:hideMark/>
          </w:tcPr>
          <w:p w:rsidR="0035741C" w:rsidRPr="00B0350C" w:rsidRDefault="0035741C" w:rsidP="00F92C29">
            <w:pPr>
              <w:pStyle w:val="AERtabletextright"/>
            </w:pPr>
            <w:r w:rsidRPr="00B0350C">
              <w:t>45.25</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934" w:type="pct"/>
            <w:noWrap/>
            <w:hideMark/>
          </w:tcPr>
          <w:p w:rsidR="0035741C" w:rsidRPr="00745089" w:rsidRDefault="0035741C" w:rsidP="007848A6">
            <w:pPr>
              <w:pStyle w:val="AERtabletextleft"/>
            </w:pPr>
            <w:r w:rsidRPr="00745089">
              <w:t>Major Column (&gt;=9)</w:t>
            </w:r>
          </w:p>
        </w:tc>
        <w:tc>
          <w:tcPr>
            <w:tcW w:w="629" w:type="pct"/>
            <w:noWrap/>
            <w:vAlign w:val="bottom"/>
            <w:hideMark/>
          </w:tcPr>
          <w:p w:rsidR="0035741C" w:rsidRPr="00B0350C" w:rsidRDefault="0035741C" w:rsidP="00F92C29">
            <w:pPr>
              <w:pStyle w:val="AERtabletextright"/>
            </w:pPr>
            <w:r w:rsidRPr="00B0350C">
              <w:t>11.42</w:t>
            </w:r>
          </w:p>
        </w:tc>
        <w:tc>
          <w:tcPr>
            <w:tcW w:w="938" w:type="pct"/>
            <w:noWrap/>
            <w:vAlign w:val="bottom"/>
            <w:hideMark/>
          </w:tcPr>
          <w:p w:rsidR="0035741C" w:rsidRPr="00B0350C" w:rsidRDefault="0035741C" w:rsidP="00F92C29">
            <w:pPr>
              <w:pStyle w:val="AERtabletextright"/>
            </w:pPr>
            <w:r w:rsidRPr="00B0350C">
              <w:t>10.87</w:t>
            </w:r>
          </w:p>
        </w:tc>
        <w:tc>
          <w:tcPr>
            <w:tcW w:w="658" w:type="pct"/>
            <w:noWrap/>
            <w:vAlign w:val="bottom"/>
            <w:hideMark/>
          </w:tcPr>
          <w:p w:rsidR="0035741C" w:rsidRPr="00B0350C" w:rsidRDefault="0035741C" w:rsidP="00F92C29">
            <w:pPr>
              <w:pStyle w:val="AERtabletextright"/>
            </w:pPr>
            <w:r w:rsidRPr="00B0350C">
              <w:t>98.73</w:t>
            </w:r>
          </w:p>
        </w:tc>
        <w:tc>
          <w:tcPr>
            <w:tcW w:w="841" w:type="pct"/>
            <w:noWrap/>
            <w:vAlign w:val="bottom"/>
            <w:hideMark/>
          </w:tcPr>
          <w:p w:rsidR="0035741C" w:rsidRPr="00B0350C" w:rsidRDefault="0035741C" w:rsidP="00F92C29">
            <w:pPr>
              <w:pStyle w:val="AERtabletextright"/>
            </w:pPr>
            <w:r w:rsidRPr="00B0350C">
              <w:t>96.64</w:t>
            </w:r>
          </w:p>
        </w:tc>
      </w:tr>
    </w:tbl>
    <w:p w:rsidR="00B40D1D" w:rsidRDefault="00B40D1D" w:rsidP="0069721B">
      <w:pPr>
        <w:pStyle w:val="AERtablesource"/>
      </w:pPr>
      <w:r>
        <w:t>Source: AER analysis.</w:t>
      </w:r>
    </w:p>
    <w:p w:rsidR="0035741C" w:rsidRDefault="0035741C" w:rsidP="0035741C"/>
    <w:tbl>
      <w:tblPr>
        <w:tblStyle w:val="AERtable-text"/>
        <w:tblW w:w="5000" w:type="pct"/>
        <w:tblLook w:val="04A0" w:firstRow="1" w:lastRow="0" w:firstColumn="1" w:lastColumn="0" w:noHBand="0" w:noVBand="1"/>
      </w:tblPr>
      <w:tblGrid>
        <w:gridCol w:w="4777"/>
        <w:gridCol w:w="1242"/>
        <w:gridCol w:w="1851"/>
        <w:gridCol w:w="1502"/>
        <w:gridCol w:w="1732"/>
        <w:gridCol w:w="1304"/>
        <w:gridCol w:w="1766"/>
      </w:tblGrid>
      <w:tr w:rsidR="0035741C" w:rsidRPr="00745089" w:rsidTr="001749C6">
        <w:trPr>
          <w:cnfStyle w:val="100000000000" w:firstRow="1" w:lastRow="0" w:firstColumn="0" w:lastColumn="0" w:oddVBand="0" w:evenVBand="0" w:oddHBand="0" w:evenHBand="0" w:firstRowFirstColumn="0" w:firstRowLastColumn="0" w:lastRowFirstColumn="0" w:lastRowLastColumn="0"/>
          <w:trHeight w:val="255"/>
        </w:trPr>
        <w:tc>
          <w:tcPr>
            <w:tcW w:w="1685" w:type="pct"/>
            <w:noWrap/>
            <w:hideMark/>
          </w:tcPr>
          <w:p w:rsidR="0035741C" w:rsidRPr="00745089" w:rsidRDefault="0035741C" w:rsidP="007848A6">
            <w:pPr>
              <w:pStyle w:val="AERtabletextleft"/>
            </w:pPr>
            <w:r w:rsidRPr="00745089">
              <w:t xml:space="preserve">Tariff Class 3 </w:t>
            </w:r>
          </w:p>
        </w:tc>
        <w:tc>
          <w:tcPr>
            <w:tcW w:w="1091" w:type="pct"/>
            <w:gridSpan w:val="2"/>
            <w:noWrap/>
            <w:hideMark/>
          </w:tcPr>
          <w:p w:rsidR="0035741C" w:rsidRPr="00745089" w:rsidRDefault="0035741C" w:rsidP="00F92C29">
            <w:pPr>
              <w:pStyle w:val="AERtabletextright"/>
            </w:pPr>
            <w:r w:rsidRPr="00745089">
              <w:t>Asset Value</w:t>
            </w:r>
          </w:p>
        </w:tc>
        <w:tc>
          <w:tcPr>
            <w:tcW w:w="1141" w:type="pct"/>
            <w:gridSpan w:val="2"/>
            <w:noWrap/>
            <w:hideMark/>
          </w:tcPr>
          <w:p w:rsidR="0035741C" w:rsidRPr="00745089" w:rsidRDefault="0035741C" w:rsidP="00F92C29">
            <w:pPr>
              <w:pStyle w:val="AERtabletextright"/>
            </w:pPr>
            <w:r w:rsidRPr="00745089">
              <w:t>Maintenance</w:t>
            </w:r>
          </w:p>
        </w:tc>
        <w:tc>
          <w:tcPr>
            <w:tcW w:w="1083" w:type="pct"/>
            <w:gridSpan w:val="2"/>
            <w:noWrap/>
            <w:hideMark/>
          </w:tcPr>
          <w:p w:rsidR="0035741C" w:rsidRPr="00745089" w:rsidRDefault="0035741C" w:rsidP="00F92C29">
            <w:pPr>
              <w:pStyle w:val="AERtabletextright"/>
            </w:pPr>
            <w:r w:rsidRPr="00745089">
              <w:t>Total Tariff</w:t>
            </w:r>
          </w:p>
        </w:tc>
      </w:tr>
      <w:tr w:rsidR="0035741C" w:rsidRPr="00745089" w:rsidTr="001749C6">
        <w:trPr>
          <w:trHeight w:val="255"/>
        </w:trPr>
        <w:tc>
          <w:tcPr>
            <w:tcW w:w="1685" w:type="pct"/>
            <w:noWrap/>
            <w:hideMark/>
          </w:tcPr>
          <w:p w:rsidR="0035741C" w:rsidRPr="00745089" w:rsidRDefault="0035741C" w:rsidP="007848A6">
            <w:pPr>
              <w:pStyle w:val="AERtabletextleft"/>
            </w:pPr>
            <w:r w:rsidRPr="00745089">
              <w:t>Type</w:t>
            </w:r>
          </w:p>
        </w:tc>
        <w:tc>
          <w:tcPr>
            <w:tcW w:w="438" w:type="pct"/>
            <w:noWrap/>
            <w:hideMark/>
          </w:tcPr>
          <w:p w:rsidR="0035741C" w:rsidRPr="00745089" w:rsidRDefault="0035741C" w:rsidP="00F92C29">
            <w:pPr>
              <w:pStyle w:val="AERtabletextright"/>
            </w:pPr>
            <w:r w:rsidRPr="00745089">
              <w:t>Proposed</w:t>
            </w:r>
          </w:p>
        </w:tc>
        <w:tc>
          <w:tcPr>
            <w:tcW w:w="653" w:type="pct"/>
            <w:noWrap/>
            <w:hideMark/>
          </w:tcPr>
          <w:p w:rsidR="0035741C" w:rsidRPr="00745089" w:rsidRDefault="0035741C" w:rsidP="00F92C29">
            <w:pPr>
              <w:pStyle w:val="AERtabletextright"/>
            </w:pPr>
            <w:r w:rsidRPr="00745089">
              <w:t xml:space="preserve"> Draft decision </w:t>
            </w:r>
          </w:p>
        </w:tc>
        <w:tc>
          <w:tcPr>
            <w:tcW w:w="530" w:type="pct"/>
            <w:noWrap/>
            <w:hideMark/>
          </w:tcPr>
          <w:p w:rsidR="0035741C" w:rsidRPr="00745089" w:rsidRDefault="0035741C" w:rsidP="00F92C29">
            <w:pPr>
              <w:pStyle w:val="AERtabletextright"/>
            </w:pPr>
            <w:r w:rsidRPr="00745089">
              <w:t xml:space="preserve"> Proposed </w:t>
            </w:r>
          </w:p>
        </w:tc>
        <w:tc>
          <w:tcPr>
            <w:tcW w:w="611" w:type="pct"/>
            <w:noWrap/>
            <w:hideMark/>
          </w:tcPr>
          <w:p w:rsidR="0035741C" w:rsidRPr="00745089" w:rsidRDefault="0035741C" w:rsidP="00F92C29">
            <w:pPr>
              <w:pStyle w:val="AERtabletextright"/>
            </w:pPr>
            <w:r w:rsidRPr="00745089">
              <w:t xml:space="preserve"> Draft decision </w:t>
            </w:r>
          </w:p>
        </w:tc>
        <w:tc>
          <w:tcPr>
            <w:tcW w:w="460" w:type="pct"/>
            <w:noWrap/>
            <w:hideMark/>
          </w:tcPr>
          <w:p w:rsidR="0035741C" w:rsidRPr="00745089" w:rsidRDefault="0035741C" w:rsidP="00F92C29">
            <w:pPr>
              <w:pStyle w:val="AERtabletextright"/>
            </w:pPr>
            <w:r w:rsidRPr="00745089">
              <w:t xml:space="preserve"> Proposed </w:t>
            </w:r>
          </w:p>
        </w:tc>
        <w:tc>
          <w:tcPr>
            <w:tcW w:w="623" w:type="pct"/>
            <w:noWrap/>
            <w:hideMark/>
          </w:tcPr>
          <w:p w:rsidR="0035741C" w:rsidRPr="00745089" w:rsidRDefault="0035741C" w:rsidP="00F92C29">
            <w:pPr>
              <w:pStyle w:val="AERtabletextright"/>
            </w:pPr>
            <w:r w:rsidRPr="00745089">
              <w:t xml:space="preserve"> Draft decision </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685" w:type="pct"/>
            <w:noWrap/>
            <w:hideMark/>
          </w:tcPr>
          <w:p w:rsidR="0035741C" w:rsidRPr="00745089" w:rsidRDefault="0035741C" w:rsidP="007848A6">
            <w:pPr>
              <w:pStyle w:val="AERtabletextleft"/>
            </w:pPr>
            <w:r w:rsidRPr="00745089">
              <w:t xml:space="preserve">2x14W Energy Efficient </w:t>
            </w:r>
            <w:proofErr w:type="spellStart"/>
            <w:r w:rsidRPr="00745089">
              <w:t>Fluro</w:t>
            </w:r>
            <w:proofErr w:type="spellEnd"/>
            <w:r w:rsidRPr="00745089">
              <w:t xml:space="preserve"> - STD</w:t>
            </w:r>
          </w:p>
        </w:tc>
        <w:tc>
          <w:tcPr>
            <w:tcW w:w="438" w:type="pct"/>
            <w:noWrap/>
            <w:vAlign w:val="bottom"/>
            <w:hideMark/>
          </w:tcPr>
          <w:p w:rsidR="0035741C" w:rsidRDefault="0035741C" w:rsidP="00F92C29">
            <w:pPr>
              <w:pStyle w:val="AERtabletextright"/>
            </w:pPr>
            <w:r>
              <w:t>53.26</w:t>
            </w:r>
          </w:p>
        </w:tc>
        <w:tc>
          <w:tcPr>
            <w:tcW w:w="653" w:type="pct"/>
            <w:noWrap/>
            <w:vAlign w:val="bottom"/>
            <w:hideMark/>
          </w:tcPr>
          <w:p w:rsidR="0035741C" w:rsidRDefault="0035741C" w:rsidP="00F92C29">
            <w:pPr>
              <w:pStyle w:val="AERtabletextright"/>
            </w:pPr>
            <w:r>
              <w:t>50.70</w:t>
            </w:r>
          </w:p>
        </w:tc>
        <w:tc>
          <w:tcPr>
            <w:tcW w:w="530" w:type="pct"/>
            <w:noWrap/>
            <w:vAlign w:val="bottom"/>
            <w:hideMark/>
          </w:tcPr>
          <w:p w:rsidR="0035741C" w:rsidRDefault="0035741C" w:rsidP="00F92C29">
            <w:pPr>
              <w:pStyle w:val="AERtabletextright"/>
            </w:pPr>
            <w:r>
              <w:t>55.04</w:t>
            </w:r>
          </w:p>
        </w:tc>
        <w:tc>
          <w:tcPr>
            <w:tcW w:w="611" w:type="pct"/>
            <w:noWrap/>
            <w:vAlign w:val="bottom"/>
            <w:hideMark/>
          </w:tcPr>
          <w:p w:rsidR="0035741C" w:rsidRDefault="0035741C" w:rsidP="00F92C29">
            <w:pPr>
              <w:pStyle w:val="AERtabletextright"/>
            </w:pPr>
            <w:r>
              <w:t>52.39</w:t>
            </w:r>
          </w:p>
        </w:tc>
        <w:tc>
          <w:tcPr>
            <w:tcW w:w="460" w:type="pct"/>
            <w:noWrap/>
            <w:vAlign w:val="bottom"/>
            <w:hideMark/>
          </w:tcPr>
          <w:p w:rsidR="0035741C" w:rsidRDefault="0035741C" w:rsidP="00F92C29">
            <w:pPr>
              <w:pStyle w:val="AERtabletextright"/>
            </w:pPr>
            <w:r>
              <w:t>108.31</w:t>
            </w:r>
          </w:p>
        </w:tc>
        <w:tc>
          <w:tcPr>
            <w:tcW w:w="623" w:type="pct"/>
            <w:noWrap/>
            <w:vAlign w:val="bottom"/>
            <w:hideMark/>
          </w:tcPr>
          <w:p w:rsidR="0035741C" w:rsidRDefault="0035741C" w:rsidP="00F92C29">
            <w:pPr>
              <w:pStyle w:val="AERtabletextright"/>
            </w:pPr>
            <w:r>
              <w:t>103.09</w:t>
            </w:r>
          </w:p>
        </w:tc>
      </w:tr>
      <w:tr w:rsidR="0035741C" w:rsidRPr="00745089" w:rsidTr="001749C6">
        <w:trPr>
          <w:trHeight w:val="255"/>
        </w:trPr>
        <w:tc>
          <w:tcPr>
            <w:tcW w:w="1685" w:type="pct"/>
            <w:noWrap/>
            <w:hideMark/>
          </w:tcPr>
          <w:p w:rsidR="0035741C" w:rsidRPr="00745089" w:rsidRDefault="0035741C" w:rsidP="007848A6">
            <w:pPr>
              <w:pStyle w:val="AERtabletextleft"/>
            </w:pPr>
            <w:r w:rsidRPr="00745089">
              <w:t xml:space="preserve">2x24W Energy Efficient </w:t>
            </w:r>
            <w:proofErr w:type="spellStart"/>
            <w:r w:rsidRPr="00745089">
              <w:t>Fluro</w:t>
            </w:r>
            <w:proofErr w:type="spellEnd"/>
            <w:r w:rsidRPr="00745089">
              <w:t xml:space="preserve"> - STD</w:t>
            </w:r>
          </w:p>
        </w:tc>
        <w:tc>
          <w:tcPr>
            <w:tcW w:w="438" w:type="pct"/>
            <w:noWrap/>
            <w:vAlign w:val="bottom"/>
            <w:hideMark/>
          </w:tcPr>
          <w:p w:rsidR="0035741C" w:rsidRDefault="0035741C" w:rsidP="00F92C29">
            <w:pPr>
              <w:pStyle w:val="AERtabletextright"/>
            </w:pPr>
            <w:r>
              <w:t>56.47</w:t>
            </w:r>
          </w:p>
        </w:tc>
        <w:tc>
          <w:tcPr>
            <w:tcW w:w="653" w:type="pct"/>
            <w:noWrap/>
            <w:vAlign w:val="bottom"/>
            <w:hideMark/>
          </w:tcPr>
          <w:p w:rsidR="0035741C" w:rsidRDefault="0035741C" w:rsidP="00F92C29">
            <w:pPr>
              <w:pStyle w:val="AERtabletextright"/>
            </w:pPr>
            <w:r>
              <w:t>53.75</w:t>
            </w:r>
          </w:p>
        </w:tc>
        <w:tc>
          <w:tcPr>
            <w:tcW w:w="530" w:type="pct"/>
            <w:noWrap/>
            <w:vAlign w:val="bottom"/>
            <w:hideMark/>
          </w:tcPr>
          <w:p w:rsidR="0035741C" w:rsidRDefault="0035741C" w:rsidP="00F92C29">
            <w:pPr>
              <w:pStyle w:val="AERtabletextright"/>
            </w:pPr>
            <w:r>
              <w:t>56.61</w:t>
            </w:r>
          </w:p>
        </w:tc>
        <w:tc>
          <w:tcPr>
            <w:tcW w:w="611" w:type="pct"/>
            <w:noWrap/>
            <w:vAlign w:val="bottom"/>
            <w:hideMark/>
          </w:tcPr>
          <w:p w:rsidR="0035741C" w:rsidRDefault="0035741C" w:rsidP="00F92C29">
            <w:pPr>
              <w:pStyle w:val="AERtabletextright"/>
            </w:pPr>
            <w:r>
              <w:t>53.88</w:t>
            </w:r>
          </w:p>
        </w:tc>
        <w:tc>
          <w:tcPr>
            <w:tcW w:w="460" w:type="pct"/>
            <w:noWrap/>
            <w:vAlign w:val="bottom"/>
            <w:hideMark/>
          </w:tcPr>
          <w:p w:rsidR="0035741C" w:rsidRDefault="0035741C" w:rsidP="00F92C29">
            <w:pPr>
              <w:pStyle w:val="AERtabletextright"/>
            </w:pPr>
            <w:r>
              <w:t>113.08</w:t>
            </w:r>
          </w:p>
        </w:tc>
        <w:tc>
          <w:tcPr>
            <w:tcW w:w="623" w:type="pct"/>
            <w:noWrap/>
            <w:vAlign w:val="bottom"/>
            <w:hideMark/>
          </w:tcPr>
          <w:p w:rsidR="0035741C" w:rsidRDefault="0035741C" w:rsidP="00F92C29">
            <w:pPr>
              <w:pStyle w:val="AERtabletextright"/>
            </w:pPr>
            <w:r>
              <w:t>107.63</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685" w:type="pct"/>
            <w:noWrap/>
            <w:hideMark/>
          </w:tcPr>
          <w:p w:rsidR="0035741C" w:rsidRPr="00745089" w:rsidRDefault="0035741C" w:rsidP="007848A6">
            <w:pPr>
              <w:pStyle w:val="AERtabletextleft"/>
            </w:pPr>
            <w:r w:rsidRPr="00745089">
              <w:t>1x42W Compact Fluorescent - STD</w:t>
            </w:r>
          </w:p>
        </w:tc>
        <w:tc>
          <w:tcPr>
            <w:tcW w:w="438" w:type="pct"/>
            <w:noWrap/>
            <w:vAlign w:val="bottom"/>
            <w:hideMark/>
          </w:tcPr>
          <w:p w:rsidR="0035741C" w:rsidRDefault="0035741C" w:rsidP="00F92C29">
            <w:pPr>
              <w:pStyle w:val="AERtabletextright"/>
            </w:pPr>
            <w:r>
              <w:t>45.85</w:t>
            </w:r>
          </w:p>
        </w:tc>
        <w:tc>
          <w:tcPr>
            <w:tcW w:w="653" w:type="pct"/>
            <w:noWrap/>
            <w:vAlign w:val="bottom"/>
            <w:hideMark/>
          </w:tcPr>
          <w:p w:rsidR="0035741C" w:rsidRDefault="0035741C" w:rsidP="00F92C29">
            <w:pPr>
              <w:pStyle w:val="AERtabletextright"/>
            </w:pPr>
            <w:r>
              <w:t>43.64</w:t>
            </w:r>
          </w:p>
        </w:tc>
        <w:tc>
          <w:tcPr>
            <w:tcW w:w="530" w:type="pct"/>
            <w:noWrap/>
            <w:vAlign w:val="bottom"/>
            <w:hideMark/>
          </w:tcPr>
          <w:p w:rsidR="0035741C" w:rsidRDefault="0035741C" w:rsidP="00F92C29">
            <w:pPr>
              <w:pStyle w:val="AERtabletextright"/>
            </w:pPr>
            <w:r>
              <w:t>55.06</w:t>
            </w:r>
          </w:p>
        </w:tc>
        <w:tc>
          <w:tcPr>
            <w:tcW w:w="611" w:type="pct"/>
            <w:noWrap/>
            <w:vAlign w:val="bottom"/>
            <w:hideMark/>
          </w:tcPr>
          <w:p w:rsidR="0035741C" w:rsidRDefault="0035741C" w:rsidP="00F92C29">
            <w:pPr>
              <w:pStyle w:val="AERtabletextright"/>
            </w:pPr>
            <w:r>
              <w:t>52.41</w:t>
            </w:r>
          </w:p>
        </w:tc>
        <w:tc>
          <w:tcPr>
            <w:tcW w:w="460" w:type="pct"/>
            <w:noWrap/>
            <w:vAlign w:val="bottom"/>
            <w:hideMark/>
          </w:tcPr>
          <w:p w:rsidR="0035741C" w:rsidRDefault="0035741C" w:rsidP="00F92C29">
            <w:pPr>
              <w:pStyle w:val="AERtabletextright"/>
            </w:pPr>
            <w:r>
              <w:t>100.91</w:t>
            </w:r>
          </w:p>
        </w:tc>
        <w:tc>
          <w:tcPr>
            <w:tcW w:w="623" w:type="pct"/>
            <w:noWrap/>
            <w:vAlign w:val="bottom"/>
            <w:hideMark/>
          </w:tcPr>
          <w:p w:rsidR="0035741C" w:rsidRDefault="0035741C" w:rsidP="00F92C29">
            <w:pPr>
              <w:pStyle w:val="AERtabletextright"/>
            </w:pPr>
            <w:r>
              <w:t>96.05</w:t>
            </w:r>
          </w:p>
        </w:tc>
      </w:tr>
      <w:tr w:rsidR="0035741C" w:rsidRPr="00745089" w:rsidTr="001749C6">
        <w:trPr>
          <w:trHeight w:val="255"/>
        </w:trPr>
        <w:tc>
          <w:tcPr>
            <w:tcW w:w="1685" w:type="pct"/>
            <w:noWrap/>
            <w:hideMark/>
          </w:tcPr>
          <w:p w:rsidR="0035741C" w:rsidRPr="00745089" w:rsidRDefault="0035741C" w:rsidP="007848A6">
            <w:pPr>
              <w:pStyle w:val="AERtabletextleft"/>
            </w:pPr>
            <w:r w:rsidRPr="00745089">
              <w:t>50W Mercury - STANDARD</w:t>
            </w:r>
          </w:p>
        </w:tc>
        <w:tc>
          <w:tcPr>
            <w:tcW w:w="438" w:type="pct"/>
            <w:noWrap/>
            <w:vAlign w:val="bottom"/>
            <w:hideMark/>
          </w:tcPr>
          <w:p w:rsidR="0035741C" w:rsidRDefault="0035741C" w:rsidP="00F92C29">
            <w:pPr>
              <w:pStyle w:val="AERtabletextright"/>
            </w:pPr>
            <w:r>
              <w:t>40.89</w:t>
            </w:r>
          </w:p>
        </w:tc>
        <w:tc>
          <w:tcPr>
            <w:tcW w:w="653" w:type="pct"/>
            <w:noWrap/>
            <w:vAlign w:val="bottom"/>
            <w:hideMark/>
          </w:tcPr>
          <w:p w:rsidR="0035741C" w:rsidRDefault="0035741C" w:rsidP="00F92C29">
            <w:pPr>
              <w:pStyle w:val="AERtabletextright"/>
            </w:pPr>
            <w:r>
              <w:t>38.92</w:t>
            </w:r>
          </w:p>
        </w:tc>
        <w:tc>
          <w:tcPr>
            <w:tcW w:w="530" w:type="pct"/>
            <w:noWrap/>
            <w:vAlign w:val="bottom"/>
            <w:hideMark/>
          </w:tcPr>
          <w:p w:rsidR="0035741C" w:rsidRDefault="0035741C" w:rsidP="00F92C29">
            <w:pPr>
              <w:pStyle w:val="AERtabletextright"/>
            </w:pPr>
            <w:r>
              <w:t>54.03</w:t>
            </w:r>
          </w:p>
        </w:tc>
        <w:tc>
          <w:tcPr>
            <w:tcW w:w="611" w:type="pct"/>
            <w:noWrap/>
            <w:vAlign w:val="bottom"/>
            <w:hideMark/>
          </w:tcPr>
          <w:p w:rsidR="0035741C" w:rsidRDefault="0035741C" w:rsidP="00F92C29">
            <w:pPr>
              <w:pStyle w:val="AERtabletextright"/>
            </w:pPr>
            <w:r>
              <w:t>51.43</w:t>
            </w:r>
          </w:p>
        </w:tc>
        <w:tc>
          <w:tcPr>
            <w:tcW w:w="460" w:type="pct"/>
            <w:noWrap/>
            <w:vAlign w:val="bottom"/>
            <w:hideMark/>
          </w:tcPr>
          <w:p w:rsidR="0035741C" w:rsidRDefault="0035741C" w:rsidP="00F92C29">
            <w:pPr>
              <w:pStyle w:val="AERtabletextright"/>
            </w:pPr>
            <w:r>
              <w:t>94.92</w:t>
            </w:r>
          </w:p>
        </w:tc>
        <w:tc>
          <w:tcPr>
            <w:tcW w:w="623" w:type="pct"/>
            <w:noWrap/>
            <w:vAlign w:val="bottom"/>
            <w:hideMark/>
          </w:tcPr>
          <w:p w:rsidR="0035741C" w:rsidRDefault="0035741C" w:rsidP="00F92C29">
            <w:pPr>
              <w:pStyle w:val="AERtabletextright"/>
            </w:pPr>
            <w:r>
              <w:t>90.35</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685" w:type="pct"/>
            <w:noWrap/>
            <w:hideMark/>
          </w:tcPr>
          <w:p w:rsidR="0035741C" w:rsidRPr="00745089" w:rsidRDefault="0035741C" w:rsidP="007848A6">
            <w:pPr>
              <w:pStyle w:val="AERtabletextleft"/>
            </w:pPr>
            <w:r w:rsidRPr="00745089">
              <w:t>80W Mercury - STANDARD</w:t>
            </w:r>
          </w:p>
        </w:tc>
        <w:tc>
          <w:tcPr>
            <w:tcW w:w="438" w:type="pct"/>
            <w:noWrap/>
            <w:vAlign w:val="bottom"/>
            <w:hideMark/>
          </w:tcPr>
          <w:p w:rsidR="0035741C" w:rsidRDefault="0035741C" w:rsidP="00F92C29">
            <w:pPr>
              <w:pStyle w:val="AERtabletextright"/>
            </w:pPr>
            <w:r>
              <w:t>36.89</w:t>
            </w:r>
          </w:p>
        </w:tc>
        <w:tc>
          <w:tcPr>
            <w:tcW w:w="653" w:type="pct"/>
            <w:noWrap/>
            <w:vAlign w:val="bottom"/>
            <w:hideMark/>
          </w:tcPr>
          <w:p w:rsidR="0035741C" w:rsidRDefault="0035741C" w:rsidP="00F92C29">
            <w:pPr>
              <w:pStyle w:val="AERtabletextright"/>
            </w:pPr>
            <w:r>
              <w:t>35.11</w:t>
            </w:r>
          </w:p>
        </w:tc>
        <w:tc>
          <w:tcPr>
            <w:tcW w:w="530" w:type="pct"/>
            <w:noWrap/>
            <w:vAlign w:val="bottom"/>
            <w:hideMark/>
          </w:tcPr>
          <w:p w:rsidR="0035741C" w:rsidRDefault="0035741C" w:rsidP="00F92C29">
            <w:pPr>
              <w:pStyle w:val="AERtabletextright"/>
            </w:pPr>
            <w:r>
              <w:t>54.60</w:t>
            </w:r>
          </w:p>
        </w:tc>
        <w:tc>
          <w:tcPr>
            <w:tcW w:w="611" w:type="pct"/>
            <w:noWrap/>
            <w:vAlign w:val="bottom"/>
            <w:hideMark/>
          </w:tcPr>
          <w:p w:rsidR="0035741C" w:rsidRDefault="0035741C" w:rsidP="00F92C29">
            <w:pPr>
              <w:pStyle w:val="AERtabletextright"/>
            </w:pPr>
            <w:r>
              <w:t>51.97</w:t>
            </w:r>
          </w:p>
        </w:tc>
        <w:tc>
          <w:tcPr>
            <w:tcW w:w="460" w:type="pct"/>
            <w:noWrap/>
            <w:vAlign w:val="bottom"/>
            <w:hideMark/>
          </w:tcPr>
          <w:p w:rsidR="0035741C" w:rsidRDefault="0035741C" w:rsidP="00F92C29">
            <w:pPr>
              <w:pStyle w:val="AERtabletextright"/>
            </w:pPr>
            <w:r>
              <w:t>91.49</w:t>
            </w:r>
          </w:p>
        </w:tc>
        <w:tc>
          <w:tcPr>
            <w:tcW w:w="623" w:type="pct"/>
            <w:noWrap/>
            <w:vAlign w:val="bottom"/>
            <w:hideMark/>
          </w:tcPr>
          <w:p w:rsidR="0035741C" w:rsidRDefault="0035741C" w:rsidP="00F92C29">
            <w:pPr>
              <w:pStyle w:val="AERtabletextright"/>
            </w:pPr>
            <w:r>
              <w:t>87.08</w:t>
            </w:r>
          </w:p>
        </w:tc>
      </w:tr>
      <w:tr w:rsidR="0035741C" w:rsidRPr="00745089" w:rsidTr="001749C6">
        <w:trPr>
          <w:trHeight w:val="255"/>
        </w:trPr>
        <w:tc>
          <w:tcPr>
            <w:tcW w:w="1685" w:type="pct"/>
            <w:noWrap/>
            <w:hideMark/>
          </w:tcPr>
          <w:p w:rsidR="0035741C" w:rsidRPr="00745089" w:rsidRDefault="0035741C" w:rsidP="007848A6">
            <w:pPr>
              <w:pStyle w:val="AERtabletextleft"/>
            </w:pPr>
            <w:r w:rsidRPr="00745089">
              <w:t>70W Sodium - STANDARD</w:t>
            </w:r>
          </w:p>
        </w:tc>
        <w:tc>
          <w:tcPr>
            <w:tcW w:w="438" w:type="pct"/>
            <w:noWrap/>
            <w:vAlign w:val="bottom"/>
            <w:hideMark/>
          </w:tcPr>
          <w:p w:rsidR="0035741C" w:rsidRDefault="0035741C" w:rsidP="00F92C29">
            <w:pPr>
              <w:pStyle w:val="AERtabletextright"/>
            </w:pPr>
            <w:r>
              <w:t>42.57</w:t>
            </w:r>
          </w:p>
        </w:tc>
        <w:tc>
          <w:tcPr>
            <w:tcW w:w="653" w:type="pct"/>
            <w:noWrap/>
            <w:vAlign w:val="bottom"/>
            <w:hideMark/>
          </w:tcPr>
          <w:p w:rsidR="0035741C" w:rsidRDefault="0035741C" w:rsidP="00F92C29">
            <w:pPr>
              <w:pStyle w:val="AERtabletextright"/>
            </w:pPr>
            <w:r>
              <w:t>40.51</w:t>
            </w:r>
          </w:p>
        </w:tc>
        <w:tc>
          <w:tcPr>
            <w:tcW w:w="530" w:type="pct"/>
            <w:noWrap/>
            <w:vAlign w:val="bottom"/>
            <w:hideMark/>
          </w:tcPr>
          <w:p w:rsidR="0035741C" w:rsidRDefault="0035741C" w:rsidP="00F92C29">
            <w:pPr>
              <w:pStyle w:val="AERtabletextright"/>
            </w:pPr>
            <w:r>
              <w:t>55.72</w:t>
            </w:r>
          </w:p>
        </w:tc>
        <w:tc>
          <w:tcPr>
            <w:tcW w:w="611" w:type="pct"/>
            <w:noWrap/>
            <w:vAlign w:val="bottom"/>
            <w:hideMark/>
          </w:tcPr>
          <w:p w:rsidR="0035741C" w:rsidRDefault="0035741C" w:rsidP="00F92C29">
            <w:pPr>
              <w:pStyle w:val="AERtabletextright"/>
            </w:pPr>
            <w:r>
              <w:t>53.03</w:t>
            </w:r>
          </w:p>
        </w:tc>
        <w:tc>
          <w:tcPr>
            <w:tcW w:w="460" w:type="pct"/>
            <w:noWrap/>
            <w:vAlign w:val="bottom"/>
            <w:hideMark/>
          </w:tcPr>
          <w:p w:rsidR="0035741C" w:rsidRDefault="0035741C" w:rsidP="00F92C29">
            <w:pPr>
              <w:pStyle w:val="AERtabletextright"/>
            </w:pPr>
            <w:r>
              <w:t>98.28</w:t>
            </w:r>
          </w:p>
        </w:tc>
        <w:tc>
          <w:tcPr>
            <w:tcW w:w="623" w:type="pct"/>
            <w:noWrap/>
            <w:vAlign w:val="bottom"/>
            <w:hideMark/>
          </w:tcPr>
          <w:p w:rsidR="0035741C" w:rsidRDefault="0035741C" w:rsidP="00F92C29">
            <w:pPr>
              <w:pStyle w:val="AERtabletextright"/>
            </w:pPr>
            <w:r>
              <w:t>93.55</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685" w:type="pct"/>
            <w:noWrap/>
            <w:hideMark/>
          </w:tcPr>
          <w:p w:rsidR="0035741C" w:rsidRPr="00745089" w:rsidRDefault="0035741C" w:rsidP="007848A6">
            <w:pPr>
              <w:pStyle w:val="AERtabletextleft"/>
            </w:pPr>
            <w:r w:rsidRPr="00745089">
              <w:t>100W Sodium - STANDARD</w:t>
            </w:r>
          </w:p>
        </w:tc>
        <w:tc>
          <w:tcPr>
            <w:tcW w:w="438" w:type="pct"/>
            <w:noWrap/>
            <w:vAlign w:val="bottom"/>
            <w:hideMark/>
          </w:tcPr>
          <w:p w:rsidR="0035741C" w:rsidRDefault="0035741C" w:rsidP="00F92C29">
            <w:pPr>
              <w:pStyle w:val="AERtabletextright"/>
            </w:pPr>
            <w:r>
              <w:t>48.98</w:t>
            </w:r>
          </w:p>
        </w:tc>
        <w:tc>
          <w:tcPr>
            <w:tcW w:w="653" w:type="pct"/>
            <w:noWrap/>
            <w:vAlign w:val="bottom"/>
            <w:hideMark/>
          </w:tcPr>
          <w:p w:rsidR="0035741C" w:rsidRDefault="0035741C" w:rsidP="00F92C29">
            <w:pPr>
              <w:pStyle w:val="AERtabletextright"/>
            </w:pPr>
            <w:r>
              <w:t>46.62</w:t>
            </w:r>
          </w:p>
        </w:tc>
        <w:tc>
          <w:tcPr>
            <w:tcW w:w="530" w:type="pct"/>
            <w:noWrap/>
            <w:vAlign w:val="bottom"/>
            <w:hideMark/>
          </w:tcPr>
          <w:p w:rsidR="0035741C" w:rsidRDefault="0035741C" w:rsidP="00F92C29">
            <w:pPr>
              <w:pStyle w:val="AERtabletextright"/>
            </w:pPr>
            <w:r>
              <w:t>56.55</w:t>
            </w:r>
          </w:p>
        </w:tc>
        <w:tc>
          <w:tcPr>
            <w:tcW w:w="611" w:type="pct"/>
            <w:noWrap/>
            <w:vAlign w:val="bottom"/>
            <w:hideMark/>
          </w:tcPr>
          <w:p w:rsidR="0035741C" w:rsidRDefault="0035741C" w:rsidP="00F92C29">
            <w:pPr>
              <w:pStyle w:val="AERtabletextright"/>
            </w:pPr>
            <w:r>
              <w:t>53.83</w:t>
            </w:r>
          </w:p>
        </w:tc>
        <w:tc>
          <w:tcPr>
            <w:tcW w:w="460" w:type="pct"/>
            <w:noWrap/>
            <w:vAlign w:val="bottom"/>
            <w:hideMark/>
          </w:tcPr>
          <w:p w:rsidR="0035741C" w:rsidRDefault="0035741C" w:rsidP="00F92C29">
            <w:pPr>
              <w:pStyle w:val="AERtabletextright"/>
            </w:pPr>
            <w:r>
              <w:t>105.53</w:t>
            </w:r>
          </w:p>
        </w:tc>
        <w:tc>
          <w:tcPr>
            <w:tcW w:w="623" w:type="pct"/>
            <w:noWrap/>
            <w:vAlign w:val="bottom"/>
            <w:hideMark/>
          </w:tcPr>
          <w:p w:rsidR="0035741C" w:rsidRDefault="0035741C" w:rsidP="00F92C29">
            <w:pPr>
              <w:pStyle w:val="AERtabletextright"/>
            </w:pPr>
            <w:r>
              <w:t>100.45</w:t>
            </w:r>
          </w:p>
        </w:tc>
      </w:tr>
      <w:tr w:rsidR="0035741C" w:rsidRPr="00745089" w:rsidTr="001749C6">
        <w:trPr>
          <w:trHeight w:val="255"/>
        </w:trPr>
        <w:tc>
          <w:tcPr>
            <w:tcW w:w="1685" w:type="pct"/>
            <w:noWrap/>
            <w:hideMark/>
          </w:tcPr>
          <w:p w:rsidR="0035741C" w:rsidRPr="00745089" w:rsidRDefault="0035741C" w:rsidP="007848A6">
            <w:pPr>
              <w:pStyle w:val="AERtabletextleft"/>
            </w:pPr>
            <w:r w:rsidRPr="00745089">
              <w:t>100W Metal Halide - STANDARD</w:t>
            </w:r>
          </w:p>
        </w:tc>
        <w:tc>
          <w:tcPr>
            <w:tcW w:w="438" w:type="pct"/>
            <w:noWrap/>
            <w:vAlign w:val="bottom"/>
            <w:hideMark/>
          </w:tcPr>
          <w:p w:rsidR="0035741C" w:rsidRDefault="0035741C" w:rsidP="00F92C29">
            <w:pPr>
              <w:pStyle w:val="AERtabletextright"/>
            </w:pPr>
            <w:r>
              <w:t>50.94</w:t>
            </w:r>
          </w:p>
        </w:tc>
        <w:tc>
          <w:tcPr>
            <w:tcW w:w="653" w:type="pct"/>
            <w:noWrap/>
            <w:vAlign w:val="bottom"/>
            <w:hideMark/>
          </w:tcPr>
          <w:p w:rsidR="0035741C" w:rsidRDefault="0035741C" w:rsidP="00F92C29">
            <w:pPr>
              <w:pStyle w:val="AERtabletextright"/>
            </w:pPr>
            <w:r>
              <w:t>48.49</w:t>
            </w:r>
          </w:p>
        </w:tc>
        <w:tc>
          <w:tcPr>
            <w:tcW w:w="530" w:type="pct"/>
            <w:noWrap/>
            <w:vAlign w:val="bottom"/>
            <w:hideMark/>
          </w:tcPr>
          <w:p w:rsidR="0035741C" w:rsidRDefault="0035741C" w:rsidP="00F92C29">
            <w:pPr>
              <w:pStyle w:val="AERtabletextright"/>
            </w:pPr>
            <w:r>
              <w:t>64.29</w:t>
            </w:r>
          </w:p>
        </w:tc>
        <w:tc>
          <w:tcPr>
            <w:tcW w:w="611" w:type="pct"/>
            <w:noWrap/>
            <w:vAlign w:val="bottom"/>
            <w:hideMark/>
          </w:tcPr>
          <w:p w:rsidR="0035741C" w:rsidRDefault="0035741C" w:rsidP="00F92C29">
            <w:pPr>
              <w:pStyle w:val="AERtabletextright"/>
            </w:pPr>
            <w:r>
              <w:t>61.20</w:t>
            </w:r>
          </w:p>
        </w:tc>
        <w:tc>
          <w:tcPr>
            <w:tcW w:w="460" w:type="pct"/>
            <w:noWrap/>
            <w:vAlign w:val="bottom"/>
            <w:hideMark/>
          </w:tcPr>
          <w:p w:rsidR="0035741C" w:rsidRDefault="0035741C" w:rsidP="00F92C29">
            <w:pPr>
              <w:pStyle w:val="AERtabletextright"/>
            </w:pPr>
            <w:r>
              <w:t>115.24</w:t>
            </w:r>
          </w:p>
        </w:tc>
        <w:tc>
          <w:tcPr>
            <w:tcW w:w="623" w:type="pct"/>
            <w:noWrap/>
            <w:vAlign w:val="bottom"/>
            <w:hideMark/>
          </w:tcPr>
          <w:p w:rsidR="0035741C" w:rsidRDefault="0035741C" w:rsidP="00F92C29">
            <w:pPr>
              <w:pStyle w:val="AERtabletextright"/>
            </w:pPr>
            <w:r>
              <w:t>109.69</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685" w:type="pct"/>
            <w:noWrap/>
            <w:hideMark/>
          </w:tcPr>
          <w:p w:rsidR="0035741C" w:rsidRPr="00745089" w:rsidRDefault="0035741C" w:rsidP="007848A6">
            <w:pPr>
              <w:pStyle w:val="AERtabletextleft"/>
            </w:pPr>
            <w:r w:rsidRPr="00745089">
              <w:t>25W LED</w:t>
            </w:r>
          </w:p>
        </w:tc>
        <w:tc>
          <w:tcPr>
            <w:tcW w:w="438" w:type="pct"/>
            <w:noWrap/>
            <w:vAlign w:val="bottom"/>
            <w:hideMark/>
          </w:tcPr>
          <w:p w:rsidR="0035741C" w:rsidRDefault="0035741C" w:rsidP="00F92C29">
            <w:pPr>
              <w:pStyle w:val="AERtabletextright"/>
            </w:pPr>
            <w:r>
              <w:t>77.95</w:t>
            </w:r>
          </w:p>
        </w:tc>
        <w:tc>
          <w:tcPr>
            <w:tcW w:w="653" w:type="pct"/>
            <w:noWrap/>
            <w:vAlign w:val="bottom"/>
            <w:hideMark/>
          </w:tcPr>
          <w:p w:rsidR="0035741C" w:rsidRDefault="0035741C" w:rsidP="00F92C29">
            <w:pPr>
              <w:pStyle w:val="AERtabletextright"/>
            </w:pPr>
            <w:r>
              <w:t>56.06</w:t>
            </w:r>
          </w:p>
        </w:tc>
        <w:tc>
          <w:tcPr>
            <w:tcW w:w="530" w:type="pct"/>
            <w:noWrap/>
            <w:vAlign w:val="bottom"/>
            <w:hideMark/>
          </w:tcPr>
          <w:p w:rsidR="0035741C" w:rsidRDefault="0035741C" w:rsidP="00F92C29">
            <w:pPr>
              <w:pStyle w:val="AERtabletextright"/>
            </w:pPr>
            <w:r>
              <w:t>53.77</w:t>
            </w:r>
          </w:p>
        </w:tc>
        <w:tc>
          <w:tcPr>
            <w:tcW w:w="611" w:type="pct"/>
            <w:noWrap/>
            <w:vAlign w:val="bottom"/>
            <w:hideMark/>
          </w:tcPr>
          <w:p w:rsidR="0035741C" w:rsidRDefault="0035741C" w:rsidP="00F92C29">
            <w:pPr>
              <w:pStyle w:val="AERtabletextright"/>
            </w:pPr>
            <w:r>
              <w:t>51.18</w:t>
            </w:r>
          </w:p>
        </w:tc>
        <w:tc>
          <w:tcPr>
            <w:tcW w:w="460" w:type="pct"/>
            <w:noWrap/>
            <w:vAlign w:val="bottom"/>
            <w:hideMark/>
          </w:tcPr>
          <w:p w:rsidR="0035741C" w:rsidRDefault="0035741C" w:rsidP="00F92C29">
            <w:pPr>
              <w:pStyle w:val="AERtabletextright"/>
            </w:pPr>
            <w:r>
              <w:t>131.73</w:t>
            </w:r>
          </w:p>
        </w:tc>
        <w:tc>
          <w:tcPr>
            <w:tcW w:w="623" w:type="pct"/>
            <w:noWrap/>
            <w:vAlign w:val="bottom"/>
            <w:hideMark/>
          </w:tcPr>
          <w:p w:rsidR="0035741C" w:rsidRDefault="0035741C" w:rsidP="00F92C29">
            <w:pPr>
              <w:pStyle w:val="AERtabletextright"/>
            </w:pPr>
            <w:r>
              <w:t>107.24</w:t>
            </w:r>
          </w:p>
        </w:tc>
      </w:tr>
      <w:tr w:rsidR="0035741C" w:rsidRPr="00745089" w:rsidTr="001749C6">
        <w:trPr>
          <w:trHeight w:val="255"/>
        </w:trPr>
        <w:tc>
          <w:tcPr>
            <w:tcW w:w="1685" w:type="pct"/>
            <w:noWrap/>
            <w:hideMark/>
          </w:tcPr>
          <w:p w:rsidR="0035741C" w:rsidRPr="00745089" w:rsidRDefault="0035741C" w:rsidP="007848A6">
            <w:pPr>
              <w:pStyle w:val="AERtabletextleft"/>
            </w:pPr>
            <w:r w:rsidRPr="00745089">
              <w:t>Suburban 70W HPS c/w D2 PECB - STD</w:t>
            </w:r>
          </w:p>
        </w:tc>
        <w:tc>
          <w:tcPr>
            <w:tcW w:w="438" w:type="pct"/>
            <w:noWrap/>
            <w:vAlign w:val="bottom"/>
            <w:hideMark/>
          </w:tcPr>
          <w:p w:rsidR="0035741C" w:rsidRDefault="0035741C" w:rsidP="00F92C29">
            <w:pPr>
              <w:pStyle w:val="AERtabletextright"/>
            </w:pPr>
            <w:r>
              <w:t>37.72</w:t>
            </w:r>
          </w:p>
        </w:tc>
        <w:tc>
          <w:tcPr>
            <w:tcW w:w="653" w:type="pct"/>
            <w:noWrap/>
            <w:vAlign w:val="bottom"/>
            <w:hideMark/>
          </w:tcPr>
          <w:p w:rsidR="0035741C" w:rsidRDefault="0035741C" w:rsidP="00F92C29">
            <w:pPr>
              <w:pStyle w:val="AERtabletextright"/>
            </w:pPr>
            <w:r>
              <w:t>35.90</w:t>
            </w:r>
          </w:p>
        </w:tc>
        <w:tc>
          <w:tcPr>
            <w:tcW w:w="530" w:type="pct"/>
            <w:noWrap/>
            <w:vAlign w:val="bottom"/>
            <w:hideMark/>
          </w:tcPr>
          <w:p w:rsidR="0035741C" w:rsidRDefault="0035741C" w:rsidP="00F92C29">
            <w:pPr>
              <w:pStyle w:val="AERtabletextright"/>
            </w:pPr>
            <w:r>
              <w:t>53.26</w:t>
            </w:r>
          </w:p>
        </w:tc>
        <w:tc>
          <w:tcPr>
            <w:tcW w:w="611" w:type="pct"/>
            <w:noWrap/>
            <w:vAlign w:val="bottom"/>
            <w:hideMark/>
          </w:tcPr>
          <w:p w:rsidR="0035741C" w:rsidRDefault="0035741C" w:rsidP="00F92C29">
            <w:pPr>
              <w:pStyle w:val="AERtabletextright"/>
            </w:pPr>
            <w:r>
              <w:t>50.69</w:t>
            </w:r>
          </w:p>
        </w:tc>
        <w:tc>
          <w:tcPr>
            <w:tcW w:w="460" w:type="pct"/>
            <w:noWrap/>
            <w:vAlign w:val="bottom"/>
            <w:hideMark/>
          </w:tcPr>
          <w:p w:rsidR="0035741C" w:rsidRDefault="0035741C" w:rsidP="00F92C29">
            <w:pPr>
              <w:pStyle w:val="AERtabletextright"/>
            </w:pPr>
            <w:r>
              <w:t>90.98</w:t>
            </w:r>
          </w:p>
        </w:tc>
        <w:tc>
          <w:tcPr>
            <w:tcW w:w="623" w:type="pct"/>
            <w:noWrap/>
            <w:vAlign w:val="bottom"/>
            <w:hideMark/>
          </w:tcPr>
          <w:p w:rsidR="0035741C" w:rsidRDefault="0035741C" w:rsidP="00F92C29">
            <w:pPr>
              <w:pStyle w:val="AERtabletextright"/>
            </w:pPr>
            <w:r>
              <w:t>86.59</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685" w:type="pct"/>
            <w:noWrap/>
            <w:hideMark/>
          </w:tcPr>
          <w:p w:rsidR="0035741C" w:rsidRPr="00745089" w:rsidRDefault="0035741C" w:rsidP="007848A6">
            <w:pPr>
              <w:pStyle w:val="AERtabletextleft"/>
            </w:pPr>
            <w:r w:rsidRPr="00745089">
              <w:t>150W Sodium - STANDARD</w:t>
            </w:r>
          </w:p>
        </w:tc>
        <w:tc>
          <w:tcPr>
            <w:tcW w:w="438" w:type="pct"/>
            <w:noWrap/>
            <w:vAlign w:val="bottom"/>
            <w:hideMark/>
          </w:tcPr>
          <w:p w:rsidR="0035741C" w:rsidRDefault="0035741C" w:rsidP="00F92C29">
            <w:pPr>
              <w:pStyle w:val="AERtabletextright"/>
            </w:pPr>
            <w:r>
              <w:t>52.63</w:t>
            </w:r>
          </w:p>
        </w:tc>
        <w:tc>
          <w:tcPr>
            <w:tcW w:w="653" w:type="pct"/>
            <w:noWrap/>
            <w:vAlign w:val="bottom"/>
            <w:hideMark/>
          </w:tcPr>
          <w:p w:rsidR="0035741C" w:rsidRDefault="0035741C" w:rsidP="00F92C29">
            <w:pPr>
              <w:pStyle w:val="AERtabletextright"/>
            </w:pPr>
            <w:r>
              <w:t>50.09</w:t>
            </w:r>
          </w:p>
        </w:tc>
        <w:tc>
          <w:tcPr>
            <w:tcW w:w="530" w:type="pct"/>
            <w:noWrap/>
            <w:vAlign w:val="bottom"/>
            <w:hideMark/>
          </w:tcPr>
          <w:p w:rsidR="0035741C" w:rsidRDefault="0035741C" w:rsidP="00F92C29">
            <w:pPr>
              <w:pStyle w:val="AERtabletextright"/>
            </w:pPr>
            <w:r>
              <w:t>55.51</w:t>
            </w:r>
          </w:p>
        </w:tc>
        <w:tc>
          <w:tcPr>
            <w:tcW w:w="611" w:type="pct"/>
            <w:noWrap/>
            <w:vAlign w:val="bottom"/>
            <w:hideMark/>
          </w:tcPr>
          <w:p w:rsidR="0035741C" w:rsidRDefault="0035741C" w:rsidP="00F92C29">
            <w:pPr>
              <w:pStyle w:val="AERtabletextright"/>
            </w:pPr>
            <w:r>
              <w:t>52.84</w:t>
            </w:r>
          </w:p>
        </w:tc>
        <w:tc>
          <w:tcPr>
            <w:tcW w:w="460" w:type="pct"/>
            <w:noWrap/>
            <w:vAlign w:val="bottom"/>
            <w:hideMark/>
          </w:tcPr>
          <w:p w:rsidR="0035741C" w:rsidRDefault="0035741C" w:rsidP="00F92C29">
            <w:pPr>
              <w:pStyle w:val="AERtabletextright"/>
            </w:pPr>
            <w:r>
              <w:t>108.14</w:t>
            </w:r>
          </w:p>
        </w:tc>
        <w:tc>
          <w:tcPr>
            <w:tcW w:w="623" w:type="pct"/>
            <w:noWrap/>
            <w:vAlign w:val="bottom"/>
            <w:hideMark/>
          </w:tcPr>
          <w:p w:rsidR="0035741C" w:rsidRDefault="0035741C" w:rsidP="00F92C29">
            <w:pPr>
              <w:pStyle w:val="AERtabletextright"/>
            </w:pPr>
            <w:r>
              <w:t>102.93</w:t>
            </w:r>
          </w:p>
        </w:tc>
      </w:tr>
      <w:tr w:rsidR="0035741C" w:rsidRPr="00745089" w:rsidTr="001749C6">
        <w:trPr>
          <w:trHeight w:val="255"/>
        </w:trPr>
        <w:tc>
          <w:tcPr>
            <w:tcW w:w="1685" w:type="pct"/>
            <w:noWrap/>
            <w:hideMark/>
          </w:tcPr>
          <w:p w:rsidR="0035741C" w:rsidRPr="00745089" w:rsidRDefault="0035741C" w:rsidP="007848A6">
            <w:pPr>
              <w:pStyle w:val="AERtabletextleft"/>
            </w:pPr>
            <w:r w:rsidRPr="00745089">
              <w:t>150W Metal Halide - STANDARD</w:t>
            </w:r>
          </w:p>
        </w:tc>
        <w:tc>
          <w:tcPr>
            <w:tcW w:w="438" w:type="pct"/>
            <w:noWrap/>
            <w:vAlign w:val="bottom"/>
            <w:hideMark/>
          </w:tcPr>
          <w:p w:rsidR="0035741C" w:rsidRDefault="0035741C" w:rsidP="00F92C29">
            <w:pPr>
              <w:pStyle w:val="AERtabletextright"/>
            </w:pPr>
            <w:r>
              <w:t>57.32</w:t>
            </w:r>
          </w:p>
        </w:tc>
        <w:tc>
          <w:tcPr>
            <w:tcW w:w="653" w:type="pct"/>
            <w:noWrap/>
            <w:vAlign w:val="bottom"/>
            <w:hideMark/>
          </w:tcPr>
          <w:p w:rsidR="0035741C" w:rsidRDefault="0035741C" w:rsidP="00F92C29">
            <w:pPr>
              <w:pStyle w:val="AERtabletextright"/>
            </w:pPr>
            <w:r>
              <w:t>54.56</w:t>
            </w:r>
          </w:p>
        </w:tc>
        <w:tc>
          <w:tcPr>
            <w:tcW w:w="530" w:type="pct"/>
            <w:noWrap/>
            <w:vAlign w:val="bottom"/>
            <w:hideMark/>
          </w:tcPr>
          <w:p w:rsidR="0035741C" w:rsidRDefault="0035741C" w:rsidP="00F92C29">
            <w:pPr>
              <w:pStyle w:val="AERtabletextright"/>
            </w:pPr>
            <w:r>
              <w:t>53.26</w:t>
            </w:r>
          </w:p>
        </w:tc>
        <w:tc>
          <w:tcPr>
            <w:tcW w:w="611" w:type="pct"/>
            <w:noWrap/>
            <w:vAlign w:val="bottom"/>
            <w:hideMark/>
          </w:tcPr>
          <w:p w:rsidR="0035741C" w:rsidRDefault="0035741C" w:rsidP="00F92C29">
            <w:pPr>
              <w:pStyle w:val="AERtabletextright"/>
            </w:pPr>
            <w:r>
              <w:t>50.69</w:t>
            </w:r>
          </w:p>
        </w:tc>
        <w:tc>
          <w:tcPr>
            <w:tcW w:w="460" w:type="pct"/>
            <w:noWrap/>
            <w:vAlign w:val="bottom"/>
            <w:hideMark/>
          </w:tcPr>
          <w:p w:rsidR="0035741C" w:rsidRDefault="0035741C" w:rsidP="00F92C29">
            <w:pPr>
              <w:pStyle w:val="AERtabletextright"/>
            </w:pPr>
            <w:r>
              <w:t>110.58</w:t>
            </w:r>
          </w:p>
        </w:tc>
        <w:tc>
          <w:tcPr>
            <w:tcW w:w="623" w:type="pct"/>
            <w:noWrap/>
            <w:vAlign w:val="bottom"/>
            <w:hideMark/>
          </w:tcPr>
          <w:p w:rsidR="0035741C" w:rsidRDefault="0035741C" w:rsidP="00F92C29">
            <w:pPr>
              <w:pStyle w:val="AERtabletextright"/>
            </w:pPr>
            <w:r>
              <w:t>105.25</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685" w:type="pct"/>
            <w:noWrap/>
            <w:hideMark/>
          </w:tcPr>
          <w:p w:rsidR="0035741C" w:rsidRPr="00745089" w:rsidRDefault="0035741C" w:rsidP="007848A6">
            <w:pPr>
              <w:pStyle w:val="AERtabletextleft"/>
            </w:pPr>
            <w:r w:rsidRPr="00745089">
              <w:t>250W Sodium - STANDARD</w:t>
            </w:r>
          </w:p>
        </w:tc>
        <w:tc>
          <w:tcPr>
            <w:tcW w:w="438" w:type="pct"/>
            <w:noWrap/>
            <w:vAlign w:val="bottom"/>
            <w:hideMark/>
          </w:tcPr>
          <w:p w:rsidR="0035741C" w:rsidRDefault="0035741C" w:rsidP="00F92C29">
            <w:pPr>
              <w:pStyle w:val="AERtabletextright"/>
            </w:pPr>
            <w:r>
              <w:t>53.40</w:t>
            </w:r>
          </w:p>
        </w:tc>
        <w:tc>
          <w:tcPr>
            <w:tcW w:w="653" w:type="pct"/>
            <w:noWrap/>
            <w:vAlign w:val="bottom"/>
            <w:hideMark/>
          </w:tcPr>
          <w:p w:rsidR="0035741C" w:rsidRDefault="0035741C" w:rsidP="00F92C29">
            <w:pPr>
              <w:pStyle w:val="AERtabletextright"/>
            </w:pPr>
            <w:r>
              <w:t>50.83</w:t>
            </w:r>
          </w:p>
        </w:tc>
        <w:tc>
          <w:tcPr>
            <w:tcW w:w="530" w:type="pct"/>
            <w:noWrap/>
            <w:vAlign w:val="bottom"/>
            <w:hideMark/>
          </w:tcPr>
          <w:p w:rsidR="0035741C" w:rsidRDefault="0035741C" w:rsidP="00F92C29">
            <w:pPr>
              <w:pStyle w:val="AERtabletextright"/>
            </w:pPr>
            <w:r>
              <w:t>55.79</w:t>
            </w:r>
          </w:p>
        </w:tc>
        <w:tc>
          <w:tcPr>
            <w:tcW w:w="611" w:type="pct"/>
            <w:noWrap/>
            <w:vAlign w:val="bottom"/>
            <w:hideMark/>
          </w:tcPr>
          <w:p w:rsidR="0035741C" w:rsidRDefault="0035741C" w:rsidP="00F92C29">
            <w:pPr>
              <w:pStyle w:val="AERtabletextright"/>
            </w:pPr>
            <w:r>
              <w:t>53.11</w:t>
            </w:r>
          </w:p>
        </w:tc>
        <w:tc>
          <w:tcPr>
            <w:tcW w:w="460" w:type="pct"/>
            <w:noWrap/>
            <w:vAlign w:val="bottom"/>
            <w:hideMark/>
          </w:tcPr>
          <w:p w:rsidR="0035741C" w:rsidRDefault="0035741C" w:rsidP="00F92C29">
            <w:pPr>
              <w:pStyle w:val="AERtabletextright"/>
            </w:pPr>
            <w:r>
              <w:t>109.20</w:t>
            </w:r>
          </w:p>
        </w:tc>
        <w:tc>
          <w:tcPr>
            <w:tcW w:w="623" w:type="pct"/>
            <w:noWrap/>
            <w:vAlign w:val="bottom"/>
            <w:hideMark/>
          </w:tcPr>
          <w:p w:rsidR="0035741C" w:rsidRDefault="0035741C" w:rsidP="00F92C29">
            <w:pPr>
              <w:pStyle w:val="AERtabletextright"/>
            </w:pPr>
            <w:r>
              <w:t>103.94</w:t>
            </w:r>
          </w:p>
        </w:tc>
      </w:tr>
      <w:tr w:rsidR="0035741C" w:rsidRPr="00745089" w:rsidTr="001749C6">
        <w:trPr>
          <w:trHeight w:val="255"/>
        </w:trPr>
        <w:tc>
          <w:tcPr>
            <w:tcW w:w="1685" w:type="pct"/>
            <w:noWrap/>
            <w:hideMark/>
          </w:tcPr>
          <w:p w:rsidR="0035741C" w:rsidRPr="00745089" w:rsidRDefault="0035741C" w:rsidP="007848A6">
            <w:pPr>
              <w:pStyle w:val="AERtabletextleft"/>
            </w:pPr>
            <w:r w:rsidRPr="00745089">
              <w:t>250W Metal Halide - STANDARD</w:t>
            </w:r>
          </w:p>
        </w:tc>
        <w:tc>
          <w:tcPr>
            <w:tcW w:w="438" w:type="pct"/>
            <w:noWrap/>
            <w:vAlign w:val="bottom"/>
            <w:hideMark/>
          </w:tcPr>
          <w:p w:rsidR="0035741C" w:rsidRDefault="0035741C" w:rsidP="00F92C29">
            <w:pPr>
              <w:pStyle w:val="AERtabletextright"/>
            </w:pPr>
            <w:r>
              <w:t>54.23</w:t>
            </w:r>
          </w:p>
        </w:tc>
        <w:tc>
          <w:tcPr>
            <w:tcW w:w="653" w:type="pct"/>
            <w:noWrap/>
            <w:vAlign w:val="bottom"/>
            <w:hideMark/>
          </w:tcPr>
          <w:p w:rsidR="0035741C" w:rsidRDefault="0035741C" w:rsidP="00F92C29">
            <w:pPr>
              <w:pStyle w:val="AERtabletextright"/>
            </w:pPr>
            <w:r>
              <w:t>51.62</w:t>
            </w:r>
          </w:p>
        </w:tc>
        <w:tc>
          <w:tcPr>
            <w:tcW w:w="530" w:type="pct"/>
            <w:noWrap/>
            <w:vAlign w:val="bottom"/>
            <w:hideMark/>
          </w:tcPr>
          <w:p w:rsidR="0035741C" w:rsidRDefault="0035741C" w:rsidP="00F92C29">
            <w:pPr>
              <w:pStyle w:val="AERtabletextright"/>
            </w:pPr>
            <w:r>
              <w:t>59.44</w:t>
            </w:r>
          </w:p>
        </w:tc>
        <w:tc>
          <w:tcPr>
            <w:tcW w:w="611" w:type="pct"/>
            <w:noWrap/>
            <w:vAlign w:val="bottom"/>
            <w:hideMark/>
          </w:tcPr>
          <w:p w:rsidR="0035741C" w:rsidRDefault="0035741C" w:rsidP="00F92C29">
            <w:pPr>
              <w:pStyle w:val="AERtabletextright"/>
            </w:pPr>
            <w:r>
              <w:t>56.58</w:t>
            </w:r>
          </w:p>
        </w:tc>
        <w:tc>
          <w:tcPr>
            <w:tcW w:w="460" w:type="pct"/>
            <w:noWrap/>
            <w:vAlign w:val="bottom"/>
            <w:hideMark/>
          </w:tcPr>
          <w:p w:rsidR="0035741C" w:rsidRDefault="0035741C" w:rsidP="00F92C29">
            <w:pPr>
              <w:pStyle w:val="AERtabletextright"/>
            </w:pPr>
            <w:r>
              <w:t>113.67</w:t>
            </w:r>
          </w:p>
        </w:tc>
        <w:tc>
          <w:tcPr>
            <w:tcW w:w="623" w:type="pct"/>
            <w:noWrap/>
            <w:vAlign w:val="bottom"/>
            <w:hideMark/>
          </w:tcPr>
          <w:p w:rsidR="0035741C" w:rsidRDefault="0035741C" w:rsidP="00F92C29">
            <w:pPr>
              <w:pStyle w:val="AERtabletextright"/>
            </w:pPr>
            <w:r>
              <w:t>108.19</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685" w:type="pct"/>
            <w:noWrap/>
            <w:hideMark/>
          </w:tcPr>
          <w:p w:rsidR="0035741C" w:rsidRPr="00745089" w:rsidRDefault="0035741C" w:rsidP="007848A6">
            <w:pPr>
              <w:pStyle w:val="AERtabletextleft"/>
            </w:pPr>
            <w:r w:rsidRPr="00745089">
              <w:t>400W Sodium - STANDARD</w:t>
            </w:r>
          </w:p>
        </w:tc>
        <w:tc>
          <w:tcPr>
            <w:tcW w:w="438" w:type="pct"/>
            <w:noWrap/>
            <w:vAlign w:val="bottom"/>
            <w:hideMark/>
          </w:tcPr>
          <w:p w:rsidR="0035741C" w:rsidRDefault="0035741C" w:rsidP="00F92C29">
            <w:pPr>
              <w:pStyle w:val="AERtabletextright"/>
            </w:pPr>
            <w:r>
              <w:t>57.45</w:t>
            </w:r>
          </w:p>
        </w:tc>
        <w:tc>
          <w:tcPr>
            <w:tcW w:w="653" w:type="pct"/>
            <w:noWrap/>
            <w:vAlign w:val="bottom"/>
            <w:hideMark/>
          </w:tcPr>
          <w:p w:rsidR="0035741C" w:rsidRDefault="0035741C" w:rsidP="00F92C29">
            <w:pPr>
              <w:pStyle w:val="AERtabletextright"/>
            </w:pPr>
            <w:r>
              <w:t>54.68</w:t>
            </w:r>
          </w:p>
        </w:tc>
        <w:tc>
          <w:tcPr>
            <w:tcW w:w="530" w:type="pct"/>
            <w:noWrap/>
            <w:vAlign w:val="bottom"/>
            <w:hideMark/>
          </w:tcPr>
          <w:p w:rsidR="0035741C" w:rsidRDefault="0035741C" w:rsidP="00F92C29">
            <w:pPr>
              <w:pStyle w:val="AERtabletextright"/>
            </w:pPr>
            <w:r>
              <w:t>56.07</w:t>
            </w:r>
          </w:p>
        </w:tc>
        <w:tc>
          <w:tcPr>
            <w:tcW w:w="611" w:type="pct"/>
            <w:noWrap/>
            <w:vAlign w:val="bottom"/>
            <w:hideMark/>
          </w:tcPr>
          <w:p w:rsidR="0035741C" w:rsidRDefault="0035741C" w:rsidP="00F92C29">
            <w:pPr>
              <w:pStyle w:val="AERtabletextright"/>
            </w:pPr>
            <w:r>
              <w:t>53.36</w:t>
            </w:r>
          </w:p>
        </w:tc>
        <w:tc>
          <w:tcPr>
            <w:tcW w:w="460" w:type="pct"/>
            <w:noWrap/>
            <w:vAlign w:val="bottom"/>
            <w:hideMark/>
          </w:tcPr>
          <w:p w:rsidR="0035741C" w:rsidRDefault="0035741C" w:rsidP="00F92C29">
            <w:pPr>
              <w:pStyle w:val="AERtabletextright"/>
            </w:pPr>
            <w:r>
              <w:t>113.51</w:t>
            </w:r>
          </w:p>
        </w:tc>
        <w:tc>
          <w:tcPr>
            <w:tcW w:w="623" w:type="pct"/>
            <w:noWrap/>
            <w:vAlign w:val="bottom"/>
            <w:hideMark/>
          </w:tcPr>
          <w:p w:rsidR="0035741C" w:rsidRDefault="0035741C" w:rsidP="00F92C29">
            <w:pPr>
              <w:pStyle w:val="AERtabletextright"/>
            </w:pPr>
            <w:r>
              <w:t>108.04</w:t>
            </w:r>
          </w:p>
        </w:tc>
      </w:tr>
      <w:tr w:rsidR="0035741C" w:rsidRPr="00745089" w:rsidTr="001749C6">
        <w:trPr>
          <w:trHeight w:val="255"/>
        </w:trPr>
        <w:tc>
          <w:tcPr>
            <w:tcW w:w="1685" w:type="pct"/>
            <w:noWrap/>
            <w:hideMark/>
          </w:tcPr>
          <w:p w:rsidR="0035741C" w:rsidRPr="00745089" w:rsidRDefault="0035741C" w:rsidP="007848A6">
            <w:pPr>
              <w:pStyle w:val="AERtabletextleft"/>
            </w:pPr>
            <w:r w:rsidRPr="00745089">
              <w:t>80W Mercury - AEROSCREEN</w:t>
            </w:r>
          </w:p>
        </w:tc>
        <w:tc>
          <w:tcPr>
            <w:tcW w:w="438" w:type="pct"/>
            <w:noWrap/>
            <w:vAlign w:val="bottom"/>
            <w:hideMark/>
          </w:tcPr>
          <w:p w:rsidR="0035741C" w:rsidRDefault="0035741C" w:rsidP="00F92C29">
            <w:pPr>
              <w:pStyle w:val="AERtabletextright"/>
            </w:pPr>
            <w:r>
              <w:t>42.87</w:t>
            </w:r>
          </w:p>
        </w:tc>
        <w:tc>
          <w:tcPr>
            <w:tcW w:w="653" w:type="pct"/>
            <w:noWrap/>
            <w:vAlign w:val="bottom"/>
            <w:hideMark/>
          </w:tcPr>
          <w:p w:rsidR="0035741C" w:rsidRDefault="0035741C" w:rsidP="00F92C29">
            <w:pPr>
              <w:pStyle w:val="AERtabletextright"/>
            </w:pPr>
            <w:r>
              <w:t>40.81</w:t>
            </w:r>
          </w:p>
        </w:tc>
        <w:tc>
          <w:tcPr>
            <w:tcW w:w="530" w:type="pct"/>
            <w:noWrap/>
            <w:vAlign w:val="bottom"/>
            <w:hideMark/>
          </w:tcPr>
          <w:p w:rsidR="0035741C" w:rsidRDefault="0035741C" w:rsidP="00F92C29">
            <w:pPr>
              <w:pStyle w:val="AERtabletextright"/>
            </w:pPr>
            <w:r>
              <w:t>54.60</w:t>
            </w:r>
          </w:p>
        </w:tc>
        <w:tc>
          <w:tcPr>
            <w:tcW w:w="611" w:type="pct"/>
            <w:noWrap/>
            <w:vAlign w:val="bottom"/>
            <w:hideMark/>
          </w:tcPr>
          <w:p w:rsidR="0035741C" w:rsidRDefault="0035741C" w:rsidP="00F92C29">
            <w:pPr>
              <w:pStyle w:val="AERtabletextright"/>
            </w:pPr>
            <w:r>
              <w:t>51.97</w:t>
            </w:r>
          </w:p>
        </w:tc>
        <w:tc>
          <w:tcPr>
            <w:tcW w:w="460" w:type="pct"/>
            <w:noWrap/>
            <w:vAlign w:val="bottom"/>
            <w:hideMark/>
          </w:tcPr>
          <w:p w:rsidR="0035741C" w:rsidRDefault="0035741C" w:rsidP="00F92C29">
            <w:pPr>
              <w:pStyle w:val="AERtabletextright"/>
            </w:pPr>
            <w:r>
              <w:t>97.47</w:t>
            </w:r>
          </w:p>
        </w:tc>
        <w:tc>
          <w:tcPr>
            <w:tcW w:w="623" w:type="pct"/>
            <w:noWrap/>
            <w:vAlign w:val="bottom"/>
            <w:hideMark/>
          </w:tcPr>
          <w:p w:rsidR="0035741C" w:rsidRDefault="0035741C" w:rsidP="00F92C29">
            <w:pPr>
              <w:pStyle w:val="AERtabletextright"/>
            </w:pPr>
            <w:r>
              <w:t>92.77</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685" w:type="pct"/>
            <w:noWrap/>
            <w:hideMark/>
          </w:tcPr>
          <w:p w:rsidR="0035741C" w:rsidRPr="00745089" w:rsidRDefault="0035741C" w:rsidP="007848A6">
            <w:pPr>
              <w:pStyle w:val="AERtabletextleft"/>
            </w:pPr>
            <w:r w:rsidRPr="00745089">
              <w:t>Urban A/Screen 42W CFL c/w D2 PECB</w:t>
            </w:r>
          </w:p>
        </w:tc>
        <w:tc>
          <w:tcPr>
            <w:tcW w:w="438" w:type="pct"/>
            <w:noWrap/>
            <w:vAlign w:val="bottom"/>
            <w:hideMark/>
          </w:tcPr>
          <w:p w:rsidR="0035741C" w:rsidRDefault="0035741C" w:rsidP="00F92C29">
            <w:pPr>
              <w:pStyle w:val="AERtabletextright"/>
            </w:pPr>
            <w:r>
              <w:t>55.61</w:t>
            </w:r>
          </w:p>
        </w:tc>
        <w:tc>
          <w:tcPr>
            <w:tcW w:w="653" w:type="pct"/>
            <w:noWrap/>
            <w:vAlign w:val="bottom"/>
            <w:hideMark/>
          </w:tcPr>
          <w:p w:rsidR="0035741C" w:rsidRDefault="0035741C" w:rsidP="00F92C29">
            <w:pPr>
              <w:pStyle w:val="AERtabletextright"/>
            </w:pPr>
            <w:r>
              <w:t>52.93</w:t>
            </w:r>
          </w:p>
        </w:tc>
        <w:tc>
          <w:tcPr>
            <w:tcW w:w="530" w:type="pct"/>
            <w:noWrap/>
            <w:vAlign w:val="bottom"/>
            <w:hideMark/>
          </w:tcPr>
          <w:p w:rsidR="0035741C" w:rsidRDefault="0035741C" w:rsidP="00F92C29">
            <w:pPr>
              <w:pStyle w:val="AERtabletextright"/>
            </w:pPr>
            <w:r>
              <w:t>55.06</w:t>
            </w:r>
          </w:p>
        </w:tc>
        <w:tc>
          <w:tcPr>
            <w:tcW w:w="611" w:type="pct"/>
            <w:noWrap/>
            <w:vAlign w:val="bottom"/>
            <w:hideMark/>
          </w:tcPr>
          <w:p w:rsidR="0035741C" w:rsidRDefault="0035741C" w:rsidP="00F92C29">
            <w:pPr>
              <w:pStyle w:val="AERtabletextright"/>
            </w:pPr>
            <w:r>
              <w:t>52.41</w:t>
            </w:r>
          </w:p>
        </w:tc>
        <w:tc>
          <w:tcPr>
            <w:tcW w:w="460" w:type="pct"/>
            <w:noWrap/>
            <w:vAlign w:val="bottom"/>
            <w:hideMark/>
          </w:tcPr>
          <w:p w:rsidR="0035741C" w:rsidRDefault="0035741C" w:rsidP="00F92C29">
            <w:pPr>
              <w:pStyle w:val="AERtabletextright"/>
            </w:pPr>
            <w:r>
              <w:t>110.67</w:t>
            </w:r>
          </w:p>
        </w:tc>
        <w:tc>
          <w:tcPr>
            <w:tcW w:w="623" w:type="pct"/>
            <w:noWrap/>
            <w:vAlign w:val="bottom"/>
            <w:hideMark/>
          </w:tcPr>
          <w:p w:rsidR="0035741C" w:rsidRDefault="0035741C" w:rsidP="00F92C29">
            <w:pPr>
              <w:pStyle w:val="AERtabletextright"/>
            </w:pPr>
            <w:r>
              <w:t>105.34</w:t>
            </w:r>
          </w:p>
        </w:tc>
      </w:tr>
      <w:tr w:rsidR="0035741C" w:rsidRPr="00745089" w:rsidTr="001749C6">
        <w:trPr>
          <w:trHeight w:val="255"/>
        </w:trPr>
        <w:tc>
          <w:tcPr>
            <w:tcW w:w="1685" w:type="pct"/>
            <w:noWrap/>
            <w:hideMark/>
          </w:tcPr>
          <w:p w:rsidR="0035741C" w:rsidRPr="00745089" w:rsidRDefault="0035741C" w:rsidP="007848A6">
            <w:pPr>
              <w:pStyle w:val="AERtabletextleft"/>
            </w:pPr>
            <w:r w:rsidRPr="00745089">
              <w:t>150W Sodium - AEROSCREEN</w:t>
            </w:r>
          </w:p>
        </w:tc>
        <w:tc>
          <w:tcPr>
            <w:tcW w:w="438" w:type="pct"/>
            <w:noWrap/>
            <w:vAlign w:val="bottom"/>
            <w:hideMark/>
          </w:tcPr>
          <w:p w:rsidR="0035741C" w:rsidRDefault="0035741C" w:rsidP="00F92C29">
            <w:pPr>
              <w:pStyle w:val="AERtabletextright"/>
            </w:pPr>
            <w:r>
              <w:t>56.43</w:t>
            </w:r>
          </w:p>
        </w:tc>
        <w:tc>
          <w:tcPr>
            <w:tcW w:w="653" w:type="pct"/>
            <w:noWrap/>
            <w:vAlign w:val="bottom"/>
            <w:hideMark/>
          </w:tcPr>
          <w:p w:rsidR="0035741C" w:rsidRDefault="0035741C" w:rsidP="00F92C29">
            <w:pPr>
              <w:pStyle w:val="AERtabletextright"/>
            </w:pPr>
            <w:r>
              <w:t>53.71</w:t>
            </w:r>
          </w:p>
        </w:tc>
        <w:tc>
          <w:tcPr>
            <w:tcW w:w="530" w:type="pct"/>
            <w:noWrap/>
            <w:vAlign w:val="bottom"/>
            <w:hideMark/>
          </w:tcPr>
          <w:p w:rsidR="0035741C" w:rsidRDefault="0035741C" w:rsidP="00F92C29">
            <w:pPr>
              <w:pStyle w:val="AERtabletextright"/>
            </w:pPr>
            <w:r>
              <w:t>55.51</w:t>
            </w:r>
          </w:p>
        </w:tc>
        <w:tc>
          <w:tcPr>
            <w:tcW w:w="611" w:type="pct"/>
            <w:noWrap/>
            <w:vAlign w:val="bottom"/>
            <w:hideMark/>
          </w:tcPr>
          <w:p w:rsidR="0035741C" w:rsidRDefault="0035741C" w:rsidP="00F92C29">
            <w:pPr>
              <w:pStyle w:val="AERtabletextright"/>
            </w:pPr>
            <w:r>
              <w:t>52.84</w:t>
            </w:r>
          </w:p>
        </w:tc>
        <w:tc>
          <w:tcPr>
            <w:tcW w:w="460" w:type="pct"/>
            <w:noWrap/>
            <w:vAlign w:val="bottom"/>
            <w:hideMark/>
          </w:tcPr>
          <w:p w:rsidR="0035741C" w:rsidRDefault="0035741C" w:rsidP="00F92C29">
            <w:pPr>
              <w:pStyle w:val="AERtabletextright"/>
            </w:pPr>
            <w:r>
              <w:t>111.94</w:t>
            </w:r>
          </w:p>
        </w:tc>
        <w:tc>
          <w:tcPr>
            <w:tcW w:w="623" w:type="pct"/>
            <w:noWrap/>
            <w:vAlign w:val="bottom"/>
            <w:hideMark/>
          </w:tcPr>
          <w:p w:rsidR="0035741C" w:rsidRDefault="0035741C" w:rsidP="00F92C29">
            <w:pPr>
              <w:pStyle w:val="AERtabletextright"/>
            </w:pPr>
            <w:r>
              <w:t>106.55</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685" w:type="pct"/>
            <w:noWrap/>
            <w:hideMark/>
          </w:tcPr>
          <w:p w:rsidR="0035741C" w:rsidRPr="00745089" w:rsidRDefault="0035741C" w:rsidP="007848A6">
            <w:pPr>
              <w:pStyle w:val="AERtabletextleft"/>
            </w:pPr>
            <w:r w:rsidRPr="00745089">
              <w:t>150W Metal Halide - AEROSCREEN</w:t>
            </w:r>
          </w:p>
        </w:tc>
        <w:tc>
          <w:tcPr>
            <w:tcW w:w="438" w:type="pct"/>
            <w:noWrap/>
            <w:vAlign w:val="bottom"/>
            <w:hideMark/>
          </w:tcPr>
          <w:p w:rsidR="0035741C" w:rsidRDefault="0035741C" w:rsidP="00F92C29">
            <w:pPr>
              <w:pStyle w:val="AERtabletextright"/>
            </w:pPr>
            <w:r>
              <w:t>61.12</w:t>
            </w:r>
          </w:p>
        </w:tc>
        <w:tc>
          <w:tcPr>
            <w:tcW w:w="653" w:type="pct"/>
            <w:noWrap/>
            <w:vAlign w:val="bottom"/>
            <w:hideMark/>
          </w:tcPr>
          <w:p w:rsidR="0035741C" w:rsidRDefault="0035741C" w:rsidP="00F92C29">
            <w:pPr>
              <w:pStyle w:val="AERtabletextright"/>
            </w:pPr>
            <w:r>
              <w:t>58.18</w:t>
            </w:r>
          </w:p>
        </w:tc>
        <w:tc>
          <w:tcPr>
            <w:tcW w:w="530" w:type="pct"/>
            <w:noWrap/>
            <w:vAlign w:val="bottom"/>
            <w:hideMark/>
          </w:tcPr>
          <w:p w:rsidR="0035741C" w:rsidRDefault="0035741C" w:rsidP="00F92C29">
            <w:pPr>
              <w:pStyle w:val="AERtabletextright"/>
            </w:pPr>
            <w:r>
              <w:t>72.12</w:t>
            </w:r>
          </w:p>
        </w:tc>
        <w:tc>
          <w:tcPr>
            <w:tcW w:w="611" w:type="pct"/>
            <w:noWrap/>
            <w:vAlign w:val="bottom"/>
            <w:hideMark/>
          </w:tcPr>
          <w:p w:rsidR="0035741C" w:rsidRDefault="0035741C" w:rsidP="00F92C29">
            <w:pPr>
              <w:pStyle w:val="AERtabletextright"/>
            </w:pPr>
            <w:r>
              <w:t>68.64</w:t>
            </w:r>
          </w:p>
        </w:tc>
        <w:tc>
          <w:tcPr>
            <w:tcW w:w="460" w:type="pct"/>
            <w:noWrap/>
            <w:vAlign w:val="bottom"/>
            <w:hideMark/>
          </w:tcPr>
          <w:p w:rsidR="0035741C" w:rsidRDefault="0035741C" w:rsidP="00F92C29">
            <w:pPr>
              <w:pStyle w:val="AERtabletextright"/>
            </w:pPr>
            <w:r>
              <w:t>133.24</w:t>
            </w:r>
          </w:p>
        </w:tc>
        <w:tc>
          <w:tcPr>
            <w:tcW w:w="623" w:type="pct"/>
            <w:noWrap/>
            <w:vAlign w:val="bottom"/>
            <w:hideMark/>
          </w:tcPr>
          <w:p w:rsidR="0035741C" w:rsidRDefault="0035741C" w:rsidP="00F92C29">
            <w:pPr>
              <w:pStyle w:val="AERtabletextright"/>
            </w:pPr>
            <w:r>
              <w:t>126.82</w:t>
            </w:r>
          </w:p>
        </w:tc>
      </w:tr>
      <w:tr w:rsidR="0035741C" w:rsidRPr="00745089" w:rsidTr="001749C6">
        <w:trPr>
          <w:trHeight w:val="255"/>
        </w:trPr>
        <w:tc>
          <w:tcPr>
            <w:tcW w:w="1685" w:type="pct"/>
            <w:noWrap/>
            <w:hideMark/>
          </w:tcPr>
          <w:p w:rsidR="0035741C" w:rsidRPr="00745089" w:rsidRDefault="0035741C" w:rsidP="007848A6">
            <w:pPr>
              <w:pStyle w:val="AERtabletextleft"/>
            </w:pPr>
            <w:r w:rsidRPr="00745089">
              <w:t>250W Sodium (w/o PECB) - AEROSCREEN</w:t>
            </w:r>
          </w:p>
        </w:tc>
        <w:tc>
          <w:tcPr>
            <w:tcW w:w="438" w:type="pct"/>
            <w:noWrap/>
            <w:vAlign w:val="bottom"/>
            <w:hideMark/>
          </w:tcPr>
          <w:p w:rsidR="0035741C" w:rsidRDefault="0035741C" w:rsidP="00F92C29">
            <w:pPr>
              <w:pStyle w:val="AERtabletextright"/>
            </w:pPr>
            <w:r>
              <w:t>56.43</w:t>
            </w:r>
          </w:p>
        </w:tc>
        <w:tc>
          <w:tcPr>
            <w:tcW w:w="653" w:type="pct"/>
            <w:noWrap/>
            <w:vAlign w:val="bottom"/>
            <w:hideMark/>
          </w:tcPr>
          <w:p w:rsidR="0035741C" w:rsidRDefault="0035741C" w:rsidP="00F92C29">
            <w:pPr>
              <w:pStyle w:val="AERtabletextright"/>
            </w:pPr>
            <w:r>
              <w:t>53.71</w:t>
            </w:r>
          </w:p>
        </w:tc>
        <w:tc>
          <w:tcPr>
            <w:tcW w:w="530" w:type="pct"/>
            <w:noWrap/>
            <w:vAlign w:val="bottom"/>
            <w:hideMark/>
          </w:tcPr>
          <w:p w:rsidR="0035741C" w:rsidRDefault="0035741C" w:rsidP="00F92C29">
            <w:pPr>
              <w:pStyle w:val="AERtabletextright"/>
            </w:pPr>
            <w:r>
              <w:t>55.79</w:t>
            </w:r>
          </w:p>
        </w:tc>
        <w:tc>
          <w:tcPr>
            <w:tcW w:w="611" w:type="pct"/>
            <w:noWrap/>
            <w:vAlign w:val="bottom"/>
            <w:hideMark/>
          </w:tcPr>
          <w:p w:rsidR="0035741C" w:rsidRDefault="0035741C" w:rsidP="00F92C29">
            <w:pPr>
              <w:pStyle w:val="AERtabletextright"/>
            </w:pPr>
            <w:r>
              <w:t>53.11</w:t>
            </w:r>
          </w:p>
        </w:tc>
        <w:tc>
          <w:tcPr>
            <w:tcW w:w="460" w:type="pct"/>
            <w:noWrap/>
            <w:vAlign w:val="bottom"/>
            <w:hideMark/>
          </w:tcPr>
          <w:p w:rsidR="0035741C" w:rsidRDefault="0035741C" w:rsidP="00F92C29">
            <w:pPr>
              <w:pStyle w:val="AERtabletextright"/>
            </w:pPr>
            <w:r>
              <w:t>112.22</w:t>
            </w:r>
          </w:p>
        </w:tc>
        <w:tc>
          <w:tcPr>
            <w:tcW w:w="623" w:type="pct"/>
            <w:noWrap/>
            <w:vAlign w:val="bottom"/>
            <w:hideMark/>
          </w:tcPr>
          <w:p w:rsidR="0035741C" w:rsidRDefault="0035741C" w:rsidP="00F92C29">
            <w:pPr>
              <w:pStyle w:val="AERtabletextright"/>
            </w:pPr>
            <w:r>
              <w:t>106.82</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685" w:type="pct"/>
            <w:noWrap/>
            <w:hideMark/>
          </w:tcPr>
          <w:p w:rsidR="0035741C" w:rsidRPr="00745089" w:rsidRDefault="0035741C" w:rsidP="007848A6">
            <w:pPr>
              <w:pStyle w:val="AERtabletextleft"/>
            </w:pPr>
            <w:r w:rsidRPr="00745089">
              <w:t>250W Metal Halide - AEROSCREEN</w:t>
            </w:r>
          </w:p>
        </w:tc>
        <w:tc>
          <w:tcPr>
            <w:tcW w:w="438" w:type="pct"/>
            <w:noWrap/>
            <w:vAlign w:val="bottom"/>
            <w:hideMark/>
          </w:tcPr>
          <w:p w:rsidR="0035741C" w:rsidRDefault="0035741C" w:rsidP="00F92C29">
            <w:pPr>
              <w:pStyle w:val="AERtabletextright"/>
            </w:pPr>
            <w:r>
              <w:t>57.26</w:t>
            </w:r>
          </w:p>
        </w:tc>
        <w:tc>
          <w:tcPr>
            <w:tcW w:w="653" w:type="pct"/>
            <w:noWrap/>
            <w:vAlign w:val="bottom"/>
            <w:hideMark/>
          </w:tcPr>
          <w:p w:rsidR="0035741C" w:rsidRDefault="0035741C" w:rsidP="00F92C29">
            <w:pPr>
              <w:pStyle w:val="AERtabletextright"/>
            </w:pPr>
            <w:r>
              <w:t>54.50</w:t>
            </w:r>
          </w:p>
        </w:tc>
        <w:tc>
          <w:tcPr>
            <w:tcW w:w="530" w:type="pct"/>
            <w:noWrap/>
            <w:vAlign w:val="bottom"/>
            <w:hideMark/>
          </w:tcPr>
          <w:p w:rsidR="0035741C" w:rsidRDefault="0035741C" w:rsidP="00F92C29">
            <w:pPr>
              <w:pStyle w:val="AERtabletextright"/>
            </w:pPr>
            <w:r>
              <w:t>59.44</w:t>
            </w:r>
          </w:p>
        </w:tc>
        <w:tc>
          <w:tcPr>
            <w:tcW w:w="611" w:type="pct"/>
            <w:noWrap/>
            <w:vAlign w:val="bottom"/>
            <w:hideMark/>
          </w:tcPr>
          <w:p w:rsidR="0035741C" w:rsidRDefault="0035741C" w:rsidP="00F92C29">
            <w:pPr>
              <w:pStyle w:val="AERtabletextright"/>
            </w:pPr>
            <w:r>
              <w:t>56.58</w:t>
            </w:r>
          </w:p>
        </w:tc>
        <w:tc>
          <w:tcPr>
            <w:tcW w:w="460" w:type="pct"/>
            <w:noWrap/>
            <w:vAlign w:val="bottom"/>
            <w:hideMark/>
          </w:tcPr>
          <w:p w:rsidR="0035741C" w:rsidRDefault="0035741C" w:rsidP="00F92C29">
            <w:pPr>
              <w:pStyle w:val="AERtabletextright"/>
            </w:pPr>
            <w:r>
              <w:t>116.70</w:t>
            </w:r>
          </w:p>
        </w:tc>
        <w:tc>
          <w:tcPr>
            <w:tcW w:w="623" w:type="pct"/>
            <w:noWrap/>
            <w:vAlign w:val="bottom"/>
            <w:hideMark/>
          </w:tcPr>
          <w:p w:rsidR="0035741C" w:rsidRDefault="0035741C" w:rsidP="00F92C29">
            <w:pPr>
              <w:pStyle w:val="AERtabletextright"/>
            </w:pPr>
            <w:r>
              <w:t>111.07</w:t>
            </w:r>
          </w:p>
        </w:tc>
      </w:tr>
      <w:tr w:rsidR="0035741C" w:rsidRPr="00745089" w:rsidTr="001749C6">
        <w:trPr>
          <w:trHeight w:val="255"/>
        </w:trPr>
        <w:tc>
          <w:tcPr>
            <w:tcW w:w="1685" w:type="pct"/>
            <w:noWrap/>
            <w:hideMark/>
          </w:tcPr>
          <w:p w:rsidR="0035741C" w:rsidRPr="00745089" w:rsidRDefault="0035741C" w:rsidP="007848A6">
            <w:pPr>
              <w:pStyle w:val="AERtabletextleft"/>
            </w:pPr>
            <w:r w:rsidRPr="00745089">
              <w:t>400W Sodium - AEROSCREEN</w:t>
            </w:r>
          </w:p>
        </w:tc>
        <w:tc>
          <w:tcPr>
            <w:tcW w:w="438" w:type="pct"/>
            <w:noWrap/>
            <w:vAlign w:val="bottom"/>
            <w:hideMark/>
          </w:tcPr>
          <w:p w:rsidR="0035741C" w:rsidRDefault="0035741C" w:rsidP="00F92C29">
            <w:pPr>
              <w:pStyle w:val="AERtabletextright"/>
            </w:pPr>
            <w:r>
              <w:t>60.77</w:t>
            </w:r>
          </w:p>
        </w:tc>
        <w:tc>
          <w:tcPr>
            <w:tcW w:w="653" w:type="pct"/>
            <w:noWrap/>
            <w:vAlign w:val="bottom"/>
            <w:hideMark/>
          </w:tcPr>
          <w:p w:rsidR="0035741C" w:rsidRDefault="0035741C" w:rsidP="00F92C29">
            <w:pPr>
              <w:pStyle w:val="AERtabletextright"/>
            </w:pPr>
            <w:r>
              <w:t>57.84</w:t>
            </w:r>
          </w:p>
        </w:tc>
        <w:tc>
          <w:tcPr>
            <w:tcW w:w="530" w:type="pct"/>
            <w:noWrap/>
            <w:vAlign w:val="bottom"/>
            <w:hideMark/>
          </w:tcPr>
          <w:p w:rsidR="0035741C" w:rsidRDefault="0035741C" w:rsidP="00F92C29">
            <w:pPr>
              <w:pStyle w:val="AERtabletextright"/>
            </w:pPr>
            <w:r>
              <w:t>56.07</w:t>
            </w:r>
          </w:p>
        </w:tc>
        <w:tc>
          <w:tcPr>
            <w:tcW w:w="611" w:type="pct"/>
            <w:noWrap/>
            <w:vAlign w:val="bottom"/>
            <w:hideMark/>
          </w:tcPr>
          <w:p w:rsidR="0035741C" w:rsidRDefault="0035741C" w:rsidP="00F92C29">
            <w:pPr>
              <w:pStyle w:val="AERtabletextright"/>
            </w:pPr>
            <w:r>
              <w:t>53.36</w:t>
            </w:r>
          </w:p>
        </w:tc>
        <w:tc>
          <w:tcPr>
            <w:tcW w:w="460" w:type="pct"/>
            <w:noWrap/>
            <w:vAlign w:val="bottom"/>
            <w:hideMark/>
          </w:tcPr>
          <w:p w:rsidR="0035741C" w:rsidRDefault="0035741C" w:rsidP="00F92C29">
            <w:pPr>
              <w:pStyle w:val="AERtabletextright"/>
            </w:pPr>
            <w:r>
              <w:t>116.83</w:t>
            </w:r>
          </w:p>
        </w:tc>
        <w:tc>
          <w:tcPr>
            <w:tcW w:w="623" w:type="pct"/>
            <w:noWrap/>
            <w:vAlign w:val="bottom"/>
            <w:hideMark/>
          </w:tcPr>
          <w:p w:rsidR="0035741C" w:rsidRDefault="0035741C" w:rsidP="00F92C29">
            <w:pPr>
              <w:pStyle w:val="AERtabletextright"/>
            </w:pPr>
            <w:r>
              <w:t>111.20</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685" w:type="pct"/>
            <w:noWrap/>
            <w:hideMark/>
          </w:tcPr>
          <w:p w:rsidR="0035741C" w:rsidRPr="00745089" w:rsidRDefault="0035741C" w:rsidP="007848A6">
            <w:pPr>
              <w:pStyle w:val="AERtabletextleft"/>
            </w:pPr>
            <w:r w:rsidRPr="00745089">
              <w:t>400W Metal Halide - AEROSCREEN</w:t>
            </w:r>
          </w:p>
        </w:tc>
        <w:tc>
          <w:tcPr>
            <w:tcW w:w="438" w:type="pct"/>
            <w:noWrap/>
            <w:vAlign w:val="bottom"/>
            <w:hideMark/>
          </w:tcPr>
          <w:p w:rsidR="0035741C" w:rsidRDefault="0035741C" w:rsidP="00F92C29">
            <w:pPr>
              <w:pStyle w:val="AERtabletextright"/>
            </w:pPr>
            <w:r>
              <w:t>61.49</w:t>
            </w:r>
          </w:p>
        </w:tc>
        <w:tc>
          <w:tcPr>
            <w:tcW w:w="653" w:type="pct"/>
            <w:noWrap/>
            <w:vAlign w:val="bottom"/>
            <w:hideMark/>
          </w:tcPr>
          <w:p w:rsidR="0035741C" w:rsidRDefault="0035741C" w:rsidP="00F92C29">
            <w:pPr>
              <w:pStyle w:val="AERtabletextright"/>
            </w:pPr>
            <w:r>
              <w:t>58.53</w:t>
            </w:r>
          </w:p>
        </w:tc>
        <w:tc>
          <w:tcPr>
            <w:tcW w:w="530" w:type="pct"/>
            <w:noWrap/>
            <w:vAlign w:val="bottom"/>
            <w:hideMark/>
          </w:tcPr>
          <w:p w:rsidR="0035741C" w:rsidRDefault="0035741C" w:rsidP="00F92C29">
            <w:pPr>
              <w:pStyle w:val="AERtabletextright"/>
            </w:pPr>
            <w:r>
              <w:t>59.44</w:t>
            </w:r>
          </w:p>
        </w:tc>
        <w:tc>
          <w:tcPr>
            <w:tcW w:w="611" w:type="pct"/>
            <w:noWrap/>
            <w:vAlign w:val="bottom"/>
            <w:hideMark/>
          </w:tcPr>
          <w:p w:rsidR="0035741C" w:rsidRDefault="0035741C" w:rsidP="00F92C29">
            <w:pPr>
              <w:pStyle w:val="AERtabletextright"/>
            </w:pPr>
            <w:r>
              <w:t>56.58</w:t>
            </w:r>
          </w:p>
        </w:tc>
        <w:tc>
          <w:tcPr>
            <w:tcW w:w="460" w:type="pct"/>
            <w:noWrap/>
            <w:vAlign w:val="bottom"/>
            <w:hideMark/>
          </w:tcPr>
          <w:p w:rsidR="0035741C" w:rsidRDefault="0035741C" w:rsidP="00F92C29">
            <w:pPr>
              <w:pStyle w:val="AERtabletextright"/>
            </w:pPr>
            <w:r>
              <w:t>120.93</w:t>
            </w:r>
          </w:p>
        </w:tc>
        <w:tc>
          <w:tcPr>
            <w:tcW w:w="623" w:type="pct"/>
            <w:noWrap/>
            <w:vAlign w:val="bottom"/>
            <w:hideMark/>
          </w:tcPr>
          <w:p w:rsidR="0035741C" w:rsidRDefault="0035741C" w:rsidP="00F92C29">
            <w:pPr>
              <w:pStyle w:val="AERtabletextright"/>
            </w:pPr>
            <w:r>
              <w:t>115.10</w:t>
            </w:r>
          </w:p>
        </w:tc>
      </w:tr>
      <w:tr w:rsidR="0035741C" w:rsidRPr="00745089" w:rsidTr="001749C6">
        <w:trPr>
          <w:trHeight w:val="255"/>
        </w:trPr>
        <w:tc>
          <w:tcPr>
            <w:tcW w:w="1685" w:type="pct"/>
            <w:noWrap/>
            <w:hideMark/>
          </w:tcPr>
          <w:p w:rsidR="0035741C" w:rsidRPr="00745089" w:rsidRDefault="0035741C" w:rsidP="007848A6">
            <w:pPr>
              <w:pStyle w:val="AERtabletextleft"/>
            </w:pPr>
            <w:r w:rsidRPr="00745089">
              <w:t>Roadster A/Screen 100W HPS c/w PECB</w:t>
            </w:r>
          </w:p>
        </w:tc>
        <w:tc>
          <w:tcPr>
            <w:tcW w:w="438" w:type="pct"/>
            <w:noWrap/>
            <w:vAlign w:val="bottom"/>
            <w:hideMark/>
          </w:tcPr>
          <w:p w:rsidR="0035741C" w:rsidRDefault="0035741C" w:rsidP="00F92C29">
            <w:pPr>
              <w:pStyle w:val="AERtabletextright"/>
            </w:pPr>
            <w:r>
              <w:t>52.15</w:t>
            </w:r>
          </w:p>
        </w:tc>
        <w:tc>
          <w:tcPr>
            <w:tcW w:w="653" w:type="pct"/>
            <w:noWrap/>
            <w:vAlign w:val="bottom"/>
            <w:hideMark/>
          </w:tcPr>
          <w:p w:rsidR="0035741C" w:rsidRDefault="0035741C" w:rsidP="00F92C29">
            <w:pPr>
              <w:pStyle w:val="AERtabletextright"/>
            </w:pPr>
            <w:r>
              <w:t>49.64</w:t>
            </w:r>
          </w:p>
        </w:tc>
        <w:tc>
          <w:tcPr>
            <w:tcW w:w="530" w:type="pct"/>
            <w:noWrap/>
            <w:vAlign w:val="bottom"/>
            <w:hideMark/>
          </w:tcPr>
          <w:p w:rsidR="0035741C" w:rsidRDefault="0035741C" w:rsidP="00F92C29">
            <w:pPr>
              <w:pStyle w:val="AERtabletextright"/>
            </w:pPr>
            <w:r>
              <w:t>56.55</w:t>
            </w:r>
          </w:p>
        </w:tc>
        <w:tc>
          <w:tcPr>
            <w:tcW w:w="611" w:type="pct"/>
            <w:noWrap/>
            <w:vAlign w:val="bottom"/>
            <w:hideMark/>
          </w:tcPr>
          <w:p w:rsidR="0035741C" w:rsidRDefault="0035741C" w:rsidP="00F92C29">
            <w:pPr>
              <w:pStyle w:val="AERtabletextright"/>
            </w:pPr>
            <w:r>
              <w:t>53.83</w:t>
            </w:r>
          </w:p>
        </w:tc>
        <w:tc>
          <w:tcPr>
            <w:tcW w:w="460" w:type="pct"/>
            <w:noWrap/>
            <w:vAlign w:val="bottom"/>
            <w:hideMark/>
          </w:tcPr>
          <w:p w:rsidR="0035741C" w:rsidRDefault="0035741C" w:rsidP="00F92C29">
            <w:pPr>
              <w:pStyle w:val="AERtabletextright"/>
            </w:pPr>
            <w:r>
              <w:t>108.70</w:t>
            </w:r>
          </w:p>
        </w:tc>
        <w:tc>
          <w:tcPr>
            <w:tcW w:w="623" w:type="pct"/>
            <w:noWrap/>
            <w:vAlign w:val="bottom"/>
            <w:hideMark/>
          </w:tcPr>
          <w:p w:rsidR="0035741C" w:rsidRDefault="0035741C" w:rsidP="00F92C29">
            <w:pPr>
              <w:pStyle w:val="AERtabletextright"/>
            </w:pPr>
            <w:r>
              <w:t>103.47</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685" w:type="pct"/>
            <w:noWrap/>
            <w:hideMark/>
          </w:tcPr>
          <w:p w:rsidR="0035741C" w:rsidRPr="00745089" w:rsidRDefault="0035741C" w:rsidP="007848A6">
            <w:pPr>
              <w:pStyle w:val="AERtabletextleft"/>
            </w:pPr>
            <w:r w:rsidRPr="00745089">
              <w:t>80W Mercury - POST TOP</w:t>
            </w:r>
          </w:p>
        </w:tc>
        <w:tc>
          <w:tcPr>
            <w:tcW w:w="438" w:type="pct"/>
            <w:noWrap/>
            <w:vAlign w:val="bottom"/>
            <w:hideMark/>
          </w:tcPr>
          <w:p w:rsidR="0035741C" w:rsidRDefault="0035741C" w:rsidP="00F92C29">
            <w:pPr>
              <w:pStyle w:val="AERtabletextright"/>
            </w:pPr>
            <w:r>
              <w:t>50.67</w:t>
            </w:r>
          </w:p>
        </w:tc>
        <w:tc>
          <w:tcPr>
            <w:tcW w:w="653" w:type="pct"/>
            <w:noWrap/>
            <w:vAlign w:val="bottom"/>
            <w:hideMark/>
          </w:tcPr>
          <w:p w:rsidR="0035741C" w:rsidRDefault="0035741C" w:rsidP="00F92C29">
            <w:pPr>
              <w:pStyle w:val="AERtabletextright"/>
            </w:pPr>
            <w:r>
              <w:t>48.23</w:t>
            </w:r>
          </w:p>
        </w:tc>
        <w:tc>
          <w:tcPr>
            <w:tcW w:w="530" w:type="pct"/>
            <w:noWrap/>
            <w:vAlign w:val="bottom"/>
            <w:hideMark/>
          </w:tcPr>
          <w:p w:rsidR="0035741C" w:rsidRDefault="0035741C" w:rsidP="00F92C29">
            <w:pPr>
              <w:pStyle w:val="AERtabletextright"/>
            </w:pPr>
            <w:r>
              <w:t>54.60</w:t>
            </w:r>
          </w:p>
        </w:tc>
        <w:tc>
          <w:tcPr>
            <w:tcW w:w="611" w:type="pct"/>
            <w:noWrap/>
            <w:vAlign w:val="bottom"/>
            <w:hideMark/>
          </w:tcPr>
          <w:p w:rsidR="0035741C" w:rsidRDefault="0035741C" w:rsidP="00F92C29">
            <w:pPr>
              <w:pStyle w:val="AERtabletextright"/>
            </w:pPr>
            <w:r>
              <w:t>51.97</w:t>
            </w:r>
          </w:p>
        </w:tc>
        <w:tc>
          <w:tcPr>
            <w:tcW w:w="460" w:type="pct"/>
            <w:noWrap/>
            <w:vAlign w:val="bottom"/>
            <w:hideMark/>
          </w:tcPr>
          <w:p w:rsidR="0035741C" w:rsidRDefault="0035741C" w:rsidP="00F92C29">
            <w:pPr>
              <w:pStyle w:val="AERtabletextright"/>
            </w:pPr>
            <w:r>
              <w:t>105.26</w:t>
            </w:r>
          </w:p>
        </w:tc>
        <w:tc>
          <w:tcPr>
            <w:tcW w:w="623" w:type="pct"/>
            <w:noWrap/>
            <w:vAlign w:val="bottom"/>
            <w:hideMark/>
          </w:tcPr>
          <w:p w:rsidR="0035741C" w:rsidRDefault="0035741C" w:rsidP="00F92C29">
            <w:pPr>
              <w:pStyle w:val="AERtabletextright"/>
            </w:pPr>
            <w:r>
              <w:t>100.19</w:t>
            </w:r>
          </w:p>
        </w:tc>
      </w:tr>
      <w:tr w:rsidR="0035741C" w:rsidRPr="00745089" w:rsidTr="001749C6">
        <w:trPr>
          <w:trHeight w:val="255"/>
        </w:trPr>
        <w:tc>
          <w:tcPr>
            <w:tcW w:w="1685" w:type="pct"/>
            <w:noWrap/>
            <w:hideMark/>
          </w:tcPr>
          <w:p w:rsidR="0035741C" w:rsidRPr="00745089" w:rsidRDefault="0035741C" w:rsidP="007848A6">
            <w:pPr>
              <w:pStyle w:val="AERtabletextleft"/>
            </w:pPr>
            <w:r w:rsidRPr="00745089">
              <w:t>B2001 42WCFL c/w D2 PECB green - PT</w:t>
            </w:r>
          </w:p>
        </w:tc>
        <w:tc>
          <w:tcPr>
            <w:tcW w:w="438" w:type="pct"/>
            <w:noWrap/>
            <w:vAlign w:val="bottom"/>
            <w:hideMark/>
          </w:tcPr>
          <w:p w:rsidR="0035741C" w:rsidRDefault="0035741C" w:rsidP="00F92C29">
            <w:pPr>
              <w:pStyle w:val="AERtabletextright"/>
            </w:pPr>
            <w:r>
              <w:t>80.94</w:t>
            </w:r>
          </w:p>
        </w:tc>
        <w:tc>
          <w:tcPr>
            <w:tcW w:w="653" w:type="pct"/>
            <w:noWrap/>
            <w:vAlign w:val="bottom"/>
            <w:hideMark/>
          </w:tcPr>
          <w:p w:rsidR="0035741C" w:rsidRDefault="0035741C" w:rsidP="00F92C29">
            <w:pPr>
              <w:pStyle w:val="AERtabletextright"/>
            </w:pPr>
            <w:r>
              <w:t>77.04</w:t>
            </w:r>
          </w:p>
        </w:tc>
        <w:tc>
          <w:tcPr>
            <w:tcW w:w="530" w:type="pct"/>
            <w:noWrap/>
            <w:vAlign w:val="bottom"/>
            <w:hideMark/>
          </w:tcPr>
          <w:p w:rsidR="0035741C" w:rsidRDefault="0035741C" w:rsidP="00F92C29">
            <w:pPr>
              <w:pStyle w:val="AERtabletextright"/>
            </w:pPr>
            <w:r>
              <w:t>53.26</w:t>
            </w:r>
          </w:p>
        </w:tc>
        <w:tc>
          <w:tcPr>
            <w:tcW w:w="611" w:type="pct"/>
            <w:noWrap/>
            <w:vAlign w:val="bottom"/>
            <w:hideMark/>
          </w:tcPr>
          <w:p w:rsidR="0035741C" w:rsidRDefault="0035741C" w:rsidP="00F92C29">
            <w:pPr>
              <w:pStyle w:val="AERtabletextright"/>
            </w:pPr>
            <w:r>
              <w:t>50.69</w:t>
            </w:r>
          </w:p>
        </w:tc>
        <w:tc>
          <w:tcPr>
            <w:tcW w:w="460" w:type="pct"/>
            <w:noWrap/>
            <w:vAlign w:val="bottom"/>
            <w:hideMark/>
          </w:tcPr>
          <w:p w:rsidR="0035741C" w:rsidRDefault="0035741C" w:rsidP="00F92C29">
            <w:pPr>
              <w:pStyle w:val="AERtabletextright"/>
            </w:pPr>
            <w:r>
              <w:t>134.20</w:t>
            </w:r>
          </w:p>
        </w:tc>
        <w:tc>
          <w:tcPr>
            <w:tcW w:w="623" w:type="pct"/>
            <w:noWrap/>
            <w:vAlign w:val="bottom"/>
            <w:hideMark/>
          </w:tcPr>
          <w:p w:rsidR="0035741C" w:rsidRDefault="0035741C" w:rsidP="00F92C29">
            <w:pPr>
              <w:pStyle w:val="AERtabletextright"/>
            </w:pPr>
            <w:r>
              <w:t>127.73</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685" w:type="pct"/>
            <w:noWrap/>
            <w:hideMark/>
          </w:tcPr>
          <w:p w:rsidR="0035741C" w:rsidRPr="00745089" w:rsidRDefault="0035741C" w:rsidP="007848A6">
            <w:pPr>
              <w:pStyle w:val="AERtabletextleft"/>
            </w:pPr>
            <w:r w:rsidRPr="00745089">
              <w:t>250W Sodium - FLOODLIGHT</w:t>
            </w:r>
          </w:p>
        </w:tc>
        <w:tc>
          <w:tcPr>
            <w:tcW w:w="438" w:type="pct"/>
            <w:noWrap/>
            <w:vAlign w:val="bottom"/>
            <w:hideMark/>
          </w:tcPr>
          <w:p w:rsidR="0035741C" w:rsidRDefault="0035741C" w:rsidP="00F92C29">
            <w:pPr>
              <w:pStyle w:val="AERtabletextright"/>
            </w:pPr>
            <w:r>
              <w:t>76.96</w:t>
            </w:r>
          </w:p>
        </w:tc>
        <w:tc>
          <w:tcPr>
            <w:tcW w:w="653" w:type="pct"/>
            <w:noWrap/>
            <w:vAlign w:val="bottom"/>
            <w:hideMark/>
          </w:tcPr>
          <w:p w:rsidR="0035741C" w:rsidRDefault="0035741C" w:rsidP="00F92C29">
            <w:pPr>
              <w:pStyle w:val="AERtabletextright"/>
            </w:pPr>
            <w:r>
              <w:t>73.26</w:t>
            </w:r>
          </w:p>
        </w:tc>
        <w:tc>
          <w:tcPr>
            <w:tcW w:w="530" w:type="pct"/>
            <w:noWrap/>
            <w:vAlign w:val="bottom"/>
            <w:hideMark/>
          </w:tcPr>
          <w:p w:rsidR="0035741C" w:rsidRDefault="0035741C" w:rsidP="00F92C29">
            <w:pPr>
              <w:pStyle w:val="AERtabletextright"/>
            </w:pPr>
            <w:r>
              <w:t>55.79</w:t>
            </w:r>
          </w:p>
        </w:tc>
        <w:tc>
          <w:tcPr>
            <w:tcW w:w="611" w:type="pct"/>
            <w:noWrap/>
            <w:vAlign w:val="bottom"/>
            <w:hideMark/>
          </w:tcPr>
          <w:p w:rsidR="0035741C" w:rsidRDefault="0035741C" w:rsidP="00F92C29">
            <w:pPr>
              <w:pStyle w:val="AERtabletextright"/>
            </w:pPr>
            <w:r>
              <w:t>53.11</w:t>
            </w:r>
          </w:p>
        </w:tc>
        <w:tc>
          <w:tcPr>
            <w:tcW w:w="460" w:type="pct"/>
            <w:noWrap/>
            <w:vAlign w:val="bottom"/>
            <w:hideMark/>
          </w:tcPr>
          <w:p w:rsidR="0035741C" w:rsidRDefault="0035741C" w:rsidP="00F92C29">
            <w:pPr>
              <w:pStyle w:val="AERtabletextright"/>
            </w:pPr>
            <w:r>
              <w:t>132.76</w:t>
            </w:r>
          </w:p>
        </w:tc>
        <w:tc>
          <w:tcPr>
            <w:tcW w:w="623" w:type="pct"/>
            <w:noWrap/>
            <w:vAlign w:val="bottom"/>
            <w:hideMark/>
          </w:tcPr>
          <w:p w:rsidR="0035741C" w:rsidRDefault="0035741C" w:rsidP="00F92C29">
            <w:pPr>
              <w:pStyle w:val="AERtabletextright"/>
            </w:pPr>
            <w:r>
              <w:t>126.36</w:t>
            </w:r>
          </w:p>
        </w:tc>
      </w:tr>
      <w:tr w:rsidR="0035741C" w:rsidRPr="00745089" w:rsidTr="001749C6">
        <w:trPr>
          <w:trHeight w:val="255"/>
        </w:trPr>
        <w:tc>
          <w:tcPr>
            <w:tcW w:w="1685" w:type="pct"/>
            <w:noWrap/>
            <w:hideMark/>
          </w:tcPr>
          <w:p w:rsidR="0035741C" w:rsidRPr="00745089" w:rsidRDefault="0035741C" w:rsidP="007848A6">
            <w:pPr>
              <w:pStyle w:val="AERtabletextleft"/>
            </w:pPr>
            <w:r w:rsidRPr="00745089">
              <w:t>250W Metal Halide - FLOODLIGHT</w:t>
            </w:r>
          </w:p>
        </w:tc>
        <w:tc>
          <w:tcPr>
            <w:tcW w:w="438" w:type="pct"/>
            <w:noWrap/>
            <w:vAlign w:val="bottom"/>
            <w:hideMark/>
          </w:tcPr>
          <w:p w:rsidR="0035741C" w:rsidRDefault="0035741C" w:rsidP="00F92C29">
            <w:pPr>
              <w:pStyle w:val="AERtabletextright"/>
            </w:pPr>
            <w:r>
              <w:t>77.79</w:t>
            </w:r>
          </w:p>
        </w:tc>
        <w:tc>
          <w:tcPr>
            <w:tcW w:w="653" w:type="pct"/>
            <w:noWrap/>
            <w:vAlign w:val="bottom"/>
            <w:hideMark/>
          </w:tcPr>
          <w:p w:rsidR="0035741C" w:rsidRDefault="0035741C" w:rsidP="00F92C29">
            <w:pPr>
              <w:pStyle w:val="AERtabletextright"/>
            </w:pPr>
            <w:r>
              <w:t>74.04</w:t>
            </w:r>
          </w:p>
        </w:tc>
        <w:tc>
          <w:tcPr>
            <w:tcW w:w="530" w:type="pct"/>
            <w:noWrap/>
            <w:vAlign w:val="bottom"/>
            <w:hideMark/>
          </w:tcPr>
          <w:p w:rsidR="0035741C" w:rsidRDefault="0035741C" w:rsidP="00F92C29">
            <w:pPr>
              <w:pStyle w:val="AERtabletextright"/>
            </w:pPr>
            <w:r>
              <w:t>59.44</w:t>
            </w:r>
          </w:p>
        </w:tc>
        <w:tc>
          <w:tcPr>
            <w:tcW w:w="611" w:type="pct"/>
            <w:noWrap/>
            <w:vAlign w:val="bottom"/>
            <w:hideMark/>
          </w:tcPr>
          <w:p w:rsidR="0035741C" w:rsidRDefault="0035741C" w:rsidP="00F92C29">
            <w:pPr>
              <w:pStyle w:val="AERtabletextright"/>
            </w:pPr>
            <w:r>
              <w:t>56.58</w:t>
            </w:r>
          </w:p>
        </w:tc>
        <w:tc>
          <w:tcPr>
            <w:tcW w:w="460" w:type="pct"/>
            <w:noWrap/>
            <w:vAlign w:val="bottom"/>
            <w:hideMark/>
          </w:tcPr>
          <w:p w:rsidR="0035741C" w:rsidRDefault="0035741C" w:rsidP="00F92C29">
            <w:pPr>
              <w:pStyle w:val="AERtabletextright"/>
            </w:pPr>
            <w:r>
              <w:t>137.23</w:t>
            </w:r>
          </w:p>
        </w:tc>
        <w:tc>
          <w:tcPr>
            <w:tcW w:w="623" w:type="pct"/>
            <w:noWrap/>
            <w:vAlign w:val="bottom"/>
            <w:hideMark/>
          </w:tcPr>
          <w:p w:rsidR="0035741C" w:rsidRDefault="0035741C" w:rsidP="00F92C29">
            <w:pPr>
              <w:pStyle w:val="AERtabletextright"/>
            </w:pPr>
            <w:r>
              <w:t>130.62</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685" w:type="pct"/>
            <w:noWrap/>
            <w:hideMark/>
          </w:tcPr>
          <w:p w:rsidR="0035741C" w:rsidRPr="00745089" w:rsidRDefault="0035741C" w:rsidP="007848A6">
            <w:pPr>
              <w:pStyle w:val="AERtabletextleft"/>
            </w:pPr>
            <w:r w:rsidRPr="00745089">
              <w:t>400W Sodium - FLOODLIGHT</w:t>
            </w:r>
          </w:p>
        </w:tc>
        <w:tc>
          <w:tcPr>
            <w:tcW w:w="438" w:type="pct"/>
            <w:noWrap/>
            <w:vAlign w:val="bottom"/>
            <w:hideMark/>
          </w:tcPr>
          <w:p w:rsidR="0035741C" w:rsidRDefault="0035741C" w:rsidP="00F92C29">
            <w:pPr>
              <w:pStyle w:val="AERtabletextright"/>
            </w:pPr>
            <w:r>
              <w:t>79.76</w:t>
            </w:r>
          </w:p>
        </w:tc>
        <w:tc>
          <w:tcPr>
            <w:tcW w:w="653" w:type="pct"/>
            <w:noWrap/>
            <w:vAlign w:val="bottom"/>
            <w:hideMark/>
          </w:tcPr>
          <w:p w:rsidR="0035741C" w:rsidRDefault="0035741C" w:rsidP="00F92C29">
            <w:pPr>
              <w:pStyle w:val="AERtabletextright"/>
            </w:pPr>
            <w:r>
              <w:t>75.92</w:t>
            </w:r>
          </w:p>
        </w:tc>
        <w:tc>
          <w:tcPr>
            <w:tcW w:w="530" w:type="pct"/>
            <w:noWrap/>
            <w:vAlign w:val="bottom"/>
            <w:hideMark/>
          </w:tcPr>
          <w:p w:rsidR="0035741C" w:rsidRDefault="0035741C" w:rsidP="00F92C29">
            <w:pPr>
              <w:pStyle w:val="AERtabletextright"/>
            </w:pPr>
            <w:r>
              <w:t>56.07</w:t>
            </w:r>
          </w:p>
        </w:tc>
        <w:tc>
          <w:tcPr>
            <w:tcW w:w="611" w:type="pct"/>
            <w:noWrap/>
            <w:vAlign w:val="bottom"/>
            <w:hideMark/>
          </w:tcPr>
          <w:p w:rsidR="0035741C" w:rsidRDefault="0035741C" w:rsidP="00F92C29">
            <w:pPr>
              <w:pStyle w:val="AERtabletextright"/>
            </w:pPr>
            <w:r>
              <w:t>53.36</w:t>
            </w:r>
          </w:p>
        </w:tc>
        <w:tc>
          <w:tcPr>
            <w:tcW w:w="460" w:type="pct"/>
            <w:noWrap/>
            <w:vAlign w:val="bottom"/>
            <w:hideMark/>
          </w:tcPr>
          <w:p w:rsidR="0035741C" w:rsidRDefault="0035741C" w:rsidP="00F92C29">
            <w:pPr>
              <w:pStyle w:val="AERtabletextright"/>
            </w:pPr>
            <w:r>
              <w:t>135.83</w:t>
            </w:r>
          </w:p>
        </w:tc>
        <w:tc>
          <w:tcPr>
            <w:tcW w:w="623" w:type="pct"/>
            <w:noWrap/>
            <w:vAlign w:val="bottom"/>
            <w:hideMark/>
          </w:tcPr>
          <w:p w:rsidR="0035741C" w:rsidRDefault="0035741C" w:rsidP="00F92C29">
            <w:pPr>
              <w:pStyle w:val="AERtabletextright"/>
            </w:pPr>
            <w:r>
              <w:t>129.28</w:t>
            </w:r>
          </w:p>
        </w:tc>
      </w:tr>
      <w:tr w:rsidR="0035741C" w:rsidRPr="00745089" w:rsidTr="001749C6">
        <w:trPr>
          <w:trHeight w:val="255"/>
        </w:trPr>
        <w:tc>
          <w:tcPr>
            <w:tcW w:w="1685" w:type="pct"/>
            <w:noWrap/>
            <w:hideMark/>
          </w:tcPr>
          <w:p w:rsidR="0035741C" w:rsidRPr="00745089" w:rsidRDefault="0035741C" w:rsidP="007848A6">
            <w:pPr>
              <w:pStyle w:val="AERtabletextleft"/>
            </w:pPr>
            <w:r w:rsidRPr="00745089">
              <w:t>400W Metal Halide - FLOODLIGHT</w:t>
            </w:r>
          </w:p>
        </w:tc>
        <w:tc>
          <w:tcPr>
            <w:tcW w:w="438" w:type="pct"/>
            <w:noWrap/>
            <w:vAlign w:val="bottom"/>
            <w:hideMark/>
          </w:tcPr>
          <w:p w:rsidR="0035741C" w:rsidRDefault="0035741C" w:rsidP="00F92C29">
            <w:pPr>
              <w:pStyle w:val="AERtabletextright"/>
            </w:pPr>
            <w:r>
              <w:t>80.49</w:t>
            </w:r>
          </w:p>
        </w:tc>
        <w:tc>
          <w:tcPr>
            <w:tcW w:w="653" w:type="pct"/>
            <w:noWrap/>
            <w:vAlign w:val="bottom"/>
            <w:hideMark/>
          </w:tcPr>
          <w:p w:rsidR="0035741C" w:rsidRDefault="0035741C" w:rsidP="00F92C29">
            <w:pPr>
              <w:pStyle w:val="AERtabletextright"/>
            </w:pPr>
            <w:r>
              <w:t>76.61</w:t>
            </w:r>
          </w:p>
        </w:tc>
        <w:tc>
          <w:tcPr>
            <w:tcW w:w="530" w:type="pct"/>
            <w:noWrap/>
            <w:vAlign w:val="bottom"/>
            <w:hideMark/>
          </w:tcPr>
          <w:p w:rsidR="0035741C" w:rsidRDefault="0035741C" w:rsidP="00F92C29">
            <w:pPr>
              <w:pStyle w:val="AERtabletextright"/>
            </w:pPr>
            <w:r>
              <w:t>59.44</w:t>
            </w:r>
          </w:p>
        </w:tc>
        <w:tc>
          <w:tcPr>
            <w:tcW w:w="611" w:type="pct"/>
            <w:noWrap/>
            <w:vAlign w:val="bottom"/>
            <w:hideMark/>
          </w:tcPr>
          <w:p w:rsidR="0035741C" w:rsidRDefault="0035741C" w:rsidP="00F92C29">
            <w:pPr>
              <w:pStyle w:val="AERtabletextright"/>
            </w:pPr>
            <w:r>
              <w:t>56.58</w:t>
            </w:r>
          </w:p>
        </w:tc>
        <w:tc>
          <w:tcPr>
            <w:tcW w:w="460" w:type="pct"/>
            <w:noWrap/>
            <w:vAlign w:val="bottom"/>
            <w:hideMark/>
          </w:tcPr>
          <w:p w:rsidR="0035741C" w:rsidRDefault="0035741C" w:rsidP="00F92C29">
            <w:pPr>
              <w:pStyle w:val="AERtabletextright"/>
            </w:pPr>
            <w:r>
              <w:t>139.93</w:t>
            </w:r>
          </w:p>
        </w:tc>
        <w:tc>
          <w:tcPr>
            <w:tcW w:w="623" w:type="pct"/>
            <w:noWrap/>
            <w:vAlign w:val="bottom"/>
            <w:hideMark/>
          </w:tcPr>
          <w:p w:rsidR="0035741C" w:rsidRDefault="0035741C" w:rsidP="00F92C29">
            <w:pPr>
              <w:pStyle w:val="AERtabletextright"/>
            </w:pPr>
            <w:r>
              <w:t>133.18</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685" w:type="pct"/>
            <w:noWrap/>
            <w:hideMark/>
          </w:tcPr>
          <w:p w:rsidR="0035741C" w:rsidRPr="00745089" w:rsidRDefault="0035741C" w:rsidP="007848A6">
            <w:pPr>
              <w:pStyle w:val="AERtabletextleft"/>
            </w:pPr>
            <w:r w:rsidRPr="00745089">
              <w:t>150W Sodium - FLOODLIGHT</w:t>
            </w:r>
          </w:p>
        </w:tc>
        <w:tc>
          <w:tcPr>
            <w:tcW w:w="438" w:type="pct"/>
            <w:noWrap/>
            <w:vAlign w:val="bottom"/>
            <w:hideMark/>
          </w:tcPr>
          <w:p w:rsidR="0035741C" w:rsidRDefault="0035741C" w:rsidP="00F92C29">
            <w:pPr>
              <w:pStyle w:val="AERtabletextright"/>
            </w:pPr>
            <w:r>
              <w:t>76.26</w:t>
            </w:r>
          </w:p>
        </w:tc>
        <w:tc>
          <w:tcPr>
            <w:tcW w:w="653" w:type="pct"/>
            <w:noWrap/>
            <w:vAlign w:val="bottom"/>
            <w:hideMark/>
          </w:tcPr>
          <w:p w:rsidR="0035741C" w:rsidRDefault="0035741C" w:rsidP="00F92C29">
            <w:pPr>
              <w:pStyle w:val="AERtabletextright"/>
            </w:pPr>
            <w:r>
              <w:t>72.59</w:t>
            </w:r>
          </w:p>
        </w:tc>
        <w:tc>
          <w:tcPr>
            <w:tcW w:w="530" w:type="pct"/>
            <w:noWrap/>
            <w:vAlign w:val="bottom"/>
            <w:hideMark/>
          </w:tcPr>
          <w:p w:rsidR="0035741C" w:rsidRDefault="0035741C" w:rsidP="00F92C29">
            <w:pPr>
              <w:pStyle w:val="AERtabletextright"/>
            </w:pPr>
            <w:r>
              <w:t>55.51</w:t>
            </w:r>
          </w:p>
        </w:tc>
        <w:tc>
          <w:tcPr>
            <w:tcW w:w="611" w:type="pct"/>
            <w:noWrap/>
            <w:vAlign w:val="bottom"/>
            <w:hideMark/>
          </w:tcPr>
          <w:p w:rsidR="0035741C" w:rsidRDefault="0035741C" w:rsidP="00F92C29">
            <w:pPr>
              <w:pStyle w:val="AERtabletextright"/>
            </w:pPr>
            <w:r>
              <w:t>52.84</w:t>
            </w:r>
          </w:p>
        </w:tc>
        <w:tc>
          <w:tcPr>
            <w:tcW w:w="460" w:type="pct"/>
            <w:noWrap/>
            <w:vAlign w:val="bottom"/>
            <w:hideMark/>
          </w:tcPr>
          <w:p w:rsidR="0035741C" w:rsidRDefault="0035741C" w:rsidP="00F92C29">
            <w:pPr>
              <w:pStyle w:val="AERtabletextright"/>
            </w:pPr>
            <w:r>
              <w:t>131.77</w:t>
            </w:r>
          </w:p>
        </w:tc>
        <w:tc>
          <w:tcPr>
            <w:tcW w:w="623" w:type="pct"/>
            <w:noWrap/>
            <w:vAlign w:val="bottom"/>
            <w:hideMark/>
          </w:tcPr>
          <w:p w:rsidR="0035741C" w:rsidRDefault="0035741C" w:rsidP="00F92C29">
            <w:pPr>
              <w:pStyle w:val="AERtabletextright"/>
            </w:pPr>
            <w:r>
              <w:t>125.42</w:t>
            </w:r>
          </w:p>
        </w:tc>
      </w:tr>
      <w:tr w:rsidR="0035741C" w:rsidRPr="00745089" w:rsidTr="001749C6">
        <w:trPr>
          <w:trHeight w:val="255"/>
        </w:trPr>
        <w:tc>
          <w:tcPr>
            <w:tcW w:w="1685" w:type="pct"/>
            <w:noWrap/>
            <w:hideMark/>
          </w:tcPr>
          <w:p w:rsidR="0035741C" w:rsidRPr="00745089" w:rsidRDefault="0035741C" w:rsidP="007848A6">
            <w:pPr>
              <w:pStyle w:val="AERtabletextleft"/>
            </w:pPr>
            <w:r w:rsidRPr="00745089">
              <w:t>150W Metal Halide - FLOODLIGHT</w:t>
            </w:r>
          </w:p>
        </w:tc>
        <w:tc>
          <w:tcPr>
            <w:tcW w:w="438" w:type="pct"/>
            <w:noWrap/>
            <w:vAlign w:val="bottom"/>
            <w:hideMark/>
          </w:tcPr>
          <w:p w:rsidR="0035741C" w:rsidRDefault="0035741C" w:rsidP="00F92C29">
            <w:pPr>
              <w:pStyle w:val="AERtabletextright"/>
            </w:pPr>
            <w:r>
              <w:t>80.96</w:t>
            </w:r>
          </w:p>
        </w:tc>
        <w:tc>
          <w:tcPr>
            <w:tcW w:w="653" w:type="pct"/>
            <w:noWrap/>
            <w:vAlign w:val="bottom"/>
            <w:hideMark/>
          </w:tcPr>
          <w:p w:rsidR="0035741C" w:rsidRDefault="0035741C" w:rsidP="00F92C29">
            <w:pPr>
              <w:pStyle w:val="AERtabletextright"/>
            </w:pPr>
            <w:r>
              <w:t>77.05</w:t>
            </w:r>
          </w:p>
        </w:tc>
        <w:tc>
          <w:tcPr>
            <w:tcW w:w="530" w:type="pct"/>
            <w:noWrap/>
            <w:vAlign w:val="bottom"/>
            <w:hideMark/>
          </w:tcPr>
          <w:p w:rsidR="0035741C" w:rsidRDefault="0035741C" w:rsidP="00F92C29">
            <w:pPr>
              <w:pStyle w:val="AERtabletextright"/>
            </w:pPr>
            <w:r>
              <w:t>72.12</w:t>
            </w:r>
          </w:p>
        </w:tc>
        <w:tc>
          <w:tcPr>
            <w:tcW w:w="611" w:type="pct"/>
            <w:noWrap/>
            <w:vAlign w:val="bottom"/>
            <w:hideMark/>
          </w:tcPr>
          <w:p w:rsidR="0035741C" w:rsidRDefault="0035741C" w:rsidP="00F92C29">
            <w:pPr>
              <w:pStyle w:val="AERtabletextright"/>
            </w:pPr>
            <w:r>
              <w:t>68.64</w:t>
            </w:r>
          </w:p>
        </w:tc>
        <w:tc>
          <w:tcPr>
            <w:tcW w:w="460" w:type="pct"/>
            <w:noWrap/>
            <w:vAlign w:val="bottom"/>
            <w:hideMark/>
          </w:tcPr>
          <w:p w:rsidR="0035741C" w:rsidRDefault="0035741C" w:rsidP="00F92C29">
            <w:pPr>
              <w:pStyle w:val="AERtabletextright"/>
            </w:pPr>
            <w:r>
              <w:t>153.07</w:t>
            </w:r>
          </w:p>
        </w:tc>
        <w:tc>
          <w:tcPr>
            <w:tcW w:w="623" w:type="pct"/>
            <w:noWrap/>
            <w:vAlign w:val="bottom"/>
            <w:hideMark/>
          </w:tcPr>
          <w:p w:rsidR="0035741C" w:rsidRDefault="0035741C" w:rsidP="00F92C29">
            <w:pPr>
              <w:pStyle w:val="AERtabletextright"/>
            </w:pPr>
            <w:r>
              <w:t>145.70</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685" w:type="pct"/>
            <w:noWrap/>
            <w:hideMark/>
          </w:tcPr>
          <w:p w:rsidR="0035741C" w:rsidRPr="00745089" w:rsidRDefault="0035741C" w:rsidP="007848A6">
            <w:pPr>
              <w:pStyle w:val="AERtabletextleft"/>
            </w:pPr>
            <w:r w:rsidRPr="00745089">
              <w:t>Bracket - Minor &lt;=3m</w:t>
            </w:r>
          </w:p>
        </w:tc>
        <w:tc>
          <w:tcPr>
            <w:tcW w:w="438" w:type="pct"/>
            <w:noWrap/>
            <w:vAlign w:val="bottom"/>
            <w:hideMark/>
          </w:tcPr>
          <w:p w:rsidR="0035741C" w:rsidRDefault="0035741C" w:rsidP="00F92C29">
            <w:pPr>
              <w:pStyle w:val="AERtabletextright"/>
            </w:pPr>
            <w:r>
              <w:t>10.17</w:t>
            </w:r>
          </w:p>
        </w:tc>
        <w:tc>
          <w:tcPr>
            <w:tcW w:w="653" w:type="pct"/>
            <w:noWrap/>
            <w:vAlign w:val="bottom"/>
            <w:hideMark/>
          </w:tcPr>
          <w:p w:rsidR="0035741C" w:rsidRDefault="0035741C" w:rsidP="00F92C29">
            <w:pPr>
              <w:pStyle w:val="AERtabletextright"/>
            </w:pPr>
            <w:r>
              <w:t>9.68</w:t>
            </w:r>
          </w:p>
        </w:tc>
        <w:tc>
          <w:tcPr>
            <w:tcW w:w="530" w:type="pct"/>
            <w:noWrap/>
            <w:vAlign w:val="bottom"/>
            <w:hideMark/>
          </w:tcPr>
          <w:p w:rsidR="0035741C" w:rsidRDefault="0035741C" w:rsidP="00F92C29">
            <w:pPr>
              <w:pStyle w:val="AERtabletextright"/>
            </w:pPr>
            <w:r>
              <w:t>13.31</w:t>
            </w:r>
          </w:p>
        </w:tc>
        <w:tc>
          <w:tcPr>
            <w:tcW w:w="611" w:type="pct"/>
            <w:noWrap/>
            <w:vAlign w:val="bottom"/>
            <w:hideMark/>
          </w:tcPr>
          <w:p w:rsidR="0035741C" w:rsidRDefault="0035741C" w:rsidP="00F92C29">
            <w:pPr>
              <w:pStyle w:val="AERtabletextright"/>
            </w:pPr>
            <w:r>
              <w:t>12.67</w:t>
            </w:r>
          </w:p>
        </w:tc>
        <w:tc>
          <w:tcPr>
            <w:tcW w:w="460" w:type="pct"/>
            <w:noWrap/>
            <w:vAlign w:val="bottom"/>
            <w:hideMark/>
          </w:tcPr>
          <w:p w:rsidR="0035741C" w:rsidRDefault="0035741C" w:rsidP="00F92C29">
            <w:pPr>
              <w:pStyle w:val="AERtabletextright"/>
            </w:pPr>
            <w:r>
              <w:t>23.49</w:t>
            </w:r>
          </w:p>
        </w:tc>
        <w:tc>
          <w:tcPr>
            <w:tcW w:w="623" w:type="pct"/>
            <w:noWrap/>
            <w:vAlign w:val="bottom"/>
            <w:hideMark/>
          </w:tcPr>
          <w:p w:rsidR="0035741C" w:rsidRDefault="0035741C" w:rsidP="00F92C29">
            <w:pPr>
              <w:pStyle w:val="AERtabletextright"/>
            </w:pPr>
            <w:r>
              <w:t>22.35</w:t>
            </w:r>
          </w:p>
        </w:tc>
      </w:tr>
      <w:tr w:rsidR="0035741C" w:rsidRPr="00745089" w:rsidTr="001749C6">
        <w:trPr>
          <w:trHeight w:val="255"/>
        </w:trPr>
        <w:tc>
          <w:tcPr>
            <w:tcW w:w="1685" w:type="pct"/>
            <w:noWrap/>
            <w:hideMark/>
          </w:tcPr>
          <w:p w:rsidR="0035741C" w:rsidRPr="00745089" w:rsidRDefault="0035741C" w:rsidP="007848A6">
            <w:pPr>
              <w:pStyle w:val="AERtabletextleft"/>
            </w:pPr>
            <w:r w:rsidRPr="00745089">
              <w:t>Bracket - Major &gt;3m</w:t>
            </w:r>
          </w:p>
        </w:tc>
        <w:tc>
          <w:tcPr>
            <w:tcW w:w="438" w:type="pct"/>
            <w:noWrap/>
            <w:vAlign w:val="bottom"/>
            <w:hideMark/>
          </w:tcPr>
          <w:p w:rsidR="0035741C" w:rsidRDefault="0035741C" w:rsidP="00F92C29">
            <w:pPr>
              <w:pStyle w:val="AERtabletextright"/>
            </w:pPr>
            <w:r>
              <w:t>61.34</w:t>
            </w:r>
          </w:p>
        </w:tc>
        <w:tc>
          <w:tcPr>
            <w:tcW w:w="653" w:type="pct"/>
            <w:noWrap/>
            <w:vAlign w:val="bottom"/>
            <w:hideMark/>
          </w:tcPr>
          <w:p w:rsidR="0035741C" w:rsidRDefault="0035741C" w:rsidP="00F92C29">
            <w:pPr>
              <w:pStyle w:val="AERtabletextright"/>
            </w:pPr>
            <w:r>
              <w:t>58.39</w:t>
            </w:r>
          </w:p>
        </w:tc>
        <w:tc>
          <w:tcPr>
            <w:tcW w:w="530" w:type="pct"/>
            <w:noWrap/>
            <w:vAlign w:val="bottom"/>
            <w:hideMark/>
          </w:tcPr>
          <w:p w:rsidR="0035741C" w:rsidRDefault="0035741C" w:rsidP="00F92C29">
            <w:pPr>
              <w:pStyle w:val="AERtabletextright"/>
            </w:pPr>
            <w:r>
              <w:t>13.31</w:t>
            </w:r>
          </w:p>
        </w:tc>
        <w:tc>
          <w:tcPr>
            <w:tcW w:w="611" w:type="pct"/>
            <w:noWrap/>
            <w:vAlign w:val="bottom"/>
            <w:hideMark/>
          </w:tcPr>
          <w:p w:rsidR="0035741C" w:rsidRDefault="0035741C" w:rsidP="00F92C29">
            <w:pPr>
              <w:pStyle w:val="AERtabletextright"/>
            </w:pPr>
            <w:r>
              <w:t>12.67</w:t>
            </w:r>
          </w:p>
        </w:tc>
        <w:tc>
          <w:tcPr>
            <w:tcW w:w="460" w:type="pct"/>
            <w:noWrap/>
            <w:vAlign w:val="bottom"/>
            <w:hideMark/>
          </w:tcPr>
          <w:p w:rsidR="0035741C" w:rsidRDefault="0035741C" w:rsidP="00F92C29">
            <w:pPr>
              <w:pStyle w:val="AERtabletextright"/>
            </w:pPr>
            <w:r>
              <w:t>74.66</w:t>
            </w:r>
          </w:p>
        </w:tc>
        <w:tc>
          <w:tcPr>
            <w:tcW w:w="623" w:type="pct"/>
            <w:noWrap/>
            <w:vAlign w:val="bottom"/>
            <w:hideMark/>
          </w:tcPr>
          <w:p w:rsidR="0035741C" w:rsidRDefault="0035741C" w:rsidP="00F92C29">
            <w:pPr>
              <w:pStyle w:val="AERtabletextright"/>
            </w:pPr>
            <w:r>
              <w:t>71.06</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685" w:type="pct"/>
            <w:noWrap/>
            <w:hideMark/>
          </w:tcPr>
          <w:p w:rsidR="0035741C" w:rsidRPr="00745089" w:rsidRDefault="0035741C" w:rsidP="007848A6">
            <w:pPr>
              <w:pStyle w:val="AERtabletextleft"/>
            </w:pPr>
            <w:r w:rsidRPr="00745089">
              <w:t>Outreach - Minor &lt;=2m</w:t>
            </w:r>
          </w:p>
        </w:tc>
        <w:tc>
          <w:tcPr>
            <w:tcW w:w="438" w:type="pct"/>
            <w:noWrap/>
            <w:vAlign w:val="bottom"/>
            <w:hideMark/>
          </w:tcPr>
          <w:p w:rsidR="0035741C" w:rsidRDefault="0035741C" w:rsidP="00F92C29">
            <w:pPr>
              <w:pStyle w:val="AERtabletextright"/>
            </w:pPr>
            <w:r>
              <w:t>12.44</w:t>
            </w:r>
          </w:p>
        </w:tc>
        <w:tc>
          <w:tcPr>
            <w:tcW w:w="653" w:type="pct"/>
            <w:noWrap/>
            <w:vAlign w:val="bottom"/>
            <w:hideMark/>
          </w:tcPr>
          <w:p w:rsidR="0035741C" w:rsidRDefault="0035741C" w:rsidP="00F92C29">
            <w:pPr>
              <w:pStyle w:val="AERtabletextright"/>
            </w:pPr>
            <w:r>
              <w:t>11.84</w:t>
            </w:r>
          </w:p>
        </w:tc>
        <w:tc>
          <w:tcPr>
            <w:tcW w:w="530" w:type="pct"/>
            <w:noWrap/>
            <w:vAlign w:val="bottom"/>
            <w:hideMark/>
          </w:tcPr>
          <w:p w:rsidR="0035741C" w:rsidRDefault="0035741C" w:rsidP="00F92C29">
            <w:pPr>
              <w:pStyle w:val="AERtabletextright"/>
            </w:pPr>
            <w:r>
              <w:t>13.31</w:t>
            </w:r>
          </w:p>
        </w:tc>
        <w:tc>
          <w:tcPr>
            <w:tcW w:w="611" w:type="pct"/>
            <w:noWrap/>
            <w:vAlign w:val="bottom"/>
            <w:hideMark/>
          </w:tcPr>
          <w:p w:rsidR="0035741C" w:rsidRDefault="0035741C" w:rsidP="00F92C29">
            <w:pPr>
              <w:pStyle w:val="AERtabletextright"/>
            </w:pPr>
            <w:r>
              <w:t>12.67</w:t>
            </w:r>
          </w:p>
        </w:tc>
        <w:tc>
          <w:tcPr>
            <w:tcW w:w="460" w:type="pct"/>
            <w:noWrap/>
            <w:vAlign w:val="bottom"/>
            <w:hideMark/>
          </w:tcPr>
          <w:p w:rsidR="0035741C" w:rsidRDefault="0035741C" w:rsidP="00F92C29">
            <w:pPr>
              <w:pStyle w:val="AERtabletextright"/>
            </w:pPr>
            <w:r>
              <w:t>25.75</w:t>
            </w:r>
          </w:p>
        </w:tc>
        <w:tc>
          <w:tcPr>
            <w:tcW w:w="623" w:type="pct"/>
            <w:noWrap/>
            <w:vAlign w:val="bottom"/>
            <w:hideMark/>
          </w:tcPr>
          <w:p w:rsidR="0035741C" w:rsidRDefault="0035741C" w:rsidP="00F92C29">
            <w:pPr>
              <w:pStyle w:val="AERtabletextright"/>
            </w:pPr>
            <w:r>
              <w:t>24.51</w:t>
            </w:r>
          </w:p>
        </w:tc>
      </w:tr>
      <w:tr w:rsidR="0035741C" w:rsidRPr="00745089" w:rsidTr="001749C6">
        <w:trPr>
          <w:trHeight w:val="255"/>
        </w:trPr>
        <w:tc>
          <w:tcPr>
            <w:tcW w:w="1685" w:type="pct"/>
            <w:noWrap/>
            <w:hideMark/>
          </w:tcPr>
          <w:p w:rsidR="0035741C" w:rsidRPr="00745089" w:rsidRDefault="0035741C" w:rsidP="007848A6">
            <w:pPr>
              <w:pStyle w:val="AERtabletextleft"/>
            </w:pPr>
            <w:r w:rsidRPr="00745089">
              <w:t>Outreach - Major &gt;2m</w:t>
            </w:r>
          </w:p>
        </w:tc>
        <w:tc>
          <w:tcPr>
            <w:tcW w:w="438" w:type="pct"/>
            <w:noWrap/>
            <w:vAlign w:val="bottom"/>
            <w:hideMark/>
          </w:tcPr>
          <w:p w:rsidR="0035741C" w:rsidRDefault="0035741C" w:rsidP="00F92C29">
            <w:pPr>
              <w:pStyle w:val="AERtabletextright"/>
            </w:pPr>
            <w:r>
              <w:t>28.33</w:t>
            </w:r>
          </w:p>
        </w:tc>
        <w:tc>
          <w:tcPr>
            <w:tcW w:w="653" w:type="pct"/>
            <w:noWrap/>
            <w:vAlign w:val="bottom"/>
            <w:hideMark/>
          </w:tcPr>
          <w:p w:rsidR="0035741C" w:rsidRDefault="0035741C" w:rsidP="00F92C29">
            <w:pPr>
              <w:pStyle w:val="AERtabletextright"/>
            </w:pPr>
            <w:r>
              <w:t>26.96</w:t>
            </w:r>
          </w:p>
        </w:tc>
        <w:tc>
          <w:tcPr>
            <w:tcW w:w="530" w:type="pct"/>
            <w:noWrap/>
            <w:vAlign w:val="bottom"/>
            <w:hideMark/>
          </w:tcPr>
          <w:p w:rsidR="0035741C" w:rsidRDefault="0035741C" w:rsidP="00F92C29">
            <w:pPr>
              <w:pStyle w:val="AERtabletextright"/>
            </w:pPr>
            <w:r>
              <w:t>13.31</w:t>
            </w:r>
          </w:p>
        </w:tc>
        <w:tc>
          <w:tcPr>
            <w:tcW w:w="611" w:type="pct"/>
            <w:noWrap/>
            <w:vAlign w:val="bottom"/>
            <w:hideMark/>
          </w:tcPr>
          <w:p w:rsidR="0035741C" w:rsidRDefault="0035741C" w:rsidP="00F92C29">
            <w:pPr>
              <w:pStyle w:val="AERtabletextright"/>
            </w:pPr>
            <w:r>
              <w:t>12.67</w:t>
            </w:r>
          </w:p>
        </w:tc>
        <w:tc>
          <w:tcPr>
            <w:tcW w:w="460" w:type="pct"/>
            <w:noWrap/>
            <w:vAlign w:val="bottom"/>
            <w:hideMark/>
          </w:tcPr>
          <w:p w:rsidR="0035741C" w:rsidRDefault="0035741C" w:rsidP="00F92C29">
            <w:pPr>
              <w:pStyle w:val="AERtabletextright"/>
            </w:pPr>
            <w:r>
              <w:t>41.64</w:t>
            </w:r>
          </w:p>
        </w:tc>
        <w:tc>
          <w:tcPr>
            <w:tcW w:w="623" w:type="pct"/>
            <w:noWrap/>
            <w:vAlign w:val="bottom"/>
            <w:hideMark/>
          </w:tcPr>
          <w:p w:rsidR="0035741C" w:rsidRDefault="0035741C" w:rsidP="00F92C29">
            <w:pPr>
              <w:pStyle w:val="AERtabletextright"/>
            </w:pPr>
            <w:r>
              <w:t>39.63</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685" w:type="pct"/>
            <w:noWrap/>
            <w:hideMark/>
          </w:tcPr>
          <w:p w:rsidR="0035741C" w:rsidRPr="00745089" w:rsidRDefault="0035741C" w:rsidP="007848A6">
            <w:pPr>
              <w:pStyle w:val="AERtabletextleft"/>
            </w:pPr>
            <w:r w:rsidRPr="00745089">
              <w:t>Pole (Wood) - Minor - DEDICATED SL &lt;=11m</w:t>
            </w:r>
          </w:p>
        </w:tc>
        <w:tc>
          <w:tcPr>
            <w:tcW w:w="438" w:type="pct"/>
            <w:noWrap/>
            <w:vAlign w:val="bottom"/>
            <w:hideMark/>
          </w:tcPr>
          <w:p w:rsidR="0035741C" w:rsidRDefault="0035741C" w:rsidP="00F92C29">
            <w:pPr>
              <w:pStyle w:val="AERtabletextright"/>
            </w:pPr>
            <w:r>
              <w:t>88.99</w:t>
            </w:r>
          </w:p>
        </w:tc>
        <w:tc>
          <w:tcPr>
            <w:tcW w:w="653" w:type="pct"/>
            <w:noWrap/>
            <w:vAlign w:val="bottom"/>
            <w:hideMark/>
          </w:tcPr>
          <w:p w:rsidR="0035741C" w:rsidRDefault="0035741C" w:rsidP="00F92C29">
            <w:pPr>
              <w:pStyle w:val="AERtabletextright"/>
            </w:pPr>
            <w:r>
              <w:t>84.70</w:t>
            </w:r>
          </w:p>
        </w:tc>
        <w:tc>
          <w:tcPr>
            <w:tcW w:w="530" w:type="pct"/>
            <w:noWrap/>
            <w:vAlign w:val="bottom"/>
            <w:hideMark/>
          </w:tcPr>
          <w:p w:rsidR="0035741C" w:rsidRDefault="0035741C" w:rsidP="00F92C29">
            <w:pPr>
              <w:pStyle w:val="AERtabletextright"/>
            </w:pPr>
            <w:r>
              <w:t>13.97</w:t>
            </w:r>
          </w:p>
        </w:tc>
        <w:tc>
          <w:tcPr>
            <w:tcW w:w="611" w:type="pct"/>
            <w:noWrap/>
            <w:vAlign w:val="bottom"/>
            <w:hideMark/>
          </w:tcPr>
          <w:p w:rsidR="0035741C" w:rsidRDefault="0035741C" w:rsidP="00F92C29">
            <w:pPr>
              <w:pStyle w:val="AERtabletextright"/>
            </w:pPr>
            <w:r>
              <w:t>13.30</w:t>
            </w:r>
          </w:p>
        </w:tc>
        <w:tc>
          <w:tcPr>
            <w:tcW w:w="460" w:type="pct"/>
            <w:noWrap/>
            <w:vAlign w:val="bottom"/>
            <w:hideMark/>
          </w:tcPr>
          <w:p w:rsidR="0035741C" w:rsidRDefault="0035741C" w:rsidP="00F92C29">
            <w:pPr>
              <w:pStyle w:val="AERtabletextright"/>
            </w:pPr>
            <w:r>
              <w:t>102.95</w:t>
            </w:r>
          </w:p>
        </w:tc>
        <w:tc>
          <w:tcPr>
            <w:tcW w:w="623" w:type="pct"/>
            <w:noWrap/>
            <w:vAlign w:val="bottom"/>
            <w:hideMark/>
          </w:tcPr>
          <w:p w:rsidR="0035741C" w:rsidRDefault="0035741C" w:rsidP="00F92C29">
            <w:pPr>
              <w:pStyle w:val="AERtabletextright"/>
            </w:pPr>
            <w:r>
              <w:t>97.99</w:t>
            </w:r>
          </w:p>
        </w:tc>
      </w:tr>
      <w:tr w:rsidR="0035741C" w:rsidRPr="00745089" w:rsidTr="001749C6">
        <w:trPr>
          <w:trHeight w:val="255"/>
        </w:trPr>
        <w:tc>
          <w:tcPr>
            <w:tcW w:w="1685" w:type="pct"/>
            <w:noWrap/>
            <w:hideMark/>
          </w:tcPr>
          <w:p w:rsidR="0035741C" w:rsidRPr="00745089" w:rsidRDefault="0035741C" w:rsidP="007848A6">
            <w:pPr>
              <w:pStyle w:val="AERtabletextleft"/>
            </w:pPr>
            <w:r w:rsidRPr="00745089">
              <w:t>Pole (Wood) - Major - DEDICATED SL &gt;11m</w:t>
            </w:r>
          </w:p>
        </w:tc>
        <w:tc>
          <w:tcPr>
            <w:tcW w:w="438" w:type="pct"/>
            <w:noWrap/>
            <w:vAlign w:val="bottom"/>
            <w:hideMark/>
          </w:tcPr>
          <w:p w:rsidR="0035741C" w:rsidRDefault="0035741C" w:rsidP="00F92C29">
            <w:pPr>
              <w:pStyle w:val="AERtabletextright"/>
            </w:pPr>
            <w:r>
              <w:t>172.70</w:t>
            </w:r>
          </w:p>
        </w:tc>
        <w:tc>
          <w:tcPr>
            <w:tcW w:w="653" w:type="pct"/>
            <w:noWrap/>
            <w:vAlign w:val="bottom"/>
            <w:hideMark/>
          </w:tcPr>
          <w:p w:rsidR="0035741C" w:rsidRDefault="0035741C" w:rsidP="00F92C29">
            <w:pPr>
              <w:pStyle w:val="AERtabletextright"/>
            </w:pPr>
            <w:r>
              <w:t>164.38</w:t>
            </w:r>
          </w:p>
        </w:tc>
        <w:tc>
          <w:tcPr>
            <w:tcW w:w="530" w:type="pct"/>
            <w:noWrap/>
            <w:vAlign w:val="bottom"/>
            <w:hideMark/>
          </w:tcPr>
          <w:p w:rsidR="0035741C" w:rsidRDefault="0035741C" w:rsidP="00F92C29">
            <w:pPr>
              <w:pStyle w:val="AERtabletextright"/>
            </w:pPr>
            <w:r>
              <w:t>13.97</w:t>
            </w:r>
          </w:p>
        </w:tc>
        <w:tc>
          <w:tcPr>
            <w:tcW w:w="611" w:type="pct"/>
            <w:noWrap/>
            <w:vAlign w:val="bottom"/>
            <w:hideMark/>
          </w:tcPr>
          <w:p w:rsidR="0035741C" w:rsidRDefault="0035741C" w:rsidP="00F92C29">
            <w:pPr>
              <w:pStyle w:val="AERtabletextright"/>
            </w:pPr>
            <w:r>
              <w:t>13.30</w:t>
            </w:r>
          </w:p>
        </w:tc>
        <w:tc>
          <w:tcPr>
            <w:tcW w:w="460" w:type="pct"/>
            <w:noWrap/>
            <w:vAlign w:val="bottom"/>
            <w:hideMark/>
          </w:tcPr>
          <w:p w:rsidR="0035741C" w:rsidRDefault="0035741C" w:rsidP="00F92C29">
            <w:pPr>
              <w:pStyle w:val="AERtabletextright"/>
            </w:pPr>
            <w:r>
              <w:t>186.67</w:t>
            </w:r>
          </w:p>
        </w:tc>
        <w:tc>
          <w:tcPr>
            <w:tcW w:w="623" w:type="pct"/>
            <w:noWrap/>
            <w:vAlign w:val="bottom"/>
            <w:hideMark/>
          </w:tcPr>
          <w:p w:rsidR="0035741C" w:rsidRDefault="0035741C" w:rsidP="00F92C29">
            <w:pPr>
              <w:pStyle w:val="AERtabletextright"/>
            </w:pPr>
            <w:r>
              <w:t>177.67</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tcW w:w="1685" w:type="pct"/>
            <w:noWrap/>
            <w:hideMark/>
          </w:tcPr>
          <w:p w:rsidR="0035741C" w:rsidRPr="00745089" w:rsidRDefault="0035741C" w:rsidP="007848A6">
            <w:pPr>
              <w:pStyle w:val="AERtabletextleft"/>
            </w:pPr>
            <w:r w:rsidRPr="00745089">
              <w:t>Column (Steel) - Minor &lt;=9m</w:t>
            </w:r>
          </w:p>
        </w:tc>
        <w:tc>
          <w:tcPr>
            <w:tcW w:w="438" w:type="pct"/>
            <w:noWrap/>
            <w:vAlign w:val="bottom"/>
            <w:hideMark/>
          </w:tcPr>
          <w:p w:rsidR="0035741C" w:rsidRDefault="0035741C" w:rsidP="00F92C29">
            <w:pPr>
              <w:pStyle w:val="AERtabletextright"/>
            </w:pPr>
            <w:r>
              <w:t>295.71</w:t>
            </w:r>
          </w:p>
        </w:tc>
        <w:tc>
          <w:tcPr>
            <w:tcW w:w="653" w:type="pct"/>
            <w:noWrap/>
            <w:vAlign w:val="bottom"/>
            <w:hideMark/>
          </w:tcPr>
          <w:p w:rsidR="0035741C" w:rsidRDefault="0035741C" w:rsidP="00F92C29">
            <w:pPr>
              <w:pStyle w:val="AERtabletextright"/>
            </w:pPr>
            <w:r>
              <w:t>281.46</w:t>
            </w:r>
          </w:p>
        </w:tc>
        <w:tc>
          <w:tcPr>
            <w:tcW w:w="530" w:type="pct"/>
            <w:noWrap/>
            <w:vAlign w:val="bottom"/>
            <w:hideMark/>
          </w:tcPr>
          <w:p w:rsidR="0035741C" w:rsidRDefault="0035741C" w:rsidP="00F92C29">
            <w:pPr>
              <w:pStyle w:val="AERtabletextright"/>
            </w:pPr>
            <w:r>
              <w:t>13.97</w:t>
            </w:r>
          </w:p>
        </w:tc>
        <w:tc>
          <w:tcPr>
            <w:tcW w:w="611" w:type="pct"/>
            <w:noWrap/>
            <w:vAlign w:val="bottom"/>
            <w:hideMark/>
          </w:tcPr>
          <w:p w:rsidR="0035741C" w:rsidRDefault="0035741C" w:rsidP="00F92C29">
            <w:pPr>
              <w:pStyle w:val="AERtabletextright"/>
            </w:pPr>
            <w:r>
              <w:t>13.30</w:t>
            </w:r>
          </w:p>
        </w:tc>
        <w:tc>
          <w:tcPr>
            <w:tcW w:w="460" w:type="pct"/>
            <w:noWrap/>
            <w:vAlign w:val="bottom"/>
            <w:hideMark/>
          </w:tcPr>
          <w:p w:rsidR="0035741C" w:rsidRDefault="0035741C" w:rsidP="00F92C29">
            <w:pPr>
              <w:pStyle w:val="AERtabletextright"/>
            </w:pPr>
            <w:r>
              <w:t>309.68</w:t>
            </w:r>
          </w:p>
        </w:tc>
        <w:tc>
          <w:tcPr>
            <w:tcW w:w="623" w:type="pct"/>
            <w:noWrap/>
            <w:vAlign w:val="bottom"/>
            <w:hideMark/>
          </w:tcPr>
          <w:p w:rsidR="0035741C" w:rsidRDefault="0035741C" w:rsidP="00F92C29">
            <w:pPr>
              <w:pStyle w:val="AERtabletextright"/>
            </w:pPr>
            <w:r>
              <w:t>294.76</w:t>
            </w:r>
          </w:p>
        </w:tc>
      </w:tr>
      <w:tr w:rsidR="0035741C" w:rsidRPr="00745089" w:rsidTr="001749C6">
        <w:trPr>
          <w:trHeight w:val="255"/>
        </w:trPr>
        <w:tc>
          <w:tcPr>
            <w:tcW w:w="1685" w:type="pct"/>
            <w:noWrap/>
            <w:hideMark/>
          </w:tcPr>
          <w:p w:rsidR="0035741C" w:rsidRPr="00745089" w:rsidRDefault="0035741C" w:rsidP="007848A6">
            <w:pPr>
              <w:pStyle w:val="AERtabletextleft"/>
            </w:pPr>
            <w:r w:rsidRPr="00745089">
              <w:t>Column (Steel) - Major &gt;9m</w:t>
            </w:r>
          </w:p>
        </w:tc>
        <w:tc>
          <w:tcPr>
            <w:tcW w:w="438" w:type="pct"/>
            <w:noWrap/>
            <w:vAlign w:val="bottom"/>
            <w:hideMark/>
          </w:tcPr>
          <w:p w:rsidR="0035741C" w:rsidRDefault="0035741C" w:rsidP="00F92C29">
            <w:pPr>
              <w:pStyle w:val="AERtabletextright"/>
            </w:pPr>
            <w:r>
              <w:t>620.54</w:t>
            </w:r>
          </w:p>
        </w:tc>
        <w:tc>
          <w:tcPr>
            <w:tcW w:w="653" w:type="pct"/>
            <w:noWrap/>
            <w:vAlign w:val="bottom"/>
            <w:hideMark/>
          </w:tcPr>
          <w:p w:rsidR="0035741C" w:rsidRDefault="0035741C" w:rsidP="00F92C29">
            <w:pPr>
              <w:pStyle w:val="AERtabletextright"/>
            </w:pPr>
            <w:r>
              <w:t>590.64</w:t>
            </w:r>
          </w:p>
        </w:tc>
        <w:tc>
          <w:tcPr>
            <w:tcW w:w="530" w:type="pct"/>
            <w:noWrap/>
            <w:vAlign w:val="bottom"/>
            <w:hideMark/>
          </w:tcPr>
          <w:p w:rsidR="0035741C" w:rsidRDefault="0035741C" w:rsidP="00F92C29">
            <w:pPr>
              <w:pStyle w:val="AERtabletextright"/>
            </w:pPr>
            <w:r>
              <w:t>13.97</w:t>
            </w:r>
          </w:p>
        </w:tc>
        <w:tc>
          <w:tcPr>
            <w:tcW w:w="611" w:type="pct"/>
            <w:noWrap/>
            <w:vAlign w:val="bottom"/>
            <w:hideMark/>
          </w:tcPr>
          <w:p w:rsidR="0035741C" w:rsidRDefault="0035741C" w:rsidP="00F92C29">
            <w:pPr>
              <w:pStyle w:val="AERtabletextright"/>
            </w:pPr>
            <w:r>
              <w:t>13.30</w:t>
            </w:r>
          </w:p>
        </w:tc>
        <w:tc>
          <w:tcPr>
            <w:tcW w:w="460" w:type="pct"/>
            <w:noWrap/>
            <w:vAlign w:val="bottom"/>
            <w:hideMark/>
          </w:tcPr>
          <w:p w:rsidR="0035741C" w:rsidRDefault="0035741C" w:rsidP="00F92C29">
            <w:pPr>
              <w:pStyle w:val="AERtabletextright"/>
            </w:pPr>
            <w:r>
              <w:t>634.51</w:t>
            </w:r>
          </w:p>
        </w:tc>
        <w:tc>
          <w:tcPr>
            <w:tcW w:w="623" w:type="pct"/>
            <w:noWrap/>
            <w:vAlign w:val="bottom"/>
            <w:hideMark/>
          </w:tcPr>
          <w:p w:rsidR="0035741C" w:rsidRDefault="0035741C" w:rsidP="00F92C29">
            <w:pPr>
              <w:pStyle w:val="AERtabletextright"/>
            </w:pPr>
            <w:r>
              <w:t>603.94</w:t>
            </w:r>
          </w:p>
        </w:tc>
      </w:tr>
    </w:tbl>
    <w:p w:rsidR="00736A34" w:rsidRDefault="00736A34" w:rsidP="0069721B">
      <w:pPr>
        <w:pStyle w:val="AERtablesource"/>
      </w:pPr>
      <w:r>
        <w:t xml:space="preserve">Source: </w:t>
      </w:r>
      <w:r w:rsidR="00B40D1D">
        <w:t>AER analysis.</w:t>
      </w:r>
    </w:p>
    <w:p w:rsidR="0035741C" w:rsidRDefault="0035741C" w:rsidP="0035741C"/>
    <w:tbl>
      <w:tblPr>
        <w:tblStyle w:val="AERtable-numbers"/>
        <w:tblW w:w="5000" w:type="pct"/>
        <w:tblLook w:val="04A0" w:firstRow="1" w:lastRow="0" w:firstColumn="1" w:lastColumn="0" w:noHBand="0" w:noVBand="1"/>
      </w:tblPr>
      <w:tblGrid>
        <w:gridCol w:w="4853"/>
        <w:gridCol w:w="1250"/>
        <w:gridCol w:w="1721"/>
        <w:gridCol w:w="1250"/>
        <w:gridCol w:w="1721"/>
        <w:gridCol w:w="1658"/>
        <w:gridCol w:w="1721"/>
      </w:tblGrid>
      <w:tr w:rsidR="0035741C" w:rsidRPr="00745089" w:rsidTr="001749C6">
        <w:trPr>
          <w:cnfStyle w:val="100000000000" w:firstRow="1" w:lastRow="0" w:firstColumn="0" w:lastColumn="0" w:oddVBand="0" w:evenVBand="0" w:oddHBand="0"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 xml:space="preserve">Tariff Class 4 </w:t>
            </w:r>
          </w:p>
        </w:tc>
        <w:tc>
          <w:tcPr>
            <w:tcW w:w="1048" w:type="pct"/>
            <w:gridSpan w:val="2"/>
            <w:noWrap/>
            <w:hideMark/>
          </w:tcPr>
          <w:p w:rsidR="0035741C" w:rsidRPr="00745089" w:rsidRDefault="0035741C" w:rsidP="00F92C29">
            <w:pPr>
              <w:pStyle w:val="AERtabletextright"/>
              <w:cnfStyle w:val="100000000000" w:firstRow="1" w:lastRow="0" w:firstColumn="0" w:lastColumn="0" w:oddVBand="0" w:evenVBand="0" w:oddHBand="0" w:evenHBand="0" w:firstRowFirstColumn="0" w:firstRowLastColumn="0" w:lastRowFirstColumn="0" w:lastRowLastColumn="0"/>
            </w:pPr>
            <w:r w:rsidRPr="00745089">
              <w:t>Asset Value</w:t>
            </w:r>
          </w:p>
        </w:tc>
        <w:tc>
          <w:tcPr>
            <w:tcW w:w="1048" w:type="pct"/>
            <w:gridSpan w:val="2"/>
            <w:noWrap/>
            <w:hideMark/>
          </w:tcPr>
          <w:p w:rsidR="0035741C" w:rsidRPr="00745089" w:rsidRDefault="0035741C" w:rsidP="00F92C29">
            <w:pPr>
              <w:pStyle w:val="AERtabletextright"/>
              <w:cnfStyle w:val="100000000000" w:firstRow="1" w:lastRow="0" w:firstColumn="0" w:lastColumn="0" w:oddVBand="0" w:evenVBand="0" w:oddHBand="0" w:evenHBand="0" w:firstRowFirstColumn="0" w:firstRowLastColumn="0" w:lastRowFirstColumn="0" w:lastRowLastColumn="0"/>
            </w:pPr>
            <w:r w:rsidRPr="00745089">
              <w:t>Maintenance</w:t>
            </w:r>
          </w:p>
        </w:tc>
        <w:tc>
          <w:tcPr>
            <w:tcW w:w="1192" w:type="pct"/>
            <w:gridSpan w:val="2"/>
            <w:noWrap/>
            <w:hideMark/>
          </w:tcPr>
          <w:p w:rsidR="0035741C" w:rsidRPr="00745089" w:rsidRDefault="0035741C" w:rsidP="00F92C29">
            <w:pPr>
              <w:pStyle w:val="AERtabletextright"/>
              <w:cnfStyle w:val="100000000000" w:firstRow="1" w:lastRow="0" w:firstColumn="0" w:lastColumn="0" w:oddVBand="0" w:evenVBand="0" w:oddHBand="0" w:evenHBand="0" w:firstRowFirstColumn="0" w:firstRowLastColumn="0" w:lastRowFirstColumn="0" w:lastRowLastColumn="0"/>
            </w:pPr>
            <w:r w:rsidRPr="00745089">
              <w:t>Total Tariff</w:t>
            </w:r>
          </w:p>
        </w:tc>
      </w:tr>
      <w:tr w:rsidR="0035741C" w:rsidRPr="00745089" w:rsidTr="001749C6">
        <w:trPr>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Type</w:t>
            </w:r>
          </w:p>
        </w:tc>
        <w:tc>
          <w:tcPr>
            <w:tcW w:w="441" w:type="pct"/>
            <w:noWrap/>
            <w:hideMark/>
          </w:tcPr>
          <w:p w:rsidR="0035741C" w:rsidRPr="00745089"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rsidRPr="00745089">
              <w:t>Proposed</w:t>
            </w:r>
          </w:p>
        </w:tc>
        <w:tc>
          <w:tcPr>
            <w:tcW w:w="607" w:type="pct"/>
            <w:noWrap/>
            <w:hideMark/>
          </w:tcPr>
          <w:p w:rsidR="0035741C" w:rsidRPr="00745089"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rsidRPr="00745089">
              <w:t>Draft decision</w:t>
            </w:r>
          </w:p>
        </w:tc>
        <w:tc>
          <w:tcPr>
            <w:tcW w:w="441" w:type="pct"/>
            <w:noWrap/>
            <w:hideMark/>
          </w:tcPr>
          <w:p w:rsidR="0035741C" w:rsidRPr="00745089"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rsidRPr="00745089">
              <w:t>Proposed</w:t>
            </w:r>
          </w:p>
        </w:tc>
        <w:tc>
          <w:tcPr>
            <w:tcW w:w="607" w:type="pct"/>
            <w:noWrap/>
            <w:hideMark/>
          </w:tcPr>
          <w:p w:rsidR="0035741C" w:rsidRPr="00745089"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rsidRPr="00745089">
              <w:t>Draft decision</w:t>
            </w:r>
          </w:p>
        </w:tc>
        <w:tc>
          <w:tcPr>
            <w:tcW w:w="585" w:type="pct"/>
            <w:noWrap/>
            <w:hideMark/>
          </w:tcPr>
          <w:p w:rsidR="0035741C" w:rsidRPr="00745089"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rsidRPr="00745089">
              <w:t>Proposed</w:t>
            </w:r>
          </w:p>
        </w:tc>
        <w:tc>
          <w:tcPr>
            <w:tcW w:w="607" w:type="pct"/>
            <w:noWrap/>
            <w:hideMark/>
          </w:tcPr>
          <w:p w:rsidR="0035741C" w:rsidRPr="00745089"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rsidRPr="00745089">
              <w:t>Draft decision</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 xml:space="preserve">2x14W Energy Efficient </w:t>
            </w:r>
            <w:proofErr w:type="spellStart"/>
            <w:r w:rsidRPr="00745089">
              <w:t>Fluro</w:t>
            </w:r>
            <w:proofErr w:type="spellEnd"/>
            <w:r w:rsidRPr="00745089">
              <w:t xml:space="preserve"> - STD</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8.60</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7.25</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55.04</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52.39</w:t>
            </w:r>
          </w:p>
        </w:tc>
        <w:tc>
          <w:tcPr>
            <w:tcW w:w="585"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63.64</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59.64</w:t>
            </w:r>
          </w:p>
        </w:tc>
      </w:tr>
      <w:tr w:rsidR="0035741C" w:rsidRPr="00745089" w:rsidTr="001749C6">
        <w:trPr>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 xml:space="preserve">2x24W Energy Efficient </w:t>
            </w:r>
            <w:proofErr w:type="spellStart"/>
            <w:r w:rsidRPr="00745089">
              <w:t>Fluro</w:t>
            </w:r>
            <w:proofErr w:type="spellEnd"/>
            <w:r w:rsidRPr="00745089">
              <w:t xml:space="preserve"> - STD</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9.12</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7.68</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56.61</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53.88</w:t>
            </w:r>
          </w:p>
        </w:tc>
        <w:tc>
          <w:tcPr>
            <w:tcW w:w="585"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65.73</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61.56</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1x42W Compact Fluorescent - STD</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7.40</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6.24</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55.06</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52.41</w:t>
            </w:r>
          </w:p>
        </w:tc>
        <w:tc>
          <w:tcPr>
            <w:tcW w:w="585"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62.46</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58.64</w:t>
            </w:r>
          </w:p>
        </w:tc>
      </w:tr>
      <w:tr w:rsidR="0035741C" w:rsidRPr="00745089" w:rsidTr="001749C6">
        <w:trPr>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50W Mercury - STANDARD</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6.60</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5.56</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54.03</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51.43</w:t>
            </w:r>
          </w:p>
        </w:tc>
        <w:tc>
          <w:tcPr>
            <w:tcW w:w="585"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60.63</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56.99</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80W Mercury - STANDARD</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5.95</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5.02</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54.60</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51.97</w:t>
            </w:r>
          </w:p>
        </w:tc>
        <w:tc>
          <w:tcPr>
            <w:tcW w:w="585"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60.55</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56.98</w:t>
            </w:r>
          </w:p>
        </w:tc>
      </w:tr>
      <w:tr w:rsidR="0035741C" w:rsidRPr="00745089" w:rsidTr="001749C6">
        <w:trPr>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70W Sodium - STANDARD</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6.87</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5.79</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55.72</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53.03</w:t>
            </w:r>
          </w:p>
        </w:tc>
        <w:tc>
          <w:tcPr>
            <w:tcW w:w="585"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62.59</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58.82</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100W Sodium - STANDARD</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7.91</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6.66</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56.55</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53.83</w:t>
            </w:r>
          </w:p>
        </w:tc>
        <w:tc>
          <w:tcPr>
            <w:tcW w:w="585"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64.46</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60.49</w:t>
            </w:r>
          </w:p>
        </w:tc>
      </w:tr>
      <w:tr w:rsidR="0035741C" w:rsidRPr="00745089" w:rsidTr="001749C6">
        <w:trPr>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100W Metal Halide - STANDARD</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8.22</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6.93</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64.29</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61.20</w:t>
            </w:r>
          </w:p>
        </w:tc>
        <w:tc>
          <w:tcPr>
            <w:tcW w:w="585"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72.52</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68.13</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25W LED</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9.31</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8.01</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53.77</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51.18</w:t>
            </w:r>
          </w:p>
        </w:tc>
        <w:tc>
          <w:tcPr>
            <w:tcW w:w="585"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63.08</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59.19</w:t>
            </w:r>
          </w:p>
        </w:tc>
      </w:tr>
      <w:tr w:rsidR="0035741C" w:rsidRPr="00745089" w:rsidTr="001749C6">
        <w:trPr>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Suburban 70W HPS c/w D2 PECB - STD</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6.09</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5.13</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53.26</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50.69</w:t>
            </w:r>
          </w:p>
        </w:tc>
        <w:tc>
          <w:tcPr>
            <w:tcW w:w="585"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59.35</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55.82</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150W Sodium - STANDARD</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8.50</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7.16</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55.51</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52.84</w:t>
            </w:r>
          </w:p>
        </w:tc>
        <w:tc>
          <w:tcPr>
            <w:tcW w:w="585"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64.01</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60.00</w:t>
            </w:r>
          </w:p>
        </w:tc>
      </w:tr>
      <w:tr w:rsidR="0035741C" w:rsidRPr="00745089" w:rsidTr="001749C6">
        <w:trPr>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150W Metal Halide - STANDARD</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9.25</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7.80</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53.26</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50.69</w:t>
            </w:r>
          </w:p>
        </w:tc>
        <w:tc>
          <w:tcPr>
            <w:tcW w:w="585"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62.51</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58.49</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250W Sodium - STANDARD</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8.62</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7.26</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55.79</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53.11</w:t>
            </w:r>
          </w:p>
        </w:tc>
        <w:tc>
          <w:tcPr>
            <w:tcW w:w="585"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64.41</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60.37</w:t>
            </w:r>
          </w:p>
        </w:tc>
      </w:tr>
      <w:tr w:rsidR="0035741C" w:rsidRPr="00745089" w:rsidTr="001749C6">
        <w:trPr>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250W Metal Halide - STANDARD</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8.75</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7.38</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59.44</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56.58</w:t>
            </w:r>
          </w:p>
        </w:tc>
        <w:tc>
          <w:tcPr>
            <w:tcW w:w="585"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68.19</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63.95</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400W Sodium - STANDARD</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9.27</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7.82</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56.07</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53.36</w:t>
            </w:r>
          </w:p>
        </w:tc>
        <w:tc>
          <w:tcPr>
            <w:tcW w:w="585"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65.34</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61.18</w:t>
            </w:r>
          </w:p>
        </w:tc>
      </w:tr>
      <w:tr w:rsidR="0035741C" w:rsidRPr="00745089" w:rsidTr="001749C6">
        <w:trPr>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80W Mercury - AEROSCREEN</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6.92</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5.83</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54.60</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51.97</w:t>
            </w:r>
          </w:p>
        </w:tc>
        <w:tc>
          <w:tcPr>
            <w:tcW w:w="585"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61.52</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57.80</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Urban A/Screen 42W CFL c/w D2 PECB</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8.98</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7.56</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55.06</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52.41</w:t>
            </w:r>
          </w:p>
        </w:tc>
        <w:tc>
          <w:tcPr>
            <w:tcW w:w="585"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64.04</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59.97</w:t>
            </w:r>
          </w:p>
        </w:tc>
      </w:tr>
      <w:tr w:rsidR="0035741C" w:rsidRPr="00745089" w:rsidTr="001749C6">
        <w:trPr>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150W Sodium - AEROSCREEN</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9.11</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7.68</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55.51</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52.84</w:t>
            </w:r>
          </w:p>
        </w:tc>
        <w:tc>
          <w:tcPr>
            <w:tcW w:w="585"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64.62</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60.51</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150W Metal Halide - AEROSCREEN</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9.87</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8.32</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72.12</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68.64</w:t>
            </w:r>
          </w:p>
        </w:tc>
        <w:tc>
          <w:tcPr>
            <w:tcW w:w="585"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81.98</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76.96</w:t>
            </w:r>
          </w:p>
        </w:tc>
      </w:tr>
      <w:tr w:rsidR="0035741C" w:rsidRPr="00745089" w:rsidTr="001749C6">
        <w:trPr>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250W Sodium (w/o PECB) - AEROSCREEN</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9.11</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7.68</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55.79</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53.11</w:t>
            </w:r>
          </w:p>
        </w:tc>
        <w:tc>
          <w:tcPr>
            <w:tcW w:w="585"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64.90</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60.78</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250W Metal Halide - AEROSCREEN</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9.24</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7.79</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59.44</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56.58</w:t>
            </w:r>
          </w:p>
        </w:tc>
        <w:tc>
          <w:tcPr>
            <w:tcW w:w="585"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68.68</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64.37</w:t>
            </w:r>
          </w:p>
        </w:tc>
      </w:tr>
      <w:tr w:rsidR="0035741C" w:rsidRPr="00745089" w:rsidTr="001749C6">
        <w:trPr>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400W Sodium - AEROSCREEN</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9.81</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8.27</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56.07</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53.36</w:t>
            </w:r>
          </w:p>
        </w:tc>
        <w:tc>
          <w:tcPr>
            <w:tcW w:w="585"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65.87</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61.63</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400W Metal Halide - AEROSCREEN</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9.93</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8.36</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59.44</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56.58</w:t>
            </w:r>
          </w:p>
        </w:tc>
        <w:tc>
          <w:tcPr>
            <w:tcW w:w="585"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69.37</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64.94</w:t>
            </w:r>
          </w:p>
        </w:tc>
      </w:tr>
      <w:tr w:rsidR="0035741C" w:rsidRPr="00745089" w:rsidTr="001749C6">
        <w:trPr>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Roadster A/Screen 100W HPS c/w PECB</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8.42</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7.09</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56.55</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53.83</w:t>
            </w:r>
          </w:p>
        </w:tc>
        <w:tc>
          <w:tcPr>
            <w:tcW w:w="585"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64.97</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60.92</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80W Mercury - POST TOP</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8.18</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6.89</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54.60</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51.97</w:t>
            </w:r>
          </w:p>
        </w:tc>
        <w:tc>
          <w:tcPr>
            <w:tcW w:w="585"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62.77</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58.86</w:t>
            </w:r>
          </w:p>
        </w:tc>
      </w:tr>
      <w:tr w:rsidR="0035741C" w:rsidRPr="00745089" w:rsidTr="001749C6">
        <w:trPr>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B2001 42WCFL c/w D2 PECB green - PT</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13.07</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11.01</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53.26</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50.69</w:t>
            </w:r>
          </w:p>
        </w:tc>
        <w:tc>
          <w:tcPr>
            <w:tcW w:w="585"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66.32</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61.70</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250W Sodium - FLOODLIGHT</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12.42</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10.47</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55.79</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53.11</w:t>
            </w:r>
          </w:p>
        </w:tc>
        <w:tc>
          <w:tcPr>
            <w:tcW w:w="585"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68.22</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63.58</w:t>
            </w:r>
          </w:p>
        </w:tc>
      </w:tr>
      <w:tr w:rsidR="0035741C" w:rsidRPr="00745089" w:rsidTr="001749C6">
        <w:trPr>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250W Metal Halide - FLOODLIGHT</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12.56</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10.58</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59.44</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56.58</w:t>
            </w:r>
          </w:p>
        </w:tc>
        <w:tc>
          <w:tcPr>
            <w:tcW w:w="585"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72.00</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67.16</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400W Sodium - FLOODLIGHT</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12.88</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10.85</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56.07</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53.36</w:t>
            </w:r>
          </w:p>
        </w:tc>
        <w:tc>
          <w:tcPr>
            <w:tcW w:w="585"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68.94</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64.21</w:t>
            </w:r>
          </w:p>
        </w:tc>
      </w:tr>
      <w:tr w:rsidR="0035741C" w:rsidRPr="00745089" w:rsidTr="001749C6">
        <w:trPr>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400W Metal Halide - FLOODLIGHT</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12.99</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10.95</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59.44</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56.58</w:t>
            </w:r>
          </w:p>
        </w:tc>
        <w:tc>
          <w:tcPr>
            <w:tcW w:w="585"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72.43</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67.53</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150W Sodium - FLOODLIGHT</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12.31</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10.37</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55.51</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52.84</w:t>
            </w:r>
          </w:p>
        </w:tc>
        <w:tc>
          <w:tcPr>
            <w:tcW w:w="585"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67.82</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63.21</w:t>
            </w:r>
          </w:p>
        </w:tc>
      </w:tr>
      <w:tr w:rsidR="0035741C" w:rsidRPr="00745089" w:rsidTr="001749C6">
        <w:trPr>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150W Metal Halide - FLOODLIGHT</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13.07</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11.01</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72.12</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68.64</w:t>
            </w:r>
          </w:p>
        </w:tc>
        <w:tc>
          <w:tcPr>
            <w:tcW w:w="585"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85.18</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79.66</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Bracket - Minor &lt;=3m</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2.12</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1.85</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13.31</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12.67</w:t>
            </w:r>
          </w:p>
        </w:tc>
        <w:tc>
          <w:tcPr>
            <w:tcW w:w="585"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15.43</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14.52</w:t>
            </w:r>
          </w:p>
        </w:tc>
      </w:tr>
      <w:tr w:rsidR="0035741C" w:rsidRPr="00745089" w:rsidTr="001749C6">
        <w:trPr>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Bracket - Major &gt;3m</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12.76</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11.14</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13.31</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12.67</w:t>
            </w:r>
          </w:p>
        </w:tc>
        <w:tc>
          <w:tcPr>
            <w:tcW w:w="585"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26.07</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23.81</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Outreach - Minor &lt;=2m</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2.59</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2.26</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13.31</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12.67</w:t>
            </w:r>
          </w:p>
        </w:tc>
        <w:tc>
          <w:tcPr>
            <w:tcW w:w="585"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15.90</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14.93</w:t>
            </w:r>
          </w:p>
        </w:tc>
      </w:tr>
      <w:tr w:rsidR="0035741C" w:rsidRPr="00745089" w:rsidTr="001749C6">
        <w:trPr>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Outreach - Major &gt;2m</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5.89</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5.14</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13.31</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12.67</w:t>
            </w:r>
          </w:p>
        </w:tc>
        <w:tc>
          <w:tcPr>
            <w:tcW w:w="585"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19.21</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17.82</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Pole (Wood) - Minor - DEDICATED SL &lt;=11m</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18.51</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16.16</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13.97</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13.30</w:t>
            </w:r>
          </w:p>
        </w:tc>
        <w:tc>
          <w:tcPr>
            <w:tcW w:w="585"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32.47</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29.46</w:t>
            </w:r>
          </w:p>
        </w:tc>
      </w:tr>
      <w:tr w:rsidR="0035741C" w:rsidRPr="00745089" w:rsidTr="001749C6">
        <w:trPr>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Pole (Wood) - Major - DEDICATED SL &gt;11m</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35.92</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31.37</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13.97</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13.30</w:t>
            </w:r>
          </w:p>
        </w:tc>
        <w:tc>
          <w:tcPr>
            <w:tcW w:w="585"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49.88</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44.66</w:t>
            </w:r>
          </w:p>
        </w:tc>
      </w:tr>
      <w:tr w:rsidR="0035741C" w:rsidRPr="00745089" w:rsidTr="001749C6">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Column (Steel) - Minor &lt;=9m</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19.25</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16.81</w:t>
            </w:r>
          </w:p>
        </w:tc>
        <w:tc>
          <w:tcPr>
            <w:tcW w:w="441"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13.97</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13.30</w:t>
            </w:r>
          </w:p>
        </w:tc>
        <w:tc>
          <w:tcPr>
            <w:tcW w:w="585"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33.22</w:t>
            </w:r>
          </w:p>
        </w:tc>
        <w:tc>
          <w:tcPr>
            <w:tcW w:w="607" w:type="pct"/>
            <w:noWrap/>
            <w:vAlign w:val="bottom"/>
            <w:hideMark/>
          </w:tcPr>
          <w:p w:rsidR="0035741C" w:rsidRDefault="0035741C" w:rsidP="00F92C29">
            <w:pPr>
              <w:pStyle w:val="AERtabletextright"/>
              <w:cnfStyle w:val="000000010000" w:firstRow="0" w:lastRow="0" w:firstColumn="0" w:lastColumn="0" w:oddVBand="0" w:evenVBand="0" w:oddHBand="0" w:evenHBand="1" w:firstRowFirstColumn="0" w:firstRowLastColumn="0" w:lastRowFirstColumn="0" w:lastRowLastColumn="0"/>
            </w:pPr>
            <w:r>
              <w:t>30.11</w:t>
            </w:r>
          </w:p>
        </w:tc>
      </w:tr>
      <w:tr w:rsidR="0035741C" w:rsidRPr="00745089" w:rsidTr="001749C6">
        <w:trPr>
          <w:trHeight w:val="255"/>
        </w:trPr>
        <w:tc>
          <w:tcPr>
            <w:cnfStyle w:val="001000000000" w:firstRow="0" w:lastRow="0" w:firstColumn="1" w:lastColumn="0" w:oddVBand="0" w:evenVBand="0" w:oddHBand="0" w:evenHBand="0" w:firstRowFirstColumn="0" w:firstRowLastColumn="0" w:lastRowFirstColumn="0" w:lastRowLastColumn="0"/>
            <w:tcW w:w="1712" w:type="pct"/>
            <w:noWrap/>
            <w:hideMark/>
          </w:tcPr>
          <w:p w:rsidR="0035741C" w:rsidRPr="00745089" w:rsidRDefault="0035741C" w:rsidP="007848A6">
            <w:pPr>
              <w:pStyle w:val="AERtabletextleft"/>
            </w:pPr>
            <w:r w:rsidRPr="00745089">
              <w:t>Column (Steel) - Major &gt;9m</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36.13</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31.56</w:t>
            </w:r>
          </w:p>
        </w:tc>
        <w:tc>
          <w:tcPr>
            <w:tcW w:w="441"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13.97</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13.30</w:t>
            </w:r>
          </w:p>
        </w:tc>
        <w:tc>
          <w:tcPr>
            <w:tcW w:w="585"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50.10</w:t>
            </w:r>
          </w:p>
        </w:tc>
        <w:tc>
          <w:tcPr>
            <w:tcW w:w="607" w:type="pct"/>
            <w:noWrap/>
            <w:vAlign w:val="bottom"/>
            <w:hideMark/>
          </w:tcPr>
          <w:p w:rsidR="0035741C" w:rsidRDefault="0035741C" w:rsidP="00F92C29">
            <w:pPr>
              <w:pStyle w:val="AERtabletextright"/>
              <w:cnfStyle w:val="000000000000" w:firstRow="0" w:lastRow="0" w:firstColumn="0" w:lastColumn="0" w:oddVBand="0" w:evenVBand="0" w:oddHBand="0" w:evenHBand="0" w:firstRowFirstColumn="0" w:firstRowLastColumn="0" w:lastRowFirstColumn="0" w:lastRowLastColumn="0"/>
            </w:pPr>
            <w:r>
              <w:t>44.85</w:t>
            </w:r>
          </w:p>
        </w:tc>
      </w:tr>
    </w:tbl>
    <w:p w:rsidR="00736A34" w:rsidRDefault="00736A34" w:rsidP="00FA2787">
      <w:pPr>
        <w:pStyle w:val="AERtablesource"/>
      </w:pPr>
      <w:r>
        <w:t xml:space="preserve">Source: </w:t>
      </w:r>
      <w:r w:rsidR="00B40D1D">
        <w:t>AER analysis.</w:t>
      </w:r>
    </w:p>
    <w:p w:rsidR="0035741C" w:rsidRPr="004B19B9" w:rsidRDefault="0035741C" w:rsidP="00736A34">
      <w:pPr>
        <w:spacing w:after="0" w:line="240" w:lineRule="auto"/>
        <w:jc w:val="left"/>
        <w:rPr>
          <w:rStyle w:val="AERbody"/>
        </w:rPr>
      </w:pPr>
    </w:p>
    <w:sectPr w:rsidR="0035741C" w:rsidRPr="004B19B9" w:rsidSect="0035741C">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007D" w:rsidRPr="00AB4345" w:rsidRDefault="0009007D" w:rsidP="00AB4345">
      <w:r>
        <w:separator/>
      </w:r>
    </w:p>
  </w:endnote>
  <w:endnote w:type="continuationSeparator" w:id="0">
    <w:p w:rsidR="0009007D" w:rsidRPr="00AB4345" w:rsidRDefault="0009007D" w:rsidP="00AB43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Gautami">
    <w:panose1 w:val="02000500000000000000"/>
    <w:charset w:val="00"/>
    <w:family w:val="auto"/>
    <w:pitch w:val="variable"/>
    <w:sig w:usb0="002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61002A87" w:usb1="80000000" w:usb2="00000008" w:usb3="00000000" w:csb0="000101FF" w:csb1="00000000"/>
  </w:font>
  <w:font w:name="Lucida Fax">
    <w:panose1 w:val="02060602050505020204"/>
    <w:charset w:val="00"/>
    <w:family w:val="roman"/>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54882516"/>
      <w:docPartObj>
        <w:docPartGallery w:val="Page Numbers (Bottom of Page)"/>
        <w:docPartUnique/>
      </w:docPartObj>
    </w:sdtPr>
    <w:sdtEndPr/>
    <w:sdtContent>
      <w:p w:rsidR="0009007D" w:rsidRPr="00824CC8" w:rsidRDefault="0009007D" w:rsidP="00824CC8">
        <w:pPr>
          <w:pStyle w:val="Footer"/>
        </w:pPr>
        <w:r w:rsidRPr="00824CC8">
          <w:fldChar w:fldCharType="begin"/>
        </w:r>
        <w:r w:rsidRPr="00824CC8">
          <w:instrText xml:space="preserve"> PAGE   \* MERGEFORMAT </w:instrText>
        </w:r>
        <w:r w:rsidRPr="00824CC8">
          <w:fldChar w:fldCharType="separate"/>
        </w:r>
        <w:r w:rsidR="004667DE">
          <w:rPr>
            <w:noProof/>
          </w:rPr>
          <w:t>16-2</w:t>
        </w:r>
        <w:r w:rsidRPr="00824CC8">
          <w:fldChar w:fldCharType="end"/>
        </w:r>
        <w:r w:rsidRPr="00824CC8">
          <w:tab/>
        </w:r>
        <w:r>
          <w:rPr>
            <w:rStyle w:val="AERbody"/>
          </w:rPr>
          <w:t xml:space="preserve">Attachment 16: </w:t>
        </w:r>
        <w:r>
          <w:t>Alternative control services</w:t>
        </w:r>
        <w:r w:rsidRPr="00210880">
          <w:rPr>
            <w:rStyle w:val="AERbody"/>
          </w:rPr>
          <w:t xml:space="preserve"> | </w:t>
        </w:r>
        <w:r>
          <w:rPr>
            <w:rStyle w:val="AERbody"/>
          </w:rPr>
          <w:t>Endeavour Energy draft decision</w:t>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007D" w:rsidRPr="00824CC8" w:rsidRDefault="0009007D" w:rsidP="00824CC8">
    <w:pPr>
      <w:pStyle w:val="Footer"/>
      <w:rPr>
        <w:rStyle w:val="AERbody"/>
      </w:rPr>
    </w:pPr>
    <w:r>
      <w:rPr>
        <w:rStyle w:val="AERbody"/>
      </w:rPr>
      <w:t xml:space="preserve">Attachment 16: </w:t>
    </w:r>
    <w:r>
      <w:t>Alternative control services</w:t>
    </w:r>
    <w:r w:rsidRPr="00210880">
      <w:rPr>
        <w:rStyle w:val="AERbody"/>
      </w:rPr>
      <w:t xml:space="preserve"> | </w:t>
    </w:r>
    <w:r>
      <w:rPr>
        <w:rStyle w:val="AERbody"/>
      </w:rPr>
      <w:t>Endeavour Energy draft decision</w:t>
    </w:r>
    <w:r w:rsidRPr="00210880">
      <w:rPr>
        <w:rStyle w:val="AERbody"/>
      </w:rPr>
      <w:tab/>
    </w:r>
    <w:r w:rsidRPr="00824CC8">
      <w:rPr>
        <w:rStyle w:val="AERbody"/>
      </w:rPr>
      <w:fldChar w:fldCharType="begin"/>
    </w:r>
    <w:r w:rsidRPr="00824CC8">
      <w:rPr>
        <w:rStyle w:val="AERbody"/>
      </w:rPr>
      <w:instrText xml:space="preserve"> PAGE   \* MERGEFORMAT </w:instrText>
    </w:r>
    <w:r w:rsidRPr="00824CC8">
      <w:rPr>
        <w:rStyle w:val="AERbody"/>
      </w:rPr>
      <w:fldChar w:fldCharType="separate"/>
    </w:r>
    <w:r w:rsidR="004667DE">
      <w:rPr>
        <w:rStyle w:val="AERbody"/>
        <w:noProof/>
      </w:rPr>
      <w:t>16-1</w:t>
    </w:r>
    <w:r w:rsidRPr="00824CC8">
      <w:rPr>
        <w:rStyle w:val="AERbody"/>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007D" w:rsidRPr="00AB4345" w:rsidRDefault="0009007D" w:rsidP="00AB4345">
      <w:r>
        <w:separator/>
      </w:r>
    </w:p>
  </w:footnote>
  <w:footnote w:type="continuationSeparator" w:id="0">
    <w:p w:rsidR="0009007D" w:rsidRPr="00AB4345" w:rsidRDefault="0009007D" w:rsidP="00AB4345">
      <w:r>
        <w:continuationSeparator/>
      </w:r>
    </w:p>
  </w:footnote>
  <w:footnote w:id="1">
    <w:p w:rsidR="0009007D" w:rsidRDefault="0009007D" w:rsidP="00F66AC3">
      <w:pPr>
        <w:pStyle w:val="FootnoteText"/>
      </w:pPr>
      <w:r>
        <w:rPr>
          <w:rStyle w:val="FootnoteReference"/>
        </w:rPr>
        <w:footnoteRef/>
      </w:r>
      <w:r>
        <w:t xml:space="preserve"> </w:t>
      </w:r>
      <w:r>
        <w:tab/>
        <w:t>AER, Stage 1 Framework and Approach paper Ausgrid, Endeavour Energy and Essential Energy, p. 8.</w:t>
      </w:r>
    </w:p>
  </w:footnote>
  <w:footnote w:id="2">
    <w:p w:rsidR="0009007D" w:rsidRDefault="0009007D" w:rsidP="00337A3F">
      <w:pPr>
        <w:pStyle w:val="FootnoteText"/>
      </w:pPr>
      <w:r>
        <w:rPr>
          <w:rStyle w:val="FootnoteReference"/>
        </w:rPr>
        <w:footnoteRef/>
      </w:r>
      <w:r>
        <w:t xml:space="preserve"> </w:t>
      </w:r>
      <w:r>
        <w:tab/>
        <w:t>Direct control services are made up of standard control services and alternative control services.</w:t>
      </w:r>
    </w:p>
  </w:footnote>
  <w:footnote w:id="3">
    <w:p w:rsidR="0009007D" w:rsidRDefault="0009007D" w:rsidP="00030E3D">
      <w:pPr>
        <w:pStyle w:val="FootnoteText"/>
      </w:pPr>
      <w:r>
        <w:rPr>
          <w:rStyle w:val="FootnoteReference"/>
        </w:rPr>
        <w:footnoteRef/>
      </w:r>
      <w:r>
        <w:t xml:space="preserve"> </w:t>
      </w:r>
      <w:r>
        <w:tab/>
      </w:r>
      <w:proofErr w:type="gramStart"/>
      <w:r>
        <w:t>NER, clause 6.2.6(b).</w:t>
      </w:r>
      <w:proofErr w:type="gramEnd"/>
    </w:p>
  </w:footnote>
  <w:footnote w:id="4">
    <w:p w:rsidR="0009007D" w:rsidRDefault="0009007D" w:rsidP="00030E3D">
      <w:pPr>
        <w:pStyle w:val="FootnoteText"/>
      </w:pPr>
      <w:r>
        <w:rPr>
          <w:rStyle w:val="FootnoteReference"/>
        </w:rPr>
        <w:footnoteRef/>
      </w:r>
      <w:r>
        <w:t xml:space="preserve"> </w:t>
      </w:r>
      <w:r>
        <w:tab/>
      </w:r>
      <w:proofErr w:type="gramStart"/>
      <w:r>
        <w:t>NER, clause 6.12.1(12).</w:t>
      </w:r>
      <w:proofErr w:type="gramEnd"/>
    </w:p>
  </w:footnote>
  <w:footnote w:id="5">
    <w:p w:rsidR="0009007D" w:rsidRDefault="0009007D" w:rsidP="00030E3D">
      <w:pPr>
        <w:pStyle w:val="FootnoteText"/>
      </w:pPr>
      <w:r>
        <w:rPr>
          <w:rStyle w:val="FootnoteReference"/>
        </w:rPr>
        <w:footnoteRef/>
      </w:r>
      <w:r>
        <w:t xml:space="preserve"> </w:t>
      </w:r>
      <w:r>
        <w:tab/>
      </w:r>
      <w:proofErr w:type="gramStart"/>
      <w:r>
        <w:t>NER, clause 6.12.3(c1).</w:t>
      </w:r>
      <w:proofErr w:type="gramEnd"/>
    </w:p>
  </w:footnote>
  <w:footnote w:id="6">
    <w:p w:rsidR="0009007D" w:rsidRDefault="0009007D" w:rsidP="00030E3D">
      <w:pPr>
        <w:pStyle w:val="FootnoteText"/>
      </w:pPr>
      <w:r>
        <w:rPr>
          <w:rStyle w:val="FootnoteReference"/>
        </w:rPr>
        <w:footnoteRef/>
      </w:r>
      <w:r>
        <w:t xml:space="preserve"> </w:t>
      </w:r>
      <w:r>
        <w:tab/>
      </w:r>
      <w:proofErr w:type="gramStart"/>
      <w:r>
        <w:t>NER, clause 6.2.6(b) &amp; (d).</w:t>
      </w:r>
      <w:proofErr w:type="gramEnd"/>
    </w:p>
  </w:footnote>
  <w:footnote w:id="7">
    <w:p w:rsidR="0009007D" w:rsidRDefault="0009007D" w:rsidP="00D311E7">
      <w:pPr>
        <w:pStyle w:val="FootnoteText"/>
      </w:pPr>
      <w:r>
        <w:rPr>
          <w:rStyle w:val="FootnoteReference"/>
        </w:rPr>
        <w:footnoteRef/>
      </w:r>
      <w:r>
        <w:t xml:space="preserve"> </w:t>
      </w:r>
      <w:proofErr w:type="gramStart"/>
      <w:r>
        <w:t>AER, Final Decision New South Wales distribution determination 2009–10 to 2014–14, p.p. 57-58.</w:t>
      </w:r>
      <w:proofErr w:type="gramEnd"/>
    </w:p>
    <w:p w:rsidR="0009007D" w:rsidRDefault="0009007D" w:rsidP="00D311E7">
      <w:pPr>
        <w:pStyle w:val="FootnoteText"/>
      </w:pPr>
    </w:p>
  </w:footnote>
  <w:footnote w:id="8">
    <w:p w:rsidR="0009007D" w:rsidRDefault="0009007D" w:rsidP="00D311E7">
      <w:pPr>
        <w:pStyle w:val="FootnoteText"/>
      </w:pPr>
      <w:r>
        <w:rPr>
          <w:rStyle w:val="FootnoteReference"/>
        </w:rPr>
        <w:footnoteRef/>
      </w:r>
      <w:r>
        <w:t xml:space="preserve"> </w:t>
      </w:r>
      <w:r>
        <w:tab/>
        <w:t>Endeavour Energy, Regulatory Proposal, p. 26.</w:t>
      </w:r>
    </w:p>
  </w:footnote>
  <w:footnote w:id="9">
    <w:p w:rsidR="0009007D" w:rsidRDefault="0009007D" w:rsidP="00D311E7">
      <w:pPr>
        <w:pStyle w:val="FootnoteText"/>
      </w:pPr>
      <w:r>
        <w:rPr>
          <w:rStyle w:val="FootnoteReference"/>
        </w:rPr>
        <w:footnoteRef/>
      </w:r>
      <w:r>
        <w:t xml:space="preserve"> </w:t>
      </w:r>
      <w:r>
        <w:tab/>
        <w:t>Endeavour Energy, Regulatory Proposal, p. 144.</w:t>
      </w:r>
    </w:p>
  </w:footnote>
  <w:footnote w:id="10">
    <w:p w:rsidR="0009007D" w:rsidRDefault="0009007D" w:rsidP="00D311E7">
      <w:pPr>
        <w:pStyle w:val="FootnoteText"/>
      </w:pPr>
      <w:r>
        <w:rPr>
          <w:rStyle w:val="FootnoteReference"/>
        </w:rPr>
        <w:footnoteRef/>
      </w:r>
      <w:r>
        <w:t xml:space="preserve"> </w:t>
      </w:r>
      <w:r>
        <w:tab/>
        <w:t xml:space="preserve">AGL, </w:t>
      </w:r>
      <w:r w:rsidRPr="00446444">
        <w:t>NSW Electricity Distribution Networks Regulatory Proposals: 2014–19 – AGL submission to the Australian Energy Regulator</w:t>
      </w:r>
      <w:r>
        <w:t>, 8 August 2014, p. 32.</w:t>
      </w:r>
    </w:p>
  </w:footnote>
  <w:footnote w:id="11">
    <w:p w:rsidR="0009007D" w:rsidRDefault="0009007D" w:rsidP="00D311E7">
      <w:pPr>
        <w:pStyle w:val="FootnoteText"/>
      </w:pPr>
      <w:r>
        <w:rPr>
          <w:rStyle w:val="FootnoteReference"/>
        </w:rPr>
        <w:footnoteRef/>
      </w:r>
      <w:r>
        <w:t xml:space="preserve"> </w:t>
      </w:r>
      <w:r>
        <w:tab/>
        <w:t xml:space="preserve">AGL, </w:t>
      </w:r>
      <w:r>
        <w:rPr>
          <w:i/>
        </w:rPr>
        <w:t>NSW Electricity Distribution Networks Regulatory Proposals: 2014–19 – AGL submission to the Australian Energy Regulator</w:t>
      </w:r>
      <w:r>
        <w:t>, 8 August 2014, p. 32.</w:t>
      </w:r>
    </w:p>
  </w:footnote>
  <w:footnote w:id="12">
    <w:p w:rsidR="0009007D" w:rsidRPr="000B334C" w:rsidRDefault="0009007D" w:rsidP="00D311E7">
      <w:pPr>
        <w:pStyle w:val="FootnoteText"/>
      </w:pPr>
      <w:r>
        <w:rPr>
          <w:rStyle w:val="FootnoteReference"/>
        </w:rPr>
        <w:footnoteRef/>
      </w:r>
      <w:r>
        <w:t xml:space="preserve"> </w:t>
      </w:r>
      <w:r>
        <w:tab/>
        <w:t xml:space="preserve">AGL, </w:t>
      </w:r>
      <w:r>
        <w:rPr>
          <w:i/>
        </w:rPr>
        <w:t>NSW Electricity Distribution Networks Regulatory Proposals: 2014–19 – AGL submission to the Australian Energy Regulator</w:t>
      </w:r>
      <w:r>
        <w:t>, 8 August 2014, p. 30.</w:t>
      </w:r>
    </w:p>
  </w:footnote>
  <w:footnote w:id="13">
    <w:p w:rsidR="0009007D" w:rsidRDefault="0009007D" w:rsidP="00D311E7">
      <w:pPr>
        <w:pStyle w:val="FootnoteText"/>
      </w:pPr>
      <w:r>
        <w:rPr>
          <w:rStyle w:val="FootnoteReference"/>
        </w:rPr>
        <w:footnoteRef/>
      </w:r>
      <w:r>
        <w:t xml:space="preserve"> </w:t>
      </w:r>
      <w:r>
        <w:tab/>
        <w:t xml:space="preserve">AGL, </w:t>
      </w:r>
      <w:r>
        <w:rPr>
          <w:i/>
        </w:rPr>
        <w:t>NSW Electricity Distribution Networks Regulatory Proposals: 2014–19 – AGL submission to the Australian Energy Regulator</w:t>
      </w:r>
      <w:r>
        <w:t>, 8 August 2014, p. 31.</w:t>
      </w:r>
    </w:p>
  </w:footnote>
  <w:footnote w:id="14">
    <w:p w:rsidR="0009007D" w:rsidRPr="00FA124D" w:rsidRDefault="0009007D" w:rsidP="00D311E7">
      <w:pPr>
        <w:pStyle w:val="FootnoteText"/>
      </w:pPr>
      <w:r>
        <w:rPr>
          <w:rStyle w:val="FootnoteReference"/>
        </w:rPr>
        <w:footnoteRef/>
      </w:r>
      <w:r>
        <w:t xml:space="preserve"> </w:t>
      </w:r>
      <w:r>
        <w:tab/>
        <w:t xml:space="preserve">Origin, </w:t>
      </w:r>
      <w:r>
        <w:rPr>
          <w:i/>
        </w:rPr>
        <w:t>Submission to NSW Electricity Distributors’ Regulatory Proposals</w:t>
      </w:r>
      <w:r>
        <w:t>, 8 August 2014, p. 38.</w:t>
      </w:r>
    </w:p>
  </w:footnote>
  <w:footnote w:id="15">
    <w:p w:rsidR="0009007D" w:rsidRPr="00FA124D" w:rsidRDefault="0009007D" w:rsidP="00D311E7">
      <w:pPr>
        <w:pStyle w:val="FootnoteText"/>
      </w:pPr>
      <w:r>
        <w:rPr>
          <w:rStyle w:val="FootnoteReference"/>
        </w:rPr>
        <w:footnoteRef/>
      </w:r>
      <w:r>
        <w:t xml:space="preserve"> </w:t>
      </w:r>
      <w:r>
        <w:tab/>
        <w:t xml:space="preserve">Origin, </w:t>
      </w:r>
      <w:r>
        <w:rPr>
          <w:i/>
        </w:rPr>
        <w:t>Submission to NSW Electricity Distributors’ Regulatory Proposals</w:t>
      </w:r>
      <w:r>
        <w:t>, 8 August 2014, p. 38.</w:t>
      </w:r>
    </w:p>
  </w:footnote>
  <w:footnote w:id="16">
    <w:p w:rsidR="0009007D" w:rsidRPr="00FA124D" w:rsidRDefault="0009007D" w:rsidP="00D311E7">
      <w:pPr>
        <w:pStyle w:val="FootnoteText"/>
      </w:pPr>
      <w:r>
        <w:rPr>
          <w:rStyle w:val="FootnoteReference"/>
        </w:rPr>
        <w:footnoteRef/>
      </w:r>
      <w:r>
        <w:t xml:space="preserve"> </w:t>
      </w:r>
      <w:r>
        <w:tab/>
        <w:t xml:space="preserve">Origin, </w:t>
      </w:r>
      <w:r>
        <w:rPr>
          <w:i/>
        </w:rPr>
        <w:t>Submission to NSW Electricity Distributors’ Regulatory Proposals</w:t>
      </w:r>
      <w:r>
        <w:t>, 8 August 2014, p. 38.</w:t>
      </w:r>
    </w:p>
  </w:footnote>
  <w:footnote w:id="17">
    <w:p w:rsidR="0009007D" w:rsidRPr="00FA124D" w:rsidRDefault="0009007D" w:rsidP="00D311E7">
      <w:pPr>
        <w:pStyle w:val="FootnoteText"/>
      </w:pPr>
      <w:r>
        <w:rPr>
          <w:rStyle w:val="FootnoteReference"/>
        </w:rPr>
        <w:footnoteRef/>
      </w:r>
      <w:r>
        <w:t xml:space="preserve"> </w:t>
      </w:r>
      <w:r>
        <w:tab/>
        <w:t xml:space="preserve">Origin, </w:t>
      </w:r>
      <w:r>
        <w:rPr>
          <w:i/>
        </w:rPr>
        <w:t>Submission to NSW Electricity Distributors’ Regulatory Proposals</w:t>
      </w:r>
      <w:r>
        <w:t>, 8 August 2014, p. 38.</w:t>
      </w:r>
    </w:p>
  </w:footnote>
  <w:footnote w:id="18">
    <w:p w:rsidR="0009007D" w:rsidRDefault="0009007D" w:rsidP="00D311E7">
      <w:pPr>
        <w:pStyle w:val="FootnoteText"/>
      </w:pPr>
      <w:r>
        <w:rPr>
          <w:rStyle w:val="FootnoteReference"/>
        </w:rPr>
        <w:footnoteRef/>
      </w:r>
      <w:r>
        <w:t xml:space="preserve"> </w:t>
      </w:r>
      <w:r>
        <w:tab/>
        <w:t xml:space="preserve">AGL, </w:t>
      </w:r>
      <w:r>
        <w:rPr>
          <w:i/>
        </w:rPr>
        <w:t>NSW Electricity Distribution Networks Regulatory Proposals: 2014–19 – AGL submission to the Australian Energy Regulator</w:t>
      </w:r>
      <w:r>
        <w:t>, 8 August 2014, p. 32.</w:t>
      </w:r>
    </w:p>
  </w:footnote>
  <w:footnote w:id="19">
    <w:p w:rsidR="0009007D" w:rsidRDefault="0009007D" w:rsidP="00D311E7">
      <w:pPr>
        <w:pStyle w:val="FootnoteText"/>
      </w:pPr>
      <w:r>
        <w:rPr>
          <w:rStyle w:val="FootnoteReference"/>
        </w:rPr>
        <w:footnoteRef/>
      </w:r>
      <w:r>
        <w:t xml:space="preserve"> </w:t>
      </w:r>
      <w:r>
        <w:tab/>
        <w:t xml:space="preserve">AGL, </w:t>
      </w:r>
      <w:r>
        <w:rPr>
          <w:i/>
        </w:rPr>
        <w:t>NSW Electricity Distribution Networks Regulatory Proposals: 2014–19 – AGL submission to the Australian Energy Regulator</w:t>
      </w:r>
      <w:r>
        <w:t>, 8 August 2014, p. 32.</w:t>
      </w:r>
    </w:p>
  </w:footnote>
  <w:footnote w:id="20">
    <w:p w:rsidR="0009007D" w:rsidRDefault="0009007D" w:rsidP="00D311E7">
      <w:pPr>
        <w:pStyle w:val="FootnoteText"/>
      </w:pPr>
      <w:r>
        <w:rPr>
          <w:rStyle w:val="FootnoteReference"/>
        </w:rPr>
        <w:footnoteRef/>
      </w:r>
      <w:r>
        <w:t xml:space="preserve"> </w:t>
      </w:r>
      <w:r>
        <w:tab/>
        <w:t xml:space="preserve">AGL, </w:t>
      </w:r>
      <w:r>
        <w:rPr>
          <w:i/>
        </w:rPr>
        <w:t>NSW Electricity Distribution Networks Regulatory Proposals: 2014–19 – AGL submission to the Australian Energy Regulator</w:t>
      </w:r>
      <w:r>
        <w:t>, 8 August 2014, p. 32.</w:t>
      </w:r>
    </w:p>
  </w:footnote>
  <w:footnote w:id="21">
    <w:p w:rsidR="0009007D" w:rsidRDefault="0009007D" w:rsidP="00D311E7">
      <w:pPr>
        <w:pStyle w:val="FootnoteText"/>
      </w:pPr>
      <w:r>
        <w:rPr>
          <w:rStyle w:val="FootnoteReference"/>
        </w:rPr>
        <w:footnoteRef/>
      </w:r>
      <w:r>
        <w:t xml:space="preserve"> </w:t>
      </w:r>
      <w:r>
        <w:tab/>
        <w:t xml:space="preserve">AGL, </w:t>
      </w:r>
      <w:r>
        <w:rPr>
          <w:i/>
        </w:rPr>
        <w:t>NSW Electricity Distribution Networks Regulatory Proposals: 2014–19 – AGL submission to the Australian Energy Regulator</w:t>
      </w:r>
      <w:r>
        <w:t>, 8 August 2014, p. 31.</w:t>
      </w:r>
    </w:p>
  </w:footnote>
  <w:footnote w:id="22">
    <w:p w:rsidR="0009007D" w:rsidRDefault="0009007D" w:rsidP="00D311E7">
      <w:pPr>
        <w:pStyle w:val="FootnoteText"/>
      </w:pPr>
      <w:r>
        <w:rPr>
          <w:rStyle w:val="FootnoteReference"/>
        </w:rPr>
        <w:footnoteRef/>
      </w:r>
      <w:r>
        <w:t xml:space="preserve"> </w:t>
      </w:r>
      <w:r>
        <w:tab/>
        <w:t>Endeavour Energy response to AER information request 027, 17 September 2014.</w:t>
      </w:r>
    </w:p>
  </w:footnote>
  <w:footnote w:id="23">
    <w:p w:rsidR="0009007D" w:rsidRPr="00C54D76" w:rsidRDefault="0009007D" w:rsidP="00D311E7">
      <w:pPr>
        <w:pStyle w:val="FootnoteText"/>
        <w:rPr>
          <w:rFonts w:eastAsia="Calibri"/>
        </w:rPr>
      </w:pPr>
      <w:r>
        <w:rPr>
          <w:rStyle w:val="FootnoteReference"/>
        </w:rPr>
        <w:footnoteRef/>
      </w:r>
      <w:r>
        <w:t xml:space="preserve"> </w:t>
      </w:r>
      <w:r>
        <w:tab/>
      </w:r>
      <w:r w:rsidRPr="00C54D76">
        <w:rPr>
          <w:rFonts w:eastAsia="Calibri"/>
        </w:rPr>
        <w:t>For some services Endeavour Energy was not able to map the service to a labour category, but have noted that the rate consists of multiple sub-services, each with significantly different labour types and rates. This applies to the following services:</w:t>
      </w:r>
    </w:p>
    <w:p w:rsidR="0009007D" w:rsidRPr="00C54D76" w:rsidRDefault="0009007D" w:rsidP="00D311E7">
      <w:pPr>
        <w:pStyle w:val="FootnoteText"/>
        <w:rPr>
          <w:rFonts w:eastAsia="Calibri"/>
        </w:rPr>
      </w:pPr>
      <w:r>
        <w:rPr>
          <w:rFonts w:eastAsia="Calibri"/>
        </w:rPr>
        <w:t xml:space="preserve">- </w:t>
      </w:r>
      <w:r w:rsidRPr="00C54D76">
        <w:rPr>
          <w:rFonts w:eastAsia="Calibri"/>
        </w:rPr>
        <w:t>Access permits</w:t>
      </w:r>
    </w:p>
    <w:p w:rsidR="0009007D" w:rsidRPr="00C54D76" w:rsidRDefault="0009007D" w:rsidP="00D311E7">
      <w:pPr>
        <w:pStyle w:val="FootnoteText"/>
        <w:rPr>
          <w:rFonts w:eastAsia="Calibri"/>
        </w:rPr>
      </w:pPr>
      <w:r>
        <w:rPr>
          <w:rFonts w:eastAsia="Calibri"/>
        </w:rPr>
        <w:t xml:space="preserve">- </w:t>
      </w:r>
      <w:r w:rsidRPr="00C54D76">
        <w:rPr>
          <w:rFonts w:eastAsia="Calibri"/>
        </w:rPr>
        <w:t>Excluded distribution services</w:t>
      </w:r>
    </w:p>
    <w:p w:rsidR="0009007D" w:rsidRPr="00C54D76" w:rsidRDefault="0009007D" w:rsidP="00D311E7">
      <w:pPr>
        <w:pStyle w:val="FootnoteText"/>
        <w:rPr>
          <w:rFonts w:eastAsia="Calibri"/>
        </w:rPr>
      </w:pPr>
      <w:r>
        <w:rPr>
          <w:rFonts w:eastAsia="Calibri"/>
        </w:rPr>
        <w:t xml:space="preserve">- </w:t>
      </w:r>
      <w:r w:rsidRPr="00C54D76">
        <w:rPr>
          <w:rFonts w:eastAsia="Calibri"/>
        </w:rPr>
        <w:t>Clearance to work</w:t>
      </w:r>
    </w:p>
    <w:p w:rsidR="0009007D" w:rsidRPr="00C54D76" w:rsidRDefault="0009007D" w:rsidP="00D311E7">
      <w:pPr>
        <w:pStyle w:val="FootnoteText"/>
        <w:rPr>
          <w:rFonts w:eastAsia="Calibri"/>
        </w:rPr>
      </w:pPr>
      <w:r>
        <w:rPr>
          <w:rFonts w:eastAsia="Calibri"/>
        </w:rPr>
        <w:t xml:space="preserve">- </w:t>
      </w:r>
      <w:r w:rsidRPr="00C54D76">
        <w:rPr>
          <w:rFonts w:eastAsia="Calibri"/>
        </w:rPr>
        <w:t>Meter test fee.</w:t>
      </w:r>
    </w:p>
    <w:p w:rsidR="0009007D" w:rsidRPr="00C54D76" w:rsidRDefault="0009007D" w:rsidP="00D311E7">
      <w:pPr>
        <w:pStyle w:val="FootnoteText"/>
        <w:rPr>
          <w:rFonts w:eastAsia="Calibri"/>
        </w:rPr>
      </w:pPr>
      <w:r w:rsidRPr="00C54D76">
        <w:rPr>
          <w:rFonts w:eastAsia="Calibri"/>
        </w:rPr>
        <w:t xml:space="preserve">Endeavour Energy submit that, </w:t>
      </w:r>
    </w:p>
    <w:p w:rsidR="0009007D" w:rsidRPr="00C54D76" w:rsidRDefault="0009007D" w:rsidP="00D311E7">
      <w:pPr>
        <w:pStyle w:val="AERquote"/>
        <w:rPr>
          <w:rFonts w:eastAsia="Calibri"/>
        </w:rPr>
      </w:pPr>
      <w:r w:rsidRPr="00C54D76">
        <w:rPr>
          <w:rFonts w:eastAsia="Calibri"/>
        </w:rPr>
        <w:t>If we were to adopt these high level blended labour rates cross subsidisation is likely to result between fees.</w:t>
      </w:r>
      <w:r w:rsidRPr="00C54D76">
        <w:rPr>
          <w:rStyle w:val="FootnoteReference"/>
          <w:rFonts w:eastAsia="Calibri"/>
        </w:rPr>
        <w:footnoteRef/>
      </w:r>
    </w:p>
    <w:p w:rsidR="0009007D" w:rsidRDefault="0009007D" w:rsidP="00D311E7">
      <w:pPr>
        <w:pStyle w:val="FootnoteText"/>
      </w:pPr>
    </w:p>
  </w:footnote>
  <w:footnote w:id="24">
    <w:p w:rsidR="0009007D" w:rsidRDefault="0009007D" w:rsidP="00D311E7">
      <w:pPr>
        <w:pStyle w:val="FootnoteText"/>
      </w:pPr>
      <w:r>
        <w:rPr>
          <w:rStyle w:val="FootnoteReference"/>
        </w:rPr>
        <w:footnoteRef/>
      </w:r>
      <w:r>
        <w:t xml:space="preserve"> Marsden Jacob Associates developed benchmark rates from Hays 2014 Salary data applicable to the energy sector. The Hays salary reports draws on information from 2500 companies across Australia and New Zealand. Relevant distribution network businesses which were listed as being included in the survey were ActewAGL, Jemena and CitiPower. The Hays rates provided both low and a high indicative labour rate (excluding superannuation) for a range of job titles. Marsden Jacob reviewed approximately 66 different job titles, 37 of which were found to be directly relevant to the benchmark labour categories used in the Marsden Jacob report. Minimum and maximum ranges were developed from the data by Marsden Jacob for each category and combined with additional standard assumptions on on-costs to form benchmark rates used in their assessment (see Marsden Jacob report). </w:t>
      </w:r>
    </w:p>
  </w:footnote>
  <w:footnote w:id="25">
    <w:p w:rsidR="0009007D" w:rsidRDefault="0009007D" w:rsidP="00D311E7">
      <w:pPr>
        <w:pStyle w:val="FootnoteText"/>
      </w:pPr>
      <w:r>
        <w:rPr>
          <w:rStyle w:val="FootnoteReference"/>
        </w:rPr>
        <w:footnoteRef/>
      </w:r>
      <w:r>
        <w:t xml:space="preserve"> </w:t>
      </w:r>
      <w:r>
        <w:tab/>
        <w:t xml:space="preserve">Endeavour Energy proposed a time of 3.75 hours to perform this service. Marsden Jacob Associates recommended a benchmark time of 3 hours. </w:t>
      </w:r>
    </w:p>
  </w:footnote>
  <w:footnote w:id="26">
    <w:p w:rsidR="0009007D" w:rsidRDefault="0009007D" w:rsidP="00D311E7">
      <w:pPr>
        <w:pStyle w:val="FootnoteText"/>
      </w:pPr>
      <w:r>
        <w:rPr>
          <w:rStyle w:val="FootnoteReference"/>
        </w:rPr>
        <w:footnoteRef/>
      </w:r>
      <w:r>
        <w:t xml:space="preserve"> </w:t>
      </w:r>
      <w:r>
        <w:tab/>
        <w:t xml:space="preserve">AGL, </w:t>
      </w:r>
      <w:r>
        <w:rPr>
          <w:i/>
        </w:rPr>
        <w:t>NSW Electricity Distribution Networks Regulatory Proposals: 2014–19 – AGL submission to the Australian Energy Regulator</w:t>
      </w:r>
      <w:r>
        <w:t>, 8 August 2014, p. 32.</w:t>
      </w:r>
    </w:p>
  </w:footnote>
  <w:footnote w:id="27">
    <w:p w:rsidR="0009007D" w:rsidRDefault="0009007D" w:rsidP="00D311E7">
      <w:pPr>
        <w:pStyle w:val="FootnoteText"/>
      </w:pPr>
      <w:r>
        <w:rPr>
          <w:rStyle w:val="FootnoteReference"/>
        </w:rPr>
        <w:footnoteRef/>
      </w:r>
      <w:r>
        <w:t xml:space="preserve"> </w:t>
      </w:r>
      <w:r>
        <w:tab/>
        <w:t xml:space="preserve">AGL, </w:t>
      </w:r>
      <w:r>
        <w:rPr>
          <w:i/>
        </w:rPr>
        <w:t>NSW Electricity Distribution Networks Regulatory Proposals: 2014–19 – AGL submission to the Australian Energy Regulator</w:t>
      </w:r>
      <w:r>
        <w:t>, 8 August 2014, p. 31.</w:t>
      </w:r>
    </w:p>
  </w:footnote>
  <w:footnote w:id="28">
    <w:p w:rsidR="0009007D" w:rsidRPr="00FA124D" w:rsidRDefault="0009007D" w:rsidP="00D311E7">
      <w:pPr>
        <w:pStyle w:val="FootnoteText"/>
      </w:pPr>
      <w:r>
        <w:rPr>
          <w:rStyle w:val="FootnoteReference"/>
        </w:rPr>
        <w:footnoteRef/>
      </w:r>
      <w:r>
        <w:t xml:space="preserve"> </w:t>
      </w:r>
      <w:r>
        <w:tab/>
        <w:t xml:space="preserve">Origin, </w:t>
      </w:r>
      <w:r>
        <w:rPr>
          <w:i/>
        </w:rPr>
        <w:t>Submission to NSW Electricity Distributors’ Regulatory Proposals</w:t>
      </w:r>
      <w:r>
        <w:t>, 8 August 2014, p. 38.</w:t>
      </w:r>
    </w:p>
  </w:footnote>
  <w:footnote w:id="29">
    <w:p w:rsidR="0009007D" w:rsidRPr="00FA124D" w:rsidRDefault="0009007D" w:rsidP="00D311E7">
      <w:pPr>
        <w:pStyle w:val="FootnoteText"/>
      </w:pPr>
      <w:r>
        <w:rPr>
          <w:rStyle w:val="FootnoteReference"/>
        </w:rPr>
        <w:footnoteRef/>
      </w:r>
      <w:r>
        <w:t xml:space="preserve"> </w:t>
      </w:r>
      <w:r>
        <w:tab/>
        <w:t xml:space="preserve">Origin, </w:t>
      </w:r>
      <w:r>
        <w:rPr>
          <w:i/>
        </w:rPr>
        <w:t>Submission to NSW Electricity Distributors’ Regulatory Proposals</w:t>
      </w:r>
      <w:r>
        <w:t>, 8 August 2014, p. 38.</w:t>
      </w:r>
    </w:p>
  </w:footnote>
  <w:footnote w:id="30">
    <w:p w:rsidR="0009007D" w:rsidRPr="00FA124D" w:rsidRDefault="0009007D" w:rsidP="00D311E7">
      <w:pPr>
        <w:pStyle w:val="FootnoteText"/>
      </w:pPr>
      <w:r>
        <w:rPr>
          <w:rStyle w:val="FootnoteReference"/>
        </w:rPr>
        <w:footnoteRef/>
      </w:r>
      <w:r>
        <w:t xml:space="preserve"> </w:t>
      </w:r>
      <w:r>
        <w:tab/>
        <w:t xml:space="preserve">Origin, </w:t>
      </w:r>
      <w:r>
        <w:rPr>
          <w:i/>
        </w:rPr>
        <w:t>Submission to NSW Electricity Distributors’ Regulatory Proposals</w:t>
      </w:r>
      <w:r>
        <w:t>, 8 August 2014, p.38</w:t>
      </w:r>
    </w:p>
  </w:footnote>
  <w:footnote w:id="31">
    <w:p w:rsidR="0009007D" w:rsidRPr="00FA124D" w:rsidRDefault="0009007D" w:rsidP="00D311E7">
      <w:pPr>
        <w:pStyle w:val="FootnoteText"/>
      </w:pPr>
      <w:r>
        <w:rPr>
          <w:rStyle w:val="FootnoteReference"/>
        </w:rPr>
        <w:footnoteRef/>
      </w:r>
      <w:r>
        <w:t xml:space="preserve"> </w:t>
      </w:r>
      <w:r>
        <w:tab/>
        <w:t xml:space="preserve">Origin, </w:t>
      </w:r>
      <w:r>
        <w:rPr>
          <w:i/>
        </w:rPr>
        <w:t>Submission to NSW Electricity Distributors’ Regulatory Proposals</w:t>
      </w:r>
      <w:r>
        <w:t>, 8 August 2014, p.38</w:t>
      </w:r>
    </w:p>
  </w:footnote>
  <w:footnote w:id="32">
    <w:p w:rsidR="0009007D" w:rsidRDefault="0009007D" w:rsidP="00D311E7">
      <w:pPr>
        <w:pStyle w:val="FootnoteText"/>
      </w:pPr>
      <w:r>
        <w:rPr>
          <w:rStyle w:val="FootnoteReference"/>
        </w:rPr>
        <w:footnoteRef/>
      </w:r>
      <w:r>
        <w:t xml:space="preserve"> </w:t>
      </w:r>
      <w:r>
        <w:tab/>
        <w:t>Endeavour Energy response to information request 030</w:t>
      </w:r>
    </w:p>
  </w:footnote>
  <w:footnote w:id="33">
    <w:p w:rsidR="0009007D" w:rsidRDefault="0009007D" w:rsidP="00D311E7">
      <w:pPr>
        <w:pStyle w:val="FootnoteText"/>
      </w:pPr>
      <w:r>
        <w:rPr>
          <w:rStyle w:val="FootnoteReference"/>
        </w:rPr>
        <w:footnoteRef/>
      </w:r>
      <w:r>
        <w:t xml:space="preserve"> </w:t>
      </w:r>
      <w:r>
        <w:tab/>
        <w:t>Marsden Jacob Associates, report.</w:t>
      </w:r>
    </w:p>
  </w:footnote>
  <w:footnote w:id="34">
    <w:p w:rsidR="0009007D" w:rsidRDefault="0009007D" w:rsidP="00D311E7">
      <w:pPr>
        <w:pStyle w:val="FootnoteText"/>
      </w:pPr>
      <w:r>
        <w:rPr>
          <w:rStyle w:val="FootnoteReference"/>
        </w:rPr>
        <w:footnoteRef/>
      </w:r>
      <w:r>
        <w:t xml:space="preserve"> </w:t>
      </w:r>
      <w:r>
        <w:tab/>
        <w:t>Endeavour Energy, response to AER information request 030, p. 3.</w:t>
      </w:r>
    </w:p>
  </w:footnote>
  <w:footnote w:id="35">
    <w:p w:rsidR="0009007D" w:rsidRDefault="0009007D" w:rsidP="00D311E7">
      <w:pPr>
        <w:pStyle w:val="FootnoteText"/>
      </w:pPr>
      <w:r>
        <w:rPr>
          <w:rStyle w:val="FootnoteReference"/>
        </w:rPr>
        <w:footnoteRef/>
      </w:r>
      <w:r>
        <w:t xml:space="preserve"> </w:t>
      </w:r>
      <w:r>
        <w:tab/>
      </w:r>
      <w:proofErr w:type="spellStart"/>
      <w:r>
        <w:t>Citipower</w:t>
      </w:r>
      <w:proofErr w:type="spellEnd"/>
      <w:r>
        <w:t xml:space="preserve"> meter test services and fees include:</w:t>
      </w:r>
    </w:p>
    <w:p w:rsidR="0009007D" w:rsidRDefault="0009007D" w:rsidP="00D311E7">
      <w:pPr>
        <w:pStyle w:val="FootnoteText"/>
      </w:pPr>
      <w:r>
        <w:t>Meter accuracy test - single phase - $361.18</w:t>
      </w:r>
    </w:p>
    <w:p w:rsidR="0009007D" w:rsidRDefault="0009007D" w:rsidP="00D311E7">
      <w:pPr>
        <w:pStyle w:val="FootnoteText"/>
      </w:pPr>
      <w:r>
        <w:t>Meter accuracy test - single phase additional meter - $161.25</w:t>
      </w:r>
    </w:p>
    <w:p w:rsidR="0009007D" w:rsidRDefault="0009007D" w:rsidP="00D311E7">
      <w:pPr>
        <w:pStyle w:val="FootnoteText"/>
      </w:pPr>
      <w:r>
        <w:t>Meter accuracy test - multiphase - $472.59</w:t>
      </w:r>
    </w:p>
    <w:p w:rsidR="0009007D" w:rsidRDefault="0009007D" w:rsidP="00D311E7">
      <w:pPr>
        <w:pStyle w:val="FootnoteText"/>
      </w:pPr>
      <w:r>
        <w:t>Meter accuracy test - multiphase additional meter - $277.70</w:t>
      </w:r>
    </w:p>
    <w:p w:rsidR="0009007D" w:rsidRDefault="0009007D" w:rsidP="00D311E7">
      <w:pPr>
        <w:pStyle w:val="FootnoteText"/>
      </w:pPr>
      <w:r>
        <w:t>Meter accuracy test - CT - $461.68 (continued)</w:t>
      </w:r>
    </w:p>
    <w:p w:rsidR="0009007D" w:rsidRDefault="0009007D" w:rsidP="00F203C2">
      <w:pPr>
        <w:pStyle w:val="FootnoteText"/>
        <w:ind w:left="0" w:firstLine="0"/>
      </w:pPr>
    </w:p>
    <w:p w:rsidR="0009007D" w:rsidRDefault="0009007D" w:rsidP="00F203C2">
      <w:pPr>
        <w:pStyle w:val="FootnoteText"/>
        <w:ind w:left="0" w:firstLine="0"/>
      </w:pPr>
      <w:r>
        <w:t>Powercor meter test services and fees include:</w:t>
      </w:r>
    </w:p>
    <w:p w:rsidR="0009007D" w:rsidRDefault="0009007D" w:rsidP="00D311E7">
      <w:pPr>
        <w:pStyle w:val="FootnoteText"/>
      </w:pPr>
      <w:r>
        <w:t>Meter accuracy test - single phase - $369.90</w:t>
      </w:r>
    </w:p>
    <w:p w:rsidR="0009007D" w:rsidRDefault="0009007D" w:rsidP="00D311E7">
      <w:pPr>
        <w:pStyle w:val="FootnoteText"/>
      </w:pPr>
      <w:r>
        <w:t>Meter accuracy test - single phase additional meter - $151</w:t>
      </w:r>
    </w:p>
    <w:p w:rsidR="0009007D" w:rsidRDefault="0009007D" w:rsidP="00D311E7">
      <w:pPr>
        <w:pStyle w:val="FootnoteText"/>
      </w:pPr>
      <w:r>
        <w:t>Meter accuracy test - multiphase - $473.69</w:t>
      </w:r>
    </w:p>
    <w:p w:rsidR="0009007D" w:rsidRDefault="0009007D" w:rsidP="00D311E7">
      <w:pPr>
        <w:pStyle w:val="FootnoteText"/>
      </w:pPr>
      <w:r>
        <w:t>Meter accuracy test - multiphase additional meter - $255.22</w:t>
      </w:r>
    </w:p>
    <w:p w:rsidR="0009007D" w:rsidRDefault="0009007D" w:rsidP="00D311E7">
      <w:pPr>
        <w:pStyle w:val="FootnoteText"/>
      </w:pPr>
      <w:r>
        <w:t>Meter accuracy test - CT - $464.33</w:t>
      </w:r>
    </w:p>
    <w:p w:rsidR="0009007D" w:rsidRDefault="0009007D" w:rsidP="00F203C2">
      <w:pPr>
        <w:pStyle w:val="FootnoteText"/>
        <w:ind w:left="0" w:firstLine="0"/>
      </w:pPr>
    </w:p>
    <w:p w:rsidR="0009007D" w:rsidRDefault="0009007D" w:rsidP="00F203C2">
      <w:pPr>
        <w:pStyle w:val="FootnoteText"/>
        <w:ind w:left="0" w:firstLine="0"/>
      </w:pPr>
      <w:proofErr w:type="spellStart"/>
      <w:r>
        <w:t>SPAusnet</w:t>
      </w:r>
      <w:proofErr w:type="spellEnd"/>
      <w:r>
        <w:t xml:space="preserve"> meter test services include:</w:t>
      </w:r>
    </w:p>
    <w:p w:rsidR="0009007D" w:rsidRDefault="0009007D" w:rsidP="00D311E7">
      <w:pPr>
        <w:pStyle w:val="FootnoteText"/>
      </w:pPr>
      <w:r>
        <w:t>Single phase - $155.55</w:t>
      </w:r>
    </w:p>
    <w:p w:rsidR="0009007D" w:rsidRDefault="0009007D" w:rsidP="00D311E7">
      <w:pPr>
        <w:pStyle w:val="FootnoteText"/>
      </w:pPr>
      <w:r>
        <w:t>Single phase each additional meter - $53.62</w:t>
      </w:r>
    </w:p>
    <w:p w:rsidR="0009007D" w:rsidRDefault="0009007D" w:rsidP="00D311E7">
      <w:pPr>
        <w:pStyle w:val="FootnoteText"/>
      </w:pPr>
      <w:r>
        <w:t>Multiphase - $209.19</w:t>
      </w:r>
    </w:p>
    <w:p w:rsidR="0009007D" w:rsidRDefault="0009007D" w:rsidP="00D311E7">
      <w:pPr>
        <w:pStyle w:val="FootnoteText"/>
      </w:pPr>
      <w:r>
        <w:t>Multiphase each additional meter - $69.72</w:t>
      </w:r>
    </w:p>
    <w:p w:rsidR="0009007D" w:rsidRDefault="0009007D" w:rsidP="00D311E7">
      <w:pPr>
        <w:pStyle w:val="FootnoteText"/>
      </w:pPr>
    </w:p>
    <w:p w:rsidR="0009007D" w:rsidRDefault="0009007D" w:rsidP="00D311E7">
      <w:pPr>
        <w:pStyle w:val="FootnoteText"/>
      </w:pPr>
      <w:r>
        <w:t>United Energy meter test services include:</w:t>
      </w:r>
    </w:p>
    <w:p w:rsidR="0009007D" w:rsidRDefault="0009007D" w:rsidP="00D311E7">
      <w:pPr>
        <w:pStyle w:val="FootnoteText"/>
      </w:pPr>
      <w:r>
        <w:t>Single phase - $55.25</w:t>
      </w:r>
    </w:p>
    <w:p w:rsidR="0009007D" w:rsidRDefault="0009007D" w:rsidP="00D311E7">
      <w:pPr>
        <w:pStyle w:val="FootnoteText"/>
      </w:pPr>
      <w:r>
        <w:t>Single phase each additional meter - $49.10</w:t>
      </w:r>
    </w:p>
    <w:p w:rsidR="0009007D" w:rsidRDefault="0009007D" w:rsidP="00D311E7">
      <w:pPr>
        <w:pStyle w:val="FootnoteText"/>
      </w:pPr>
      <w:r>
        <w:t>Multiphase - $85.94</w:t>
      </w:r>
    </w:p>
    <w:p w:rsidR="0009007D" w:rsidRDefault="0009007D" w:rsidP="00D311E7">
      <w:pPr>
        <w:pStyle w:val="FootnoteText"/>
      </w:pPr>
      <w:r>
        <w:t>Multiphase each additional meter - $79.80</w:t>
      </w:r>
    </w:p>
    <w:p w:rsidR="0009007D" w:rsidRDefault="0009007D" w:rsidP="00D311E7">
      <w:pPr>
        <w:pStyle w:val="FootnoteText"/>
      </w:pPr>
    </w:p>
    <w:p w:rsidR="0009007D" w:rsidRDefault="0009007D" w:rsidP="00D311E7">
      <w:pPr>
        <w:pStyle w:val="FootnoteText"/>
      </w:pPr>
      <w:r>
        <w:t>Aurora meter test service fees include:</w:t>
      </w:r>
    </w:p>
    <w:p w:rsidR="0009007D" w:rsidRDefault="0009007D" w:rsidP="00D311E7">
      <w:pPr>
        <w:pStyle w:val="FootnoteText"/>
      </w:pPr>
      <w:r>
        <w:t>Single phase - $294.89</w:t>
      </w:r>
    </w:p>
    <w:p w:rsidR="0009007D" w:rsidRDefault="0009007D" w:rsidP="00D311E7">
      <w:pPr>
        <w:pStyle w:val="FootnoteText"/>
      </w:pPr>
      <w:r>
        <w:t>Multiphase - $589.78</w:t>
      </w:r>
    </w:p>
    <w:p w:rsidR="0009007D" w:rsidRDefault="0009007D" w:rsidP="00D311E7">
      <w:pPr>
        <w:pStyle w:val="FootnoteText"/>
      </w:pPr>
      <w:r>
        <w:t>Meter test CT - $655.31</w:t>
      </w:r>
    </w:p>
    <w:p w:rsidR="0009007D" w:rsidRDefault="0009007D" w:rsidP="00D311E7">
      <w:pPr>
        <w:pStyle w:val="FootnoteText"/>
      </w:pPr>
      <w:r>
        <w:t>Meter test after hours - $786.37</w:t>
      </w:r>
    </w:p>
    <w:p w:rsidR="0009007D" w:rsidRDefault="0009007D" w:rsidP="00D311E7">
      <w:pPr>
        <w:pStyle w:val="FootnoteText"/>
      </w:pPr>
      <w:r>
        <w:t>Meter test wasted visit - $98.30</w:t>
      </w:r>
    </w:p>
    <w:p w:rsidR="0009007D" w:rsidRDefault="0009007D" w:rsidP="00D311E7">
      <w:pPr>
        <w:pStyle w:val="FootnoteText"/>
      </w:pPr>
    </w:p>
  </w:footnote>
  <w:footnote w:id="36">
    <w:p w:rsidR="0009007D" w:rsidRPr="000B334C" w:rsidRDefault="0009007D" w:rsidP="00D311E7">
      <w:pPr>
        <w:pStyle w:val="FootnoteText"/>
      </w:pPr>
      <w:r>
        <w:rPr>
          <w:rStyle w:val="FootnoteReference"/>
        </w:rPr>
        <w:footnoteRef/>
      </w:r>
      <w:r>
        <w:t xml:space="preserve"> </w:t>
      </w:r>
      <w:r>
        <w:tab/>
        <w:t xml:space="preserve">AGL, </w:t>
      </w:r>
      <w:r>
        <w:rPr>
          <w:i/>
        </w:rPr>
        <w:t>NSW Electricity Distribution Networks Regulatory Proposals: 2014–19 – AGL submission to the Australian Energy Regulator</w:t>
      </w:r>
      <w:r>
        <w:t>, 8 August 2014, p. 30.</w:t>
      </w:r>
    </w:p>
  </w:footnote>
  <w:footnote w:id="37">
    <w:p w:rsidR="0009007D" w:rsidRDefault="0009007D" w:rsidP="00D311E7">
      <w:pPr>
        <w:pStyle w:val="FootnoteText"/>
      </w:pPr>
      <w:r>
        <w:rPr>
          <w:rStyle w:val="FootnoteReference"/>
        </w:rPr>
        <w:footnoteRef/>
      </w:r>
      <w:r>
        <w:t xml:space="preserve"> </w:t>
      </w:r>
      <w:r>
        <w:tab/>
        <w:t xml:space="preserve">AGL, </w:t>
      </w:r>
      <w:r w:rsidRPr="00A339FC">
        <w:t>NSW Electricity Distribution Networks Regulatory Proposals: 2014–19 – AGL submission to the Australian Energy Regulator</w:t>
      </w:r>
      <w:r>
        <w:t>, 8 August 2014, p. 32.</w:t>
      </w:r>
    </w:p>
  </w:footnote>
  <w:footnote w:id="38">
    <w:p w:rsidR="0009007D" w:rsidRDefault="0009007D" w:rsidP="00D311E7">
      <w:pPr>
        <w:pStyle w:val="FootnoteText"/>
      </w:pPr>
      <w:r>
        <w:rPr>
          <w:rStyle w:val="FootnoteReference"/>
        </w:rPr>
        <w:footnoteRef/>
      </w:r>
      <w:r>
        <w:t xml:space="preserve"> </w:t>
      </w:r>
      <w:r>
        <w:tab/>
        <w:t>Endeavour Energy, response to AER information request 030, p. 4.</w:t>
      </w:r>
    </w:p>
  </w:footnote>
  <w:footnote w:id="39">
    <w:p w:rsidR="0009007D" w:rsidRDefault="0009007D" w:rsidP="00D311E7">
      <w:pPr>
        <w:pStyle w:val="FootnoteText"/>
      </w:pPr>
      <w:r>
        <w:rPr>
          <w:rStyle w:val="FootnoteReference"/>
        </w:rPr>
        <w:footnoteRef/>
      </w:r>
      <w:r>
        <w:t xml:space="preserve"> </w:t>
      </w:r>
      <w:r>
        <w:tab/>
        <w:t>Endeavour Energy, response to AER information request 030, p. 4.</w:t>
      </w:r>
    </w:p>
  </w:footnote>
  <w:footnote w:id="40">
    <w:p w:rsidR="0009007D" w:rsidRDefault="0009007D" w:rsidP="00D311E7">
      <w:pPr>
        <w:pStyle w:val="FootnoteText"/>
      </w:pPr>
      <w:r>
        <w:rPr>
          <w:rStyle w:val="FootnoteReference"/>
        </w:rPr>
        <w:footnoteRef/>
      </w:r>
      <w:r>
        <w:t xml:space="preserve"> </w:t>
      </w:r>
      <w:r>
        <w:tab/>
        <w:t>The disconnection fee charged by Aurora is $53.77, Energex is $54.93 and $70.30 (for site visit)/ Ergon disconnection fee for short rural is $102.24 and $592.66 for long rural.</w:t>
      </w:r>
    </w:p>
  </w:footnote>
  <w:footnote w:id="41">
    <w:p w:rsidR="0009007D" w:rsidRDefault="0009007D" w:rsidP="00D311E7">
      <w:pPr>
        <w:pStyle w:val="FootnoteText"/>
      </w:pPr>
      <w:r>
        <w:rPr>
          <w:rStyle w:val="FootnoteReference"/>
        </w:rPr>
        <w:footnoteRef/>
      </w:r>
      <w:r>
        <w:t xml:space="preserve"> </w:t>
      </w:r>
      <w:r>
        <w:tab/>
        <w:t xml:space="preserve">AGL, </w:t>
      </w:r>
      <w:r>
        <w:rPr>
          <w:i/>
        </w:rPr>
        <w:t>NSW Electricity Distribution Networks Regulatory Proposals: 2014–19 – AGL submission to the Australian Energy Regulator</w:t>
      </w:r>
      <w:r>
        <w:t>, 8 August 2014, p. 32.</w:t>
      </w:r>
    </w:p>
  </w:footnote>
  <w:footnote w:id="42">
    <w:p w:rsidR="0009007D" w:rsidRDefault="0009007D" w:rsidP="00D311E7">
      <w:pPr>
        <w:pStyle w:val="FootnoteText"/>
      </w:pPr>
      <w:r>
        <w:rPr>
          <w:rStyle w:val="FootnoteReference"/>
        </w:rPr>
        <w:footnoteRef/>
      </w:r>
      <w:r>
        <w:t xml:space="preserve"> </w:t>
      </w:r>
      <w:r>
        <w:tab/>
        <w:t>Endeavour Energy, response to AER information request 030, p. 4.</w:t>
      </w:r>
    </w:p>
  </w:footnote>
  <w:footnote w:id="43">
    <w:p w:rsidR="0009007D" w:rsidRDefault="0009007D" w:rsidP="00D311E7">
      <w:pPr>
        <w:pStyle w:val="FootnoteText"/>
      </w:pPr>
      <w:r>
        <w:rPr>
          <w:rStyle w:val="FootnoteReference"/>
        </w:rPr>
        <w:footnoteRef/>
      </w:r>
      <w:r>
        <w:t xml:space="preserve"> </w:t>
      </w:r>
      <w:r>
        <w:tab/>
        <w:t>Endeavour Energy, response to AER information request 030, p. 4.</w:t>
      </w:r>
    </w:p>
  </w:footnote>
  <w:footnote w:id="44">
    <w:p w:rsidR="0009007D" w:rsidRDefault="0009007D" w:rsidP="00D311E7">
      <w:pPr>
        <w:pStyle w:val="FootnoteText"/>
      </w:pPr>
      <w:r>
        <w:rPr>
          <w:rStyle w:val="FootnoteReference"/>
        </w:rPr>
        <w:footnoteRef/>
      </w:r>
      <w:r>
        <w:t xml:space="preserve"> </w:t>
      </w:r>
      <w:r>
        <w:tab/>
        <w:t xml:space="preserve">AGL, </w:t>
      </w:r>
      <w:r>
        <w:rPr>
          <w:i/>
        </w:rPr>
        <w:t>NSW Electricity Distribution Networks Regulatory Proposals: 2014–19 – AGL submission to the Australian Energy Regulator</w:t>
      </w:r>
      <w:r>
        <w:t>, 8 August 2014, p. 32.</w:t>
      </w:r>
    </w:p>
  </w:footnote>
  <w:footnote w:id="45">
    <w:p w:rsidR="0009007D" w:rsidRDefault="0009007D" w:rsidP="00D311E7">
      <w:pPr>
        <w:pStyle w:val="FootnoteText"/>
      </w:pPr>
      <w:r>
        <w:rPr>
          <w:rStyle w:val="FootnoteReference"/>
        </w:rPr>
        <w:footnoteRef/>
      </w:r>
      <w:r>
        <w:t xml:space="preserve"> </w:t>
      </w:r>
      <w:r>
        <w:tab/>
        <w:t xml:space="preserve">AGL, </w:t>
      </w:r>
      <w:r w:rsidRPr="00AC6415">
        <w:t>NSW Electricity Distribution Networks Regulatory Proposals: 2014–19 – AGL submission to the Australian Energy Regulator</w:t>
      </w:r>
      <w:r>
        <w:t>, 8 August 2014, p. 32.</w:t>
      </w:r>
    </w:p>
  </w:footnote>
  <w:footnote w:id="46">
    <w:p w:rsidR="0009007D" w:rsidRDefault="0009007D" w:rsidP="00862963">
      <w:pPr>
        <w:pStyle w:val="FootnoteText"/>
      </w:pPr>
      <w:r>
        <w:rPr>
          <w:rStyle w:val="FootnoteReference"/>
        </w:rPr>
        <w:footnoteRef/>
      </w:r>
      <w:r>
        <w:t xml:space="preserve"> </w:t>
      </w:r>
      <w:r>
        <w:tab/>
        <w:t xml:space="preserve">AGL, </w:t>
      </w:r>
      <w:r w:rsidRPr="00AC6415">
        <w:t>NSW Electricity Distribution Networks Regulatory Proposals: 2014–19 – AGL submission to the Australian Energy Regulator</w:t>
      </w:r>
      <w:r>
        <w:t>, 8 August 2014, p. 32.</w:t>
      </w:r>
    </w:p>
  </w:footnote>
  <w:footnote w:id="47">
    <w:p w:rsidR="0009007D" w:rsidRDefault="0009007D" w:rsidP="00D311E7">
      <w:pPr>
        <w:pStyle w:val="FootnoteText"/>
      </w:pPr>
      <w:r>
        <w:rPr>
          <w:rStyle w:val="FootnoteReference"/>
        </w:rPr>
        <w:footnoteRef/>
      </w:r>
      <w:r>
        <w:t xml:space="preserve"> </w:t>
      </w:r>
      <w:r>
        <w:tab/>
        <w:t xml:space="preserve">Essential Energy, </w:t>
      </w:r>
      <w:r>
        <w:rPr>
          <w:i/>
        </w:rPr>
        <w:t>Essential Energy’s response – Ancillary Service Fee Questions 20 October 2014</w:t>
      </w:r>
      <w:r>
        <w:t xml:space="preserve">, 20 October 2014, p.1; and Ausgrid, </w:t>
      </w:r>
      <w:r>
        <w:rPr>
          <w:i/>
        </w:rPr>
        <w:t>Ausgrid’s response to the AER’s information request of 17 October 2014</w:t>
      </w:r>
      <w:r>
        <w:t>, 17 October 2014, p.1.</w:t>
      </w:r>
    </w:p>
  </w:footnote>
  <w:footnote w:id="48">
    <w:p w:rsidR="0009007D" w:rsidRDefault="0009007D" w:rsidP="00D311E7">
      <w:pPr>
        <w:pStyle w:val="FootnoteText"/>
      </w:pPr>
      <w:r>
        <w:rPr>
          <w:rStyle w:val="FootnoteReference"/>
        </w:rPr>
        <w:footnoteRef/>
      </w:r>
      <w:r>
        <w:t xml:space="preserve"> </w:t>
      </w:r>
      <w:r>
        <w:tab/>
        <w:t xml:space="preserve">Essential Energy, </w:t>
      </w:r>
      <w:r>
        <w:rPr>
          <w:i/>
        </w:rPr>
        <w:t>Essential Energy’s response – Ancillary Service Fee Questions 20 October 2014</w:t>
      </w:r>
      <w:r>
        <w:t>, 20 October 2014, p.1</w:t>
      </w:r>
    </w:p>
  </w:footnote>
  <w:footnote w:id="49">
    <w:p w:rsidR="0009007D" w:rsidRDefault="0009007D" w:rsidP="00EB6E3E">
      <w:pPr>
        <w:pStyle w:val="FootnoteText"/>
      </w:pPr>
      <w:r>
        <w:rPr>
          <w:rStyle w:val="FootnoteReference"/>
        </w:rPr>
        <w:footnoteRef/>
      </w:r>
      <w:r>
        <w:t xml:space="preserve"> </w:t>
      </w:r>
      <w:r>
        <w:tab/>
      </w:r>
      <w:proofErr w:type="gramStart"/>
      <w:r w:rsidRPr="009C43CC">
        <w:t>NER clause 7.2.3(a)</w:t>
      </w:r>
      <w:r>
        <w:t>.</w:t>
      </w:r>
      <w:proofErr w:type="gramEnd"/>
      <w:r>
        <w:t xml:space="preserve"> </w:t>
      </w:r>
      <w:proofErr w:type="gramStart"/>
      <w:r>
        <w:t>Small customers refers</w:t>
      </w:r>
      <w:proofErr w:type="gramEnd"/>
      <w:r>
        <w:t xml:space="preserve"> to any customer with less than 160MWh annual consumption (effectively all residential and small business customers fall into this category). </w:t>
      </w:r>
    </w:p>
  </w:footnote>
  <w:footnote w:id="50">
    <w:p w:rsidR="0009007D" w:rsidRPr="001B7980" w:rsidRDefault="0009007D" w:rsidP="00EB6E3E">
      <w:pPr>
        <w:pStyle w:val="FootnoteText"/>
        <w:rPr>
          <w:i/>
        </w:rPr>
      </w:pPr>
      <w:r>
        <w:rPr>
          <w:rStyle w:val="FootnoteReference"/>
        </w:rPr>
        <w:footnoteRef/>
      </w:r>
      <w:r>
        <w:t xml:space="preserve"> </w:t>
      </w:r>
      <w:r>
        <w:tab/>
      </w:r>
      <w:proofErr w:type="gramStart"/>
      <w:r>
        <w:t>AEMC</w:t>
      </w:r>
      <w:r w:rsidRPr="001B7980">
        <w:t xml:space="preserve">, </w:t>
      </w:r>
      <w:r w:rsidRPr="001B7980">
        <w:rPr>
          <w:i/>
        </w:rPr>
        <w:t>Expanding competition in metering and related services in the National Electricity Market, Consultation Paper,</w:t>
      </w:r>
      <w:r>
        <w:t xml:space="preserve"> 17 April 2014</w:t>
      </w:r>
      <w:r w:rsidRPr="001B7980">
        <w:t>.</w:t>
      </w:r>
      <w:proofErr w:type="gramEnd"/>
    </w:p>
  </w:footnote>
  <w:footnote w:id="51">
    <w:p w:rsidR="0009007D" w:rsidRDefault="0009007D" w:rsidP="00EB6E3E">
      <w:pPr>
        <w:pStyle w:val="FootnoteText"/>
      </w:pPr>
      <w:r>
        <w:rPr>
          <w:rStyle w:val="FootnoteReference"/>
        </w:rPr>
        <w:footnoteRef/>
      </w:r>
      <w:r>
        <w:t xml:space="preserve"> </w:t>
      </w:r>
      <w:r>
        <w:tab/>
      </w:r>
      <w:proofErr w:type="gramStart"/>
      <w:r w:rsidRPr="00751753">
        <w:t xml:space="preserve">AER, </w:t>
      </w:r>
      <w:r w:rsidRPr="00751753">
        <w:rPr>
          <w:rStyle w:val="AERtextitalic"/>
        </w:rPr>
        <w:t>Stage 1 Framework and Approach – NSW electricity distribution network providers</w:t>
      </w:r>
      <w:r w:rsidRPr="00751753">
        <w:t>, March 2013, p. 32.</w:t>
      </w:r>
      <w:proofErr w:type="gramEnd"/>
      <w:r>
        <w:t xml:space="preserve"> A type 6 meter is an accumulation meter. A type 5 meter is a manually read interval meter.</w:t>
      </w:r>
    </w:p>
  </w:footnote>
  <w:footnote w:id="52">
    <w:p w:rsidR="0009007D" w:rsidRDefault="0009007D" w:rsidP="00EB6E3E">
      <w:pPr>
        <w:pStyle w:val="FootnoteText"/>
      </w:pPr>
      <w:r>
        <w:rPr>
          <w:rStyle w:val="FootnoteReference"/>
        </w:rPr>
        <w:footnoteRef/>
      </w:r>
      <w:r>
        <w:t xml:space="preserve"> </w:t>
      </w:r>
      <w:r>
        <w:tab/>
      </w:r>
      <w:proofErr w:type="gramStart"/>
      <w:r w:rsidRPr="00751753">
        <w:t xml:space="preserve">AER, </w:t>
      </w:r>
      <w:r w:rsidRPr="00751753">
        <w:rPr>
          <w:rStyle w:val="AERtextitalic"/>
        </w:rPr>
        <w:t>Stage 1 Framework and Approach – NSW electricity distribution network providers</w:t>
      </w:r>
      <w:r>
        <w:t>, March 2013, p. 43</w:t>
      </w:r>
      <w:r w:rsidRPr="00751753">
        <w:t>.</w:t>
      </w:r>
      <w:proofErr w:type="gramEnd"/>
    </w:p>
  </w:footnote>
  <w:footnote w:id="53">
    <w:p w:rsidR="0009007D" w:rsidRDefault="0009007D" w:rsidP="00EB6E3E">
      <w:pPr>
        <w:pStyle w:val="FootnoteText"/>
      </w:pPr>
      <w:r>
        <w:rPr>
          <w:rStyle w:val="FootnoteReference"/>
        </w:rPr>
        <w:footnoteRef/>
      </w:r>
      <w:r>
        <w:t xml:space="preserve"> </w:t>
      </w:r>
      <w:r>
        <w:tab/>
        <w:t xml:space="preserve">Endeavour Energy, </w:t>
      </w:r>
      <w:r w:rsidRPr="004D5C55">
        <w:rPr>
          <w:i/>
        </w:rPr>
        <w:t xml:space="preserve">Regulatory Proposal, </w:t>
      </w:r>
      <w:r>
        <w:rPr>
          <w:i/>
        </w:rPr>
        <w:t xml:space="preserve">Supporting </w:t>
      </w:r>
      <w:r w:rsidRPr="004D5C55">
        <w:rPr>
          <w:i/>
        </w:rPr>
        <w:t>Attachment 8.07, Endeavour Energy’s Approach to Pricing Types 5 &amp; 6 Metering Services</w:t>
      </w:r>
      <w:r>
        <w:t>, May 2014, p. 6.</w:t>
      </w:r>
    </w:p>
  </w:footnote>
  <w:footnote w:id="54">
    <w:p w:rsidR="0009007D" w:rsidRDefault="0009007D" w:rsidP="00EB6E3E">
      <w:pPr>
        <w:pStyle w:val="FootnoteText"/>
      </w:pPr>
      <w:r>
        <w:rPr>
          <w:rStyle w:val="FootnoteReference"/>
        </w:rPr>
        <w:footnoteRef/>
      </w:r>
      <w:r>
        <w:t xml:space="preserve"> </w:t>
      </w:r>
      <w:r>
        <w:tab/>
        <w:t>Endeavour Energy</w:t>
      </w:r>
      <w:r w:rsidRPr="00231034">
        <w:t xml:space="preserve">, </w:t>
      </w:r>
      <w:r w:rsidRPr="0086766F">
        <w:rPr>
          <w:rStyle w:val="AERtextitalic"/>
        </w:rPr>
        <w:t>Regulatory proposal,</w:t>
      </w:r>
      <w:r>
        <w:rPr>
          <w:rStyle w:val="AERtextitalic"/>
        </w:rPr>
        <w:t xml:space="preserve"> supporting attachment 8.07, </w:t>
      </w:r>
      <w:r w:rsidRPr="004D5C55">
        <w:rPr>
          <w:i/>
        </w:rPr>
        <w:t>Endeavour Energy’s Approach to Pricing Types 5 &amp; 6 Metering Services</w:t>
      </w:r>
      <w:r>
        <w:t>, May 2014, p. 9</w:t>
      </w:r>
      <w:r w:rsidRPr="00231034">
        <w:t>.</w:t>
      </w:r>
    </w:p>
  </w:footnote>
  <w:footnote w:id="55">
    <w:p w:rsidR="0009007D" w:rsidRDefault="0009007D" w:rsidP="00393B4F">
      <w:pPr>
        <w:pStyle w:val="FootnoteText"/>
      </w:pPr>
      <w:r>
        <w:rPr>
          <w:rStyle w:val="FootnoteReference"/>
        </w:rPr>
        <w:footnoteRef/>
      </w:r>
      <w:r>
        <w:t xml:space="preserve"> </w:t>
      </w:r>
      <w:r>
        <w:tab/>
      </w:r>
      <w:proofErr w:type="gramStart"/>
      <w:r>
        <w:t>NER, clauses 6.15.2(7).</w:t>
      </w:r>
      <w:proofErr w:type="gramEnd"/>
    </w:p>
  </w:footnote>
  <w:footnote w:id="56">
    <w:p w:rsidR="0009007D" w:rsidRDefault="0009007D" w:rsidP="007A5905">
      <w:pPr>
        <w:pStyle w:val="FootnoteText"/>
      </w:pPr>
      <w:r>
        <w:rPr>
          <w:rStyle w:val="FootnoteReference"/>
        </w:rPr>
        <w:footnoteRef/>
      </w:r>
      <w:r>
        <w:t xml:space="preserve"> </w:t>
      </w:r>
      <w:r>
        <w:tab/>
        <w:t xml:space="preserve">Victorian distributors rolled out advanced metering technology in the last regulatory period. These costs are not comparable to other distributors which have type 5 and 6 meters. </w:t>
      </w:r>
    </w:p>
  </w:footnote>
  <w:footnote w:id="57">
    <w:p w:rsidR="0009007D" w:rsidRDefault="0009007D">
      <w:pPr>
        <w:pStyle w:val="FootnoteText"/>
      </w:pPr>
      <w:r>
        <w:rPr>
          <w:rStyle w:val="FootnoteReference"/>
        </w:rPr>
        <w:footnoteRef/>
      </w:r>
      <w:r>
        <w:t xml:space="preserve"> </w:t>
      </w:r>
      <w:r>
        <w:tab/>
        <w:t>To be consistent in our analysis, the customer numbers we used for benchmarking and trending forward was the sum of residential and non-residential customers not on a demand tariff (provided in the economic benchmarking and regulatory RIN responses) as a proxy for type 5 and 6 metering customers.</w:t>
      </w:r>
    </w:p>
  </w:footnote>
  <w:footnote w:id="58">
    <w:p w:rsidR="0009007D" w:rsidRDefault="0009007D" w:rsidP="00EB6E3E">
      <w:pPr>
        <w:pStyle w:val="FootnoteText"/>
      </w:pPr>
      <w:r>
        <w:rPr>
          <w:rStyle w:val="FootnoteReference"/>
        </w:rPr>
        <w:footnoteRef/>
      </w:r>
      <w:r>
        <w:t xml:space="preserve"> </w:t>
      </w:r>
      <w:r>
        <w:tab/>
      </w:r>
      <w:proofErr w:type="gramStart"/>
      <w:r>
        <w:t>NER, clause 6.5.7.</w:t>
      </w:r>
      <w:proofErr w:type="gramEnd"/>
    </w:p>
  </w:footnote>
  <w:footnote w:id="59">
    <w:p w:rsidR="0009007D" w:rsidRDefault="0009007D" w:rsidP="00EB6E3E">
      <w:pPr>
        <w:pStyle w:val="FootnoteText"/>
      </w:pPr>
      <w:r>
        <w:rPr>
          <w:rStyle w:val="FootnoteReference"/>
        </w:rPr>
        <w:footnoteRef/>
      </w:r>
      <w:r>
        <w:t xml:space="preserve"> </w:t>
      </w:r>
      <w:r>
        <w:tab/>
      </w:r>
      <w:proofErr w:type="gramStart"/>
      <w:r>
        <w:t>NER, clause 6.5.7(c).</w:t>
      </w:r>
      <w:proofErr w:type="gramEnd"/>
    </w:p>
  </w:footnote>
  <w:footnote w:id="60">
    <w:p w:rsidR="0009007D" w:rsidRDefault="0009007D" w:rsidP="00EB6E3E">
      <w:pPr>
        <w:pStyle w:val="FootnoteText"/>
      </w:pPr>
      <w:r>
        <w:rPr>
          <w:rStyle w:val="FootnoteReference"/>
        </w:rPr>
        <w:footnoteRef/>
      </w:r>
      <w:r>
        <w:t xml:space="preserve"> </w:t>
      </w:r>
      <w:r>
        <w:tab/>
      </w:r>
      <w:proofErr w:type="gramStart"/>
      <w:r>
        <w:t>NER, clauses 6.12.3 (b) (cl).</w:t>
      </w:r>
      <w:proofErr w:type="gramEnd"/>
      <w:r>
        <w:t xml:space="preserve"> We may depart</w:t>
      </w:r>
      <w:r w:rsidRPr="00067C7D">
        <w:t xml:space="preserve"> from the classification</w:t>
      </w:r>
      <w:r>
        <w:t xml:space="preserve"> and control mechanism decisions</w:t>
      </w:r>
      <w:r w:rsidRPr="00067C7D">
        <w:t xml:space="preserve"> </w:t>
      </w:r>
      <w:r>
        <w:t xml:space="preserve">made in our framework and approach </w:t>
      </w:r>
      <w:r w:rsidRPr="00067C7D">
        <w:t>paper</w:t>
      </w:r>
      <w:r>
        <w:t xml:space="preserve"> if we consider there have been unforeseen circumstances</w:t>
      </w:r>
      <w:r w:rsidRPr="00067C7D">
        <w:t>.</w:t>
      </w:r>
      <w:r>
        <w:t xml:space="preserve"> The unforeseen circumstance in this case was that there previously was no stranding risk because customers had no choice to exit regulated metering. As such, we did not consider residual metering costs in our framework and approach paper (March 2013) which was released prior to SCER metering rule change request (October 2013).  </w:t>
      </w:r>
    </w:p>
  </w:footnote>
  <w:footnote w:id="61">
    <w:p w:rsidR="0009007D" w:rsidRDefault="0009007D" w:rsidP="00EB6E3E">
      <w:pPr>
        <w:pStyle w:val="FootnoteText"/>
      </w:pPr>
      <w:r>
        <w:rPr>
          <w:rStyle w:val="FootnoteReference"/>
        </w:rPr>
        <w:footnoteRef/>
      </w:r>
      <w:r>
        <w:t xml:space="preserve"> </w:t>
      </w:r>
      <w:r>
        <w:tab/>
        <w:t xml:space="preserve">Consumer Challenge Panel, </w:t>
      </w:r>
      <w:r w:rsidRPr="00CD63FF">
        <w:rPr>
          <w:i/>
        </w:rPr>
        <w:t>Updated submission on NSW DNSPs regulatory proposals 2014-19</w:t>
      </w:r>
      <w:r>
        <w:t>,</w:t>
      </w:r>
      <w:r w:rsidRPr="00CD63FF">
        <w:t xml:space="preserve"> 15 August 2014</w:t>
      </w:r>
      <w:r>
        <w:t>, pp. 36-7</w:t>
      </w:r>
    </w:p>
    <w:p w:rsidR="0009007D" w:rsidRDefault="0009007D" w:rsidP="00EB6E3E">
      <w:pPr>
        <w:pStyle w:val="FootnoteText"/>
      </w:pPr>
      <w:r>
        <w:tab/>
        <w:t xml:space="preserve">Vector Limited, </w:t>
      </w:r>
      <w:r w:rsidRPr="00CD63FF">
        <w:rPr>
          <w:i/>
        </w:rPr>
        <w:t>Submission on AER Issues paper on NSW electricity distribution regulatory proposals</w:t>
      </w:r>
      <w:r>
        <w:t xml:space="preserve">, </w:t>
      </w:r>
      <w:r w:rsidRPr="00CD63FF">
        <w:t>8 August 2014</w:t>
      </w:r>
      <w:r>
        <w:t>, p.  4.</w:t>
      </w:r>
    </w:p>
    <w:p w:rsidR="0009007D" w:rsidRDefault="0009007D" w:rsidP="00EB6E3E">
      <w:pPr>
        <w:pStyle w:val="FootnoteText"/>
      </w:pPr>
      <w:r>
        <w:tab/>
        <w:t xml:space="preserve">ERAA, </w:t>
      </w:r>
      <w:r w:rsidRPr="00CD63FF">
        <w:rPr>
          <w:i/>
        </w:rPr>
        <w:t>Submission on Issues paper NSW electricity distribution regulatory proposals</w:t>
      </w:r>
      <w:r>
        <w:t>,</w:t>
      </w:r>
      <w:r w:rsidRPr="00CD63FF">
        <w:t xml:space="preserve"> 8 August 2014</w:t>
      </w:r>
      <w:r>
        <w:t>, p. 2.</w:t>
      </w:r>
    </w:p>
    <w:p w:rsidR="0009007D" w:rsidRDefault="0009007D" w:rsidP="00EB6E3E">
      <w:pPr>
        <w:pStyle w:val="FootnoteText"/>
      </w:pPr>
      <w:r>
        <w:tab/>
        <w:t>Origin</w:t>
      </w:r>
      <w:r w:rsidRPr="00CD63FF">
        <w:t xml:space="preserve"> </w:t>
      </w:r>
      <w:r>
        <w:t>Energy,</w:t>
      </w:r>
      <w:r w:rsidRPr="00CD63FF">
        <w:t xml:space="preserve"> </w:t>
      </w:r>
      <w:r w:rsidRPr="00CD63FF">
        <w:rPr>
          <w:i/>
        </w:rPr>
        <w:t>Submission on NSW electricity distributors regulatory proposal (attachment 1)</w:t>
      </w:r>
      <w:r w:rsidRPr="00CD63FF">
        <w:t xml:space="preserve"> - 8 August 2014</w:t>
      </w:r>
      <w:r>
        <w:t>, p. 33.</w:t>
      </w:r>
    </w:p>
    <w:p w:rsidR="0009007D" w:rsidRDefault="0009007D" w:rsidP="00EB6E3E">
      <w:pPr>
        <w:pStyle w:val="FootnoteText"/>
      </w:pPr>
      <w:r>
        <w:tab/>
        <w:t xml:space="preserve">AGL, </w:t>
      </w:r>
      <w:r>
        <w:rPr>
          <w:i/>
        </w:rPr>
        <w:t>Submission on NSW electricity distribution networks regulatory proposals</w:t>
      </w:r>
      <w:r>
        <w:t>, 8 August 2014, p. 21.</w:t>
      </w:r>
    </w:p>
    <w:p w:rsidR="0009007D" w:rsidRDefault="0009007D" w:rsidP="00EB6E3E">
      <w:pPr>
        <w:pStyle w:val="FootnoteText"/>
      </w:pPr>
      <w:r>
        <w:tab/>
      </w:r>
      <w:proofErr w:type="gramStart"/>
      <w:r>
        <w:t xml:space="preserve">PIAC, </w:t>
      </w:r>
      <w:r w:rsidRPr="009F725E">
        <w:rPr>
          <w:i/>
        </w:rPr>
        <w:t>Submission on NSW electricity distribution network price determination</w:t>
      </w:r>
      <w:r>
        <w:t xml:space="preserve">, </w:t>
      </w:r>
      <w:r w:rsidRPr="009F725E">
        <w:t>8 August 2014</w:t>
      </w:r>
      <w:r>
        <w:t>, p. 105.</w:t>
      </w:r>
      <w:proofErr w:type="gramEnd"/>
    </w:p>
  </w:footnote>
  <w:footnote w:id="62">
    <w:p w:rsidR="0009007D" w:rsidRDefault="0009007D" w:rsidP="00EB6E3E">
      <w:pPr>
        <w:pStyle w:val="FootnoteText"/>
        <w:tabs>
          <w:tab w:val="left" w:pos="284"/>
        </w:tabs>
      </w:pPr>
      <w:r>
        <w:rPr>
          <w:rStyle w:val="FootnoteReference"/>
        </w:rPr>
        <w:footnoteRef/>
      </w:r>
      <w:r>
        <w:t xml:space="preserve"> </w:t>
      </w:r>
      <w:r>
        <w:tab/>
      </w:r>
      <w:r>
        <w:tab/>
      </w:r>
      <w:proofErr w:type="gramStart"/>
      <w:r>
        <w:t>NEL, Revenue and Pricing Principles, 7A (2).</w:t>
      </w:r>
      <w:proofErr w:type="gramEnd"/>
    </w:p>
  </w:footnote>
  <w:footnote w:id="63">
    <w:p w:rsidR="0009007D" w:rsidRDefault="0009007D" w:rsidP="00EE7288">
      <w:pPr>
        <w:pStyle w:val="FootnoteText"/>
      </w:pPr>
      <w:r>
        <w:rPr>
          <w:rStyle w:val="FootnoteReference"/>
        </w:rPr>
        <w:footnoteRef/>
      </w:r>
      <w:r>
        <w:t xml:space="preserve"> </w:t>
      </w:r>
      <w:r>
        <w:tab/>
        <w:t xml:space="preserve">Endeavour Energy, </w:t>
      </w:r>
      <w:r w:rsidRPr="00970C18">
        <w:rPr>
          <w:i/>
        </w:rPr>
        <w:t>Response to AER information request, AER Endeavour Energy 026</w:t>
      </w:r>
      <w:r>
        <w:t xml:space="preserve">, 19 September, 2014, </w:t>
      </w:r>
      <w:proofErr w:type="gramStart"/>
      <w:r>
        <w:t>pp</w:t>
      </w:r>
      <w:proofErr w:type="gramEnd"/>
      <w:r>
        <w:t>. 6–7.</w:t>
      </w:r>
    </w:p>
  </w:footnote>
  <w:footnote w:id="64">
    <w:p w:rsidR="0009007D" w:rsidRDefault="0009007D" w:rsidP="00EB6E3E">
      <w:pPr>
        <w:pStyle w:val="FootnoteText"/>
      </w:pPr>
      <w:r>
        <w:rPr>
          <w:rStyle w:val="FootnoteReference"/>
        </w:rPr>
        <w:footnoteRef/>
      </w:r>
      <w:r>
        <w:t xml:space="preserve"> </w:t>
      </w:r>
      <w:r>
        <w:tab/>
        <w:t xml:space="preserve">Marsden Jacob Associates, </w:t>
      </w:r>
      <w:r w:rsidRPr="00970C18">
        <w:rPr>
          <w:i/>
        </w:rPr>
        <w:t>Consultant report to the AER on Alternative Control Services</w:t>
      </w:r>
      <w:r>
        <w:t xml:space="preserve">, October 2014, section 2.2.1. </w:t>
      </w:r>
    </w:p>
  </w:footnote>
  <w:footnote w:id="65">
    <w:p w:rsidR="0009007D" w:rsidRDefault="0009007D" w:rsidP="00EB6E3E">
      <w:pPr>
        <w:pStyle w:val="FootnoteText"/>
      </w:pPr>
      <w:r>
        <w:rPr>
          <w:rStyle w:val="FootnoteReference"/>
        </w:rPr>
        <w:footnoteRef/>
      </w:r>
      <w:r>
        <w:t xml:space="preserve"> </w:t>
      </w:r>
      <w:r>
        <w:tab/>
        <w:t xml:space="preserve">Marsden Jacob Associates, </w:t>
      </w:r>
      <w:r w:rsidRPr="00970C18">
        <w:rPr>
          <w:i/>
        </w:rPr>
        <w:t>Consultant report to the AER on Alternative Control Services</w:t>
      </w:r>
      <w:r>
        <w:t>, October 2014, section 2.2.1.</w:t>
      </w:r>
    </w:p>
  </w:footnote>
  <w:footnote w:id="66">
    <w:p w:rsidR="0009007D" w:rsidRDefault="0009007D" w:rsidP="000F4443">
      <w:pPr>
        <w:pStyle w:val="FootnoteText"/>
      </w:pPr>
      <w:r>
        <w:rPr>
          <w:rStyle w:val="FootnoteReference"/>
        </w:rPr>
        <w:footnoteRef/>
      </w:r>
      <w:r>
        <w:t xml:space="preserve"> </w:t>
      </w:r>
      <w:r>
        <w:tab/>
        <w:t xml:space="preserve">Marsden Jacob Associates, </w:t>
      </w:r>
      <w:r w:rsidRPr="00970C18">
        <w:rPr>
          <w:i/>
        </w:rPr>
        <w:t>Consultant report to the AER on Alternative Control Services</w:t>
      </w:r>
      <w:r>
        <w:t>, October 2014, section 2.2.1.</w:t>
      </w:r>
    </w:p>
  </w:footnote>
  <w:footnote w:id="67">
    <w:p w:rsidR="0009007D" w:rsidRDefault="0009007D" w:rsidP="00EB6E3E">
      <w:pPr>
        <w:pStyle w:val="FootnoteText"/>
      </w:pPr>
      <w:r>
        <w:rPr>
          <w:rStyle w:val="FootnoteReference"/>
        </w:rPr>
        <w:footnoteRef/>
      </w:r>
      <w:r>
        <w:t xml:space="preserve"> </w:t>
      </w:r>
      <w:r>
        <w:tab/>
        <w:t xml:space="preserve">Marsden Jacob Associates, </w:t>
      </w:r>
      <w:r w:rsidRPr="00F0337A">
        <w:rPr>
          <w:i/>
        </w:rPr>
        <w:t>Consultant report to the AER on Alternative Control Services</w:t>
      </w:r>
      <w:r>
        <w:t>, October 2014, section 2.2.1.</w:t>
      </w:r>
    </w:p>
  </w:footnote>
  <w:footnote w:id="68">
    <w:p w:rsidR="0009007D" w:rsidRDefault="0009007D" w:rsidP="00EB6E3E">
      <w:pPr>
        <w:pStyle w:val="FootnoteText"/>
      </w:pPr>
      <w:r>
        <w:rPr>
          <w:rStyle w:val="FootnoteReference"/>
        </w:rPr>
        <w:footnoteRef/>
      </w:r>
      <w:r>
        <w:t xml:space="preserve"> </w:t>
      </w:r>
      <w:r>
        <w:tab/>
        <w:t>NER, clause 6.5.7(c</w:t>
      </w:r>
      <w:proofErr w:type="gramStart"/>
      <w:r>
        <w:t>)(</w:t>
      </w:r>
      <w:proofErr w:type="gramEnd"/>
      <w:r>
        <w:t>1)–(2).</w:t>
      </w:r>
    </w:p>
  </w:footnote>
  <w:footnote w:id="69">
    <w:p w:rsidR="0009007D" w:rsidRDefault="0009007D" w:rsidP="00D13E75">
      <w:pPr>
        <w:pStyle w:val="FootnoteText"/>
      </w:pPr>
      <w:r>
        <w:rPr>
          <w:rStyle w:val="FootnoteReference"/>
        </w:rPr>
        <w:footnoteRef/>
      </w:r>
      <w:r>
        <w:t xml:space="preserve"> </w:t>
      </w:r>
      <w:r>
        <w:tab/>
      </w:r>
      <w:r w:rsidRPr="00D13E75">
        <w:t>Commercial in confidence contracts and data was provided by the five Victorian distribution network service providers to the AER in 2009 and 2011, for the purposes of the AER making its determination on the businesses’ advanced metering infrastructure budgets and charges applications 2009–11 and 2012–15.</w:t>
      </w:r>
    </w:p>
  </w:footnote>
  <w:footnote w:id="70">
    <w:p w:rsidR="0009007D" w:rsidRDefault="0009007D" w:rsidP="00EB6E3E">
      <w:pPr>
        <w:pStyle w:val="FootnoteText"/>
      </w:pPr>
      <w:r>
        <w:rPr>
          <w:rStyle w:val="FootnoteReference"/>
        </w:rPr>
        <w:footnoteRef/>
      </w:r>
      <w:r>
        <w:t xml:space="preserve"> </w:t>
      </w:r>
      <w:r>
        <w:tab/>
      </w:r>
      <w:proofErr w:type="spellStart"/>
      <w:proofErr w:type="gramStart"/>
      <w:r>
        <w:t>Energeia</w:t>
      </w:r>
      <w:proofErr w:type="spellEnd"/>
      <w:r>
        <w:t xml:space="preserve">, </w:t>
      </w:r>
      <w:r w:rsidRPr="00541A49">
        <w:rPr>
          <w:rStyle w:val="AERtextitalic"/>
        </w:rPr>
        <w:t xml:space="preserve">Review of </w:t>
      </w:r>
      <w:r>
        <w:rPr>
          <w:rStyle w:val="AERtextitalic"/>
        </w:rPr>
        <w:t>Endeavour Energy</w:t>
      </w:r>
      <w:r w:rsidRPr="00541A49">
        <w:rPr>
          <w:rStyle w:val="AERtextitalic"/>
        </w:rPr>
        <w:t>'s m</w:t>
      </w:r>
      <w:r>
        <w:rPr>
          <w:rStyle w:val="AERtextitalic"/>
        </w:rPr>
        <w:t>etering tariffs, Attachment 8.06</w:t>
      </w:r>
      <w:r w:rsidRPr="00541A49">
        <w:rPr>
          <w:rStyle w:val="AERtextitalic"/>
        </w:rPr>
        <w:t xml:space="preserve"> to </w:t>
      </w:r>
      <w:r>
        <w:rPr>
          <w:rStyle w:val="AERtextitalic"/>
        </w:rPr>
        <w:t>Endeavour Energy</w:t>
      </w:r>
      <w:r w:rsidRPr="00541A49">
        <w:rPr>
          <w:rStyle w:val="AERtextitalic"/>
        </w:rPr>
        <w:t>'s regulatory proposal</w:t>
      </w:r>
      <w:r>
        <w:t>, May 2014, p. 27.</w:t>
      </w:r>
      <w:proofErr w:type="gramEnd"/>
      <w:r>
        <w:t xml:space="preserve">  </w:t>
      </w:r>
    </w:p>
  </w:footnote>
  <w:footnote w:id="71">
    <w:p w:rsidR="0009007D" w:rsidRDefault="0009007D" w:rsidP="00EB6E3E">
      <w:pPr>
        <w:pStyle w:val="FootnoteText"/>
      </w:pPr>
      <w:r>
        <w:rPr>
          <w:rStyle w:val="FootnoteReference"/>
        </w:rPr>
        <w:footnoteRef/>
      </w:r>
      <w:r>
        <w:t xml:space="preserve"> </w:t>
      </w:r>
      <w:r>
        <w:tab/>
        <w:t xml:space="preserve">Marsden Jacob Associates, </w:t>
      </w:r>
      <w:r w:rsidRPr="006B57F3">
        <w:rPr>
          <w:i/>
        </w:rPr>
        <w:t>Consultant report to the AER on Alternative Control Services</w:t>
      </w:r>
      <w:r>
        <w:t>, October 2014, section 2.2.2.</w:t>
      </w:r>
    </w:p>
  </w:footnote>
  <w:footnote w:id="72">
    <w:p w:rsidR="0009007D" w:rsidRDefault="0009007D">
      <w:pPr>
        <w:pStyle w:val="FootnoteText"/>
      </w:pPr>
      <w:r>
        <w:rPr>
          <w:rStyle w:val="FootnoteReference"/>
        </w:rPr>
        <w:footnoteRef/>
      </w:r>
      <w:r>
        <w:t xml:space="preserve"> </w:t>
      </w:r>
      <w:r>
        <w:tab/>
        <w:t xml:space="preserve">Marsden Jacob Associates, </w:t>
      </w:r>
      <w:r w:rsidRPr="006B57F3">
        <w:rPr>
          <w:i/>
        </w:rPr>
        <w:t>Consultant report to the AER on Alternative Control Services</w:t>
      </w:r>
      <w:r>
        <w:t>, October 2014, section 2.2.2.</w:t>
      </w:r>
    </w:p>
  </w:footnote>
  <w:footnote w:id="73">
    <w:p w:rsidR="0009007D" w:rsidRPr="00FF1C18" w:rsidRDefault="0009007D" w:rsidP="00EB6E3E">
      <w:pPr>
        <w:pStyle w:val="FootnoteText"/>
      </w:pPr>
      <w:r>
        <w:rPr>
          <w:rStyle w:val="FootnoteReference"/>
        </w:rPr>
        <w:footnoteRef/>
      </w:r>
      <w:r>
        <w:t xml:space="preserve"> </w:t>
      </w:r>
      <w:r>
        <w:tab/>
        <w:t xml:space="preserve">Endeavour Energy, </w:t>
      </w:r>
      <w:r>
        <w:rPr>
          <w:i/>
        </w:rPr>
        <w:t>Response to AER information request, AER Endeavour 011</w:t>
      </w:r>
      <w:r>
        <w:t xml:space="preserve">, 8 August 2014, </w:t>
      </w:r>
      <w:proofErr w:type="gramStart"/>
      <w:r>
        <w:t>p</w:t>
      </w:r>
      <w:proofErr w:type="gramEnd"/>
      <w:r>
        <w:t>. 4.</w:t>
      </w:r>
    </w:p>
  </w:footnote>
  <w:footnote w:id="74">
    <w:p w:rsidR="0009007D" w:rsidRDefault="0009007D" w:rsidP="00EB6E3E">
      <w:pPr>
        <w:pStyle w:val="FootnoteText"/>
      </w:pPr>
      <w:r>
        <w:rPr>
          <w:rStyle w:val="FootnoteReference"/>
        </w:rPr>
        <w:footnoteRef/>
      </w:r>
      <w:r>
        <w:t xml:space="preserve"> </w:t>
      </w:r>
      <w:r>
        <w:tab/>
      </w:r>
      <w:proofErr w:type="gramStart"/>
      <w:r>
        <w:t>NER, clause 7.2.5 and S7.3.1.</w:t>
      </w:r>
      <w:proofErr w:type="gramEnd"/>
    </w:p>
  </w:footnote>
  <w:footnote w:id="75">
    <w:p w:rsidR="0009007D" w:rsidRDefault="0009007D" w:rsidP="00EB6E3E">
      <w:pPr>
        <w:pStyle w:val="FootnoteText"/>
      </w:pPr>
      <w:r>
        <w:rPr>
          <w:rStyle w:val="FootnoteReference"/>
        </w:rPr>
        <w:footnoteRef/>
      </w:r>
      <w:r>
        <w:t xml:space="preserve"> </w:t>
      </w:r>
      <w:r>
        <w:tab/>
      </w:r>
      <w:proofErr w:type="gramStart"/>
      <w:r>
        <w:t>Australian Standard, 1284.13.</w:t>
      </w:r>
      <w:proofErr w:type="gramEnd"/>
    </w:p>
  </w:footnote>
  <w:footnote w:id="76">
    <w:p w:rsidR="0009007D" w:rsidRDefault="0009007D" w:rsidP="00EB6E3E">
      <w:pPr>
        <w:pStyle w:val="FootnoteText"/>
      </w:pPr>
      <w:r>
        <w:rPr>
          <w:rStyle w:val="FootnoteReference"/>
        </w:rPr>
        <w:footnoteRef/>
      </w:r>
      <w:r>
        <w:t xml:space="preserve"> </w:t>
      </w:r>
      <w:r>
        <w:tab/>
      </w:r>
      <w:proofErr w:type="gramStart"/>
      <w:r>
        <w:t>NER, clause 7.6.2.</w:t>
      </w:r>
      <w:proofErr w:type="gramEnd"/>
    </w:p>
  </w:footnote>
  <w:footnote w:id="77">
    <w:p w:rsidR="0009007D" w:rsidRDefault="0009007D" w:rsidP="00EB6E3E">
      <w:pPr>
        <w:pStyle w:val="FootnoteText"/>
      </w:pPr>
      <w:r>
        <w:rPr>
          <w:rStyle w:val="FootnoteReference"/>
        </w:rPr>
        <w:footnoteRef/>
      </w:r>
      <w:r>
        <w:t xml:space="preserve"> </w:t>
      </w:r>
      <w:r>
        <w:tab/>
      </w:r>
      <w:r w:rsidRPr="00EB6E3E">
        <w:t xml:space="preserve">Endeavour Energy, </w:t>
      </w:r>
      <w:r w:rsidRPr="00F0337A">
        <w:rPr>
          <w:i/>
        </w:rPr>
        <w:t>Metering replacement compliance discussion paper</w:t>
      </w:r>
      <w:r w:rsidRPr="00EB6E3E">
        <w:t>,</w:t>
      </w:r>
      <w:r>
        <w:t xml:space="preserve"> </w:t>
      </w:r>
      <w:r>
        <w:rPr>
          <w:i/>
        </w:rPr>
        <w:t>Response to information request, AER Endeavour 011,</w:t>
      </w:r>
      <w:r w:rsidRPr="00EB6E3E">
        <w:t xml:space="preserve"> </w:t>
      </w:r>
      <w:r>
        <w:t>August 2014, p. 4.</w:t>
      </w:r>
    </w:p>
  </w:footnote>
  <w:footnote w:id="78">
    <w:p w:rsidR="0009007D" w:rsidRDefault="0009007D" w:rsidP="00EB6E3E">
      <w:pPr>
        <w:pStyle w:val="FootnoteText"/>
      </w:pPr>
      <w:r>
        <w:rPr>
          <w:rStyle w:val="FootnoteReference"/>
        </w:rPr>
        <w:footnoteRef/>
      </w:r>
      <w:r>
        <w:t xml:space="preserve"> </w:t>
      </w:r>
      <w:r>
        <w:tab/>
      </w:r>
      <w:proofErr w:type="spellStart"/>
      <w:r>
        <w:t>Energeia</w:t>
      </w:r>
      <w:proofErr w:type="spellEnd"/>
      <w:r>
        <w:t xml:space="preserve">, </w:t>
      </w:r>
      <w:r w:rsidRPr="006B57F3">
        <w:rPr>
          <w:i/>
        </w:rPr>
        <w:t>Review of Endeavour Energy</w:t>
      </w:r>
      <w:r w:rsidRPr="006B57F3">
        <w:rPr>
          <w:rFonts w:hint="eastAsia"/>
          <w:i/>
        </w:rPr>
        <w:t>’</w:t>
      </w:r>
      <w:r w:rsidRPr="006B57F3">
        <w:rPr>
          <w:i/>
        </w:rPr>
        <w:t>s proposed metering tariff arrangements</w:t>
      </w:r>
      <w:r>
        <w:t>, April 2014, p. 29.</w:t>
      </w:r>
    </w:p>
  </w:footnote>
  <w:footnote w:id="79">
    <w:p w:rsidR="0009007D" w:rsidRDefault="0009007D" w:rsidP="002B0DA0">
      <w:pPr>
        <w:pStyle w:val="FootnoteText"/>
      </w:pPr>
      <w:r>
        <w:rPr>
          <w:rStyle w:val="FootnoteReference"/>
        </w:rPr>
        <w:footnoteRef/>
      </w:r>
      <w:r>
        <w:t xml:space="preserve"> </w:t>
      </w:r>
      <w:r>
        <w:tab/>
      </w:r>
      <w:proofErr w:type="spellStart"/>
      <w:r>
        <w:t>Energeia</w:t>
      </w:r>
      <w:proofErr w:type="spellEnd"/>
      <w:r>
        <w:t xml:space="preserve">, </w:t>
      </w:r>
      <w:r>
        <w:rPr>
          <w:i/>
        </w:rPr>
        <w:t xml:space="preserve">Review of Endeavour Energy’s proposed metering tariff arrangements, </w:t>
      </w:r>
      <w:r>
        <w:t>April 2014, p. 38.</w:t>
      </w:r>
    </w:p>
  </w:footnote>
  <w:footnote w:id="80">
    <w:p w:rsidR="0009007D" w:rsidRDefault="0009007D" w:rsidP="0045234B">
      <w:pPr>
        <w:pStyle w:val="FootnoteText"/>
      </w:pPr>
      <w:r>
        <w:rPr>
          <w:rStyle w:val="FootnoteReference"/>
        </w:rPr>
        <w:footnoteRef/>
      </w:r>
      <w:r>
        <w:t xml:space="preserve"> </w:t>
      </w:r>
      <w:r>
        <w:tab/>
        <w:t xml:space="preserve">Endeavour Energy, </w:t>
      </w:r>
      <w:r w:rsidRPr="00EF3B55">
        <w:rPr>
          <w:i/>
        </w:rPr>
        <w:t>Response to information request, AER Endeavour Energy 026</w:t>
      </w:r>
      <w:r>
        <w:t xml:space="preserve">, 19 September 2014, </w:t>
      </w:r>
      <w:proofErr w:type="gramStart"/>
      <w:r>
        <w:t>p</w:t>
      </w:r>
      <w:proofErr w:type="gramEnd"/>
      <w:r>
        <w:t xml:space="preserve">. 9. </w:t>
      </w:r>
    </w:p>
  </w:footnote>
  <w:footnote w:id="81">
    <w:p w:rsidR="0009007D" w:rsidRDefault="0009007D" w:rsidP="00CD6880">
      <w:pPr>
        <w:pStyle w:val="FootnoteText"/>
      </w:pPr>
      <w:r>
        <w:rPr>
          <w:rStyle w:val="FootnoteReference"/>
        </w:rPr>
        <w:footnoteRef/>
      </w:r>
      <w:r>
        <w:t xml:space="preserve"> </w:t>
      </w:r>
      <w:r>
        <w:tab/>
        <w:t>Further, we are unable to assess the ex-post prudency/efficiency of actual capital expenditure.</w:t>
      </w:r>
    </w:p>
  </w:footnote>
  <w:footnote w:id="82">
    <w:p w:rsidR="0009007D" w:rsidRDefault="0009007D" w:rsidP="00EB6E3E">
      <w:pPr>
        <w:pStyle w:val="FootnoteText"/>
      </w:pPr>
      <w:r>
        <w:rPr>
          <w:rStyle w:val="FootnoteReference"/>
        </w:rPr>
        <w:footnoteRef/>
      </w:r>
      <w:r>
        <w:t xml:space="preserve"> </w:t>
      </w:r>
      <w:r>
        <w:tab/>
        <w:t xml:space="preserve">AEMC, </w:t>
      </w:r>
      <w:r w:rsidRPr="00EC2F84">
        <w:t>Draft National Electricity Amendment (Distribution Network Pricing Arrangements) Rule 2014</w:t>
      </w:r>
      <w:r>
        <w:t>, clauses 6.18.5 (f) and 6.18.5 (g</w:t>
      </w:r>
      <w:proofErr w:type="gramStart"/>
      <w:r>
        <w:t>)(</w:t>
      </w:r>
      <w:proofErr w:type="gramEnd"/>
      <w:r>
        <w:t>3).</w:t>
      </w:r>
    </w:p>
  </w:footnote>
  <w:footnote w:id="83">
    <w:p w:rsidR="0009007D" w:rsidRDefault="0009007D" w:rsidP="00EB6E3E">
      <w:pPr>
        <w:pStyle w:val="FootnoteText"/>
      </w:pPr>
      <w:r>
        <w:rPr>
          <w:rStyle w:val="FootnoteReference"/>
        </w:rPr>
        <w:footnoteRef/>
      </w:r>
      <w:r>
        <w:t xml:space="preserve"> </w:t>
      </w:r>
      <w:r>
        <w:tab/>
      </w:r>
      <w:proofErr w:type="gramStart"/>
      <w:r>
        <w:t xml:space="preserve">Energy Australia, </w:t>
      </w:r>
      <w:r w:rsidRPr="008C79BC">
        <w:rPr>
          <w:i/>
        </w:rPr>
        <w:t>Submission on NSW electricity distribution revenue proposals</w:t>
      </w:r>
      <w:r>
        <w:t xml:space="preserve">, 8 </w:t>
      </w:r>
      <w:r w:rsidRPr="008C79BC">
        <w:t>August 2014</w:t>
      </w:r>
      <w:r>
        <w:t>, p. 5.</w:t>
      </w:r>
      <w:proofErr w:type="gramEnd"/>
    </w:p>
    <w:p w:rsidR="0009007D" w:rsidRDefault="0009007D" w:rsidP="00EB6E3E">
      <w:pPr>
        <w:pStyle w:val="FootnoteText"/>
      </w:pPr>
      <w:r>
        <w:tab/>
        <w:t xml:space="preserve">Vector Limited, </w:t>
      </w:r>
      <w:r w:rsidRPr="00CD63FF">
        <w:rPr>
          <w:i/>
        </w:rPr>
        <w:t>Submission on AER Issues paper on NSW electricity distribution regulatory proposals</w:t>
      </w:r>
      <w:r>
        <w:t xml:space="preserve">, </w:t>
      </w:r>
      <w:r w:rsidRPr="00CD63FF">
        <w:t>8 August 2014</w:t>
      </w:r>
      <w:r>
        <w:t>, p.  9.</w:t>
      </w:r>
    </w:p>
    <w:p w:rsidR="0009007D" w:rsidRDefault="0009007D" w:rsidP="00EB6E3E">
      <w:pPr>
        <w:pStyle w:val="FootnoteText"/>
      </w:pPr>
      <w:r>
        <w:tab/>
        <w:t xml:space="preserve">Energy Retailers Association of Australia, </w:t>
      </w:r>
      <w:r w:rsidRPr="00CD63FF">
        <w:rPr>
          <w:i/>
        </w:rPr>
        <w:t>Submission on Issues paper NSW electricity distribution regulatory proposals</w:t>
      </w:r>
      <w:r>
        <w:t>,</w:t>
      </w:r>
      <w:r w:rsidRPr="00CD63FF">
        <w:t xml:space="preserve"> 8 August 2014</w:t>
      </w:r>
      <w:r>
        <w:t>, p. 3.</w:t>
      </w:r>
    </w:p>
  </w:footnote>
  <w:footnote w:id="84">
    <w:p w:rsidR="0009007D" w:rsidRDefault="0009007D" w:rsidP="00EB6E3E">
      <w:pPr>
        <w:pStyle w:val="FootnoteText"/>
      </w:pPr>
      <w:r>
        <w:rPr>
          <w:rStyle w:val="FootnoteReference"/>
        </w:rPr>
        <w:footnoteRef/>
      </w:r>
      <w:r>
        <w:t xml:space="preserve"> </w:t>
      </w:r>
      <w:r>
        <w:tab/>
        <w:t>This calculation is based on Endeavour Energy’s administration cost component ($50.49) of its proposed exit fee multiplied by the existing number of type 5/6 metering customers (2013-14 type 5/6 customer number which is based on forecast customer numbers as of 30 June 2014) to get $46.3 million.  All dollars are in $2014/15.</w:t>
      </w:r>
    </w:p>
  </w:footnote>
  <w:footnote w:id="85">
    <w:p w:rsidR="0009007D" w:rsidRDefault="0009007D" w:rsidP="00EB6E3E">
      <w:pPr>
        <w:pStyle w:val="FootnoteText"/>
      </w:pPr>
      <w:r>
        <w:rPr>
          <w:rStyle w:val="FootnoteReference"/>
        </w:rPr>
        <w:footnoteRef/>
      </w:r>
      <w:r>
        <w:t xml:space="preserve"> </w:t>
      </w:r>
      <w:r>
        <w:tab/>
        <w:t xml:space="preserve">This calculation is based on Endeavour Energy’s proposed administrative labour hourly rate (inclusive of wages, on-costs and overheads) of $151.48 and assumes </w:t>
      </w:r>
      <w:proofErr w:type="gramStart"/>
      <w:r>
        <w:t>staff are</w:t>
      </w:r>
      <w:proofErr w:type="gramEnd"/>
      <w:r>
        <w:t xml:space="preserve"> paid to work 8 hours days, 5 days a week. Even if the churn rate was slower, say, over a 10 year period, Endeavour Energy would still have to hire an additional 15 dedicated staff members per year to build up the proposed $46.3 million in administration costs. All dollars are in $2014/15.</w:t>
      </w:r>
    </w:p>
  </w:footnote>
  <w:footnote w:id="86">
    <w:p w:rsidR="0009007D" w:rsidRDefault="0009007D" w:rsidP="00D311E7">
      <w:pPr>
        <w:pStyle w:val="FootnoteText"/>
      </w:pPr>
      <w:r>
        <w:rPr>
          <w:rStyle w:val="FootnoteReference"/>
        </w:rPr>
        <w:footnoteRef/>
      </w:r>
      <w:r>
        <w:t xml:space="preserve"> </w:t>
      </w:r>
      <w:r>
        <w:tab/>
        <w:t xml:space="preserve">Endeavour Energy, Regulatory Proposal, </w:t>
      </w:r>
      <w:proofErr w:type="gramStart"/>
      <w:r>
        <w:t>p.133</w:t>
      </w:r>
      <w:proofErr w:type="gramEnd"/>
      <w:r>
        <w:t>.</w:t>
      </w:r>
    </w:p>
  </w:footnote>
  <w:footnote w:id="87">
    <w:p w:rsidR="0009007D" w:rsidRDefault="0009007D" w:rsidP="00D311E7">
      <w:pPr>
        <w:pStyle w:val="FootnoteText"/>
      </w:pPr>
      <w:r>
        <w:rPr>
          <w:rStyle w:val="FootnoteReference"/>
        </w:rPr>
        <w:footnoteRef/>
      </w:r>
      <w:r>
        <w:t xml:space="preserve"> </w:t>
      </w:r>
      <w:r>
        <w:tab/>
      </w:r>
      <w:proofErr w:type="gramStart"/>
      <w:r>
        <w:t xml:space="preserve">AER Stage 1 Framework and Approach Paper - </w:t>
      </w:r>
      <w:r w:rsidRPr="00C34DE1">
        <w:rPr>
          <w:rStyle w:val="AERbody"/>
          <w:sz w:val="16"/>
        </w:rPr>
        <w:t xml:space="preserve">Ausgrid, Endeavour Energy and Essential Energy </w:t>
      </w:r>
      <w:r w:rsidRPr="003911EA">
        <w:t>Transitional regulatory control period 1 July 2014 to 30 June 2015</w:t>
      </w:r>
      <w:r>
        <w:t xml:space="preserve"> - </w:t>
      </w:r>
      <w:r w:rsidRPr="003911EA">
        <w:t>Subsequent regulatory control period 1 July 2015 to 30 June 2019</w:t>
      </w:r>
      <w:r>
        <w:t>.</w:t>
      </w:r>
      <w:proofErr w:type="gramEnd"/>
    </w:p>
  </w:footnote>
  <w:footnote w:id="88">
    <w:p w:rsidR="0009007D" w:rsidRDefault="0009007D" w:rsidP="00D311E7">
      <w:pPr>
        <w:pStyle w:val="FootnoteText"/>
      </w:pPr>
      <w:r>
        <w:rPr>
          <w:rStyle w:val="FootnoteReference"/>
        </w:rPr>
        <w:footnoteRef/>
      </w:r>
      <w:r>
        <w:t xml:space="preserve"> Endeavour Energy, Response to AER Information Request 027, 17 September 2014.</w:t>
      </w:r>
    </w:p>
  </w:footnote>
  <w:footnote w:id="89">
    <w:p w:rsidR="0009007D" w:rsidRDefault="0009007D" w:rsidP="00D311E7">
      <w:pPr>
        <w:pStyle w:val="FootnoteText"/>
      </w:pPr>
      <w:r>
        <w:rPr>
          <w:rStyle w:val="FootnoteReference"/>
        </w:rPr>
        <w:footnoteRef/>
      </w:r>
      <w:r>
        <w:t xml:space="preserve"> </w:t>
      </w:r>
      <w:r>
        <w:tab/>
        <w:t xml:space="preserve">Hawkesbury Council Submission of 7 August 2014, </w:t>
      </w:r>
    </w:p>
    <w:p w:rsidR="0009007D" w:rsidRDefault="0009007D" w:rsidP="00D311E7">
      <w:pPr>
        <w:pStyle w:val="FootnoteText"/>
      </w:pPr>
      <w:r>
        <w:tab/>
        <w:t xml:space="preserve">Wollongong Council </w:t>
      </w:r>
      <w:r w:rsidRPr="004163C4">
        <w:t xml:space="preserve">Submission of </w:t>
      </w:r>
      <w:r>
        <w:t>7</w:t>
      </w:r>
      <w:r w:rsidRPr="004163C4">
        <w:t xml:space="preserve"> </w:t>
      </w:r>
      <w:r>
        <w:t>August</w:t>
      </w:r>
      <w:r w:rsidRPr="004163C4">
        <w:t xml:space="preserve"> 2014</w:t>
      </w:r>
      <w:r>
        <w:t>,</w:t>
      </w:r>
    </w:p>
    <w:p w:rsidR="0009007D" w:rsidRDefault="0009007D" w:rsidP="00D311E7">
      <w:pPr>
        <w:pStyle w:val="FootnoteText"/>
      </w:pPr>
      <w:r>
        <w:tab/>
        <w:t xml:space="preserve">Camden Council  </w:t>
      </w:r>
      <w:r w:rsidRPr="004163C4">
        <w:t xml:space="preserve">Submission of </w:t>
      </w:r>
      <w:r>
        <w:t>8</w:t>
      </w:r>
      <w:r w:rsidRPr="004163C4">
        <w:t xml:space="preserve"> </w:t>
      </w:r>
      <w:r>
        <w:t>August</w:t>
      </w:r>
      <w:r w:rsidRPr="004163C4">
        <w:t xml:space="preserve"> 2014</w:t>
      </w:r>
      <w:r>
        <w:t>,</w:t>
      </w:r>
    </w:p>
    <w:p w:rsidR="0009007D" w:rsidRDefault="0009007D" w:rsidP="00D311E7">
      <w:pPr>
        <w:pStyle w:val="FootnoteText"/>
      </w:pPr>
      <w:r>
        <w:tab/>
        <w:t>Endeavour Energy Supplies Councils Submission, 7 August 2014.</w:t>
      </w:r>
    </w:p>
    <w:p w:rsidR="0009007D" w:rsidRDefault="0009007D" w:rsidP="00D311E7">
      <w:pPr>
        <w:pStyle w:val="FootnoteText"/>
      </w:pPr>
    </w:p>
  </w:footnote>
  <w:footnote w:id="90">
    <w:p w:rsidR="0009007D" w:rsidRDefault="0009007D" w:rsidP="00D311E7">
      <w:pPr>
        <w:pStyle w:val="FootnoteText"/>
      </w:pPr>
      <w:r>
        <w:rPr>
          <w:rStyle w:val="FootnoteReference"/>
        </w:rPr>
        <w:footnoteRef/>
      </w:r>
      <w:r>
        <w:t xml:space="preserve"> </w:t>
      </w:r>
      <w:r>
        <w:tab/>
        <w:t>Endeavour Energy, Regulatory Proposal, Attachment 8.02A3F Minutes of Council Meetings (CONFIDENTIAL).</w:t>
      </w:r>
    </w:p>
  </w:footnote>
  <w:footnote w:id="91">
    <w:p w:rsidR="0009007D" w:rsidRPr="00AA0464" w:rsidRDefault="0009007D" w:rsidP="00D311E7">
      <w:pPr>
        <w:pStyle w:val="FootnoteText"/>
      </w:pPr>
      <w:r>
        <w:rPr>
          <w:rStyle w:val="FootnoteReference"/>
        </w:rPr>
        <w:footnoteRef/>
      </w:r>
      <w:r>
        <w:t xml:space="preserve"> </w:t>
      </w:r>
      <w:r>
        <w:tab/>
      </w:r>
      <w:r w:rsidRPr="00AA0464">
        <w:t>AER, Energy Efficient Public Lighting Charges - Victoria, Final Decision, pp. 33-36, February 2009</w:t>
      </w:r>
      <w:r>
        <w:t>.</w:t>
      </w:r>
    </w:p>
    <w:p w:rsidR="0009007D" w:rsidRDefault="0009007D" w:rsidP="00D311E7">
      <w:pPr>
        <w:pStyle w:val="FootnoteText"/>
      </w:pPr>
    </w:p>
  </w:footnote>
  <w:footnote w:id="92">
    <w:p w:rsidR="0009007D" w:rsidRDefault="0009007D" w:rsidP="00D311E7">
      <w:pPr>
        <w:pStyle w:val="FootnoteText"/>
      </w:pPr>
      <w:r>
        <w:rPr>
          <w:rStyle w:val="FootnoteReference"/>
        </w:rPr>
        <w:footnoteRef/>
      </w:r>
      <w:r>
        <w:t xml:space="preserve"> </w:t>
      </w:r>
      <w:r>
        <w:tab/>
        <w:t xml:space="preserve">Institute of Public Works Engineering Australia (IPWEA) </w:t>
      </w:r>
      <w:proofErr w:type="gramStart"/>
      <w:r>
        <w:t>Towards</w:t>
      </w:r>
      <w:proofErr w:type="gramEnd"/>
      <w:r>
        <w:t xml:space="preserve"> more sustainable street lighting, Practice Note 11 2014, p.11.</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C0CCD3AE"/>
    <w:lvl w:ilvl="0">
      <w:start w:val="1"/>
      <w:numFmt w:val="decimal"/>
      <w:pStyle w:val="ListNumber3"/>
      <w:lvlText w:val="%1."/>
      <w:lvlJc w:val="left"/>
      <w:pPr>
        <w:tabs>
          <w:tab w:val="num" w:pos="926"/>
        </w:tabs>
        <w:ind w:left="926" w:hanging="360"/>
      </w:pPr>
    </w:lvl>
  </w:abstractNum>
  <w:abstractNum w:abstractNumId="3">
    <w:nsid w:val="FFFFFF7F"/>
    <w:multiLevelType w:val="singleLevel"/>
    <w:tmpl w:val="7F741816"/>
    <w:lvl w:ilvl="0">
      <w:start w:val="1"/>
      <w:numFmt w:val="lowerLetter"/>
      <w:lvlText w:val="%1)"/>
      <w:lvlJc w:val="left"/>
      <w:pPr>
        <w:ind w:left="36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E46A7DC6"/>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E262730C"/>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3C004CC0"/>
    <w:lvl w:ilvl="0">
      <w:start w:val="1"/>
      <w:numFmt w:val="decimal"/>
      <w:pStyle w:val="ListNumber"/>
      <w:lvlText w:val="%1."/>
      <w:lvlJc w:val="left"/>
      <w:pPr>
        <w:tabs>
          <w:tab w:val="num" w:pos="360"/>
        </w:tabs>
        <w:ind w:left="360" w:hanging="360"/>
      </w:pPr>
    </w:lvl>
  </w:abstractNum>
  <w:abstractNum w:abstractNumId="9">
    <w:nsid w:val="010D0192"/>
    <w:multiLevelType w:val="hybridMultilevel"/>
    <w:tmpl w:val="EAE023E8"/>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nsid w:val="02E83E63"/>
    <w:multiLevelType w:val="multilevel"/>
    <w:tmpl w:val="545A59A8"/>
    <w:numStyleLink w:val="AERHeadings"/>
  </w:abstractNum>
  <w:abstractNum w:abstractNumId="11">
    <w:nsid w:val="031C7FA6"/>
    <w:multiLevelType w:val="hybridMultilevel"/>
    <w:tmpl w:val="1A7E9E04"/>
    <w:lvl w:ilvl="0" w:tplc="A356B254">
      <w:start w:val="1"/>
      <w:numFmt w:val="bullet"/>
      <w:pStyle w:val="AERbulletlistsecondstyle"/>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2">
    <w:nsid w:val="063840D0"/>
    <w:multiLevelType w:val="hybridMultilevel"/>
    <w:tmpl w:val="B93020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09204D47"/>
    <w:multiLevelType w:val="hybridMultilevel"/>
    <w:tmpl w:val="DD301B0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0B102140"/>
    <w:multiLevelType w:val="multilevel"/>
    <w:tmpl w:val="39D4CB02"/>
    <w:numStyleLink w:val="AERnumberedlist"/>
  </w:abstractNum>
  <w:abstractNum w:abstractNumId="15">
    <w:nsid w:val="0D517D24"/>
    <w:multiLevelType w:val="hybridMultilevel"/>
    <w:tmpl w:val="BD7E2B36"/>
    <w:lvl w:ilvl="0" w:tplc="23B41A36">
      <w:start w:val="1"/>
      <w:numFmt w:val="lowerRoman"/>
      <w:lvlText w:val="%1."/>
      <w:lvlJc w:val="left"/>
      <w:pPr>
        <w:tabs>
          <w:tab w:val="num" w:pos="1440"/>
        </w:tabs>
        <w:ind w:left="1440" w:hanging="360"/>
      </w:pPr>
      <w:rPr>
        <w:rFonts w:hint="default"/>
        <w:b w:val="0"/>
        <w:i w:val="0"/>
        <w:sz w:val="22"/>
      </w:rPr>
    </w:lvl>
    <w:lvl w:ilvl="1" w:tplc="0C090003" w:tentative="1">
      <w:start w:val="1"/>
      <w:numFmt w:val="bullet"/>
      <w:lvlText w:val="o"/>
      <w:lvlJc w:val="left"/>
      <w:pPr>
        <w:tabs>
          <w:tab w:val="num" w:pos="1806"/>
        </w:tabs>
        <w:ind w:left="1806" w:hanging="360"/>
      </w:pPr>
      <w:rPr>
        <w:rFonts w:ascii="Courier New" w:hAnsi="Courier New" w:cs="Courier New" w:hint="default"/>
      </w:rPr>
    </w:lvl>
    <w:lvl w:ilvl="2" w:tplc="0C090005" w:tentative="1">
      <w:start w:val="1"/>
      <w:numFmt w:val="bullet"/>
      <w:lvlText w:val=""/>
      <w:lvlJc w:val="left"/>
      <w:pPr>
        <w:tabs>
          <w:tab w:val="num" w:pos="2526"/>
        </w:tabs>
        <w:ind w:left="2526" w:hanging="360"/>
      </w:pPr>
      <w:rPr>
        <w:rFonts w:ascii="Wingdings" w:hAnsi="Wingdings" w:hint="default"/>
      </w:rPr>
    </w:lvl>
    <w:lvl w:ilvl="3" w:tplc="0C090001" w:tentative="1">
      <w:start w:val="1"/>
      <w:numFmt w:val="bullet"/>
      <w:lvlText w:val=""/>
      <w:lvlJc w:val="left"/>
      <w:pPr>
        <w:tabs>
          <w:tab w:val="num" w:pos="3246"/>
        </w:tabs>
        <w:ind w:left="3246" w:hanging="360"/>
      </w:pPr>
      <w:rPr>
        <w:rFonts w:ascii="Symbol" w:hAnsi="Symbol" w:hint="default"/>
      </w:rPr>
    </w:lvl>
    <w:lvl w:ilvl="4" w:tplc="0C090003" w:tentative="1">
      <w:start w:val="1"/>
      <w:numFmt w:val="bullet"/>
      <w:lvlText w:val="o"/>
      <w:lvlJc w:val="left"/>
      <w:pPr>
        <w:tabs>
          <w:tab w:val="num" w:pos="3966"/>
        </w:tabs>
        <w:ind w:left="3966" w:hanging="360"/>
      </w:pPr>
      <w:rPr>
        <w:rFonts w:ascii="Courier New" w:hAnsi="Courier New" w:cs="Courier New" w:hint="default"/>
      </w:rPr>
    </w:lvl>
    <w:lvl w:ilvl="5" w:tplc="0C090005" w:tentative="1">
      <w:start w:val="1"/>
      <w:numFmt w:val="bullet"/>
      <w:lvlText w:val=""/>
      <w:lvlJc w:val="left"/>
      <w:pPr>
        <w:tabs>
          <w:tab w:val="num" w:pos="4686"/>
        </w:tabs>
        <w:ind w:left="4686" w:hanging="360"/>
      </w:pPr>
      <w:rPr>
        <w:rFonts w:ascii="Wingdings" w:hAnsi="Wingdings" w:hint="default"/>
      </w:rPr>
    </w:lvl>
    <w:lvl w:ilvl="6" w:tplc="0C090001" w:tentative="1">
      <w:start w:val="1"/>
      <w:numFmt w:val="bullet"/>
      <w:lvlText w:val=""/>
      <w:lvlJc w:val="left"/>
      <w:pPr>
        <w:tabs>
          <w:tab w:val="num" w:pos="5406"/>
        </w:tabs>
        <w:ind w:left="5406" w:hanging="360"/>
      </w:pPr>
      <w:rPr>
        <w:rFonts w:ascii="Symbol" w:hAnsi="Symbol" w:hint="default"/>
      </w:rPr>
    </w:lvl>
    <w:lvl w:ilvl="7" w:tplc="0C090003" w:tentative="1">
      <w:start w:val="1"/>
      <w:numFmt w:val="bullet"/>
      <w:lvlText w:val="o"/>
      <w:lvlJc w:val="left"/>
      <w:pPr>
        <w:tabs>
          <w:tab w:val="num" w:pos="6126"/>
        </w:tabs>
        <w:ind w:left="6126" w:hanging="360"/>
      </w:pPr>
      <w:rPr>
        <w:rFonts w:ascii="Courier New" w:hAnsi="Courier New" w:cs="Courier New" w:hint="default"/>
      </w:rPr>
    </w:lvl>
    <w:lvl w:ilvl="8" w:tplc="0C090005" w:tentative="1">
      <w:start w:val="1"/>
      <w:numFmt w:val="bullet"/>
      <w:lvlText w:val=""/>
      <w:lvlJc w:val="left"/>
      <w:pPr>
        <w:tabs>
          <w:tab w:val="num" w:pos="6846"/>
        </w:tabs>
        <w:ind w:left="6846" w:hanging="360"/>
      </w:pPr>
      <w:rPr>
        <w:rFonts w:ascii="Wingdings" w:hAnsi="Wingdings" w:hint="default"/>
      </w:rPr>
    </w:lvl>
  </w:abstractNum>
  <w:abstractNum w:abstractNumId="16">
    <w:nsid w:val="0DD2542B"/>
    <w:multiLevelType w:val="hybridMultilevel"/>
    <w:tmpl w:val="60FAC388"/>
    <w:lvl w:ilvl="0" w:tplc="50264BE2">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nsid w:val="100548B4"/>
    <w:multiLevelType w:val="hybridMultilevel"/>
    <w:tmpl w:val="C6C29CE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nsid w:val="133E73B6"/>
    <w:multiLevelType w:val="hybridMultilevel"/>
    <w:tmpl w:val="80220B84"/>
    <w:lvl w:ilvl="0" w:tplc="F5987420">
      <w:start w:val="1"/>
      <w:numFmt w:val="decimal"/>
      <w:pStyle w:val="Numberedlist"/>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9">
    <w:nsid w:val="13597CF9"/>
    <w:multiLevelType w:val="multilevel"/>
    <w:tmpl w:val="39D4CB02"/>
    <w:numStyleLink w:val="AERnumberedlist"/>
  </w:abstractNum>
  <w:abstractNum w:abstractNumId="20">
    <w:nsid w:val="176B27A6"/>
    <w:multiLevelType w:val="multilevel"/>
    <w:tmpl w:val="545A59A8"/>
    <w:numStyleLink w:val="AERHeadings"/>
  </w:abstractNum>
  <w:abstractNum w:abstractNumId="21">
    <w:nsid w:val="1972601F"/>
    <w:multiLevelType w:val="multilevel"/>
    <w:tmpl w:val="545A59A8"/>
    <w:numStyleLink w:val="AERHeadings"/>
  </w:abstractNum>
  <w:abstractNum w:abstractNumId="22">
    <w:nsid w:val="1CF519CE"/>
    <w:multiLevelType w:val="multilevel"/>
    <w:tmpl w:val="3AD8CB48"/>
    <w:lvl w:ilvl="0">
      <w:start w:val="1"/>
      <w:numFmt w:val="decimal"/>
      <w:pStyle w:val="Numbered1"/>
      <w:lvlText w:val="%1."/>
      <w:lvlJc w:val="left"/>
      <w:pPr>
        <w:ind w:left="360" w:hanging="360"/>
      </w:pPr>
    </w:lvl>
    <w:lvl w:ilvl="1">
      <w:start w:val="1"/>
      <w:numFmt w:val="decimal"/>
      <w:pStyle w:val="Numbered11"/>
      <w:lvlText w:val="%1.%2."/>
      <w:lvlJc w:val="left"/>
      <w:pPr>
        <w:ind w:left="792" w:hanging="432"/>
      </w:pPr>
    </w:lvl>
    <w:lvl w:ilvl="2">
      <w:start w:val="1"/>
      <w:numFmt w:val="decimal"/>
      <w:pStyle w:val="Numbered111"/>
      <w:lvlText w:val="%1.%2.%3."/>
      <w:lvlJc w:val="left"/>
      <w:pPr>
        <w:ind w:left="1224" w:hanging="504"/>
      </w:pPr>
    </w:lvl>
    <w:lvl w:ilvl="3">
      <w:start w:val="1"/>
      <w:numFmt w:val="decimal"/>
      <w:pStyle w:val="Numbered1111"/>
      <w:lvlText w:val="%1.%2.%3.%4."/>
      <w:lvlJc w:val="left"/>
      <w:pPr>
        <w:ind w:left="1728" w:hanging="648"/>
      </w:pPr>
    </w:lvl>
    <w:lvl w:ilvl="4">
      <w:start w:val="1"/>
      <w:numFmt w:val="decimal"/>
      <w:pStyle w:val="Numbered11111"/>
      <w:lvlText w:val="%1.%2.%3.%4.%5."/>
      <w:lvlJc w:val="left"/>
      <w:pPr>
        <w:ind w:left="2232" w:hanging="792"/>
      </w:pPr>
    </w:lvl>
    <w:lvl w:ilvl="5">
      <w:start w:val="1"/>
      <w:numFmt w:val="decimal"/>
      <w:pStyle w:val="Numbered111111"/>
      <w:lvlText w:val="%1.%2.%3.%4.%5.%6."/>
      <w:lvlJc w:val="left"/>
      <w:pPr>
        <w:ind w:left="2736" w:hanging="936"/>
      </w:pPr>
    </w:lvl>
    <w:lvl w:ilvl="6">
      <w:start w:val="1"/>
      <w:numFmt w:val="decimal"/>
      <w:pStyle w:val="Numbered1111111"/>
      <w:lvlText w:val="%1.%2.%3.%4.%5.%6.%7."/>
      <w:lvlJc w:val="left"/>
      <w:pPr>
        <w:ind w:left="3240" w:hanging="1080"/>
      </w:pPr>
    </w:lvl>
    <w:lvl w:ilvl="7">
      <w:start w:val="1"/>
      <w:numFmt w:val="decimal"/>
      <w:pStyle w:val="Numbered11111111"/>
      <w:lvlText w:val="%1.%2.%3.%4.%5.%6.%7.%8."/>
      <w:lvlJc w:val="left"/>
      <w:pPr>
        <w:ind w:left="3744" w:hanging="1224"/>
      </w:pPr>
    </w:lvl>
    <w:lvl w:ilvl="8">
      <w:start w:val="1"/>
      <w:numFmt w:val="decimal"/>
      <w:pStyle w:val="Numbered111111111"/>
      <w:lvlText w:val="%1.%2.%3.%4.%5.%6.%7.%8.%9."/>
      <w:lvlJc w:val="left"/>
      <w:pPr>
        <w:ind w:left="4320" w:hanging="1440"/>
      </w:pPr>
    </w:lvl>
  </w:abstractNum>
  <w:abstractNum w:abstractNumId="23">
    <w:nsid w:val="1DFA331B"/>
    <w:multiLevelType w:val="multilevel"/>
    <w:tmpl w:val="39D4CB02"/>
    <w:numStyleLink w:val="AERnumberedlist"/>
  </w:abstractNum>
  <w:abstractNum w:abstractNumId="24">
    <w:nsid w:val="21684E5E"/>
    <w:multiLevelType w:val="hybridMultilevel"/>
    <w:tmpl w:val="5F4A1B06"/>
    <w:lvl w:ilvl="0" w:tplc="0C090005">
      <w:start w:val="1"/>
      <w:numFmt w:val="bullet"/>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nsid w:val="233428C7"/>
    <w:multiLevelType w:val="multilevel"/>
    <w:tmpl w:val="39D4CB02"/>
    <w:numStyleLink w:val="AERnumberedlist"/>
  </w:abstractNum>
  <w:abstractNum w:abstractNumId="26">
    <w:nsid w:val="2681668F"/>
    <w:multiLevelType w:val="hybridMultilevel"/>
    <w:tmpl w:val="10EA5E0E"/>
    <w:lvl w:ilvl="0" w:tplc="618A7DA2">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nsid w:val="2776270C"/>
    <w:multiLevelType w:val="multilevel"/>
    <w:tmpl w:val="39D4CB02"/>
    <w:numStyleLink w:val="AERnumberedlist"/>
  </w:abstractNum>
  <w:abstractNum w:abstractNumId="28">
    <w:nsid w:val="281977C0"/>
    <w:multiLevelType w:val="multilevel"/>
    <w:tmpl w:val="545A59A8"/>
    <w:numStyleLink w:val="AERHeadings"/>
  </w:abstractNum>
  <w:abstractNum w:abstractNumId="29">
    <w:nsid w:val="295C7239"/>
    <w:multiLevelType w:val="multilevel"/>
    <w:tmpl w:val="545A59A8"/>
    <w:numStyleLink w:val="AERHeadings"/>
  </w:abstractNum>
  <w:abstractNum w:abstractNumId="30">
    <w:nsid w:val="2C2D6B9E"/>
    <w:multiLevelType w:val="multilevel"/>
    <w:tmpl w:val="545A59A8"/>
    <w:numStyleLink w:val="AERHeadings"/>
  </w:abstractNum>
  <w:abstractNum w:abstractNumId="31">
    <w:nsid w:val="2DB12A3A"/>
    <w:multiLevelType w:val="multilevel"/>
    <w:tmpl w:val="545A59A8"/>
    <w:numStyleLink w:val="AERHeadings"/>
  </w:abstractNum>
  <w:abstractNum w:abstractNumId="32">
    <w:nsid w:val="2E594159"/>
    <w:multiLevelType w:val="hybridMultilevel"/>
    <w:tmpl w:val="4B6E20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nsid w:val="2FB612CC"/>
    <w:multiLevelType w:val="multilevel"/>
    <w:tmpl w:val="545A59A8"/>
    <w:styleLink w:val="AERHeadings"/>
    <w:lvl w:ilvl="0">
      <w:start w:val="1"/>
      <w:numFmt w:val="none"/>
      <w:pStyle w:val="UnnumberedHeading"/>
      <w:lvlText w:val="%1"/>
      <w:lvlJc w:val="left"/>
      <w:pPr>
        <w:tabs>
          <w:tab w:val="num" w:pos="0"/>
        </w:tabs>
        <w:ind w:left="0" w:firstLine="0"/>
      </w:pPr>
      <w:rPr>
        <w:rFonts w:hint="default"/>
      </w:rPr>
    </w:lvl>
    <w:lvl w:ilvl="1">
      <w:start w:val="16"/>
      <w:numFmt w:val="decimal"/>
      <w:pStyle w:val="Heading1"/>
      <w:lvlText w:val="%1%2"/>
      <w:lvlJc w:val="left"/>
      <w:pPr>
        <w:tabs>
          <w:tab w:val="num" w:pos="0"/>
        </w:tabs>
        <w:ind w:left="0" w:hanging="851"/>
      </w:pPr>
      <w:rPr>
        <w:rFonts w:hint="default"/>
      </w:rPr>
    </w:lvl>
    <w:lvl w:ilvl="2">
      <w:start w:val="1"/>
      <w:numFmt w:val="decimal"/>
      <w:pStyle w:val="Heading2"/>
      <w:lvlText w:val="%1%2.%3"/>
      <w:lvlJc w:val="left"/>
      <w:pPr>
        <w:tabs>
          <w:tab w:val="num" w:pos="0"/>
        </w:tabs>
        <w:ind w:left="0" w:hanging="851"/>
      </w:pPr>
      <w:rPr>
        <w:rFonts w:hint="default"/>
      </w:rPr>
    </w:lvl>
    <w:lvl w:ilvl="3">
      <w:start w:val="1"/>
      <w:numFmt w:val="decimal"/>
      <w:pStyle w:val="Heading3"/>
      <w:lvlText w:val="%2.%3.%4"/>
      <w:lvlJc w:val="left"/>
      <w:pPr>
        <w:tabs>
          <w:tab w:val="num" w:pos="0"/>
        </w:tabs>
        <w:ind w:left="0" w:hanging="851"/>
      </w:pPr>
      <w:rPr>
        <w:rFonts w:hint="default"/>
      </w:rPr>
    </w:lvl>
    <w:lvl w:ilvl="4">
      <w:start w:val="1"/>
      <w:numFmt w:val="upperLetter"/>
      <w:lvlRestart w:val="1"/>
      <w:pStyle w:val="Heading7"/>
      <w:lvlText w:val="%5"/>
      <w:lvlJc w:val="left"/>
      <w:pPr>
        <w:tabs>
          <w:tab w:val="num" w:pos="0"/>
        </w:tabs>
        <w:ind w:left="0" w:hanging="851"/>
      </w:pPr>
      <w:rPr>
        <w:rFonts w:hint="default"/>
      </w:rPr>
    </w:lvl>
    <w:lvl w:ilvl="5">
      <w:start w:val="1"/>
      <w:numFmt w:val="decimal"/>
      <w:pStyle w:val="Heading8"/>
      <w:lvlText w:val="%5.%6"/>
      <w:lvlJc w:val="left"/>
      <w:pPr>
        <w:tabs>
          <w:tab w:val="num" w:pos="0"/>
        </w:tabs>
        <w:ind w:left="0" w:hanging="851"/>
      </w:pPr>
      <w:rPr>
        <w:rFonts w:hint="default"/>
      </w:rPr>
    </w:lvl>
    <w:lvl w:ilvl="6">
      <w:start w:val="1"/>
      <w:numFmt w:val="decimal"/>
      <w:pStyle w:val="Heading9"/>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34">
    <w:nsid w:val="301B31FF"/>
    <w:multiLevelType w:val="multilevel"/>
    <w:tmpl w:val="A5AEB1CE"/>
    <w:lvl w:ilvl="0">
      <w:start w:val="1"/>
      <w:numFmt w:val="lowerLetter"/>
      <w:lvlText w:val="%1."/>
      <w:lvlJc w:val="left"/>
      <w:pPr>
        <w:tabs>
          <w:tab w:val="num" w:pos="720"/>
        </w:tabs>
        <w:ind w:left="72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Letter"/>
      <w:lvlText w:val="(%5)"/>
      <w:lvlJc w:val="left"/>
      <w:pPr>
        <w:tabs>
          <w:tab w:val="num" w:pos="2160"/>
        </w:tabs>
        <w:ind w:left="2160" w:hanging="360"/>
      </w:pPr>
      <w:rPr>
        <w:rFonts w:hint="default"/>
      </w:rPr>
    </w:lvl>
    <w:lvl w:ilvl="5">
      <w:start w:val="1"/>
      <w:numFmt w:val="lowerRoman"/>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lowerLetter"/>
      <w:lvlText w:val="%8."/>
      <w:lvlJc w:val="left"/>
      <w:pPr>
        <w:tabs>
          <w:tab w:val="num" w:pos="3240"/>
        </w:tabs>
        <w:ind w:left="3240" w:hanging="360"/>
      </w:pPr>
      <w:rPr>
        <w:rFonts w:hint="default"/>
      </w:rPr>
    </w:lvl>
    <w:lvl w:ilvl="8">
      <w:start w:val="1"/>
      <w:numFmt w:val="lowerRoman"/>
      <w:lvlText w:val="%9."/>
      <w:lvlJc w:val="left"/>
      <w:pPr>
        <w:tabs>
          <w:tab w:val="num" w:pos="3600"/>
        </w:tabs>
        <w:ind w:left="3600" w:hanging="360"/>
      </w:pPr>
      <w:rPr>
        <w:rFonts w:hint="default"/>
      </w:rPr>
    </w:lvl>
  </w:abstractNum>
  <w:abstractNum w:abstractNumId="35">
    <w:nsid w:val="31AA058E"/>
    <w:multiLevelType w:val="hybridMultilevel"/>
    <w:tmpl w:val="3C70101E"/>
    <w:lvl w:ilvl="0" w:tplc="B336B1FC">
      <w:start w:val="1"/>
      <w:numFmt w:val="bullet"/>
      <w:pStyle w:val="AERbulletlistthirdstyle"/>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36">
    <w:nsid w:val="333E0E05"/>
    <w:multiLevelType w:val="multilevel"/>
    <w:tmpl w:val="545A59A8"/>
    <w:numStyleLink w:val="AERHeadings"/>
  </w:abstractNum>
  <w:abstractNum w:abstractNumId="37">
    <w:nsid w:val="33EA63A6"/>
    <w:multiLevelType w:val="hybridMultilevel"/>
    <w:tmpl w:val="3C445834"/>
    <w:lvl w:ilvl="0" w:tplc="0C090011">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9">
    <w:nsid w:val="38DE491E"/>
    <w:multiLevelType w:val="hybridMultilevel"/>
    <w:tmpl w:val="91A6115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nsid w:val="3923347D"/>
    <w:multiLevelType w:val="hybridMultilevel"/>
    <w:tmpl w:val="D45C48E2"/>
    <w:lvl w:ilvl="0" w:tplc="D66A534E">
      <w:start w:val="1"/>
      <w:numFmt w:val="bullet"/>
      <w:pStyle w:val="ListBullet"/>
      <w:lvlText w:val=""/>
      <w:lvlJc w:val="left"/>
      <w:pPr>
        <w:ind w:left="720" w:hanging="360"/>
      </w:pPr>
      <w:rPr>
        <w:rFonts w:ascii="Symbol" w:hAnsi="Symbol"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nsid w:val="3AD6546D"/>
    <w:multiLevelType w:val="hybridMultilevel"/>
    <w:tmpl w:val="C2748134"/>
    <w:lvl w:ilvl="0" w:tplc="7E003F7C">
      <w:start w:val="1"/>
      <w:numFmt w:val="bullet"/>
      <w:lvlText w:val="-"/>
      <w:lvlJc w:val="left"/>
      <w:pPr>
        <w:ind w:left="420" w:hanging="360"/>
      </w:pPr>
      <w:rPr>
        <w:rFonts w:ascii="Gautami" w:eastAsia="Calibri" w:hAnsi="Gautami" w:cs="Gautami" w:hint="default"/>
      </w:rPr>
    </w:lvl>
    <w:lvl w:ilvl="1" w:tplc="0C090003" w:tentative="1">
      <w:start w:val="1"/>
      <w:numFmt w:val="bullet"/>
      <w:lvlText w:val="o"/>
      <w:lvlJc w:val="left"/>
      <w:pPr>
        <w:ind w:left="1140" w:hanging="360"/>
      </w:pPr>
      <w:rPr>
        <w:rFonts w:ascii="Courier New" w:hAnsi="Courier New" w:cs="Courier New" w:hint="default"/>
      </w:rPr>
    </w:lvl>
    <w:lvl w:ilvl="2" w:tplc="0C090005" w:tentative="1">
      <w:start w:val="1"/>
      <w:numFmt w:val="bullet"/>
      <w:lvlText w:val=""/>
      <w:lvlJc w:val="left"/>
      <w:pPr>
        <w:ind w:left="1860" w:hanging="360"/>
      </w:pPr>
      <w:rPr>
        <w:rFonts w:ascii="Wingdings" w:hAnsi="Wingdings" w:hint="default"/>
      </w:rPr>
    </w:lvl>
    <w:lvl w:ilvl="3" w:tplc="0C090001" w:tentative="1">
      <w:start w:val="1"/>
      <w:numFmt w:val="bullet"/>
      <w:lvlText w:val=""/>
      <w:lvlJc w:val="left"/>
      <w:pPr>
        <w:ind w:left="2580" w:hanging="360"/>
      </w:pPr>
      <w:rPr>
        <w:rFonts w:ascii="Symbol" w:hAnsi="Symbol" w:hint="default"/>
      </w:rPr>
    </w:lvl>
    <w:lvl w:ilvl="4" w:tplc="0C090003" w:tentative="1">
      <w:start w:val="1"/>
      <w:numFmt w:val="bullet"/>
      <w:lvlText w:val="o"/>
      <w:lvlJc w:val="left"/>
      <w:pPr>
        <w:ind w:left="3300" w:hanging="360"/>
      </w:pPr>
      <w:rPr>
        <w:rFonts w:ascii="Courier New" w:hAnsi="Courier New" w:cs="Courier New" w:hint="default"/>
      </w:rPr>
    </w:lvl>
    <w:lvl w:ilvl="5" w:tplc="0C090005" w:tentative="1">
      <w:start w:val="1"/>
      <w:numFmt w:val="bullet"/>
      <w:lvlText w:val=""/>
      <w:lvlJc w:val="left"/>
      <w:pPr>
        <w:ind w:left="4020" w:hanging="360"/>
      </w:pPr>
      <w:rPr>
        <w:rFonts w:ascii="Wingdings" w:hAnsi="Wingdings" w:hint="default"/>
      </w:rPr>
    </w:lvl>
    <w:lvl w:ilvl="6" w:tplc="0C090001" w:tentative="1">
      <w:start w:val="1"/>
      <w:numFmt w:val="bullet"/>
      <w:lvlText w:val=""/>
      <w:lvlJc w:val="left"/>
      <w:pPr>
        <w:ind w:left="4740" w:hanging="360"/>
      </w:pPr>
      <w:rPr>
        <w:rFonts w:ascii="Symbol" w:hAnsi="Symbol" w:hint="default"/>
      </w:rPr>
    </w:lvl>
    <w:lvl w:ilvl="7" w:tplc="0C090003" w:tentative="1">
      <w:start w:val="1"/>
      <w:numFmt w:val="bullet"/>
      <w:lvlText w:val="o"/>
      <w:lvlJc w:val="left"/>
      <w:pPr>
        <w:ind w:left="5460" w:hanging="360"/>
      </w:pPr>
      <w:rPr>
        <w:rFonts w:ascii="Courier New" w:hAnsi="Courier New" w:cs="Courier New" w:hint="default"/>
      </w:rPr>
    </w:lvl>
    <w:lvl w:ilvl="8" w:tplc="0C090005" w:tentative="1">
      <w:start w:val="1"/>
      <w:numFmt w:val="bullet"/>
      <w:lvlText w:val=""/>
      <w:lvlJc w:val="left"/>
      <w:pPr>
        <w:ind w:left="6180" w:hanging="360"/>
      </w:pPr>
      <w:rPr>
        <w:rFonts w:ascii="Wingdings" w:hAnsi="Wingdings" w:hint="default"/>
      </w:rPr>
    </w:lvl>
  </w:abstractNum>
  <w:abstractNum w:abstractNumId="42">
    <w:nsid w:val="3AF336BC"/>
    <w:multiLevelType w:val="hybridMultilevel"/>
    <w:tmpl w:val="955A02CC"/>
    <w:lvl w:ilvl="0" w:tplc="C90C7928">
      <w:start w:val="1"/>
      <w:numFmt w:val="bullet"/>
      <w:pStyle w:val="AERbulletlistfirststyle"/>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nsid w:val="3C721288"/>
    <w:multiLevelType w:val="multilevel"/>
    <w:tmpl w:val="545A59A8"/>
    <w:numStyleLink w:val="AERHeadings"/>
  </w:abstractNum>
  <w:abstractNum w:abstractNumId="44">
    <w:nsid w:val="426561E5"/>
    <w:multiLevelType w:val="hybridMultilevel"/>
    <w:tmpl w:val="DE3655F4"/>
    <w:lvl w:ilvl="0" w:tplc="28827C88">
      <w:start w:val="1"/>
      <w:numFmt w:val="decimal"/>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45">
    <w:nsid w:val="429046A0"/>
    <w:multiLevelType w:val="multilevel"/>
    <w:tmpl w:val="9A30B4AC"/>
    <w:styleLink w:val="AERnumberedlist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nsid w:val="443F74CB"/>
    <w:multiLevelType w:val="hybridMultilevel"/>
    <w:tmpl w:val="5FB40038"/>
    <w:lvl w:ilvl="0" w:tplc="921A7DDA">
      <w:start w:val="1"/>
      <w:numFmt w:val="decimal"/>
      <w:lvlText w:val="%1."/>
      <w:lvlJc w:val="left"/>
      <w:pPr>
        <w:tabs>
          <w:tab w:val="num" w:pos="357"/>
        </w:tabs>
        <w:ind w:left="357" w:hanging="357"/>
      </w:pPr>
      <w:rPr>
        <w:rFonts w:ascii="Gautami" w:hAnsi="Gautami" w:hint="default"/>
        <w:b w:val="0"/>
        <w:i w:val="0"/>
        <w:sz w:val="22"/>
      </w:rPr>
    </w:lvl>
    <w:lvl w:ilvl="1" w:tplc="6A7A61AE">
      <w:start w:val="1"/>
      <w:numFmt w:val="bullet"/>
      <w:lvlText w:val=""/>
      <w:lvlJc w:val="left"/>
      <w:pPr>
        <w:tabs>
          <w:tab w:val="num" w:pos="4498"/>
        </w:tabs>
        <w:ind w:left="4498" w:hanging="358"/>
      </w:pPr>
      <w:rPr>
        <w:rFonts w:ascii="Wingdings" w:hAnsi="Wingdings" w:hint="default"/>
        <w:b w:val="0"/>
        <w:i w:val="0"/>
        <w:sz w:val="22"/>
      </w:rPr>
    </w:lvl>
    <w:lvl w:ilvl="2" w:tplc="0C090005" w:tentative="1">
      <w:start w:val="1"/>
      <w:numFmt w:val="lowerRoman"/>
      <w:lvlText w:val="%3."/>
      <w:lvlJc w:val="right"/>
      <w:pPr>
        <w:tabs>
          <w:tab w:val="num" w:pos="5220"/>
        </w:tabs>
        <w:ind w:left="5220" w:hanging="180"/>
      </w:pPr>
    </w:lvl>
    <w:lvl w:ilvl="3" w:tplc="0C090001" w:tentative="1">
      <w:start w:val="1"/>
      <w:numFmt w:val="decimal"/>
      <w:lvlText w:val="%4."/>
      <w:lvlJc w:val="left"/>
      <w:pPr>
        <w:tabs>
          <w:tab w:val="num" w:pos="5940"/>
        </w:tabs>
        <w:ind w:left="5940" w:hanging="360"/>
      </w:pPr>
    </w:lvl>
    <w:lvl w:ilvl="4" w:tplc="0C090003">
      <w:start w:val="1"/>
      <w:numFmt w:val="lowerLetter"/>
      <w:lvlText w:val="%5."/>
      <w:lvlJc w:val="left"/>
      <w:pPr>
        <w:tabs>
          <w:tab w:val="num" w:pos="6660"/>
        </w:tabs>
        <w:ind w:left="6660" w:hanging="360"/>
      </w:pPr>
    </w:lvl>
    <w:lvl w:ilvl="5" w:tplc="0C090005">
      <w:start w:val="1"/>
      <w:numFmt w:val="lowerRoman"/>
      <w:lvlText w:val="%6."/>
      <w:lvlJc w:val="right"/>
      <w:pPr>
        <w:tabs>
          <w:tab w:val="num" w:pos="7380"/>
        </w:tabs>
        <w:ind w:left="7380" w:hanging="180"/>
      </w:pPr>
    </w:lvl>
    <w:lvl w:ilvl="6" w:tplc="0C090001" w:tentative="1">
      <w:start w:val="1"/>
      <w:numFmt w:val="decimal"/>
      <w:lvlText w:val="%7."/>
      <w:lvlJc w:val="left"/>
      <w:pPr>
        <w:tabs>
          <w:tab w:val="num" w:pos="8100"/>
        </w:tabs>
        <w:ind w:left="8100" w:hanging="360"/>
      </w:pPr>
    </w:lvl>
    <w:lvl w:ilvl="7" w:tplc="0C090003" w:tentative="1">
      <w:start w:val="1"/>
      <w:numFmt w:val="lowerLetter"/>
      <w:lvlText w:val="%8."/>
      <w:lvlJc w:val="left"/>
      <w:pPr>
        <w:tabs>
          <w:tab w:val="num" w:pos="8820"/>
        </w:tabs>
        <w:ind w:left="8820" w:hanging="360"/>
      </w:pPr>
    </w:lvl>
    <w:lvl w:ilvl="8" w:tplc="0C090005" w:tentative="1">
      <w:start w:val="1"/>
      <w:numFmt w:val="lowerRoman"/>
      <w:lvlText w:val="%9."/>
      <w:lvlJc w:val="right"/>
      <w:pPr>
        <w:tabs>
          <w:tab w:val="num" w:pos="9540"/>
        </w:tabs>
        <w:ind w:left="9540" w:hanging="180"/>
      </w:pPr>
    </w:lvl>
  </w:abstractNum>
  <w:abstractNum w:abstractNumId="47">
    <w:nsid w:val="4A137C51"/>
    <w:multiLevelType w:val="hybridMultilevel"/>
    <w:tmpl w:val="1160F4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nsid w:val="4D904BD7"/>
    <w:multiLevelType w:val="hybridMultilevel"/>
    <w:tmpl w:val="8396A062"/>
    <w:lvl w:ilvl="0" w:tplc="0C09000F">
      <w:start w:val="1"/>
      <w:numFmt w:val="decimal"/>
      <w:lvlText w:val="%1."/>
      <w:lvlJc w:val="left"/>
      <w:pPr>
        <w:ind w:left="780" w:hanging="360"/>
      </w:pPr>
    </w:lvl>
    <w:lvl w:ilvl="1" w:tplc="0C090019" w:tentative="1">
      <w:start w:val="1"/>
      <w:numFmt w:val="lowerLetter"/>
      <w:lvlText w:val="%2."/>
      <w:lvlJc w:val="left"/>
      <w:pPr>
        <w:ind w:left="1500" w:hanging="360"/>
      </w:pPr>
    </w:lvl>
    <w:lvl w:ilvl="2" w:tplc="0C09001B" w:tentative="1">
      <w:start w:val="1"/>
      <w:numFmt w:val="lowerRoman"/>
      <w:lvlText w:val="%3."/>
      <w:lvlJc w:val="right"/>
      <w:pPr>
        <w:ind w:left="2220" w:hanging="180"/>
      </w:pPr>
    </w:lvl>
    <w:lvl w:ilvl="3" w:tplc="0C09000F" w:tentative="1">
      <w:start w:val="1"/>
      <w:numFmt w:val="decimal"/>
      <w:lvlText w:val="%4."/>
      <w:lvlJc w:val="left"/>
      <w:pPr>
        <w:ind w:left="2940" w:hanging="360"/>
      </w:pPr>
    </w:lvl>
    <w:lvl w:ilvl="4" w:tplc="0C090019" w:tentative="1">
      <w:start w:val="1"/>
      <w:numFmt w:val="lowerLetter"/>
      <w:lvlText w:val="%5."/>
      <w:lvlJc w:val="left"/>
      <w:pPr>
        <w:ind w:left="3660" w:hanging="360"/>
      </w:pPr>
    </w:lvl>
    <w:lvl w:ilvl="5" w:tplc="0C09001B" w:tentative="1">
      <w:start w:val="1"/>
      <w:numFmt w:val="lowerRoman"/>
      <w:lvlText w:val="%6."/>
      <w:lvlJc w:val="right"/>
      <w:pPr>
        <w:ind w:left="4380" w:hanging="180"/>
      </w:pPr>
    </w:lvl>
    <w:lvl w:ilvl="6" w:tplc="0C09000F" w:tentative="1">
      <w:start w:val="1"/>
      <w:numFmt w:val="decimal"/>
      <w:lvlText w:val="%7."/>
      <w:lvlJc w:val="left"/>
      <w:pPr>
        <w:ind w:left="5100" w:hanging="360"/>
      </w:pPr>
    </w:lvl>
    <w:lvl w:ilvl="7" w:tplc="0C090019" w:tentative="1">
      <w:start w:val="1"/>
      <w:numFmt w:val="lowerLetter"/>
      <w:lvlText w:val="%8."/>
      <w:lvlJc w:val="left"/>
      <w:pPr>
        <w:ind w:left="5820" w:hanging="360"/>
      </w:pPr>
    </w:lvl>
    <w:lvl w:ilvl="8" w:tplc="0C09001B" w:tentative="1">
      <w:start w:val="1"/>
      <w:numFmt w:val="lowerRoman"/>
      <w:lvlText w:val="%9."/>
      <w:lvlJc w:val="right"/>
      <w:pPr>
        <w:ind w:left="6540" w:hanging="180"/>
      </w:pPr>
    </w:lvl>
  </w:abstractNum>
  <w:abstractNum w:abstractNumId="49">
    <w:nsid w:val="4EC92B8C"/>
    <w:multiLevelType w:val="hybridMultilevel"/>
    <w:tmpl w:val="8500F846"/>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nsid w:val="4F037C49"/>
    <w:multiLevelType w:val="multilevel"/>
    <w:tmpl w:val="39D4CB02"/>
    <w:numStyleLink w:val="AERnumberedlist"/>
  </w:abstractNum>
  <w:abstractNum w:abstractNumId="51">
    <w:nsid w:val="4F820549"/>
    <w:multiLevelType w:val="multilevel"/>
    <w:tmpl w:val="0C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2">
    <w:nsid w:val="51487971"/>
    <w:multiLevelType w:val="multilevel"/>
    <w:tmpl w:val="39D4CB02"/>
    <w:styleLink w:val="AERnumberedlist"/>
    <w:lvl w:ilvl="0">
      <w:start w:val="1"/>
      <w:numFmt w:val="none"/>
      <w:pStyle w:val="AERbodytext"/>
      <w:lvlText w:val="%1"/>
      <w:lvlJc w:val="left"/>
      <w:pPr>
        <w:tabs>
          <w:tab w:val="num" w:pos="0"/>
        </w:tabs>
        <w:ind w:left="0" w:firstLine="0"/>
      </w:pPr>
      <w:rPr>
        <w:rFonts w:hint="default"/>
      </w:rPr>
    </w:lvl>
    <w:lvl w:ilvl="1">
      <w:start w:val="1"/>
      <w:numFmt w:val="decimal"/>
      <w:pStyle w:val="AERnumberedlistfirststyle"/>
      <w:lvlText w:val="%2."/>
      <w:lvlJc w:val="left"/>
      <w:pPr>
        <w:tabs>
          <w:tab w:val="num" w:pos="357"/>
        </w:tabs>
        <w:ind w:left="357" w:hanging="357"/>
      </w:pPr>
      <w:rPr>
        <w:rFonts w:hint="default"/>
      </w:rPr>
    </w:lvl>
    <w:lvl w:ilvl="2">
      <w:start w:val="1"/>
      <w:numFmt w:val="lowerLetter"/>
      <w:pStyle w:val="AERnumberedlistsecondstyle"/>
      <w:lvlText w:val="%3."/>
      <w:lvlJc w:val="left"/>
      <w:pPr>
        <w:tabs>
          <w:tab w:val="num" w:pos="720"/>
        </w:tabs>
        <w:ind w:left="720" w:hanging="363"/>
      </w:pPr>
      <w:rPr>
        <w:rFonts w:hint="default"/>
      </w:rPr>
    </w:lvl>
    <w:lvl w:ilvl="3">
      <w:start w:val="1"/>
      <w:numFmt w:val="lowerRoman"/>
      <w:pStyle w:val="AERnumberedlistthirdstyle"/>
      <w:lvlText w:val="%4."/>
      <w:lvlJc w:val="left"/>
      <w:pPr>
        <w:tabs>
          <w:tab w:val="num" w:pos="1077"/>
        </w:tabs>
        <w:ind w:left="1077" w:hanging="357"/>
      </w:pPr>
      <w:rPr>
        <w:rFonts w:hint="default"/>
      </w:rPr>
    </w:lvl>
    <w:lvl w:ilvl="4">
      <w:start w:val="1"/>
      <w:numFmt w:val="decimal"/>
      <w:lvlRestart w:val="1"/>
      <w:pStyle w:val="AERnumberedlist2first"/>
      <w:lvlText w:val="(%5)"/>
      <w:lvlJc w:val="left"/>
      <w:pPr>
        <w:tabs>
          <w:tab w:val="num" w:pos="454"/>
        </w:tabs>
        <w:ind w:left="454" w:hanging="454"/>
      </w:pPr>
      <w:rPr>
        <w:rFonts w:hint="default"/>
      </w:rPr>
    </w:lvl>
    <w:lvl w:ilvl="5">
      <w:start w:val="1"/>
      <w:numFmt w:val="lowerLetter"/>
      <w:pStyle w:val="AERnumberedlist2second"/>
      <w:lvlText w:val="(%6)"/>
      <w:lvlJc w:val="left"/>
      <w:pPr>
        <w:tabs>
          <w:tab w:val="num" w:pos="811"/>
        </w:tabs>
        <w:ind w:left="811" w:hanging="357"/>
      </w:pPr>
      <w:rPr>
        <w:rFonts w:hint="default"/>
      </w:rPr>
    </w:lvl>
    <w:lvl w:ilvl="6">
      <w:start w:val="1"/>
      <w:numFmt w:val="lowerRoman"/>
      <w:pStyle w:val="AERnumberedlist2third"/>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3">
    <w:nsid w:val="51807103"/>
    <w:multiLevelType w:val="multilevel"/>
    <w:tmpl w:val="39D4CB02"/>
    <w:numStyleLink w:val="AERnumberedlist"/>
  </w:abstractNum>
  <w:abstractNum w:abstractNumId="54">
    <w:nsid w:val="57384C50"/>
    <w:multiLevelType w:val="hybridMultilevel"/>
    <w:tmpl w:val="45CCF906"/>
    <w:styleLink w:val="AERHeadings1"/>
    <w:lvl w:ilvl="0" w:tplc="8FF0783E">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5">
    <w:nsid w:val="58B43E96"/>
    <w:multiLevelType w:val="hybridMultilevel"/>
    <w:tmpl w:val="7E6C8D9E"/>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nsid w:val="5CA44D80"/>
    <w:multiLevelType w:val="hybridMultilevel"/>
    <w:tmpl w:val="D9ECB12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nsid w:val="5D386EA7"/>
    <w:multiLevelType w:val="multilevel"/>
    <w:tmpl w:val="545A59A8"/>
    <w:numStyleLink w:val="AERHeadings"/>
  </w:abstractNum>
  <w:abstractNum w:abstractNumId="58">
    <w:nsid w:val="5DCC1B18"/>
    <w:multiLevelType w:val="multilevel"/>
    <w:tmpl w:val="39D4CB02"/>
    <w:numStyleLink w:val="AERnumberedlist"/>
  </w:abstractNum>
  <w:abstractNum w:abstractNumId="59">
    <w:nsid w:val="602B154D"/>
    <w:multiLevelType w:val="hybridMultilevel"/>
    <w:tmpl w:val="DEB44B6A"/>
    <w:lvl w:ilvl="0" w:tplc="4E9E761E">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0">
    <w:nsid w:val="664824C6"/>
    <w:multiLevelType w:val="hybridMultilevel"/>
    <w:tmpl w:val="918E9E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1">
    <w:nsid w:val="6726588A"/>
    <w:multiLevelType w:val="hybridMultilevel"/>
    <w:tmpl w:val="CC927964"/>
    <w:lvl w:ilvl="0" w:tplc="0C09000F">
      <w:start w:val="1"/>
      <w:numFmt w:val="bullet"/>
      <w:pStyle w:val="Bulletpoint2"/>
      <w:lvlText w:val="o"/>
      <w:lvlJc w:val="left"/>
      <w:pPr>
        <w:ind w:left="1003" w:hanging="360"/>
      </w:pPr>
      <w:rPr>
        <w:rFonts w:ascii="Courier New" w:hAnsi="Courier New" w:cs="Courier New" w:hint="default"/>
      </w:rPr>
    </w:lvl>
    <w:lvl w:ilvl="1" w:tplc="0C090019" w:tentative="1">
      <w:start w:val="1"/>
      <w:numFmt w:val="bullet"/>
      <w:lvlText w:val="o"/>
      <w:lvlJc w:val="left"/>
      <w:pPr>
        <w:ind w:left="1723" w:hanging="360"/>
      </w:pPr>
      <w:rPr>
        <w:rFonts w:ascii="Courier New" w:hAnsi="Courier New" w:cs="Courier New" w:hint="default"/>
      </w:rPr>
    </w:lvl>
    <w:lvl w:ilvl="2" w:tplc="0C09001B" w:tentative="1">
      <w:start w:val="1"/>
      <w:numFmt w:val="bullet"/>
      <w:lvlText w:val=""/>
      <w:lvlJc w:val="left"/>
      <w:pPr>
        <w:ind w:left="2443" w:hanging="360"/>
      </w:pPr>
      <w:rPr>
        <w:rFonts w:ascii="Wingdings" w:hAnsi="Wingdings" w:hint="default"/>
      </w:rPr>
    </w:lvl>
    <w:lvl w:ilvl="3" w:tplc="0C09000F" w:tentative="1">
      <w:start w:val="1"/>
      <w:numFmt w:val="bullet"/>
      <w:lvlText w:val=""/>
      <w:lvlJc w:val="left"/>
      <w:pPr>
        <w:ind w:left="3163" w:hanging="360"/>
      </w:pPr>
      <w:rPr>
        <w:rFonts w:ascii="Symbol" w:hAnsi="Symbol" w:hint="default"/>
      </w:rPr>
    </w:lvl>
    <w:lvl w:ilvl="4" w:tplc="0C090019" w:tentative="1">
      <w:start w:val="1"/>
      <w:numFmt w:val="bullet"/>
      <w:lvlText w:val="o"/>
      <w:lvlJc w:val="left"/>
      <w:pPr>
        <w:ind w:left="3883" w:hanging="360"/>
      </w:pPr>
      <w:rPr>
        <w:rFonts w:ascii="Courier New" w:hAnsi="Courier New" w:cs="Courier New" w:hint="default"/>
      </w:rPr>
    </w:lvl>
    <w:lvl w:ilvl="5" w:tplc="0C09001B" w:tentative="1">
      <w:start w:val="1"/>
      <w:numFmt w:val="bullet"/>
      <w:lvlText w:val=""/>
      <w:lvlJc w:val="left"/>
      <w:pPr>
        <w:ind w:left="4603" w:hanging="360"/>
      </w:pPr>
      <w:rPr>
        <w:rFonts w:ascii="Wingdings" w:hAnsi="Wingdings" w:hint="default"/>
      </w:rPr>
    </w:lvl>
    <w:lvl w:ilvl="6" w:tplc="0C09000F" w:tentative="1">
      <w:start w:val="1"/>
      <w:numFmt w:val="bullet"/>
      <w:lvlText w:val=""/>
      <w:lvlJc w:val="left"/>
      <w:pPr>
        <w:ind w:left="5323" w:hanging="360"/>
      </w:pPr>
      <w:rPr>
        <w:rFonts w:ascii="Symbol" w:hAnsi="Symbol" w:hint="default"/>
      </w:rPr>
    </w:lvl>
    <w:lvl w:ilvl="7" w:tplc="0C090019" w:tentative="1">
      <w:start w:val="1"/>
      <w:numFmt w:val="bullet"/>
      <w:lvlText w:val="o"/>
      <w:lvlJc w:val="left"/>
      <w:pPr>
        <w:ind w:left="6043" w:hanging="360"/>
      </w:pPr>
      <w:rPr>
        <w:rFonts w:ascii="Courier New" w:hAnsi="Courier New" w:cs="Courier New" w:hint="default"/>
      </w:rPr>
    </w:lvl>
    <w:lvl w:ilvl="8" w:tplc="0C09001B" w:tentative="1">
      <w:start w:val="1"/>
      <w:numFmt w:val="bullet"/>
      <w:lvlText w:val=""/>
      <w:lvlJc w:val="left"/>
      <w:pPr>
        <w:ind w:left="6763" w:hanging="360"/>
      </w:pPr>
      <w:rPr>
        <w:rFonts w:ascii="Wingdings" w:hAnsi="Wingdings" w:hint="default"/>
      </w:rPr>
    </w:lvl>
  </w:abstractNum>
  <w:abstractNum w:abstractNumId="62">
    <w:nsid w:val="68247CF7"/>
    <w:multiLevelType w:val="multilevel"/>
    <w:tmpl w:val="545A59A8"/>
    <w:numStyleLink w:val="AERHeadings"/>
  </w:abstractNum>
  <w:abstractNum w:abstractNumId="63">
    <w:nsid w:val="69315B16"/>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4">
    <w:nsid w:val="695E038D"/>
    <w:multiLevelType w:val="hybridMultilevel"/>
    <w:tmpl w:val="F2369EFC"/>
    <w:lvl w:ilvl="0" w:tplc="0C090011">
      <w:start w:val="1"/>
      <w:numFmt w:val="decimal"/>
      <w:lvlText w:val="%1)"/>
      <w:lvlJc w:val="left"/>
      <w:pPr>
        <w:ind w:left="720" w:hanging="360"/>
      </w:pPr>
      <w:rPr>
        <w:rFonts w:hint="default"/>
      </w:rPr>
    </w:lvl>
    <w:lvl w:ilvl="1" w:tplc="0C090001">
      <w:start w:val="1"/>
      <w:numFmt w:val="bullet"/>
      <w:lvlText w:val=""/>
      <w:lvlJc w:val="left"/>
      <w:pPr>
        <w:ind w:left="1440" w:hanging="360"/>
      </w:pPr>
      <w:rPr>
        <w:rFonts w:ascii="Symbol" w:hAnsi="Symbol"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5">
    <w:nsid w:val="6FD63232"/>
    <w:multiLevelType w:val="hybridMultilevel"/>
    <w:tmpl w:val="72E67BF8"/>
    <w:lvl w:ilvl="0" w:tplc="0C090001">
      <w:start w:val="12"/>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6">
    <w:nsid w:val="74595980"/>
    <w:multiLevelType w:val="multilevel"/>
    <w:tmpl w:val="545A59A8"/>
    <w:numStyleLink w:val="AERHeadings"/>
  </w:abstractNum>
  <w:abstractNum w:abstractNumId="67">
    <w:nsid w:val="747A45AF"/>
    <w:multiLevelType w:val="multilevel"/>
    <w:tmpl w:val="11B215A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8">
    <w:nsid w:val="74F81DDF"/>
    <w:multiLevelType w:val="multilevel"/>
    <w:tmpl w:val="545A59A8"/>
    <w:numStyleLink w:val="AERHeadings"/>
  </w:abstractNum>
  <w:abstractNum w:abstractNumId="69">
    <w:nsid w:val="787F66A4"/>
    <w:multiLevelType w:val="multilevel"/>
    <w:tmpl w:val="545A59A8"/>
    <w:numStyleLink w:val="AERHeadings"/>
  </w:abstractNum>
  <w:abstractNum w:abstractNumId="70">
    <w:nsid w:val="7AAC6DD7"/>
    <w:multiLevelType w:val="multilevel"/>
    <w:tmpl w:val="545A59A8"/>
    <w:numStyleLink w:val="AERHeadings"/>
  </w:abstractNum>
  <w:abstractNum w:abstractNumId="71">
    <w:nsid w:val="7AEA3AE1"/>
    <w:multiLevelType w:val="hybridMultilevel"/>
    <w:tmpl w:val="52969776"/>
    <w:lvl w:ilvl="0" w:tplc="1B665800">
      <w:start w:val="1"/>
      <w:numFmt w:val="bullet"/>
      <w:pStyle w:val="AERquotebullet1"/>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2">
    <w:nsid w:val="7BE97BF8"/>
    <w:multiLevelType w:val="multilevel"/>
    <w:tmpl w:val="545A59A8"/>
    <w:numStyleLink w:val="AERHeadings"/>
  </w:abstractNum>
  <w:abstractNum w:abstractNumId="73">
    <w:nsid w:val="7CDA0F5F"/>
    <w:multiLevelType w:val="multilevel"/>
    <w:tmpl w:val="545A59A8"/>
    <w:numStyleLink w:val="AERHeadings"/>
  </w:abstractNum>
  <w:abstractNum w:abstractNumId="74">
    <w:nsid w:val="7E2819EC"/>
    <w:multiLevelType w:val="multilevel"/>
    <w:tmpl w:val="1250F310"/>
    <w:styleLink w:val="OldAERheadings1"/>
    <w:lvl w:ilvl="0">
      <w:start w:val="1"/>
      <w:numFmt w:val="bullet"/>
      <w:pStyle w:val="Bulletpoint"/>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63"/>
  </w:num>
  <w:num w:numId="2">
    <w:abstractNumId w:val="33"/>
    <w:lvlOverride w:ilvl="0">
      <w:lvl w:ilvl="0">
        <w:start w:val="1"/>
        <w:numFmt w:val="none"/>
        <w:pStyle w:val="UnnumberedHeading"/>
        <w:lvlText w:val="%1"/>
        <w:lvlJc w:val="left"/>
        <w:pPr>
          <w:tabs>
            <w:tab w:val="num" w:pos="0"/>
          </w:tabs>
          <w:ind w:left="0" w:firstLine="0"/>
        </w:pPr>
        <w:rPr>
          <w:rFonts w:hint="default"/>
        </w:rPr>
      </w:lvl>
    </w:lvlOverride>
    <w:lvlOverride w:ilvl="1">
      <w:lvl w:ilvl="1">
        <w:start w:val="16"/>
        <w:numFmt w:val="decimal"/>
        <w:pStyle w:val="Heading1"/>
        <w:lvlText w:val="%1%2"/>
        <w:lvlJc w:val="left"/>
        <w:pPr>
          <w:tabs>
            <w:tab w:val="num" w:pos="0"/>
          </w:tabs>
          <w:ind w:left="0" w:hanging="851"/>
        </w:pPr>
        <w:rPr>
          <w:rFonts w:hint="default"/>
        </w:rPr>
      </w:lvl>
    </w:lvlOverride>
    <w:lvlOverride w:ilvl="2">
      <w:lvl w:ilvl="2">
        <w:start w:val="1"/>
        <w:numFmt w:val="decimal"/>
        <w:pStyle w:val="Heading2"/>
        <w:lvlText w:val="%1%2.%3"/>
        <w:lvlJc w:val="left"/>
        <w:pPr>
          <w:tabs>
            <w:tab w:val="num" w:pos="0"/>
          </w:tabs>
          <w:ind w:left="0" w:hanging="851"/>
        </w:pPr>
        <w:rPr>
          <w:rFonts w:hint="default"/>
        </w:rPr>
      </w:lvl>
    </w:lvlOverride>
    <w:lvlOverride w:ilvl="3">
      <w:lvl w:ilvl="3">
        <w:start w:val="1"/>
        <w:numFmt w:val="decimal"/>
        <w:pStyle w:val="Heading3"/>
        <w:lvlText w:val="%2.%3.%4"/>
        <w:lvlJc w:val="left"/>
        <w:pPr>
          <w:tabs>
            <w:tab w:val="num" w:pos="0"/>
          </w:tabs>
          <w:ind w:left="0" w:hanging="851"/>
        </w:pPr>
        <w:rPr>
          <w:rFonts w:hint="default"/>
        </w:rPr>
      </w:lvl>
    </w:lvlOverride>
    <w:lvlOverride w:ilvl="4">
      <w:lvl w:ilvl="4">
        <w:start w:val="1"/>
        <w:numFmt w:val="upperLetter"/>
        <w:lvlRestart w:val="1"/>
        <w:pStyle w:val="Heading7"/>
        <w:lvlText w:val="%5"/>
        <w:lvlJc w:val="left"/>
        <w:pPr>
          <w:tabs>
            <w:tab w:val="num" w:pos="0"/>
          </w:tabs>
          <w:ind w:left="0" w:hanging="851"/>
        </w:pPr>
        <w:rPr>
          <w:rFonts w:hint="default"/>
        </w:rPr>
      </w:lvl>
    </w:lvlOverride>
    <w:lvlOverride w:ilvl="5">
      <w:lvl w:ilvl="5">
        <w:start w:val="1"/>
        <w:numFmt w:val="decimal"/>
        <w:pStyle w:val="Heading8"/>
        <w:lvlText w:val="%5.%6"/>
        <w:lvlJc w:val="left"/>
        <w:pPr>
          <w:tabs>
            <w:tab w:val="num" w:pos="0"/>
          </w:tabs>
          <w:ind w:left="0" w:hanging="851"/>
        </w:pPr>
        <w:rPr>
          <w:rFonts w:hint="default"/>
        </w:rPr>
      </w:lvl>
    </w:lvlOverride>
    <w:lvlOverride w:ilvl="6">
      <w:lvl w:ilvl="6">
        <w:start w:val="1"/>
        <w:numFmt w:val="decimal"/>
        <w:pStyle w:val="Heading9"/>
        <w:lvlText w:val="%5.%6.%7"/>
        <w:lvlJc w:val="left"/>
        <w:pPr>
          <w:tabs>
            <w:tab w:val="num" w:pos="0"/>
          </w:tabs>
          <w:ind w:left="0" w:hanging="851"/>
        </w:pPr>
        <w:rPr>
          <w:rFonts w:hint="default"/>
        </w:rPr>
      </w:lvl>
    </w:lvlOverride>
    <w:lvlOverride w:ilvl="7">
      <w:lvl w:ilvl="7">
        <w:start w:val="1"/>
        <w:numFmt w:val="none"/>
        <w:lvlRestart w:val="0"/>
        <w:lvlText w:val=""/>
        <w:lvlJc w:val="left"/>
        <w:pPr>
          <w:tabs>
            <w:tab w:val="num" w:pos="0"/>
          </w:tabs>
          <w:ind w:left="0" w:firstLine="0"/>
        </w:pPr>
        <w:rPr>
          <w:rFonts w:hint="default"/>
        </w:rPr>
      </w:lvl>
    </w:lvlOverride>
    <w:lvlOverride w:ilvl="8">
      <w:lvl w:ilvl="8">
        <w:start w:val="1"/>
        <w:numFmt w:val="none"/>
        <w:lvlRestart w:val="0"/>
        <w:lvlText w:val=""/>
        <w:lvlJc w:val="left"/>
        <w:pPr>
          <w:ind w:left="0" w:firstLine="0"/>
        </w:pPr>
        <w:rPr>
          <w:rFonts w:hint="default"/>
        </w:rPr>
      </w:lvl>
    </w:lvlOverride>
  </w:num>
  <w:num w:numId="3">
    <w:abstractNumId w:val="46"/>
  </w:num>
  <w:num w:numId="4">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5"/>
  </w:num>
  <w:num w:numId="6">
    <w:abstractNumId w:val="46"/>
    <w:lvlOverride w:ilvl="0">
      <w:startOverride w:val="1"/>
    </w:lvlOverride>
  </w:num>
  <w:num w:numId="7">
    <w:abstractNumId w:val="42"/>
  </w:num>
  <w:num w:numId="8">
    <w:abstractNumId w:val="35"/>
  </w:num>
  <w:num w:numId="9">
    <w:abstractNumId w:val="71"/>
  </w:num>
  <w:num w:numId="10">
    <w:abstractNumId w:val="46"/>
    <w:lvlOverride w:ilvl="0">
      <w:startOverride w:val="1"/>
    </w:lvlOverride>
  </w:num>
  <w:num w:numId="11">
    <w:abstractNumId w:val="11"/>
  </w:num>
  <w:num w:numId="12">
    <w:abstractNumId w:val="46"/>
    <w:lvlOverride w:ilvl="0">
      <w:startOverride w:val="1"/>
    </w:lvlOverride>
  </w:num>
  <w:num w:numId="13">
    <w:abstractNumId w:val="52"/>
  </w:num>
  <w:num w:numId="14">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5"/>
  </w:num>
  <w:num w:numId="16">
    <w:abstractNumId w:val="14"/>
  </w:num>
  <w:num w:numId="17">
    <w:abstractNumId w:val="50"/>
  </w:num>
  <w:num w:numId="18">
    <w:abstractNumId w:val="23"/>
  </w:num>
  <w:num w:numId="19">
    <w:abstractNumId w:val="27"/>
  </w:num>
  <w:num w:numId="20">
    <w:abstractNumId w:val="68"/>
  </w:num>
  <w:num w:numId="21">
    <w:abstractNumId w:val="58"/>
  </w:num>
  <w:num w:numId="22">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8"/>
  </w:num>
  <w:num w:numId="25">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9"/>
  </w:num>
  <w:num w:numId="27">
    <w:abstractNumId w:val="73"/>
  </w:num>
  <w:num w:numId="28">
    <w:abstractNumId w:val="36"/>
  </w:num>
  <w:num w:numId="29">
    <w:abstractNumId w:val="28"/>
  </w:num>
  <w:num w:numId="30">
    <w:abstractNumId w:val="20"/>
  </w:num>
  <w:num w:numId="31">
    <w:abstractNumId w:val="10"/>
  </w:num>
  <w:num w:numId="32">
    <w:abstractNumId w:val="21"/>
  </w:num>
  <w:num w:numId="33">
    <w:abstractNumId w:val="69"/>
  </w:num>
  <w:num w:numId="34">
    <w:abstractNumId w:val="62"/>
  </w:num>
  <w:num w:numId="35">
    <w:abstractNumId w:val="66"/>
  </w:num>
  <w:num w:numId="36">
    <w:abstractNumId w:val="72"/>
  </w:num>
  <w:num w:numId="37">
    <w:abstractNumId w:val="57"/>
  </w:num>
  <w:num w:numId="38">
    <w:abstractNumId w:val="30"/>
  </w:num>
  <w:num w:numId="39">
    <w:abstractNumId w:val="31"/>
  </w:num>
  <w:num w:numId="40">
    <w:abstractNumId w:val="43"/>
  </w:num>
  <w:num w:numId="41">
    <w:abstractNumId w:val="53"/>
  </w:num>
  <w:num w:numId="42">
    <w:abstractNumId w:val="19"/>
  </w:num>
  <w:num w:numId="43">
    <w:abstractNumId w:val="70"/>
  </w:num>
  <w:num w:numId="44">
    <w:abstractNumId w:val="51"/>
  </w:num>
  <w:num w:numId="45">
    <w:abstractNumId w:val="56"/>
  </w:num>
  <w:num w:numId="46">
    <w:abstractNumId w:val="44"/>
  </w:num>
  <w:num w:numId="47">
    <w:abstractNumId w:val="32"/>
  </w:num>
  <w:num w:numId="48">
    <w:abstractNumId w:val="39"/>
  </w:num>
  <w:num w:numId="49">
    <w:abstractNumId w:val="42"/>
  </w:num>
  <w:num w:numId="50">
    <w:abstractNumId w:val="10"/>
  </w:num>
  <w:num w:numId="51">
    <w:abstractNumId w:val="12"/>
  </w:num>
  <w:num w:numId="52">
    <w:abstractNumId w:val="60"/>
  </w:num>
  <w:num w:numId="53">
    <w:abstractNumId w:val="9"/>
  </w:num>
  <w:num w:numId="54">
    <w:abstractNumId w:val="67"/>
  </w:num>
  <w:num w:numId="55">
    <w:abstractNumId w:val="33"/>
  </w:num>
  <w:num w:numId="56">
    <w:abstractNumId w:val="37"/>
  </w:num>
  <w:num w:numId="57">
    <w:abstractNumId w:val="17"/>
  </w:num>
  <w:num w:numId="58">
    <w:abstractNumId w:val="64"/>
  </w:num>
  <w:num w:numId="59">
    <w:abstractNumId w:val="24"/>
  </w:num>
  <w:num w:numId="60">
    <w:abstractNumId w:val="41"/>
  </w:num>
  <w:num w:numId="61">
    <w:abstractNumId w:val="48"/>
  </w:num>
  <w:num w:numId="62">
    <w:abstractNumId w:val="49"/>
  </w:num>
  <w:num w:numId="63">
    <w:abstractNumId w:val="13"/>
  </w:num>
  <w:num w:numId="64">
    <w:abstractNumId w:val="33"/>
    <w:lvlOverride w:ilvl="0">
      <w:lvl w:ilvl="0">
        <w:start w:val="1"/>
        <w:numFmt w:val="none"/>
        <w:pStyle w:val="UnnumberedHeading"/>
        <w:lvlText w:val="%1"/>
        <w:lvlJc w:val="left"/>
        <w:pPr>
          <w:tabs>
            <w:tab w:val="num" w:pos="0"/>
          </w:tabs>
          <w:ind w:left="0" w:firstLine="0"/>
        </w:pPr>
        <w:rPr>
          <w:rFonts w:hint="default"/>
        </w:rPr>
      </w:lvl>
    </w:lvlOverride>
    <w:lvlOverride w:ilvl="1">
      <w:lvl w:ilvl="1">
        <w:start w:val="1"/>
        <w:numFmt w:val="decimal"/>
        <w:pStyle w:val="Heading1"/>
        <w:lvlText w:val="%1%2"/>
        <w:lvlJc w:val="left"/>
        <w:pPr>
          <w:tabs>
            <w:tab w:val="num" w:pos="0"/>
          </w:tabs>
          <w:ind w:left="0" w:hanging="851"/>
        </w:pPr>
        <w:rPr>
          <w:rFonts w:hint="default"/>
        </w:rPr>
      </w:lvl>
    </w:lvlOverride>
    <w:lvlOverride w:ilvl="2">
      <w:lvl w:ilvl="2">
        <w:start w:val="1"/>
        <w:numFmt w:val="decimal"/>
        <w:pStyle w:val="Heading2"/>
        <w:lvlText w:val="%1%2.%3"/>
        <w:lvlJc w:val="left"/>
        <w:pPr>
          <w:tabs>
            <w:tab w:val="num" w:pos="0"/>
          </w:tabs>
          <w:ind w:left="0" w:hanging="851"/>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3">
      <w:lvl w:ilvl="3">
        <w:start w:val="1"/>
        <w:numFmt w:val="decimal"/>
        <w:pStyle w:val="Heading3"/>
        <w:lvlText w:val="%2.%3.%4"/>
        <w:lvlJc w:val="left"/>
        <w:pPr>
          <w:tabs>
            <w:tab w:val="num" w:pos="0"/>
          </w:tabs>
          <w:ind w:left="0" w:hanging="851"/>
        </w:pPr>
        <w:rPr>
          <w:rFonts w:hint="default"/>
        </w:rPr>
      </w:lvl>
    </w:lvlOverride>
    <w:lvlOverride w:ilvl="4">
      <w:lvl w:ilvl="4">
        <w:start w:val="1"/>
        <w:numFmt w:val="upperLetter"/>
        <w:lvlRestart w:val="1"/>
        <w:pStyle w:val="Heading7"/>
        <w:lvlText w:val="%5"/>
        <w:lvlJc w:val="left"/>
        <w:pPr>
          <w:tabs>
            <w:tab w:val="num" w:pos="0"/>
          </w:tabs>
          <w:ind w:left="0" w:hanging="851"/>
        </w:pPr>
        <w:rPr>
          <w:rFonts w:hint="default"/>
        </w:rPr>
      </w:lvl>
    </w:lvlOverride>
    <w:lvlOverride w:ilvl="5">
      <w:lvl w:ilvl="5">
        <w:start w:val="1"/>
        <w:numFmt w:val="decimal"/>
        <w:pStyle w:val="Heading8"/>
        <w:lvlText w:val="%5.%6"/>
        <w:lvlJc w:val="left"/>
        <w:pPr>
          <w:tabs>
            <w:tab w:val="num" w:pos="0"/>
          </w:tabs>
          <w:ind w:left="0" w:hanging="851"/>
        </w:pPr>
        <w:rPr>
          <w:rFonts w:hint="default"/>
        </w:rPr>
      </w:lvl>
    </w:lvlOverride>
    <w:lvlOverride w:ilvl="6">
      <w:lvl w:ilvl="6">
        <w:start w:val="1"/>
        <w:numFmt w:val="decimal"/>
        <w:pStyle w:val="Heading9"/>
        <w:lvlText w:val="%5.%6.%7"/>
        <w:lvlJc w:val="left"/>
        <w:pPr>
          <w:tabs>
            <w:tab w:val="num" w:pos="0"/>
          </w:tabs>
          <w:ind w:left="0" w:hanging="851"/>
        </w:pPr>
        <w:rPr>
          <w:rFonts w:hint="default"/>
        </w:rPr>
      </w:lvl>
    </w:lvlOverride>
    <w:lvlOverride w:ilvl="7">
      <w:lvl w:ilvl="7">
        <w:start w:val="1"/>
        <w:numFmt w:val="none"/>
        <w:lvlRestart w:val="0"/>
        <w:lvlText w:val=""/>
        <w:lvlJc w:val="left"/>
        <w:pPr>
          <w:tabs>
            <w:tab w:val="num" w:pos="0"/>
          </w:tabs>
          <w:ind w:left="0" w:firstLine="0"/>
        </w:pPr>
        <w:rPr>
          <w:rFonts w:hint="default"/>
        </w:rPr>
      </w:lvl>
    </w:lvlOverride>
    <w:lvlOverride w:ilvl="8">
      <w:lvl w:ilvl="8">
        <w:start w:val="1"/>
        <w:numFmt w:val="none"/>
        <w:lvlRestart w:val="0"/>
        <w:lvlText w:val=""/>
        <w:lvlJc w:val="left"/>
        <w:pPr>
          <w:ind w:left="0" w:firstLine="0"/>
        </w:pPr>
        <w:rPr>
          <w:rFonts w:hint="default"/>
        </w:rPr>
      </w:lvl>
    </w:lvlOverride>
  </w:num>
  <w:num w:numId="65">
    <w:abstractNumId w:val="47"/>
  </w:num>
  <w:num w:numId="66">
    <w:abstractNumId w:val="26"/>
  </w:num>
  <w:num w:numId="67">
    <w:abstractNumId w:val="16"/>
  </w:num>
  <w:num w:numId="68">
    <w:abstractNumId w:val="55"/>
  </w:num>
  <w:num w:numId="69">
    <w:abstractNumId w:val="59"/>
  </w:num>
  <w:num w:numId="70">
    <w:abstractNumId w:val="54"/>
  </w:num>
  <w:num w:numId="71">
    <w:abstractNumId w:val="18"/>
  </w:num>
  <w:num w:numId="72">
    <w:abstractNumId w:val="45"/>
  </w:num>
  <w:num w:numId="73">
    <w:abstractNumId w:val="74"/>
  </w:num>
  <w:num w:numId="74">
    <w:abstractNumId w:val="7"/>
  </w:num>
  <w:num w:numId="75">
    <w:abstractNumId w:val="6"/>
  </w:num>
  <w:num w:numId="76">
    <w:abstractNumId w:val="5"/>
  </w:num>
  <w:num w:numId="77">
    <w:abstractNumId w:val="4"/>
  </w:num>
  <w:num w:numId="78">
    <w:abstractNumId w:val="8"/>
  </w:num>
  <w:num w:numId="79">
    <w:abstractNumId w:val="3"/>
  </w:num>
  <w:num w:numId="80">
    <w:abstractNumId w:val="2"/>
  </w:num>
  <w:num w:numId="81">
    <w:abstractNumId w:val="1"/>
  </w:num>
  <w:num w:numId="82">
    <w:abstractNumId w:val="0"/>
  </w:num>
  <w:num w:numId="83">
    <w:abstractNumId w:val="61"/>
  </w:num>
  <w:num w:numId="84">
    <w:abstractNumId w:val="40"/>
  </w:num>
  <w:num w:numId="85">
    <w:abstractNumId w:val="22"/>
  </w:num>
  <w:num w:numId="86">
    <w:abstractNumId w:val="65"/>
  </w:num>
  <w:num w:numId="87">
    <w:abstractNumId w:val="52"/>
  </w:num>
  <w:num w:numId="88">
    <w:abstractNumId w:val="52"/>
  </w:num>
  <w:num w:numId="89">
    <w:abstractNumId w:val="33"/>
    <w:lvlOverride w:ilvl="0">
      <w:startOverride w:val="1"/>
      <w:lvl w:ilvl="0">
        <w:start w:val="1"/>
        <w:numFmt w:val="none"/>
        <w:pStyle w:val="UnnumberedHeading"/>
        <w:lvlText w:val="%1"/>
        <w:lvlJc w:val="left"/>
        <w:pPr>
          <w:tabs>
            <w:tab w:val="num" w:pos="0"/>
          </w:tabs>
          <w:ind w:left="0" w:firstLine="0"/>
        </w:pPr>
        <w:rPr>
          <w:rFonts w:hint="default"/>
        </w:rPr>
      </w:lvl>
    </w:lvlOverride>
    <w:lvlOverride w:ilvl="1">
      <w:startOverride w:val="16"/>
      <w:lvl w:ilvl="1">
        <w:start w:val="16"/>
        <w:numFmt w:val="decimal"/>
        <w:pStyle w:val="Heading1"/>
        <w:lvlText w:val="%1%2"/>
        <w:lvlJc w:val="left"/>
        <w:pPr>
          <w:tabs>
            <w:tab w:val="num" w:pos="0"/>
          </w:tabs>
          <w:ind w:left="0" w:hanging="851"/>
        </w:pPr>
        <w:rPr>
          <w:rFonts w:hint="default"/>
        </w:rPr>
      </w:lvl>
    </w:lvlOverride>
    <w:lvlOverride w:ilvl="2">
      <w:startOverride w:val="1"/>
      <w:lvl w:ilvl="2">
        <w:start w:val="1"/>
        <w:numFmt w:val="decimal"/>
        <w:pStyle w:val="Heading2"/>
        <w:lvlText w:val="%1%2.%3"/>
        <w:lvlJc w:val="left"/>
        <w:pPr>
          <w:tabs>
            <w:tab w:val="num" w:pos="0"/>
          </w:tabs>
          <w:ind w:left="0" w:hanging="851"/>
        </w:pPr>
        <w:rPr>
          <w:rFonts w:hint="default"/>
        </w:rPr>
      </w:lvl>
    </w:lvlOverride>
    <w:lvlOverride w:ilvl="3">
      <w:startOverride w:val="1"/>
      <w:lvl w:ilvl="3">
        <w:start w:val="1"/>
        <w:numFmt w:val="decimal"/>
        <w:pStyle w:val="Heading3"/>
        <w:lvlText w:val="%2.%3.%4"/>
        <w:lvlJc w:val="left"/>
        <w:pPr>
          <w:tabs>
            <w:tab w:val="num" w:pos="0"/>
          </w:tabs>
          <w:ind w:left="0" w:hanging="851"/>
        </w:pPr>
        <w:rPr>
          <w:rFonts w:hint="default"/>
        </w:rPr>
      </w:lvl>
    </w:lvlOverride>
    <w:lvlOverride w:ilvl="4">
      <w:startOverride w:val="1"/>
      <w:lvl w:ilvl="4">
        <w:start w:val="1"/>
        <w:numFmt w:val="upperLetter"/>
        <w:lvlRestart w:val="1"/>
        <w:pStyle w:val="Heading7"/>
        <w:lvlText w:val="%5"/>
        <w:lvlJc w:val="left"/>
        <w:pPr>
          <w:tabs>
            <w:tab w:val="num" w:pos="0"/>
          </w:tabs>
          <w:ind w:left="0" w:hanging="851"/>
        </w:pPr>
        <w:rPr>
          <w:rFonts w:hint="default"/>
        </w:rPr>
      </w:lvl>
    </w:lvlOverride>
    <w:lvlOverride w:ilvl="5">
      <w:startOverride w:val="1"/>
      <w:lvl w:ilvl="5">
        <w:start w:val="1"/>
        <w:numFmt w:val="decimal"/>
        <w:pStyle w:val="Heading8"/>
        <w:lvlText w:val="%5.%6"/>
        <w:lvlJc w:val="left"/>
        <w:pPr>
          <w:tabs>
            <w:tab w:val="num" w:pos="0"/>
          </w:tabs>
          <w:ind w:left="0" w:hanging="851"/>
        </w:pPr>
        <w:rPr>
          <w:rFonts w:hint="default"/>
        </w:rPr>
      </w:lvl>
    </w:lvlOverride>
    <w:lvlOverride w:ilvl="6">
      <w:startOverride w:val="1"/>
      <w:lvl w:ilvl="6">
        <w:start w:val="1"/>
        <w:numFmt w:val="decimal"/>
        <w:pStyle w:val="Heading9"/>
        <w:lvlText w:val="%5.%6.%7"/>
        <w:lvlJc w:val="left"/>
        <w:pPr>
          <w:tabs>
            <w:tab w:val="num" w:pos="0"/>
          </w:tabs>
          <w:ind w:left="0" w:hanging="851"/>
        </w:pPr>
        <w:rPr>
          <w:rFonts w:hint="default"/>
        </w:rPr>
      </w:lvl>
    </w:lvlOverride>
    <w:lvlOverride w:ilvl="7">
      <w:startOverride w:val="1"/>
      <w:lvl w:ilvl="7">
        <w:start w:val="1"/>
        <w:numFmt w:val="none"/>
        <w:lvlRestart w:val="0"/>
        <w:lvlText w:val=""/>
        <w:lvlJc w:val="left"/>
        <w:pPr>
          <w:tabs>
            <w:tab w:val="num" w:pos="0"/>
          </w:tabs>
          <w:ind w:left="0" w:firstLine="0"/>
        </w:pPr>
        <w:rPr>
          <w:rFonts w:hint="default"/>
        </w:rPr>
      </w:lvl>
    </w:lvlOverride>
    <w:lvlOverride w:ilvl="8">
      <w:startOverride w:val="1"/>
      <w:lvl w:ilvl="8">
        <w:start w:val="1"/>
        <w:numFmt w:val="none"/>
        <w:lvlRestart w:val="0"/>
        <w:lvlText w:val=""/>
        <w:lvlJc w:val="left"/>
        <w:pPr>
          <w:ind w:left="0" w:firstLine="0"/>
        </w:pPr>
        <w:rPr>
          <w:rFonts w:hint="default"/>
        </w:rPr>
      </w:lvl>
    </w:lvlOverride>
  </w:num>
  <w:numIdMacAtCleanup w:val="8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76"/>
  <w:removePersonalInformation/>
  <w:removeDateAndTime/>
  <w:proofState w:spelling="clean" w:grammar="clean"/>
  <w:defaultTabStop w:val="720"/>
  <w:evenAndOddHeaders/>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docVars>
    <w:docVar w:name="currentname" w:val="H:\TRIMDATA\TRIM\TEMP\HPTRIM.3492\t0O1XK9H.DOCX"/>
  </w:docVars>
  <w:rsids>
    <w:rsidRoot w:val="000C052F"/>
    <w:rsid w:val="00003CAD"/>
    <w:rsid w:val="00006E37"/>
    <w:rsid w:val="00011129"/>
    <w:rsid w:val="00011F4F"/>
    <w:rsid w:val="00013251"/>
    <w:rsid w:val="000137B8"/>
    <w:rsid w:val="00022606"/>
    <w:rsid w:val="00023275"/>
    <w:rsid w:val="00023F3C"/>
    <w:rsid w:val="0002662F"/>
    <w:rsid w:val="00030E3D"/>
    <w:rsid w:val="000316C1"/>
    <w:rsid w:val="00040599"/>
    <w:rsid w:val="00040749"/>
    <w:rsid w:val="000578DF"/>
    <w:rsid w:val="00063E71"/>
    <w:rsid w:val="00072E4E"/>
    <w:rsid w:val="0009007D"/>
    <w:rsid w:val="00092E94"/>
    <w:rsid w:val="000A1CC2"/>
    <w:rsid w:val="000A5342"/>
    <w:rsid w:val="000A64C2"/>
    <w:rsid w:val="000A6EFE"/>
    <w:rsid w:val="000B0C8B"/>
    <w:rsid w:val="000B15CA"/>
    <w:rsid w:val="000C052F"/>
    <w:rsid w:val="000C3430"/>
    <w:rsid w:val="000D0375"/>
    <w:rsid w:val="000D03C2"/>
    <w:rsid w:val="000D04B1"/>
    <w:rsid w:val="000D147B"/>
    <w:rsid w:val="000D401F"/>
    <w:rsid w:val="000D419A"/>
    <w:rsid w:val="000D42D9"/>
    <w:rsid w:val="000D76C0"/>
    <w:rsid w:val="000E1A25"/>
    <w:rsid w:val="000E6418"/>
    <w:rsid w:val="000F0D7A"/>
    <w:rsid w:val="000F3476"/>
    <w:rsid w:val="000F3A6A"/>
    <w:rsid w:val="000F4443"/>
    <w:rsid w:val="001033B3"/>
    <w:rsid w:val="00105636"/>
    <w:rsid w:val="00107A18"/>
    <w:rsid w:val="00107FC1"/>
    <w:rsid w:val="001117FC"/>
    <w:rsid w:val="00111CDD"/>
    <w:rsid w:val="00115F2E"/>
    <w:rsid w:val="001164E3"/>
    <w:rsid w:val="00120C11"/>
    <w:rsid w:val="00125703"/>
    <w:rsid w:val="001273C1"/>
    <w:rsid w:val="0013022D"/>
    <w:rsid w:val="00131112"/>
    <w:rsid w:val="00131287"/>
    <w:rsid w:val="00131885"/>
    <w:rsid w:val="001351A1"/>
    <w:rsid w:val="00143577"/>
    <w:rsid w:val="00143B04"/>
    <w:rsid w:val="0014651E"/>
    <w:rsid w:val="001543D2"/>
    <w:rsid w:val="001547B0"/>
    <w:rsid w:val="00154998"/>
    <w:rsid w:val="00154CFC"/>
    <w:rsid w:val="00160800"/>
    <w:rsid w:val="00164366"/>
    <w:rsid w:val="001668FA"/>
    <w:rsid w:val="00166917"/>
    <w:rsid w:val="001708CC"/>
    <w:rsid w:val="0017394A"/>
    <w:rsid w:val="00174026"/>
    <w:rsid w:val="001749C6"/>
    <w:rsid w:val="00175907"/>
    <w:rsid w:val="00177FA5"/>
    <w:rsid w:val="00180045"/>
    <w:rsid w:val="00183D1A"/>
    <w:rsid w:val="00183FED"/>
    <w:rsid w:val="001856EE"/>
    <w:rsid w:val="00185A87"/>
    <w:rsid w:val="0019135E"/>
    <w:rsid w:val="00194C3C"/>
    <w:rsid w:val="001A23E8"/>
    <w:rsid w:val="001A3F1C"/>
    <w:rsid w:val="001B0EF1"/>
    <w:rsid w:val="001B35E3"/>
    <w:rsid w:val="001B5018"/>
    <w:rsid w:val="001B5469"/>
    <w:rsid w:val="001B6619"/>
    <w:rsid w:val="001C12E5"/>
    <w:rsid w:val="001C727F"/>
    <w:rsid w:val="001E1E47"/>
    <w:rsid w:val="001E65C7"/>
    <w:rsid w:val="001E7772"/>
    <w:rsid w:val="001F43BE"/>
    <w:rsid w:val="001F486A"/>
    <w:rsid w:val="001F646E"/>
    <w:rsid w:val="002023C1"/>
    <w:rsid w:val="00204188"/>
    <w:rsid w:val="0020711E"/>
    <w:rsid w:val="00210880"/>
    <w:rsid w:val="00213CEA"/>
    <w:rsid w:val="00214651"/>
    <w:rsid w:val="002234CD"/>
    <w:rsid w:val="00223656"/>
    <w:rsid w:val="00224269"/>
    <w:rsid w:val="002257B9"/>
    <w:rsid w:val="002260CD"/>
    <w:rsid w:val="0023137D"/>
    <w:rsid w:val="00233D71"/>
    <w:rsid w:val="002341FF"/>
    <w:rsid w:val="002356EA"/>
    <w:rsid w:val="00240CC5"/>
    <w:rsid w:val="002455B1"/>
    <w:rsid w:val="00245C95"/>
    <w:rsid w:val="00245E87"/>
    <w:rsid w:val="002471E6"/>
    <w:rsid w:val="00250E92"/>
    <w:rsid w:val="0026218C"/>
    <w:rsid w:val="00266710"/>
    <w:rsid w:val="00274EBF"/>
    <w:rsid w:val="002753F1"/>
    <w:rsid w:val="00275D4C"/>
    <w:rsid w:val="002805B8"/>
    <w:rsid w:val="00280C5C"/>
    <w:rsid w:val="00283694"/>
    <w:rsid w:val="002854F6"/>
    <w:rsid w:val="0028673E"/>
    <w:rsid w:val="00287F9B"/>
    <w:rsid w:val="002902B1"/>
    <w:rsid w:val="0029090C"/>
    <w:rsid w:val="002938CE"/>
    <w:rsid w:val="002A5064"/>
    <w:rsid w:val="002B0DA0"/>
    <w:rsid w:val="002B6640"/>
    <w:rsid w:val="002C3281"/>
    <w:rsid w:val="002C37DA"/>
    <w:rsid w:val="002D3C3C"/>
    <w:rsid w:val="002D61AC"/>
    <w:rsid w:val="002D7215"/>
    <w:rsid w:val="002D790F"/>
    <w:rsid w:val="002D79A0"/>
    <w:rsid w:val="002E4720"/>
    <w:rsid w:val="002F7F7F"/>
    <w:rsid w:val="0030094A"/>
    <w:rsid w:val="00303452"/>
    <w:rsid w:val="0030416D"/>
    <w:rsid w:val="003068CF"/>
    <w:rsid w:val="0030767E"/>
    <w:rsid w:val="0031432E"/>
    <w:rsid w:val="00314B06"/>
    <w:rsid w:val="0032010E"/>
    <w:rsid w:val="003206AA"/>
    <w:rsid w:val="003210F2"/>
    <w:rsid w:val="00324ACA"/>
    <w:rsid w:val="003263FF"/>
    <w:rsid w:val="00330F13"/>
    <w:rsid w:val="003324F7"/>
    <w:rsid w:val="00334F88"/>
    <w:rsid w:val="00336302"/>
    <w:rsid w:val="00337A3F"/>
    <w:rsid w:val="003439E6"/>
    <w:rsid w:val="00353F54"/>
    <w:rsid w:val="00355042"/>
    <w:rsid w:val="0035557C"/>
    <w:rsid w:val="0035741C"/>
    <w:rsid w:val="00361C38"/>
    <w:rsid w:val="0036473B"/>
    <w:rsid w:val="00367B32"/>
    <w:rsid w:val="003707DB"/>
    <w:rsid w:val="00375AEC"/>
    <w:rsid w:val="00376236"/>
    <w:rsid w:val="0037652C"/>
    <w:rsid w:val="00376EE2"/>
    <w:rsid w:val="003770F7"/>
    <w:rsid w:val="003800E4"/>
    <w:rsid w:val="00380FF5"/>
    <w:rsid w:val="0038685B"/>
    <w:rsid w:val="00393B4F"/>
    <w:rsid w:val="003A14E9"/>
    <w:rsid w:val="003A27E7"/>
    <w:rsid w:val="003A2DE8"/>
    <w:rsid w:val="003A479D"/>
    <w:rsid w:val="003A6174"/>
    <w:rsid w:val="003A61BB"/>
    <w:rsid w:val="003A724F"/>
    <w:rsid w:val="003B3DB4"/>
    <w:rsid w:val="003B7D3B"/>
    <w:rsid w:val="003C0B91"/>
    <w:rsid w:val="003C1FF2"/>
    <w:rsid w:val="003C4AAF"/>
    <w:rsid w:val="003D0A3E"/>
    <w:rsid w:val="003D4219"/>
    <w:rsid w:val="003E041B"/>
    <w:rsid w:val="003E262F"/>
    <w:rsid w:val="003F0D03"/>
    <w:rsid w:val="003F0D47"/>
    <w:rsid w:val="003F1297"/>
    <w:rsid w:val="003F7AF6"/>
    <w:rsid w:val="004010A0"/>
    <w:rsid w:val="004030AB"/>
    <w:rsid w:val="00406FDE"/>
    <w:rsid w:val="00411433"/>
    <w:rsid w:val="00412282"/>
    <w:rsid w:val="004163C4"/>
    <w:rsid w:val="00420DC0"/>
    <w:rsid w:val="004214AC"/>
    <w:rsid w:val="0042333D"/>
    <w:rsid w:val="004256BA"/>
    <w:rsid w:val="00427B61"/>
    <w:rsid w:val="00431999"/>
    <w:rsid w:val="00432589"/>
    <w:rsid w:val="004329D9"/>
    <w:rsid w:val="00433475"/>
    <w:rsid w:val="00435682"/>
    <w:rsid w:val="00436482"/>
    <w:rsid w:val="00436C61"/>
    <w:rsid w:val="00445F97"/>
    <w:rsid w:val="00450395"/>
    <w:rsid w:val="0045234B"/>
    <w:rsid w:val="00456081"/>
    <w:rsid w:val="00464F5D"/>
    <w:rsid w:val="004667DE"/>
    <w:rsid w:val="00471703"/>
    <w:rsid w:val="00474FBD"/>
    <w:rsid w:val="00477253"/>
    <w:rsid w:val="004911D5"/>
    <w:rsid w:val="00491D7D"/>
    <w:rsid w:val="00496129"/>
    <w:rsid w:val="004964DB"/>
    <w:rsid w:val="00497987"/>
    <w:rsid w:val="004B19B9"/>
    <w:rsid w:val="004B2221"/>
    <w:rsid w:val="004B7D08"/>
    <w:rsid w:val="004C115A"/>
    <w:rsid w:val="004C3F45"/>
    <w:rsid w:val="004C596B"/>
    <w:rsid w:val="004C5FC1"/>
    <w:rsid w:val="004D0EED"/>
    <w:rsid w:val="004D34DE"/>
    <w:rsid w:val="004D4CA2"/>
    <w:rsid w:val="004E1062"/>
    <w:rsid w:val="004E40EF"/>
    <w:rsid w:val="004E6893"/>
    <w:rsid w:val="004E73F7"/>
    <w:rsid w:val="004F14F5"/>
    <w:rsid w:val="004F2A01"/>
    <w:rsid w:val="004F61EB"/>
    <w:rsid w:val="004F76A0"/>
    <w:rsid w:val="00500E7F"/>
    <w:rsid w:val="00507084"/>
    <w:rsid w:val="00516E8C"/>
    <w:rsid w:val="0052179D"/>
    <w:rsid w:val="00525604"/>
    <w:rsid w:val="0053265F"/>
    <w:rsid w:val="00536436"/>
    <w:rsid w:val="005456A9"/>
    <w:rsid w:val="00547BD8"/>
    <w:rsid w:val="0055363B"/>
    <w:rsid w:val="0055596D"/>
    <w:rsid w:val="00555D52"/>
    <w:rsid w:val="005566D7"/>
    <w:rsid w:val="00557F61"/>
    <w:rsid w:val="00561F7F"/>
    <w:rsid w:val="00566B35"/>
    <w:rsid w:val="00567539"/>
    <w:rsid w:val="00571196"/>
    <w:rsid w:val="005732CC"/>
    <w:rsid w:val="00573CF3"/>
    <w:rsid w:val="00575422"/>
    <w:rsid w:val="005837BD"/>
    <w:rsid w:val="00586F05"/>
    <w:rsid w:val="00587D33"/>
    <w:rsid w:val="00592156"/>
    <w:rsid w:val="005938C6"/>
    <w:rsid w:val="005940D4"/>
    <w:rsid w:val="005949FF"/>
    <w:rsid w:val="005A0431"/>
    <w:rsid w:val="005A1AB4"/>
    <w:rsid w:val="005B3752"/>
    <w:rsid w:val="005B61C2"/>
    <w:rsid w:val="005B6517"/>
    <w:rsid w:val="005C0A7C"/>
    <w:rsid w:val="005D10C3"/>
    <w:rsid w:val="005D1497"/>
    <w:rsid w:val="005D26B7"/>
    <w:rsid w:val="005D4AA1"/>
    <w:rsid w:val="005E1686"/>
    <w:rsid w:val="005E3E0C"/>
    <w:rsid w:val="005E705A"/>
    <w:rsid w:val="005F0472"/>
    <w:rsid w:val="0060146C"/>
    <w:rsid w:val="0060207D"/>
    <w:rsid w:val="00602EA4"/>
    <w:rsid w:val="006039F2"/>
    <w:rsid w:val="00605B03"/>
    <w:rsid w:val="006061B0"/>
    <w:rsid w:val="00606BA0"/>
    <w:rsid w:val="0060732E"/>
    <w:rsid w:val="006076A9"/>
    <w:rsid w:val="0061092A"/>
    <w:rsid w:val="00614D73"/>
    <w:rsid w:val="00622C80"/>
    <w:rsid w:val="006254E0"/>
    <w:rsid w:val="00627EC2"/>
    <w:rsid w:val="006341BE"/>
    <w:rsid w:val="0065003C"/>
    <w:rsid w:val="0065104A"/>
    <w:rsid w:val="0065125A"/>
    <w:rsid w:val="0065223C"/>
    <w:rsid w:val="006544EA"/>
    <w:rsid w:val="0065451E"/>
    <w:rsid w:val="00655A0F"/>
    <w:rsid w:val="006601BB"/>
    <w:rsid w:val="006625CF"/>
    <w:rsid w:val="00664C67"/>
    <w:rsid w:val="00664E8F"/>
    <w:rsid w:val="0066569F"/>
    <w:rsid w:val="006715D0"/>
    <w:rsid w:val="00672BD0"/>
    <w:rsid w:val="00674FFF"/>
    <w:rsid w:val="00676E6B"/>
    <w:rsid w:val="00682703"/>
    <w:rsid w:val="00684C0C"/>
    <w:rsid w:val="0069004B"/>
    <w:rsid w:val="00691C98"/>
    <w:rsid w:val="0069721B"/>
    <w:rsid w:val="006A0259"/>
    <w:rsid w:val="006B08EB"/>
    <w:rsid w:val="006B481F"/>
    <w:rsid w:val="006B57F3"/>
    <w:rsid w:val="006B7D13"/>
    <w:rsid w:val="006C0C19"/>
    <w:rsid w:val="006C11AA"/>
    <w:rsid w:val="006C1FDB"/>
    <w:rsid w:val="006C7F77"/>
    <w:rsid w:val="006D0987"/>
    <w:rsid w:val="006D10AB"/>
    <w:rsid w:val="006E4DA2"/>
    <w:rsid w:val="006E66F1"/>
    <w:rsid w:val="006F5B53"/>
    <w:rsid w:val="006F638E"/>
    <w:rsid w:val="006F74B2"/>
    <w:rsid w:val="00703762"/>
    <w:rsid w:val="00703E42"/>
    <w:rsid w:val="007055B7"/>
    <w:rsid w:val="0070773C"/>
    <w:rsid w:val="0070799D"/>
    <w:rsid w:val="007126AD"/>
    <w:rsid w:val="0073394A"/>
    <w:rsid w:val="007357D3"/>
    <w:rsid w:val="00735A00"/>
    <w:rsid w:val="007368AD"/>
    <w:rsid w:val="00736A34"/>
    <w:rsid w:val="00740D2F"/>
    <w:rsid w:val="00742A7F"/>
    <w:rsid w:val="007501F7"/>
    <w:rsid w:val="00751D2A"/>
    <w:rsid w:val="007532D1"/>
    <w:rsid w:val="00755095"/>
    <w:rsid w:val="00760327"/>
    <w:rsid w:val="0076172D"/>
    <w:rsid w:val="00771786"/>
    <w:rsid w:val="00774B92"/>
    <w:rsid w:val="00774F6F"/>
    <w:rsid w:val="00776C57"/>
    <w:rsid w:val="007848A6"/>
    <w:rsid w:val="007878F9"/>
    <w:rsid w:val="007929CF"/>
    <w:rsid w:val="00796A07"/>
    <w:rsid w:val="007A17EF"/>
    <w:rsid w:val="007A5905"/>
    <w:rsid w:val="007A6BD8"/>
    <w:rsid w:val="007B0861"/>
    <w:rsid w:val="007B21C7"/>
    <w:rsid w:val="007B58DD"/>
    <w:rsid w:val="007B605D"/>
    <w:rsid w:val="007B6BF1"/>
    <w:rsid w:val="007C3A8B"/>
    <w:rsid w:val="007C648C"/>
    <w:rsid w:val="007D29FD"/>
    <w:rsid w:val="007D3CEB"/>
    <w:rsid w:val="007D4245"/>
    <w:rsid w:val="007F0EAB"/>
    <w:rsid w:val="007F10E3"/>
    <w:rsid w:val="007F2C0E"/>
    <w:rsid w:val="007F7D5C"/>
    <w:rsid w:val="00800560"/>
    <w:rsid w:val="008019E5"/>
    <w:rsid w:val="00804AEB"/>
    <w:rsid w:val="008120D9"/>
    <w:rsid w:val="00813660"/>
    <w:rsid w:val="008159D5"/>
    <w:rsid w:val="008243B6"/>
    <w:rsid w:val="00824944"/>
    <w:rsid w:val="00824CC8"/>
    <w:rsid w:val="00836D17"/>
    <w:rsid w:val="00840A55"/>
    <w:rsid w:val="00841E25"/>
    <w:rsid w:val="0084378B"/>
    <w:rsid w:val="008448CE"/>
    <w:rsid w:val="00844D65"/>
    <w:rsid w:val="008464CD"/>
    <w:rsid w:val="008515EE"/>
    <w:rsid w:val="00851849"/>
    <w:rsid w:val="00854BF0"/>
    <w:rsid w:val="00855127"/>
    <w:rsid w:val="00856AE2"/>
    <w:rsid w:val="00861C4E"/>
    <w:rsid w:val="00862963"/>
    <w:rsid w:val="008659A5"/>
    <w:rsid w:val="00866D21"/>
    <w:rsid w:val="00872D85"/>
    <w:rsid w:val="00883DDA"/>
    <w:rsid w:val="00884414"/>
    <w:rsid w:val="00890312"/>
    <w:rsid w:val="00891FF9"/>
    <w:rsid w:val="0089218A"/>
    <w:rsid w:val="00893367"/>
    <w:rsid w:val="00893D07"/>
    <w:rsid w:val="00893D9F"/>
    <w:rsid w:val="008A48A6"/>
    <w:rsid w:val="008A5F01"/>
    <w:rsid w:val="008B2144"/>
    <w:rsid w:val="008B3761"/>
    <w:rsid w:val="008B3925"/>
    <w:rsid w:val="008B7956"/>
    <w:rsid w:val="008C23E3"/>
    <w:rsid w:val="008C3722"/>
    <w:rsid w:val="008C3B67"/>
    <w:rsid w:val="008C3F48"/>
    <w:rsid w:val="008C42EC"/>
    <w:rsid w:val="008C4CDB"/>
    <w:rsid w:val="008D20DB"/>
    <w:rsid w:val="008D2A5F"/>
    <w:rsid w:val="008D49B4"/>
    <w:rsid w:val="008D513A"/>
    <w:rsid w:val="008D5D7C"/>
    <w:rsid w:val="008D6482"/>
    <w:rsid w:val="008D7498"/>
    <w:rsid w:val="008E0136"/>
    <w:rsid w:val="008E02B9"/>
    <w:rsid w:val="008E19C0"/>
    <w:rsid w:val="008E20E5"/>
    <w:rsid w:val="008E53DB"/>
    <w:rsid w:val="008F055F"/>
    <w:rsid w:val="008F09C7"/>
    <w:rsid w:val="008F1948"/>
    <w:rsid w:val="008F238F"/>
    <w:rsid w:val="008F6E94"/>
    <w:rsid w:val="0090530B"/>
    <w:rsid w:val="00921E97"/>
    <w:rsid w:val="00926BA1"/>
    <w:rsid w:val="00932E96"/>
    <w:rsid w:val="009418E6"/>
    <w:rsid w:val="0094235F"/>
    <w:rsid w:val="0094279F"/>
    <w:rsid w:val="009448D9"/>
    <w:rsid w:val="00945E74"/>
    <w:rsid w:val="00946B98"/>
    <w:rsid w:val="0095052A"/>
    <w:rsid w:val="009516DF"/>
    <w:rsid w:val="00957114"/>
    <w:rsid w:val="00961232"/>
    <w:rsid w:val="00962C39"/>
    <w:rsid w:val="009658F0"/>
    <w:rsid w:val="00970C18"/>
    <w:rsid w:val="00971655"/>
    <w:rsid w:val="00971C63"/>
    <w:rsid w:val="00972175"/>
    <w:rsid w:val="00974D0A"/>
    <w:rsid w:val="00976298"/>
    <w:rsid w:val="00980C62"/>
    <w:rsid w:val="00993461"/>
    <w:rsid w:val="00995267"/>
    <w:rsid w:val="00995F23"/>
    <w:rsid w:val="009A3148"/>
    <w:rsid w:val="009A4AE9"/>
    <w:rsid w:val="009A4C1B"/>
    <w:rsid w:val="009A5C52"/>
    <w:rsid w:val="009B03FD"/>
    <w:rsid w:val="009B1503"/>
    <w:rsid w:val="009B2EEC"/>
    <w:rsid w:val="009C4E1E"/>
    <w:rsid w:val="009C71D5"/>
    <w:rsid w:val="009D0222"/>
    <w:rsid w:val="009D1DA2"/>
    <w:rsid w:val="009D28E5"/>
    <w:rsid w:val="009E1294"/>
    <w:rsid w:val="009E2B24"/>
    <w:rsid w:val="009E2FA7"/>
    <w:rsid w:val="009E5BF0"/>
    <w:rsid w:val="009F030C"/>
    <w:rsid w:val="009F56D6"/>
    <w:rsid w:val="009F634A"/>
    <w:rsid w:val="009F7CE4"/>
    <w:rsid w:val="00A0379F"/>
    <w:rsid w:val="00A07D06"/>
    <w:rsid w:val="00A11162"/>
    <w:rsid w:val="00A1449C"/>
    <w:rsid w:val="00A325F0"/>
    <w:rsid w:val="00A37394"/>
    <w:rsid w:val="00A42100"/>
    <w:rsid w:val="00A43227"/>
    <w:rsid w:val="00A46CCD"/>
    <w:rsid w:val="00A51ADE"/>
    <w:rsid w:val="00A54CAC"/>
    <w:rsid w:val="00A57F7F"/>
    <w:rsid w:val="00A610FF"/>
    <w:rsid w:val="00A62473"/>
    <w:rsid w:val="00A644CB"/>
    <w:rsid w:val="00A65133"/>
    <w:rsid w:val="00A652C5"/>
    <w:rsid w:val="00A66D77"/>
    <w:rsid w:val="00A67002"/>
    <w:rsid w:val="00A74A9F"/>
    <w:rsid w:val="00A77354"/>
    <w:rsid w:val="00A83F06"/>
    <w:rsid w:val="00A85C5A"/>
    <w:rsid w:val="00A86A46"/>
    <w:rsid w:val="00A94626"/>
    <w:rsid w:val="00A958A0"/>
    <w:rsid w:val="00A96A08"/>
    <w:rsid w:val="00A96B58"/>
    <w:rsid w:val="00AA0161"/>
    <w:rsid w:val="00AA0464"/>
    <w:rsid w:val="00AA1476"/>
    <w:rsid w:val="00AA3F6F"/>
    <w:rsid w:val="00AA4132"/>
    <w:rsid w:val="00AA60C6"/>
    <w:rsid w:val="00AB1C47"/>
    <w:rsid w:val="00AB1D08"/>
    <w:rsid w:val="00AB2D97"/>
    <w:rsid w:val="00AB4345"/>
    <w:rsid w:val="00AB5BD7"/>
    <w:rsid w:val="00AC0135"/>
    <w:rsid w:val="00AC070D"/>
    <w:rsid w:val="00AC1B94"/>
    <w:rsid w:val="00AC3CCE"/>
    <w:rsid w:val="00AC6415"/>
    <w:rsid w:val="00AD0616"/>
    <w:rsid w:val="00AD34FF"/>
    <w:rsid w:val="00AD4DE6"/>
    <w:rsid w:val="00AE1B9E"/>
    <w:rsid w:val="00AE1D28"/>
    <w:rsid w:val="00AE374E"/>
    <w:rsid w:val="00AE5258"/>
    <w:rsid w:val="00AE6DBC"/>
    <w:rsid w:val="00AF3E95"/>
    <w:rsid w:val="00AF47B0"/>
    <w:rsid w:val="00AF7C67"/>
    <w:rsid w:val="00B15FE9"/>
    <w:rsid w:val="00B30CBB"/>
    <w:rsid w:val="00B40D1D"/>
    <w:rsid w:val="00B441B2"/>
    <w:rsid w:val="00B51281"/>
    <w:rsid w:val="00B51883"/>
    <w:rsid w:val="00B524E6"/>
    <w:rsid w:val="00B52EEE"/>
    <w:rsid w:val="00B542BC"/>
    <w:rsid w:val="00B55898"/>
    <w:rsid w:val="00B61FD4"/>
    <w:rsid w:val="00B674DB"/>
    <w:rsid w:val="00B70A77"/>
    <w:rsid w:val="00B73BD3"/>
    <w:rsid w:val="00B82E8D"/>
    <w:rsid w:val="00B841D8"/>
    <w:rsid w:val="00B9264D"/>
    <w:rsid w:val="00B94D99"/>
    <w:rsid w:val="00BA3157"/>
    <w:rsid w:val="00BA32A0"/>
    <w:rsid w:val="00BB0B0B"/>
    <w:rsid w:val="00BB2A9F"/>
    <w:rsid w:val="00BB3FA1"/>
    <w:rsid w:val="00BB62A8"/>
    <w:rsid w:val="00BB62BB"/>
    <w:rsid w:val="00BB7441"/>
    <w:rsid w:val="00BC05C5"/>
    <w:rsid w:val="00BD04BE"/>
    <w:rsid w:val="00BD0BC9"/>
    <w:rsid w:val="00BD47BF"/>
    <w:rsid w:val="00BD5927"/>
    <w:rsid w:val="00BE0630"/>
    <w:rsid w:val="00BE185A"/>
    <w:rsid w:val="00BE46EC"/>
    <w:rsid w:val="00BE5A94"/>
    <w:rsid w:val="00BE6F28"/>
    <w:rsid w:val="00BF29FA"/>
    <w:rsid w:val="00C00599"/>
    <w:rsid w:val="00C01A43"/>
    <w:rsid w:val="00C049FB"/>
    <w:rsid w:val="00C04D2B"/>
    <w:rsid w:val="00C066C0"/>
    <w:rsid w:val="00C117FF"/>
    <w:rsid w:val="00C12D45"/>
    <w:rsid w:val="00C16397"/>
    <w:rsid w:val="00C256B7"/>
    <w:rsid w:val="00C26877"/>
    <w:rsid w:val="00C40FD7"/>
    <w:rsid w:val="00C417CB"/>
    <w:rsid w:val="00C54D76"/>
    <w:rsid w:val="00C557F2"/>
    <w:rsid w:val="00C61F16"/>
    <w:rsid w:val="00C63962"/>
    <w:rsid w:val="00C65087"/>
    <w:rsid w:val="00C65A0E"/>
    <w:rsid w:val="00C65A70"/>
    <w:rsid w:val="00C66805"/>
    <w:rsid w:val="00C66F35"/>
    <w:rsid w:val="00C737C5"/>
    <w:rsid w:val="00C74DDD"/>
    <w:rsid w:val="00C8280E"/>
    <w:rsid w:val="00C92FF1"/>
    <w:rsid w:val="00C9592A"/>
    <w:rsid w:val="00C9639C"/>
    <w:rsid w:val="00CA301A"/>
    <w:rsid w:val="00CA3540"/>
    <w:rsid w:val="00CA6DED"/>
    <w:rsid w:val="00CB03D5"/>
    <w:rsid w:val="00CC09DF"/>
    <w:rsid w:val="00CC1FC8"/>
    <w:rsid w:val="00CC49D4"/>
    <w:rsid w:val="00CC70FD"/>
    <w:rsid w:val="00CC76DD"/>
    <w:rsid w:val="00CD21B7"/>
    <w:rsid w:val="00CD6880"/>
    <w:rsid w:val="00CD713E"/>
    <w:rsid w:val="00CE30A4"/>
    <w:rsid w:val="00CE6F5A"/>
    <w:rsid w:val="00CE7D20"/>
    <w:rsid w:val="00CF15BC"/>
    <w:rsid w:val="00CF3B8A"/>
    <w:rsid w:val="00CF4057"/>
    <w:rsid w:val="00CF42CF"/>
    <w:rsid w:val="00CF63FE"/>
    <w:rsid w:val="00CF6A75"/>
    <w:rsid w:val="00CF7E90"/>
    <w:rsid w:val="00D01345"/>
    <w:rsid w:val="00D03D0D"/>
    <w:rsid w:val="00D05B67"/>
    <w:rsid w:val="00D102E9"/>
    <w:rsid w:val="00D125F9"/>
    <w:rsid w:val="00D12746"/>
    <w:rsid w:val="00D13E75"/>
    <w:rsid w:val="00D14417"/>
    <w:rsid w:val="00D1492E"/>
    <w:rsid w:val="00D1688F"/>
    <w:rsid w:val="00D17DDB"/>
    <w:rsid w:val="00D200AB"/>
    <w:rsid w:val="00D20FDE"/>
    <w:rsid w:val="00D2117F"/>
    <w:rsid w:val="00D247E8"/>
    <w:rsid w:val="00D25317"/>
    <w:rsid w:val="00D2749E"/>
    <w:rsid w:val="00D311E7"/>
    <w:rsid w:val="00D33B79"/>
    <w:rsid w:val="00D37AB1"/>
    <w:rsid w:val="00D40DE5"/>
    <w:rsid w:val="00D4117F"/>
    <w:rsid w:val="00D43ABE"/>
    <w:rsid w:val="00D44A7D"/>
    <w:rsid w:val="00D45E64"/>
    <w:rsid w:val="00D66E8B"/>
    <w:rsid w:val="00D74F29"/>
    <w:rsid w:val="00D83521"/>
    <w:rsid w:val="00D8446A"/>
    <w:rsid w:val="00D85715"/>
    <w:rsid w:val="00D8706C"/>
    <w:rsid w:val="00D919EA"/>
    <w:rsid w:val="00D940BE"/>
    <w:rsid w:val="00DA4C62"/>
    <w:rsid w:val="00DB57A9"/>
    <w:rsid w:val="00DB6A17"/>
    <w:rsid w:val="00DC7F0A"/>
    <w:rsid w:val="00DD18AE"/>
    <w:rsid w:val="00DD4E84"/>
    <w:rsid w:val="00DD5520"/>
    <w:rsid w:val="00DE22F1"/>
    <w:rsid w:val="00DE4C9C"/>
    <w:rsid w:val="00DE5F4D"/>
    <w:rsid w:val="00DF16C2"/>
    <w:rsid w:val="00DF480F"/>
    <w:rsid w:val="00DF5286"/>
    <w:rsid w:val="00DF58CF"/>
    <w:rsid w:val="00DF5D66"/>
    <w:rsid w:val="00DF74F4"/>
    <w:rsid w:val="00E00C80"/>
    <w:rsid w:val="00E00F76"/>
    <w:rsid w:val="00E00F89"/>
    <w:rsid w:val="00E06369"/>
    <w:rsid w:val="00E10693"/>
    <w:rsid w:val="00E20C28"/>
    <w:rsid w:val="00E20D92"/>
    <w:rsid w:val="00E21E75"/>
    <w:rsid w:val="00E26DF8"/>
    <w:rsid w:val="00E26E83"/>
    <w:rsid w:val="00E30B23"/>
    <w:rsid w:val="00E31869"/>
    <w:rsid w:val="00E32408"/>
    <w:rsid w:val="00E35B0C"/>
    <w:rsid w:val="00E418B2"/>
    <w:rsid w:val="00E41968"/>
    <w:rsid w:val="00E422FE"/>
    <w:rsid w:val="00E4414F"/>
    <w:rsid w:val="00E44E2F"/>
    <w:rsid w:val="00E4578D"/>
    <w:rsid w:val="00E5151F"/>
    <w:rsid w:val="00E519DC"/>
    <w:rsid w:val="00E52CB7"/>
    <w:rsid w:val="00E5383A"/>
    <w:rsid w:val="00E53F96"/>
    <w:rsid w:val="00E6571F"/>
    <w:rsid w:val="00E67A2F"/>
    <w:rsid w:val="00E70DDE"/>
    <w:rsid w:val="00E76D1B"/>
    <w:rsid w:val="00E807DA"/>
    <w:rsid w:val="00E84E3A"/>
    <w:rsid w:val="00E85B7D"/>
    <w:rsid w:val="00E86EC4"/>
    <w:rsid w:val="00E94C06"/>
    <w:rsid w:val="00EA05AF"/>
    <w:rsid w:val="00EA2813"/>
    <w:rsid w:val="00EA3A13"/>
    <w:rsid w:val="00EA78CA"/>
    <w:rsid w:val="00EA7E47"/>
    <w:rsid w:val="00EB4475"/>
    <w:rsid w:val="00EB5A33"/>
    <w:rsid w:val="00EB5CDF"/>
    <w:rsid w:val="00EB6E3E"/>
    <w:rsid w:val="00EC43B9"/>
    <w:rsid w:val="00ED04AC"/>
    <w:rsid w:val="00ED4D69"/>
    <w:rsid w:val="00EE362F"/>
    <w:rsid w:val="00EE7229"/>
    <w:rsid w:val="00EE7288"/>
    <w:rsid w:val="00EF0E19"/>
    <w:rsid w:val="00EF343A"/>
    <w:rsid w:val="00EF3B55"/>
    <w:rsid w:val="00F016F1"/>
    <w:rsid w:val="00F02123"/>
    <w:rsid w:val="00F0337A"/>
    <w:rsid w:val="00F04A5E"/>
    <w:rsid w:val="00F114AE"/>
    <w:rsid w:val="00F15944"/>
    <w:rsid w:val="00F169A1"/>
    <w:rsid w:val="00F203C2"/>
    <w:rsid w:val="00F24B29"/>
    <w:rsid w:val="00F25F44"/>
    <w:rsid w:val="00F27D00"/>
    <w:rsid w:val="00F359E3"/>
    <w:rsid w:val="00F365D3"/>
    <w:rsid w:val="00F37587"/>
    <w:rsid w:val="00F43CA0"/>
    <w:rsid w:val="00F54216"/>
    <w:rsid w:val="00F54807"/>
    <w:rsid w:val="00F54C94"/>
    <w:rsid w:val="00F55030"/>
    <w:rsid w:val="00F55B0B"/>
    <w:rsid w:val="00F57CF6"/>
    <w:rsid w:val="00F6491C"/>
    <w:rsid w:val="00F668E0"/>
    <w:rsid w:val="00F66AC3"/>
    <w:rsid w:val="00F70E90"/>
    <w:rsid w:val="00F7696F"/>
    <w:rsid w:val="00F8209B"/>
    <w:rsid w:val="00F83619"/>
    <w:rsid w:val="00F83C1D"/>
    <w:rsid w:val="00F8634A"/>
    <w:rsid w:val="00F91958"/>
    <w:rsid w:val="00F92C29"/>
    <w:rsid w:val="00F93473"/>
    <w:rsid w:val="00F93838"/>
    <w:rsid w:val="00F9445B"/>
    <w:rsid w:val="00F95E26"/>
    <w:rsid w:val="00F966D8"/>
    <w:rsid w:val="00F97CD9"/>
    <w:rsid w:val="00FA0576"/>
    <w:rsid w:val="00FA08B3"/>
    <w:rsid w:val="00FA2787"/>
    <w:rsid w:val="00FB50B4"/>
    <w:rsid w:val="00FD4B97"/>
    <w:rsid w:val="00FD5EB6"/>
    <w:rsid w:val="00FE2C50"/>
    <w:rsid w:val="00FE2D7A"/>
    <w:rsid w:val="00FE3E34"/>
    <w:rsid w:val="00FE4CBF"/>
    <w:rsid w:val="00FE55EB"/>
    <w:rsid w:val="00FF0430"/>
    <w:rsid w:val="00FF1C18"/>
    <w:rsid w:val="00FF732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autami" w:eastAsia="Calibri" w:hAnsi="Gautami" w:cs="Times New Roman"/>
        <w:lang w:val="en-AU" w:eastAsia="en-AU" w:bidi="ar-SA"/>
      </w:rPr>
    </w:rPrDefault>
    <w:pPrDefault/>
  </w:docDefaults>
  <w:latentStyles w:defLockedState="1" w:defUIPriority="99" w:defSemiHidden="1" w:defUnhideWhenUsed="1" w:defQFormat="0" w:count="267">
    <w:lsdException w:name="Normal" w:locked="0" w:semiHidden="0" w:uiPriority="0" w:unhideWhenUsed="0" w:qFormat="1"/>
    <w:lsdException w:name="heading 1" w:locked="0" w:semiHidden="0" w:uiPriority="9" w:unhideWhenUsed="0" w:qFormat="1"/>
    <w:lsdException w:name="heading 2" w:locked="0" w:semiHidden="0" w:uiPriority="9" w:unhideWhenUsed="0" w:qFormat="1"/>
    <w:lsdException w:name="heading 3" w:locked="0" w:semiHidden="0" w:uiPriority="9" w:unhideWhenUsed="0" w:qFormat="1"/>
    <w:lsdException w:name="heading 4" w:semiHidden="0" w:uiPriority="9" w:unhideWhenUsed="0" w:qFormat="1"/>
    <w:lsdException w:name="heading 5" w:uiPriority="9" w:qFormat="1"/>
    <w:lsdException w:name="heading 6" w:uiPriority="9" w:qFormat="1"/>
    <w:lsdException w:name="heading 7" w:locked="0" w:uiPriority="9" w:qFormat="1"/>
    <w:lsdException w:name="heading 8" w:locked="0" w:uiPriority="9" w:qFormat="1"/>
    <w:lsdException w:name="heading 9" w:locked="0" w:uiPriority="9" w:qFormat="1"/>
    <w:lsdException w:name="index 1" w:locked="0"/>
    <w:lsdException w:name="index 2" w:locked="0"/>
    <w:lsdException w:name="index 3" w:locked="0"/>
    <w:lsdException w:name="index 4" w:locked="0"/>
    <w:lsdException w:name="index 5" w:locked="0"/>
    <w:lsdException w:name="index 6" w:locked="0"/>
    <w:lsdException w:name="index 7" w:locked="0"/>
    <w:lsdException w:name="index 8" w:locked="0"/>
    <w:lsdException w:name="index 9" w:locked="0"/>
    <w:lsdException w:name="toc 1" w:locked="0" w:uiPriority="39" w:qFormat="1"/>
    <w:lsdException w:name="toc 2" w:locked="0" w:uiPriority="39" w:qFormat="1"/>
    <w:lsdException w:name="toc 3" w:locked="0" w:uiPriority="39" w:qFormat="1"/>
    <w:lsdException w:name="toc 4" w:uiPriority="39"/>
    <w:lsdException w:name="toc 5" w:uiPriority="39"/>
    <w:lsdException w:name="toc 6" w:uiPriority="39"/>
    <w:lsdException w:name="toc 7" w:uiPriority="39"/>
    <w:lsdException w:name="toc 8" w:uiPriority="39"/>
    <w:lsdException w:name="toc 9" w:uiPriority="39"/>
    <w:lsdException w:name="Normal Indent" w:uiPriority="1"/>
    <w:lsdException w:name="footnote text" w:locked="0" w:qFormat="1"/>
    <w:lsdException w:name="annotation text" w:uiPriority="0"/>
    <w:lsdException w:name="header" w:locked="0" w:qFormat="1"/>
    <w:lsdException w:name="footer" w:locked="0" w:qFormat="1"/>
    <w:lsdException w:name="index heading" w:locked="0"/>
    <w:lsdException w:name="caption" w:locked="0" w:uiPriority="35" w:qFormat="1"/>
    <w:lsdException w:name="table of figures" w:locked="0"/>
    <w:lsdException w:name="envelope address" w:locked="0"/>
    <w:lsdException w:name="envelope return" w:locked="0"/>
    <w:lsdException w:name="footnote reference" w:locked="0"/>
    <w:lsdException w:name="annotation reference" w:uiPriority="0"/>
    <w:lsdException w:name="line number" w:locked="0"/>
    <w:lsdException w:name="page number" w:locked="0" w:uiPriority="0"/>
    <w:lsdException w:name="endnote reference" w:locked="0"/>
    <w:lsdException w:name="endnote text" w:locked="0"/>
    <w:lsdException w:name="table of authorities" w:locked="0"/>
    <w:lsdException w:name="macro" w:locked="0"/>
    <w:lsdException w:name="toa heading" w:locked="0"/>
    <w:lsdException w:name="Title" w:locked="0" w:uiPriority="10" w:qFormat="1"/>
    <w:lsdException w:name="Closing" w:locked="0"/>
    <w:lsdException w:name="Signature" w:locked="0"/>
    <w:lsdException w:name="Default Paragraph Font" w:locked="0" w:uiPriority="1"/>
    <w:lsdException w:name="Message Header" w:locked="0"/>
    <w:lsdException w:name="Subtitle" w:locked="0" w:uiPriority="11" w:qFormat="1"/>
    <w:lsdException w:name="Salutation" w:locked="0"/>
    <w:lsdException w:name="Date" w:locked="0"/>
    <w:lsdException w:name="Note Heading" w:locked="0"/>
    <w:lsdException w:name="Hyperlink" w:locked="0" w:qFormat="1"/>
    <w:lsdException w:name="FollowedHyperlink" w:locked="0"/>
    <w:lsdException w:name="Strong" w:locked="0" w:uiPriority="22" w:qFormat="1"/>
    <w:lsdException w:name="Emphasis" w:locked="0" w:uiPriority="20" w:qFormat="1"/>
    <w:lsdException w:name="Document Map" w:locked="0"/>
    <w:lsdException w:name="Plain Text" w:locked="0"/>
    <w:lsdException w:name="E-mail Signature" w:locked="0"/>
    <w:lsdException w:name="HTML Top of Form" w:locked="0"/>
    <w:lsdException w:name="HTML Bottom of Form" w:locked="0"/>
    <w:lsdException w:name="HTML Acronym" w:locked="0"/>
    <w:lsdException w:name="HTML Address" w:locked="0"/>
    <w:lsdException w:name="HTML Cite" w:locked="0"/>
    <w:lsdException w:name="HTML Code" w:locked="0"/>
    <w:lsdException w:name="HTML Definition" w:locked="0"/>
    <w:lsdException w:name="HTML Keyboard" w:locked="0"/>
    <w:lsdException w:name="HTML Preformatted" w:locked="0"/>
    <w:lsdException w:name="HTML Sample" w:locked="0"/>
    <w:lsdException w:name="HTML Typewriter" w:locked="0"/>
    <w:lsdException w:name="HTML Variable" w:locked="0"/>
    <w:lsdException w:name="Normal Table" w:locked="0"/>
    <w:lsdException w:name="No List" w:locked="0"/>
    <w:lsdException w:name="Outline List 3" w:locked="0"/>
    <w:lsdException w:name="Table Grid" w:locked="0" w:semiHidden="0" w:uiPriority="59" w:unhideWhenUsed="0"/>
    <w:lsdException w:name="Placeholder Text" w:locked="0"/>
    <w:lsdException w:name="No Spacing" w:locked="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locked="0" w:unhideWhenUsed="0"/>
    <w:lsdException w:name="List Paragraph" w:uiPriority="34" w:qFormat="1"/>
    <w:lsdException w:name="Quote" w:locked="0" w:uiPriority="29" w:qFormat="1"/>
    <w:lsdException w:name="Intense Quote" w:locked="0" w:uiPriority="3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locked="0" w:uiPriority="19" w:qFormat="1"/>
    <w:lsdException w:name="Intense Emphasis" w:locked="0" w:uiPriority="21" w:qFormat="1"/>
    <w:lsdException w:name="Subtle Reference" w:locked="0" w:uiPriority="31" w:qFormat="1"/>
    <w:lsdException w:name="Intense Reference" w:locked="0" w:uiPriority="32" w:qFormat="1"/>
    <w:lsdException w:name="Book Title" w:locked="0" w:uiPriority="33" w:qFormat="1"/>
    <w:lsdException w:name="Bibliography" w:locked="0" w:uiPriority="37"/>
    <w:lsdException w:name="TOC Heading" w:uiPriority="39" w:qFormat="1"/>
  </w:latentStyles>
  <w:style w:type="paragraph" w:default="1" w:styleId="Normal">
    <w:name w:val="Normal"/>
    <w:qFormat/>
    <w:rsid w:val="00337A3F"/>
    <w:pPr>
      <w:spacing w:after="240" w:line="288" w:lineRule="auto"/>
      <w:jc w:val="both"/>
    </w:pPr>
    <w:rPr>
      <w:lang w:eastAsia="en-US"/>
    </w:rPr>
  </w:style>
  <w:style w:type="paragraph" w:styleId="Heading1">
    <w:name w:val="heading 1"/>
    <w:next w:val="AERbodytext"/>
    <w:link w:val="Heading1Char"/>
    <w:uiPriority w:val="9"/>
    <w:qFormat/>
    <w:rsid w:val="00B94D99"/>
    <w:pPr>
      <w:keepNext/>
      <w:keepLines/>
      <w:pageBreakBefore/>
      <w:numPr>
        <w:ilvl w:val="1"/>
        <w:numId w:val="2"/>
      </w:numPr>
      <w:spacing w:before="120" w:after="120" w:line="288" w:lineRule="auto"/>
      <w:outlineLvl w:val="0"/>
    </w:pPr>
    <w:rPr>
      <w:rFonts w:eastAsia="Times New Roman"/>
      <w:b/>
      <w:bCs/>
      <w:color w:val="E36C0A"/>
      <w:sz w:val="36"/>
      <w:szCs w:val="28"/>
      <w:lang w:eastAsia="en-US"/>
    </w:rPr>
  </w:style>
  <w:style w:type="paragraph" w:styleId="Heading2">
    <w:name w:val="heading 2"/>
    <w:basedOn w:val="Heading1"/>
    <w:next w:val="AERbodytext"/>
    <w:link w:val="Heading2Char"/>
    <w:uiPriority w:val="9"/>
    <w:qFormat/>
    <w:rsid w:val="000A1CC2"/>
    <w:pPr>
      <w:pageBreakBefore w:val="0"/>
      <w:numPr>
        <w:ilvl w:val="2"/>
      </w:numPr>
      <w:outlineLvl w:val="1"/>
    </w:pPr>
    <w:rPr>
      <w:bCs w:val="0"/>
      <w:sz w:val="28"/>
      <w:szCs w:val="26"/>
    </w:rPr>
  </w:style>
  <w:style w:type="paragraph" w:styleId="Heading3">
    <w:name w:val="heading 3"/>
    <w:basedOn w:val="Heading2"/>
    <w:next w:val="AERbodytext"/>
    <w:link w:val="Heading3Char"/>
    <w:uiPriority w:val="9"/>
    <w:qFormat/>
    <w:rsid w:val="000A1CC2"/>
    <w:pPr>
      <w:numPr>
        <w:ilvl w:val="3"/>
      </w:numPr>
      <w:outlineLvl w:val="2"/>
    </w:pPr>
    <w:rPr>
      <w:bCs/>
      <w:sz w:val="24"/>
    </w:rPr>
  </w:style>
  <w:style w:type="paragraph" w:styleId="Heading4">
    <w:name w:val="heading 4"/>
    <w:basedOn w:val="AERbodytext"/>
    <w:next w:val="AERbodytext"/>
    <w:link w:val="Heading4Char"/>
    <w:uiPriority w:val="9"/>
    <w:qFormat/>
    <w:rsid w:val="005A0431"/>
    <w:pPr>
      <w:keepNext/>
      <w:numPr>
        <w:numId w:val="0"/>
      </w:numPr>
      <w:outlineLvl w:val="3"/>
    </w:pPr>
    <w:rPr>
      <w:b/>
      <w:iCs/>
      <w:color w:val="FF0000"/>
      <w:sz w:val="22"/>
    </w:rPr>
  </w:style>
  <w:style w:type="paragraph" w:styleId="Heading5">
    <w:name w:val="heading 5"/>
    <w:basedOn w:val="Heading4"/>
    <w:next w:val="AERbodytext"/>
    <w:link w:val="Heading5Char"/>
    <w:uiPriority w:val="9"/>
    <w:qFormat/>
    <w:rsid w:val="005A0431"/>
    <w:pPr>
      <w:numPr>
        <w:ilvl w:val="5"/>
      </w:numPr>
      <w:outlineLvl w:val="4"/>
    </w:pPr>
    <w:rPr>
      <w:i/>
      <w:sz w:val="20"/>
    </w:rPr>
  </w:style>
  <w:style w:type="paragraph" w:styleId="Heading6">
    <w:name w:val="heading 6"/>
    <w:basedOn w:val="Heading5"/>
    <w:next w:val="AERbodytext"/>
    <w:link w:val="Heading6Char"/>
    <w:uiPriority w:val="9"/>
    <w:qFormat/>
    <w:rsid w:val="005A0431"/>
    <w:pPr>
      <w:numPr>
        <w:ilvl w:val="6"/>
      </w:numPr>
      <w:outlineLvl w:val="5"/>
    </w:pPr>
    <w:rPr>
      <w:b w:val="0"/>
      <w:iCs w:val="0"/>
    </w:rPr>
  </w:style>
  <w:style w:type="paragraph" w:styleId="Heading7">
    <w:name w:val="heading 7"/>
    <w:basedOn w:val="UnnumberedHeading"/>
    <w:next w:val="AERbodytext"/>
    <w:link w:val="Heading7Char"/>
    <w:uiPriority w:val="9"/>
    <w:qFormat/>
    <w:rsid w:val="00303452"/>
    <w:pPr>
      <w:numPr>
        <w:ilvl w:val="4"/>
      </w:numPr>
      <w:outlineLvl w:val="6"/>
    </w:pPr>
    <w:rPr>
      <w:iCs/>
      <w:szCs w:val="24"/>
    </w:rPr>
  </w:style>
  <w:style w:type="paragraph" w:styleId="Heading8">
    <w:name w:val="heading 8"/>
    <w:basedOn w:val="Heading7"/>
    <w:next w:val="AERbodytext"/>
    <w:link w:val="Heading8Char"/>
    <w:uiPriority w:val="9"/>
    <w:qFormat/>
    <w:rsid w:val="00303452"/>
    <w:pPr>
      <w:pageBreakBefore w:val="0"/>
      <w:numPr>
        <w:ilvl w:val="5"/>
      </w:numPr>
      <w:outlineLvl w:val="7"/>
    </w:pPr>
    <w:rPr>
      <w:sz w:val="28"/>
      <w:szCs w:val="20"/>
    </w:rPr>
  </w:style>
  <w:style w:type="paragraph" w:styleId="Heading9">
    <w:name w:val="heading 9"/>
    <w:basedOn w:val="Heading8"/>
    <w:next w:val="AERbodytext"/>
    <w:link w:val="Heading9Char"/>
    <w:uiPriority w:val="9"/>
    <w:qFormat/>
    <w:rsid w:val="00303452"/>
    <w:pPr>
      <w:numPr>
        <w:ilvl w:val="6"/>
      </w:numPr>
      <w:outlineLvl w:val="8"/>
    </w:pPr>
    <w:rPr>
      <w:iCs w:val="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AERHeadings">
    <w:name w:val="AER Headings"/>
    <w:uiPriority w:val="99"/>
    <w:rsid w:val="004E73F7"/>
    <w:pPr>
      <w:numPr>
        <w:numId w:val="55"/>
      </w:numPr>
    </w:pPr>
  </w:style>
  <w:style w:type="character" w:customStyle="1" w:styleId="Heading1Char">
    <w:name w:val="Heading 1 Char"/>
    <w:basedOn w:val="DefaultParagraphFont"/>
    <w:link w:val="Heading1"/>
    <w:uiPriority w:val="9"/>
    <w:rsid w:val="00B94D99"/>
    <w:rPr>
      <w:rFonts w:eastAsia="Times New Roman"/>
      <w:b/>
      <w:bCs/>
      <w:color w:val="E36C0A"/>
      <w:sz w:val="36"/>
      <w:szCs w:val="28"/>
      <w:lang w:eastAsia="en-US"/>
    </w:rPr>
  </w:style>
  <w:style w:type="character" w:customStyle="1" w:styleId="Heading2Char">
    <w:name w:val="Heading 2 Char"/>
    <w:basedOn w:val="DefaultParagraphFont"/>
    <w:link w:val="Heading2"/>
    <w:uiPriority w:val="9"/>
    <w:rsid w:val="000A1CC2"/>
    <w:rPr>
      <w:rFonts w:eastAsia="Times New Roman"/>
      <w:b/>
      <w:color w:val="E36C0A"/>
      <w:sz w:val="28"/>
      <w:szCs w:val="26"/>
      <w:lang w:eastAsia="en-US"/>
    </w:rPr>
  </w:style>
  <w:style w:type="character" w:customStyle="1" w:styleId="Heading3Char">
    <w:name w:val="Heading 3 Char"/>
    <w:basedOn w:val="DefaultParagraphFont"/>
    <w:link w:val="Heading3"/>
    <w:uiPriority w:val="9"/>
    <w:rsid w:val="000A1CC2"/>
    <w:rPr>
      <w:rFonts w:ascii="Gautami" w:eastAsia="Times New Roman" w:hAnsi="Gautami" w:cs="Times New Roman"/>
      <w:b/>
      <w:bCs/>
      <w:color w:val="F79646"/>
      <w:sz w:val="24"/>
      <w:szCs w:val="26"/>
    </w:rPr>
  </w:style>
  <w:style w:type="character" w:customStyle="1" w:styleId="Heading4Char">
    <w:name w:val="Heading 4 Char"/>
    <w:basedOn w:val="DefaultParagraphFont"/>
    <w:link w:val="Heading4"/>
    <w:uiPriority w:val="9"/>
    <w:rsid w:val="00F97CD9"/>
    <w:rPr>
      <w:rFonts w:eastAsia="Times New Roman"/>
      <w:b/>
      <w:iCs/>
      <w:color w:val="FF0000"/>
      <w:sz w:val="22"/>
      <w:szCs w:val="24"/>
      <w:lang w:eastAsia="en-US"/>
    </w:rPr>
  </w:style>
  <w:style w:type="character" w:customStyle="1" w:styleId="Heading5Char">
    <w:name w:val="Heading 5 Char"/>
    <w:basedOn w:val="DefaultParagraphFont"/>
    <w:link w:val="Heading5"/>
    <w:uiPriority w:val="9"/>
    <w:rsid w:val="00F97CD9"/>
    <w:rPr>
      <w:rFonts w:eastAsia="Times New Roman"/>
      <w:b/>
      <w:i/>
      <w:iCs/>
      <w:color w:val="FF0000"/>
      <w:szCs w:val="24"/>
      <w:lang w:eastAsia="en-US"/>
    </w:rPr>
  </w:style>
  <w:style w:type="character" w:customStyle="1" w:styleId="Heading6Char">
    <w:name w:val="Heading 6 Char"/>
    <w:basedOn w:val="DefaultParagraphFont"/>
    <w:link w:val="Heading6"/>
    <w:uiPriority w:val="9"/>
    <w:rsid w:val="00F97CD9"/>
    <w:rPr>
      <w:rFonts w:eastAsia="Times New Roman"/>
      <w:i/>
      <w:color w:val="FF0000"/>
      <w:szCs w:val="24"/>
      <w:lang w:eastAsia="en-US"/>
    </w:rPr>
  </w:style>
  <w:style w:type="character" w:customStyle="1" w:styleId="Heading7Char">
    <w:name w:val="Heading 7 Char"/>
    <w:basedOn w:val="DefaultParagraphFont"/>
    <w:link w:val="Heading7"/>
    <w:uiPriority w:val="9"/>
    <w:rsid w:val="00303452"/>
    <w:rPr>
      <w:rFonts w:ascii="Gautami" w:eastAsia="Times New Roman" w:hAnsi="Gautami" w:cs="Times New Roman"/>
      <w:b/>
      <w:bCs/>
      <w:iCs/>
      <w:color w:val="E36C0A"/>
      <w:sz w:val="36"/>
      <w:szCs w:val="24"/>
    </w:rPr>
  </w:style>
  <w:style w:type="character" w:customStyle="1" w:styleId="Heading8Char">
    <w:name w:val="Heading 8 Char"/>
    <w:basedOn w:val="DefaultParagraphFont"/>
    <w:link w:val="Heading8"/>
    <w:uiPriority w:val="9"/>
    <w:rsid w:val="00303452"/>
    <w:rPr>
      <w:rFonts w:ascii="Gautami" w:eastAsia="Times New Roman" w:hAnsi="Gautami" w:cs="Times New Roman"/>
      <w:b/>
      <w:bCs/>
      <w:iCs/>
      <w:color w:val="E36C0A"/>
      <w:sz w:val="28"/>
      <w:szCs w:val="20"/>
    </w:rPr>
  </w:style>
  <w:style w:type="character" w:customStyle="1" w:styleId="Heading9Char">
    <w:name w:val="Heading 9 Char"/>
    <w:basedOn w:val="DefaultParagraphFont"/>
    <w:link w:val="Heading9"/>
    <w:uiPriority w:val="9"/>
    <w:rsid w:val="00303452"/>
    <w:rPr>
      <w:rFonts w:ascii="Gautami" w:eastAsia="Times New Roman" w:hAnsi="Gautami" w:cs="Times New Roman"/>
      <w:b/>
      <w:bCs/>
      <w:color w:val="E36C0A"/>
      <w:sz w:val="24"/>
      <w:szCs w:val="20"/>
    </w:rPr>
  </w:style>
  <w:style w:type="paragraph" w:styleId="Caption">
    <w:name w:val="caption"/>
    <w:basedOn w:val="AERbodytext"/>
    <w:next w:val="AERbodytext"/>
    <w:link w:val="CaptionChar"/>
    <w:uiPriority w:val="35"/>
    <w:qFormat/>
    <w:rsid w:val="00DA4C62"/>
    <w:pPr>
      <w:keepNext/>
      <w:numPr>
        <w:numId w:val="0"/>
      </w:numPr>
      <w:tabs>
        <w:tab w:val="left" w:pos="1440"/>
      </w:tabs>
      <w:spacing w:before="120" w:after="120"/>
      <w:ind w:left="1440" w:hanging="1440"/>
    </w:pPr>
    <w:rPr>
      <w:b/>
      <w:bCs/>
      <w:szCs w:val="18"/>
    </w:rPr>
  </w:style>
  <w:style w:type="character" w:customStyle="1" w:styleId="AERbody">
    <w:name w:val="AER body"/>
    <w:basedOn w:val="DefaultParagraphFont"/>
    <w:qFormat/>
    <w:rsid w:val="00971C63"/>
    <w:rPr>
      <w:rFonts w:ascii="Gautami" w:hAnsi="Gautami"/>
      <w:color w:val="auto"/>
      <w:sz w:val="20"/>
    </w:rPr>
  </w:style>
  <w:style w:type="paragraph" w:customStyle="1" w:styleId="AERbodytext">
    <w:name w:val="AER body text"/>
    <w:link w:val="AERbodytextChar"/>
    <w:qFormat/>
    <w:rsid w:val="00EB5CDF"/>
    <w:pPr>
      <w:numPr>
        <w:numId w:val="13"/>
      </w:numPr>
      <w:spacing w:after="240" w:line="288" w:lineRule="auto"/>
      <w:jc w:val="both"/>
    </w:pPr>
    <w:rPr>
      <w:rFonts w:eastAsia="Times New Roman"/>
      <w:szCs w:val="24"/>
      <w:lang w:eastAsia="en-US"/>
    </w:rPr>
  </w:style>
  <w:style w:type="paragraph" w:customStyle="1" w:styleId="AERbodytextindent1">
    <w:name w:val="AER body text (indent 1)"/>
    <w:basedOn w:val="AERbodytext"/>
    <w:qFormat/>
    <w:rsid w:val="008D49B4"/>
    <w:pPr>
      <w:numPr>
        <w:numId w:val="0"/>
      </w:numPr>
      <w:ind w:left="357"/>
    </w:pPr>
  </w:style>
  <w:style w:type="paragraph" w:customStyle="1" w:styleId="AERbodytextindent2">
    <w:name w:val="AER body text (indent 2)"/>
    <w:basedOn w:val="AERbodytextindent1"/>
    <w:qFormat/>
    <w:rsid w:val="00BC05C5"/>
    <w:pPr>
      <w:ind w:left="709"/>
    </w:pPr>
  </w:style>
  <w:style w:type="paragraph" w:customStyle="1" w:styleId="AERbodytextindent3">
    <w:name w:val="AER body text (indent 3)"/>
    <w:basedOn w:val="AERbodytext"/>
    <w:qFormat/>
    <w:rsid w:val="008D49B4"/>
    <w:pPr>
      <w:numPr>
        <w:numId w:val="0"/>
      </w:numPr>
      <w:ind w:left="1077"/>
    </w:pPr>
  </w:style>
  <w:style w:type="paragraph" w:customStyle="1" w:styleId="AERbulletlistfirststyle">
    <w:name w:val="AER bullet list (first style)"/>
    <w:basedOn w:val="AERbodytext"/>
    <w:qFormat/>
    <w:rsid w:val="005732CC"/>
    <w:pPr>
      <w:numPr>
        <w:numId w:val="7"/>
      </w:numPr>
      <w:tabs>
        <w:tab w:val="left" w:pos="357"/>
      </w:tabs>
      <w:spacing w:after="200"/>
      <w:ind w:left="357" w:hanging="357"/>
    </w:pPr>
  </w:style>
  <w:style w:type="paragraph" w:customStyle="1" w:styleId="AERbulletlistsecondstyle">
    <w:name w:val="AER bullet list (second style)"/>
    <w:basedOn w:val="AERbodytext"/>
    <w:qFormat/>
    <w:rsid w:val="005732CC"/>
    <w:pPr>
      <w:numPr>
        <w:numId w:val="11"/>
      </w:numPr>
      <w:tabs>
        <w:tab w:val="left" w:pos="709"/>
      </w:tabs>
      <w:spacing w:after="200"/>
      <w:ind w:left="714" w:hanging="357"/>
    </w:pPr>
  </w:style>
  <w:style w:type="paragraph" w:customStyle="1" w:styleId="AERbulletlistthirdstyle">
    <w:name w:val="AER bullet list (third style)"/>
    <w:basedOn w:val="AERbodytext"/>
    <w:qFormat/>
    <w:rsid w:val="005732CC"/>
    <w:pPr>
      <w:numPr>
        <w:numId w:val="8"/>
      </w:numPr>
      <w:tabs>
        <w:tab w:val="left" w:pos="1077"/>
      </w:tabs>
      <w:spacing w:after="200"/>
      <w:ind w:left="1071" w:hanging="357"/>
    </w:pPr>
  </w:style>
  <w:style w:type="character" w:customStyle="1" w:styleId="AERtextconfidential">
    <w:name w:val="AER text confidential"/>
    <w:qFormat/>
    <w:rsid w:val="00971C63"/>
    <w:rPr>
      <w:bdr w:val="none" w:sz="0" w:space="0" w:color="auto"/>
      <w:shd w:val="clear" w:color="auto" w:fill="CCFFFF"/>
    </w:rPr>
  </w:style>
  <w:style w:type="paragraph" w:customStyle="1" w:styleId="AERnumberedlistfirststyle">
    <w:name w:val="AER numbered list (first style)"/>
    <w:basedOn w:val="AERbodytext"/>
    <w:qFormat/>
    <w:rsid w:val="005732CC"/>
    <w:pPr>
      <w:numPr>
        <w:ilvl w:val="1"/>
      </w:numPr>
      <w:spacing w:after="200"/>
    </w:pPr>
  </w:style>
  <w:style w:type="paragraph" w:customStyle="1" w:styleId="AERnumberedlistsecondstyle">
    <w:name w:val="AER numbered list (second style)"/>
    <w:basedOn w:val="AERnumberedlistfirststyle"/>
    <w:qFormat/>
    <w:rsid w:val="005732CC"/>
    <w:pPr>
      <w:numPr>
        <w:ilvl w:val="2"/>
      </w:numPr>
    </w:pPr>
  </w:style>
  <w:style w:type="paragraph" w:customStyle="1" w:styleId="AERnumberedlistthirdstyle">
    <w:name w:val="AER numbered list (third style)"/>
    <w:basedOn w:val="AERnumberedlistsecondstyle"/>
    <w:qFormat/>
    <w:rsid w:val="005732CC"/>
    <w:pPr>
      <w:numPr>
        <w:ilvl w:val="3"/>
      </w:numPr>
    </w:pPr>
  </w:style>
  <w:style w:type="paragraph" w:customStyle="1" w:styleId="AERquote">
    <w:name w:val="AER quote"/>
    <w:next w:val="AERbodytext"/>
    <w:qFormat/>
    <w:rsid w:val="002938CE"/>
    <w:pPr>
      <w:tabs>
        <w:tab w:val="num" w:pos="709"/>
      </w:tabs>
      <w:spacing w:after="160" w:line="288" w:lineRule="auto"/>
      <w:ind w:left="709" w:right="720"/>
      <w:jc w:val="both"/>
    </w:pPr>
    <w:rPr>
      <w:rFonts w:eastAsia="Times New Roman"/>
      <w:color w:val="000000"/>
      <w:sz w:val="16"/>
      <w:szCs w:val="24"/>
      <w:lang w:eastAsia="en-US"/>
    </w:rPr>
  </w:style>
  <w:style w:type="paragraph" w:customStyle="1" w:styleId="AERquoteindent1">
    <w:name w:val="AER quote (indent 1)"/>
    <w:basedOn w:val="AERquote"/>
    <w:qFormat/>
    <w:rsid w:val="003A6174"/>
    <w:pPr>
      <w:tabs>
        <w:tab w:val="clear" w:pos="709"/>
        <w:tab w:val="num" w:pos="1077"/>
      </w:tabs>
      <w:ind w:left="1077" w:right="1440"/>
    </w:pPr>
  </w:style>
  <w:style w:type="paragraph" w:customStyle="1" w:styleId="AERquoteindent2">
    <w:name w:val="AER quote (indent 2)"/>
    <w:basedOn w:val="AERquoteindent1"/>
    <w:qFormat/>
    <w:rsid w:val="003A6174"/>
    <w:pPr>
      <w:tabs>
        <w:tab w:val="clear" w:pos="1077"/>
        <w:tab w:val="left" w:pos="1440"/>
      </w:tabs>
      <w:ind w:left="1440" w:right="1797"/>
    </w:pPr>
  </w:style>
  <w:style w:type="paragraph" w:customStyle="1" w:styleId="AERquoteindent3">
    <w:name w:val="AER quote (indent 3)"/>
    <w:basedOn w:val="AERquoteindent2"/>
    <w:qFormat/>
    <w:rsid w:val="003A6174"/>
    <w:pPr>
      <w:tabs>
        <w:tab w:val="clear" w:pos="1440"/>
        <w:tab w:val="left" w:pos="1803"/>
      </w:tabs>
      <w:ind w:left="1803" w:right="2160"/>
    </w:pPr>
  </w:style>
  <w:style w:type="paragraph" w:customStyle="1" w:styleId="AERquotebullet1">
    <w:name w:val="AER quote bullet 1"/>
    <w:basedOn w:val="Normal"/>
    <w:qFormat/>
    <w:rsid w:val="003A6174"/>
    <w:pPr>
      <w:numPr>
        <w:numId w:val="9"/>
      </w:numPr>
      <w:tabs>
        <w:tab w:val="left" w:pos="1077"/>
      </w:tabs>
      <w:spacing w:line="200" w:lineRule="atLeast"/>
      <w:ind w:left="1077" w:right="663" w:hanging="357"/>
    </w:pPr>
    <w:rPr>
      <w:rFonts w:eastAsia="Times New Roman"/>
      <w:sz w:val="16"/>
      <w:szCs w:val="16"/>
    </w:rPr>
  </w:style>
  <w:style w:type="paragraph" w:customStyle="1" w:styleId="AERrevisionbox">
    <w:name w:val="AER revision box"/>
    <w:basedOn w:val="AERbodytext"/>
    <w:qFormat/>
    <w:rsid w:val="00971C63"/>
    <w:pPr>
      <w:pBdr>
        <w:top w:val="single" w:sz="4" w:space="1" w:color="auto"/>
        <w:left w:val="single" w:sz="4" w:space="4" w:color="auto"/>
        <w:bottom w:val="single" w:sz="4" w:space="1" w:color="auto"/>
        <w:right w:val="single" w:sz="4" w:space="4" w:color="auto"/>
      </w:pBdr>
      <w:shd w:val="clear" w:color="auto" w:fill="E0E0E0"/>
    </w:pPr>
  </w:style>
  <w:style w:type="character" w:customStyle="1" w:styleId="AERsubscript">
    <w:name w:val="AER subscript"/>
    <w:qFormat/>
    <w:rsid w:val="00971C63"/>
    <w:rPr>
      <w:rFonts w:ascii="Gautami" w:hAnsi="Gautami"/>
      <w:vertAlign w:val="subscript"/>
    </w:rPr>
  </w:style>
  <w:style w:type="character" w:customStyle="1" w:styleId="AERsuperscript">
    <w:name w:val="AER superscript"/>
    <w:qFormat/>
    <w:rsid w:val="00971C63"/>
    <w:rPr>
      <w:rFonts w:ascii="Gautami" w:hAnsi="Gautami"/>
      <w:vertAlign w:val="superscript"/>
    </w:rPr>
  </w:style>
  <w:style w:type="paragraph" w:customStyle="1" w:styleId="AERtablesource">
    <w:name w:val="AER table source"/>
    <w:next w:val="AERbodytext"/>
    <w:qFormat/>
    <w:rsid w:val="00474FBD"/>
    <w:pPr>
      <w:tabs>
        <w:tab w:val="left" w:pos="794"/>
      </w:tabs>
      <w:spacing w:before="40" w:after="240"/>
      <w:ind w:left="794" w:hanging="794"/>
      <w:contextualSpacing/>
      <w:jc w:val="both"/>
    </w:pPr>
    <w:rPr>
      <w:rFonts w:eastAsia="Times New Roman"/>
      <w:sz w:val="16"/>
      <w:szCs w:val="24"/>
      <w:lang w:eastAsia="en-US"/>
    </w:rPr>
  </w:style>
  <w:style w:type="table" w:customStyle="1" w:styleId="AERtable-text">
    <w:name w:val="AER table - text"/>
    <w:basedOn w:val="TableNormal"/>
    <w:uiPriority w:val="99"/>
    <w:rsid w:val="00C04D2B"/>
    <w:pPr>
      <w:spacing w:before="120" w:after="80"/>
    </w:pPr>
    <w:rPr>
      <w:sz w:val="16"/>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customStyle="1" w:styleId="AERtabletextleft">
    <w:name w:val="AER table text left"/>
    <w:qFormat/>
    <w:rsid w:val="00BC05C5"/>
    <w:pPr>
      <w:spacing w:before="80" w:after="120" w:line="288" w:lineRule="auto"/>
    </w:pPr>
    <w:rPr>
      <w:rFonts w:eastAsia="Times New Roman"/>
      <w:sz w:val="16"/>
      <w:szCs w:val="24"/>
      <w:lang w:eastAsia="en-US"/>
    </w:rPr>
  </w:style>
  <w:style w:type="character" w:customStyle="1" w:styleId="AERtextbold">
    <w:name w:val="AER text bold"/>
    <w:qFormat/>
    <w:rsid w:val="00971C63"/>
    <w:rPr>
      <w:b/>
    </w:rPr>
  </w:style>
  <w:style w:type="character" w:customStyle="1" w:styleId="AERtextbolditalics">
    <w:name w:val="AER text bold italics"/>
    <w:basedOn w:val="AERtextbold"/>
    <w:qFormat/>
    <w:rsid w:val="00971C63"/>
    <w:rPr>
      <w:b/>
      <w:i/>
    </w:rPr>
  </w:style>
  <w:style w:type="character" w:customStyle="1" w:styleId="AERtextboldunderline">
    <w:name w:val="AER text bold underline"/>
    <w:qFormat/>
    <w:rsid w:val="00971C63"/>
    <w:rPr>
      <w:b/>
      <w:u w:val="single"/>
    </w:rPr>
  </w:style>
  <w:style w:type="character" w:customStyle="1" w:styleId="AERtexthighlight">
    <w:name w:val="AER text highlight"/>
    <w:qFormat/>
    <w:rsid w:val="005566D7"/>
    <w:rPr>
      <w:bdr w:val="none" w:sz="0" w:space="0" w:color="auto"/>
      <w:shd w:val="clear" w:color="auto" w:fill="FFFF00"/>
    </w:rPr>
  </w:style>
  <w:style w:type="character" w:customStyle="1" w:styleId="AERtextitalic">
    <w:name w:val="AER text italic"/>
    <w:qFormat/>
    <w:rsid w:val="00971C63"/>
    <w:rPr>
      <w:i/>
    </w:rPr>
  </w:style>
  <w:style w:type="character" w:customStyle="1" w:styleId="AERtextunderline">
    <w:name w:val="AER text underline"/>
    <w:qFormat/>
    <w:rsid w:val="00971C63"/>
    <w:rPr>
      <w:u w:val="single"/>
    </w:rPr>
  </w:style>
  <w:style w:type="paragraph" w:styleId="FootnoteText">
    <w:name w:val="footnote text"/>
    <w:aliases w:val="Footnote Text2,Footnote Text1,(NECG) Footnote Text,(NECG) Footnote Text1,ALTS FOOTNOTE,Footnote text,AR Footnote Text,AR Footnote Text Char Char Char Char Char,ALTS FOOTNOTE Char1,Footnote Text Char1 Char,Footnote Text Char Char Char,fn,f"/>
    <w:basedOn w:val="AERbodytext"/>
    <w:link w:val="FootnoteTextChar"/>
    <w:uiPriority w:val="99"/>
    <w:qFormat/>
    <w:rsid w:val="00DD5520"/>
    <w:pPr>
      <w:numPr>
        <w:numId w:val="0"/>
      </w:numPr>
      <w:tabs>
        <w:tab w:val="left" w:pos="426"/>
      </w:tabs>
      <w:spacing w:after="0" w:line="240" w:lineRule="auto"/>
      <w:ind w:left="426" w:hanging="426"/>
    </w:pPr>
    <w:rPr>
      <w:sz w:val="16"/>
      <w:szCs w:val="20"/>
    </w:rPr>
  </w:style>
  <w:style w:type="character" w:customStyle="1" w:styleId="FootnoteTextChar">
    <w:name w:val="Footnote Text Char"/>
    <w:aliases w:val="Footnote Text2 Char,Footnote Text1 Char,(NECG) Footnote Text Char,(NECG) Footnote Text1 Char,ALTS FOOTNOTE Char,Footnote text Char,AR Footnote Text Char,AR Footnote Text Char Char Char Char Char Char,ALTS FOOTNOTE Char1 Char,fn Char"/>
    <w:basedOn w:val="DefaultParagraphFont"/>
    <w:link w:val="FootnoteText"/>
    <w:uiPriority w:val="99"/>
    <w:rsid w:val="00DD5520"/>
    <w:rPr>
      <w:rFonts w:ascii="Gautami" w:eastAsia="Times New Roman" w:hAnsi="Gautami" w:cs="Times New Roman"/>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3800E4"/>
    <w:rPr>
      <w:vertAlign w:val="superscript"/>
    </w:rPr>
  </w:style>
  <w:style w:type="paragraph" w:styleId="Header">
    <w:name w:val="header"/>
    <w:basedOn w:val="Normal"/>
    <w:link w:val="HeaderChar"/>
    <w:uiPriority w:val="99"/>
    <w:unhideWhenUsed/>
    <w:qFormat/>
    <w:rsid w:val="00380FF5"/>
    <w:pPr>
      <w:tabs>
        <w:tab w:val="center" w:pos="4513"/>
        <w:tab w:val="right" w:pos="9026"/>
      </w:tabs>
      <w:spacing w:after="0" w:line="240" w:lineRule="auto"/>
    </w:pPr>
  </w:style>
  <w:style w:type="character" w:customStyle="1" w:styleId="HeaderChar">
    <w:name w:val="Header Char"/>
    <w:basedOn w:val="DefaultParagraphFont"/>
    <w:link w:val="Header"/>
    <w:uiPriority w:val="99"/>
    <w:rsid w:val="00380FF5"/>
  </w:style>
  <w:style w:type="paragraph" w:styleId="Footer">
    <w:name w:val="footer"/>
    <w:basedOn w:val="Normal"/>
    <w:link w:val="FooterChar"/>
    <w:uiPriority w:val="99"/>
    <w:qFormat/>
    <w:rsid w:val="007368AD"/>
    <w:pPr>
      <w:tabs>
        <w:tab w:val="center" w:pos="4513"/>
        <w:tab w:val="right" w:pos="9026"/>
      </w:tabs>
      <w:spacing w:after="0" w:line="240" w:lineRule="auto"/>
    </w:pPr>
  </w:style>
  <w:style w:type="character" w:customStyle="1" w:styleId="FooterChar">
    <w:name w:val="Footer Char"/>
    <w:basedOn w:val="DefaultParagraphFont"/>
    <w:link w:val="Footer"/>
    <w:uiPriority w:val="99"/>
    <w:rsid w:val="007368AD"/>
    <w:rPr>
      <w:rFonts w:ascii="Gautami" w:hAnsi="Gautami"/>
      <w:sz w:val="20"/>
    </w:rPr>
  </w:style>
  <w:style w:type="paragraph" w:customStyle="1" w:styleId="UnnumberedHeading">
    <w:name w:val="Unnumbered Heading"/>
    <w:basedOn w:val="Heading1"/>
    <w:next w:val="AERbodytext"/>
    <w:link w:val="UnnumberedHeadingChar"/>
    <w:qFormat/>
    <w:rsid w:val="00B94D99"/>
    <w:pPr>
      <w:numPr>
        <w:ilvl w:val="0"/>
      </w:numPr>
    </w:pPr>
  </w:style>
  <w:style w:type="table" w:styleId="TableGrid">
    <w:name w:val="Table Grid"/>
    <w:aliases w:val="ACCC Table"/>
    <w:basedOn w:val="TableNormal"/>
    <w:uiPriority w:val="59"/>
    <w:rsid w:val="00500E7F"/>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AERnumberedlist">
    <w:name w:val="AER numbered list"/>
    <w:uiPriority w:val="99"/>
    <w:rsid w:val="00EB5CDF"/>
    <w:pPr>
      <w:numPr>
        <w:numId w:val="13"/>
      </w:numPr>
    </w:pPr>
  </w:style>
  <w:style w:type="numbering" w:customStyle="1" w:styleId="OldAERheadings">
    <w:name w:val="Old AER headings"/>
    <w:uiPriority w:val="99"/>
    <w:locked/>
    <w:rsid w:val="008515EE"/>
    <w:pPr>
      <w:numPr>
        <w:numId w:val="24"/>
      </w:numPr>
    </w:pPr>
  </w:style>
  <w:style w:type="character" w:customStyle="1" w:styleId="AERtextorange">
    <w:name w:val="AER text orange"/>
    <w:uiPriority w:val="1"/>
    <w:qFormat/>
    <w:rsid w:val="00DB6A17"/>
    <w:rPr>
      <w:color w:val="E36C0A"/>
    </w:rPr>
  </w:style>
  <w:style w:type="paragraph" w:customStyle="1" w:styleId="AERtitle1">
    <w:name w:val="AER title 1"/>
    <w:qFormat/>
    <w:rsid w:val="000A1CC2"/>
    <w:pPr>
      <w:spacing w:after="240" w:line="288" w:lineRule="auto"/>
      <w:jc w:val="center"/>
    </w:pPr>
    <w:rPr>
      <w:rFonts w:eastAsia="Times New Roman"/>
      <w:b/>
      <w:sz w:val="40"/>
      <w:szCs w:val="24"/>
    </w:rPr>
  </w:style>
  <w:style w:type="paragraph" w:customStyle="1" w:styleId="AERtitle2">
    <w:name w:val="AER title 2"/>
    <w:qFormat/>
    <w:rsid w:val="000A1CC2"/>
    <w:pPr>
      <w:spacing w:after="240" w:line="288" w:lineRule="auto"/>
      <w:jc w:val="center"/>
    </w:pPr>
    <w:rPr>
      <w:rFonts w:eastAsia="Times New Roman"/>
      <w:sz w:val="32"/>
      <w:szCs w:val="24"/>
      <w:lang w:eastAsia="en-US"/>
    </w:rPr>
  </w:style>
  <w:style w:type="paragraph" w:styleId="ListParagraph">
    <w:name w:val="List Paragraph"/>
    <w:basedOn w:val="Normal"/>
    <w:uiPriority w:val="34"/>
    <w:unhideWhenUsed/>
    <w:qFormat/>
    <w:rsid w:val="005D26B7"/>
    <w:pPr>
      <w:ind w:left="720"/>
      <w:contextualSpacing/>
    </w:pPr>
  </w:style>
  <w:style w:type="character" w:customStyle="1" w:styleId="AERtextblue">
    <w:name w:val="AER text blue"/>
    <w:uiPriority w:val="1"/>
    <w:qFormat/>
    <w:rsid w:val="00D2117F"/>
    <w:rPr>
      <w:color w:val="365F91"/>
    </w:rPr>
  </w:style>
  <w:style w:type="character" w:customStyle="1" w:styleId="UnnumberedHeadingChar">
    <w:name w:val="Unnumbered Heading Char"/>
    <w:basedOn w:val="Heading1Char"/>
    <w:link w:val="UnnumberedHeading"/>
    <w:rsid w:val="00B94D99"/>
    <w:rPr>
      <w:rFonts w:eastAsia="Times New Roman"/>
      <w:b/>
      <w:bCs/>
      <w:color w:val="E36C0A"/>
      <w:sz w:val="36"/>
      <w:szCs w:val="28"/>
      <w:lang w:eastAsia="en-US"/>
    </w:rPr>
  </w:style>
  <w:style w:type="table" w:customStyle="1" w:styleId="AERtable-numbers">
    <w:name w:val="AER table - numbers"/>
    <w:basedOn w:val="TableNormal"/>
    <w:uiPriority w:val="99"/>
    <w:rsid w:val="00C04D2B"/>
    <w:pPr>
      <w:spacing w:before="120" w:after="80"/>
      <w:jc w:val="right"/>
    </w:pPr>
    <w:rPr>
      <w:sz w:val="16"/>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locked/>
    <w:rsid w:val="00B82E8D"/>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bodytextnospace">
    <w:name w:val="AER body text no space"/>
    <w:basedOn w:val="AERbodytext"/>
    <w:qFormat/>
    <w:rsid w:val="00BC05C5"/>
    <w:pPr>
      <w:spacing w:after="0"/>
    </w:pPr>
  </w:style>
  <w:style w:type="paragraph" w:customStyle="1" w:styleId="AERtabletextright">
    <w:name w:val="AER table text right"/>
    <w:basedOn w:val="AERtabletextleft"/>
    <w:qFormat/>
    <w:rsid w:val="00435682"/>
    <w:pPr>
      <w:spacing w:before="120" w:after="80"/>
      <w:jc w:val="right"/>
    </w:pPr>
  </w:style>
  <w:style w:type="paragraph" w:styleId="TOCHeading">
    <w:name w:val="TOC Heading"/>
    <w:basedOn w:val="Heading1"/>
    <w:next w:val="Normal"/>
    <w:uiPriority w:val="39"/>
    <w:unhideWhenUsed/>
    <w:qFormat/>
    <w:rsid w:val="00AF3E95"/>
    <w:pPr>
      <w:pageBreakBefore w:val="0"/>
      <w:numPr>
        <w:ilvl w:val="0"/>
        <w:numId w:val="0"/>
      </w:numPr>
      <w:spacing w:before="480" w:after="0" w:line="276" w:lineRule="auto"/>
      <w:outlineLvl w:val="9"/>
    </w:pPr>
    <w:rPr>
      <w:rFonts w:ascii="Cambria" w:hAnsi="Cambria"/>
      <w:color w:val="365F91"/>
      <w:sz w:val="28"/>
      <w:lang w:val="en-US"/>
    </w:rPr>
  </w:style>
  <w:style w:type="paragraph" w:styleId="TOC1">
    <w:name w:val="toc 1"/>
    <w:basedOn w:val="Normal"/>
    <w:next w:val="Normal"/>
    <w:autoRedefine/>
    <w:uiPriority w:val="39"/>
    <w:unhideWhenUsed/>
    <w:qFormat/>
    <w:rsid w:val="00AF3E95"/>
    <w:pPr>
      <w:spacing w:before="240" w:after="120"/>
      <w:jc w:val="left"/>
    </w:pPr>
    <w:rPr>
      <w:b/>
      <w:bCs/>
    </w:rPr>
  </w:style>
  <w:style w:type="paragraph" w:styleId="TOC2">
    <w:name w:val="toc 2"/>
    <w:basedOn w:val="Normal"/>
    <w:next w:val="Normal"/>
    <w:autoRedefine/>
    <w:uiPriority w:val="39"/>
    <w:unhideWhenUsed/>
    <w:qFormat/>
    <w:rsid w:val="00AF3E95"/>
    <w:pPr>
      <w:spacing w:before="120" w:after="0"/>
      <w:ind w:left="200"/>
      <w:jc w:val="left"/>
    </w:pPr>
    <w:rPr>
      <w:iCs/>
    </w:rPr>
  </w:style>
  <w:style w:type="paragraph" w:styleId="TOC3">
    <w:name w:val="toc 3"/>
    <w:basedOn w:val="Normal"/>
    <w:next w:val="Normal"/>
    <w:autoRedefine/>
    <w:uiPriority w:val="39"/>
    <w:unhideWhenUsed/>
    <w:qFormat/>
    <w:rsid w:val="00AF3E95"/>
    <w:pPr>
      <w:spacing w:after="0"/>
      <w:ind w:left="400"/>
      <w:jc w:val="left"/>
    </w:pPr>
  </w:style>
  <w:style w:type="character" w:styleId="Hyperlink">
    <w:name w:val="Hyperlink"/>
    <w:basedOn w:val="DefaultParagraphFont"/>
    <w:uiPriority w:val="99"/>
    <w:unhideWhenUsed/>
    <w:qFormat/>
    <w:rsid w:val="00AF3E95"/>
    <w:rPr>
      <w:color w:val="0000FF"/>
      <w:u w:val="single"/>
    </w:rPr>
  </w:style>
  <w:style w:type="paragraph" w:styleId="BalloonText">
    <w:name w:val="Balloon Text"/>
    <w:basedOn w:val="Normal"/>
    <w:link w:val="BalloonTextChar"/>
    <w:uiPriority w:val="99"/>
    <w:semiHidden/>
    <w:unhideWhenUsed/>
    <w:rsid w:val="00AF3E9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F3E95"/>
    <w:rPr>
      <w:rFonts w:ascii="Tahoma" w:hAnsi="Tahoma" w:cs="Tahoma"/>
      <w:sz w:val="16"/>
      <w:szCs w:val="16"/>
    </w:rPr>
  </w:style>
  <w:style w:type="paragraph" w:styleId="TOC4">
    <w:name w:val="toc 4"/>
    <w:basedOn w:val="Normal"/>
    <w:next w:val="Normal"/>
    <w:autoRedefine/>
    <w:uiPriority w:val="39"/>
    <w:locked/>
    <w:rsid w:val="00AF3E95"/>
    <w:pPr>
      <w:spacing w:after="0"/>
      <w:ind w:left="600"/>
      <w:jc w:val="left"/>
    </w:pPr>
    <w:rPr>
      <w:rFonts w:ascii="Calibri" w:hAnsi="Calibri"/>
    </w:rPr>
  </w:style>
  <w:style w:type="paragraph" w:styleId="TOC5">
    <w:name w:val="toc 5"/>
    <w:basedOn w:val="Normal"/>
    <w:next w:val="Normal"/>
    <w:autoRedefine/>
    <w:uiPriority w:val="39"/>
    <w:locked/>
    <w:rsid w:val="00AF3E95"/>
    <w:pPr>
      <w:spacing w:after="0"/>
      <w:ind w:left="800"/>
      <w:jc w:val="left"/>
    </w:pPr>
    <w:rPr>
      <w:rFonts w:ascii="Calibri" w:hAnsi="Calibri"/>
    </w:rPr>
  </w:style>
  <w:style w:type="paragraph" w:styleId="TOC6">
    <w:name w:val="toc 6"/>
    <w:basedOn w:val="Normal"/>
    <w:next w:val="Normal"/>
    <w:autoRedefine/>
    <w:uiPriority w:val="39"/>
    <w:locked/>
    <w:rsid w:val="00AF3E95"/>
    <w:pPr>
      <w:spacing w:after="0"/>
      <w:ind w:left="1000"/>
      <w:jc w:val="left"/>
    </w:pPr>
    <w:rPr>
      <w:rFonts w:ascii="Calibri" w:hAnsi="Calibri"/>
    </w:rPr>
  </w:style>
  <w:style w:type="paragraph" w:styleId="TOC7">
    <w:name w:val="toc 7"/>
    <w:basedOn w:val="Normal"/>
    <w:next w:val="Normal"/>
    <w:autoRedefine/>
    <w:uiPriority w:val="39"/>
    <w:locked/>
    <w:rsid w:val="00AF3E95"/>
    <w:pPr>
      <w:spacing w:after="0"/>
      <w:ind w:left="1200"/>
      <w:jc w:val="left"/>
    </w:pPr>
    <w:rPr>
      <w:rFonts w:ascii="Calibri" w:hAnsi="Calibri"/>
    </w:rPr>
  </w:style>
  <w:style w:type="paragraph" w:styleId="TOC8">
    <w:name w:val="toc 8"/>
    <w:basedOn w:val="Normal"/>
    <w:next w:val="Normal"/>
    <w:autoRedefine/>
    <w:uiPriority w:val="39"/>
    <w:locked/>
    <w:rsid w:val="00AF3E95"/>
    <w:pPr>
      <w:spacing w:after="0"/>
      <w:ind w:left="1400"/>
      <w:jc w:val="left"/>
    </w:pPr>
    <w:rPr>
      <w:rFonts w:ascii="Calibri" w:hAnsi="Calibri"/>
    </w:rPr>
  </w:style>
  <w:style w:type="paragraph" w:styleId="TOC9">
    <w:name w:val="toc 9"/>
    <w:basedOn w:val="Normal"/>
    <w:next w:val="Normal"/>
    <w:autoRedefine/>
    <w:uiPriority w:val="39"/>
    <w:locked/>
    <w:rsid w:val="00AF3E95"/>
    <w:pPr>
      <w:spacing w:after="0"/>
      <w:ind w:left="1600"/>
      <w:jc w:val="left"/>
    </w:pPr>
    <w:rPr>
      <w:rFonts w:ascii="Calibri" w:hAnsi="Calibri"/>
    </w:rPr>
  </w:style>
  <w:style w:type="character" w:styleId="CommentReference">
    <w:name w:val="annotation reference"/>
    <w:basedOn w:val="DefaultParagraphFont"/>
    <w:semiHidden/>
    <w:unhideWhenUsed/>
    <w:rsid w:val="00BE6F28"/>
    <w:rPr>
      <w:sz w:val="16"/>
      <w:szCs w:val="16"/>
    </w:rPr>
  </w:style>
  <w:style w:type="paragraph" w:styleId="CommentText">
    <w:name w:val="annotation text"/>
    <w:basedOn w:val="Normal"/>
    <w:link w:val="CommentTextChar"/>
    <w:unhideWhenUsed/>
    <w:rsid w:val="00BE6F28"/>
    <w:pPr>
      <w:spacing w:line="240" w:lineRule="auto"/>
    </w:pPr>
  </w:style>
  <w:style w:type="character" w:customStyle="1" w:styleId="CommentTextChar">
    <w:name w:val="Comment Text Char"/>
    <w:basedOn w:val="DefaultParagraphFont"/>
    <w:link w:val="CommentText"/>
    <w:rsid w:val="00BE6F28"/>
  </w:style>
  <w:style w:type="paragraph" w:styleId="CommentSubject">
    <w:name w:val="annotation subject"/>
    <w:basedOn w:val="CommentText"/>
    <w:next w:val="CommentText"/>
    <w:link w:val="CommentSubjectChar"/>
    <w:uiPriority w:val="99"/>
    <w:semiHidden/>
    <w:unhideWhenUsed/>
    <w:rsid w:val="00BE6F28"/>
    <w:rPr>
      <w:b/>
      <w:bCs/>
    </w:rPr>
  </w:style>
  <w:style w:type="character" w:customStyle="1" w:styleId="CommentSubjectChar">
    <w:name w:val="Comment Subject Char"/>
    <w:basedOn w:val="CommentTextChar"/>
    <w:link w:val="CommentSubject"/>
    <w:uiPriority w:val="99"/>
    <w:semiHidden/>
    <w:rsid w:val="00BE6F28"/>
    <w:rPr>
      <w:b/>
      <w:bCs/>
    </w:rPr>
  </w:style>
  <w:style w:type="character" w:customStyle="1" w:styleId="AERtextsize8">
    <w:name w:val="AER text size 8"/>
    <w:uiPriority w:val="1"/>
    <w:qFormat/>
    <w:rsid w:val="0020711E"/>
    <w:rPr>
      <w:sz w:val="16"/>
    </w:rPr>
  </w:style>
  <w:style w:type="character" w:customStyle="1" w:styleId="AERtextsize10">
    <w:name w:val="AER text size 10"/>
    <w:uiPriority w:val="1"/>
    <w:qFormat/>
    <w:rsid w:val="0020711E"/>
    <w:rPr>
      <w:sz w:val="20"/>
    </w:rPr>
  </w:style>
  <w:style w:type="paragraph" w:customStyle="1" w:styleId="AERnumberedlist2first">
    <w:name w:val="AER numbered list 2 first"/>
    <w:basedOn w:val="AERbodytext"/>
    <w:qFormat/>
    <w:rsid w:val="000E1A25"/>
    <w:pPr>
      <w:numPr>
        <w:ilvl w:val="4"/>
      </w:numPr>
    </w:pPr>
  </w:style>
  <w:style w:type="paragraph" w:customStyle="1" w:styleId="AERnumberedlist2second">
    <w:name w:val="AER numbered list 2 second"/>
    <w:basedOn w:val="AERnumberedlist2first"/>
    <w:qFormat/>
    <w:rsid w:val="000E1A25"/>
    <w:pPr>
      <w:numPr>
        <w:ilvl w:val="5"/>
      </w:numPr>
    </w:pPr>
  </w:style>
  <w:style w:type="paragraph" w:customStyle="1" w:styleId="AERnumberedlist2third">
    <w:name w:val="AER numbered list 2 third"/>
    <w:basedOn w:val="AERnumberedlist2second"/>
    <w:qFormat/>
    <w:rsid w:val="000E1A25"/>
    <w:pPr>
      <w:numPr>
        <w:ilvl w:val="6"/>
      </w:numPr>
    </w:pPr>
  </w:style>
  <w:style w:type="paragraph" w:customStyle="1" w:styleId="HeadingBoldBlue">
    <w:name w:val="Heading Bold Blue"/>
    <w:basedOn w:val="AERbodytext"/>
    <w:next w:val="AERbodytext"/>
    <w:link w:val="HeadingBoldBlueChar"/>
    <w:qFormat/>
    <w:rsid w:val="008C3722"/>
    <w:pPr>
      <w:keepNext/>
      <w:spacing w:before="120" w:after="120"/>
      <w:jc w:val="left"/>
    </w:pPr>
    <w:rPr>
      <w:b/>
      <w:color w:val="365F91" w:themeColor="accent1" w:themeShade="BF"/>
      <w:sz w:val="24"/>
    </w:rPr>
  </w:style>
  <w:style w:type="paragraph" w:customStyle="1" w:styleId="HeadingBoldItalic">
    <w:name w:val="Heading Bold Italic"/>
    <w:basedOn w:val="AERbodytext"/>
    <w:next w:val="AERbodytext"/>
    <w:qFormat/>
    <w:rsid w:val="008C3722"/>
    <w:pPr>
      <w:keepNext/>
      <w:spacing w:before="120" w:after="120"/>
      <w:jc w:val="left"/>
    </w:pPr>
    <w:rPr>
      <w:b/>
      <w:i/>
      <w:color w:val="E36C0A"/>
      <w:sz w:val="22"/>
    </w:rPr>
  </w:style>
  <w:style w:type="character" w:customStyle="1" w:styleId="AERbodytextChar">
    <w:name w:val="AER body text Char"/>
    <w:basedOn w:val="DefaultParagraphFont"/>
    <w:link w:val="AERbodytext"/>
    <w:rsid w:val="00EB5CDF"/>
    <w:rPr>
      <w:rFonts w:eastAsia="Times New Roman"/>
      <w:szCs w:val="24"/>
      <w:lang w:eastAsia="en-US"/>
    </w:rPr>
  </w:style>
  <w:style w:type="character" w:customStyle="1" w:styleId="HeadingBoldBlueChar">
    <w:name w:val="Heading Bold Blue Char"/>
    <w:basedOn w:val="AERbodytextChar"/>
    <w:link w:val="HeadingBoldBlue"/>
    <w:rsid w:val="008C3722"/>
    <w:rPr>
      <w:rFonts w:eastAsia="Times New Roman"/>
      <w:b/>
      <w:color w:val="365F91" w:themeColor="accent1" w:themeShade="BF"/>
      <w:sz w:val="24"/>
      <w:szCs w:val="24"/>
      <w:lang w:eastAsia="en-US"/>
    </w:rPr>
  </w:style>
  <w:style w:type="paragraph" w:customStyle="1" w:styleId="HeadingItalic">
    <w:name w:val="Heading Italic"/>
    <w:basedOn w:val="AERbodytext"/>
    <w:next w:val="AERbodytext"/>
    <w:qFormat/>
    <w:rsid w:val="008C3722"/>
    <w:pPr>
      <w:keepNext/>
      <w:spacing w:before="120" w:after="120"/>
      <w:jc w:val="left"/>
    </w:pPr>
    <w:rPr>
      <w:b/>
      <w:i/>
      <w:color w:val="365F91" w:themeColor="accent1" w:themeShade="BF"/>
      <w:sz w:val="22"/>
    </w:rPr>
  </w:style>
  <w:style w:type="character" w:styleId="PageNumber">
    <w:name w:val="page number"/>
    <w:basedOn w:val="DefaultParagraphFont"/>
    <w:rsid w:val="00CC49D4"/>
    <w:rPr>
      <w:rFonts w:ascii="Gautami" w:hAnsi="Gautami"/>
      <w:sz w:val="18"/>
    </w:rPr>
  </w:style>
  <w:style w:type="paragraph" w:customStyle="1" w:styleId="AERbodytextnospaceleftalign">
    <w:name w:val="AER body text no space left align"/>
    <w:basedOn w:val="AERbodytextnospace"/>
    <w:qFormat/>
    <w:rsid w:val="00DD4E84"/>
    <w:pPr>
      <w:numPr>
        <w:numId w:val="0"/>
      </w:numPr>
      <w:tabs>
        <w:tab w:val="num" w:pos="0"/>
      </w:tabs>
      <w:jc w:val="left"/>
    </w:pPr>
  </w:style>
  <w:style w:type="paragraph" w:customStyle="1" w:styleId="AERbodytextleftalign">
    <w:name w:val="AER body text left align"/>
    <w:basedOn w:val="AERbodytext"/>
    <w:qFormat/>
    <w:rsid w:val="00DD4E84"/>
    <w:pPr>
      <w:jc w:val="left"/>
    </w:pPr>
  </w:style>
  <w:style w:type="paragraph" w:customStyle="1" w:styleId="AERbodytextcentre">
    <w:name w:val="AER body text centre"/>
    <w:basedOn w:val="AERbodytext"/>
    <w:qFormat/>
    <w:rsid w:val="0013022D"/>
    <w:pPr>
      <w:jc w:val="center"/>
    </w:pPr>
  </w:style>
  <w:style w:type="paragraph" w:customStyle="1" w:styleId="AERbodytextnospacecentre">
    <w:name w:val="AER body text no space centre"/>
    <w:basedOn w:val="AERbodytextnospace"/>
    <w:qFormat/>
    <w:rsid w:val="0013022D"/>
    <w:pPr>
      <w:jc w:val="center"/>
    </w:pPr>
  </w:style>
  <w:style w:type="paragraph" w:customStyle="1" w:styleId="HeadingOrange">
    <w:name w:val="Heading Orange"/>
    <w:basedOn w:val="HeadingBoldItalic"/>
    <w:qFormat/>
    <w:rsid w:val="008C3722"/>
    <w:rPr>
      <w:i w:val="0"/>
      <w:sz w:val="20"/>
    </w:rPr>
  </w:style>
  <w:style w:type="paragraph" w:styleId="ListNumber2">
    <w:name w:val="List Number 2"/>
    <w:aliases w:val="List alphabet"/>
    <w:basedOn w:val="Normal"/>
    <w:uiPriority w:val="99"/>
    <w:unhideWhenUsed/>
    <w:locked/>
    <w:rsid w:val="00AB1C47"/>
    <w:pPr>
      <w:numPr>
        <w:numId w:val="50"/>
      </w:numPr>
      <w:contextualSpacing/>
    </w:pPr>
  </w:style>
  <w:style w:type="paragraph" w:styleId="Revision">
    <w:name w:val="Revision"/>
    <w:hidden/>
    <w:uiPriority w:val="99"/>
    <w:semiHidden/>
    <w:rsid w:val="00164366"/>
    <w:rPr>
      <w:lang w:eastAsia="en-US"/>
    </w:rPr>
  </w:style>
  <w:style w:type="paragraph" w:styleId="NormalWeb">
    <w:name w:val="Normal (Web)"/>
    <w:basedOn w:val="Normal"/>
    <w:uiPriority w:val="99"/>
    <w:semiHidden/>
    <w:unhideWhenUsed/>
    <w:locked/>
    <w:rsid w:val="00EB6E3E"/>
    <w:rPr>
      <w:rFonts w:ascii="Times New Roman" w:hAnsi="Times New Roman"/>
      <w:sz w:val="24"/>
      <w:szCs w:val="24"/>
    </w:rPr>
  </w:style>
  <w:style w:type="paragraph" w:customStyle="1" w:styleId="Reporttitle">
    <w:name w:val="Report title"/>
    <w:basedOn w:val="Normal"/>
    <w:link w:val="ReporttitleChar"/>
    <w:qFormat/>
    <w:rsid w:val="0035741C"/>
    <w:pPr>
      <w:spacing w:before="520" w:after="120" w:line="240" w:lineRule="auto"/>
      <w:jc w:val="left"/>
    </w:pPr>
    <w:rPr>
      <w:rFonts w:ascii="Lucida Fax" w:eastAsiaTheme="minorHAnsi" w:hAnsi="Lucida Fax" w:cstheme="minorBidi"/>
      <w:color w:val="4F2D7F"/>
      <w:sz w:val="72"/>
      <w:szCs w:val="56"/>
    </w:rPr>
  </w:style>
  <w:style w:type="character" w:customStyle="1" w:styleId="ReporttitleChar">
    <w:name w:val="Report title Char"/>
    <w:basedOn w:val="DefaultParagraphFont"/>
    <w:link w:val="Reporttitle"/>
    <w:rsid w:val="0035741C"/>
    <w:rPr>
      <w:rFonts w:ascii="Lucida Fax" w:eastAsiaTheme="minorHAnsi" w:hAnsi="Lucida Fax" w:cstheme="minorBidi"/>
      <w:color w:val="4F2D7F"/>
      <w:sz w:val="72"/>
      <w:szCs w:val="56"/>
      <w:lang w:eastAsia="en-US"/>
    </w:rPr>
  </w:style>
  <w:style w:type="paragraph" w:customStyle="1" w:styleId="Chaptertitle">
    <w:name w:val="Chapter title"/>
    <w:basedOn w:val="Reporttitle"/>
    <w:link w:val="ChaptertitleChar"/>
    <w:qFormat/>
    <w:rsid w:val="0035741C"/>
    <w:rPr>
      <w:sz w:val="52"/>
      <w:szCs w:val="52"/>
    </w:rPr>
  </w:style>
  <w:style w:type="character" w:customStyle="1" w:styleId="ChaptertitleChar">
    <w:name w:val="Chapter title Char"/>
    <w:basedOn w:val="ReporttitleChar"/>
    <w:link w:val="Chaptertitle"/>
    <w:rsid w:val="0035741C"/>
    <w:rPr>
      <w:rFonts w:ascii="Lucida Fax" w:eastAsiaTheme="minorHAnsi" w:hAnsi="Lucida Fax" w:cstheme="minorBidi"/>
      <w:color w:val="4F2D7F"/>
      <w:sz w:val="52"/>
      <w:szCs w:val="52"/>
      <w:lang w:eastAsia="en-US"/>
    </w:rPr>
  </w:style>
  <w:style w:type="paragraph" w:customStyle="1" w:styleId="Tabletext">
    <w:name w:val="Table text"/>
    <w:basedOn w:val="Normal"/>
    <w:link w:val="TabletextChar"/>
    <w:uiPriority w:val="1"/>
    <w:qFormat/>
    <w:rsid w:val="0035741C"/>
    <w:pPr>
      <w:spacing w:before="120" w:after="60" w:line="240" w:lineRule="auto"/>
      <w:jc w:val="left"/>
    </w:pPr>
    <w:rPr>
      <w:rFonts w:ascii="Arial" w:eastAsiaTheme="minorHAnsi" w:hAnsi="Arial" w:cstheme="minorBidi"/>
      <w:szCs w:val="22"/>
    </w:rPr>
  </w:style>
  <w:style w:type="paragraph" w:customStyle="1" w:styleId="Copyrighttext">
    <w:name w:val="Copyright text"/>
    <w:basedOn w:val="Normal"/>
    <w:link w:val="CopyrighttextChar"/>
    <w:uiPriority w:val="2"/>
    <w:qFormat/>
    <w:rsid w:val="0035741C"/>
    <w:pPr>
      <w:spacing w:before="200" w:after="0" w:line="360" w:lineRule="auto"/>
      <w:contextualSpacing/>
      <w:jc w:val="left"/>
    </w:pPr>
    <w:rPr>
      <w:rFonts w:ascii="Arial" w:eastAsiaTheme="minorHAnsi" w:hAnsi="Arial" w:cstheme="minorBidi"/>
      <w:color w:val="4F81BD" w:themeColor="accent1"/>
      <w:sz w:val="16"/>
      <w:szCs w:val="16"/>
    </w:rPr>
  </w:style>
  <w:style w:type="character" w:customStyle="1" w:styleId="CopyrighttextChar">
    <w:name w:val="Copyright text Char"/>
    <w:basedOn w:val="DefaultParagraphFont"/>
    <w:link w:val="Copyrighttext"/>
    <w:uiPriority w:val="2"/>
    <w:rsid w:val="0035741C"/>
    <w:rPr>
      <w:rFonts w:ascii="Arial" w:eastAsiaTheme="minorHAnsi" w:hAnsi="Arial" w:cstheme="minorBidi"/>
      <w:color w:val="4F81BD" w:themeColor="accent1"/>
      <w:sz w:val="16"/>
      <w:szCs w:val="16"/>
      <w:lang w:eastAsia="en-US"/>
    </w:rPr>
  </w:style>
  <w:style w:type="paragraph" w:customStyle="1" w:styleId="Numbered1">
    <w:name w:val="Numbered 1"/>
    <w:basedOn w:val="Heading1"/>
    <w:next w:val="Normal"/>
    <w:link w:val="Numbered1Char"/>
    <w:qFormat/>
    <w:rsid w:val="0035741C"/>
    <w:pPr>
      <w:keepNext w:val="0"/>
      <w:keepLines w:val="0"/>
      <w:pageBreakBefore w:val="0"/>
      <w:numPr>
        <w:ilvl w:val="0"/>
        <w:numId w:val="85"/>
      </w:numPr>
      <w:spacing w:before="240" w:after="0" w:line="240" w:lineRule="auto"/>
      <w:ind w:left="680" w:hanging="680"/>
    </w:pPr>
    <w:rPr>
      <w:rFonts w:ascii="Lucida Fax" w:eastAsiaTheme="majorEastAsia" w:hAnsi="Lucida Fax" w:cstheme="majorBidi"/>
      <w:b w:val="0"/>
      <w:color w:val="51626F"/>
      <w:sz w:val="32"/>
    </w:rPr>
  </w:style>
  <w:style w:type="paragraph" w:customStyle="1" w:styleId="Numbered11">
    <w:name w:val="Numbered 1.1"/>
    <w:basedOn w:val="Heading2"/>
    <w:next w:val="Normal"/>
    <w:qFormat/>
    <w:rsid w:val="0035741C"/>
    <w:pPr>
      <w:keepNext w:val="0"/>
      <w:keepLines w:val="0"/>
      <w:numPr>
        <w:ilvl w:val="1"/>
        <w:numId w:val="85"/>
      </w:numPr>
      <w:spacing w:before="200" w:after="0" w:line="240" w:lineRule="atLeast"/>
      <w:ind w:left="1021" w:hanging="1021"/>
    </w:pPr>
    <w:rPr>
      <w:rFonts w:ascii="Arial" w:eastAsiaTheme="majorEastAsia" w:hAnsi="Arial" w:cs="Arial"/>
      <w:b w:val="0"/>
      <w:bCs/>
      <w:color w:val="51626F"/>
    </w:rPr>
  </w:style>
  <w:style w:type="paragraph" w:customStyle="1" w:styleId="Numbered111">
    <w:name w:val="Numbered 1.1.1"/>
    <w:basedOn w:val="Heading3"/>
    <w:next w:val="Normal"/>
    <w:qFormat/>
    <w:rsid w:val="0035741C"/>
    <w:pPr>
      <w:keepNext w:val="0"/>
      <w:keepLines w:val="0"/>
      <w:numPr>
        <w:ilvl w:val="2"/>
        <w:numId w:val="85"/>
      </w:numPr>
      <w:spacing w:before="240" w:after="0" w:line="240" w:lineRule="auto"/>
      <w:ind w:left="1247" w:hanging="1247"/>
      <w:contextualSpacing/>
    </w:pPr>
    <w:rPr>
      <w:rFonts w:ascii="Arial" w:eastAsiaTheme="majorEastAsia" w:hAnsi="Arial" w:cstheme="majorBidi"/>
      <w:color w:val="000000" w:themeColor="text1" w:themeShade="BF"/>
      <w:szCs w:val="22"/>
    </w:rPr>
  </w:style>
  <w:style w:type="paragraph" w:customStyle="1" w:styleId="Numbered1111">
    <w:name w:val="Numbered 1.1.1.1"/>
    <w:basedOn w:val="Heading4"/>
    <w:next w:val="Normal"/>
    <w:rsid w:val="0035741C"/>
    <w:pPr>
      <w:keepNext w:val="0"/>
      <w:numPr>
        <w:ilvl w:val="3"/>
        <w:numId w:val="85"/>
      </w:numPr>
      <w:spacing w:before="240" w:after="0" w:line="240" w:lineRule="auto"/>
      <w:ind w:left="1474" w:hanging="1474"/>
      <w:jc w:val="left"/>
    </w:pPr>
    <w:rPr>
      <w:rFonts w:ascii="Arial" w:eastAsiaTheme="majorEastAsia" w:hAnsi="Arial" w:cstheme="majorBidi"/>
      <w:bCs/>
      <w:i/>
      <w:color w:val="51626F"/>
      <w:sz w:val="24"/>
      <w:szCs w:val="22"/>
    </w:rPr>
  </w:style>
  <w:style w:type="paragraph" w:customStyle="1" w:styleId="Numbered11111">
    <w:name w:val="Numbered 1.1.1.1.1"/>
    <w:basedOn w:val="Heading5"/>
    <w:next w:val="Normal"/>
    <w:uiPriority w:val="2"/>
    <w:rsid w:val="0035741C"/>
    <w:pPr>
      <w:keepNext w:val="0"/>
      <w:numPr>
        <w:ilvl w:val="4"/>
        <w:numId w:val="85"/>
      </w:numPr>
      <w:spacing w:before="200" w:after="0" w:line="240" w:lineRule="atLeast"/>
      <w:ind w:left="1701" w:hanging="1701"/>
      <w:jc w:val="left"/>
    </w:pPr>
    <w:rPr>
      <w:rFonts w:ascii="Arial" w:eastAsiaTheme="majorEastAsia" w:hAnsi="Arial" w:cstheme="majorBidi"/>
      <w:i w:val="0"/>
      <w:iCs w:val="0"/>
      <w:color w:val="243F60" w:themeColor="accent1" w:themeShade="7F"/>
      <w:sz w:val="22"/>
      <w:szCs w:val="22"/>
    </w:rPr>
  </w:style>
  <w:style w:type="paragraph" w:customStyle="1" w:styleId="Numbered111111">
    <w:name w:val="Numbered 1.1.1.1.1.1"/>
    <w:basedOn w:val="Heading6"/>
    <w:next w:val="Normal"/>
    <w:uiPriority w:val="2"/>
    <w:rsid w:val="0035741C"/>
    <w:pPr>
      <w:keepNext w:val="0"/>
      <w:numPr>
        <w:ilvl w:val="5"/>
        <w:numId w:val="85"/>
      </w:numPr>
      <w:spacing w:before="240" w:after="0" w:line="240" w:lineRule="auto"/>
      <w:ind w:left="2155" w:hanging="2155"/>
      <w:jc w:val="left"/>
    </w:pPr>
    <w:rPr>
      <w:rFonts w:ascii="Arial" w:eastAsiaTheme="majorEastAsia" w:hAnsi="Arial" w:cstheme="majorBidi"/>
      <w:b/>
      <w:iCs/>
      <w:color w:val="auto"/>
      <w:sz w:val="22"/>
      <w:szCs w:val="22"/>
    </w:rPr>
  </w:style>
  <w:style w:type="paragraph" w:styleId="NoSpacing">
    <w:name w:val="No Spacing"/>
    <w:uiPriority w:val="1"/>
    <w:qFormat/>
    <w:rsid w:val="0035741C"/>
    <w:rPr>
      <w:rFonts w:ascii="Arial" w:eastAsiaTheme="minorHAnsi" w:hAnsi="Arial" w:cstheme="minorBidi"/>
      <w:sz w:val="22"/>
      <w:szCs w:val="22"/>
      <w:lang w:eastAsia="en-US"/>
    </w:rPr>
  </w:style>
  <w:style w:type="paragraph" w:customStyle="1" w:styleId="Tabletitle">
    <w:name w:val="Table title"/>
    <w:basedOn w:val="Normal"/>
    <w:link w:val="TabletitleChar"/>
    <w:qFormat/>
    <w:rsid w:val="0035741C"/>
    <w:pPr>
      <w:spacing w:before="240" w:after="120" w:line="240" w:lineRule="auto"/>
      <w:jc w:val="left"/>
    </w:pPr>
    <w:rPr>
      <w:rFonts w:ascii="Arial" w:eastAsiaTheme="minorHAnsi" w:hAnsi="Arial" w:cstheme="minorBidi"/>
      <w:b/>
      <w:sz w:val="22"/>
    </w:rPr>
  </w:style>
  <w:style w:type="character" w:customStyle="1" w:styleId="TabletitleChar">
    <w:name w:val="Table title Char"/>
    <w:basedOn w:val="DefaultParagraphFont"/>
    <w:link w:val="Tabletitle"/>
    <w:rsid w:val="0035741C"/>
    <w:rPr>
      <w:rFonts w:ascii="Arial" w:eastAsiaTheme="minorHAnsi" w:hAnsi="Arial" w:cstheme="minorBidi"/>
      <w:b/>
      <w:sz w:val="22"/>
      <w:lang w:eastAsia="en-US"/>
    </w:rPr>
  </w:style>
  <w:style w:type="paragraph" w:customStyle="1" w:styleId="Charttitle">
    <w:name w:val="Chart title"/>
    <w:basedOn w:val="Tabletitle"/>
    <w:qFormat/>
    <w:rsid w:val="0035741C"/>
    <w:rPr>
      <w:sz w:val="24"/>
    </w:rPr>
  </w:style>
  <w:style w:type="paragraph" w:styleId="EndnoteText">
    <w:name w:val="endnote text"/>
    <w:basedOn w:val="Normal"/>
    <w:link w:val="EndnoteTextChar"/>
    <w:uiPriority w:val="99"/>
    <w:rsid w:val="0035741C"/>
    <w:pPr>
      <w:spacing w:after="0" w:line="240" w:lineRule="auto"/>
      <w:jc w:val="left"/>
    </w:pPr>
    <w:rPr>
      <w:rFonts w:ascii="Arial" w:eastAsiaTheme="minorHAnsi" w:hAnsi="Arial" w:cstheme="minorBidi"/>
    </w:rPr>
  </w:style>
  <w:style w:type="character" w:customStyle="1" w:styleId="EndnoteTextChar">
    <w:name w:val="Endnote Text Char"/>
    <w:basedOn w:val="DefaultParagraphFont"/>
    <w:link w:val="EndnoteText"/>
    <w:uiPriority w:val="99"/>
    <w:rsid w:val="0035741C"/>
    <w:rPr>
      <w:rFonts w:ascii="Arial" w:eastAsiaTheme="minorHAnsi" w:hAnsi="Arial" w:cstheme="minorBidi"/>
      <w:lang w:eastAsia="en-US"/>
    </w:rPr>
  </w:style>
  <w:style w:type="paragraph" w:customStyle="1" w:styleId="Boxedtext">
    <w:name w:val="Boxed text"/>
    <w:basedOn w:val="Normal"/>
    <w:link w:val="BoxedtextChar"/>
    <w:uiPriority w:val="1"/>
    <w:rsid w:val="0035741C"/>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before="200" w:line="240" w:lineRule="auto"/>
      <w:jc w:val="left"/>
    </w:pPr>
    <w:rPr>
      <w:rFonts w:ascii="Arial" w:eastAsiaTheme="minorHAnsi" w:hAnsi="Arial" w:cstheme="minorBidi"/>
      <w:sz w:val="22"/>
    </w:rPr>
  </w:style>
  <w:style w:type="character" w:customStyle="1" w:styleId="BoxedtextChar">
    <w:name w:val="Boxed text Char"/>
    <w:basedOn w:val="DefaultParagraphFont"/>
    <w:link w:val="Boxedtext"/>
    <w:uiPriority w:val="1"/>
    <w:rsid w:val="0035741C"/>
    <w:rPr>
      <w:rFonts w:ascii="Arial" w:eastAsiaTheme="minorHAnsi" w:hAnsi="Arial" w:cstheme="minorBidi"/>
      <w:sz w:val="22"/>
      <w:shd w:val="clear" w:color="auto" w:fill="F2F2F2" w:themeFill="background1" w:themeFillShade="F2"/>
      <w:lang w:eastAsia="en-US"/>
    </w:rPr>
  </w:style>
  <w:style w:type="paragraph" w:customStyle="1" w:styleId="Pullquoteheading">
    <w:name w:val="Pull quote heading"/>
    <w:basedOn w:val="Normal"/>
    <w:link w:val="PullquoteheadingChar"/>
    <w:uiPriority w:val="1"/>
    <w:rsid w:val="0035741C"/>
    <w:pPr>
      <w:spacing w:before="200" w:after="120" w:line="240" w:lineRule="auto"/>
      <w:contextualSpacing/>
      <w:jc w:val="left"/>
    </w:pPr>
    <w:rPr>
      <w:rFonts w:ascii="Lucida Fax" w:eastAsiaTheme="minorHAnsi" w:hAnsi="Lucida Fax" w:cstheme="minorBidi"/>
      <w:b/>
      <w:color w:val="DC5034"/>
      <w:sz w:val="24"/>
      <w:szCs w:val="24"/>
    </w:rPr>
  </w:style>
  <w:style w:type="character" w:customStyle="1" w:styleId="PullquoteheadingChar">
    <w:name w:val="Pull quote heading Char"/>
    <w:basedOn w:val="DefaultParagraphFont"/>
    <w:link w:val="Pullquoteheading"/>
    <w:uiPriority w:val="1"/>
    <w:rsid w:val="0035741C"/>
    <w:rPr>
      <w:rFonts w:ascii="Lucida Fax" w:eastAsiaTheme="minorHAnsi" w:hAnsi="Lucida Fax" w:cstheme="minorBidi"/>
      <w:b/>
      <w:color w:val="DC5034"/>
      <w:sz w:val="24"/>
      <w:szCs w:val="24"/>
      <w:lang w:eastAsia="en-US"/>
    </w:rPr>
  </w:style>
  <w:style w:type="paragraph" w:customStyle="1" w:styleId="Pullquotetext">
    <w:name w:val="Pull quote text"/>
    <w:link w:val="PullquotetextChar"/>
    <w:uiPriority w:val="1"/>
    <w:rsid w:val="0035741C"/>
    <w:pPr>
      <w:spacing w:before="120"/>
    </w:pPr>
    <w:rPr>
      <w:rFonts w:ascii="Lucida Fax" w:eastAsiaTheme="minorHAnsi" w:hAnsi="Lucida Fax" w:cstheme="minorBidi"/>
      <w:color w:val="DC5034"/>
      <w:sz w:val="22"/>
      <w:szCs w:val="24"/>
      <w:lang w:eastAsia="en-US"/>
    </w:rPr>
  </w:style>
  <w:style w:type="character" w:customStyle="1" w:styleId="PullquotetextChar">
    <w:name w:val="Pull quote text Char"/>
    <w:basedOn w:val="PullquoteheadingChar"/>
    <w:link w:val="Pullquotetext"/>
    <w:uiPriority w:val="1"/>
    <w:rsid w:val="0035741C"/>
    <w:rPr>
      <w:rFonts w:ascii="Lucida Fax" w:eastAsiaTheme="minorHAnsi" w:hAnsi="Lucida Fax" w:cstheme="minorBidi"/>
      <w:b w:val="0"/>
      <w:color w:val="DC5034"/>
      <w:sz w:val="22"/>
      <w:szCs w:val="24"/>
      <w:lang w:eastAsia="en-US"/>
    </w:rPr>
  </w:style>
  <w:style w:type="paragraph" w:customStyle="1" w:styleId="Note">
    <w:name w:val="Note"/>
    <w:basedOn w:val="Normal"/>
    <w:link w:val="NoteChar"/>
    <w:qFormat/>
    <w:rsid w:val="0035741C"/>
    <w:pPr>
      <w:spacing w:before="200" w:after="120" w:line="240" w:lineRule="auto"/>
      <w:jc w:val="left"/>
    </w:pPr>
    <w:rPr>
      <w:rFonts w:ascii="Arial" w:eastAsiaTheme="minorHAnsi" w:hAnsi="Arial" w:cstheme="minorBidi"/>
      <w:i/>
      <w:sz w:val="16"/>
      <w:szCs w:val="16"/>
    </w:rPr>
  </w:style>
  <w:style w:type="character" w:customStyle="1" w:styleId="NoteChar">
    <w:name w:val="Note Char"/>
    <w:basedOn w:val="DefaultParagraphFont"/>
    <w:link w:val="Note"/>
    <w:rsid w:val="0035741C"/>
    <w:rPr>
      <w:rFonts w:ascii="Arial" w:eastAsiaTheme="minorHAnsi" w:hAnsi="Arial" w:cstheme="minorBidi"/>
      <w:i/>
      <w:sz w:val="16"/>
      <w:szCs w:val="16"/>
      <w:lang w:eastAsia="en-US"/>
    </w:rPr>
  </w:style>
  <w:style w:type="paragraph" w:customStyle="1" w:styleId="Source">
    <w:name w:val="Source"/>
    <w:basedOn w:val="Normal"/>
    <w:link w:val="SourceChar"/>
    <w:rsid w:val="0035741C"/>
    <w:pPr>
      <w:spacing w:before="200" w:after="60" w:line="240" w:lineRule="auto"/>
      <w:jc w:val="left"/>
    </w:pPr>
    <w:rPr>
      <w:rFonts w:ascii="Arial" w:eastAsiaTheme="minorHAnsi" w:hAnsi="Arial" w:cstheme="minorBidi"/>
      <w:sz w:val="16"/>
      <w:szCs w:val="16"/>
    </w:rPr>
  </w:style>
  <w:style w:type="character" w:customStyle="1" w:styleId="SourceChar">
    <w:name w:val="Source Char"/>
    <w:basedOn w:val="DefaultParagraphFont"/>
    <w:link w:val="Source"/>
    <w:rsid w:val="0035741C"/>
    <w:rPr>
      <w:rFonts w:ascii="Arial" w:eastAsiaTheme="minorHAnsi" w:hAnsi="Arial" w:cstheme="minorBidi"/>
      <w:sz w:val="16"/>
      <w:szCs w:val="16"/>
      <w:lang w:eastAsia="en-US"/>
    </w:rPr>
  </w:style>
  <w:style w:type="paragraph" w:customStyle="1" w:styleId="Footnotes">
    <w:name w:val="Footnotes"/>
    <w:basedOn w:val="FootnoteText"/>
    <w:link w:val="FootnotesChar"/>
    <w:uiPriority w:val="4"/>
    <w:semiHidden/>
    <w:qFormat/>
    <w:rsid w:val="0035741C"/>
    <w:pPr>
      <w:tabs>
        <w:tab w:val="clear" w:pos="426"/>
      </w:tabs>
      <w:spacing w:before="60"/>
      <w:ind w:left="0" w:firstLine="0"/>
      <w:jc w:val="left"/>
    </w:pPr>
    <w:rPr>
      <w:rFonts w:ascii="Arial" w:eastAsiaTheme="minorHAnsi" w:hAnsi="Arial" w:cstheme="minorBidi"/>
    </w:rPr>
  </w:style>
  <w:style w:type="character" w:customStyle="1" w:styleId="FootnotesChar">
    <w:name w:val="Footnotes Char"/>
    <w:basedOn w:val="DefaultParagraphFont"/>
    <w:link w:val="Footnotes"/>
    <w:uiPriority w:val="4"/>
    <w:semiHidden/>
    <w:rsid w:val="0035741C"/>
    <w:rPr>
      <w:rFonts w:ascii="Arial" w:eastAsiaTheme="minorHAnsi" w:hAnsi="Arial" w:cstheme="minorBidi"/>
      <w:sz w:val="16"/>
      <w:lang w:eastAsia="en-US"/>
    </w:rPr>
  </w:style>
  <w:style w:type="paragraph" w:styleId="Quote">
    <w:name w:val="Quote"/>
    <w:basedOn w:val="Normal"/>
    <w:next w:val="Normal"/>
    <w:link w:val="QuoteChar"/>
    <w:uiPriority w:val="29"/>
    <w:rsid w:val="0035741C"/>
    <w:pPr>
      <w:spacing w:before="200" w:after="0" w:line="240" w:lineRule="auto"/>
      <w:ind w:left="737"/>
      <w:jc w:val="left"/>
    </w:pPr>
    <w:rPr>
      <w:rFonts w:ascii="Arial" w:eastAsiaTheme="minorHAnsi" w:hAnsi="Arial" w:cstheme="minorBidi"/>
      <w:i/>
      <w:iCs/>
      <w:color w:val="000000" w:themeColor="text1"/>
      <w:sz w:val="22"/>
      <w:szCs w:val="22"/>
    </w:rPr>
  </w:style>
  <w:style w:type="character" w:customStyle="1" w:styleId="QuoteChar">
    <w:name w:val="Quote Char"/>
    <w:basedOn w:val="DefaultParagraphFont"/>
    <w:link w:val="Quote"/>
    <w:uiPriority w:val="29"/>
    <w:rsid w:val="0035741C"/>
    <w:rPr>
      <w:rFonts w:ascii="Arial" w:eastAsiaTheme="minorHAnsi" w:hAnsi="Arial" w:cstheme="minorBidi"/>
      <w:i/>
      <w:iCs/>
      <w:color w:val="000000" w:themeColor="text1"/>
      <w:sz w:val="22"/>
      <w:szCs w:val="22"/>
      <w:lang w:eastAsia="en-US"/>
    </w:rPr>
  </w:style>
  <w:style w:type="paragraph" w:customStyle="1" w:styleId="Bulletpoint">
    <w:name w:val="Bullet point"/>
    <w:basedOn w:val="ListBullet"/>
    <w:qFormat/>
    <w:rsid w:val="0035741C"/>
    <w:pPr>
      <w:numPr>
        <w:numId w:val="73"/>
      </w:numPr>
      <w:ind w:left="357" w:hanging="357"/>
    </w:pPr>
    <w:rPr>
      <w:rFonts w:cs="Times New Roman"/>
    </w:rPr>
  </w:style>
  <w:style w:type="paragraph" w:styleId="ListBullet">
    <w:name w:val="List Bullet"/>
    <w:basedOn w:val="Normal"/>
    <w:uiPriority w:val="99"/>
    <w:unhideWhenUsed/>
    <w:locked/>
    <w:rsid w:val="0035741C"/>
    <w:pPr>
      <w:numPr>
        <w:numId w:val="84"/>
      </w:numPr>
      <w:spacing w:before="120" w:after="0" w:line="240" w:lineRule="auto"/>
      <w:ind w:left="357" w:hanging="357"/>
      <w:jc w:val="left"/>
    </w:pPr>
    <w:rPr>
      <w:rFonts w:ascii="Arial" w:eastAsiaTheme="minorHAnsi" w:hAnsi="Arial" w:cstheme="minorBidi"/>
      <w:sz w:val="22"/>
      <w:szCs w:val="22"/>
    </w:rPr>
  </w:style>
  <w:style w:type="paragraph" w:customStyle="1" w:styleId="Bulletpoint2">
    <w:name w:val="Bullet point 2"/>
    <w:basedOn w:val="ListBullet2"/>
    <w:uiPriority w:val="1"/>
    <w:qFormat/>
    <w:rsid w:val="0035741C"/>
    <w:pPr>
      <w:numPr>
        <w:numId w:val="83"/>
      </w:numPr>
      <w:ind w:left="998" w:hanging="357"/>
    </w:pPr>
  </w:style>
  <w:style w:type="paragraph" w:styleId="ListNumber">
    <w:name w:val="List Number"/>
    <w:basedOn w:val="Normal"/>
    <w:uiPriority w:val="99"/>
    <w:locked/>
    <w:rsid w:val="0035741C"/>
    <w:pPr>
      <w:numPr>
        <w:numId w:val="78"/>
      </w:numPr>
      <w:spacing w:before="120" w:after="0" w:line="240" w:lineRule="auto"/>
      <w:ind w:left="357" w:hanging="357"/>
      <w:jc w:val="left"/>
    </w:pPr>
    <w:rPr>
      <w:rFonts w:ascii="Arial" w:eastAsiaTheme="minorHAnsi" w:hAnsi="Arial" w:cstheme="minorBidi"/>
      <w:color w:val="000000" w:themeColor="text1" w:themeShade="BF"/>
      <w:sz w:val="22"/>
      <w:szCs w:val="22"/>
    </w:rPr>
  </w:style>
  <w:style w:type="paragraph" w:styleId="ListBullet2">
    <w:name w:val="List Bullet 2"/>
    <w:basedOn w:val="Normal"/>
    <w:uiPriority w:val="99"/>
    <w:unhideWhenUsed/>
    <w:locked/>
    <w:rsid w:val="0035741C"/>
    <w:pPr>
      <w:numPr>
        <w:numId w:val="74"/>
      </w:numPr>
      <w:spacing w:before="120" w:after="0" w:line="240" w:lineRule="auto"/>
      <w:ind w:left="641" w:hanging="357"/>
      <w:jc w:val="left"/>
    </w:pPr>
    <w:rPr>
      <w:rFonts w:ascii="Arial" w:eastAsiaTheme="minorHAnsi" w:hAnsi="Arial" w:cstheme="minorBidi"/>
      <w:sz w:val="22"/>
      <w:szCs w:val="22"/>
    </w:rPr>
  </w:style>
  <w:style w:type="paragraph" w:customStyle="1" w:styleId="Numbered1111111">
    <w:name w:val="Numbered 1.1.1.1.1.1.1"/>
    <w:basedOn w:val="Heading7"/>
    <w:next w:val="Normal"/>
    <w:uiPriority w:val="2"/>
    <w:rsid w:val="0035741C"/>
    <w:pPr>
      <w:keepNext w:val="0"/>
      <w:keepLines w:val="0"/>
      <w:pageBreakBefore w:val="0"/>
      <w:numPr>
        <w:ilvl w:val="6"/>
        <w:numId w:val="85"/>
      </w:numPr>
      <w:spacing w:before="240" w:after="0" w:line="240" w:lineRule="auto"/>
      <w:ind w:left="2381" w:hanging="2381"/>
    </w:pPr>
    <w:rPr>
      <w:rFonts w:ascii="Arial" w:eastAsiaTheme="majorEastAsia" w:hAnsi="Arial" w:cstheme="majorBidi"/>
      <w:b w:val="0"/>
      <w:bCs w:val="0"/>
      <w:i/>
      <w:color w:val="404040" w:themeColor="text1" w:themeTint="BF"/>
      <w:sz w:val="22"/>
      <w:szCs w:val="22"/>
    </w:rPr>
  </w:style>
  <w:style w:type="paragraph" w:customStyle="1" w:styleId="Numbered11111111">
    <w:name w:val="Numbered 1.1.1.1.1.1.1.1"/>
    <w:basedOn w:val="Heading8"/>
    <w:next w:val="Normal"/>
    <w:uiPriority w:val="2"/>
    <w:rsid w:val="0035741C"/>
    <w:pPr>
      <w:keepNext w:val="0"/>
      <w:keepLines w:val="0"/>
      <w:numPr>
        <w:ilvl w:val="7"/>
        <w:numId w:val="85"/>
      </w:numPr>
      <w:spacing w:before="240" w:after="0" w:line="240" w:lineRule="auto"/>
      <w:ind w:left="2608" w:hanging="2608"/>
    </w:pPr>
    <w:rPr>
      <w:rFonts w:ascii="Arial" w:eastAsiaTheme="majorEastAsia" w:hAnsi="Arial" w:cstheme="majorBidi"/>
      <w:b w:val="0"/>
      <w:bCs w:val="0"/>
      <w:iCs w:val="0"/>
      <w:color w:val="4F81BD" w:themeColor="accent1"/>
      <w:sz w:val="22"/>
    </w:rPr>
  </w:style>
  <w:style w:type="table" w:styleId="LightShading">
    <w:name w:val="Light Shading"/>
    <w:basedOn w:val="TableNormal"/>
    <w:uiPriority w:val="60"/>
    <w:locked/>
    <w:rsid w:val="0035741C"/>
    <w:pPr>
      <w:spacing w:before="120" w:after="120"/>
    </w:pPr>
    <w:rPr>
      <w:rFonts w:asciiTheme="minorHAnsi" w:eastAsiaTheme="minorHAnsi" w:hAnsiTheme="minorHAnsi" w:cstheme="minorBidi"/>
      <w:szCs w:val="22"/>
      <w:lang w:eastAsia="en-US"/>
    </w:rPr>
    <w:tblPr>
      <w:tblInd w:w="0" w:type="dxa"/>
      <w:tblBorders>
        <w:top w:val="single" w:sz="4" w:space="0" w:color="EEECE1" w:themeColor="background2"/>
        <w:left w:val="single" w:sz="4" w:space="0" w:color="EEECE1" w:themeColor="background2"/>
        <w:bottom w:val="single" w:sz="4" w:space="0" w:color="EEECE1" w:themeColor="background2"/>
        <w:right w:val="single" w:sz="4" w:space="0" w:color="EEECE1" w:themeColor="background2"/>
        <w:insideH w:val="single" w:sz="4" w:space="0" w:color="EEECE1" w:themeColor="background2"/>
        <w:insideV w:val="single" w:sz="4" w:space="0" w:color="EEECE1" w:themeColor="background2"/>
      </w:tblBorders>
      <w:tblCellMar>
        <w:top w:w="0" w:type="dxa"/>
        <w:left w:w="108" w:type="dxa"/>
        <w:bottom w:w="0" w:type="dxa"/>
        <w:right w:w="108" w:type="dxa"/>
      </w:tblCellMar>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EEECE1" w:themeColor="background2"/>
          <w:left w:val="single" w:sz="4" w:space="0" w:color="EEECE1" w:themeColor="background2"/>
          <w:bottom w:val="single" w:sz="4" w:space="0" w:color="EEECE1" w:themeColor="background2"/>
          <w:right w:val="single" w:sz="4" w:space="0" w:color="EEECE1" w:themeColor="background2"/>
          <w:insideH w:val="single" w:sz="4" w:space="0" w:color="EEECE1" w:themeColor="background2"/>
          <w:insideV w:val="single" w:sz="4" w:space="0" w:color="EEECE1"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EEECE1" w:themeColor="background2"/>
          <w:left w:val="single" w:sz="4" w:space="0" w:color="EEECE1" w:themeColor="background2"/>
          <w:bottom w:val="single" w:sz="4" w:space="0" w:color="EEECE1" w:themeColor="background2"/>
          <w:right w:val="single" w:sz="4" w:space="0" w:color="EEECE1" w:themeColor="background2"/>
          <w:insideH w:val="single" w:sz="4" w:space="0" w:color="EEECE1" w:themeColor="background2"/>
          <w:insideV w:val="single" w:sz="4" w:space="0" w:color="EEECE1"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locked/>
    <w:rsid w:val="0035741C"/>
    <w:rPr>
      <w:rFonts w:asciiTheme="minorHAnsi" w:eastAsiaTheme="minorHAnsi" w:hAnsiTheme="minorHAnsi" w:cstheme="minorBidi"/>
      <w:color w:val="365F91" w:themeColor="accent1" w:themeShade="BF"/>
      <w:sz w:val="22"/>
      <w:szCs w:val="22"/>
      <w:lang w:eastAsia="en-US"/>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locked/>
    <w:rsid w:val="0035741C"/>
    <w:rPr>
      <w:rFonts w:ascii="Arial" w:eastAsiaTheme="minorHAnsi" w:hAnsi="Arial" w:cstheme="minorBidi"/>
      <w:color w:val="000000"/>
      <w:sz w:val="22"/>
      <w:szCs w:val="22"/>
      <w:lang w:eastAsia="en-US"/>
    </w:rPr>
    <w:tblPr>
      <w:tblInd w:w="0" w:type="dxa"/>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cPr>
      <w:vAlign w:val="center"/>
    </w:tcPr>
    <w:tblStylePr w:type="firstRow">
      <w:pPr>
        <w:spacing w:before="0" w:after="0" w:line="240" w:lineRule="auto"/>
      </w:pPr>
      <w:rPr>
        <w:b w:val="0"/>
        <w:bCs/>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l2br w:val="nil"/>
          <w:tr2bl w:val="nil"/>
        </w:tcBorders>
      </w:tcPr>
    </w:tblStylePr>
    <w:tblStylePr w:type="lastRow">
      <w:pPr>
        <w:spacing w:before="0" w:after="0" w:line="240" w:lineRule="auto"/>
      </w:pPr>
      <w:rPr>
        <w:b w:val="0"/>
        <w:bCs/>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locked/>
    <w:rsid w:val="0035741C"/>
    <w:rPr>
      <w:rFonts w:asciiTheme="minorHAnsi" w:eastAsiaTheme="minorHAnsi" w:hAnsiTheme="minorHAnsi" w:cstheme="minorBidi"/>
      <w:color w:val="76923C" w:themeColor="accent3" w:themeShade="BF"/>
      <w:sz w:val="22"/>
      <w:szCs w:val="22"/>
      <w:lang w:eastAsia="en-US"/>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Grid-Accent6">
    <w:name w:val="Light Grid Accent 6"/>
    <w:basedOn w:val="TableNormal"/>
    <w:uiPriority w:val="62"/>
    <w:locked/>
    <w:rsid w:val="0035741C"/>
    <w:rPr>
      <w:rFonts w:asciiTheme="minorHAnsi" w:eastAsiaTheme="minorHAnsi" w:hAnsiTheme="minorHAnsi" w:cstheme="minorBidi"/>
      <w:sz w:val="22"/>
      <w:szCs w:val="22"/>
      <w:lang w:eastAsia="en-US"/>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locked/>
    <w:rsid w:val="0035741C"/>
    <w:rPr>
      <w:rFonts w:asciiTheme="minorHAnsi" w:eastAsiaTheme="minorHAnsi" w:hAnsiTheme="minorHAnsi" w:cstheme="minorBidi"/>
      <w:sz w:val="22"/>
      <w:szCs w:val="22"/>
      <w:lang w:eastAsia="en-US"/>
    </w:r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locked/>
    <w:rsid w:val="0035741C"/>
    <w:rPr>
      <w:rFonts w:asciiTheme="minorHAnsi" w:eastAsiaTheme="minorHAnsi" w:hAnsiTheme="minorHAnsi" w:cstheme="minorBidi"/>
      <w:sz w:val="22"/>
      <w:szCs w:val="22"/>
      <w:lang w:eastAsia="en-US"/>
    </w:r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locked/>
    <w:rsid w:val="0035741C"/>
    <w:rPr>
      <w:rFonts w:asciiTheme="minorHAnsi" w:eastAsiaTheme="minorHAnsi" w:hAnsiTheme="minorHAnsi" w:cstheme="minorBidi"/>
      <w:sz w:val="22"/>
      <w:szCs w:val="22"/>
      <w:lang w:eastAsia="en-US"/>
    </w:r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locked/>
    <w:rsid w:val="0035741C"/>
    <w:rPr>
      <w:rFonts w:asciiTheme="minorHAnsi" w:eastAsiaTheme="minorHAnsi" w:hAnsiTheme="minorHAnsi" w:cstheme="minorBidi"/>
      <w:sz w:val="22"/>
      <w:szCs w:val="22"/>
      <w:lang w:eastAsia="en-US"/>
    </w:r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locked/>
    <w:rsid w:val="0035741C"/>
    <w:rPr>
      <w:rFonts w:asciiTheme="minorHAnsi" w:eastAsiaTheme="minorHAnsi" w:hAnsiTheme="minorHAnsi" w:cstheme="minorBidi"/>
      <w:sz w:val="22"/>
      <w:szCs w:val="22"/>
      <w:lang w:eastAsia="en-US"/>
    </w:r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locked/>
    <w:rsid w:val="0035741C"/>
    <w:rPr>
      <w:rFonts w:asciiTheme="minorHAnsi" w:eastAsiaTheme="minorHAnsi" w:hAnsiTheme="minorHAnsi" w:cstheme="minorBidi"/>
      <w:sz w:val="22"/>
      <w:szCs w:val="22"/>
      <w:lang w:eastAsia="en-US"/>
    </w:r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LightList">
    <w:name w:val="Light List"/>
    <w:basedOn w:val="TableNormal"/>
    <w:uiPriority w:val="61"/>
    <w:locked/>
    <w:rsid w:val="0035741C"/>
    <w:rPr>
      <w:rFonts w:asciiTheme="minorHAnsi" w:eastAsiaTheme="minorHAnsi" w:hAnsiTheme="minorHAnsi" w:cstheme="minorBidi"/>
      <w:sz w:val="22"/>
      <w:szCs w:val="22"/>
      <w:lang w:eastAsia="en-US"/>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Shading-Accent5">
    <w:name w:val="Light Shading Accent 5"/>
    <w:basedOn w:val="TableNormal"/>
    <w:uiPriority w:val="60"/>
    <w:locked/>
    <w:rsid w:val="0035741C"/>
    <w:rPr>
      <w:rFonts w:asciiTheme="minorHAnsi" w:eastAsiaTheme="minorHAnsi" w:hAnsiTheme="minorHAnsi" w:cstheme="minorBidi"/>
      <w:color w:val="31849B" w:themeColor="accent5" w:themeShade="BF"/>
      <w:sz w:val="22"/>
      <w:szCs w:val="22"/>
      <w:lang w:eastAsia="en-US"/>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Grid-Accent3">
    <w:name w:val="Light Grid Accent 3"/>
    <w:basedOn w:val="TableNormal"/>
    <w:uiPriority w:val="62"/>
    <w:locked/>
    <w:rsid w:val="0035741C"/>
    <w:rPr>
      <w:rFonts w:asciiTheme="minorHAnsi" w:eastAsiaTheme="minorHAnsi" w:hAnsiTheme="minorHAnsi" w:cstheme="minorBidi"/>
      <w:sz w:val="22"/>
      <w:szCs w:val="22"/>
      <w:lang w:eastAsia="en-US"/>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paragraph" w:styleId="Bibliography">
    <w:name w:val="Bibliography"/>
    <w:basedOn w:val="Normal"/>
    <w:next w:val="Normal"/>
    <w:uiPriority w:val="37"/>
    <w:semiHidden/>
    <w:rsid w:val="0035741C"/>
    <w:pPr>
      <w:spacing w:before="200" w:after="0" w:line="240" w:lineRule="auto"/>
      <w:jc w:val="left"/>
    </w:pPr>
    <w:rPr>
      <w:rFonts w:ascii="Arial" w:eastAsiaTheme="minorHAnsi" w:hAnsi="Arial" w:cstheme="minorBidi"/>
      <w:sz w:val="22"/>
      <w:szCs w:val="22"/>
    </w:rPr>
  </w:style>
  <w:style w:type="paragraph" w:styleId="BodyText3">
    <w:name w:val="Body Text 3"/>
    <w:basedOn w:val="Normal"/>
    <w:link w:val="BodyText3Char"/>
    <w:uiPriority w:val="99"/>
    <w:semiHidden/>
    <w:unhideWhenUsed/>
    <w:locked/>
    <w:rsid w:val="0035741C"/>
    <w:pPr>
      <w:spacing w:before="200" w:after="120" w:line="240" w:lineRule="auto"/>
      <w:jc w:val="left"/>
    </w:pPr>
    <w:rPr>
      <w:rFonts w:ascii="Arial" w:eastAsiaTheme="minorHAnsi" w:hAnsi="Arial" w:cstheme="minorBidi"/>
      <w:sz w:val="22"/>
      <w:szCs w:val="16"/>
    </w:rPr>
  </w:style>
  <w:style w:type="character" w:customStyle="1" w:styleId="BodyText3Char">
    <w:name w:val="Body Text 3 Char"/>
    <w:basedOn w:val="DefaultParagraphFont"/>
    <w:link w:val="BodyText3"/>
    <w:uiPriority w:val="99"/>
    <w:semiHidden/>
    <w:rsid w:val="0035741C"/>
    <w:rPr>
      <w:rFonts w:ascii="Arial" w:eastAsiaTheme="minorHAnsi" w:hAnsi="Arial" w:cstheme="minorBidi"/>
      <w:sz w:val="22"/>
      <w:szCs w:val="16"/>
      <w:lang w:eastAsia="en-US"/>
    </w:rPr>
  </w:style>
  <w:style w:type="paragraph" w:styleId="Title">
    <w:name w:val="Title"/>
    <w:basedOn w:val="Normal"/>
    <w:next w:val="Normal"/>
    <w:link w:val="TitleChar"/>
    <w:uiPriority w:val="10"/>
    <w:qFormat/>
    <w:rsid w:val="0035741C"/>
    <w:pPr>
      <w:spacing w:before="720" w:after="120" w:line="240" w:lineRule="auto"/>
      <w:contextualSpacing/>
      <w:jc w:val="left"/>
      <w:outlineLvl w:val="0"/>
    </w:pPr>
    <w:rPr>
      <w:rFonts w:asciiTheme="majorHAnsi" w:eastAsiaTheme="majorEastAsia" w:hAnsiTheme="majorHAnsi" w:cstheme="majorBidi"/>
      <w:color w:val="C0504D" w:themeColor="accent2"/>
      <w:spacing w:val="5"/>
      <w:kern w:val="28"/>
      <w:sz w:val="72"/>
      <w:szCs w:val="52"/>
    </w:rPr>
  </w:style>
  <w:style w:type="character" w:customStyle="1" w:styleId="TitleChar">
    <w:name w:val="Title Char"/>
    <w:basedOn w:val="DefaultParagraphFont"/>
    <w:link w:val="Title"/>
    <w:uiPriority w:val="10"/>
    <w:rsid w:val="0035741C"/>
    <w:rPr>
      <w:rFonts w:asciiTheme="majorHAnsi" w:eastAsiaTheme="majorEastAsia" w:hAnsiTheme="majorHAnsi" w:cstheme="majorBidi"/>
      <w:color w:val="C0504D" w:themeColor="accent2"/>
      <w:spacing w:val="5"/>
      <w:kern w:val="28"/>
      <w:sz w:val="72"/>
      <w:szCs w:val="52"/>
      <w:lang w:eastAsia="en-US"/>
    </w:rPr>
  </w:style>
  <w:style w:type="paragraph" w:customStyle="1" w:styleId="CoverDate">
    <w:name w:val="Cover Date"/>
    <w:qFormat/>
    <w:rsid w:val="0035741C"/>
    <w:pPr>
      <w:spacing w:before="200"/>
    </w:pPr>
    <w:rPr>
      <w:rFonts w:ascii="Lucida Fax" w:eastAsiaTheme="minorHAnsi" w:hAnsi="Lucida Fax" w:cstheme="minorBidi"/>
      <w:color w:val="DC5034"/>
      <w:sz w:val="22"/>
      <w:szCs w:val="24"/>
      <w:lang w:eastAsia="en-US"/>
    </w:rPr>
  </w:style>
  <w:style w:type="character" w:styleId="BookTitle">
    <w:name w:val="Book Title"/>
    <w:uiPriority w:val="33"/>
    <w:rsid w:val="0035741C"/>
    <w:rPr>
      <w:rFonts w:ascii="Arial" w:hAnsi="Arial"/>
      <w:bCs/>
      <w:i/>
      <w:caps w:val="0"/>
      <w:smallCaps w:val="0"/>
      <w:spacing w:val="0"/>
      <w:sz w:val="22"/>
    </w:rPr>
  </w:style>
  <w:style w:type="table" w:styleId="LightList-Accent1">
    <w:name w:val="Light List Accent 1"/>
    <w:basedOn w:val="TableNormal"/>
    <w:uiPriority w:val="61"/>
    <w:locked/>
    <w:rsid w:val="0035741C"/>
    <w:rPr>
      <w:rFonts w:asciiTheme="minorHAnsi" w:eastAsiaTheme="minorHAnsi" w:hAnsiTheme="minorHAnsi" w:cstheme="minorBidi"/>
      <w:sz w:val="22"/>
      <w:szCs w:val="22"/>
      <w:lang w:eastAsia="en-US"/>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3">
    <w:name w:val="Light List Accent 3"/>
    <w:basedOn w:val="TableNormal"/>
    <w:uiPriority w:val="61"/>
    <w:locked/>
    <w:rsid w:val="0035741C"/>
    <w:rPr>
      <w:rFonts w:asciiTheme="minorHAnsi" w:eastAsiaTheme="minorHAnsi" w:hAnsiTheme="minorHAnsi" w:cstheme="minorBidi"/>
      <w:sz w:val="22"/>
      <w:szCs w:val="22"/>
      <w:lang w:eastAsia="en-US"/>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5">
    <w:name w:val="Light List Accent 5"/>
    <w:basedOn w:val="TableNormal"/>
    <w:uiPriority w:val="61"/>
    <w:locked/>
    <w:rsid w:val="0035741C"/>
    <w:rPr>
      <w:rFonts w:asciiTheme="minorHAnsi" w:eastAsiaTheme="minorHAnsi" w:hAnsiTheme="minorHAnsi" w:cstheme="minorBidi"/>
      <w:sz w:val="22"/>
      <w:szCs w:val="22"/>
      <w:lang w:eastAsia="en-US"/>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auto"/>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character" w:styleId="Emphasis">
    <w:name w:val="Emphasis"/>
    <w:basedOn w:val="DefaultParagraphFont"/>
    <w:uiPriority w:val="20"/>
    <w:qFormat/>
    <w:rsid w:val="0035741C"/>
    <w:rPr>
      <w:i/>
      <w:iCs/>
    </w:rPr>
  </w:style>
  <w:style w:type="paragraph" w:styleId="NormalIndent">
    <w:name w:val="Normal Indent"/>
    <w:basedOn w:val="Normal"/>
    <w:uiPriority w:val="1"/>
    <w:locked/>
    <w:rsid w:val="0035741C"/>
    <w:pPr>
      <w:spacing w:before="200" w:after="0" w:line="240" w:lineRule="auto"/>
      <w:ind w:left="720"/>
      <w:jc w:val="left"/>
    </w:pPr>
    <w:rPr>
      <w:rFonts w:ascii="Arial" w:eastAsiaTheme="minorHAnsi" w:hAnsi="Arial" w:cstheme="minorBidi"/>
      <w:sz w:val="22"/>
      <w:szCs w:val="22"/>
    </w:rPr>
  </w:style>
  <w:style w:type="character" w:styleId="Strong">
    <w:name w:val="Strong"/>
    <w:basedOn w:val="DefaultParagraphFont"/>
    <w:uiPriority w:val="22"/>
    <w:qFormat/>
    <w:rsid w:val="0035741C"/>
    <w:rPr>
      <w:b/>
      <w:bCs/>
    </w:rPr>
  </w:style>
  <w:style w:type="paragraph" w:styleId="Subtitle">
    <w:name w:val="Subtitle"/>
    <w:next w:val="Normal"/>
    <w:link w:val="SubtitleChar"/>
    <w:uiPriority w:val="11"/>
    <w:qFormat/>
    <w:rsid w:val="0035741C"/>
    <w:pPr>
      <w:spacing w:before="360" w:after="120"/>
    </w:pPr>
    <w:rPr>
      <w:rFonts w:ascii="Lucida Fax" w:eastAsiaTheme="minorHAnsi" w:hAnsi="Lucida Fax" w:cstheme="minorBidi"/>
      <w:color w:val="4F2D7F"/>
      <w:sz w:val="52"/>
      <w:szCs w:val="52"/>
      <w:lang w:eastAsia="en-US"/>
    </w:rPr>
  </w:style>
  <w:style w:type="character" w:customStyle="1" w:styleId="SubtitleChar">
    <w:name w:val="Subtitle Char"/>
    <w:basedOn w:val="DefaultParagraphFont"/>
    <w:link w:val="Subtitle"/>
    <w:uiPriority w:val="11"/>
    <w:rsid w:val="0035741C"/>
    <w:rPr>
      <w:rFonts w:ascii="Lucida Fax" w:eastAsiaTheme="minorHAnsi" w:hAnsi="Lucida Fax" w:cstheme="minorBidi"/>
      <w:color w:val="4F2D7F"/>
      <w:sz w:val="52"/>
      <w:szCs w:val="52"/>
      <w:lang w:eastAsia="en-US"/>
    </w:rPr>
  </w:style>
  <w:style w:type="table" w:styleId="LightShading-Accent4">
    <w:name w:val="Light Shading Accent 4"/>
    <w:basedOn w:val="TableNormal"/>
    <w:uiPriority w:val="60"/>
    <w:locked/>
    <w:rsid w:val="0035741C"/>
    <w:rPr>
      <w:rFonts w:asciiTheme="minorHAnsi" w:eastAsiaTheme="minorHAnsi" w:hAnsiTheme="minorHAnsi" w:cstheme="minorBidi"/>
      <w:color w:val="5F497A" w:themeColor="accent4" w:themeShade="BF"/>
      <w:sz w:val="22"/>
      <w:szCs w:val="22"/>
      <w:lang w:eastAsia="en-US"/>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6">
    <w:name w:val="Light Shading Accent 6"/>
    <w:basedOn w:val="TableNormal"/>
    <w:uiPriority w:val="60"/>
    <w:locked/>
    <w:rsid w:val="0035741C"/>
    <w:rPr>
      <w:rFonts w:asciiTheme="minorHAnsi" w:eastAsiaTheme="minorHAnsi" w:hAnsiTheme="minorHAnsi" w:cstheme="minorBidi"/>
      <w:color w:val="E36C0A" w:themeColor="accent6" w:themeShade="BF"/>
      <w:sz w:val="22"/>
      <w:szCs w:val="22"/>
      <w:lang w:eastAsia="en-US"/>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paragraph" w:customStyle="1" w:styleId="Numberedlist">
    <w:name w:val="Numbered list"/>
    <w:basedOn w:val="ListNumber"/>
    <w:rsid w:val="0035741C"/>
    <w:pPr>
      <w:numPr>
        <w:numId w:val="71"/>
      </w:numPr>
      <w:ind w:left="357" w:hanging="357"/>
    </w:pPr>
  </w:style>
  <w:style w:type="table" w:customStyle="1" w:styleId="LightShading1">
    <w:name w:val="Light Shading1"/>
    <w:basedOn w:val="TableNormal"/>
    <w:next w:val="LightShading"/>
    <w:uiPriority w:val="60"/>
    <w:rsid w:val="0035741C"/>
    <w:pPr>
      <w:spacing w:before="120" w:after="120"/>
    </w:pPr>
    <w:rPr>
      <w:rFonts w:asciiTheme="minorHAnsi" w:eastAsiaTheme="minorHAnsi" w:hAnsiTheme="minorHAnsi" w:cstheme="minorBidi"/>
      <w:color w:val="000000" w:themeColor="text1" w:themeShade="BF"/>
      <w:szCs w:val="22"/>
      <w:lang w:eastAsia="en-US"/>
    </w:rPr>
    <w:tblPr>
      <w:tblInd w:w="0" w:type="dxa"/>
      <w:tblBorders>
        <w:top w:val="single" w:sz="4" w:space="0" w:color="EEECE1" w:themeColor="background2"/>
        <w:bottom w:val="single" w:sz="4" w:space="0" w:color="EEECE1" w:themeColor="background2"/>
        <w:insideH w:val="single" w:sz="4" w:space="0" w:color="EEECE1" w:themeColor="background2"/>
      </w:tblBorders>
      <w:tblCellMar>
        <w:top w:w="0" w:type="dxa"/>
        <w:left w:w="108" w:type="dxa"/>
        <w:bottom w:w="0" w:type="dxa"/>
        <w:right w:w="108" w:type="dxa"/>
      </w:tblCellMar>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00000" w:themeColor="text1"/>
          <w:left w:val="nil"/>
          <w:bottom w:val="single" w:sz="8" w:space="0" w:color="000000"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00000" w:themeColor="text1"/>
          <w:left w:val="nil"/>
          <w:bottom w:val="single" w:sz="8" w:space="0" w:color="000000"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locked/>
    <w:rsid w:val="0035741C"/>
    <w:rPr>
      <w:rFonts w:asciiTheme="minorHAnsi" w:eastAsiaTheme="minorHAnsi" w:hAnsiTheme="minorHAnsi" w:cstheme="minorBidi"/>
      <w:sz w:val="22"/>
      <w:szCs w:val="22"/>
      <w:lang w:eastAsia="en-US"/>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4">
    <w:name w:val="Light List Accent 4"/>
    <w:basedOn w:val="TableNormal"/>
    <w:uiPriority w:val="61"/>
    <w:locked/>
    <w:rsid w:val="0035741C"/>
    <w:rPr>
      <w:rFonts w:asciiTheme="minorHAnsi" w:eastAsiaTheme="minorHAnsi" w:hAnsiTheme="minorHAnsi" w:cstheme="minorBidi"/>
      <w:sz w:val="22"/>
      <w:szCs w:val="22"/>
      <w:lang w:eastAsia="en-US"/>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6">
    <w:name w:val="Light List Accent 6"/>
    <w:basedOn w:val="TableNormal"/>
    <w:uiPriority w:val="61"/>
    <w:locked/>
    <w:rsid w:val="0035741C"/>
    <w:rPr>
      <w:rFonts w:asciiTheme="minorHAnsi" w:eastAsiaTheme="minorHAnsi" w:hAnsiTheme="minorHAnsi" w:cstheme="minorBidi"/>
      <w:sz w:val="22"/>
      <w:szCs w:val="22"/>
      <w:lang w:eastAsia="en-US"/>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locked/>
    <w:rsid w:val="0035741C"/>
    <w:rPr>
      <w:rFonts w:asciiTheme="minorHAnsi" w:eastAsiaTheme="minorHAnsi" w:hAnsiTheme="minorHAnsi" w:cstheme="minorBidi"/>
      <w:sz w:val="22"/>
      <w:szCs w:val="22"/>
      <w:lang w:eastAsia="en-US"/>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locked/>
    <w:rsid w:val="0035741C"/>
    <w:rPr>
      <w:rFonts w:asciiTheme="minorHAnsi" w:eastAsiaTheme="minorHAnsi" w:hAnsiTheme="minorHAnsi" w:cstheme="minorBidi"/>
      <w:sz w:val="22"/>
      <w:szCs w:val="22"/>
      <w:lang w:eastAsia="en-US"/>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locked/>
    <w:rsid w:val="0035741C"/>
    <w:rPr>
      <w:rFonts w:asciiTheme="minorHAnsi" w:eastAsiaTheme="minorHAnsi" w:hAnsiTheme="minorHAnsi" w:cstheme="minorBidi"/>
      <w:sz w:val="22"/>
      <w:szCs w:val="22"/>
      <w:lang w:eastAsia="en-US"/>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4">
    <w:name w:val="Light Grid Accent 4"/>
    <w:basedOn w:val="TableNormal"/>
    <w:uiPriority w:val="62"/>
    <w:locked/>
    <w:rsid w:val="0035741C"/>
    <w:rPr>
      <w:rFonts w:asciiTheme="minorHAnsi" w:eastAsiaTheme="minorHAnsi" w:hAnsiTheme="minorHAnsi" w:cstheme="minorBidi"/>
      <w:sz w:val="22"/>
      <w:szCs w:val="22"/>
      <w:lang w:eastAsia="en-US"/>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locked/>
    <w:rsid w:val="0035741C"/>
    <w:rPr>
      <w:rFonts w:asciiTheme="minorHAnsi" w:eastAsiaTheme="minorHAnsi" w:hAnsiTheme="minorHAnsi" w:cstheme="minorBidi"/>
      <w:sz w:val="22"/>
      <w:szCs w:val="22"/>
      <w:lang w:eastAsia="en-US"/>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paragraph" w:customStyle="1" w:styleId="HeaderRight">
    <w:name w:val="Header Right"/>
    <w:basedOn w:val="Header"/>
    <w:uiPriority w:val="35"/>
    <w:qFormat/>
    <w:rsid w:val="0035741C"/>
    <w:pPr>
      <w:tabs>
        <w:tab w:val="clear" w:pos="4513"/>
        <w:tab w:val="clear" w:pos="9026"/>
        <w:tab w:val="center" w:pos="4320"/>
        <w:tab w:val="right" w:pos="8640"/>
      </w:tabs>
      <w:spacing w:after="200"/>
      <w:jc w:val="right"/>
    </w:pPr>
    <w:rPr>
      <w:rFonts w:asciiTheme="minorHAnsi" w:eastAsiaTheme="minorHAnsi" w:hAnsiTheme="minorHAnsi"/>
      <w:color w:val="4F81BD" w:themeColor="accent1"/>
      <w:sz w:val="18"/>
      <w:lang w:val="en-US" w:eastAsia="ja-JP"/>
    </w:rPr>
  </w:style>
  <w:style w:type="paragraph" w:customStyle="1" w:styleId="Numbered111111111">
    <w:name w:val="Numbered 1.1.1.1.1.1.1.1.1"/>
    <w:basedOn w:val="Heading9"/>
    <w:next w:val="Normal"/>
    <w:uiPriority w:val="2"/>
    <w:rsid w:val="0035741C"/>
    <w:pPr>
      <w:keepNext w:val="0"/>
      <w:keepLines w:val="0"/>
      <w:numPr>
        <w:ilvl w:val="8"/>
        <w:numId w:val="85"/>
      </w:numPr>
      <w:spacing w:before="240" w:after="0" w:line="240" w:lineRule="auto"/>
      <w:ind w:left="2948" w:hanging="2948"/>
    </w:pPr>
    <w:rPr>
      <w:rFonts w:ascii="Arial" w:eastAsiaTheme="majorEastAsia" w:hAnsi="Arial" w:cstheme="majorBidi"/>
      <w:b w:val="0"/>
      <w:bCs w:val="0"/>
      <w:i/>
      <w:iCs/>
      <w:color w:val="4F81BD" w:themeColor="accent1"/>
      <w:sz w:val="22"/>
    </w:rPr>
  </w:style>
  <w:style w:type="paragraph" w:styleId="List">
    <w:name w:val="List"/>
    <w:basedOn w:val="Normal"/>
    <w:uiPriority w:val="99"/>
    <w:unhideWhenUsed/>
    <w:locked/>
    <w:rsid w:val="0035741C"/>
    <w:pPr>
      <w:spacing w:before="120" w:after="0" w:line="240" w:lineRule="auto"/>
      <w:ind w:left="284" w:hanging="284"/>
      <w:jc w:val="left"/>
    </w:pPr>
    <w:rPr>
      <w:rFonts w:ascii="Arial" w:eastAsiaTheme="minorHAnsi" w:hAnsi="Arial" w:cstheme="minorBidi"/>
      <w:sz w:val="22"/>
      <w:szCs w:val="22"/>
    </w:rPr>
  </w:style>
  <w:style w:type="paragraph" w:styleId="List2">
    <w:name w:val="List 2"/>
    <w:basedOn w:val="Normal"/>
    <w:uiPriority w:val="99"/>
    <w:unhideWhenUsed/>
    <w:locked/>
    <w:rsid w:val="0035741C"/>
    <w:pPr>
      <w:spacing w:before="120" w:after="0" w:line="240" w:lineRule="auto"/>
      <w:ind w:left="568" w:hanging="284"/>
      <w:jc w:val="left"/>
    </w:pPr>
    <w:rPr>
      <w:rFonts w:ascii="Arial" w:eastAsiaTheme="minorHAnsi" w:hAnsi="Arial" w:cstheme="minorBidi"/>
      <w:sz w:val="22"/>
      <w:szCs w:val="22"/>
    </w:rPr>
  </w:style>
  <w:style w:type="paragraph" w:styleId="List3">
    <w:name w:val="List 3"/>
    <w:basedOn w:val="Normal"/>
    <w:uiPriority w:val="99"/>
    <w:unhideWhenUsed/>
    <w:locked/>
    <w:rsid w:val="0035741C"/>
    <w:pPr>
      <w:spacing w:before="120" w:after="0" w:line="240" w:lineRule="auto"/>
      <w:ind w:left="851" w:hanging="284"/>
      <w:jc w:val="left"/>
    </w:pPr>
    <w:rPr>
      <w:rFonts w:ascii="Arial" w:eastAsiaTheme="minorHAnsi" w:hAnsi="Arial" w:cstheme="minorBidi"/>
      <w:sz w:val="22"/>
      <w:szCs w:val="22"/>
    </w:rPr>
  </w:style>
  <w:style w:type="paragraph" w:styleId="List4">
    <w:name w:val="List 4"/>
    <w:basedOn w:val="Normal"/>
    <w:uiPriority w:val="99"/>
    <w:unhideWhenUsed/>
    <w:locked/>
    <w:rsid w:val="0035741C"/>
    <w:pPr>
      <w:spacing w:before="120" w:after="0" w:line="240" w:lineRule="auto"/>
      <w:ind w:left="1135" w:hanging="284"/>
      <w:jc w:val="left"/>
    </w:pPr>
    <w:rPr>
      <w:rFonts w:ascii="Arial" w:eastAsiaTheme="minorHAnsi" w:hAnsi="Arial" w:cstheme="minorBidi"/>
      <w:sz w:val="22"/>
      <w:szCs w:val="22"/>
    </w:rPr>
  </w:style>
  <w:style w:type="paragraph" w:styleId="List5">
    <w:name w:val="List 5"/>
    <w:basedOn w:val="Normal"/>
    <w:uiPriority w:val="99"/>
    <w:unhideWhenUsed/>
    <w:locked/>
    <w:rsid w:val="0035741C"/>
    <w:pPr>
      <w:spacing w:before="120" w:after="0" w:line="240" w:lineRule="auto"/>
      <w:ind w:left="1418" w:hanging="284"/>
      <w:jc w:val="left"/>
    </w:pPr>
    <w:rPr>
      <w:rFonts w:ascii="Arial" w:eastAsiaTheme="minorHAnsi" w:hAnsi="Arial" w:cstheme="minorBidi"/>
      <w:sz w:val="22"/>
      <w:szCs w:val="22"/>
    </w:rPr>
  </w:style>
  <w:style w:type="paragraph" w:styleId="ListBullet3">
    <w:name w:val="List Bullet 3"/>
    <w:basedOn w:val="Normal"/>
    <w:uiPriority w:val="99"/>
    <w:unhideWhenUsed/>
    <w:locked/>
    <w:rsid w:val="0035741C"/>
    <w:pPr>
      <w:numPr>
        <w:numId w:val="75"/>
      </w:numPr>
      <w:spacing w:before="120" w:after="0" w:line="240" w:lineRule="auto"/>
      <w:ind w:left="924" w:hanging="357"/>
      <w:jc w:val="left"/>
    </w:pPr>
    <w:rPr>
      <w:rFonts w:ascii="Arial" w:eastAsiaTheme="minorHAnsi" w:hAnsi="Arial" w:cstheme="minorBidi"/>
      <w:sz w:val="22"/>
      <w:szCs w:val="22"/>
    </w:rPr>
  </w:style>
  <w:style w:type="paragraph" w:styleId="ListBullet4">
    <w:name w:val="List Bullet 4"/>
    <w:basedOn w:val="Normal"/>
    <w:uiPriority w:val="99"/>
    <w:unhideWhenUsed/>
    <w:locked/>
    <w:rsid w:val="0035741C"/>
    <w:pPr>
      <w:numPr>
        <w:numId w:val="76"/>
      </w:numPr>
      <w:spacing w:before="120" w:after="0" w:line="240" w:lineRule="auto"/>
      <w:ind w:left="1208" w:hanging="357"/>
      <w:jc w:val="left"/>
    </w:pPr>
    <w:rPr>
      <w:rFonts w:ascii="Arial" w:eastAsiaTheme="minorHAnsi" w:hAnsi="Arial" w:cstheme="minorBidi"/>
      <w:sz w:val="22"/>
      <w:szCs w:val="22"/>
    </w:rPr>
  </w:style>
  <w:style w:type="paragraph" w:styleId="ListBullet5">
    <w:name w:val="List Bullet 5"/>
    <w:basedOn w:val="Normal"/>
    <w:uiPriority w:val="99"/>
    <w:unhideWhenUsed/>
    <w:locked/>
    <w:rsid w:val="0035741C"/>
    <w:pPr>
      <w:numPr>
        <w:numId w:val="77"/>
      </w:numPr>
      <w:spacing w:before="120" w:after="0" w:line="240" w:lineRule="auto"/>
      <w:ind w:left="1491" w:hanging="357"/>
      <w:jc w:val="left"/>
    </w:pPr>
    <w:rPr>
      <w:rFonts w:ascii="Arial" w:eastAsiaTheme="minorHAnsi" w:hAnsi="Arial" w:cstheme="minorBidi"/>
      <w:sz w:val="22"/>
      <w:szCs w:val="22"/>
    </w:rPr>
  </w:style>
  <w:style w:type="paragraph" w:styleId="ListContinue">
    <w:name w:val="List Continue"/>
    <w:basedOn w:val="Normal"/>
    <w:uiPriority w:val="99"/>
    <w:unhideWhenUsed/>
    <w:locked/>
    <w:rsid w:val="0035741C"/>
    <w:pPr>
      <w:spacing w:before="120" w:after="0" w:line="240" w:lineRule="auto"/>
      <w:ind w:left="284"/>
      <w:jc w:val="left"/>
    </w:pPr>
    <w:rPr>
      <w:rFonts w:ascii="Arial" w:eastAsiaTheme="minorHAnsi" w:hAnsi="Arial" w:cstheme="minorBidi"/>
      <w:sz w:val="22"/>
      <w:szCs w:val="22"/>
    </w:rPr>
  </w:style>
  <w:style w:type="paragraph" w:styleId="ListContinue2">
    <w:name w:val="List Continue 2"/>
    <w:basedOn w:val="Normal"/>
    <w:uiPriority w:val="99"/>
    <w:unhideWhenUsed/>
    <w:locked/>
    <w:rsid w:val="0035741C"/>
    <w:pPr>
      <w:spacing w:before="120" w:after="0" w:line="240" w:lineRule="auto"/>
      <w:ind w:left="567"/>
      <w:jc w:val="left"/>
    </w:pPr>
    <w:rPr>
      <w:rFonts w:ascii="Arial" w:eastAsiaTheme="minorHAnsi" w:hAnsi="Arial" w:cstheme="minorBidi"/>
      <w:sz w:val="22"/>
      <w:szCs w:val="22"/>
    </w:rPr>
  </w:style>
  <w:style w:type="paragraph" w:styleId="ListContinue3">
    <w:name w:val="List Continue 3"/>
    <w:basedOn w:val="Normal"/>
    <w:uiPriority w:val="99"/>
    <w:unhideWhenUsed/>
    <w:locked/>
    <w:rsid w:val="0035741C"/>
    <w:pPr>
      <w:spacing w:before="120" w:after="0" w:line="240" w:lineRule="auto"/>
      <w:ind w:left="851"/>
      <w:jc w:val="left"/>
    </w:pPr>
    <w:rPr>
      <w:rFonts w:ascii="Arial" w:eastAsiaTheme="minorHAnsi" w:hAnsi="Arial" w:cstheme="minorBidi"/>
      <w:sz w:val="22"/>
      <w:szCs w:val="22"/>
    </w:rPr>
  </w:style>
  <w:style w:type="paragraph" w:styleId="ListContinue4">
    <w:name w:val="List Continue 4"/>
    <w:basedOn w:val="Normal"/>
    <w:uiPriority w:val="99"/>
    <w:unhideWhenUsed/>
    <w:locked/>
    <w:rsid w:val="0035741C"/>
    <w:pPr>
      <w:spacing w:before="120" w:after="0" w:line="240" w:lineRule="auto"/>
      <w:ind w:left="1134"/>
      <w:jc w:val="left"/>
    </w:pPr>
    <w:rPr>
      <w:rFonts w:ascii="Arial" w:eastAsiaTheme="minorHAnsi" w:hAnsi="Arial" w:cstheme="minorBidi"/>
      <w:sz w:val="22"/>
      <w:szCs w:val="22"/>
    </w:rPr>
  </w:style>
  <w:style w:type="paragraph" w:styleId="ListNumber3">
    <w:name w:val="List Number 3"/>
    <w:basedOn w:val="Normal"/>
    <w:uiPriority w:val="99"/>
    <w:unhideWhenUsed/>
    <w:locked/>
    <w:rsid w:val="0035741C"/>
    <w:pPr>
      <w:numPr>
        <w:numId w:val="80"/>
      </w:numPr>
      <w:spacing w:before="120" w:after="0" w:line="240" w:lineRule="auto"/>
      <w:ind w:left="924" w:hanging="357"/>
      <w:jc w:val="left"/>
    </w:pPr>
    <w:rPr>
      <w:rFonts w:ascii="Arial" w:eastAsiaTheme="minorHAnsi" w:hAnsi="Arial" w:cstheme="minorBidi"/>
      <w:sz w:val="22"/>
      <w:szCs w:val="22"/>
    </w:rPr>
  </w:style>
  <w:style w:type="paragraph" w:styleId="ListNumber4">
    <w:name w:val="List Number 4"/>
    <w:basedOn w:val="Normal"/>
    <w:uiPriority w:val="99"/>
    <w:unhideWhenUsed/>
    <w:locked/>
    <w:rsid w:val="0035741C"/>
    <w:pPr>
      <w:numPr>
        <w:numId w:val="81"/>
      </w:numPr>
      <w:spacing w:before="120" w:after="0" w:line="240" w:lineRule="auto"/>
      <w:ind w:left="1208" w:hanging="357"/>
      <w:jc w:val="left"/>
    </w:pPr>
    <w:rPr>
      <w:rFonts w:ascii="Arial" w:eastAsiaTheme="minorHAnsi" w:hAnsi="Arial" w:cstheme="minorBidi"/>
      <w:sz w:val="22"/>
      <w:szCs w:val="22"/>
    </w:rPr>
  </w:style>
  <w:style w:type="paragraph" w:styleId="ListNumber5">
    <w:name w:val="List Number 5"/>
    <w:basedOn w:val="Normal"/>
    <w:uiPriority w:val="99"/>
    <w:unhideWhenUsed/>
    <w:locked/>
    <w:rsid w:val="0035741C"/>
    <w:pPr>
      <w:numPr>
        <w:numId w:val="82"/>
      </w:numPr>
      <w:spacing w:before="120" w:after="0" w:line="240" w:lineRule="auto"/>
      <w:ind w:left="1491" w:hanging="357"/>
      <w:jc w:val="left"/>
    </w:pPr>
    <w:rPr>
      <w:rFonts w:ascii="Arial" w:eastAsiaTheme="minorHAnsi" w:hAnsi="Arial" w:cstheme="minorBidi"/>
      <w:sz w:val="22"/>
      <w:szCs w:val="22"/>
    </w:rPr>
  </w:style>
  <w:style w:type="paragraph" w:customStyle="1" w:styleId="TableHeading">
    <w:name w:val="Table Heading"/>
    <w:basedOn w:val="Tabletext"/>
    <w:link w:val="TableHeadingChar"/>
    <w:qFormat/>
    <w:rsid w:val="0035741C"/>
    <w:pPr>
      <w:spacing w:before="60"/>
    </w:pPr>
    <w:rPr>
      <w:b/>
      <w:sz w:val="22"/>
    </w:rPr>
  </w:style>
  <w:style w:type="paragraph" w:customStyle="1" w:styleId="Tabletext-right">
    <w:name w:val="Table text - right"/>
    <w:basedOn w:val="Tabletext"/>
    <w:link w:val="Tabletext-rightChar"/>
    <w:rsid w:val="0035741C"/>
    <w:pPr>
      <w:jc w:val="right"/>
    </w:pPr>
    <w:rPr>
      <w:rFonts w:eastAsia="Times New Roman"/>
    </w:rPr>
  </w:style>
  <w:style w:type="paragraph" w:customStyle="1" w:styleId="Tabletext-centred">
    <w:name w:val="Table text - centred"/>
    <w:basedOn w:val="Tabletext-right"/>
    <w:link w:val="Tabletext-centredChar"/>
    <w:rsid w:val="0035741C"/>
    <w:pPr>
      <w:jc w:val="center"/>
    </w:pPr>
  </w:style>
  <w:style w:type="paragraph" w:customStyle="1" w:styleId="TableHeading-right">
    <w:name w:val="Table Heading - right"/>
    <w:basedOn w:val="TableHeading"/>
    <w:link w:val="TableHeading-rightChar"/>
    <w:rsid w:val="0035741C"/>
    <w:pPr>
      <w:jc w:val="right"/>
    </w:pPr>
    <w:rPr>
      <w:rFonts w:eastAsia="Times New Roman"/>
      <w:bCs/>
    </w:rPr>
  </w:style>
  <w:style w:type="character" w:customStyle="1" w:styleId="Tabletext-rightChar">
    <w:name w:val="Table text - right Char"/>
    <w:basedOn w:val="TabletextChar"/>
    <w:link w:val="Tabletext-right"/>
    <w:rsid w:val="0035741C"/>
    <w:rPr>
      <w:rFonts w:ascii="Arial" w:eastAsia="Times New Roman" w:hAnsi="Arial" w:cstheme="minorBidi"/>
      <w:szCs w:val="22"/>
      <w:lang w:eastAsia="en-US"/>
    </w:rPr>
  </w:style>
  <w:style w:type="character" w:customStyle="1" w:styleId="TabletextChar">
    <w:name w:val="Table text Char"/>
    <w:basedOn w:val="DefaultParagraphFont"/>
    <w:link w:val="Tabletext"/>
    <w:uiPriority w:val="1"/>
    <w:rsid w:val="0035741C"/>
    <w:rPr>
      <w:rFonts w:ascii="Arial" w:eastAsiaTheme="minorHAnsi" w:hAnsi="Arial" w:cstheme="minorBidi"/>
      <w:szCs w:val="22"/>
      <w:lang w:eastAsia="en-US"/>
    </w:rPr>
  </w:style>
  <w:style w:type="character" w:customStyle="1" w:styleId="TableHeadingChar">
    <w:name w:val="Table Heading Char"/>
    <w:basedOn w:val="TabletextChar"/>
    <w:link w:val="TableHeading"/>
    <w:rsid w:val="0035741C"/>
    <w:rPr>
      <w:rFonts w:ascii="Arial" w:eastAsiaTheme="minorHAnsi" w:hAnsi="Arial" w:cstheme="minorBidi"/>
      <w:b/>
      <w:sz w:val="22"/>
      <w:szCs w:val="22"/>
      <w:lang w:eastAsia="en-US"/>
    </w:rPr>
  </w:style>
  <w:style w:type="character" w:customStyle="1" w:styleId="TableHeading-rightChar">
    <w:name w:val="Table Heading - right Char"/>
    <w:basedOn w:val="TableHeadingChar"/>
    <w:link w:val="TableHeading-right"/>
    <w:rsid w:val="0035741C"/>
    <w:rPr>
      <w:rFonts w:ascii="Arial" w:eastAsia="Times New Roman" w:hAnsi="Arial" w:cstheme="minorBidi"/>
      <w:b/>
      <w:bCs/>
      <w:sz w:val="22"/>
      <w:szCs w:val="22"/>
      <w:lang w:eastAsia="en-US"/>
    </w:rPr>
  </w:style>
  <w:style w:type="character" w:customStyle="1" w:styleId="Tabletext-centredChar">
    <w:name w:val="Table text - centred Char"/>
    <w:basedOn w:val="Tabletext-rightChar"/>
    <w:link w:val="Tabletext-centred"/>
    <w:rsid w:val="0035741C"/>
    <w:rPr>
      <w:rFonts w:ascii="Arial" w:eastAsia="Times New Roman" w:hAnsi="Arial" w:cstheme="minorBidi"/>
      <w:szCs w:val="22"/>
      <w:lang w:eastAsia="en-US"/>
    </w:rPr>
  </w:style>
  <w:style w:type="paragraph" w:customStyle="1" w:styleId="TableHeading-centred">
    <w:name w:val="Table Heading - centred"/>
    <w:basedOn w:val="TableHeading"/>
    <w:rsid w:val="0035741C"/>
    <w:pPr>
      <w:jc w:val="center"/>
    </w:pPr>
    <w:rPr>
      <w:rFonts w:eastAsia="Times New Roman" w:cs="Times New Roman"/>
      <w:bCs/>
      <w:szCs w:val="20"/>
    </w:rPr>
  </w:style>
  <w:style w:type="paragraph" w:styleId="TableofFigures">
    <w:name w:val="table of figures"/>
    <w:basedOn w:val="Normal"/>
    <w:next w:val="Normal"/>
    <w:uiPriority w:val="99"/>
    <w:unhideWhenUsed/>
    <w:rsid w:val="0035741C"/>
    <w:pPr>
      <w:spacing w:before="240" w:after="120" w:line="240" w:lineRule="auto"/>
      <w:jc w:val="left"/>
    </w:pPr>
    <w:rPr>
      <w:rFonts w:ascii="Arial" w:eastAsiaTheme="minorHAnsi" w:hAnsi="Arial" w:cstheme="minorBidi"/>
      <w:sz w:val="22"/>
      <w:szCs w:val="22"/>
    </w:rPr>
  </w:style>
  <w:style w:type="table" w:customStyle="1" w:styleId="ACCCTable3">
    <w:name w:val="ACCC Table 3"/>
    <w:basedOn w:val="TableNormal"/>
    <w:uiPriority w:val="99"/>
    <w:rsid w:val="0035741C"/>
    <w:rPr>
      <w:rFonts w:asciiTheme="minorHAnsi" w:eastAsiaTheme="minorHAnsi" w:hAnsiTheme="minorHAnsi" w:cstheme="minorBidi"/>
      <w:szCs w:val="22"/>
      <w:lang w:eastAsia="en-US"/>
    </w:rPr>
    <w:tblPr>
      <w:tblInd w:w="0" w:type="dxa"/>
      <w:tblBorders>
        <w:insideV w:val="single" w:sz="4" w:space="0" w:color="EEECE1" w:themeColor="background2"/>
      </w:tblBorders>
      <w:tblCellMar>
        <w:top w:w="0" w:type="dxa"/>
        <w:left w:w="108" w:type="dxa"/>
        <w:bottom w:w="0" w:type="dxa"/>
        <w:right w:w="108" w:type="dxa"/>
      </w:tblCellMar>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35741C"/>
    <w:rPr>
      <w:vertAlign w:val="superscript"/>
    </w:rPr>
  </w:style>
  <w:style w:type="paragraph" w:customStyle="1" w:styleId="Numberedparagraph11">
    <w:name w:val="Numbered paragraph 1.1"/>
    <w:basedOn w:val="Numbered11"/>
    <w:rsid w:val="0035741C"/>
    <w:pPr>
      <w:ind w:left="680" w:hanging="680"/>
      <w:outlineLvl w:val="9"/>
    </w:pPr>
    <w:rPr>
      <w:bCs w:val="0"/>
      <w:color w:val="auto"/>
      <w:sz w:val="22"/>
    </w:rPr>
  </w:style>
  <w:style w:type="character" w:customStyle="1" w:styleId="Numbered1Char">
    <w:name w:val="Numbered 1 Char"/>
    <w:basedOn w:val="Heading1Char"/>
    <w:link w:val="Numbered1"/>
    <w:rsid w:val="0035741C"/>
    <w:rPr>
      <w:rFonts w:ascii="Lucida Fax" w:eastAsiaTheme="majorEastAsia" w:hAnsi="Lucida Fax" w:cstheme="majorBidi"/>
      <w:b w:val="0"/>
      <w:bCs/>
      <w:color w:val="51626F"/>
      <w:sz w:val="32"/>
      <w:szCs w:val="28"/>
      <w:lang w:eastAsia="en-US"/>
    </w:rPr>
  </w:style>
  <w:style w:type="paragraph" w:customStyle="1" w:styleId="Numberedparagraph">
    <w:name w:val="Numbered paragraph"/>
    <w:basedOn w:val="Numberedlist"/>
    <w:rsid w:val="0035741C"/>
    <w:pPr>
      <w:spacing w:before="200"/>
      <w:ind w:left="680" w:hanging="680"/>
    </w:pPr>
    <w:rPr>
      <w:rFonts w:eastAsia="Times New Roman" w:cs="Times New Roman"/>
      <w:szCs w:val="20"/>
    </w:rPr>
  </w:style>
  <w:style w:type="numbering" w:customStyle="1" w:styleId="NoList1">
    <w:name w:val="No List1"/>
    <w:next w:val="NoList"/>
    <w:uiPriority w:val="99"/>
    <w:semiHidden/>
    <w:unhideWhenUsed/>
    <w:rsid w:val="0035741C"/>
  </w:style>
  <w:style w:type="table" w:customStyle="1" w:styleId="TableGrid10">
    <w:name w:val="Table Grid1"/>
    <w:basedOn w:val="TableNormal"/>
    <w:next w:val="TableGrid"/>
    <w:rsid w:val="0035741C"/>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MJATableRow">
    <w:name w:val="MJA Table Row"/>
    <w:basedOn w:val="Normal"/>
    <w:qFormat/>
    <w:rsid w:val="0035741C"/>
    <w:pPr>
      <w:spacing w:before="60" w:after="60" w:line="240" w:lineRule="auto"/>
      <w:jc w:val="left"/>
    </w:pPr>
    <w:rPr>
      <w:rFonts w:ascii="Calibri" w:eastAsiaTheme="minorHAnsi" w:hAnsi="Calibri" w:cstheme="minorBidi"/>
    </w:rPr>
  </w:style>
  <w:style w:type="paragraph" w:customStyle="1" w:styleId="MJATableColumnHeading">
    <w:name w:val="MJA Table Column Heading"/>
    <w:basedOn w:val="Normal"/>
    <w:qFormat/>
    <w:rsid w:val="0035741C"/>
    <w:pPr>
      <w:shd w:val="clear" w:color="auto" w:fill="0093D0"/>
      <w:spacing w:before="60" w:after="60" w:line="240" w:lineRule="auto"/>
      <w:jc w:val="center"/>
    </w:pPr>
    <w:rPr>
      <w:rFonts w:ascii="Calibri" w:eastAsiaTheme="minorHAnsi" w:hAnsi="Calibri" w:cstheme="minorBidi"/>
      <w:b/>
      <w:color w:val="FFFFFF"/>
    </w:rPr>
  </w:style>
  <w:style w:type="character" w:customStyle="1" w:styleId="CaptionChar">
    <w:name w:val="Caption Char"/>
    <w:basedOn w:val="DefaultParagraphFont"/>
    <w:link w:val="Caption"/>
    <w:rsid w:val="0035741C"/>
    <w:rPr>
      <w:rFonts w:eastAsia="Times New Roman"/>
      <w:b/>
      <w:bCs/>
      <w:szCs w:val="18"/>
      <w:lang w:eastAsia="en-US"/>
    </w:rPr>
  </w:style>
  <w:style w:type="table" w:customStyle="1" w:styleId="LightShading2">
    <w:name w:val="Light Shading2"/>
    <w:basedOn w:val="TableNormal"/>
    <w:next w:val="LightShading"/>
    <w:uiPriority w:val="60"/>
    <w:locked/>
    <w:rsid w:val="0035741C"/>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Accent11">
    <w:name w:val="Light Shading - Accent 11"/>
    <w:basedOn w:val="TableNormal"/>
    <w:next w:val="LightShading-Accent1"/>
    <w:uiPriority w:val="60"/>
    <w:locked/>
    <w:rsid w:val="0035741C"/>
    <w:rPr>
      <w:color w:val="365F91"/>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numbering" w:customStyle="1" w:styleId="AERnumberedlist1">
    <w:name w:val="AER numbered list1"/>
    <w:uiPriority w:val="99"/>
    <w:rsid w:val="0035741C"/>
  </w:style>
  <w:style w:type="paragraph" w:customStyle="1" w:styleId="Default">
    <w:name w:val="Default"/>
    <w:rsid w:val="0035741C"/>
    <w:pPr>
      <w:autoSpaceDE w:val="0"/>
      <w:autoSpaceDN w:val="0"/>
      <w:adjustRightInd w:val="0"/>
    </w:pPr>
    <w:rPr>
      <w:rFonts w:ascii="Arial" w:eastAsiaTheme="minorHAnsi" w:hAnsi="Arial" w:cs="Arial"/>
      <w:color w:val="000000"/>
      <w:sz w:val="24"/>
      <w:szCs w:val="24"/>
      <w:lang w:eastAsia="en-US"/>
    </w:rPr>
  </w:style>
  <w:style w:type="character" w:customStyle="1" w:styleId="FollowedHyperlink1">
    <w:name w:val="FollowedHyperlink1"/>
    <w:basedOn w:val="DefaultParagraphFont"/>
    <w:uiPriority w:val="99"/>
    <w:semiHidden/>
    <w:unhideWhenUsed/>
    <w:rsid w:val="0035741C"/>
    <w:rPr>
      <w:color w:val="800080"/>
      <w:u w:val="single"/>
    </w:rPr>
  </w:style>
  <w:style w:type="paragraph" w:customStyle="1" w:styleId="xl65">
    <w:name w:val="xl65"/>
    <w:basedOn w:val="Normal"/>
    <w:rsid w:val="0035741C"/>
    <w:pPr>
      <w:spacing w:before="100" w:beforeAutospacing="1" w:after="100" w:afterAutospacing="1" w:line="240" w:lineRule="auto"/>
      <w:jc w:val="left"/>
    </w:pPr>
    <w:rPr>
      <w:rFonts w:ascii="Times New Roman" w:eastAsia="Times New Roman" w:hAnsi="Times New Roman"/>
      <w:sz w:val="24"/>
      <w:szCs w:val="24"/>
      <w:lang w:eastAsia="en-AU"/>
    </w:rPr>
  </w:style>
  <w:style w:type="paragraph" w:customStyle="1" w:styleId="xl66">
    <w:name w:val="xl66"/>
    <w:basedOn w:val="Normal"/>
    <w:rsid w:val="0035741C"/>
    <w:pPr>
      <w:spacing w:before="100" w:beforeAutospacing="1" w:after="100" w:afterAutospacing="1" w:line="240" w:lineRule="auto"/>
      <w:jc w:val="left"/>
    </w:pPr>
    <w:rPr>
      <w:rFonts w:ascii="Times New Roman" w:eastAsia="Times New Roman" w:hAnsi="Times New Roman"/>
      <w:sz w:val="24"/>
      <w:szCs w:val="24"/>
      <w:lang w:eastAsia="en-AU"/>
    </w:rPr>
  </w:style>
  <w:style w:type="paragraph" w:customStyle="1" w:styleId="xl67">
    <w:name w:val="xl67"/>
    <w:basedOn w:val="Normal"/>
    <w:rsid w:val="0035741C"/>
    <w:pPr>
      <w:spacing w:before="100" w:beforeAutospacing="1" w:after="100" w:afterAutospacing="1" w:line="240" w:lineRule="auto"/>
      <w:jc w:val="left"/>
    </w:pPr>
    <w:rPr>
      <w:rFonts w:ascii="Times New Roman" w:eastAsia="Times New Roman" w:hAnsi="Times New Roman"/>
      <w:sz w:val="24"/>
      <w:szCs w:val="24"/>
      <w:lang w:eastAsia="en-AU"/>
    </w:rPr>
  </w:style>
  <w:style w:type="paragraph" w:customStyle="1" w:styleId="xl68">
    <w:name w:val="xl68"/>
    <w:basedOn w:val="Normal"/>
    <w:rsid w:val="0035741C"/>
    <w:pPr>
      <w:spacing w:before="100" w:beforeAutospacing="1" w:after="100" w:afterAutospacing="1" w:line="240" w:lineRule="auto"/>
      <w:jc w:val="left"/>
    </w:pPr>
    <w:rPr>
      <w:rFonts w:ascii="Times New Roman" w:eastAsia="Times New Roman" w:hAnsi="Times New Roman"/>
      <w:sz w:val="24"/>
      <w:szCs w:val="24"/>
      <w:lang w:eastAsia="en-AU"/>
    </w:rPr>
  </w:style>
  <w:style w:type="paragraph" w:customStyle="1" w:styleId="xl69">
    <w:name w:val="xl69"/>
    <w:basedOn w:val="Normal"/>
    <w:rsid w:val="0035741C"/>
    <w:pPr>
      <w:pBdr>
        <w:top w:val="single" w:sz="4" w:space="0" w:color="FFFFFF"/>
        <w:bottom w:val="single" w:sz="4" w:space="0" w:color="FFFFFF"/>
        <w:right w:val="single" w:sz="4" w:space="0" w:color="FFFFFF"/>
      </w:pBdr>
      <w:spacing w:before="100" w:beforeAutospacing="1" w:after="100" w:afterAutospacing="1" w:line="240" w:lineRule="auto"/>
      <w:jc w:val="left"/>
    </w:pPr>
    <w:rPr>
      <w:rFonts w:ascii="Times New Roman" w:eastAsia="Times New Roman" w:hAnsi="Times New Roman"/>
      <w:sz w:val="24"/>
      <w:szCs w:val="24"/>
      <w:lang w:eastAsia="en-AU"/>
    </w:rPr>
  </w:style>
  <w:style w:type="paragraph" w:customStyle="1" w:styleId="xl70">
    <w:name w:val="xl70"/>
    <w:basedOn w:val="Normal"/>
    <w:rsid w:val="0035741C"/>
    <w:pPr>
      <w:pBdr>
        <w:top w:val="single" w:sz="4" w:space="0" w:color="FFFFFF"/>
        <w:bottom w:val="single" w:sz="4" w:space="0" w:color="FFFFFF"/>
        <w:right w:val="single" w:sz="4" w:space="0" w:color="FFFFFF"/>
      </w:pBdr>
      <w:spacing w:before="100" w:beforeAutospacing="1" w:after="100" w:afterAutospacing="1" w:line="240" w:lineRule="auto"/>
      <w:jc w:val="left"/>
    </w:pPr>
    <w:rPr>
      <w:rFonts w:ascii="Times New Roman" w:eastAsia="Times New Roman" w:hAnsi="Times New Roman"/>
      <w:sz w:val="24"/>
      <w:szCs w:val="24"/>
      <w:lang w:eastAsia="en-AU"/>
    </w:rPr>
  </w:style>
  <w:style w:type="paragraph" w:customStyle="1" w:styleId="xl71">
    <w:name w:val="xl71"/>
    <w:basedOn w:val="Normal"/>
    <w:rsid w:val="0035741C"/>
    <w:pPr>
      <w:spacing w:before="100" w:beforeAutospacing="1" w:after="100" w:afterAutospacing="1" w:line="240" w:lineRule="auto"/>
      <w:jc w:val="left"/>
    </w:pPr>
    <w:rPr>
      <w:rFonts w:ascii="Times New Roman" w:eastAsia="Times New Roman" w:hAnsi="Times New Roman"/>
      <w:sz w:val="24"/>
      <w:szCs w:val="24"/>
      <w:lang w:eastAsia="en-AU"/>
    </w:rPr>
  </w:style>
  <w:style w:type="paragraph" w:customStyle="1" w:styleId="xl72">
    <w:name w:val="xl72"/>
    <w:basedOn w:val="Normal"/>
    <w:rsid w:val="0035741C"/>
    <w:pPr>
      <w:spacing w:before="100" w:beforeAutospacing="1" w:after="100" w:afterAutospacing="1" w:line="240" w:lineRule="auto"/>
      <w:jc w:val="left"/>
    </w:pPr>
    <w:rPr>
      <w:rFonts w:ascii="Times New Roman" w:eastAsia="Times New Roman" w:hAnsi="Times New Roman"/>
      <w:b/>
      <w:bCs/>
      <w:i/>
      <w:iCs/>
      <w:sz w:val="24"/>
      <w:szCs w:val="24"/>
      <w:lang w:eastAsia="en-AU"/>
    </w:rPr>
  </w:style>
  <w:style w:type="paragraph" w:customStyle="1" w:styleId="xl73">
    <w:name w:val="xl73"/>
    <w:basedOn w:val="Normal"/>
    <w:rsid w:val="0035741C"/>
    <w:pPr>
      <w:spacing w:before="100" w:beforeAutospacing="1" w:after="100" w:afterAutospacing="1" w:line="240" w:lineRule="auto"/>
      <w:jc w:val="left"/>
    </w:pPr>
    <w:rPr>
      <w:rFonts w:ascii="Times New Roman" w:eastAsia="Times New Roman" w:hAnsi="Times New Roman"/>
      <w:b/>
      <w:bCs/>
      <w:i/>
      <w:iCs/>
      <w:sz w:val="24"/>
      <w:szCs w:val="24"/>
      <w:lang w:eastAsia="en-AU"/>
    </w:rPr>
  </w:style>
  <w:style w:type="paragraph" w:customStyle="1" w:styleId="xl74">
    <w:name w:val="xl74"/>
    <w:basedOn w:val="Normal"/>
    <w:rsid w:val="0035741C"/>
    <w:pPr>
      <w:spacing w:before="100" w:beforeAutospacing="1" w:after="100" w:afterAutospacing="1" w:line="240" w:lineRule="auto"/>
      <w:jc w:val="left"/>
    </w:pPr>
    <w:rPr>
      <w:rFonts w:ascii="Times New Roman" w:eastAsia="Times New Roman" w:hAnsi="Times New Roman"/>
      <w:sz w:val="24"/>
      <w:szCs w:val="24"/>
      <w:lang w:eastAsia="en-AU"/>
    </w:rPr>
  </w:style>
  <w:style w:type="paragraph" w:customStyle="1" w:styleId="xl75">
    <w:name w:val="xl75"/>
    <w:basedOn w:val="Normal"/>
    <w:rsid w:val="0035741C"/>
    <w:pPr>
      <w:spacing w:before="100" w:beforeAutospacing="1" w:after="100" w:afterAutospacing="1" w:line="240" w:lineRule="auto"/>
      <w:jc w:val="left"/>
    </w:pPr>
    <w:rPr>
      <w:rFonts w:ascii="Times New Roman" w:eastAsia="Times New Roman" w:hAnsi="Times New Roman"/>
      <w:b/>
      <w:bCs/>
      <w:sz w:val="24"/>
      <w:szCs w:val="24"/>
      <w:lang w:eastAsia="en-AU"/>
    </w:rPr>
  </w:style>
  <w:style w:type="paragraph" w:customStyle="1" w:styleId="xl76">
    <w:name w:val="xl76"/>
    <w:basedOn w:val="Normal"/>
    <w:rsid w:val="0035741C"/>
    <w:pPr>
      <w:spacing w:before="100" w:beforeAutospacing="1" w:after="100" w:afterAutospacing="1" w:line="240" w:lineRule="auto"/>
      <w:jc w:val="left"/>
    </w:pPr>
    <w:rPr>
      <w:rFonts w:ascii="Times New Roman" w:eastAsia="Times New Roman" w:hAnsi="Times New Roman"/>
      <w:sz w:val="24"/>
      <w:szCs w:val="24"/>
      <w:lang w:eastAsia="en-AU"/>
    </w:rPr>
  </w:style>
  <w:style w:type="paragraph" w:customStyle="1" w:styleId="xl77">
    <w:name w:val="xl77"/>
    <w:basedOn w:val="Normal"/>
    <w:rsid w:val="0035741C"/>
    <w:pPr>
      <w:spacing w:before="100" w:beforeAutospacing="1" w:after="100" w:afterAutospacing="1" w:line="240" w:lineRule="auto"/>
      <w:jc w:val="left"/>
    </w:pPr>
    <w:rPr>
      <w:rFonts w:ascii="Times New Roman" w:eastAsia="Times New Roman" w:hAnsi="Times New Roman"/>
      <w:sz w:val="24"/>
      <w:szCs w:val="24"/>
      <w:lang w:eastAsia="en-AU"/>
    </w:rPr>
  </w:style>
  <w:style w:type="paragraph" w:customStyle="1" w:styleId="xl78">
    <w:name w:val="xl78"/>
    <w:basedOn w:val="Normal"/>
    <w:rsid w:val="0035741C"/>
    <w:pPr>
      <w:spacing w:before="100" w:beforeAutospacing="1" w:after="100" w:afterAutospacing="1" w:line="240" w:lineRule="auto"/>
      <w:jc w:val="left"/>
    </w:pPr>
    <w:rPr>
      <w:rFonts w:ascii="Times New Roman" w:eastAsia="Times New Roman" w:hAnsi="Times New Roman"/>
      <w:sz w:val="24"/>
      <w:szCs w:val="24"/>
      <w:lang w:eastAsia="en-AU"/>
    </w:rPr>
  </w:style>
  <w:style w:type="paragraph" w:customStyle="1" w:styleId="xl79">
    <w:name w:val="xl79"/>
    <w:basedOn w:val="Normal"/>
    <w:rsid w:val="0035741C"/>
    <w:pPr>
      <w:spacing w:before="100" w:beforeAutospacing="1" w:after="100" w:afterAutospacing="1" w:line="240" w:lineRule="auto"/>
      <w:jc w:val="left"/>
      <w:textAlignment w:val="center"/>
    </w:pPr>
    <w:rPr>
      <w:rFonts w:ascii="Times New Roman" w:eastAsia="Times New Roman" w:hAnsi="Times New Roman"/>
      <w:sz w:val="24"/>
      <w:szCs w:val="24"/>
      <w:lang w:eastAsia="en-AU"/>
    </w:rPr>
  </w:style>
  <w:style w:type="paragraph" w:customStyle="1" w:styleId="xl80">
    <w:name w:val="xl80"/>
    <w:basedOn w:val="Normal"/>
    <w:rsid w:val="0035741C"/>
    <w:pPr>
      <w:spacing w:before="100" w:beforeAutospacing="1" w:after="100" w:afterAutospacing="1" w:line="240" w:lineRule="auto"/>
      <w:jc w:val="left"/>
    </w:pPr>
    <w:rPr>
      <w:rFonts w:ascii="Times New Roman" w:eastAsia="Times New Roman" w:hAnsi="Times New Roman"/>
      <w:sz w:val="24"/>
      <w:szCs w:val="24"/>
      <w:lang w:eastAsia="en-AU"/>
    </w:rPr>
  </w:style>
  <w:style w:type="paragraph" w:customStyle="1" w:styleId="xl81">
    <w:name w:val="xl81"/>
    <w:basedOn w:val="Normal"/>
    <w:rsid w:val="0035741C"/>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lang w:eastAsia="en-AU"/>
    </w:rPr>
  </w:style>
  <w:style w:type="paragraph" w:customStyle="1" w:styleId="xl82">
    <w:name w:val="xl82"/>
    <w:basedOn w:val="Normal"/>
    <w:rsid w:val="0035741C"/>
    <w:pPr>
      <w:pBdr>
        <w:top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lang w:eastAsia="en-AU"/>
    </w:rPr>
  </w:style>
  <w:style w:type="paragraph" w:customStyle="1" w:styleId="xl83">
    <w:name w:val="xl83"/>
    <w:basedOn w:val="Normal"/>
    <w:rsid w:val="0035741C"/>
    <w:pPr>
      <w:pBdr>
        <w:right w:val="single" w:sz="4" w:space="0" w:color="auto"/>
      </w:pBdr>
      <w:spacing w:before="100" w:beforeAutospacing="1" w:after="100" w:afterAutospacing="1" w:line="240" w:lineRule="auto"/>
      <w:jc w:val="center"/>
      <w:textAlignment w:val="top"/>
    </w:pPr>
    <w:rPr>
      <w:rFonts w:ascii="Times New Roman" w:eastAsia="Times New Roman" w:hAnsi="Times New Roman"/>
      <w:lang w:eastAsia="en-AU"/>
    </w:rPr>
  </w:style>
  <w:style w:type="paragraph" w:customStyle="1" w:styleId="xl84">
    <w:name w:val="xl84"/>
    <w:basedOn w:val="Normal"/>
    <w:rsid w:val="0035741C"/>
    <w:pPr>
      <w:pBdr>
        <w:left w:val="single" w:sz="4" w:space="0" w:color="auto"/>
      </w:pBdr>
      <w:spacing w:before="100" w:beforeAutospacing="1" w:after="100" w:afterAutospacing="1" w:line="240" w:lineRule="auto"/>
      <w:jc w:val="center"/>
      <w:textAlignment w:val="top"/>
    </w:pPr>
    <w:rPr>
      <w:rFonts w:ascii="Times New Roman" w:eastAsia="Times New Roman" w:hAnsi="Times New Roman"/>
      <w:lang w:eastAsia="en-AU"/>
    </w:rPr>
  </w:style>
  <w:style w:type="paragraph" w:customStyle="1" w:styleId="xl85">
    <w:name w:val="xl85"/>
    <w:basedOn w:val="Normal"/>
    <w:rsid w:val="0035741C"/>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lang w:eastAsia="en-AU"/>
    </w:rPr>
  </w:style>
  <w:style w:type="paragraph" w:customStyle="1" w:styleId="xl86">
    <w:name w:val="xl86"/>
    <w:basedOn w:val="Normal"/>
    <w:rsid w:val="0035741C"/>
    <w:pPr>
      <w:pBdr>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lang w:eastAsia="en-AU"/>
    </w:rPr>
  </w:style>
  <w:style w:type="paragraph" w:customStyle="1" w:styleId="xl87">
    <w:name w:val="xl87"/>
    <w:basedOn w:val="Normal"/>
    <w:rsid w:val="0035741C"/>
    <w:pPr>
      <w:pBdr>
        <w:top w:val="single" w:sz="4" w:space="0" w:color="auto"/>
        <w:left w:val="single" w:sz="4" w:space="0" w:color="auto"/>
      </w:pBdr>
      <w:spacing w:before="100" w:beforeAutospacing="1" w:after="100" w:afterAutospacing="1" w:line="240" w:lineRule="auto"/>
      <w:jc w:val="center"/>
      <w:textAlignment w:val="top"/>
    </w:pPr>
    <w:rPr>
      <w:rFonts w:ascii="Times New Roman" w:eastAsia="Times New Roman" w:hAnsi="Times New Roman"/>
      <w:lang w:eastAsia="en-AU"/>
    </w:rPr>
  </w:style>
  <w:style w:type="paragraph" w:customStyle="1" w:styleId="xl88">
    <w:name w:val="xl88"/>
    <w:basedOn w:val="Normal"/>
    <w:rsid w:val="0035741C"/>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lang w:eastAsia="en-AU"/>
    </w:rPr>
  </w:style>
  <w:style w:type="paragraph" w:customStyle="1" w:styleId="xl89">
    <w:name w:val="xl89"/>
    <w:basedOn w:val="Normal"/>
    <w:rsid w:val="0035741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lang w:eastAsia="en-AU"/>
    </w:rPr>
  </w:style>
  <w:style w:type="paragraph" w:customStyle="1" w:styleId="xl90">
    <w:name w:val="xl90"/>
    <w:basedOn w:val="Normal"/>
    <w:rsid w:val="0035741C"/>
    <w:pPr>
      <w:spacing w:before="100" w:beforeAutospacing="1" w:after="100" w:afterAutospacing="1" w:line="240" w:lineRule="auto"/>
      <w:jc w:val="center"/>
      <w:textAlignment w:val="top"/>
    </w:pPr>
    <w:rPr>
      <w:rFonts w:ascii="Times New Roman" w:eastAsia="Times New Roman" w:hAnsi="Times New Roman"/>
      <w:lang w:eastAsia="en-AU"/>
    </w:rPr>
  </w:style>
  <w:style w:type="paragraph" w:customStyle="1" w:styleId="xl91">
    <w:name w:val="xl91"/>
    <w:basedOn w:val="Normal"/>
    <w:rsid w:val="0035741C"/>
    <w:pPr>
      <w:spacing w:before="100" w:beforeAutospacing="1" w:after="100" w:afterAutospacing="1" w:line="240" w:lineRule="auto"/>
      <w:jc w:val="left"/>
      <w:textAlignment w:val="top"/>
    </w:pPr>
    <w:rPr>
      <w:rFonts w:ascii="Times New Roman" w:eastAsia="Times New Roman" w:hAnsi="Times New Roman"/>
      <w:lang w:eastAsia="en-AU"/>
    </w:rPr>
  </w:style>
  <w:style w:type="paragraph" w:customStyle="1" w:styleId="xl92">
    <w:name w:val="xl92"/>
    <w:basedOn w:val="Normal"/>
    <w:rsid w:val="0035741C"/>
    <w:pPr>
      <w:spacing w:before="100" w:beforeAutospacing="1" w:after="100" w:afterAutospacing="1" w:line="240" w:lineRule="auto"/>
      <w:jc w:val="left"/>
    </w:pPr>
    <w:rPr>
      <w:rFonts w:ascii="Times New Roman" w:eastAsia="Times New Roman" w:hAnsi="Times New Roman"/>
      <w:b/>
      <w:bCs/>
      <w:i/>
      <w:iCs/>
      <w:sz w:val="24"/>
      <w:szCs w:val="24"/>
      <w:lang w:eastAsia="en-AU"/>
    </w:rPr>
  </w:style>
  <w:style w:type="paragraph" w:customStyle="1" w:styleId="xl93">
    <w:name w:val="xl93"/>
    <w:basedOn w:val="Normal"/>
    <w:rsid w:val="0035741C"/>
    <w:pPr>
      <w:pBdr>
        <w:left w:val="single" w:sz="4" w:space="0" w:color="auto"/>
      </w:pBdr>
      <w:spacing w:before="100" w:beforeAutospacing="1" w:after="100" w:afterAutospacing="1" w:line="240" w:lineRule="auto"/>
      <w:jc w:val="left"/>
      <w:textAlignment w:val="top"/>
    </w:pPr>
    <w:rPr>
      <w:rFonts w:ascii="Times New Roman" w:eastAsia="Times New Roman" w:hAnsi="Times New Roman"/>
      <w:lang w:eastAsia="en-AU"/>
    </w:rPr>
  </w:style>
  <w:style w:type="paragraph" w:customStyle="1" w:styleId="xl94">
    <w:name w:val="xl94"/>
    <w:basedOn w:val="Normal"/>
    <w:rsid w:val="0035741C"/>
    <w:pPr>
      <w:pBdr>
        <w:left w:val="single" w:sz="4" w:space="0" w:color="auto"/>
      </w:pBdr>
      <w:spacing w:before="100" w:beforeAutospacing="1" w:after="100" w:afterAutospacing="1" w:line="240" w:lineRule="auto"/>
      <w:jc w:val="left"/>
      <w:textAlignment w:val="top"/>
    </w:pPr>
    <w:rPr>
      <w:rFonts w:ascii="Times New Roman" w:eastAsia="Times New Roman" w:hAnsi="Times New Roman"/>
      <w:lang w:eastAsia="en-AU"/>
    </w:rPr>
  </w:style>
  <w:style w:type="paragraph" w:customStyle="1" w:styleId="xl95">
    <w:name w:val="xl95"/>
    <w:basedOn w:val="Normal"/>
    <w:rsid w:val="0035741C"/>
    <w:pPr>
      <w:spacing w:before="100" w:beforeAutospacing="1" w:after="100" w:afterAutospacing="1" w:line="240" w:lineRule="auto"/>
      <w:jc w:val="left"/>
    </w:pPr>
    <w:rPr>
      <w:rFonts w:ascii="Times New Roman" w:eastAsia="Times New Roman" w:hAnsi="Times New Roman"/>
      <w:b/>
      <w:bCs/>
      <w:sz w:val="24"/>
      <w:szCs w:val="24"/>
      <w:lang w:eastAsia="en-AU"/>
    </w:rPr>
  </w:style>
  <w:style w:type="paragraph" w:customStyle="1" w:styleId="xl96">
    <w:name w:val="xl96"/>
    <w:basedOn w:val="Normal"/>
    <w:rsid w:val="0035741C"/>
    <w:pPr>
      <w:spacing w:before="100" w:beforeAutospacing="1" w:after="100" w:afterAutospacing="1" w:line="240" w:lineRule="auto"/>
      <w:jc w:val="left"/>
    </w:pPr>
    <w:rPr>
      <w:rFonts w:ascii="Times New Roman" w:eastAsia="Times New Roman" w:hAnsi="Times New Roman"/>
      <w:b/>
      <w:bCs/>
      <w:i/>
      <w:iCs/>
      <w:sz w:val="24"/>
      <w:szCs w:val="24"/>
      <w:lang w:eastAsia="en-AU"/>
    </w:rPr>
  </w:style>
  <w:style w:type="paragraph" w:customStyle="1" w:styleId="xl97">
    <w:name w:val="xl97"/>
    <w:basedOn w:val="Normal"/>
    <w:rsid w:val="0035741C"/>
    <w:pPr>
      <w:spacing w:before="100" w:beforeAutospacing="1" w:after="100" w:afterAutospacing="1" w:line="240" w:lineRule="auto"/>
      <w:jc w:val="left"/>
    </w:pPr>
    <w:rPr>
      <w:rFonts w:ascii="Times New Roman" w:eastAsia="Times New Roman" w:hAnsi="Times New Roman"/>
      <w:b/>
      <w:bCs/>
      <w:sz w:val="24"/>
      <w:szCs w:val="24"/>
      <w:lang w:eastAsia="en-AU"/>
    </w:rPr>
  </w:style>
  <w:style w:type="paragraph" w:customStyle="1" w:styleId="xl99">
    <w:name w:val="xl99"/>
    <w:basedOn w:val="Normal"/>
    <w:rsid w:val="0035741C"/>
    <w:pPr>
      <w:spacing w:before="100" w:beforeAutospacing="1" w:after="100" w:afterAutospacing="1" w:line="240" w:lineRule="auto"/>
      <w:jc w:val="left"/>
      <w:textAlignment w:val="top"/>
    </w:pPr>
    <w:rPr>
      <w:rFonts w:ascii="Times New Roman" w:eastAsia="Times New Roman" w:hAnsi="Times New Roman"/>
      <w:lang w:eastAsia="en-AU"/>
    </w:rPr>
  </w:style>
  <w:style w:type="paragraph" w:customStyle="1" w:styleId="xl100">
    <w:name w:val="xl100"/>
    <w:basedOn w:val="Normal"/>
    <w:rsid w:val="0035741C"/>
    <w:pPr>
      <w:spacing w:before="100" w:beforeAutospacing="1" w:after="100" w:afterAutospacing="1" w:line="240" w:lineRule="auto"/>
      <w:jc w:val="left"/>
      <w:textAlignment w:val="top"/>
    </w:pPr>
    <w:rPr>
      <w:rFonts w:ascii="Times New Roman" w:eastAsia="Times New Roman" w:hAnsi="Times New Roman"/>
      <w:lang w:eastAsia="en-AU"/>
    </w:rPr>
  </w:style>
  <w:style w:type="paragraph" w:customStyle="1" w:styleId="xl101">
    <w:name w:val="xl101"/>
    <w:basedOn w:val="Normal"/>
    <w:rsid w:val="0035741C"/>
    <w:pPr>
      <w:spacing w:before="100" w:beforeAutospacing="1" w:after="100" w:afterAutospacing="1" w:line="240" w:lineRule="auto"/>
      <w:jc w:val="left"/>
    </w:pPr>
    <w:rPr>
      <w:rFonts w:ascii="Times New Roman" w:eastAsia="Times New Roman" w:hAnsi="Times New Roman"/>
      <w:sz w:val="24"/>
      <w:szCs w:val="24"/>
      <w:lang w:eastAsia="en-AU"/>
    </w:rPr>
  </w:style>
  <w:style w:type="paragraph" w:customStyle="1" w:styleId="xl102">
    <w:name w:val="xl102"/>
    <w:basedOn w:val="Normal"/>
    <w:rsid w:val="0035741C"/>
    <w:pPr>
      <w:spacing w:before="100" w:beforeAutospacing="1" w:after="100" w:afterAutospacing="1" w:line="240" w:lineRule="auto"/>
      <w:jc w:val="left"/>
      <w:textAlignment w:val="top"/>
    </w:pPr>
    <w:rPr>
      <w:rFonts w:ascii="Times New Roman" w:eastAsia="Times New Roman" w:hAnsi="Times New Roman"/>
      <w:lang w:eastAsia="en-AU"/>
    </w:rPr>
  </w:style>
  <w:style w:type="paragraph" w:customStyle="1" w:styleId="xl103">
    <w:name w:val="xl103"/>
    <w:basedOn w:val="Normal"/>
    <w:rsid w:val="0035741C"/>
    <w:pPr>
      <w:pBdr>
        <w:right w:val="single" w:sz="4" w:space="0" w:color="auto"/>
      </w:pBdr>
      <w:spacing w:before="100" w:beforeAutospacing="1" w:after="100" w:afterAutospacing="1" w:line="240" w:lineRule="auto"/>
      <w:jc w:val="left"/>
    </w:pPr>
    <w:rPr>
      <w:rFonts w:ascii="Times New Roman" w:eastAsia="Times New Roman" w:hAnsi="Times New Roman"/>
      <w:sz w:val="24"/>
      <w:szCs w:val="24"/>
      <w:lang w:eastAsia="en-AU"/>
    </w:rPr>
  </w:style>
  <w:style w:type="paragraph" w:customStyle="1" w:styleId="xl104">
    <w:name w:val="xl104"/>
    <w:basedOn w:val="Normal"/>
    <w:rsid w:val="0035741C"/>
    <w:pPr>
      <w:spacing w:before="100" w:beforeAutospacing="1" w:after="100" w:afterAutospacing="1" w:line="240" w:lineRule="auto"/>
      <w:jc w:val="left"/>
      <w:textAlignment w:val="top"/>
    </w:pPr>
    <w:rPr>
      <w:rFonts w:ascii="Times New Roman" w:eastAsia="Times New Roman" w:hAnsi="Times New Roman"/>
      <w:lang w:eastAsia="en-AU"/>
    </w:rPr>
  </w:style>
  <w:style w:type="paragraph" w:customStyle="1" w:styleId="xl105">
    <w:name w:val="xl105"/>
    <w:basedOn w:val="Normal"/>
    <w:rsid w:val="0035741C"/>
    <w:pPr>
      <w:spacing w:before="100" w:beforeAutospacing="1" w:after="100" w:afterAutospacing="1" w:line="240" w:lineRule="auto"/>
      <w:jc w:val="left"/>
    </w:pPr>
    <w:rPr>
      <w:rFonts w:ascii="Times New Roman" w:eastAsia="Times New Roman" w:hAnsi="Times New Roman"/>
      <w:sz w:val="24"/>
      <w:szCs w:val="24"/>
      <w:lang w:eastAsia="en-AU"/>
    </w:rPr>
  </w:style>
  <w:style w:type="paragraph" w:customStyle="1" w:styleId="xl106">
    <w:name w:val="xl106"/>
    <w:basedOn w:val="Normal"/>
    <w:rsid w:val="0035741C"/>
    <w:pPr>
      <w:pBdr>
        <w:left w:val="single" w:sz="4" w:space="0" w:color="auto"/>
      </w:pBdr>
      <w:spacing w:before="100" w:beforeAutospacing="1" w:after="100" w:afterAutospacing="1" w:line="240" w:lineRule="auto"/>
      <w:jc w:val="left"/>
      <w:textAlignment w:val="top"/>
    </w:pPr>
    <w:rPr>
      <w:rFonts w:ascii="Times New Roman" w:eastAsia="Times New Roman" w:hAnsi="Times New Roman"/>
      <w:lang w:eastAsia="en-AU"/>
    </w:rPr>
  </w:style>
  <w:style w:type="paragraph" w:customStyle="1" w:styleId="xl107">
    <w:name w:val="xl107"/>
    <w:basedOn w:val="Normal"/>
    <w:rsid w:val="0035741C"/>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lang w:eastAsia="en-AU"/>
    </w:rPr>
  </w:style>
  <w:style w:type="paragraph" w:customStyle="1" w:styleId="xl108">
    <w:name w:val="xl108"/>
    <w:basedOn w:val="Normal"/>
    <w:rsid w:val="0035741C"/>
    <w:pPr>
      <w:pBdr>
        <w:left w:val="single" w:sz="4" w:space="0" w:color="auto"/>
      </w:pBdr>
      <w:spacing w:before="100" w:beforeAutospacing="1" w:after="100" w:afterAutospacing="1" w:line="240" w:lineRule="auto"/>
      <w:jc w:val="right"/>
      <w:textAlignment w:val="center"/>
    </w:pPr>
    <w:rPr>
      <w:rFonts w:ascii="Times New Roman" w:eastAsia="Times New Roman" w:hAnsi="Times New Roman"/>
      <w:lang w:eastAsia="en-AU"/>
    </w:rPr>
  </w:style>
  <w:style w:type="paragraph" w:customStyle="1" w:styleId="xl109">
    <w:name w:val="xl109"/>
    <w:basedOn w:val="Normal"/>
    <w:rsid w:val="0035741C"/>
    <w:pPr>
      <w:pBdr>
        <w:right w:val="single" w:sz="4" w:space="0" w:color="auto"/>
      </w:pBdr>
      <w:spacing w:before="100" w:beforeAutospacing="1" w:after="100" w:afterAutospacing="1" w:line="240" w:lineRule="auto"/>
      <w:jc w:val="left"/>
    </w:pPr>
    <w:rPr>
      <w:rFonts w:ascii="Times New Roman" w:eastAsia="Times New Roman" w:hAnsi="Times New Roman"/>
      <w:b/>
      <w:bCs/>
      <w:i/>
      <w:iCs/>
      <w:sz w:val="24"/>
      <w:szCs w:val="24"/>
      <w:lang w:eastAsia="en-AU"/>
    </w:rPr>
  </w:style>
  <w:style w:type="paragraph" w:customStyle="1" w:styleId="xl110">
    <w:name w:val="xl110"/>
    <w:basedOn w:val="Normal"/>
    <w:rsid w:val="0035741C"/>
    <w:pPr>
      <w:pBdr>
        <w:left w:val="single" w:sz="4" w:space="0" w:color="auto"/>
      </w:pBdr>
      <w:spacing w:before="100" w:beforeAutospacing="1" w:after="100" w:afterAutospacing="1" w:line="240" w:lineRule="auto"/>
      <w:jc w:val="left"/>
      <w:textAlignment w:val="top"/>
    </w:pPr>
    <w:rPr>
      <w:rFonts w:ascii="Times New Roman" w:eastAsia="Times New Roman" w:hAnsi="Times New Roman"/>
      <w:b/>
      <w:bCs/>
      <w:i/>
      <w:iCs/>
      <w:lang w:eastAsia="en-AU"/>
    </w:rPr>
  </w:style>
  <w:style w:type="character" w:styleId="FollowedHyperlink">
    <w:name w:val="FollowedHyperlink"/>
    <w:basedOn w:val="DefaultParagraphFont"/>
    <w:uiPriority w:val="99"/>
    <w:semiHidden/>
    <w:unhideWhenUsed/>
    <w:rsid w:val="0035741C"/>
    <w:rPr>
      <w:color w:val="800080" w:themeColor="followedHyperlink"/>
      <w:u w:val="single"/>
    </w:rPr>
  </w:style>
  <w:style w:type="numbering" w:customStyle="1" w:styleId="NoList2">
    <w:name w:val="No List2"/>
    <w:next w:val="NoList"/>
    <w:uiPriority w:val="99"/>
    <w:semiHidden/>
    <w:unhideWhenUsed/>
    <w:rsid w:val="0035741C"/>
  </w:style>
  <w:style w:type="numbering" w:customStyle="1" w:styleId="AERHeadings1">
    <w:name w:val="AER Headings1"/>
    <w:uiPriority w:val="99"/>
    <w:rsid w:val="0035741C"/>
    <w:pPr>
      <w:numPr>
        <w:numId w:val="70"/>
      </w:numPr>
    </w:pPr>
  </w:style>
  <w:style w:type="table" w:customStyle="1" w:styleId="TableGrid2">
    <w:name w:val="Table Grid2"/>
    <w:basedOn w:val="TableNormal"/>
    <w:next w:val="TableGrid"/>
    <w:rsid w:val="0035741C"/>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AERnumberedlist2">
    <w:name w:val="AER numbered list2"/>
    <w:uiPriority w:val="99"/>
    <w:rsid w:val="0035741C"/>
    <w:pPr>
      <w:numPr>
        <w:numId w:val="72"/>
      </w:numPr>
    </w:pPr>
  </w:style>
  <w:style w:type="numbering" w:customStyle="1" w:styleId="OldAERheadings1">
    <w:name w:val="Old AER headings1"/>
    <w:uiPriority w:val="99"/>
    <w:locked/>
    <w:rsid w:val="0035741C"/>
    <w:pPr>
      <w:numPr>
        <w:numId w:val="73"/>
      </w:numPr>
    </w:pPr>
  </w:style>
  <w:style w:type="table" w:customStyle="1" w:styleId="LightShading3">
    <w:name w:val="Light Shading3"/>
    <w:basedOn w:val="TableNormal"/>
    <w:next w:val="LightShading"/>
    <w:uiPriority w:val="60"/>
    <w:locked/>
    <w:rsid w:val="0035741C"/>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Accent12">
    <w:name w:val="Light Shading - Accent 12"/>
    <w:basedOn w:val="TableNormal"/>
    <w:next w:val="LightShading-Accent1"/>
    <w:uiPriority w:val="60"/>
    <w:locked/>
    <w:rsid w:val="0035741C"/>
    <w:rPr>
      <w:color w:val="365F91"/>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numbering" w:customStyle="1" w:styleId="AERnumberedlist11">
    <w:name w:val="AER numbered list11"/>
    <w:uiPriority w:val="99"/>
    <w:rsid w:val="0035741C"/>
  </w:style>
  <w:style w:type="paragraph" w:customStyle="1" w:styleId="xl98">
    <w:name w:val="xl98"/>
    <w:basedOn w:val="Normal"/>
    <w:rsid w:val="0035741C"/>
    <w:pPr>
      <w:pBdr>
        <w:left w:val="single" w:sz="4" w:space="0" w:color="auto"/>
      </w:pBdr>
      <w:spacing w:before="100" w:beforeAutospacing="1" w:after="100" w:afterAutospacing="1" w:line="240" w:lineRule="auto"/>
      <w:jc w:val="left"/>
      <w:textAlignment w:val="top"/>
    </w:pPr>
    <w:rPr>
      <w:rFonts w:ascii="Times New Roman" w:eastAsia="Times New Roman" w:hAnsi="Times New Roman"/>
      <w:b/>
      <w:bCs/>
      <w:i/>
      <w:iCs/>
      <w:lang w:eastAsia="en-AU"/>
    </w:rPr>
  </w:style>
  <w:style w:type="paragraph" w:customStyle="1" w:styleId="xl111">
    <w:name w:val="xl111"/>
    <w:basedOn w:val="Normal"/>
    <w:rsid w:val="0035741C"/>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lang w:eastAsia="en-AU"/>
    </w:rPr>
  </w:style>
  <w:style w:type="paragraph" w:customStyle="1" w:styleId="xl112">
    <w:name w:val="xl112"/>
    <w:basedOn w:val="Normal"/>
    <w:rsid w:val="0035741C"/>
    <w:pPr>
      <w:pBdr>
        <w:left w:val="single" w:sz="4" w:space="0" w:color="auto"/>
      </w:pBdr>
      <w:spacing w:before="100" w:beforeAutospacing="1" w:after="100" w:afterAutospacing="1" w:line="240" w:lineRule="auto"/>
      <w:jc w:val="right"/>
      <w:textAlignment w:val="center"/>
    </w:pPr>
    <w:rPr>
      <w:rFonts w:ascii="Times New Roman" w:eastAsia="Times New Roman" w:hAnsi="Times New Roman"/>
      <w:lang w:eastAsia="en-AU"/>
    </w:rPr>
  </w:style>
  <w:style w:type="table" w:customStyle="1" w:styleId="AERtable-text1">
    <w:name w:val="AER table - text1"/>
    <w:basedOn w:val="TableNormal"/>
    <w:uiPriority w:val="99"/>
    <w:rsid w:val="005C0A7C"/>
    <w:pPr>
      <w:spacing w:before="120" w:after="80"/>
    </w:pPr>
    <w:rPr>
      <w:sz w:val="16"/>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table" w:customStyle="1" w:styleId="AERtable-numbers1">
    <w:name w:val="AER table - numbers1"/>
    <w:basedOn w:val="TableNormal"/>
    <w:uiPriority w:val="99"/>
    <w:rsid w:val="005C0A7C"/>
    <w:pPr>
      <w:spacing w:before="120" w:after="80"/>
      <w:jc w:val="right"/>
    </w:pPr>
    <w:rPr>
      <w:sz w:val="16"/>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AERHeadings">
    <w:name w:val="AERHeadings"/>
    <w:pPr>
      <w:numPr>
        <w:numId w:val="55"/>
      </w:numPr>
    </w:pPr>
  </w:style>
  <w:style w:type="numbering" w:customStyle="1" w:styleId="Heading1Char">
    <w:name w:val="OldAERheadings"/>
    <w:pPr>
      <w:numPr>
        <w:numId w:val="24"/>
      </w:numPr>
    </w:pPr>
  </w:style>
  <w:style w:type="numbering" w:customStyle="1" w:styleId="Heading2Char">
    <w:name w:val="AERnumberedlist"/>
    <w:pPr>
      <w:numPr>
        <w:numId w:val="13"/>
      </w:numPr>
    </w:pPr>
  </w:style>
  <w:style w:type="numbering" w:customStyle="1" w:styleId="Heading3Char">
    <w:name w:val="AERnumberedlist2"/>
    <w:pPr>
      <w:numPr>
        <w:numId w:val="72"/>
      </w:numPr>
    </w:pPr>
  </w:style>
  <w:style w:type="numbering" w:customStyle="1" w:styleId="Heading4Char">
    <w:name w:val="AERHeadings1"/>
    <w:pPr>
      <w:numPr>
        <w:numId w:val="70"/>
      </w:numPr>
    </w:pPr>
  </w:style>
  <w:style w:type="numbering" w:customStyle="1" w:styleId="Heading5Char">
    <w:name w:val="OldAERheadings1"/>
    <w:pPr>
      <w:numPr>
        <w:numId w:val="7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6670280">
      <w:bodyDiv w:val="1"/>
      <w:marLeft w:val="0"/>
      <w:marRight w:val="0"/>
      <w:marTop w:val="0"/>
      <w:marBottom w:val="0"/>
      <w:divBdr>
        <w:top w:val="none" w:sz="0" w:space="0" w:color="auto"/>
        <w:left w:val="none" w:sz="0" w:space="0" w:color="auto"/>
        <w:bottom w:val="none" w:sz="0" w:space="0" w:color="auto"/>
        <w:right w:val="none" w:sz="0" w:space="0" w:color="auto"/>
      </w:divBdr>
    </w:div>
    <w:div w:id="324551858">
      <w:bodyDiv w:val="1"/>
      <w:marLeft w:val="0"/>
      <w:marRight w:val="0"/>
      <w:marTop w:val="0"/>
      <w:marBottom w:val="0"/>
      <w:divBdr>
        <w:top w:val="none" w:sz="0" w:space="0" w:color="auto"/>
        <w:left w:val="none" w:sz="0" w:space="0" w:color="auto"/>
        <w:bottom w:val="none" w:sz="0" w:space="0" w:color="auto"/>
        <w:right w:val="none" w:sz="0" w:space="0" w:color="auto"/>
      </w:divBdr>
    </w:div>
    <w:div w:id="666206133">
      <w:bodyDiv w:val="1"/>
      <w:marLeft w:val="0"/>
      <w:marRight w:val="0"/>
      <w:marTop w:val="0"/>
      <w:marBottom w:val="0"/>
      <w:divBdr>
        <w:top w:val="none" w:sz="0" w:space="0" w:color="auto"/>
        <w:left w:val="none" w:sz="0" w:space="0" w:color="auto"/>
        <w:bottom w:val="none" w:sz="0" w:space="0" w:color="auto"/>
        <w:right w:val="none" w:sz="0" w:space="0" w:color="auto"/>
      </w:divBdr>
    </w:div>
    <w:div w:id="670445987">
      <w:bodyDiv w:val="1"/>
      <w:marLeft w:val="0"/>
      <w:marRight w:val="0"/>
      <w:marTop w:val="0"/>
      <w:marBottom w:val="0"/>
      <w:divBdr>
        <w:top w:val="none" w:sz="0" w:space="0" w:color="auto"/>
        <w:left w:val="none" w:sz="0" w:space="0" w:color="auto"/>
        <w:bottom w:val="none" w:sz="0" w:space="0" w:color="auto"/>
        <w:right w:val="none" w:sz="0" w:space="0" w:color="auto"/>
      </w:divBdr>
    </w:div>
    <w:div w:id="709035712">
      <w:bodyDiv w:val="1"/>
      <w:marLeft w:val="0"/>
      <w:marRight w:val="0"/>
      <w:marTop w:val="0"/>
      <w:marBottom w:val="0"/>
      <w:divBdr>
        <w:top w:val="none" w:sz="0" w:space="0" w:color="auto"/>
        <w:left w:val="none" w:sz="0" w:space="0" w:color="auto"/>
        <w:bottom w:val="none" w:sz="0" w:space="0" w:color="auto"/>
        <w:right w:val="none" w:sz="0" w:space="0" w:color="auto"/>
      </w:divBdr>
    </w:div>
    <w:div w:id="720245925">
      <w:bodyDiv w:val="1"/>
      <w:marLeft w:val="0"/>
      <w:marRight w:val="0"/>
      <w:marTop w:val="0"/>
      <w:marBottom w:val="0"/>
      <w:divBdr>
        <w:top w:val="none" w:sz="0" w:space="0" w:color="auto"/>
        <w:left w:val="none" w:sz="0" w:space="0" w:color="auto"/>
        <w:bottom w:val="none" w:sz="0" w:space="0" w:color="auto"/>
        <w:right w:val="none" w:sz="0" w:space="0" w:color="auto"/>
      </w:divBdr>
    </w:div>
    <w:div w:id="993216248">
      <w:bodyDiv w:val="1"/>
      <w:marLeft w:val="0"/>
      <w:marRight w:val="0"/>
      <w:marTop w:val="0"/>
      <w:marBottom w:val="0"/>
      <w:divBdr>
        <w:top w:val="none" w:sz="0" w:space="0" w:color="auto"/>
        <w:left w:val="none" w:sz="0" w:space="0" w:color="auto"/>
        <w:bottom w:val="none" w:sz="0" w:space="0" w:color="auto"/>
        <w:right w:val="none" w:sz="0" w:space="0" w:color="auto"/>
      </w:divBdr>
    </w:div>
    <w:div w:id="1088383168">
      <w:bodyDiv w:val="1"/>
      <w:marLeft w:val="0"/>
      <w:marRight w:val="0"/>
      <w:marTop w:val="0"/>
      <w:marBottom w:val="0"/>
      <w:divBdr>
        <w:top w:val="none" w:sz="0" w:space="0" w:color="auto"/>
        <w:left w:val="none" w:sz="0" w:space="0" w:color="auto"/>
        <w:bottom w:val="none" w:sz="0" w:space="0" w:color="auto"/>
        <w:right w:val="none" w:sz="0" w:space="0" w:color="auto"/>
      </w:divBdr>
    </w:div>
    <w:div w:id="1417440119">
      <w:bodyDiv w:val="1"/>
      <w:marLeft w:val="0"/>
      <w:marRight w:val="0"/>
      <w:marTop w:val="0"/>
      <w:marBottom w:val="0"/>
      <w:divBdr>
        <w:top w:val="none" w:sz="0" w:space="0" w:color="auto"/>
        <w:left w:val="none" w:sz="0" w:space="0" w:color="auto"/>
        <w:bottom w:val="none" w:sz="0" w:space="0" w:color="auto"/>
        <w:right w:val="none" w:sz="0" w:space="0" w:color="auto"/>
      </w:divBdr>
    </w:div>
    <w:div w:id="1833912000">
      <w:bodyDiv w:val="1"/>
      <w:marLeft w:val="0"/>
      <w:marRight w:val="0"/>
      <w:marTop w:val="0"/>
      <w:marBottom w:val="0"/>
      <w:divBdr>
        <w:top w:val="none" w:sz="0" w:space="0" w:color="auto"/>
        <w:left w:val="none" w:sz="0" w:space="0" w:color="auto"/>
        <w:bottom w:val="none" w:sz="0" w:space="0" w:color="auto"/>
        <w:right w:val="none" w:sz="0" w:space="0" w:color="auto"/>
      </w:divBdr>
    </w:div>
    <w:div w:id="1868181350">
      <w:bodyDiv w:val="1"/>
      <w:marLeft w:val="0"/>
      <w:marRight w:val="0"/>
      <w:marTop w:val="0"/>
      <w:marBottom w:val="0"/>
      <w:divBdr>
        <w:top w:val="none" w:sz="0" w:space="0" w:color="auto"/>
        <w:left w:val="none" w:sz="0" w:space="0" w:color="auto"/>
        <w:bottom w:val="none" w:sz="0" w:space="0" w:color="auto"/>
        <w:right w:val="none" w:sz="0" w:space="0" w:color="auto"/>
      </w:divBdr>
    </w:div>
    <w:div w:id="1941373043">
      <w:bodyDiv w:val="1"/>
      <w:marLeft w:val="0"/>
      <w:marRight w:val="0"/>
      <w:marTop w:val="0"/>
      <w:marBottom w:val="0"/>
      <w:divBdr>
        <w:top w:val="none" w:sz="0" w:space="0" w:color="auto"/>
        <w:left w:val="none" w:sz="0" w:space="0" w:color="auto"/>
        <w:bottom w:val="none" w:sz="0" w:space="0" w:color="auto"/>
        <w:right w:val="none" w:sz="0" w:space="0" w:color="auto"/>
      </w:divBdr>
    </w:div>
    <w:div w:id="20955906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2.wmf"/><Relationship Id="rId18" Type="http://schemas.openxmlformats.org/officeDocument/2006/relationships/oleObject" Target="embeddings/oleObject3.bin"/><Relationship Id="rId26" Type="http://schemas.openxmlformats.org/officeDocument/2006/relationships/oleObject" Target="embeddings/oleObject7.bin"/><Relationship Id="rId39" Type="http://schemas.openxmlformats.org/officeDocument/2006/relationships/oleObject" Target="embeddings/oleObject11.bin"/><Relationship Id="rId3" Type="http://schemas.microsoft.com/office/2007/relationships/stylesWithEffects" Target="stylesWithEffects.xml"/><Relationship Id="rId21" Type="http://schemas.openxmlformats.org/officeDocument/2006/relationships/image" Target="media/image6.wmf"/><Relationship Id="rId34" Type="http://schemas.openxmlformats.org/officeDocument/2006/relationships/image" Target="media/image9.wmf"/><Relationship Id="rId42" Type="http://schemas.openxmlformats.org/officeDocument/2006/relationships/image" Target="media/image11.wmf"/><Relationship Id="rId47" Type="http://schemas.openxmlformats.org/officeDocument/2006/relationships/oleObject" Target="embeddings/oleObject18.bin"/><Relationship Id="rId50"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chart" Target="charts/chart2.xml"/><Relationship Id="rId17" Type="http://schemas.openxmlformats.org/officeDocument/2006/relationships/image" Target="media/image4.wmf"/><Relationship Id="rId25" Type="http://schemas.openxmlformats.org/officeDocument/2006/relationships/image" Target="media/image8.wmf"/><Relationship Id="rId33" Type="http://schemas.openxmlformats.org/officeDocument/2006/relationships/chart" Target="charts/chart4.xml"/><Relationship Id="rId38" Type="http://schemas.openxmlformats.org/officeDocument/2006/relationships/oleObject" Target="embeddings/oleObject10.bin"/><Relationship Id="rId46" Type="http://schemas.openxmlformats.org/officeDocument/2006/relationships/oleObject" Target="embeddings/oleObject17.bin"/><Relationship Id="rId2" Type="http://schemas.openxmlformats.org/officeDocument/2006/relationships/styles" Target="styles.xml"/><Relationship Id="rId16" Type="http://schemas.openxmlformats.org/officeDocument/2006/relationships/oleObject" Target="embeddings/oleObject2.bin"/><Relationship Id="rId20" Type="http://schemas.openxmlformats.org/officeDocument/2006/relationships/oleObject" Target="embeddings/oleObject4.bin"/><Relationship Id="rId29" Type="http://schemas.openxmlformats.org/officeDocument/2006/relationships/diagramQuickStyle" Target="diagrams/quickStyle1.xml"/><Relationship Id="rId41" Type="http://schemas.openxmlformats.org/officeDocument/2006/relationships/oleObject" Target="embeddings/oleObject13.bin"/><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chart" Target="charts/chart1.xml"/><Relationship Id="rId24" Type="http://schemas.openxmlformats.org/officeDocument/2006/relationships/oleObject" Target="embeddings/oleObject6.bin"/><Relationship Id="rId32" Type="http://schemas.openxmlformats.org/officeDocument/2006/relationships/chart" Target="charts/chart3.xml"/><Relationship Id="rId37" Type="http://schemas.openxmlformats.org/officeDocument/2006/relationships/oleObject" Target="embeddings/oleObject9.bin"/><Relationship Id="rId40" Type="http://schemas.openxmlformats.org/officeDocument/2006/relationships/oleObject" Target="embeddings/oleObject12.bin"/><Relationship Id="rId45" Type="http://schemas.openxmlformats.org/officeDocument/2006/relationships/oleObject" Target="embeddings/oleObject16.bin"/><Relationship Id="rId5" Type="http://schemas.openxmlformats.org/officeDocument/2006/relationships/webSettings" Target="webSettings.xml"/><Relationship Id="rId15" Type="http://schemas.openxmlformats.org/officeDocument/2006/relationships/image" Target="media/image3.wmf"/><Relationship Id="rId23" Type="http://schemas.openxmlformats.org/officeDocument/2006/relationships/image" Target="media/image7.wmf"/><Relationship Id="rId28" Type="http://schemas.openxmlformats.org/officeDocument/2006/relationships/diagramLayout" Target="diagrams/layout1.xml"/><Relationship Id="rId36" Type="http://schemas.openxmlformats.org/officeDocument/2006/relationships/image" Target="media/image10.wmf"/><Relationship Id="rId49" Type="http://schemas.openxmlformats.org/officeDocument/2006/relationships/footer" Target="footer1.xml"/><Relationship Id="rId10" Type="http://schemas.openxmlformats.org/officeDocument/2006/relationships/hyperlink" Target="mailto:AERInquiry@aer.gov.au" TargetMode="External"/><Relationship Id="rId19" Type="http://schemas.openxmlformats.org/officeDocument/2006/relationships/image" Target="media/image5.wmf"/><Relationship Id="rId31" Type="http://schemas.microsoft.com/office/2007/relationships/diagramDrawing" Target="diagrams/drawing1.xml"/><Relationship Id="rId44" Type="http://schemas.openxmlformats.org/officeDocument/2006/relationships/oleObject" Target="embeddings/oleObject15.bin"/><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publishing.unit@accc.gov.au" TargetMode="External"/><Relationship Id="rId14" Type="http://schemas.openxmlformats.org/officeDocument/2006/relationships/oleObject" Target="embeddings/oleObject1.bin"/><Relationship Id="rId22" Type="http://schemas.openxmlformats.org/officeDocument/2006/relationships/oleObject" Target="embeddings/oleObject5.bin"/><Relationship Id="rId27" Type="http://schemas.openxmlformats.org/officeDocument/2006/relationships/diagramData" Target="diagrams/data1.xml"/><Relationship Id="rId30" Type="http://schemas.openxmlformats.org/officeDocument/2006/relationships/diagramColors" Target="diagrams/colors1.xml"/><Relationship Id="rId35" Type="http://schemas.openxmlformats.org/officeDocument/2006/relationships/oleObject" Target="embeddings/oleObject8.bin"/><Relationship Id="rId43" Type="http://schemas.openxmlformats.org/officeDocument/2006/relationships/oleObject" Target="embeddings/oleObject14.bin"/><Relationship Id="rId48" Type="http://schemas.openxmlformats.org/officeDocument/2006/relationships/oleObject" Target="embeddings/oleObject19.bin"/><Relationship Id="rId8" Type="http://schemas.openxmlformats.org/officeDocument/2006/relationships/image" Target="media/image1.jpeg"/><Relationship Id="rId51" Type="http://schemas.openxmlformats.org/officeDocument/2006/relationships/fontTable" Target="fontTable.xml"/></Relationships>
</file>

<file path=word/charts/_rels/chart1.xml.rels><?xml version="1.0" encoding="UTF-8" standalone="yes"?>
<Relationships xmlns="http://schemas.openxmlformats.org/package/2006/relationships"><Relationship Id="rId1" Type="http://schemas.openxmlformats.org/officeDocument/2006/relationships/oleObject" Target="file:///\\SCBRFS001\home$\smoff\TRIMDATA\TRIM\TEMP\HPTRIM.3704\D14%20114572%20%20Standard%20vs%20Alternative.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SCBRFS001\home$\smoff\TRIMDATA\TRIM\TEMP\HPTRIM.3704\D14%20114572%20%20Standard%20vs%20Alternative.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dchnas-evs02\home$\smoff\TRIMDATA\TRIM\TEMP\HPTRIM.5504\D14%20116875%20%20Metering%20opex%20-%20High%20level%20benchmarking.XLSX" TargetMode="External"/></Relationships>
</file>

<file path=word/charts/_rels/chart4.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oleObject" Target="file:///\\SCBRFS001\home$\smoff\metering%20opex%20-%20high%20level%20ben%20(D2014-00116875).xlsx" TargetMode="External"/><Relationship Id="rId1" Type="http://schemas.openxmlformats.org/officeDocument/2006/relationships/themeOverride" Target="../theme/themeOverride1.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1423840769903762"/>
          <c:y val="5.1400554097404488E-2"/>
          <c:w val="0.86551246719160102"/>
          <c:h val="0.62583807232429267"/>
        </c:manualLayout>
      </c:layout>
      <c:barChart>
        <c:barDir val="col"/>
        <c:grouping val="clustered"/>
        <c:varyColors val="0"/>
        <c:ser>
          <c:idx val="0"/>
          <c:order val="0"/>
          <c:tx>
            <c:v>Public lighting</c:v>
          </c:tx>
          <c:invertIfNegative val="0"/>
          <c:cat>
            <c:strRef>
              <c:f>Endeavour!$D$5:$N$5</c:f>
              <c:strCache>
                <c:ptCount val="11"/>
                <c:pt idx="0">
                  <c:v>2008/09</c:v>
                </c:pt>
                <c:pt idx="1">
                  <c:v>2009/10</c:v>
                </c:pt>
                <c:pt idx="2">
                  <c:v>2010/11</c:v>
                </c:pt>
                <c:pt idx="3">
                  <c:v>2011/12</c:v>
                </c:pt>
                <c:pt idx="4">
                  <c:v>2012/13</c:v>
                </c:pt>
                <c:pt idx="5">
                  <c:v>2013/14</c:v>
                </c:pt>
                <c:pt idx="6">
                  <c:v>2014/15</c:v>
                </c:pt>
                <c:pt idx="7">
                  <c:v>2015/16</c:v>
                </c:pt>
                <c:pt idx="8">
                  <c:v>2016/17</c:v>
                </c:pt>
                <c:pt idx="9">
                  <c:v>2017/18</c:v>
                </c:pt>
                <c:pt idx="10">
                  <c:v>2018/19</c:v>
                </c:pt>
              </c:strCache>
            </c:strRef>
          </c:cat>
          <c:val>
            <c:numRef>
              <c:f>Endeavour!$D$13:$N$13</c:f>
              <c:numCache>
                <c:formatCode>0</c:formatCode>
                <c:ptCount val="11"/>
                <c:pt idx="0">
                  <c:v>16826.763928234184</c:v>
                </c:pt>
                <c:pt idx="1">
                  <c:v>21656.622738432488</c:v>
                </c:pt>
                <c:pt idx="2">
                  <c:v>18411.719355996222</c:v>
                </c:pt>
                <c:pt idx="3">
                  <c:v>20167.954881964117</c:v>
                </c:pt>
                <c:pt idx="4">
                  <c:v>19125.537299338997</c:v>
                </c:pt>
                <c:pt idx="5">
                  <c:v>21876.411</c:v>
                </c:pt>
                <c:pt idx="6">
                  <c:v>22897.763999999999</c:v>
                </c:pt>
                <c:pt idx="7">
                  <c:v>22818.239000000001</c:v>
                </c:pt>
                <c:pt idx="8">
                  <c:v>23330.569</c:v>
                </c:pt>
                <c:pt idx="9">
                  <c:v>23289.771000000001</c:v>
                </c:pt>
                <c:pt idx="10">
                  <c:v>23462.271000000001</c:v>
                </c:pt>
              </c:numCache>
            </c:numRef>
          </c:val>
        </c:ser>
        <c:ser>
          <c:idx val="1"/>
          <c:order val="1"/>
          <c:tx>
            <c:v>Metering</c:v>
          </c:tx>
          <c:invertIfNegative val="0"/>
          <c:cat>
            <c:strRef>
              <c:f>Endeavour!$D$5:$N$5</c:f>
              <c:strCache>
                <c:ptCount val="11"/>
                <c:pt idx="0">
                  <c:v>2008/09</c:v>
                </c:pt>
                <c:pt idx="1">
                  <c:v>2009/10</c:v>
                </c:pt>
                <c:pt idx="2">
                  <c:v>2010/11</c:v>
                </c:pt>
                <c:pt idx="3">
                  <c:v>2011/12</c:v>
                </c:pt>
                <c:pt idx="4">
                  <c:v>2012/13</c:v>
                </c:pt>
                <c:pt idx="5">
                  <c:v>2013/14</c:v>
                </c:pt>
                <c:pt idx="6">
                  <c:v>2014/15</c:v>
                </c:pt>
                <c:pt idx="7">
                  <c:v>2015/16</c:v>
                </c:pt>
                <c:pt idx="8">
                  <c:v>2016/17</c:v>
                </c:pt>
                <c:pt idx="9">
                  <c:v>2017/18</c:v>
                </c:pt>
                <c:pt idx="10">
                  <c:v>2018/19</c:v>
                </c:pt>
              </c:strCache>
            </c:strRef>
          </c:cat>
          <c:val>
            <c:numRef>
              <c:f>Endeavour!$D$17:$N$17</c:f>
              <c:numCache>
                <c:formatCode>0</c:formatCode>
                <c:ptCount val="11"/>
                <c:pt idx="0">
                  <c:v>23210.651499457843</c:v>
                </c:pt>
                <c:pt idx="1">
                  <c:v>21185.682066068654</c:v>
                </c:pt>
                <c:pt idx="2">
                  <c:v>18210.027548283026</c:v>
                </c:pt>
                <c:pt idx="3">
                  <c:v>20128.662535009713</c:v>
                </c:pt>
                <c:pt idx="4">
                  <c:v>19739.400868890116</c:v>
                </c:pt>
                <c:pt idx="5">
                  <c:v>21584.903827790491</c:v>
                </c:pt>
                <c:pt idx="6">
                  <c:v>24080.061870376729</c:v>
                </c:pt>
                <c:pt idx="7">
                  <c:v>25325.897487813279</c:v>
                </c:pt>
                <c:pt idx="8">
                  <c:v>25952.688214729249</c:v>
                </c:pt>
                <c:pt idx="9">
                  <c:v>25519.150824323104</c:v>
                </c:pt>
                <c:pt idx="10">
                  <c:v>27340.599083667232</c:v>
                </c:pt>
              </c:numCache>
            </c:numRef>
          </c:val>
        </c:ser>
        <c:ser>
          <c:idx val="2"/>
          <c:order val="2"/>
          <c:tx>
            <c:v>Ancillary network services</c:v>
          </c:tx>
          <c:invertIfNegative val="0"/>
          <c:cat>
            <c:strRef>
              <c:f>Endeavour!$D$5:$N$5</c:f>
              <c:strCache>
                <c:ptCount val="11"/>
                <c:pt idx="0">
                  <c:v>2008/09</c:v>
                </c:pt>
                <c:pt idx="1">
                  <c:v>2009/10</c:v>
                </c:pt>
                <c:pt idx="2">
                  <c:v>2010/11</c:v>
                </c:pt>
                <c:pt idx="3">
                  <c:v>2011/12</c:v>
                </c:pt>
                <c:pt idx="4">
                  <c:v>2012/13</c:v>
                </c:pt>
                <c:pt idx="5">
                  <c:v>2013/14</c:v>
                </c:pt>
                <c:pt idx="6">
                  <c:v>2014/15</c:v>
                </c:pt>
                <c:pt idx="7">
                  <c:v>2015/16</c:v>
                </c:pt>
                <c:pt idx="8">
                  <c:v>2016/17</c:v>
                </c:pt>
                <c:pt idx="9">
                  <c:v>2017/18</c:v>
                </c:pt>
                <c:pt idx="10">
                  <c:v>2018/19</c:v>
                </c:pt>
              </c:strCache>
            </c:strRef>
          </c:cat>
          <c:val>
            <c:numRef>
              <c:f>Endeavour!$D$22:$N$22</c:f>
              <c:numCache>
                <c:formatCode>0</c:formatCode>
                <c:ptCount val="11"/>
                <c:pt idx="0">
                  <c:v>32209.220471807545</c:v>
                </c:pt>
                <c:pt idx="1">
                  <c:v>32423.270726462026</c:v>
                </c:pt>
                <c:pt idx="2">
                  <c:v>33450.953764713013</c:v>
                </c:pt>
                <c:pt idx="3">
                  <c:v>34659.743297875415</c:v>
                </c:pt>
                <c:pt idx="4">
                  <c:v>33786.520789087837</c:v>
                </c:pt>
                <c:pt idx="5">
                  <c:v>36352.985584877759</c:v>
                </c:pt>
                <c:pt idx="6">
                  <c:v>37504.518847060273</c:v>
                </c:pt>
                <c:pt idx="7">
                  <c:v>39310.097383632718</c:v>
                </c:pt>
                <c:pt idx="8">
                  <c:v>41499.600331403693</c:v>
                </c:pt>
                <c:pt idx="9">
                  <c:v>42098.944431997632</c:v>
                </c:pt>
                <c:pt idx="10">
                  <c:v>43787.230637455228</c:v>
                </c:pt>
              </c:numCache>
            </c:numRef>
          </c:val>
        </c:ser>
        <c:dLbls>
          <c:showLegendKey val="0"/>
          <c:showVal val="0"/>
          <c:showCatName val="0"/>
          <c:showSerName val="0"/>
          <c:showPercent val="0"/>
          <c:showBubbleSize val="0"/>
        </c:dLbls>
        <c:gapWidth val="150"/>
        <c:axId val="276822272"/>
        <c:axId val="116228096"/>
      </c:barChart>
      <c:catAx>
        <c:axId val="276822272"/>
        <c:scaling>
          <c:orientation val="minMax"/>
        </c:scaling>
        <c:delete val="0"/>
        <c:axPos val="b"/>
        <c:majorTickMark val="out"/>
        <c:minorTickMark val="none"/>
        <c:tickLblPos val="nextTo"/>
        <c:crossAx val="116228096"/>
        <c:crosses val="autoZero"/>
        <c:auto val="1"/>
        <c:lblAlgn val="ctr"/>
        <c:lblOffset val="100"/>
        <c:noMultiLvlLbl val="0"/>
      </c:catAx>
      <c:valAx>
        <c:axId val="116228096"/>
        <c:scaling>
          <c:orientation val="minMax"/>
        </c:scaling>
        <c:delete val="0"/>
        <c:axPos val="l"/>
        <c:majorGridlines/>
        <c:numFmt formatCode="0" sourceLinked="1"/>
        <c:majorTickMark val="out"/>
        <c:minorTickMark val="none"/>
        <c:tickLblPos val="nextTo"/>
        <c:crossAx val="276822272"/>
        <c:crosses val="autoZero"/>
        <c:crossBetween val="between"/>
      </c:valAx>
    </c:plotArea>
    <c:legend>
      <c:legendPos val="r"/>
      <c:layout>
        <c:manualLayout>
          <c:xMode val="edge"/>
          <c:yMode val="edge"/>
          <c:x val="4.641754155730532E-2"/>
          <c:y val="0.86979440069991254"/>
          <c:w val="0.90358245844269458"/>
          <c:h val="0.12615157480314962"/>
        </c:manualLayout>
      </c:layout>
      <c:overlay val="0"/>
    </c:legend>
    <c:plotVisOnly val="1"/>
    <c:dispBlanksAs val="gap"/>
    <c:showDLblsOverMax val="0"/>
  </c:chart>
  <c:spPr>
    <a:ln>
      <a:noFill/>
    </a:ln>
  </c:sp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1294685039370078"/>
          <c:y val="5.1400554097404488E-2"/>
          <c:w val="0.86341294838145233"/>
          <c:h val="0.63509733158355197"/>
        </c:manualLayout>
      </c:layout>
      <c:lineChart>
        <c:grouping val="standard"/>
        <c:varyColors val="0"/>
        <c:ser>
          <c:idx val="0"/>
          <c:order val="0"/>
          <c:tx>
            <c:strRef>
              <c:f>Endeavour!$B$33:$C$33</c:f>
              <c:strCache>
                <c:ptCount val="1"/>
                <c:pt idx="0">
                  <c:v>Public lighting</c:v>
                </c:pt>
              </c:strCache>
            </c:strRef>
          </c:tx>
          <c:marker>
            <c:symbol val="none"/>
          </c:marker>
          <c:cat>
            <c:strRef>
              <c:f>Endeavour!$D$5:$N$5</c:f>
              <c:strCache>
                <c:ptCount val="11"/>
                <c:pt idx="0">
                  <c:v>2008/09</c:v>
                </c:pt>
                <c:pt idx="1">
                  <c:v>2009/10</c:v>
                </c:pt>
                <c:pt idx="2">
                  <c:v>2010/11</c:v>
                </c:pt>
                <c:pt idx="3">
                  <c:v>2011/12</c:v>
                </c:pt>
                <c:pt idx="4">
                  <c:v>2012/13</c:v>
                </c:pt>
                <c:pt idx="5">
                  <c:v>2013/14</c:v>
                </c:pt>
                <c:pt idx="6">
                  <c:v>2014/15</c:v>
                </c:pt>
                <c:pt idx="7">
                  <c:v>2015/16</c:v>
                </c:pt>
                <c:pt idx="8">
                  <c:v>2016/17</c:v>
                </c:pt>
                <c:pt idx="9">
                  <c:v>2017/18</c:v>
                </c:pt>
                <c:pt idx="10">
                  <c:v>2018/19</c:v>
                </c:pt>
              </c:strCache>
            </c:strRef>
          </c:cat>
          <c:val>
            <c:numRef>
              <c:f>Endeavour!$D$33:$N$33</c:f>
              <c:numCache>
                <c:formatCode>0.00%</c:formatCode>
                <c:ptCount val="11"/>
                <c:pt idx="0">
                  <c:v>1.8571607601628244E-2</c:v>
                </c:pt>
                <c:pt idx="1">
                  <c:v>2.5653296774351186E-2</c:v>
                </c:pt>
                <c:pt idx="2">
                  <c:v>1.9686874911702814E-2</c:v>
                </c:pt>
                <c:pt idx="3" formatCode="General">
                  <c:v>1.8425840376874496E-2</c:v>
                </c:pt>
                <c:pt idx="4">
                  <c:v>1.9037585557591254E-2</c:v>
                </c:pt>
                <c:pt idx="5">
                  <c:v>2.1423807216416034E-2</c:v>
                </c:pt>
                <c:pt idx="6">
                  <c:v>2.7208911806974004E-2</c:v>
                </c:pt>
                <c:pt idx="7">
                  <c:v>2.9350615393899618E-2</c:v>
                </c:pt>
                <c:pt idx="8">
                  <c:v>3.1418180409767509E-2</c:v>
                </c:pt>
                <c:pt idx="9">
                  <c:v>3.0986812362698801E-2</c:v>
                </c:pt>
                <c:pt idx="10">
                  <c:v>3.1397136303825464E-2</c:v>
                </c:pt>
              </c:numCache>
            </c:numRef>
          </c:val>
          <c:smooth val="0"/>
        </c:ser>
        <c:ser>
          <c:idx val="1"/>
          <c:order val="1"/>
          <c:tx>
            <c:strRef>
              <c:f>Endeavour!$B$34:$C$34</c:f>
              <c:strCache>
                <c:ptCount val="1"/>
                <c:pt idx="0">
                  <c:v>Metering</c:v>
                </c:pt>
              </c:strCache>
            </c:strRef>
          </c:tx>
          <c:marker>
            <c:symbol val="none"/>
          </c:marker>
          <c:cat>
            <c:strRef>
              <c:f>Endeavour!$D$5:$N$5</c:f>
              <c:strCache>
                <c:ptCount val="11"/>
                <c:pt idx="0">
                  <c:v>2008/09</c:v>
                </c:pt>
                <c:pt idx="1">
                  <c:v>2009/10</c:v>
                </c:pt>
                <c:pt idx="2">
                  <c:v>2010/11</c:v>
                </c:pt>
                <c:pt idx="3">
                  <c:v>2011/12</c:v>
                </c:pt>
                <c:pt idx="4">
                  <c:v>2012/13</c:v>
                </c:pt>
                <c:pt idx="5">
                  <c:v>2013/14</c:v>
                </c:pt>
                <c:pt idx="6">
                  <c:v>2014/15</c:v>
                </c:pt>
                <c:pt idx="7">
                  <c:v>2015/16</c:v>
                </c:pt>
                <c:pt idx="8">
                  <c:v>2016/17</c:v>
                </c:pt>
                <c:pt idx="9">
                  <c:v>2017/18</c:v>
                </c:pt>
                <c:pt idx="10">
                  <c:v>2018/19</c:v>
                </c:pt>
              </c:strCache>
            </c:strRef>
          </c:cat>
          <c:val>
            <c:numRef>
              <c:f>Endeavour!$D$34:$N$34</c:f>
              <c:numCache>
                <c:formatCode>0.00%</c:formatCode>
                <c:ptCount val="11"/>
                <c:pt idx="0">
                  <c:v>2.561746950658688E-2</c:v>
                </c:pt>
                <c:pt idx="1">
                  <c:v>2.509544521193641E-2</c:v>
                </c:pt>
                <c:pt idx="2">
                  <c:v>1.9471214368958784E-2</c:v>
                </c:pt>
                <c:pt idx="3">
                  <c:v>1.8389942115635223E-2</c:v>
                </c:pt>
                <c:pt idx="4">
                  <c:v>1.9648626180560923E-2</c:v>
                </c:pt>
                <c:pt idx="5">
                  <c:v>2.1138331072288959E-2</c:v>
                </c:pt>
                <c:pt idx="6">
                  <c:v>2.8613810489860843E-2</c:v>
                </c:pt>
                <c:pt idx="7">
                  <c:v>3.2576163159222585E-2</c:v>
                </c:pt>
                <c:pt idx="8">
                  <c:v>3.4949265080024862E-2</c:v>
                </c:pt>
                <c:pt idx="9">
                  <c:v>3.3952980398506728E-2</c:v>
                </c:pt>
                <c:pt idx="10">
                  <c:v>3.6587102589435851E-2</c:v>
                </c:pt>
              </c:numCache>
            </c:numRef>
          </c:val>
          <c:smooth val="0"/>
        </c:ser>
        <c:ser>
          <c:idx val="2"/>
          <c:order val="2"/>
          <c:tx>
            <c:strRef>
              <c:f>Endeavour!$B$35:$C$35</c:f>
              <c:strCache>
                <c:ptCount val="1"/>
                <c:pt idx="0">
                  <c:v>Ancillary services</c:v>
                </c:pt>
              </c:strCache>
            </c:strRef>
          </c:tx>
          <c:marker>
            <c:symbol val="none"/>
          </c:marker>
          <c:cat>
            <c:strRef>
              <c:f>Endeavour!$D$5:$N$5</c:f>
              <c:strCache>
                <c:ptCount val="11"/>
                <c:pt idx="0">
                  <c:v>2008/09</c:v>
                </c:pt>
                <c:pt idx="1">
                  <c:v>2009/10</c:v>
                </c:pt>
                <c:pt idx="2">
                  <c:v>2010/11</c:v>
                </c:pt>
                <c:pt idx="3">
                  <c:v>2011/12</c:v>
                </c:pt>
                <c:pt idx="4">
                  <c:v>2012/13</c:v>
                </c:pt>
                <c:pt idx="5">
                  <c:v>2013/14</c:v>
                </c:pt>
                <c:pt idx="6">
                  <c:v>2014/15</c:v>
                </c:pt>
                <c:pt idx="7">
                  <c:v>2015/16</c:v>
                </c:pt>
                <c:pt idx="8">
                  <c:v>2016/17</c:v>
                </c:pt>
                <c:pt idx="9">
                  <c:v>2017/18</c:v>
                </c:pt>
                <c:pt idx="10">
                  <c:v>2018/19</c:v>
                </c:pt>
              </c:strCache>
            </c:strRef>
          </c:cat>
          <c:val>
            <c:numRef>
              <c:f>Endeavour!$D$35:$N$35</c:f>
              <c:numCache>
                <c:formatCode>0.00%</c:formatCode>
                <c:ptCount val="11"/>
                <c:pt idx="0">
                  <c:v>3.5549141017723558E-2</c:v>
                </c:pt>
                <c:pt idx="1">
                  <c:v>3.8406901961910739E-2</c:v>
                </c:pt>
                <c:pt idx="2">
                  <c:v>3.5767693918742488E-2</c:v>
                </c:pt>
                <c:pt idx="3">
                  <c:v>3.1665823393983251E-2</c:v>
                </c:pt>
                <c:pt idx="4">
                  <c:v>3.3631148246895295E-2</c:v>
                </c:pt>
                <c:pt idx="5">
                  <c:v>3.5600874152143705E-2</c:v>
                </c:pt>
                <c:pt idx="6">
                  <c:v>4.4565798899519511E-2</c:v>
                </c:pt>
                <c:pt idx="7">
                  <c:v>5.0563741987440111E-2</c:v>
                </c:pt>
                <c:pt idx="8">
                  <c:v>5.5885560705582822E-2</c:v>
                </c:pt>
                <c:pt idx="9">
                  <c:v>5.6012233515820915E-2</c:v>
                </c:pt>
                <c:pt idx="10">
                  <c:v>5.8595932537443808E-2</c:v>
                </c:pt>
              </c:numCache>
            </c:numRef>
          </c:val>
          <c:smooth val="0"/>
        </c:ser>
        <c:dLbls>
          <c:showLegendKey val="0"/>
          <c:showVal val="0"/>
          <c:showCatName val="0"/>
          <c:showSerName val="0"/>
          <c:showPercent val="0"/>
          <c:showBubbleSize val="0"/>
        </c:dLbls>
        <c:marker val="1"/>
        <c:smooth val="0"/>
        <c:axId val="116257920"/>
        <c:axId val="116259456"/>
      </c:lineChart>
      <c:catAx>
        <c:axId val="116257920"/>
        <c:scaling>
          <c:orientation val="minMax"/>
        </c:scaling>
        <c:delete val="0"/>
        <c:axPos val="b"/>
        <c:majorTickMark val="out"/>
        <c:minorTickMark val="none"/>
        <c:tickLblPos val="nextTo"/>
        <c:crossAx val="116259456"/>
        <c:crosses val="autoZero"/>
        <c:auto val="1"/>
        <c:lblAlgn val="ctr"/>
        <c:lblOffset val="100"/>
        <c:noMultiLvlLbl val="0"/>
      </c:catAx>
      <c:valAx>
        <c:axId val="116259456"/>
        <c:scaling>
          <c:orientation val="minMax"/>
        </c:scaling>
        <c:delete val="0"/>
        <c:axPos val="l"/>
        <c:majorGridlines/>
        <c:numFmt formatCode="0.00%" sourceLinked="1"/>
        <c:majorTickMark val="out"/>
        <c:minorTickMark val="none"/>
        <c:tickLblPos val="nextTo"/>
        <c:crossAx val="116257920"/>
        <c:crosses val="autoZero"/>
        <c:crossBetween val="between"/>
      </c:valAx>
    </c:plotArea>
    <c:legend>
      <c:legendPos val="r"/>
      <c:layout>
        <c:manualLayout>
          <c:xMode val="edge"/>
          <c:yMode val="edge"/>
          <c:x val="0"/>
          <c:y val="0.84201662292213475"/>
          <c:w val="0.97086242344706908"/>
          <c:h val="0.15392935258092738"/>
        </c:manualLayout>
      </c:layout>
      <c:overlay val="0"/>
    </c:legend>
    <c:plotVisOnly val="1"/>
    <c:dispBlanksAs val="gap"/>
    <c:showDLblsOverMax val="0"/>
  </c:chart>
  <c:spPr>
    <a:ln>
      <a:noFill/>
    </a:ln>
  </c:sp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0716907261592301"/>
          <c:y val="5.1400554097404488E-2"/>
          <c:w val="0.86142760279965003"/>
          <c:h val="0.6423458005249344"/>
        </c:manualLayout>
      </c:layout>
      <c:barChart>
        <c:barDir val="col"/>
        <c:grouping val="clustered"/>
        <c:varyColors val="0"/>
        <c:ser>
          <c:idx val="0"/>
          <c:order val="0"/>
          <c:tx>
            <c:v>Actual</c:v>
          </c:tx>
          <c:invertIfNegative val="0"/>
          <c:dLbls>
            <c:showLegendKey val="0"/>
            <c:showVal val="1"/>
            <c:showCatName val="0"/>
            <c:showSerName val="0"/>
            <c:showPercent val="0"/>
            <c:showBubbleSize val="0"/>
            <c:showLeaderLines val="0"/>
          </c:dLbls>
          <c:cat>
            <c:strRef>
              <c:f>Charts!$B$24:$L$24</c:f>
              <c:strCache>
                <c:ptCount val="11"/>
                <c:pt idx="0">
                  <c:v>2008-09</c:v>
                </c:pt>
                <c:pt idx="1">
                  <c:v>2009-10</c:v>
                </c:pt>
                <c:pt idx="2">
                  <c:v>2010-11</c:v>
                </c:pt>
                <c:pt idx="3">
                  <c:v>2011-12</c:v>
                </c:pt>
                <c:pt idx="4">
                  <c:v>2012-13</c:v>
                </c:pt>
                <c:pt idx="5">
                  <c:v>2013-14</c:v>
                </c:pt>
                <c:pt idx="6">
                  <c:v>2014-15</c:v>
                </c:pt>
                <c:pt idx="7">
                  <c:v>2015-16</c:v>
                </c:pt>
                <c:pt idx="8">
                  <c:v>2016-17</c:v>
                </c:pt>
                <c:pt idx="9">
                  <c:v>2017-18</c:v>
                </c:pt>
                <c:pt idx="10">
                  <c:v>2018-19</c:v>
                </c:pt>
              </c:strCache>
            </c:strRef>
          </c:cat>
          <c:val>
            <c:numRef>
              <c:f>Charts!$B$25:$L$25</c:f>
              <c:numCache>
                <c:formatCode>0.0</c:formatCode>
                <c:ptCount val="11"/>
                <c:pt idx="0">
                  <c:v>19.511616573279028</c:v>
                </c:pt>
                <c:pt idx="1">
                  <c:v>18.611890040838549</c:v>
                </c:pt>
                <c:pt idx="2">
                  <c:v>15.386612262418582</c:v>
                </c:pt>
                <c:pt idx="3">
                  <c:v>16.269593337086668</c:v>
                </c:pt>
                <c:pt idx="4">
                  <c:v>16.719379730640522</c:v>
                </c:pt>
              </c:numCache>
            </c:numRef>
          </c:val>
        </c:ser>
        <c:ser>
          <c:idx val="1"/>
          <c:order val="1"/>
          <c:tx>
            <c:v>Estimate</c:v>
          </c:tx>
          <c:invertIfNegative val="0"/>
          <c:dLbls>
            <c:dLbl>
              <c:idx val="5"/>
              <c:layout/>
              <c:tx>
                <c:rich>
                  <a:bodyPr/>
                  <a:lstStyle/>
                  <a:p>
                    <a:r>
                      <a:rPr lang="en-US"/>
                      <a:t>No data</a:t>
                    </a:r>
                  </a:p>
                </c:rich>
              </c:tx>
              <c:showLegendKey val="0"/>
              <c:showVal val="1"/>
              <c:showCatName val="0"/>
              <c:showSerName val="0"/>
              <c:showPercent val="0"/>
              <c:showBubbleSize val="0"/>
            </c:dLbl>
            <c:showLegendKey val="0"/>
            <c:showVal val="1"/>
            <c:showCatName val="0"/>
            <c:showSerName val="0"/>
            <c:showPercent val="0"/>
            <c:showBubbleSize val="0"/>
            <c:showLeaderLines val="0"/>
          </c:dLbls>
          <c:cat>
            <c:strRef>
              <c:f>Charts!$B$24:$L$24</c:f>
              <c:strCache>
                <c:ptCount val="11"/>
                <c:pt idx="0">
                  <c:v>2008-09</c:v>
                </c:pt>
                <c:pt idx="1">
                  <c:v>2009-10</c:v>
                </c:pt>
                <c:pt idx="2">
                  <c:v>2010-11</c:v>
                </c:pt>
                <c:pt idx="3">
                  <c:v>2011-12</c:v>
                </c:pt>
                <c:pt idx="4">
                  <c:v>2012-13</c:v>
                </c:pt>
                <c:pt idx="5">
                  <c:v>2013-14</c:v>
                </c:pt>
                <c:pt idx="6">
                  <c:v>2014-15</c:v>
                </c:pt>
                <c:pt idx="7">
                  <c:v>2015-16</c:v>
                </c:pt>
                <c:pt idx="8">
                  <c:v>2016-17</c:v>
                </c:pt>
                <c:pt idx="9">
                  <c:v>2017-18</c:v>
                </c:pt>
                <c:pt idx="10">
                  <c:v>2018-19</c:v>
                </c:pt>
              </c:strCache>
            </c:strRef>
          </c:cat>
          <c:val>
            <c:numRef>
              <c:f>Charts!$B$26:$L$26</c:f>
              <c:numCache>
                <c:formatCode>General</c:formatCode>
                <c:ptCount val="11"/>
                <c:pt idx="5" formatCode="#,##0.00">
                  <c:v>0</c:v>
                </c:pt>
              </c:numCache>
            </c:numRef>
          </c:val>
        </c:ser>
        <c:ser>
          <c:idx val="2"/>
          <c:order val="2"/>
          <c:tx>
            <c:v>Proposed</c:v>
          </c:tx>
          <c:invertIfNegative val="0"/>
          <c:dLbls>
            <c:showLegendKey val="0"/>
            <c:showVal val="1"/>
            <c:showCatName val="0"/>
            <c:showSerName val="0"/>
            <c:showPercent val="0"/>
            <c:showBubbleSize val="0"/>
            <c:showLeaderLines val="0"/>
          </c:dLbls>
          <c:cat>
            <c:strRef>
              <c:f>Charts!$B$24:$L$24</c:f>
              <c:strCache>
                <c:ptCount val="11"/>
                <c:pt idx="0">
                  <c:v>2008-09</c:v>
                </c:pt>
                <c:pt idx="1">
                  <c:v>2009-10</c:v>
                </c:pt>
                <c:pt idx="2">
                  <c:v>2010-11</c:v>
                </c:pt>
                <c:pt idx="3">
                  <c:v>2011-12</c:v>
                </c:pt>
                <c:pt idx="4">
                  <c:v>2012-13</c:v>
                </c:pt>
                <c:pt idx="5">
                  <c:v>2013-14</c:v>
                </c:pt>
                <c:pt idx="6">
                  <c:v>2014-15</c:v>
                </c:pt>
                <c:pt idx="7">
                  <c:v>2015-16</c:v>
                </c:pt>
                <c:pt idx="8">
                  <c:v>2016-17</c:v>
                </c:pt>
                <c:pt idx="9">
                  <c:v>2017-18</c:v>
                </c:pt>
                <c:pt idx="10">
                  <c:v>2018-19</c:v>
                </c:pt>
              </c:strCache>
            </c:strRef>
          </c:cat>
          <c:val>
            <c:numRef>
              <c:f>Charts!$B$27:$L$27</c:f>
              <c:numCache>
                <c:formatCode>General</c:formatCode>
                <c:ptCount val="11"/>
                <c:pt idx="6" formatCode="#,##0.0">
                  <c:v>19.916669945264548</c:v>
                </c:pt>
                <c:pt idx="7" formatCode="#,##0.0">
                  <c:v>20.145305665784907</c:v>
                </c:pt>
                <c:pt idx="8" formatCode="#,##0.0">
                  <c:v>20.903291460028029</c:v>
                </c:pt>
                <c:pt idx="9" formatCode="#,##0.0">
                  <c:v>20.962356349486097</c:v>
                </c:pt>
                <c:pt idx="10" formatCode="#,##0.0">
                  <c:v>21.447481394290016</c:v>
                </c:pt>
              </c:numCache>
            </c:numRef>
          </c:val>
        </c:ser>
        <c:dLbls>
          <c:showLegendKey val="0"/>
          <c:showVal val="0"/>
          <c:showCatName val="0"/>
          <c:showSerName val="0"/>
          <c:showPercent val="0"/>
          <c:showBubbleSize val="0"/>
        </c:dLbls>
        <c:gapWidth val="71"/>
        <c:overlap val="91"/>
        <c:axId val="281475712"/>
        <c:axId val="281543040"/>
      </c:barChart>
      <c:lineChart>
        <c:grouping val="standard"/>
        <c:varyColors val="0"/>
        <c:ser>
          <c:idx val="3"/>
          <c:order val="3"/>
          <c:tx>
            <c:v>Draft Decision</c:v>
          </c:tx>
          <c:marker>
            <c:symbol val="none"/>
          </c:marker>
          <c:dLbls>
            <c:dLbl>
              <c:idx val="6"/>
              <c:layout>
                <c:manualLayout>
                  <c:x val="-4.5360215982947615E-2"/>
                  <c:y val="-5.6030548264800237E-2"/>
                </c:manualLayout>
              </c:layout>
              <c:dLblPos val="r"/>
              <c:showLegendKey val="0"/>
              <c:showVal val="1"/>
              <c:showCatName val="0"/>
              <c:showSerName val="0"/>
              <c:showPercent val="0"/>
              <c:showBubbleSize val="0"/>
            </c:dLbl>
            <c:dLbl>
              <c:idx val="7"/>
              <c:layout>
                <c:manualLayout>
                  <c:x val="-4.5360215982947615E-2"/>
                  <c:y val="-5.6030183727034118E-2"/>
                </c:manualLayout>
              </c:layout>
              <c:dLblPos val="r"/>
              <c:showLegendKey val="0"/>
              <c:showVal val="1"/>
              <c:showCatName val="0"/>
              <c:showSerName val="0"/>
              <c:showPercent val="0"/>
              <c:showBubbleSize val="0"/>
            </c:dLbl>
            <c:dLbl>
              <c:idx val="8"/>
              <c:layout>
                <c:manualLayout>
                  <c:x val="-4.8131578166379495E-2"/>
                  <c:y val="-6.0659813356663747E-2"/>
                </c:manualLayout>
              </c:layout>
              <c:dLblPos val="r"/>
              <c:showLegendKey val="0"/>
              <c:showVal val="1"/>
              <c:showCatName val="0"/>
              <c:showSerName val="0"/>
              <c:showPercent val="0"/>
              <c:showBubbleSize val="0"/>
            </c:dLbl>
            <c:dLbl>
              <c:idx val="9"/>
              <c:layout>
                <c:manualLayout>
                  <c:x val="-4.8131578166379495E-2"/>
                  <c:y val="-6.0660177894429866E-2"/>
                </c:manualLayout>
              </c:layout>
              <c:dLblPos val="r"/>
              <c:showLegendKey val="0"/>
              <c:showVal val="1"/>
              <c:showCatName val="0"/>
              <c:showSerName val="0"/>
              <c:showPercent val="0"/>
              <c:showBubbleSize val="0"/>
            </c:dLbl>
            <c:dLbl>
              <c:idx val="10"/>
              <c:layout>
                <c:manualLayout>
                  <c:x val="-3.4899305719218676E-2"/>
                  <c:y val="-6.5289442986293383E-2"/>
                </c:manualLayout>
              </c:layout>
              <c:dLblPos val="r"/>
              <c:showLegendKey val="0"/>
              <c:showVal val="1"/>
              <c:showCatName val="0"/>
              <c:showSerName val="0"/>
              <c:showPercent val="0"/>
              <c:showBubbleSize val="0"/>
            </c:dLbl>
            <c:dLblPos val="t"/>
            <c:showLegendKey val="0"/>
            <c:showVal val="1"/>
            <c:showCatName val="0"/>
            <c:showSerName val="0"/>
            <c:showPercent val="0"/>
            <c:showBubbleSize val="0"/>
            <c:showLeaderLines val="0"/>
          </c:dLbls>
          <c:cat>
            <c:strRef>
              <c:f>Charts!$B$24:$L$24</c:f>
              <c:strCache>
                <c:ptCount val="11"/>
                <c:pt idx="0">
                  <c:v>2008-09</c:v>
                </c:pt>
                <c:pt idx="1">
                  <c:v>2009-10</c:v>
                </c:pt>
                <c:pt idx="2">
                  <c:v>2010-11</c:v>
                </c:pt>
                <c:pt idx="3">
                  <c:v>2011-12</c:v>
                </c:pt>
                <c:pt idx="4">
                  <c:v>2012-13</c:v>
                </c:pt>
                <c:pt idx="5">
                  <c:v>2013-14</c:v>
                </c:pt>
                <c:pt idx="6">
                  <c:v>2014-15</c:v>
                </c:pt>
                <c:pt idx="7">
                  <c:v>2015-16</c:v>
                </c:pt>
                <c:pt idx="8">
                  <c:v>2016-17</c:v>
                </c:pt>
                <c:pt idx="9">
                  <c:v>2017-18</c:v>
                </c:pt>
                <c:pt idx="10">
                  <c:v>2018-19</c:v>
                </c:pt>
              </c:strCache>
            </c:strRef>
          </c:cat>
          <c:val>
            <c:numRef>
              <c:f>Charts!$B$28:$L$28</c:f>
              <c:numCache>
                <c:formatCode>General</c:formatCode>
                <c:ptCount val="11"/>
                <c:pt idx="6" formatCode="#,##0.0">
                  <c:v>13.244988695713147</c:v>
                </c:pt>
                <c:pt idx="7" formatCode="#,##0.0">
                  <c:v>13.405957894292133</c:v>
                </c:pt>
                <c:pt idx="8" formatCode="#,##0.0">
                  <c:v>13.572197061634588</c:v>
                </c:pt>
                <c:pt idx="9" formatCode="#,##0.0">
                  <c:v>13.747440136910223</c:v>
                </c:pt>
                <c:pt idx="10" formatCode="#,##0.0">
                  <c:v>13.947048973421614</c:v>
                </c:pt>
              </c:numCache>
            </c:numRef>
          </c:val>
          <c:smooth val="0"/>
        </c:ser>
        <c:dLbls>
          <c:showLegendKey val="0"/>
          <c:showVal val="0"/>
          <c:showCatName val="0"/>
          <c:showSerName val="0"/>
          <c:showPercent val="0"/>
          <c:showBubbleSize val="0"/>
        </c:dLbls>
        <c:marker val="1"/>
        <c:smooth val="0"/>
        <c:axId val="281475712"/>
        <c:axId val="281543040"/>
      </c:lineChart>
      <c:catAx>
        <c:axId val="281475712"/>
        <c:scaling>
          <c:orientation val="minMax"/>
        </c:scaling>
        <c:delete val="0"/>
        <c:axPos val="b"/>
        <c:majorTickMark val="out"/>
        <c:minorTickMark val="none"/>
        <c:tickLblPos val="nextTo"/>
        <c:crossAx val="281543040"/>
        <c:crosses val="autoZero"/>
        <c:auto val="1"/>
        <c:lblAlgn val="ctr"/>
        <c:lblOffset val="100"/>
        <c:noMultiLvlLbl val="0"/>
      </c:catAx>
      <c:valAx>
        <c:axId val="281543040"/>
        <c:scaling>
          <c:orientation val="minMax"/>
        </c:scaling>
        <c:delete val="0"/>
        <c:axPos val="l"/>
        <c:majorGridlines/>
        <c:numFmt formatCode="0.0" sourceLinked="1"/>
        <c:majorTickMark val="out"/>
        <c:minorTickMark val="none"/>
        <c:tickLblPos val="nextTo"/>
        <c:crossAx val="281475712"/>
        <c:crosses val="autoZero"/>
        <c:crossBetween val="between"/>
      </c:valAx>
    </c:plotArea>
    <c:legend>
      <c:legendPos val="r"/>
      <c:layout>
        <c:manualLayout>
          <c:xMode val="edge"/>
          <c:yMode val="edge"/>
          <c:x val="3.248556430446195E-2"/>
          <c:y val="0.87423228346456694"/>
          <c:w val="0.96751443569553808"/>
          <c:h val="0.12576771653543306"/>
        </c:manualLayout>
      </c:layout>
      <c:overlay val="0"/>
    </c:legend>
    <c:plotVisOnly val="1"/>
    <c:dispBlanksAs val="gap"/>
    <c:showDLblsOverMax val="0"/>
  </c:chart>
  <c:spPr>
    <a:ln>
      <a:noFill/>
    </a:ln>
  </c:sp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1087729658792651"/>
          <c:y val="7.4548702245552642E-2"/>
          <c:w val="0.8583727034120735"/>
          <c:h val="0.77706401283172932"/>
        </c:manualLayout>
      </c:layout>
      <c:scatterChart>
        <c:scatterStyle val="lineMarker"/>
        <c:varyColors val="0"/>
        <c:ser>
          <c:idx val="0"/>
          <c:order val="0"/>
          <c:spPr>
            <a:ln w="28575">
              <a:noFill/>
            </a:ln>
          </c:spPr>
          <c:dPt>
            <c:idx val="1"/>
            <c:marker>
              <c:spPr>
                <a:solidFill>
                  <a:srgbClr val="FFC000"/>
                </a:solidFill>
              </c:spPr>
            </c:marker>
            <c:bubble3D val="0"/>
          </c:dPt>
          <c:dPt>
            <c:idx val="4"/>
            <c:marker>
              <c:spPr>
                <a:solidFill>
                  <a:srgbClr val="00B050"/>
                </a:solidFill>
              </c:spPr>
            </c:marker>
            <c:bubble3D val="0"/>
          </c:dPt>
          <c:dPt>
            <c:idx val="8"/>
            <c:marker>
              <c:spPr>
                <a:solidFill>
                  <a:srgbClr val="FF0000"/>
                </a:solidFill>
              </c:spPr>
            </c:marker>
            <c:bubble3D val="0"/>
          </c:dPt>
          <c:trendline>
            <c:trendlineType val="linear"/>
            <c:dispRSqr val="0"/>
            <c:dispEq val="0"/>
          </c:trendline>
          <c:xVal>
            <c:numRef>
              <c:f>('base benchmarking graph'!$C$3:$C$10,'base benchmarking graph'!$C$12)</c:f>
              <c:numCache>
                <c:formatCode>0</c:formatCode>
                <c:ptCount val="9"/>
                <c:pt idx="0">
                  <c:v>42.623696046262317</c:v>
                </c:pt>
                <c:pt idx="1">
                  <c:v>34.143576453445412</c:v>
                </c:pt>
                <c:pt idx="2" formatCode="0.0">
                  <c:v>4.6241594555564784</c:v>
                </c:pt>
                <c:pt idx="3">
                  <c:v>44.478835326665092</c:v>
                </c:pt>
                <c:pt idx="4">
                  <c:v>31.841021568165687</c:v>
                </c:pt>
                <c:pt idx="5" formatCode="0.0">
                  <c:v>4.858988263050076</c:v>
                </c:pt>
                <c:pt idx="6">
                  <c:v>10.275672739451212</c:v>
                </c:pt>
                <c:pt idx="7">
                  <c:v>12.863454524603178</c:v>
                </c:pt>
                <c:pt idx="8">
                  <c:v>34.143576453445412</c:v>
                </c:pt>
              </c:numCache>
            </c:numRef>
          </c:xVal>
          <c:yVal>
            <c:numRef>
              <c:f>('base benchmarking graph'!$D$3:$D$10,'base benchmarking graph'!$D$12)</c:f>
              <c:numCache>
                <c:formatCode>0</c:formatCode>
                <c:ptCount val="9"/>
                <c:pt idx="0">
                  <c:v>11.436999280067953</c:v>
                </c:pt>
                <c:pt idx="1">
                  <c:v>19.844424262016449</c:v>
                </c:pt>
                <c:pt idx="2">
                  <c:v>53.542261950461949</c:v>
                </c:pt>
                <c:pt idx="3">
                  <c:v>15.748858552084332</c:v>
                </c:pt>
                <c:pt idx="4">
                  <c:v>14.349589703652072</c:v>
                </c:pt>
                <c:pt idx="5">
                  <c:v>32.203214007591342</c:v>
                </c:pt>
                <c:pt idx="6">
                  <c:v>10.040582532565933</c:v>
                </c:pt>
                <c:pt idx="7">
                  <c:v>38.863273452458145</c:v>
                </c:pt>
                <c:pt idx="8">
                  <c:v>21.841019472276916</c:v>
                </c:pt>
              </c:numCache>
            </c:numRef>
          </c:yVal>
          <c:smooth val="0"/>
        </c:ser>
        <c:dLbls>
          <c:showLegendKey val="0"/>
          <c:showVal val="0"/>
          <c:showCatName val="0"/>
          <c:showSerName val="0"/>
          <c:showPercent val="0"/>
          <c:showBubbleSize val="0"/>
        </c:dLbls>
        <c:axId val="281581824"/>
        <c:axId val="281596288"/>
      </c:scatterChart>
      <c:valAx>
        <c:axId val="281581824"/>
        <c:scaling>
          <c:orientation val="minMax"/>
        </c:scaling>
        <c:delete val="0"/>
        <c:axPos val="b"/>
        <c:title>
          <c:tx>
            <c:rich>
              <a:bodyPr/>
              <a:lstStyle/>
              <a:p>
                <a:pPr>
                  <a:defRPr/>
                </a:pPr>
                <a:r>
                  <a:rPr lang="en-AU"/>
                  <a:t>Customer density (per km)</a:t>
                </a:r>
              </a:p>
            </c:rich>
          </c:tx>
          <c:layout/>
          <c:overlay val="0"/>
        </c:title>
        <c:numFmt formatCode="0" sourceLinked="1"/>
        <c:majorTickMark val="out"/>
        <c:minorTickMark val="none"/>
        <c:tickLblPos val="nextTo"/>
        <c:crossAx val="281596288"/>
        <c:crosses val="autoZero"/>
        <c:crossBetween val="midCat"/>
      </c:valAx>
      <c:valAx>
        <c:axId val="281596288"/>
        <c:scaling>
          <c:orientation val="minMax"/>
        </c:scaling>
        <c:delete val="0"/>
        <c:axPos val="l"/>
        <c:majorGridlines/>
        <c:title>
          <c:tx>
            <c:rich>
              <a:bodyPr rot="-5400000" vert="horz"/>
              <a:lstStyle/>
              <a:p>
                <a:pPr>
                  <a:defRPr/>
                </a:pPr>
                <a:r>
                  <a:rPr lang="en-AU"/>
                  <a:t>Opex</a:t>
                </a:r>
                <a:r>
                  <a:rPr lang="en-AU" baseline="0"/>
                  <a:t> per customer</a:t>
                </a:r>
                <a:endParaRPr lang="en-AU"/>
              </a:p>
            </c:rich>
          </c:tx>
          <c:layout/>
          <c:overlay val="0"/>
        </c:title>
        <c:numFmt formatCode="0" sourceLinked="1"/>
        <c:majorTickMark val="out"/>
        <c:minorTickMark val="none"/>
        <c:tickLblPos val="nextTo"/>
        <c:crossAx val="281581824"/>
        <c:crosses val="autoZero"/>
        <c:crossBetween val="midCat"/>
      </c:valAx>
    </c:plotArea>
    <c:plotVisOnly val="1"/>
    <c:dispBlanksAs val="gap"/>
    <c:showDLblsOverMax val="0"/>
  </c:chart>
  <c:spPr>
    <a:ln>
      <a:noFill/>
    </a:ln>
  </c:spPr>
  <c:externalData r:id="rId2">
    <c:autoUpdate val="0"/>
  </c:externalData>
  <c:userShapes r:id="rId3"/>
</c:chartSpace>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9CD7626F-1621-43AB-B18B-BA1BBF5BA093}" type="doc">
      <dgm:prSet loTypeId="urn:microsoft.com/office/officeart/2005/8/layout/hierarchy2" loCatId="hierarchy" qsTypeId="urn:microsoft.com/office/officeart/2005/8/quickstyle/simple1" qsCatId="simple" csTypeId="urn:microsoft.com/office/officeart/2005/8/colors/accent1_2" csCatId="accent1" phldr="1"/>
      <dgm:spPr/>
      <dgm:t>
        <a:bodyPr/>
        <a:lstStyle/>
        <a:p>
          <a:endParaRPr lang="en-AU"/>
        </a:p>
      </dgm:t>
    </dgm:pt>
    <dgm:pt modelId="{86368982-9867-4895-8910-D80A0A81B495}">
      <dgm:prSet phldrT="[Text]" custT="1"/>
      <dgm:spPr>
        <a:xfrm>
          <a:off x="1214417" y="2698773"/>
          <a:ext cx="1041426" cy="520713"/>
        </a:xfrm>
        <a:prstGeom prst="roundRect">
          <a:avLst>
            <a:gd name="adj" fmla="val 10000"/>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en-AU" sz="1200" b="0" dirty="0" smtClean="0">
              <a:solidFill>
                <a:sysClr val="window" lastClr="FFFFFF"/>
              </a:solidFill>
              <a:latin typeface="Calibri"/>
              <a:ea typeface="+mn-ea"/>
              <a:cs typeface="+mn-cs"/>
            </a:rPr>
            <a:t>Exit fee</a:t>
          </a:r>
          <a:endParaRPr lang="en-AU" sz="1200" b="0" dirty="0">
            <a:solidFill>
              <a:sysClr val="window" lastClr="FFFFFF"/>
            </a:solidFill>
            <a:latin typeface="Calibri"/>
            <a:ea typeface="+mn-ea"/>
            <a:cs typeface="+mn-cs"/>
          </a:endParaRPr>
        </a:p>
      </dgm:t>
    </dgm:pt>
    <dgm:pt modelId="{222F74FD-18E0-4714-B93D-62A20C9532DA}" type="parTrans" cxnId="{60FFDF06-011C-445F-BD52-E62CE12DAEFA}">
      <dgm:prSet custT="1"/>
      <dgm:spPr/>
      <dgm:t>
        <a:bodyPr/>
        <a:lstStyle/>
        <a:p>
          <a:endParaRPr lang="en-AU" sz="1200" b="0" dirty="0"/>
        </a:p>
      </dgm:t>
    </dgm:pt>
    <dgm:pt modelId="{1D6F9487-DE9A-4C09-9EF3-1BAD737D9BE0}" type="sibTrans" cxnId="{60FFDF06-011C-445F-BD52-E62CE12DAEFA}">
      <dgm:prSet/>
      <dgm:spPr/>
      <dgm:t>
        <a:bodyPr/>
        <a:lstStyle/>
        <a:p>
          <a:endParaRPr lang="en-AU" sz="1200" b="0"/>
        </a:p>
      </dgm:t>
    </dgm:pt>
    <dgm:pt modelId="{CED2FE17-04E1-4C80-B779-4C850742896E}">
      <dgm:prSet phldrT="[Text]" custT="1"/>
      <dgm:spPr>
        <a:xfrm>
          <a:off x="2672414" y="2399363"/>
          <a:ext cx="1843574" cy="520713"/>
        </a:xfrm>
        <a:prstGeom prst="roundRect">
          <a:avLst>
            <a:gd name="adj" fmla="val 10000"/>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en-AU" sz="1200" b="0" dirty="0" smtClean="0">
              <a:solidFill>
                <a:sysClr val="window" lastClr="FFFFFF"/>
              </a:solidFill>
              <a:latin typeface="Calibri"/>
              <a:ea typeface="+mn-ea"/>
              <a:cs typeface="+mn-cs"/>
            </a:rPr>
            <a:t>Residual capital costs</a:t>
          </a:r>
        </a:p>
        <a:p>
          <a:r>
            <a:rPr lang="en-AU" sz="1200" b="0" dirty="0" smtClean="0">
              <a:solidFill>
                <a:sysClr val="window" lastClr="FFFFFF"/>
              </a:solidFill>
              <a:latin typeface="Calibri"/>
              <a:ea typeface="+mn-ea"/>
              <a:cs typeface="+mn-cs"/>
            </a:rPr>
            <a:t>(residual opening metering RAB recovery)</a:t>
          </a:r>
          <a:endParaRPr lang="en-AU" sz="1200" b="0" dirty="0">
            <a:solidFill>
              <a:sysClr val="window" lastClr="FFFFFF"/>
            </a:solidFill>
            <a:latin typeface="Calibri"/>
            <a:ea typeface="+mn-ea"/>
            <a:cs typeface="+mn-cs"/>
          </a:endParaRPr>
        </a:p>
      </dgm:t>
    </dgm:pt>
    <dgm:pt modelId="{F176AC8B-2E73-4E40-9CC2-4D27274A2F65}" type="parTrans" cxnId="{C1B8C58E-A548-410D-A0C1-C6197B4F4ED7}">
      <dgm:prSet custT="1"/>
      <dgm:spPr>
        <a:xfrm rot="19457599">
          <a:off x="2207624" y="2796122"/>
          <a:ext cx="513008" cy="26604"/>
        </a:xfrm>
        <a:custGeom>
          <a:avLst/>
          <a:gdLst/>
          <a:ahLst/>
          <a:cxnLst/>
          <a:rect l="0" t="0" r="0" b="0"/>
          <a:pathLst>
            <a:path>
              <a:moveTo>
                <a:pt x="0" y="13302"/>
              </a:moveTo>
              <a:lnTo>
                <a:pt x="513008" y="13302"/>
              </a:lnTo>
            </a:path>
          </a:pathLst>
        </a:custGeom>
        <a:noFill/>
        <a:ln w="25400" cap="flat" cmpd="sng" algn="ctr">
          <a:solidFill>
            <a:srgbClr val="4F81BD">
              <a:shade val="60000"/>
              <a:hueOff val="0"/>
              <a:satOff val="0"/>
              <a:lumOff val="0"/>
              <a:alphaOff val="0"/>
            </a:srgbClr>
          </a:solidFill>
          <a:prstDash val="solid"/>
        </a:ln>
        <a:effectLst/>
      </dgm:spPr>
      <dgm:t>
        <a:bodyPr/>
        <a:lstStyle/>
        <a:p>
          <a:endParaRPr lang="en-AU" sz="1200" b="0" dirty="0">
            <a:solidFill>
              <a:sysClr val="windowText" lastClr="000000">
                <a:hueOff val="0"/>
                <a:satOff val="0"/>
                <a:lumOff val="0"/>
                <a:alphaOff val="0"/>
              </a:sysClr>
            </a:solidFill>
            <a:latin typeface="Calibri"/>
            <a:ea typeface="+mn-ea"/>
            <a:cs typeface="+mn-cs"/>
          </a:endParaRPr>
        </a:p>
      </dgm:t>
    </dgm:pt>
    <dgm:pt modelId="{AE77F479-3C70-4E13-A2E5-7CCE009B92D3}" type="sibTrans" cxnId="{C1B8C58E-A548-410D-A0C1-C6197B4F4ED7}">
      <dgm:prSet/>
      <dgm:spPr/>
      <dgm:t>
        <a:bodyPr/>
        <a:lstStyle/>
        <a:p>
          <a:endParaRPr lang="en-AU" sz="1200" b="0"/>
        </a:p>
      </dgm:t>
    </dgm:pt>
    <dgm:pt modelId="{641872BB-B507-428C-94D2-917B8850A059}">
      <dgm:prSet phldrT="[Text]" custT="1"/>
      <dgm:spPr>
        <a:xfrm>
          <a:off x="2672414" y="2998183"/>
          <a:ext cx="1843574" cy="520713"/>
        </a:xfrm>
        <a:prstGeom prst="roundRect">
          <a:avLst>
            <a:gd name="adj" fmla="val 10000"/>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en-AU" sz="1200" b="0" dirty="0" smtClean="0">
              <a:solidFill>
                <a:sysClr val="window" lastClr="FFFFFF"/>
              </a:solidFill>
              <a:latin typeface="Calibri"/>
              <a:ea typeface="+mn-ea"/>
              <a:cs typeface="+mn-cs"/>
            </a:rPr>
            <a:t>Administration costs</a:t>
          </a:r>
          <a:endParaRPr lang="en-AU" sz="1200" b="0" dirty="0">
            <a:solidFill>
              <a:sysClr val="window" lastClr="FFFFFF"/>
            </a:solidFill>
            <a:latin typeface="Calibri"/>
            <a:ea typeface="+mn-ea"/>
            <a:cs typeface="+mn-cs"/>
          </a:endParaRPr>
        </a:p>
      </dgm:t>
    </dgm:pt>
    <dgm:pt modelId="{61C4E6A8-58E8-465D-8493-211B6CFAA8B1}" type="parTrans" cxnId="{6C9A1685-AB6D-43E5-8CEA-765D639A9CCE}">
      <dgm:prSet custT="1"/>
      <dgm:spPr>
        <a:xfrm rot="2142401">
          <a:off x="2207624" y="3095532"/>
          <a:ext cx="513008" cy="26604"/>
        </a:xfrm>
        <a:custGeom>
          <a:avLst/>
          <a:gdLst/>
          <a:ahLst/>
          <a:cxnLst/>
          <a:rect l="0" t="0" r="0" b="0"/>
          <a:pathLst>
            <a:path>
              <a:moveTo>
                <a:pt x="0" y="13302"/>
              </a:moveTo>
              <a:lnTo>
                <a:pt x="513008" y="13302"/>
              </a:lnTo>
            </a:path>
          </a:pathLst>
        </a:custGeom>
        <a:noFill/>
        <a:ln w="25400" cap="flat" cmpd="sng" algn="ctr">
          <a:solidFill>
            <a:srgbClr val="4F81BD">
              <a:shade val="60000"/>
              <a:hueOff val="0"/>
              <a:satOff val="0"/>
              <a:lumOff val="0"/>
              <a:alphaOff val="0"/>
            </a:srgbClr>
          </a:solidFill>
          <a:prstDash val="solid"/>
        </a:ln>
        <a:effectLst/>
      </dgm:spPr>
      <dgm:t>
        <a:bodyPr/>
        <a:lstStyle/>
        <a:p>
          <a:endParaRPr lang="en-AU" sz="1200" b="0" dirty="0">
            <a:solidFill>
              <a:sysClr val="windowText" lastClr="000000">
                <a:hueOff val="0"/>
                <a:satOff val="0"/>
                <a:lumOff val="0"/>
                <a:alphaOff val="0"/>
              </a:sysClr>
            </a:solidFill>
            <a:latin typeface="Calibri"/>
            <a:ea typeface="+mn-ea"/>
            <a:cs typeface="+mn-cs"/>
          </a:endParaRPr>
        </a:p>
      </dgm:t>
    </dgm:pt>
    <dgm:pt modelId="{E1F5B140-E68F-432E-AEE5-583A82C100D9}" type="sibTrans" cxnId="{6C9A1685-AB6D-43E5-8CEA-765D639A9CCE}">
      <dgm:prSet/>
      <dgm:spPr/>
      <dgm:t>
        <a:bodyPr/>
        <a:lstStyle/>
        <a:p>
          <a:endParaRPr lang="en-AU" sz="1200" b="0"/>
        </a:p>
      </dgm:t>
    </dgm:pt>
    <dgm:pt modelId="{83508515-A5B7-4FA5-B4A3-1603EB3ED78B}">
      <dgm:prSet phldrT="[Text]" custT="1"/>
      <dgm:spPr>
        <a:xfrm>
          <a:off x="2672414" y="1201723"/>
          <a:ext cx="1844678" cy="520713"/>
        </a:xfrm>
        <a:prstGeom prst="roundRect">
          <a:avLst>
            <a:gd name="adj" fmla="val 10000"/>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en-AU" sz="1200" b="0" dirty="0" err="1" smtClean="0">
              <a:solidFill>
                <a:sysClr val="window" lastClr="FFFFFF"/>
              </a:solidFill>
              <a:latin typeface="Calibri"/>
              <a:ea typeface="+mn-ea"/>
              <a:cs typeface="+mn-cs"/>
            </a:rPr>
            <a:t>Operating expenditure</a:t>
          </a:r>
          <a:endParaRPr lang="en-AU" sz="1200" b="0" dirty="0">
            <a:solidFill>
              <a:sysClr val="window" lastClr="FFFFFF"/>
            </a:solidFill>
            <a:latin typeface="Calibri"/>
            <a:ea typeface="+mn-ea"/>
            <a:cs typeface="+mn-cs"/>
          </a:endParaRPr>
        </a:p>
      </dgm:t>
    </dgm:pt>
    <dgm:pt modelId="{C1F3CF5E-2B97-4B64-AB85-6C1C8FA1DE33}">
      <dgm:prSet phldrT="[Text]" custT="1"/>
      <dgm:spPr>
        <a:xfrm>
          <a:off x="2672414" y="602903"/>
          <a:ext cx="1844678" cy="520713"/>
        </a:xfrm>
        <a:prstGeom prst="roundRect">
          <a:avLst>
            <a:gd name="adj" fmla="val 10000"/>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en-AU" sz="1200" b="0" dirty="0" smtClean="0">
              <a:solidFill>
                <a:sysClr val="window" lastClr="FFFFFF"/>
              </a:solidFill>
              <a:latin typeface="Calibri"/>
              <a:ea typeface="+mn-ea"/>
              <a:cs typeface="+mn-cs"/>
            </a:rPr>
            <a:t>Capital expenditure (replacement meters)</a:t>
          </a:r>
          <a:endParaRPr lang="en-AU" sz="1200" b="0" dirty="0">
            <a:solidFill>
              <a:sysClr val="window" lastClr="FFFFFF"/>
            </a:solidFill>
            <a:latin typeface="Calibri"/>
            <a:ea typeface="+mn-ea"/>
            <a:cs typeface="+mn-cs"/>
          </a:endParaRPr>
        </a:p>
      </dgm:t>
    </dgm:pt>
    <dgm:pt modelId="{1FFBB6C0-27BF-4C86-95BB-0A7763A3E2BA}">
      <dgm:prSet phldrT="[Text]" custT="1"/>
      <dgm:spPr>
        <a:xfrm>
          <a:off x="2672414" y="4083"/>
          <a:ext cx="1843574" cy="520713"/>
        </a:xfrm>
        <a:prstGeom prst="roundRect">
          <a:avLst>
            <a:gd name="adj" fmla="val 10000"/>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en-AU" sz="1200" b="0" dirty="0" smtClean="0">
              <a:solidFill>
                <a:sysClr val="window" lastClr="FFFFFF"/>
              </a:solidFill>
              <a:latin typeface="Calibri"/>
              <a:ea typeface="+mn-ea"/>
              <a:cs typeface="+mn-cs"/>
            </a:rPr>
            <a:t>Opening metering RAB</a:t>
          </a:r>
        </a:p>
      </dgm:t>
    </dgm:pt>
    <dgm:pt modelId="{0639D0B7-08DD-4858-98CA-65EAEF9D9284}">
      <dgm:prSet phldrT="[Text]" custT="1"/>
      <dgm:spPr>
        <a:xfrm>
          <a:off x="1214417" y="602903"/>
          <a:ext cx="1041426" cy="520713"/>
        </a:xfrm>
        <a:prstGeom prst="roundRect">
          <a:avLst>
            <a:gd name="adj" fmla="val 10000"/>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en-AU" sz="1200" b="0" dirty="0" smtClean="0">
              <a:solidFill>
                <a:sysClr val="window" lastClr="FFFFFF"/>
              </a:solidFill>
              <a:latin typeface="Calibri"/>
              <a:ea typeface="+mn-ea"/>
              <a:cs typeface="+mn-cs"/>
            </a:rPr>
            <a:t>Annual metering charges</a:t>
          </a:r>
          <a:endParaRPr lang="en-AU" sz="1200" b="0" dirty="0">
            <a:solidFill>
              <a:sysClr val="window" lastClr="FFFFFF"/>
            </a:solidFill>
            <a:latin typeface="Calibri"/>
            <a:ea typeface="+mn-ea"/>
            <a:cs typeface="+mn-cs"/>
          </a:endParaRPr>
        </a:p>
      </dgm:t>
    </dgm:pt>
    <dgm:pt modelId="{E9EC8D7B-7CCF-431E-81DC-B9D81011FBE9}" type="sibTrans" cxnId="{9AE864C7-AF77-4923-800D-788493F13F4B}">
      <dgm:prSet/>
      <dgm:spPr/>
      <dgm:t>
        <a:bodyPr/>
        <a:lstStyle/>
        <a:p>
          <a:endParaRPr lang="en-AU" sz="1200" b="0"/>
        </a:p>
      </dgm:t>
    </dgm:pt>
    <dgm:pt modelId="{63F666EB-FFF0-405D-8571-7864E911C7BC}" type="parTrans" cxnId="{9AE864C7-AF77-4923-800D-788493F13F4B}">
      <dgm:prSet custT="1"/>
      <dgm:spPr/>
      <dgm:t>
        <a:bodyPr/>
        <a:lstStyle/>
        <a:p>
          <a:endParaRPr lang="en-AU" sz="1200" b="0" dirty="0"/>
        </a:p>
      </dgm:t>
    </dgm:pt>
    <dgm:pt modelId="{E49FE9C3-2ABF-4B28-A4F6-6B6EF21905CC}" type="sibTrans" cxnId="{AB8545B4-4A41-46A7-A4A0-63C3639920B5}">
      <dgm:prSet/>
      <dgm:spPr/>
      <dgm:t>
        <a:bodyPr/>
        <a:lstStyle/>
        <a:p>
          <a:endParaRPr lang="en-AU" sz="1200" b="0"/>
        </a:p>
      </dgm:t>
    </dgm:pt>
    <dgm:pt modelId="{B055C1BC-22D6-4095-A5D3-B05C8D4DD1BA}" type="parTrans" cxnId="{AB8545B4-4A41-46A7-A4A0-63C3639920B5}">
      <dgm:prSet custT="1"/>
      <dgm:spPr>
        <a:xfrm rot="3310531">
          <a:off x="2099397" y="1149367"/>
          <a:ext cx="729463" cy="26604"/>
        </a:xfrm>
        <a:custGeom>
          <a:avLst/>
          <a:gdLst/>
          <a:ahLst/>
          <a:cxnLst/>
          <a:rect l="0" t="0" r="0" b="0"/>
          <a:pathLst>
            <a:path>
              <a:moveTo>
                <a:pt x="0" y="13302"/>
              </a:moveTo>
              <a:lnTo>
                <a:pt x="729463" y="13302"/>
              </a:lnTo>
            </a:path>
          </a:pathLst>
        </a:custGeom>
        <a:noFill/>
        <a:ln w="25400" cap="flat" cmpd="sng" algn="ctr">
          <a:solidFill>
            <a:srgbClr val="4F81BD">
              <a:shade val="60000"/>
              <a:hueOff val="0"/>
              <a:satOff val="0"/>
              <a:lumOff val="0"/>
              <a:alphaOff val="0"/>
            </a:srgbClr>
          </a:solidFill>
          <a:prstDash val="solid"/>
        </a:ln>
        <a:effectLst/>
      </dgm:spPr>
      <dgm:t>
        <a:bodyPr/>
        <a:lstStyle/>
        <a:p>
          <a:endParaRPr lang="en-AU" sz="1200" b="0" dirty="0">
            <a:solidFill>
              <a:sysClr val="windowText" lastClr="000000">
                <a:hueOff val="0"/>
                <a:satOff val="0"/>
                <a:lumOff val="0"/>
                <a:alphaOff val="0"/>
              </a:sysClr>
            </a:solidFill>
            <a:latin typeface="Calibri"/>
            <a:ea typeface="+mn-ea"/>
            <a:cs typeface="+mn-cs"/>
          </a:endParaRPr>
        </a:p>
      </dgm:t>
    </dgm:pt>
    <dgm:pt modelId="{7BD1EDE5-83E3-4306-B2D8-127D2A8CB68D}" type="sibTrans" cxnId="{A224C7D1-24D0-4D5F-BB83-60D3F431DE1C}">
      <dgm:prSet/>
      <dgm:spPr/>
      <dgm:t>
        <a:bodyPr/>
        <a:lstStyle/>
        <a:p>
          <a:endParaRPr lang="en-AU" sz="1200" b="0"/>
        </a:p>
      </dgm:t>
    </dgm:pt>
    <dgm:pt modelId="{45C8B4A8-6321-403A-9A2D-09DAED08329A}" type="parTrans" cxnId="{A224C7D1-24D0-4D5F-BB83-60D3F431DE1C}">
      <dgm:prSet custT="1"/>
      <dgm:spPr>
        <a:xfrm>
          <a:off x="2255843" y="849957"/>
          <a:ext cx="416570" cy="26604"/>
        </a:xfrm>
        <a:custGeom>
          <a:avLst/>
          <a:gdLst/>
          <a:ahLst/>
          <a:cxnLst/>
          <a:rect l="0" t="0" r="0" b="0"/>
          <a:pathLst>
            <a:path>
              <a:moveTo>
                <a:pt x="0" y="13302"/>
              </a:moveTo>
              <a:lnTo>
                <a:pt x="416570" y="13302"/>
              </a:lnTo>
            </a:path>
          </a:pathLst>
        </a:custGeom>
        <a:noFill/>
        <a:ln w="25400" cap="flat" cmpd="sng" algn="ctr">
          <a:solidFill>
            <a:srgbClr val="4F81BD">
              <a:shade val="60000"/>
              <a:hueOff val="0"/>
              <a:satOff val="0"/>
              <a:lumOff val="0"/>
              <a:alphaOff val="0"/>
            </a:srgbClr>
          </a:solidFill>
          <a:prstDash val="solid"/>
        </a:ln>
        <a:effectLst/>
      </dgm:spPr>
      <dgm:t>
        <a:bodyPr/>
        <a:lstStyle/>
        <a:p>
          <a:endParaRPr lang="en-AU" sz="1200" b="0" dirty="0">
            <a:solidFill>
              <a:sysClr val="windowText" lastClr="000000">
                <a:hueOff val="0"/>
                <a:satOff val="0"/>
                <a:lumOff val="0"/>
                <a:alphaOff val="0"/>
              </a:sysClr>
            </a:solidFill>
            <a:latin typeface="Calibri"/>
            <a:ea typeface="+mn-ea"/>
            <a:cs typeface="+mn-cs"/>
          </a:endParaRPr>
        </a:p>
      </dgm:t>
    </dgm:pt>
    <dgm:pt modelId="{FAAE8E10-2D95-484C-9FE4-CA63DEE932E4}" type="sibTrans" cxnId="{DC10DDB8-C1A8-4979-846F-53DB05779649}">
      <dgm:prSet/>
      <dgm:spPr/>
      <dgm:t>
        <a:bodyPr/>
        <a:lstStyle/>
        <a:p>
          <a:endParaRPr lang="en-AU" sz="1200" b="0"/>
        </a:p>
      </dgm:t>
    </dgm:pt>
    <dgm:pt modelId="{5FF45FE3-BD18-4EF2-9AD6-B720D6722829}" type="parTrans" cxnId="{DC10DDB8-C1A8-4979-846F-53DB05779649}">
      <dgm:prSet custT="1"/>
      <dgm:spPr>
        <a:xfrm rot="18289469">
          <a:off x="2099397" y="550547"/>
          <a:ext cx="729463" cy="26604"/>
        </a:xfrm>
        <a:custGeom>
          <a:avLst/>
          <a:gdLst/>
          <a:ahLst/>
          <a:cxnLst/>
          <a:rect l="0" t="0" r="0" b="0"/>
          <a:pathLst>
            <a:path>
              <a:moveTo>
                <a:pt x="0" y="13302"/>
              </a:moveTo>
              <a:lnTo>
                <a:pt x="729463" y="13302"/>
              </a:lnTo>
            </a:path>
          </a:pathLst>
        </a:custGeom>
        <a:noFill/>
        <a:ln w="25400" cap="flat" cmpd="sng" algn="ctr">
          <a:solidFill>
            <a:srgbClr val="4F81BD">
              <a:shade val="60000"/>
              <a:hueOff val="0"/>
              <a:satOff val="0"/>
              <a:lumOff val="0"/>
              <a:alphaOff val="0"/>
            </a:srgbClr>
          </a:solidFill>
          <a:prstDash val="solid"/>
        </a:ln>
        <a:effectLst/>
      </dgm:spPr>
      <dgm:t>
        <a:bodyPr/>
        <a:lstStyle/>
        <a:p>
          <a:endParaRPr lang="en-AU" sz="1200" b="0" dirty="0">
            <a:solidFill>
              <a:sysClr val="windowText" lastClr="000000">
                <a:hueOff val="0"/>
                <a:satOff val="0"/>
                <a:lumOff val="0"/>
                <a:alphaOff val="0"/>
              </a:sysClr>
            </a:solidFill>
            <a:latin typeface="Calibri"/>
            <a:ea typeface="+mn-ea"/>
            <a:cs typeface="+mn-cs"/>
          </a:endParaRPr>
        </a:p>
      </dgm:t>
    </dgm:pt>
    <dgm:pt modelId="{B4E4DB1B-8735-4059-A109-4A3318C2A642}">
      <dgm:prSet phldrT="[Text]" custT="1"/>
      <dgm:spPr>
        <a:xfrm>
          <a:off x="1214417" y="1800543"/>
          <a:ext cx="1041426" cy="520713"/>
        </a:xfrm>
        <a:prstGeom prst="roundRect">
          <a:avLst>
            <a:gd name="adj" fmla="val 10000"/>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en-AU" sz="1200" b="0" dirty="0">
              <a:solidFill>
                <a:sysClr val="window" lastClr="FFFFFF"/>
              </a:solidFill>
              <a:latin typeface="Calibri"/>
              <a:ea typeface="+mn-ea"/>
              <a:cs typeface="+mn-cs"/>
            </a:rPr>
            <a:t>Upfront capital charge</a:t>
          </a:r>
        </a:p>
      </dgm:t>
    </dgm:pt>
    <dgm:pt modelId="{7438482E-E7D0-4257-BB2F-31F5C75FEB7D}" type="parTrans" cxnId="{2A91ED6B-27D9-46F6-BEFC-FF231EE35D66}">
      <dgm:prSet/>
      <dgm:spPr/>
      <dgm:t>
        <a:bodyPr/>
        <a:lstStyle/>
        <a:p>
          <a:endParaRPr lang="en-AU"/>
        </a:p>
      </dgm:t>
    </dgm:pt>
    <dgm:pt modelId="{01ACB8D2-C9E6-4679-AF26-52A8EEE0DCB8}" type="sibTrans" cxnId="{2A91ED6B-27D9-46F6-BEFC-FF231EE35D66}">
      <dgm:prSet/>
      <dgm:spPr/>
      <dgm:t>
        <a:bodyPr/>
        <a:lstStyle/>
        <a:p>
          <a:endParaRPr lang="en-AU"/>
        </a:p>
      </dgm:t>
    </dgm:pt>
    <dgm:pt modelId="{9FEE80A2-0551-425B-B470-7562B7558073}">
      <dgm:prSet phldrT="[Text]" custT="1"/>
      <dgm:spPr>
        <a:xfrm>
          <a:off x="2672414" y="1800543"/>
          <a:ext cx="1836680" cy="520713"/>
        </a:xfrm>
        <a:prstGeom prst="roundRect">
          <a:avLst>
            <a:gd name="adj" fmla="val 10000"/>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en-AU" sz="1200" b="0" dirty="0">
              <a:solidFill>
                <a:sysClr val="window" lastClr="FFFFFF"/>
              </a:solidFill>
              <a:latin typeface="Calibri"/>
              <a:ea typeface="+mn-ea"/>
              <a:cs typeface="+mn-cs"/>
            </a:rPr>
            <a:t>New/upgraded capital costs</a:t>
          </a:r>
        </a:p>
      </dgm:t>
    </dgm:pt>
    <dgm:pt modelId="{8C83A7AD-58DD-4224-9F39-3E0E74506F1B}" type="parTrans" cxnId="{DAD93D81-A7E2-42D1-94EE-B663E208B40D}">
      <dgm:prSet/>
      <dgm:spPr>
        <a:xfrm>
          <a:off x="2255843" y="2047597"/>
          <a:ext cx="416570" cy="26604"/>
        </a:xfrm>
        <a:custGeom>
          <a:avLst/>
          <a:gdLst/>
          <a:ahLst/>
          <a:cxnLst/>
          <a:rect l="0" t="0" r="0" b="0"/>
          <a:pathLst>
            <a:path>
              <a:moveTo>
                <a:pt x="0" y="13302"/>
              </a:moveTo>
              <a:lnTo>
                <a:pt x="416570" y="13302"/>
              </a:lnTo>
            </a:path>
          </a:pathLst>
        </a:custGeom>
        <a:noFill/>
        <a:ln w="25400" cap="flat" cmpd="sng" algn="ctr">
          <a:solidFill>
            <a:srgbClr val="4F81BD">
              <a:shade val="60000"/>
              <a:hueOff val="0"/>
              <a:satOff val="0"/>
              <a:lumOff val="0"/>
              <a:alphaOff val="0"/>
            </a:srgbClr>
          </a:solidFill>
          <a:prstDash val="solid"/>
        </a:ln>
        <a:effectLst/>
      </dgm:spPr>
      <dgm:t>
        <a:bodyPr/>
        <a:lstStyle/>
        <a:p>
          <a:endParaRPr lang="en-AU">
            <a:solidFill>
              <a:sysClr val="windowText" lastClr="000000">
                <a:hueOff val="0"/>
                <a:satOff val="0"/>
                <a:lumOff val="0"/>
                <a:alphaOff val="0"/>
              </a:sysClr>
            </a:solidFill>
            <a:latin typeface="Calibri"/>
            <a:ea typeface="+mn-ea"/>
            <a:cs typeface="+mn-cs"/>
          </a:endParaRPr>
        </a:p>
      </dgm:t>
    </dgm:pt>
    <dgm:pt modelId="{CECF14A0-4BF1-4DAE-A03E-C890E1F2B999}" type="sibTrans" cxnId="{DAD93D81-A7E2-42D1-94EE-B663E208B40D}">
      <dgm:prSet/>
      <dgm:spPr/>
      <dgm:t>
        <a:bodyPr/>
        <a:lstStyle/>
        <a:p>
          <a:endParaRPr lang="en-AU"/>
        </a:p>
      </dgm:t>
    </dgm:pt>
    <dgm:pt modelId="{150A8F35-E6E5-4937-A95C-ACE3AC534157}" type="pres">
      <dgm:prSet presAssocID="{9CD7626F-1621-43AB-B18B-BA1BBF5BA093}" presName="diagram" presStyleCnt="0">
        <dgm:presLayoutVars>
          <dgm:chPref val="1"/>
          <dgm:dir/>
          <dgm:animOne val="branch"/>
          <dgm:animLvl val="lvl"/>
          <dgm:resizeHandles val="exact"/>
        </dgm:presLayoutVars>
      </dgm:prSet>
      <dgm:spPr/>
      <dgm:t>
        <a:bodyPr/>
        <a:lstStyle/>
        <a:p>
          <a:endParaRPr lang="en-AU"/>
        </a:p>
      </dgm:t>
    </dgm:pt>
    <dgm:pt modelId="{DCB130BB-CB1D-4767-A43D-362BC12F8FA2}" type="pres">
      <dgm:prSet presAssocID="{0639D0B7-08DD-4858-98CA-65EAEF9D9284}" presName="root1" presStyleCnt="0"/>
      <dgm:spPr/>
    </dgm:pt>
    <dgm:pt modelId="{EB865C91-A30C-4BF7-9F6E-D428CEEAB96C}" type="pres">
      <dgm:prSet presAssocID="{0639D0B7-08DD-4858-98CA-65EAEF9D9284}" presName="LevelOneTextNode" presStyleLbl="node0" presStyleIdx="0" presStyleCnt="3">
        <dgm:presLayoutVars>
          <dgm:chPref val="3"/>
        </dgm:presLayoutVars>
      </dgm:prSet>
      <dgm:spPr/>
      <dgm:t>
        <a:bodyPr/>
        <a:lstStyle/>
        <a:p>
          <a:endParaRPr lang="en-AU"/>
        </a:p>
      </dgm:t>
    </dgm:pt>
    <dgm:pt modelId="{AD1E01C5-00F0-44CF-AE04-49F6797E9B97}" type="pres">
      <dgm:prSet presAssocID="{0639D0B7-08DD-4858-98CA-65EAEF9D9284}" presName="level2hierChild" presStyleCnt="0"/>
      <dgm:spPr/>
    </dgm:pt>
    <dgm:pt modelId="{EFB9D6EA-4CBC-45CE-A5FF-82CB4A09D588}" type="pres">
      <dgm:prSet presAssocID="{5FF45FE3-BD18-4EF2-9AD6-B720D6722829}" presName="conn2-1" presStyleLbl="parChTrans1D2" presStyleIdx="0" presStyleCnt="6"/>
      <dgm:spPr/>
      <dgm:t>
        <a:bodyPr/>
        <a:lstStyle/>
        <a:p>
          <a:endParaRPr lang="en-AU"/>
        </a:p>
      </dgm:t>
    </dgm:pt>
    <dgm:pt modelId="{84789EC5-54AA-4413-B4D4-DD3D3BFDF9E9}" type="pres">
      <dgm:prSet presAssocID="{5FF45FE3-BD18-4EF2-9AD6-B720D6722829}" presName="connTx" presStyleLbl="parChTrans1D2" presStyleIdx="0" presStyleCnt="6"/>
      <dgm:spPr/>
      <dgm:t>
        <a:bodyPr/>
        <a:lstStyle/>
        <a:p>
          <a:endParaRPr lang="en-AU"/>
        </a:p>
      </dgm:t>
    </dgm:pt>
    <dgm:pt modelId="{213832CF-9464-4421-85F3-1EE918DEABAE}" type="pres">
      <dgm:prSet presAssocID="{1FFBB6C0-27BF-4C86-95BB-0A7763A3E2BA}" presName="root2" presStyleCnt="0"/>
      <dgm:spPr/>
    </dgm:pt>
    <dgm:pt modelId="{5010102B-2148-4D2C-96EA-749D3C63A418}" type="pres">
      <dgm:prSet presAssocID="{1FFBB6C0-27BF-4C86-95BB-0A7763A3E2BA}" presName="LevelTwoTextNode" presStyleLbl="node2" presStyleIdx="0" presStyleCnt="6" custScaleX="177024">
        <dgm:presLayoutVars>
          <dgm:chPref val="3"/>
        </dgm:presLayoutVars>
      </dgm:prSet>
      <dgm:spPr/>
      <dgm:t>
        <a:bodyPr/>
        <a:lstStyle/>
        <a:p>
          <a:endParaRPr lang="en-AU"/>
        </a:p>
      </dgm:t>
    </dgm:pt>
    <dgm:pt modelId="{0BDE83D1-F5C6-404F-9768-83C4B9298879}" type="pres">
      <dgm:prSet presAssocID="{1FFBB6C0-27BF-4C86-95BB-0A7763A3E2BA}" presName="level3hierChild" presStyleCnt="0"/>
      <dgm:spPr/>
    </dgm:pt>
    <dgm:pt modelId="{ECE2060F-1B5F-47EC-BFAE-D2FA87474F51}" type="pres">
      <dgm:prSet presAssocID="{45C8B4A8-6321-403A-9A2D-09DAED08329A}" presName="conn2-1" presStyleLbl="parChTrans1D2" presStyleIdx="1" presStyleCnt="6"/>
      <dgm:spPr/>
      <dgm:t>
        <a:bodyPr/>
        <a:lstStyle/>
        <a:p>
          <a:endParaRPr lang="en-AU"/>
        </a:p>
      </dgm:t>
    </dgm:pt>
    <dgm:pt modelId="{8AB92F6B-F2B6-4A96-ACC0-BABD6B3D1711}" type="pres">
      <dgm:prSet presAssocID="{45C8B4A8-6321-403A-9A2D-09DAED08329A}" presName="connTx" presStyleLbl="parChTrans1D2" presStyleIdx="1" presStyleCnt="6"/>
      <dgm:spPr/>
      <dgm:t>
        <a:bodyPr/>
        <a:lstStyle/>
        <a:p>
          <a:endParaRPr lang="en-AU"/>
        </a:p>
      </dgm:t>
    </dgm:pt>
    <dgm:pt modelId="{B6AC900B-96B1-4578-8F5E-A8C683EF63B5}" type="pres">
      <dgm:prSet presAssocID="{C1F3CF5E-2B97-4B64-AB85-6C1C8FA1DE33}" presName="root2" presStyleCnt="0"/>
      <dgm:spPr/>
    </dgm:pt>
    <dgm:pt modelId="{F148F023-1840-469A-906D-B5BCE26F57D0}" type="pres">
      <dgm:prSet presAssocID="{C1F3CF5E-2B97-4B64-AB85-6C1C8FA1DE33}" presName="LevelTwoTextNode" presStyleLbl="node2" presStyleIdx="1" presStyleCnt="6" custScaleX="177130">
        <dgm:presLayoutVars>
          <dgm:chPref val="3"/>
        </dgm:presLayoutVars>
      </dgm:prSet>
      <dgm:spPr/>
      <dgm:t>
        <a:bodyPr/>
        <a:lstStyle/>
        <a:p>
          <a:endParaRPr lang="en-AU"/>
        </a:p>
      </dgm:t>
    </dgm:pt>
    <dgm:pt modelId="{FA5F489A-0696-4179-9C2C-4CC95DDBCC23}" type="pres">
      <dgm:prSet presAssocID="{C1F3CF5E-2B97-4B64-AB85-6C1C8FA1DE33}" presName="level3hierChild" presStyleCnt="0"/>
      <dgm:spPr/>
    </dgm:pt>
    <dgm:pt modelId="{F69B09CC-C0C5-4A36-A30B-C258C6F498A5}" type="pres">
      <dgm:prSet presAssocID="{B055C1BC-22D6-4095-A5D3-B05C8D4DD1BA}" presName="conn2-1" presStyleLbl="parChTrans1D2" presStyleIdx="2" presStyleCnt="6"/>
      <dgm:spPr/>
      <dgm:t>
        <a:bodyPr/>
        <a:lstStyle/>
        <a:p>
          <a:endParaRPr lang="en-AU"/>
        </a:p>
      </dgm:t>
    </dgm:pt>
    <dgm:pt modelId="{888492C3-0EEF-4227-B3B8-5ABF176887F4}" type="pres">
      <dgm:prSet presAssocID="{B055C1BC-22D6-4095-A5D3-B05C8D4DD1BA}" presName="connTx" presStyleLbl="parChTrans1D2" presStyleIdx="2" presStyleCnt="6"/>
      <dgm:spPr/>
      <dgm:t>
        <a:bodyPr/>
        <a:lstStyle/>
        <a:p>
          <a:endParaRPr lang="en-AU"/>
        </a:p>
      </dgm:t>
    </dgm:pt>
    <dgm:pt modelId="{60265919-D144-4D8E-8EBF-9E90BF5E5ADB}" type="pres">
      <dgm:prSet presAssocID="{83508515-A5B7-4FA5-B4A3-1603EB3ED78B}" presName="root2" presStyleCnt="0"/>
      <dgm:spPr/>
    </dgm:pt>
    <dgm:pt modelId="{139504AA-AFCE-45E3-B2B5-A2C36FCCC9A4}" type="pres">
      <dgm:prSet presAssocID="{83508515-A5B7-4FA5-B4A3-1603EB3ED78B}" presName="LevelTwoTextNode" presStyleLbl="node2" presStyleIdx="2" presStyleCnt="6" custScaleX="177130">
        <dgm:presLayoutVars>
          <dgm:chPref val="3"/>
        </dgm:presLayoutVars>
      </dgm:prSet>
      <dgm:spPr/>
      <dgm:t>
        <a:bodyPr/>
        <a:lstStyle/>
        <a:p>
          <a:endParaRPr lang="en-AU"/>
        </a:p>
      </dgm:t>
    </dgm:pt>
    <dgm:pt modelId="{E9342457-09C6-4023-B28E-C848A1576A14}" type="pres">
      <dgm:prSet presAssocID="{83508515-A5B7-4FA5-B4A3-1603EB3ED78B}" presName="level3hierChild" presStyleCnt="0"/>
      <dgm:spPr/>
    </dgm:pt>
    <dgm:pt modelId="{2A4B0E67-AD67-4048-A098-FCAB1340F73B}" type="pres">
      <dgm:prSet presAssocID="{B4E4DB1B-8735-4059-A109-4A3318C2A642}" presName="root1" presStyleCnt="0"/>
      <dgm:spPr/>
    </dgm:pt>
    <dgm:pt modelId="{E311053C-EFE6-4E50-9171-E6991F7E1391}" type="pres">
      <dgm:prSet presAssocID="{B4E4DB1B-8735-4059-A109-4A3318C2A642}" presName="LevelOneTextNode" presStyleLbl="node0" presStyleIdx="1" presStyleCnt="3">
        <dgm:presLayoutVars>
          <dgm:chPref val="3"/>
        </dgm:presLayoutVars>
      </dgm:prSet>
      <dgm:spPr/>
      <dgm:t>
        <a:bodyPr/>
        <a:lstStyle/>
        <a:p>
          <a:endParaRPr lang="en-AU"/>
        </a:p>
      </dgm:t>
    </dgm:pt>
    <dgm:pt modelId="{8EE91034-7FBB-4A67-BFAD-1156393218D5}" type="pres">
      <dgm:prSet presAssocID="{B4E4DB1B-8735-4059-A109-4A3318C2A642}" presName="level2hierChild" presStyleCnt="0"/>
      <dgm:spPr/>
    </dgm:pt>
    <dgm:pt modelId="{1F5949B9-7DC0-42B3-B1A5-533C05F664E5}" type="pres">
      <dgm:prSet presAssocID="{8C83A7AD-58DD-4224-9F39-3E0E74506F1B}" presName="conn2-1" presStyleLbl="parChTrans1D2" presStyleIdx="3" presStyleCnt="6"/>
      <dgm:spPr/>
      <dgm:t>
        <a:bodyPr/>
        <a:lstStyle/>
        <a:p>
          <a:endParaRPr lang="en-AU"/>
        </a:p>
      </dgm:t>
    </dgm:pt>
    <dgm:pt modelId="{D2A70055-1044-4C82-8561-86600D18C3BD}" type="pres">
      <dgm:prSet presAssocID="{8C83A7AD-58DD-4224-9F39-3E0E74506F1B}" presName="connTx" presStyleLbl="parChTrans1D2" presStyleIdx="3" presStyleCnt="6"/>
      <dgm:spPr/>
      <dgm:t>
        <a:bodyPr/>
        <a:lstStyle/>
        <a:p>
          <a:endParaRPr lang="en-AU"/>
        </a:p>
      </dgm:t>
    </dgm:pt>
    <dgm:pt modelId="{4B697E4D-6FB5-4272-84C4-80545C23DD31}" type="pres">
      <dgm:prSet presAssocID="{9FEE80A2-0551-425B-B470-7562B7558073}" presName="root2" presStyleCnt="0"/>
      <dgm:spPr/>
    </dgm:pt>
    <dgm:pt modelId="{29B246BC-72D3-463D-84E8-379699069DA6}" type="pres">
      <dgm:prSet presAssocID="{9FEE80A2-0551-425B-B470-7562B7558073}" presName="LevelTwoTextNode" presStyleLbl="node2" presStyleIdx="3" presStyleCnt="6" custScaleX="176362">
        <dgm:presLayoutVars>
          <dgm:chPref val="3"/>
        </dgm:presLayoutVars>
      </dgm:prSet>
      <dgm:spPr/>
      <dgm:t>
        <a:bodyPr/>
        <a:lstStyle/>
        <a:p>
          <a:endParaRPr lang="en-AU"/>
        </a:p>
      </dgm:t>
    </dgm:pt>
    <dgm:pt modelId="{7155CED6-8153-492D-8206-FC87D190F8B7}" type="pres">
      <dgm:prSet presAssocID="{9FEE80A2-0551-425B-B470-7562B7558073}" presName="level3hierChild" presStyleCnt="0"/>
      <dgm:spPr/>
    </dgm:pt>
    <dgm:pt modelId="{48731663-71E4-4BD1-86CA-26B6F3F707F1}" type="pres">
      <dgm:prSet presAssocID="{86368982-9867-4895-8910-D80A0A81B495}" presName="root1" presStyleCnt="0"/>
      <dgm:spPr/>
    </dgm:pt>
    <dgm:pt modelId="{D6B685A9-59E7-40D9-B0DA-6083A5B3BCD2}" type="pres">
      <dgm:prSet presAssocID="{86368982-9867-4895-8910-D80A0A81B495}" presName="LevelOneTextNode" presStyleLbl="node0" presStyleIdx="2" presStyleCnt="3">
        <dgm:presLayoutVars>
          <dgm:chPref val="3"/>
        </dgm:presLayoutVars>
      </dgm:prSet>
      <dgm:spPr/>
      <dgm:t>
        <a:bodyPr/>
        <a:lstStyle/>
        <a:p>
          <a:endParaRPr lang="en-AU"/>
        </a:p>
      </dgm:t>
    </dgm:pt>
    <dgm:pt modelId="{512B19E8-AF2D-472A-BD9B-3EAADD480FF1}" type="pres">
      <dgm:prSet presAssocID="{86368982-9867-4895-8910-D80A0A81B495}" presName="level2hierChild" presStyleCnt="0"/>
      <dgm:spPr/>
    </dgm:pt>
    <dgm:pt modelId="{80A66B7F-4BCF-4C95-B157-E9FDD050E819}" type="pres">
      <dgm:prSet presAssocID="{F176AC8B-2E73-4E40-9CC2-4D27274A2F65}" presName="conn2-1" presStyleLbl="parChTrans1D2" presStyleIdx="4" presStyleCnt="6"/>
      <dgm:spPr/>
      <dgm:t>
        <a:bodyPr/>
        <a:lstStyle/>
        <a:p>
          <a:endParaRPr lang="en-AU"/>
        </a:p>
      </dgm:t>
    </dgm:pt>
    <dgm:pt modelId="{D0C11C01-4E5A-448C-8928-FE7ADB12475C}" type="pres">
      <dgm:prSet presAssocID="{F176AC8B-2E73-4E40-9CC2-4D27274A2F65}" presName="connTx" presStyleLbl="parChTrans1D2" presStyleIdx="4" presStyleCnt="6"/>
      <dgm:spPr/>
      <dgm:t>
        <a:bodyPr/>
        <a:lstStyle/>
        <a:p>
          <a:endParaRPr lang="en-AU"/>
        </a:p>
      </dgm:t>
    </dgm:pt>
    <dgm:pt modelId="{37F95FA8-637F-4647-805A-BB992F2BB92A}" type="pres">
      <dgm:prSet presAssocID="{CED2FE17-04E1-4C80-B779-4C850742896E}" presName="root2" presStyleCnt="0"/>
      <dgm:spPr/>
    </dgm:pt>
    <dgm:pt modelId="{DDEF6B64-285D-424E-AD20-F6D41FCFA756}" type="pres">
      <dgm:prSet presAssocID="{CED2FE17-04E1-4C80-B779-4C850742896E}" presName="LevelTwoTextNode" presStyleLbl="node2" presStyleIdx="4" presStyleCnt="6" custScaleX="177024" custScaleY="147919">
        <dgm:presLayoutVars>
          <dgm:chPref val="3"/>
        </dgm:presLayoutVars>
      </dgm:prSet>
      <dgm:spPr/>
      <dgm:t>
        <a:bodyPr/>
        <a:lstStyle/>
        <a:p>
          <a:endParaRPr lang="en-AU"/>
        </a:p>
      </dgm:t>
    </dgm:pt>
    <dgm:pt modelId="{FF6277C2-F06D-430F-9F0D-BB1F037137F2}" type="pres">
      <dgm:prSet presAssocID="{CED2FE17-04E1-4C80-B779-4C850742896E}" presName="level3hierChild" presStyleCnt="0"/>
      <dgm:spPr/>
    </dgm:pt>
    <dgm:pt modelId="{E188177D-AB17-4B81-BBDB-5381418A9B0C}" type="pres">
      <dgm:prSet presAssocID="{61C4E6A8-58E8-465D-8493-211B6CFAA8B1}" presName="conn2-1" presStyleLbl="parChTrans1D2" presStyleIdx="5" presStyleCnt="6"/>
      <dgm:spPr/>
      <dgm:t>
        <a:bodyPr/>
        <a:lstStyle/>
        <a:p>
          <a:endParaRPr lang="en-AU"/>
        </a:p>
      </dgm:t>
    </dgm:pt>
    <dgm:pt modelId="{48485BE5-D235-45E1-91EF-BFCF3AEACEE7}" type="pres">
      <dgm:prSet presAssocID="{61C4E6A8-58E8-465D-8493-211B6CFAA8B1}" presName="connTx" presStyleLbl="parChTrans1D2" presStyleIdx="5" presStyleCnt="6"/>
      <dgm:spPr/>
      <dgm:t>
        <a:bodyPr/>
        <a:lstStyle/>
        <a:p>
          <a:endParaRPr lang="en-AU"/>
        </a:p>
      </dgm:t>
    </dgm:pt>
    <dgm:pt modelId="{81097203-D8BB-4BA5-8F97-D2F35D48DE28}" type="pres">
      <dgm:prSet presAssocID="{641872BB-B507-428C-94D2-917B8850A059}" presName="root2" presStyleCnt="0"/>
      <dgm:spPr/>
    </dgm:pt>
    <dgm:pt modelId="{45A7550F-8141-4EDC-AC6F-F6408E61F9AB}" type="pres">
      <dgm:prSet presAssocID="{641872BB-B507-428C-94D2-917B8850A059}" presName="LevelTwoTextNode" presStyleLbl="node2" presStyleIdx="5" presStyleCnt="6" custScaleX="177024">
        <dgm:presLayoutVars>
          <dgm:chPref val="3"/>
        </dgm:presLayoutVars>
      </dgm:prSet>
      <dgm:spPr/>
      <dgm:t>
        <a:bodyPr/>
        <a:lstStyle/>
        <a:p>
          <a:endParaRPr lang="en-AU"/>
        </a:p>
      </dgm:t>
    </dgm:pt>
    <dgm:pt modelId="{342A1583-EC4C-488E-9EBE-43F7356CFFEB}" type="pres">
      <dgm:prSet presAssocID="{641872BB-B507-428C-94D2-917B8850A059}" presName="level3hierChild" presStyleCnt="0"/>
      <dgm:spPr/>
    </dgm:pt>
  </dgm:ptLst>
  <dgm:cxnLst>
    <dgm:cxn modelId="{F8A75F4E-CB79-430A-8238-1ADF1D60777E}" type="presOf" srcId="{B055C1BC-22D6-4095-A5D3-B05C8D4DD1BA}" destId="{888492C3-0EEF-4227-B3B8-5ABF176887F4}" srcOrd="1" destOrd="0" presId="urn:microsoft.com/office/officeart/2005/8/layout/hierarchy2"/>
    <dgm:cxn modelId="{5112B760-516D-4DD8-9808-C4FABFDC30F6}" type="presOf" srcId="{61C4E6A8-58E8-465D-8493-211B6CFAA8B1}" destId="{E188177D-AB17-4B81-BBDB-5381418A9B0C}" srcOrd="0" destOrd="0" presId="urn:microsoft.com/office/officeart/2005/8/layout/hierarchy2"/>
    <dgm:cxn modelId="{5C5D9896-CAFC-40A5-87F9-A0CC35FD516C}" type="presOf" srcId="{CED2FE17-04E1-4C80-B779-4C850742896E}" destId="{DDEF6B64-285D-424E-AD20-F6D41FCFA756}" srcOrd="0" destOrd="0" presId="urn:microsoft.com/office/officeart/2005/8/layout/hierarchy2"/>
    <dgm:cxn modelId="{AEBAB979-9506-406B-AD19-A59B6F150ABE}" type="presOf" srcId="{8C83A7AD-58DD-4224-9F39-3E0E74506F1B}" destId="{1F5949B9-7DC0-42B3-B1A5-533C05F664E5}" srcOrd="0" destOrd="0" presId="urn:microsoft.com/office/officeart/2005/8/layout/hierarchy2"/>
    <dgm:cxn modelId="{4C469148-7CDC-4B0E-A647-83730D85AA7B}" type="presOf" srcId="{F176AC8B-2E73-4E40-9CC2-4D27274A2F65}" destId="{80A66B7F-4BCF-4C95-B157-E9FDD050E819}" srcOrd="0" destOrd="0" presId="urn:microsoft.com/office/officeart/2005/8/layout/hierarchy2"/>
    <dgm:cxn modelId="{5B5DB5E2-76E8-41C1-94C5-B86CED2D4976}" type="presOf" srcId="{9FEE80A2-0551-425B-B470-7562B7558073}" destId="{29B246BC-72D3-463D-84E8-379699069DA6}" srcOrd="0" destOrd="0" presId="urn:microsoft.com/office/officeart/2005/8/layout/hierarchy2"/>
    <dgm:cxn modelId="{90310496-6E7E-480B-93FA-D871330FD45D}" type="presOf" srcId="{5FF45FE3-BD18-4EF2-9AD6-B720D6722829}" destId="{EFB9D6EA-4CBC-45CE-A5FF-82CB4A09D588}" srcOrd="0" destOrd="0" presId="urn:microsoft.com/office/officeart/2005/8/layout/hierarchy2"/>
    <dgm:cxn modelId="{481C9EF3-D6D1-48F3-AD1C-F0031415A636}" type="presOf" srcId="{B4E4DB1B-8735-4059-A109-4A3318C2A642}" destId="{E311053C-EFE6-4E50-9171-E6991F7E1391}" srcOrd="0" destOrd="0" presId="urn:microsoft.com/office/officeart/2005/8/layout/hierarchy2"/>
    <dgm:cxn modelId="{DAD93D81-A7E2-42D1-94EE-B663E208B40D}" srcId="{B4E4DB1B-8735-4059-A109-4A3318C2A642}" destId="{9FEE80A2-0551-425B-B470-7562B7558073}" srcOrd="0" destOrd="0" parTransId="{8C83A7AD-58DD-4224-9F39-3E0E74506F1B}" sibTransId="{CECF14A0-4BF1-4DAE-A03E-C890E1F2B999}"/>
    <dgm:cxn modelId="{A224C7D1-24D0-4D5F-BB83-60D3F431DE1C}" srcId="{0639D0B7-08DD-4858-98CA-65EAEF9D9284}" destId="{C1F3CF5E-2B97-4B64-AB85-6C1C8FA1DE33}" srcOrd="1" destOrd="0" parTransId="{45C8B4A8-6321-403A-9A2D-09DAED08329A}" sibTransId="{7BD1EDE5-83E3-4306-B2D8-127D2A8CB68D}"/>
    <dgm:cxn modelId="{AB8545B4-4A41-46A7-A4A0-63C3639920B5}" srcId="{0639D0B7-08DD-4858-98CA-65EAEF9D9284}" destId="{83508515-A5B7-4FA5-B4A3-1603EB3ED78B}" srcOrd="2" destOrd="0" parTransId="{B055C1BC-22D6-4095-A5D3-B05C8D4DD1BA}" sibTransId="{E49FE9C3-2ABF-4B28-A4F6-6B6EF21905CC}"/>
    <dgm:cxn modelId="{9AE864C7-AF77-4923-800D-788493F13F4B}" srcId="{9CD7626F-1621-43AB-B18B-BA1BBF5BA093}" destId="{0639D0B7-08DD-4858-98CA-65EAEF9D9284}" srcOrd="0" destOrd="0" parTransId="{63F666EB-FFF0-405D-8571-7864E911C7BC}" sibTransId="{E9EC8D7B-7CCF-431E-81DC-B9D81011FBE9}"/>
    <dgm:cxn modelId="{F255F68B-1293-4766-9C3E-A45FC8DA75E7}" type="presOf" srcId="{45C8B4A8-6321-403A-9A2D-09DAED08329A}" destId="{8AB92F6B-F2B6-4A96-ACC0-BABD6B3D1711}" srcOrd="1" destOrd="0" presId="urn:microsoft.com/office/officeart/2005/8/layout/hierarchy2"/>
    <dgm:cxn modelId="{2A91ED6B-27D9-46F6-BEFC-FF231EE35D66}" srcId="{9CD7626F-1621-43AB-B18B-BA1BBF5BA093}" destId="{B4E4DB1B-8735-4059-A109-4A3318C2A642}" srcOrd="1" destOrd="0" parTransId="{7438482E-E7D0-4257-BB2F-31F5C75FEB7D}" sibTransId="{01ACB8D2-C9E6-4679-AF26-52A8EEE0DCB8}"/>
    <dgm:cxn modelId="{BC95FF81-F1B7-4572-A59A-322F29918CEE}" type="presOf" srcId="{45C8B4A8-6321-403A-9A2D-09DAED08329A}" destId="{ECE2060F-1B5F-47EC-BFAE-D2FA87474F51}" srcOrd="0" destOrd="0" presId="urn:microsoft.com/office/officeart/2005/8/layout/hierarchy2"/>
    <dgm:cxn modelId="{36CD4361-A3B2-40AD-9DDC-09723241A18E}" type="presOf" srcId="{9CD7626F-1621-43AB-B18B-BA1BBF5BA093}" destId="{150A8F35-E6E5-4937-A95C-ACE3AC534157}" srcOrd="0" destOrd="0" presId="urn:microsoft.com/office/officeart/2005/8/layout/hierarchy2"/>
    <dgm:cxn modelId="{6C9A1685-AB6D-43E5-8CEA-765D639A9CCE}" srcId="{86368982-9867-4895-8910-D80A0A81B495}" destId="{641872BB-B507-428C-94D2-917B8850A059}" srcOrd="1" destOrd="0" parTransId="{61C4E6A8-58E8-465D-8493-211B6CFAA8B1}" sibTransId="{E1F5B140-E68F-432E-AEE5-583A82C100D9}"/>
    <dgm:cxn modelId="{DC10DDB8-C1A8-4979-846F-53DB05779649}" srcId="{0639D0B7-08DD-4858-98CA-65EAEF9D9284}" destId="{1FFBB6C0-27BF-4C86-95BB-0A7763A3E2BA}" srcOrd="0" destOrd="0" parTransId="{5FF45FE3-BD18-4EF2-9AD6-B720D6722829}" sibTransId="{FAAE8E10-2D95-484C-9FE4-CA63DEE932E4}"/>
    <dgm:cxn modelId="{A0830B39-4B50-41D4-BC6C-D45FE3C75418}" type="presOf" srcId="{1FFBB6C0-27BF-4C86-95BB-0A7763A3E2BA}" destId="{5010102B-2148-4D2C-96EA-749D3C63A418}" srcOrd="0" destOrd="0" presId="urn:microsoft.com/office/officeart/2005/8/layout/hierarchy2"/>
    <dgm:cxn modelId="{CA2F99E4-8D82-4189-B679-BE51EC18BF59}" type="presOf" srcId="{F176AC8B-2E73-4E40-9CC2-4D27274A2F65}" destId="{D0C11C01-4E5A-448C-8928-FE7ADB12475C}" srcOrd="1" destOrd="0" presId="urn:microsoft.com/office/officeart/2005/8/layout/hierarchy2"/>
    <dgm:cxn modelId="{A37BC4BE-84E8-459F-8EA4-E16C805CBDC4}" type="presOf" srcId="{641872BB-B507-428C-94D2-917B8850A059}" destId="{45A7550F-8141-4EDC-AC6F-F6408E61F9AB}" srcOrd="0" destOrd="0" presId="urn:microsoft.com/office/officeart/2005/8/layout/hierarchy2"/>
    <dgm:cxn modelId="{7B0DE5A3-D661-42A2-A964-9BBC99D44718}" type="presOf" srcId="{5FF45FE3-BD18-4EF2-9AD6-B720D6722829}" destId="{84789EC5-54AA-4413-B4D4-DD3D3BFDF9E9}" srcOrd="1" destOrd="0" presId="urn:microsoft.com/office/officeart/2005/8/layout/hierarchy2"/>
    <dgm:cxn modelId="{0B09DDC0-1C80-45B3-BF54-DCB4C861A396}" type="presOf" srcId="{8C83A7AD-58DD-4224-9F39-3E0E74506F1B}" destId="{D2A70055-1044-4C82-8561-86600D18C3BD}" srcOrd="1" destOrd="0" presId="urn:microsoft.com/office/officeart/2005/8/layout/hierarchy2"/>
    <dgm:cxn modelId="{A882E9C3-8AD5-440C-9C80-41F957A9F538}" type="presOf" srcId="{B055C1BC-22D6-4095-A5D3-B05C8D4DD1BA}" destId="{F69B09CC-C0C5-4A36-A30B-C258C6F498A5}" srcOrd="0" destOrd="0" presId="urn:microsoft.com/office/officeart/2005/8/layout/hierarchy2"/>
    <dgm:cxn modelId="{C1B8C58E-A548-410D-A0C1-C6197B4F4ED7}" srcId="{86368982-9867-4895-8910-D80A0A81B495}" destId="{CED2FE17-04E1-4C80-B779-4C850742896E}" srcOrd="0" destOrd="0" parTransId="{F176AC8B-2E73-4E40-9CC2-4D27274A2F65}" sibTransId="{AE77F479-3C70-4E13-A2E5-7CCE009B92D3}"/>
    <dgm:cxn modelId="{7253775B-C91C-4294-9BDF-E7142C51F9AA}" type="presOf" srcId="{C1F3CF5E-2B97-4B64-AB85-6C1C8FA1DE33}" destId="{F148F023-1840-469A-906D-B5BCE26F57D0}" srcOrd="0" destOrd="0" presId="urn:microsoft.com/office/officeart/2005/8/layout/hierarchy2"/>
    <dgm:cxn modelId="{A346A7D5-4602-42DD-BE76-0D68E2954020}" type="presOf" srcId="{83508515-A5B7-4FA5-B4A3-1603EB3ED78B}" destId="{139504AA-AFCE-45E3-B2B5-A2C36FCCC9A4}" srcOrd="0" destOrd="0" presId="urn:microsoft.com/office/officeart/2005/8/layout/hierarchy2"/>
    <dgm:cxn modelId="{A01D6348-6235-4E32-95F3-E1C1BA34F198}" type="presOf" srcId="{0639D0B7-08DD-4858-98CA-65EAEF9D9284}" destId="{EB865C91-A30C-4BF7-9F6E-D428CEEAB96C}" srcOrd="0" destOrd="0" presId="urn:microsoft.com/office/officeart/2005/8/layout/hierarchy2"/>
    <dgm:cxn modelId="{9C4C1EF0-F868-4615-8B52-2C4AD7D230E5}" type="presOf" srcId="{86368982-9867-4895-8910-D80A0A81B495}" destId="{D6B685A9-59E7-40D9-B0DA-6083A5B3BCD2}" srcOrd="0" destOrd="0" presId="urn:microsoft.com/office/officeart/2005/8/layout/hierarchy2"/>
    <dgm:cxn modelId="{60FFDF06-011C-445F-BD52-E62CE12DAEFA}" srcId="{9CD7626F-1621-43AB-B18B-BA1BBF5BA093}" destId="{86368982-9867-4895-8910-D80A0A81B495}" srcOrd="2" destOrd="0" parTransId="{222F74FD-18E0-4714-B93D-62A20C9532DA}" sibTransId="{1D6F9487-DE9A-4C09-9EF3-1BAD737D9BE0}"/>
    <dgm:cxn modelId="{0CDB66DD-3147-468E-8F54-2033F6D684C7}" type="presOf" srcId="{61C4E6A8-58E8-465D-8493-211B6CFAA8B1}" destId="{48485BE5-D235-45E1-91EF-BFCF3AEACEE7}" srcOrd="1" destOrd="0" presId="urn:microsoft.com/office/officeart/2005/8/layout/hierarchy2"/>
    <dgm:cxn modelId="{7E22A8C6-A50D-462C-851C-E55B8B81B287}" type="presParOf" srcId="{150A8F35-E6E5-4937-A95C-ACE3AC534157}" destId="{DCB130BB-CB1D-4767-A43D-362BC12F8FA2}" srcOrd="0" destOrd="0" presId="urn:microsoft.com/office/officeart/2005/8/layout/hierarchy2"/>
    <dgm:cxn modelId="{D2558D3D-F8ED-483B-9F29-2E9412A64E81}" type="presParOf" srcId="{DCB130BB-CB1D-4767-A43D-362BC12F8FA2}" destId="{EB865C91-A30C-4BF7-9F6E-D428CEEAB96C}" srcOrd="0" destOrd="0" presId="urn:microsoft.com/office/officeart/2005/8/layout/hierarchy2"/>
    <dgm:cxn modelId="{F83B669F-ABC3-4862-A04F-0D551668A64F}" type="presParOf" srcId="{DCB130BB-CB1D-4767-A43D-362BC12F8FA2}" destId="{AD1E01C5-00F0-44CF-AE04-49F6797E9B97}" srcOrd="1" destOrd="0" presId="urn:microsoft.com/office/officeart/2005/8/layout/hierarchy2"/>
    <dgm:cxn modelId="{B3CD9C37-476D-4635-8E9C-A67380E7F442}" type="presParOf" srcId="{AD1E01C5-00F0-44CF-AE04-49F6797E9B97}" destId="{EFB9D6EA-4CBC-45CE-A5FF-82CB4A09D588}" srcOrd="0" destOrd="0" presId="urn:microsoft.com/office/officeart/2005/8/layout/hierarchy2"/>
    <dgm:cxn modelId="{D1606A24-D1AC-40C5-AF75-756C440C5DF6}" type="presParOf" srcId="{EFB9D6EA-4CBC-45CE-A5FF-82CB4A09D588}" destId="{84789EC5-54AA-4413-B4D4-DD3D3BFDF9E9}" srcOrd="0" destOrd="0" presId="urn:microsoft.com/office/officeart/2005/8/layout/hierarchy2"/>
    <dgm:cxn modelId="{00C1D265-A87A-40DE-AA5C-5BAAA1D21328}" type="presParOf" srcId="{AD1E01C5-00F0-44CF-AE04-49F6797E9B97}" destId="{213832CF-9464-4421-85F3-1EE918DEABAE}" srcOrd="1" destOrd="0" presId="urn:microsoft.com/office/officeart/2005/8/layout/hierarchy2"/>
    <dgm:cxn modelId="{9A659C28-DEDA-431F-BE0C-B8CCCE86EF19}" type="presParOf" srcId="{213832CF-9464-4421-85F3-1EE918DEABAE}" destId="{5010102B-2148-4D2C-96EA-749D3C63A418}" srcOrd="0" destOrd="0" presId="urn:microsoft.com/office/officeart/2005/8/layout/hierarchy2"/>
    <dgm:cxn modelId="{28887CBA-E71E-41D0-B841-6CCB0C767DF8}" type="presParOf" srcId="{213832CF-9464-4421-85F3-1EE918DEABAE}" destId="{0BDE83D1-F5C6-404F-9768-83C4B9298879}" srcOrd="1" destOrd="0" presId="urn:microsoft.com/office/officeart/2005/8/layout/hierarchy2"/>
    <dgm:cxn modelId="{7C79B6EB-2A57-4D9F-BE2C-2BF9EF0A238C}" type="presParOf" srcId="{AD1E01C5-00F0-44CF-AE04-49F6797E9B97}" destId="{ECE2060F-1B5F-47EC-BFAE-D2FA87474F51}" srcOrd="2" destOrd="0" presId="urn:microsoft.com/office/officeart/2005/8/layout/hierarchy2"/>
    <dgm:cxn modelId="{EC622299-222C-43E9-AA8F-9E408EF11445}" type="presParOf" srcId="{ECE2060F-1B5F-47EC-BFAE-D2FA87474F51}" destId="{8AB92F6B-F2B6-4A96-ACC0-BABD6B3D1711}" srcOrd="0" destOrd="0" presId="urn:microsoft.com/office/officeart/2005/8/layout/hierarchy2"/>
    <dgm:cxn modelId="{FB587E85-2918-48ED-98E4-A770D2297225}" type="presParOf" srcId="{AD1E01C5-00F0-44CF-AE04-49F6797E9B97}" destId="{B6AC900B-96B1-4578-8F5E-A8C683EF63B5}" srcOrd="3" destOrd="0" presId="urn:microsoft.com/office/officeart/2005/8/layout/hierarchy2"/>
    <dgm:cxn modelId="{D8986929-3041-4066-BF90-204DE9FD481C}" type="presParOf" srcId="{B6AC900B-96B1-4578-8F5E-A8C683EF63B5}" destId="{F148F023-1840-469A-906D-B5BCE26F57D0}" srcOrd="0" destOrd="0" presId="urn:microsoft.com/office/officeart/2005/8/layout/hierarchy2"/>
    <dgm:cxn modelId="{58ACD09A-3F6C-4ADF-BE53-A3A7C5DE9A89}" type="presParOf" srcId="{B6AC900B-96B1-4578-8F5E-A8C683EF63B5}" destId="{FA5F489A-0696-4179-9C2C-4CC95DDBCC23}" srcOrd="1" destOrd="0" presId="urn:microsoft.com/office/officeart/2005/8/layout/hierarchy2"/>
    <dgm:cxn modelId="{2B934877-7E2B-4156-B2F6-DA14CDB05045}" type="presParOf" srcId="{AD1E01C5-00F0-44CF-AE04-49F6797E9B97}" destId="{F69B09CC-C0C5-4A36-A30B-C258C6F498A5}" srcOrd="4" destOrd="0" presId="urn:microsoft.com/office/officeart/2005/8/layout/hierarchy2"/>
    <dgm:cxn modelId="{FED9C6E7-4C33-4F7D-9653-98BDF8674983}" type="presParOf" srcId="{F69B09CC-C0C5-4A36-A30B-C258C6F498A5}" destId="{888492C3-0EEF-4227-B3B8-5ABF176887F4}" srcOrd="0" destOrd="0" presId="urn:microsoft.com/office/officeart/2005/8/layout/hierarchy2"/>
    <dgm:cxn modelId="{DA14CF2E-B1D5-4FF9-9092-DEBC677A618B}" type="presParOf" srcId="{AD1E01C5-00F0-44CF-AE04-49F6797E9B97}" destId="{60265919-D144-4D8E-8EBF-9E90BF5E5ADB}" srcOrd="5" destOrd="0" presId="urn:microsoft.com/office/officeart/2005/8/layout/hierarchy2"/>
    <dgm:cxn modelId="{EF00DB26-BA66-45E3-9FAF-832E50F3E7DB}" type="presParOf" srcId="{60265919-D144-4D8E-8EBF-9E90BF5E5ADB}" destId="{139504AA-AFCE-45E3-B2B5-A2C36FCCC9A4}" srcOrd="0" destOrd="0" presId="urn:microsoft.com/office/officeart/2005/8/layout/hierarchy2"/>
    <dgm:cxn modelId="{A4C6007F-B97D-4E08-A61D-D25FC784A247}" type="presParOf" srcId="{60265919-D144-4D8E-8EBF-9E90BF5E5ADB}" destId="{E9342457-09C6-4023-B28E-C848A1576A14}" srcOrd="1" destOrd="0" presId="urn:microsoft.com/office/officeart/2005/8/layout/hierarchy2"/>
    <dgm:cxn modelId="{9AEB5187-72F0-41CB-AB3F-BD8AE38BB2F7}" type="presParOf" srcId="{150A8F35-E6E5-4937-A95C-ACE3AC534157}" destId="{2A4B0E67-AD67-4048-A098-FCAB1340F73B}" srcOrd="1" destOrd="0" presId="urn:microsoft.com/office/officeart/2005/8/layout/hierarchy2"/>
    <dgm:cxn modelId="{89047732-C44E-4B01-94B6-0E9A672E9163}" type="presParOf" srcId="{2A4B0E67-AD67-4048-A098-FCAB1340F73B}" destId="{E311053C-EFE6-4E50-9171-E6991F7E1391}" srcOrd="0" destOrd="0" presId="urn:microsoft.com/office/officeart/2005/8/layout/hierarchy2"/>
    <dgm:cxn modelId="{4D2AC658-A0E9-46A9-B040-6C801C4B7E7C}" type="presParOf" srcId="{2A4B0E67-AD67-4048-A098-FCAB1340F73B}" destId="{8EE91034-7FBB-4A67-BFAD-1156393218D5}" srcOrd="1" destOrd="0" presId="urn:microsoft.com/office/officeart/2005/8/layout/hierarchy2"/>
    <dgm:cxn modelId="{1766BD10-6B5C-445A-9EF5-D13574C5B74C}" type="presParOf" srcId="{8EE91034-7FBB-4A67-BFAD-1156393218D5}" destId="{1F5949B9-7DC0-42B3-B1A5-533C05F664E5}" srcOrd="0" destOrd="0" presId="urn:microsoft.com/office/officeart/2005/8/layout/hierarchy2"/>
    <dgm:cxn modelId="{B6BAFD24-BF2E-4B16-9B9A-41E158010A7D}" type="presParOf" srcId="{1F5949B9-7DC0-42B3-B1A5-533C05F664E5}" destId="{D2A70055-1044-4C82-8561-86600D18C3BD}" srcOrd="0" destOrd="0" presId="urn:microsoft.com/office/officeart/2005/8/layout/hierarchy2"/>
    <dgm:cxn modelId="{353880A2-3990-4F1A-9C97-D021FFB3BB82}" type="presParOf" srcId="{8EE91034-7FBB-4A67-BFAD-1156393218D5}" destId="{4B697E4D-6FB5-4272-84C4-80545C23DD31}" srcOrd="1" destOrd="0" presId="urn:microsoft.com/office/officeart/2005/8/layout/hierarchy2"/>
    <dgm:cxn modelId="{97989251-658F-43A5-906D-7834E8AADAAF}" type="presParOf" srcId="{4B697E4D-6FB5-4272-84C4-80545C23DD31}" destId="{29B246BC-72D3-463D-84E8-379699069DA6}" srcOrd="0" destOrd="0" presId="urn:microsoft.com/office/officeart/2005/8/layout/hierarchy2"/>
    <dgm:cxn modelId="{736D20D2-4698-453D-A95C-34362E95AD9D}" type="presParOf" srcId="{4B697E4D-6FB5-4272-84C4-80545C23DD31}" destId="{7155CED6-8153-492D-8206-FC87D190F8B7}" srcOrd="1" destOrd="0" presId="urn:microsoft.com/office/officeart/2005/8/layout/hierarchy2"/>
    <dgm:cxn modelId="{9DD18A65-E776-46CA-863F-EA3B39CA87B3}" type="presParOf" srcId="{150A8F35-E6E5-4937-A95C-ACE3AC534157}" destId="{48731663-71E4-4BD1-86CA-26B6F3F707F1}" srcOrd="2" destOrd="0" presId="urn:microsoft.com/office/officeart/2005/8/layout/hierarchy2"/>
    <dgm:cxn modelId="{4756E89C-42AA-4BB5-972B-D90F78D4E375}" type="presParOf" srcId="{48731663-71E4-4BD1-86CA-26B6F3F707F1}" destId="{D6B685A9-59E7-40D9-B0DA-6083A5B3BCD2}" srcOrd="0" destOrd="0" presId="urn:microsoft.com/office/officeart/2005/8/layout/hierarchy2"/>
    <dgm:cxn modelId="{4D64790F-5CD3-48D8-9961-D0F8577F7213}" type="presParOf" srcId="{48731663-71E4-4BD1-86CA-26B6F3F707F1}" destId="{512B19E8-AF2D-472A-BD9B-3EAADD480FF1}" srcOrd="1" destOrd="0" presId="urn:microsoft.com/office/officeart/2005/8/layout/hierarchy2"/>
    <dgm:cxn modelId="{971089A3-6648-415B-A56A-1D3F841C66A0}" type="presParOf" srcId="{512B19E8-AF2D-472A-BD9B-3EAADD480FF1}" destId="{80A66B7F-4BCF-4C95-B157-E9FDD050E819}" srcOrd="0" destOrd="0" presId="urn:microsoft.com/office/officeart/2005/8/layout/hierarchy2"/>
    <dgm:cxn modelId="{DCBE1464-4CF5-49DE-9082-32B29155BEC4}" type="presParOf" srcId="{80A66B7F-4BCF-4C95-B157-E9FDD050E819}" destId="{D0C11C01-4E5A-448C-8928-FE7ADB12475C}" srcOrd="0" destOrd="0" presId="urn:microsoft.com/office/officeart/2005/8/layout/hierarchy2"/>
    <dgm:cxn modelId="{0D0E9A29-5D5A-46F9-BEC3-4B3D8A64D999}" type="presParOf" srcId="{512B19E8-AF2D-472A-BD9B-3EAADD480FF1}" destId="{37F95FA8-637F-4647-805A-BB992F2BB92A}" srcOrd="1" destOrd="0" presId="urn:microsoft.com/office/officeart/2005/8/layout/hierarchy2"/>
    <dgm:cxn modelId="{13833F16-D8A4-4467-A761-C2AE268FDD02}" type="presParOf" srcId="{37F95FA8-637F-4647-805A-BB992F2BB92A}" destId="{DDEF6B64-285D-424E-AD20-F6D41FCFA756}" srcOrd="0" destOrd="0" presId="urn:microsoft.com/office/officeart/2005/8/layout/hierarchy2"/>
    <dgm:cxn modelId="{F6119196-4FE5-4B98-A4EC-370FC4B19AA8}" type="presParOf" srcId="{37F95FA8-637F-4647-805A-BB992F2BB92A}" destId="{FF6277C2-F06D-430F-9F0D-BB1F037137F2}" srcOrd="1" destOrd="0" presId="urn:microsoft.com/office/officeart/2005/8/layout/hierarchy2"/>
    <dgm:cxn modelId="{3AA4D32A-772E-4354-B02B-8609CD80EE32}" type="presParOf" srcId="{512B19E8-AF2D-472A-BD9B-3EAADD480FF1}" destId="{E188177D-AB17-4B81-BBDB-5381418A9B0C}" srcOrd="2" destOrd="0" presId="urn:microsoft.com/office/officeart/2005/8/layout/hierarchy2"/>
    <dgm:cxn modelId="{6304B008-CBF7-49EC-A6FD-07EDF98012FE}" type="presParOf" srcId="{E188177D-AB17-4B81-BBDB-5381418A9B0C}" destId="{48485BE5-D235-45E1-91EF-BFCF3AEACEE7}" srcOrd="0" destOrd="0" presId="urn:microsoft.com/office/officeart/2005/8/layout/hierarchy2"/>
    <dgm:cxn modelId="{B1E3EF49-1893-413E-A039-29518F4DE99F}" type="presParOf" srcId="{512B19E8-AF2D-472A-BD9B-3EAADD480FF1}" destId="{81097203-D8BB-4BA5-8F97-D2F35D48DE28}" srcOrd="3" destOrd="0" presId="urn:microsoft.com/office/officeart/2005/8/layout/hierarchy2"/>
    <dgm:cxn modelId="{3B50DB3B-F76A-4E3F-904A-BF07055FE81F}" type="presParOf" srcId="{81097203-D8BB-4BA5-8F97-D2F35D48DE28}" destId="{45A7550F-8141-4EDC-AC6F-F6408E61F9AB}" srcOrd="0" destOrd="0" presId="urn:microsoft.com/office/officeart/2005/8/layout/hierarchy2"/>
    <dgm:cxn modelId="{5DC8A252-C6A0-4F41-B36F-B22E4B5E1213}" type="presParOf" srcId="{81097203-D8BB-4BA5-8F97-D2F35D48DE28}" destId="{342A1583-EC4C-488E-9EBE-43F7356CFFEB}" srcOrd="1" destOrd="0" presId="urn:microsoft.com/office/officeart/2005/8/layout/hierarchy2"/>
  </dgm:cxnLst>
  <dgm:bg/>
  <dgm:whole/>
  <dgm:extLst>
    <a:ext uri="http://schemas.microsoft.com/office/drawing/2008/diagram">
      <dsp:dataModelExt xmlns:dsp="http://schemas.microsoft.com/office/drawing/2008/diagram" relId="rId3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B865C91-A30C-4BF7-9F6E-D428CEEAB96C}">
      <dsp:nvSpPr>
        <dsp:cNvPr id="0" name=""/>
        <dsp:cNvSpPr/>
      </dsp:nvSpPr>
      <dsp:spPr>
        <a:xfrm>
          <a:off x="1323416" y="562852"/>
          <a:ext cx="972685" cy="486342"/>
        </a:xfrm>
        <a:prstGeom prst="roundRect">
          <a:avLst>
            <a:gd name="adj" fmla="val 10000"/>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en-AU" sz="1200" b="0" kern="1200" dirty="0" smtClean="0">
              <a:solidFill>
                <a:sysClr val="window" lastClr="FFFFFF"/>
              </a:solidFill>
              <a:latin typeface="Calibri"/>
              <a:ea typeface="+mn-ea"/>
              <a:cs typeface="+mn-cs"/>
            </a:rPr>
            <a:t>Annual metering charges</a:t>
          </a:r>
          <a:endParaRPr lang="en-AU" sz="1200" b="0" kern="1200" dirty="0">
            <a:solidFill>
              <a:sysClr val="window" lastClr="FFFFFF"/>
            </a:solidFill>
            <a:latin typeface="Calibri"/>
            <a:ea typeface="+mn-ea"/>
            <a:cs typeface="+mn-cs"/>
          </a:endParaRPr>
        </a:p>
      </dsp:txBody>
      <dsp:txXfrm>
        <a:off x="1337660" y="577096"/>
        <a:ext cx="944197" cy="457854"/>
      </dsp:txXfrm>
    </dsp:sp>
    <dsp:sp modelId="{EFB9D6EA-4CBC-45CE-A5FF-82CB4A09D588}">
      <dsp:nvSpPr>
        <dsp:cNvPr id="0" name=""/>
        <dsp:cNvSpPr/>
      </dsp:nvSpPr>
      <dsp:spPr>
        <a:xfrm rot="18289469">
          <a:off x="2149982" y="513952"/>
          <a:ext cx="681313" cy="24848"/>
        </a:xfrm>
        <a:custGeom>
          <a:avLst/>
          <a:gdLst/>
          <a:ahLst/>
          <a:cxnLst/>
          <a:rect l="0" t="0" r="0" b="0"/>
          <a:pathLst>
            <a:path>
              <a:moveTo>
                <a:pt x="0" y="13302"/>
              </a:moveTo>
              <a:lnTo>
                <a:pt x="729463" y="13302"/>
              </a:lnTo>
            </a:path>
          </a:pathLst>
        </a:custGeom>
        <a:noFill/>
        <a:ln w="25400" cap="flat" cmpd="sng" algn="ctr">
          <a:solidFill>
            <a:srgbClr val="4F81BD">
              <a:shade val="6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533400">
            <a:lnSpc>
              <a:spcPct val="90000"/>
            </a:lnSpc>
            <a:spcBef>
              <a:spcPct val="0"/>
            </a:spcBef>
            <a:spcAft>
              <a:spcPct val="35000"/>
            </a:spcAft>
          </a:pPr>
          <a:endParaRPr lang="en-AU" sz="1200" b="0" kern="1200" dirty="0">
            <a:solidFill>
              <a:sysClr val="windowText" lastClr="000000">
                <a:hueOff val="0"/>
                <a:satOff val="0"/>
                <a:lumOff val="0"/>
                <a:alphaOff val="0"/>
              </a:sysClr>
            </a:solidFill>
            <a:latin typeface="Calibri"/>
            <a:ea typeface="+mn-ea"/>
            <a:cs typeface="+mn-cs"/>
          </a:endParaRPr>
        </a:p>
      </dsp:txBody>
      <dsp:txXfrm>
        <a:off x="2466930" y="530631"/>
        <a:ext cx="0" cy="0"/>
      </dsp:txXfrm>
    </dsp:sp>
    <dsp:sp modelId="{5010102B-2148-4D2C-96EA-749D3C63A418}">
      <dsp:nvSpPr>
        <dsp:cNvPr id="0" name=""/>
        <dsp:cNvSpPr/>
      </dsp:nvSpPr>
      <dsp:spPr>
        <a:xfrm>
          <a:off x="2685175" y="3558"/>
          <a:ext cx="1721886" cy="486342"/>
        </a:xfrm>
        <a:prstGeom prst="roundRect">
          <a:avLst>
            <a:gd name="adj" fmla="val 10000"/>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en-AU" sz="1200" b="0" kern="1200" dirty="0" smtClean="0">
              <a:solidFill>
                <a:sysClr val="window" lastClr="FFFFFF"/>
              </a:solidFill>
              <a:latin typeface="Calibri"/>
              <a:ea typeface="+mn-ea"/>
              <a:cs typeface="+mn-cs"/>
            </a:rPr>
            <a:t>Opening metering RAB</a:t>
          </a:r>
        </a:p>
      </dsp:txBody>
      <dsp:txXfrm>
        <a:off x="2699419" y="17802"/>
        <a:ext cx="1693398" cy="457854"/>
      </dsp:txXfrm>
    </dsp:sp>
    <dsp:sp modelId="{ECE2060F-1B5F-47EC-BFAE-D2FA87474F51}">
      <dsp:nvSpPr>
        <dsp:cNvPr id="0" name=""/>
        <dsp:cNvSpPr/>
      </dsp:nvSpPr>
      <dsp:spPr>
        <a:xfrm>
          <a:off x="2296101" y="793599"/>
          <a:ext cx="389074" cy="24848"/>
        </a:xfrm>
        <a:custGeom>
          <a:avLst/>
          <a:gdLst/>
          <a:ahLst/>
          <a:cxnLst/>
          <a:rect l="0" t="0" r="0" b="0"/>
          <a:pathLst>
            <a:path>
              <a:moveTo>
                <a:pt x="0" y="13302"/>
              </a:moveTo>
              <a:lnTo>
                <a:pt x="416570" y="13302"/>
              </a:lnTo>
            </a:path>
          </a:pathLst>
        </a:custGeom>
        <a:noFill/>
        <a:ln w="25400" cap="flat" cmpd="sng" algn="ctr">
          <a:solidFill>
            <a:srgbClr val="4F81BD">
              <a:shade val="6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533400">
            <a:lnSpc>
              <a:spcPct val="90000"/>
            </a:lnSpc>
            <a:spcBef>
              <a:spcPct val="0"/>
            </a:spcBef>
            <a:spcAft>
              <a:spcPct val="35000"/>
            </a:spcAft>
          </a:pPr>
          <a:endParaRPr lang="en-AU" sz="1200" b="0" kern="1200" dirty="0">
            <a:solidFill>
              <a:sysClr val="windowText" lastClr="000000">
                <a:hueOff val="0"/>
                <a:satOff val="0"/>
                <a:lumOff val="0"/>
                <a:alphaOff val="0"/>
              </a:sysClr>
            </a:solidFill>
            <a:latin typeface="Calibri"/>
            <a:ea typeface="+mn-ea"/>
            <a:cs typeface="+mn-cs"/>
          </a:endParaRPr>
        </a:p>
      </dsp:txBody>
      <dsp:txXfrm>
        <a:off x="2480912" y="796296"/>
        <a:ext cx="0" cy="0"/>
      </dsp:txXfrm>
    </dsp:sp>
    <dsp:sp modelId="{F148F023-1840-469A-906D-B5BCE26F57D0}">
      <dsp:nvSpPr>
        <dsp:cNvPr id="0" name=""/>
        <dsp:cNvSpPr/>
      </dsp:nvSpPr>
      <dsp:spPr>
        <a:xfrm>
          <a:off x="2685175" y="562852"/>
          <a:ext cx="1722917" cy="486342"/>
        </a:xfrm>
        <a:prstGeom prst="roundRect">
          <a:avLst>
            <a:gd name="adj" fmla="val 10000"/>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en-AU" sz="1200" b="0" kern="1200" dirty="0" smtClean="0">
              <a:solidFill>
                <a:sysClr val="window" lastClr="FFFFFF"/>
              </a:solidFill>
              <a:latin typeface="Calibri"/>
              <a:ea typeface="+mn-ea"/>
              <a:cs typeface="+mn-cs"/>
            </a:rPr>
            <a:t>Capital expenditure (replacement meters)</a:t>
          </a:r>
          <a:endParaRPr lang="en-AU" sz="1200" b="0" kern="1200" dirty="0">
            <a:solidFill>
              <a:sysClr val="window" lastClr="FFFFFF"/>
            </a:solidFill>
            <a:latin typeface="Calibri"/>
            <a:ea typeface="+mn-ea"/>
            <a:cs typeface="+mn-cs"/>
          </a:endParaRPr>
        </a:p>
      </dsp:txBody>
      <dsp:txXfrm>
        <a:off x="2699419" y="577096"/>
        <a:ext cx="1694429" cy="457854"/>
      </dsp:txXfrm>
    </dsp:sp>
    <dsp:sp modelId="{F69B09CC-C0C5-4A36-A30B-C258C6F498A5}">
      <dsp:nvSpPr>
        <dsp:cNvPr id="0" name=""/>
        <dsp:cNvSpPr/>
      </dsp:nvSpPr>
      <dsp:spPr>
        <a:xfrm rot="3310531">
          <a:off x="2149982" y="1073246"/>
          <a:ext cx="681313" cy="24848"/>
        </a:xfrm>
        <a:custGeom>
          <a:avLst/>
          <a:gdLst/>
          <a:ahLst/>
          <a:cxnLst/>
          <a:rect l="0" t="0" r="0" b="0"/>
          <a:pathLst>
            <a:path>
              <a:moveTo>
                <a:pt x="0" y="13302"/>
              </a:moveTo>
              <a:lnTo>
                <a:pt x="729463" y="13302"/>
              </a:lnTo>
            </a:path>
          </a:pathLst>
        </a:custGeom>
        <a:noFill/>
        <a:ln w="25400" cap="flat" cmpd="sng" algn="ctr">
          <a:solidFill>
            <a:srgbClr val="4F81BD">
              <a:shade val="6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533400">
            <a:lnSpc>
              <a:spcPct val="90000"/>
            </a:lnSpc>
            <a:spcBef>
              <a:spcPct val="0"/>
            </a:spcBef>
            <a:spcAft>
              <a:spcPct val="35000"/>
            </a:spcAft>
          </a:pPr>
          <a:endParaRPr lang="en-AU" sz="1200" b="0" kern="1200" dirty="0">
            <a:solidFill>
              <a:sysClr val="windowText" lastClr="000000">
                <a:hueOff val="0"/>
                <a:satOff val="0"/>
                <a:lumOff val="0"/>
                <a:alphaOff val="0"/>
              </a:sysClr>
            </a:solidFill>
            <a:latin typeface="Calibri"/>
            <a:ea typeface="+mn-ea"/>
            <a:cs typeface="+mn-cs"/>
          </a:endParaRPr>
        </a:p>
      </dsp:txBody>
      <dsp:txXfrm>
        <a:off x="2494894" y="1061961"/>
        <a:ext cx="0" cy="0"/>
      </dsp:txXfrm>
    </dsp:sp>
    <dsp:sp modelId="{139504AA-AFCE-45E3-B2B5-A2C36FCCC9A4}">
      <dsp:nvSpPr>
        <dsp:cNvPr id="0" name=""/>
        <dsp:cNvSpPr/>
      </dsp:nvSpPr>
      <dsp:spPr>
        <a:xfrm>
          <a:off x="2685175" y="1122146"/>
          <a:ext cx="1722917" cy="486342"/>
        </a:xfrm>
        <a:prstGeom prst="roundRect">
          <a:avLst>
            <a:gd name="adj" fmla="val 10000"/>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en-AU" sz="1200" b="0" kern="1200" dirty="0" err="1" smtClean="0">
              <a:solidFill>
                <a:sysClr val="window" lastClr="FFFFFF"/>
              </a:solidFill>
              <a:latin typeface="Calibri"/>
              <a:ea typeface="+mn-ea"/>
              <a:cs typeface="+mn-cs"/>
            </a:rPr>
            <a:t>Operating expenditure</a:t>
          </a:r>
          <a:endParaRPr lang="en-AU" sz="1200" b="0" kern="1200" dirty="0">
            <a:solidFill>
              <a:sysClr val="window" lastClr="FFFFFF"/>
            </a:solidFill>
            <a:latin typeface="Calibri"/>
            <a:ea typeface="+mn-ea"/>
            <a:cs typeface="+mn-cs"/>
          </a:endParaRPr>
        </a:p>
      </dsp:txBody>
      <dsp:txXfrm>
        <a:off x="2699419" y="1136390"/>
        <a:ext cx="1694429" cy="457854"/>
      </dsp:txXfrm>
    </dsp:sp>
    <dsp:sp modelId="{E311053C-EFE6-4E50-9171-E6991F7E1391}">
      <dsp:nvSpPr>
        <dsp:cNvPr id="0" name=""/>
        <dsp:cNvSpPr/>
      </dsp:nvSpPr>
      <dsp:spPr>
        <a:xfrm>
          <a:off x="1323416" y="1681440"/>
          <a:ext cx="972685" cy="486342"/>
        </a:xfrm>
        <a:prstGeom prst="roundRect">
          <a:avLst>
            <a:gd name="adj" fmla="val 10000"/>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en-AU" sz="1200" b="0" kern="1200" dirty="0">
              <a:solidFill>
                <a:sysClr val="window" lastClr="FFFFFF"/>
              </a:solidFill>
              <a:latin typeface="Calibri"/>
              <a:ea typeface="+mn-ea"/>
              <a:cs typeface="+mn-cs"/>
            </a:rPr>
            <a:t>Upfront capital charge</a:t>
          </a:r>
        </a:p>
      </dsp:txBody>
      <dsp:txXfrm>
        <a:off x="1337660" y="1695684"/>
        <a:ext cx="944197" cy="457854"/>
      </dsp:txXfrm>
    </dsp:sp>
    <dsp:sp modelId="{1F5949B9-7DC0-42B3-B1A5-533C05F664E5}">
      <dsp:nvSpPr>
        <dsp:cNvPr id="0" name=""/>
        <dsp:cNvSpPr/>
      </dsp:nvSpPr>
      <dsp:spPr>
        <a:xfrm>
          <a:off x="2296101" y="1912187"/>
          <a:ext cx="389074" cy="24848"/>
        </a:xfrm>
        <a:custGeom>
          <a:avLst/>
          <a:gdLst/>
          <a:ahLst/>
          <a:cxnLst/>
          <a:rect l="0" t="0" r="0" b="0"/>
          <a:pathLst>
            <a:path>
              <a:moveTo>
                <a:pt x="0" y="13302"/>
              </a:moveTo>
              <a:lnTo>
                <a:pt x="416570" y="13302"/>
              </a:lnTo>
            </a:path>
          </a:pathLst>
        </a:custGeom>
        <a:noFill/>
        <a:ln w="25400" cap="flat" cmpd="sng" algn="ctr">
          <a:solidFill>
            <a:srgbClr val="4F81BD">
              <a:shade val="6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en-AU" sz="500" kern="1200">
            <a:solidFill>
              <a:sysClr val="windowText" lastClr="000000">
                <a:hueOff val="0"/>
                <a:satOff val="0"/>
                <a:lumOff val="0"/>
                <a:alphaOff val="0"/>
              </a:sysClr>
            </a:solidFill>
            <a:latin typeface="Calibri"/>
            <a:ea typeface="+mn-ea"/>
            <a:cs typeface="+mn-cs"/>
          </a:endParaRPr>
        </a:p>
      </dsp:txBody>
      <dsp:txXfrm>
        <a:off x="2480912" y="1914884"/>
        <a:ext cx="0" cy="0"/>
      </dsp:txXfrm>
    </dsp:sp>
    <dsp:sp modelId="{29B246BC-72D3-463D-84E8-379699069DA6}">
      <dsp:nvSpPr>
        <dsp:cNvPr id="0" name=""/>
        <dsp:cNvSpPr/>
      </dsp:nvSpPr>
      <dsp:spPr>
        <a:xfrm>
          <a:off x="2685175" y="1681440"/>
          <a:ext cx="1715447" cy="486342"/>
        </a:xfrm>
        <a:prstGeom prst="roundRect">
          <a:avLst>
            <a:gd name="adj" fmla="val 10000"/>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en-AU" sz="1200" b="0" kern="1200" dirty="0">
              <a:solidFill>
                <a:sysClr val="window" lastClr="FFFFFF"/>
              </a:solidFill>
              <a:latin typeface="Calibri"/>
              <a:ea typeface="+mn-ea"/>
              <a:cs typeface="+mn-cs"/>
            </a:rPr>
            <a:t>New/upgraded capital costs</a:t>
          </a:r>
        </a:p>
      </dsp:txBody>
      <dsp:txXfrm>
        <a:off x="2699419" y="1695684"/>
        <a:ext cx="1686959" cy="457854"/>
      </dsp:txXfrm>
    </dsp:sp>
    <dsp:sp modelId="{D6B685A9-59E7-40D9-B0DA-6083A5B3BCD2}">
      <dsp:nvSpPr>
        <dsp:cNvPr id="0" name=""/>
        <dsp:cNvSpPr/>
      </dsp:nvSpPr>
      <dsp:spPr>
        <a:xfrm>
          <a:off x="1323416" y="2636906"/>
          <a:ext cx="972685" cy="486342"/>
        </a:xfrm>
        <a:prstGeom prst="roundRect">
          <a:avLst>
            <a:gd name="adj" fmla="val 10000"/>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en-AU" sz="1200" b="0" kern="1200" dirty="0" smtClean="0">
              <a:solidFill>
                <a:sysClr val="window" lastClr="FFFFFF"/>
              </a:solidFill>
              <a:latin typeface="Calibri"/>
              <a:ea typeface="+mn-ea"/>
              <a:cs typeface="+mn-cs"/>
            </a:rPr>
            <a:t>Exit fee</a:t>
          </a:r>
          <a:endParaRPr lang="en-AU" sz="1200" b="0" kern="1200" dirty="0">
            <a:solidFill>
              <a:sysClr val="window" lastClr="FFFFFF"/>
            </a:solidFill>
            <a:latin typeface="Calibri"/>
            <a:ea typeface="+mn-ea"/>
            <a:cs typeface="+mn-cs"/>
          </a:endParaRPr>
        </a:p>
      </dsp:txBody>
      <dsp:txXfrm>
        <a:off x="1337660" y="2651150"/>
        <a:ext cx="944197" cy="457854"/>
      </dsp:txXfrm>
    </dsp:sp>
    <dsp:sp modelId="{80A66B7F-4BCF-4C95-B157-E9FDD050E819}">
      <dsp:nvSpPr>
        <dsp:cNvPr id="0" name=""/>
        <dsp:cNvSpPr/>
      </dsp:nvSpPr>
      <dsp:spPr>
        <a:xfrm rot="19457599">
          <a:off x="2251065" y="2727830"/>
          <a:ext cx="479146" cy="24848"/>
        </a:xfrm>
        <a:custGeom>
          <a:avLst/>
          <a:gdLst/>
          <a:ahLst/>
          <a:cxnLst/>
          <a:rect l="0" t="0" r="0" b="0"/>
          <a:pathLst>
            <a:path>
              <a:moveTo>
                <a:pt x="0" y="13302"/>
              </a:moveTo>
              <a:lnTo>
                <a:pt x="513008" y="13302"/>
              </a:lnTo>
            </a:path>
          </a:pathLst>
        </a:custGeom>
        <a:noFill/>
        <a:ln w="25400" cap="flat" cmpd="sng" algn="ctr">
          <a:solidFill>
            <a:srgbClr val="4F81BD">
              <a:shade val="6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533400">
            <a:lnSpc>
              <a:spcPct val="90000"/>
            </a:lnSpc>
            <a:spcBef>
              <a:spcPct val="0"/>
            </a:spcBef>
            <a:spcAft>
              <a:spcPct val="35000"/>
            </a:spcAft>
          </a:pPr>
          <a:endParaRPr lang="en-AU" sz="1200" b="0" kern="1200" dirty="0">
            <a:solidFill>
              <a:sysClr val="windowText" lastClr="000000">
                <a:hueOff val="0"/>
                <a:satOff val="0"/>
                <a:lumOff val="0"/>
                <a:alphaOff val="0"/>
              </a:sysClr>
            </a:solidFill>
            <a:latin typeface="Calibri"/>
            <a:ea typeface="+mn-ea"/>
            <a:cs typeface="+mn-cs"/>
          </a:endParaRPr>
        </a:p>
      </dsp:txBody>
      <dsp:txXfrm>
        <a:off x="2473921" y="2737518"/>
        <a:ext cx="0" cy="0"/>
      </dsp:txXfrm>
    </dsp:sp>
    <dsp:sp modelId="{DDEF6B64-285D-424E-AD20-F6D41FCFA756}">
      <dsp:nvSpPr>
        <dsp:cNvPr id="0" name=""/>
        <dsp:cNvSpPr/>
      </dsp:nvSpPr>
      <dsp:spPr>
        <a:xfrm>
          <a:off x="2685175" y="2240734"/>
          <a:ext cx="1721886" cy="719393"/>
        </a:xfrm>
        <a:prstGeom prst="roundRect">
          <a:avLst>
            <a:gd name="adj" fmla="val 10000"/>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en-AU" sz="1200" b="0" kern="1200" dirty="0" smtClean="0">
              <a:solidFill>
                <a:sysClr val="window" lastClr="FFFFFF"/>
              </a:solidFill>
              <a:latin typeface="Calibri"/>
              <a:ea typeface="+mn-ea"/>
              <a:cs typeface="+mn-cs"/>
            </a:rPr>
            <a:t>Residual capital costs</a:t>
          </a:r>
        </a:p>
        <a:p>
          <a:pPr lvl="0" algn="ctr" defTabSz="533400">
            <a:lnSpc>
              <a:spcPct val="90000"/>
            </a:lnSpc>
            <a:spcBef>
              <a:spcPct val="0"/>
            </a:spcBef>
            <a:spcAft>
              <a:spcPct val="35000"/>
            </a:spcAft>
          </a:pPr>
          <a:r>
            <a:rPr lang="en-AU" sz="1200" b="0" kern="1200" dirty="0" smtClean="0">
              <a:solidFill>
                <a:sysClr val="window" lastClr="FFFFFF"/>
              </a:solidFill>
              <a:latin typeface="Calibri"/>
              <a:ea typeface="+mn-ea"/>
              <a:cs typeface="+mn-cs"/>
            </a:rPr>
            <a:t>(residual opening metering RAB recovery)</a:t>
          </a:r>
          <a:endParaRPr lang="en-AU" sz="1200" b="0" kern="1200" dirty="0">
            <a:solidFill>
              <a:sysClr val="window" lastClr="FFFFFF"/>
            </a:solidFill>
            <a:latin typeface="Calibri"/>
            <a:ea typeface="+mn-ea"/>
            <a:cs typeface="+mn-cs"/>
          </a:endParaRPr>
        </a:p>
      </dsp:txBody>
      <dsp:txXfrm>
        <a:off x="2706245" y="2261804"/>
        <a:ext cx="1679746" cy="677253"/>
      </dsp:txXfrm>
    </dsp:sp>
    <dsp:sp modelId="{E188177D-AB17-4B81-BBDB-5381418A9B0C}">
      <dsp:nvSpPr>
        <dsp:cNvPr id="0" name=""/>
        <dsp:cNvSpPr/>
      </dsp:nvSpPr>
      <dsp:spPr>
        <a:xfrm rot="2731074">
          <a:off x="2213001" y="3065739"/>
          <a:ext cx="555275" cy="24848"/>
        </a:xfrm>
        <a:custGeom>
          <a:avLst/>
          <a:gdLst/>
          <a:ahLst/>
          <a:cxnLst/>
          <a:rect l="0" t="0" r="0" b="0"/>
          <a:pathLst>
            <a:path>
              <a:moveTo>
                <a:pt x="0" y="13302"/>
              </a:moveTo>
              <a:lnTo>
                <a:pt x="513008" y="13302"/>
              </a:lnTo>
            </a:path>
          </a:pathLst>
        </a:custGeom>
        <a:noFill/>
        <a:ln w="25400" cap="flat" cmpd="sng" algn="ctr">
          <a:solidFill>
            <a:srgbClr val="4F81BD">
              <a:shade val="6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533400">
            <a:lnSpc>
              <a:spcPct val="90000"/>
            </a:lnSpc>
            <a:spcBef>
              <a:spcPct val="0"/>
            </a:spcBef>
            <a:spcAft>
              <a:spcPct val="35000"/>
            </a:spcAft>
          </a:pPr>
          <a:endParaRPr lang="en-AU" sz="1200" b="0" kern="1200" dirty="0">
            <a:solidFill>
              <a:sysClr val="windowText" lastClr="000000">
                <a:hueOff val="0"/>
                <a:satOff val="0"/>
                <a:lumOff val="0"/>
                <a:alphaOff val="0"/>
              </a:sysClr>
            </a:solidFill>
            <a:latin typeface="Calibri"/>
            <a:ea typeface="+mn-ea"/>
            <a:cs typeface="+mn-cs"/>
          </a:endParaRPr>
        </a:p>
      </dsp:txBody>
      <dsp:txXfrm>
        <a:off x="2490816" y="3058533"/>
        <a:ext cx="0" cy="0"/>
      </dsp:txXfrm>
    </dsp:sp>
    <dsp:sp modelId="{45A7550F-8141-4EDC-AC6F-F6408E61F9AB}">
      <dsp:nvSpPr>
        <dsp:cNvPr id="0" name=""/>
        <dsp:cNvSpPr/>
      </dsp:nvSpPr>
      <dsp:spPr>
        <a:xfrm>
          <a:off x="2685175" y="3033079"/>
          <a:ext cx="1721886" cy="486342"/>
        </a:xfrm>
        <a:prstGeom prst="roundRect">
          <a:avLst>
            <a:gd name="adj" fmla="val 10000"/>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en-AU" sz="1200" b="0" kern="1200" dirty="0" smtClean="0">
              <a:solidFill>
                <a:sysClr val="window" lastClr="FFFFFF"/>
              </a:solidFill>
              <a:latin typeface="Calibri"/>
              <a:ea typeface="+mn-ea"/>
              <a:cs typeface="+mn-cs"/>
            </a:rPr>
            <a:t>Administration costs</a:t>
          </a:r>
          <a:endParaRPr lang="en-AU" sz="1200" b="0" kern="1200" dirty="0">
            <a:solidFill>
              <a:sysClr val="window" lastClr="FFFFFF"/>
            </a:solidFill>
            <a:latin typeface="Calibri"/>
            <a:ea typeface="+mn-ea"/>
            <a:cs typeface="+mn-cs"/>
          </a:endParaRPr>
        </a:p>
      </dsp:txBody>
      <dsp:txXfrm>
        <a:off x="2699419" y="3047323"/>
        <a:ext cx="1693398" cy="457854"/>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2">
  <dgm:title val=""/>
  <dgm:desc val=""/>
  <dgm:catLst>
    <dgm:cat type="hierarchy" pri="5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diagram">
    <dgm:varLst>
      <dgm:chPref val="1"/>
      <dgm:dir/>
      <dgm:animOne val="branch"/>
      <dgm:animLvl val="lvl"/>
      <dgm:resizeHandles val="exact"/>
    </dgm:varLst>
    <dgm:choose name="Name0">
      <dgm:if name="Name1" func="var" arg="dir" op="equ" val="norm">
        <dgm:alg type="hierChild">
          <dgm:param type="linDir" val="fromT"/>
          <dgm:param type="chAlign" val="l"/>
        </dgm:alg>
      </dgm:if>
      <dgm:else name="Name2">
        <dgm:alg type="hierChild">
          <dgm:param type="linDir" val="fromT"/>
          <dgm:param type="chAlign" val="r"/>
        </dgm:alg>
      </dgm:else>
    </dgm:choose>
    <dgm:shape xmlns:r="http://schemas.openxmlformats.org/officeDocument/2006/relationships" r:blip="">
      <dgm:adjLst/>
    </dgm:shape>
    <dgm:presOf/>
    <dgm:constrLst>
      <dgm:constr type="h" for="des" ptType="node" refType="h"/>
      <dgm:constr type="w" for="des" ptType="node" refType="h" refFor="des" refPtType="node" fact="2"/>
      <dgm:constr type="sibSp" refType="h" refFor="des" refPtType="node" op="equ" fact="0.15"/>
      <dgm:constr type="sibSp" for="des" forName="level2hierChild" refType="h" refFor="des" refPtType="node" op="equ" fact="0.15"/>
      <dgm:constr type="sibSp" for="des" forName="level3hierChild" refType="h" refFor="des" refPtType="node" op="equ" fact="0.15"/>
      <dgm:constr type="sp" for="des" forName="root1" refType="w" refFor="des" refPtType="node" fact="0.4"/>
      <dgm:constr type="sp" for="des" forName="root2" refType="sp" refFor="des" refForName="root1" op="equ"/>
      <dgm:constr type="primFontSz" for="des" ptType="node" op="equ" val="65"/>
      <dgm:constr type="primFontSz" for="des" forName="connTx" op="equ" val="55"/>
      <dgm:constr type="primFontSz" for="des" forName="connTx" refType="primFontSz" refFor="des" refPtType="node" op="lte" fact="0.8"/>
    </dgm:constrLst>
    <dgm:ruleLst/>
    <dgm:forEach name="Name3" axis="ch">
      <dgm:forEach name="Name4" axis="self" ptType="node">
        <dgm:layoutNode name="root1">
          <dgm:choose name="Name5">
            <dgm:if name="Name6" func="var" arg="dir" op="equ" val="norm">
              <dgm:alg type="hierRoot">
                <dgm:param type="hierAlign" val="lCtrCh"/>
              </dgm:alg>
            </dgm:if>
            <dgm:else name="Name7">
              <dgm:alg type="hierRoot">
                <dgm:param type="hierAlign" val="rCtrCh"/>
              </dgm:alg>
            </dgm:else>
          </dgm:choose>
          <dgm:shape xmlns:r="http://schemas.openxmlformats.org/officeDocument/2006/relationships" r:blip="">
            <dgm:adjLst/>
          </dgm:shape>
          <dgm:presOf/>
          <dgm:constrLst/>
          <dgm:ruleLst/>
          <dgm:layoutNode name="LevelOneTextNode" styleLbl="node0">
            <dgm:varLst>
              <dgm:chPref val="3"/>
            </dgm:varLst>
            <dgm:alg type="tx"/>
            <dgm:shape xmlns:r="http://schemas.openxmlformats.org/officeDocument/2006/relationships" type="roundRect" r:blip="">
              <dgm:adjLst>
                <dgm:adj idx="1" val="0.1"/>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name="level2hierChild">
            <dgm:choose name="Name8">
              <dgm:if name="Name9" func="var" arg="dir" op="equ" val="norm">
                <dgm:alg type="hierChild">
                  <dgm:param type="linDir" val="fromT"/>
                  <dgm:param type="chAlign" val="l"/>
                </dgm:alg>
              </dgm:if>
              <dgm:else name="Name10">
                <dgm:alg type="hierChild">
                  <dgm:param type="linDir" val="fromT"/>
                  <dgm:param type="chAlign" val="r"/>
                </dgm:alg>
              </dgm:else>
            </dgm:choose>
            <dgm:shape xmlns:r="http://schemas.openxmlformats.org/officeDocument/2006/relationships" r:blip="">
              <dgm:adjLst/>
            </dgm:shape>
            <dgm:presOf/>
            <dgm:constrLst/>
            <dgm:ruleLst/>
            <dgm:forEach name="repeat" axis="ch">
              <dgm:forEach name="Name11" axis="self" ptType="parTrans" cnt="1">
                <dgm:layoutNode name="conn2-1">
                  <dgm:choose name="Name12">
                    <dgm:if name="Name13" func="var" arg="dir" op="equ" val="norm">
                      <dgm:alg type="conn">
                        <dgm:param type="dim" val="1D"/>
                        <dgm:param type="begPts" val="midR"/>
                        <dgm:param type="endPts" val="midL"/>
                        <dgm:param type="endSty" val="noArr"/>
                      </dgm:alg>
                    </dgm:if>
                    <dgm:else name="Name14">
                      <dgm:alg type="conn">
                        <dgm:param type="dim" val="1D"/>
                        <dgm:param type="begPts" val="midL"/>
                        <dgm:param type="endPts" val="midR"/>
                        <dgm:param type="endSty" val="noArr"/>
                      </dgm:alg>
                    </dgm:else>
                  </dgm:choose>
                  <dgm:shape xmlns:r="http://schemas.openxmlformats.org/officeDocument/2006/relationships" type="conn" r:blip="">
                    <dgm:adjLst/>
                  </dgm:shape>
                  <dgm:presOf axis="self"/>
                  <dgm:constrLst>
                    <dgm:constr type="w" val="1"/>
                    <dgm:constr type="h" val="5"/>
                    <dgm:constr type="connDist"/>
                    <dgm:constr type="begPad"/>
                    <dgm:constr type="endPad"/>
                    <dgm:constr type="userA" for="ch" refType="connDist"/>
                  </dgm:constrLst>
                  <dgm:ruleLst/>
                  <dgm:layoutNode name="connTx">
                    <dgm:alg type="tx">
                      <dgm:param type="autoTxRot" val="grav"/>
                    </dgm:alg>
                    <dgm:shape xmlns:r="http://schemas.openxmlformats.org/officeDocument/2006/relationships" type="rect" r:blip="" hideGeom="1">
                      <dgm:adjLst/>
                    </dgm:shape>
                    <dgm:presOf axis="self"/>
                    <dgm:constrLst>
                      <dgm:constr type="userA"/>
                      <dgm:constr type="w" refType="userA" fact="0.05"/>
                      <dgm:constr type="h" refType="userA" fact="0.05"/>
                      <dgm:constr type="lMarg" val="1"/>
                      <dgm:constr type="rMarg" val="1"/>
                      <dgm:constr type="tMarg"/>
                      <dgm:constr type="bMarg"/>
                    </dgm:constrLst>
                    <dgm:ruleLst>
                      <dgm:rule type="h" val="NaN" fact="0.25" max="NaN"/>
                      <dgm:rule type="w" val="NaN" fact="0.8" max="NaN"/>
                      <dgm:rule type="primFontSz" val="5" fact="NaN" max="NaN"/>
                    </dgm:ruleLst>
                  </dgm:layoutNode>
                </dgm:layoutNode>
              </dgm:forEach>
              <dgm:forEach name="Name15" axis="self" ptType="node">
                <dgm:layoutNode name="root2">
                  <dgm:choose name="Name16">
                    <dgm:if name="Name17" func="var" arg="dir" op="equ" val="norm">
                      <dgm:alg type="hierRoot">
                        <dgm:param type="hierAlign" val="lCtrCh"/>
                      </dgm:alg>
                    </dgm:if>
                    <dgm:else name="Name18">
                      <dgm:alg type="hierRoot">
                        <dgm:param type="hierAlign" val="rCtrCh"/>
                      </dgm:alg>
                    </dgm:else>
                  </dgm:choose>
                  <dgm:shape xmlns:r="http://schemas.openxmlformats.org/officeDocument/2006/relationships" r:blip="">
                    <dgm:adjLst/>
                  </dgm:shape>
                  <dgm:presOf/>
                  <dgm:constrLst/>
                  <dgm:ruleLst/>
                  <dgm:layoutNode name="LevelTwoTextNode">
                    <dgm:varLst>
                      <dgm:chPref val="3"/>
                    </dgm:varLst>
                    <dgm:alg type="tx"/>
                    <dgm:shape xmlns:r="http://schemas.openxmlformats.org/officeDocument/2006/relationships" type="roundRect" r:blip="">
                      <dgm:adjLst>
                        <dgm:adj idx="1" val="0.1"/>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name="level3hierChild">
                    <dgm:choose name="Name19">
                      <dgm:if name="Name20" func="var" arg="dir" op="equ" val="norm">
                        <dgm:alg type="hierChild">
                          <dgm:param type="linDir" val="fromT"/>
                          <dgm:param type="chAlign" val="l"/>
                        </dgm:alg>
                      </dgm:if>
                      <dgm:else name="Name21">
                        <dgm:alg type="hierChild">
                          <dgm:param type="linDir" val="fromT"/>
                          <dgm:param type="chAlign" val="r"/>
                        </dgm:alg>
                      </dgm:else>
                    </dgm:choose>
                    <dgm:shape xmlns:r="http://schemas.openxmlformats.org/officeDocument/2006/relationships" r:blip="">
                      <dgm:adjLst/>
                    </dgm:shape>
                    <dgm:presOf/>
                    <dgm:constrLst/>
                    <dgm:ruleLst/>
                    <dgm:forEach name="Name22" ref="repeat"/>
                  </dgm:layoutNode>
                </dgm:layoutNode>
              </dgm:forEach>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rawings/drawing1.xml><?xml version="1.0" encoding="utf-8"?>
<c:userShapes xmlns:c="http://schemas.openxmlformats.org/drawingml/2006/chart">
  <cdr:relSizeAnchor xmlns:cdr="http://schemas.openxmlformats.org/drawingml/2006/chartDrawing">
    <cdr:from>
      <cdr:x>0.85185</cdr:x>
      <cdr:y>0.62924</cdr:y>
    </cdr:from>
    <cdr:to>
      <cdr:x>1</cdr:x>
      <cdr:y>0.87616</cdr:y>
    </cdr:to>
    <cdr:sp macro="" textlink="">
      <cdr:nvSpPr>
        <cdr:cNvPr id="2" name="TextBox 1"/>
        <cdr:cNvSpPr txBox="1"/>
      </cdr:nvSpPr>
      <cdr:spPr>
        <a:xfrm xmlns:a="http://schemas.openxmlformats.org/drawingml/2006/main">
          <a:off x="3894667" y="1726142"/>
          <a:ext cx="677333" cy="677333"/>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n-AU" sz="1000"/>
            <a:t>Ausgrid</a:t>
          </a:r>
        </a:p>
      </cdr:txBody>
    </cdr:sp>
  </cdr:relSizeAnchor>
  <cdr:relSizeAnchor xmlns:cdr="http://schemas.openxmlformats.org/drawingml/2006/chartDrawing">
    <cdr:from>
      <cdr:x>0.68241</cdr:x>
      <cdr:y>0.75154</cdr:y>
    </cdr:from>
    <cdr:to>
      <cdr:x>0.95896</cdr:x>
      <cdr:y>0.92581</cdr:y>
    </cdr:to>
    <cdr:sp macro="" textlink="">
      <cdr:nvSpPr>
        <cdr:cNvPr id="3" name="TextBox 1"/>
        <cdr:cNvSpPr txBox="1"/>
      </cdr:nvSpPr>
      <cdr:spPr>
        <a:xfrm xmlns:a="http://schemas.openxmlformats.org/drawingml/2006/main">
          <a:off x="3119966" y="2061634"/>
          <a:ext cx="1264391" cy="47804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n-AU" sz="1000"/>
            <a:t>ActewAGL</a:t>
          </a:r>
        </a:p>
      </cdr:txBody>
    </cdr:sp>
  </cdr:relSizeAnchor>
  <cdr:relSizeAnchor xmlns:cdr="http://schemas.openxmlformats.org/drawingml/2006/chartDrawing">
    <cdr:from>
      <cdr:x>0.47429</cdr:x>
      <cdr:y>0.62025</cdr:y>
    </cdr:from>
    <cdr:to>
      <cdr:x>0.69937</cdr:x>
      <cdr:y>0.74431</cdr:y>
    </cdr:to>
    <cdr:sp macro="" textlink="">
      <cdr:nvSpPr>
        <cdr:cNvPr id="4" name="TextBox 1"/>
        <cdr:cNvSpPr txBox="1"/>
      </cdr:nvSpPr>
      <cdr:spPr>
        <a:xfrm xmlns:a="http://schemas.openxmlformats.org/drawingml/2006/main">
          <a:off x="2168461" y="1701465"/>
          <a:ext cx="1029066" cy="340321"/>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n-AU" sz="1000" b="1">
              <a:solidFill>
                <a:srgbClr val="00B050"/>
              </a:solidFill>
            </a:rPr>
            <a:t>Energex</a:t>
          </a:r>
        </a:p>
      </cdr:txBody>
    </cdr:sp>
  </cdr:relSizeAnchor>
  <cdr:relSizeAnchor xmlns:cdr="http://schemas.openxmlformats.org/drawingml/2006/chartDrawing">
    <cdr:from>
      <cdr:x>0.45556</cdr:x>
      <cdr:y>0.42747</cdr:y>
    </cdr:from>
    <cdr:to>
      <cdr:x>0.73211</cdr:x>
      <cdr:y>0.60175</cdr:y>
    </cdr:to>
    <cdr:sp macro="" textlink="">
      <cdr:nvSpPr>
        <cdr:cNvPr id="5" name="TextBox 1"/>
        <cdr:cNvSpPr txBox="1"/>
      </cdr:nvSpPr>
      <cdr:spPr>
        <a:xfrm xmlns:a="http://schemas.openxmlformats.org/drawingml/2006/main">
          <a:off x="2082801" y="1172634"/>
          <a:ext cx="1264390" cy="478076"/>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n-AU" sz="1000" b="1">
              <a:solidFill>
                <a:srgbClr val="FF0000"/>
              </a:solidFill>
            </a:rPr>
            <a:t>Endeavour Energy</a:t>
          </a:r>
        </a:p>
        <a:p xmlns:a="http://schemas.openxmlformats.org/drawingml/2006/main">
          <a:pPr algn="ctr"/>
          <a:r>
            <a:rPr lang="en-AU" sz="1000" b="1">
              <a:solidFill>
                <a:srgbClr val="FF0000"/>
              </a:solidFill>
            </a:rPr>
            <a:t>(Proposed)</a:t>
          </a:r>
        </a:p>
      </cdr:txBody>
    </cdr:sp>
  </cdr:relSizeAnchor>
  <cdr:relSizeAnchor xmlns:cdr="http://schemas.openxmlformats.org/drawingml/2006/chartDrawing">
    <cdr:from>
      <cdr:x>0.67315</cdr:x>
      <cdr:y>0.46335</cdr:y>
    </cdr:from>
    <cdr:to>
      <cdr:x>0.9497</cdr:x>
      <cdr:y>0.67119</cdr:y>
    </cdr:to>
    <cdr:sp macro="" textlink="">
      <cdr:nvSpPr>
        <cdr:cNvPr id="6" name="TextBox 1"/>
        <cdr:cNvSpPr txBox="1"/>
      </cdr:nvSpPr>
      <cdr:spPr>
        <a:xfrm xmlns:a="http://schemas.openxmlformats.org/drawingml/2006/main">
          <a:off x="3077632" y="1271059"/>
          <a:ext cx="1264390" cy="570151"/>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n-AU" sz="1000" b="1">
              <a:solidFill>
                <a:srgbClr val="FFC000"/>
              </a:solidFill>
            </a:rPr>
            <a:t>Endeavour Energy</a:t>
          </a:r>
        </a:p>
        <a:p xmlns:a="http://schemas.openxmlformats.org/drawingml/2006/main">
          <a:pPr algn="ctr"/>
          <a:r>
            <a:rPr lang="en-AU" sz="1000" b="1">
              <a:solidFill>
                <a:srgbClr val="FFC000"/>
              </a:solidFill>
            </a:rPr>
            <a:t>(Historical)</a:t>
          </a:r>
        </a:p>
      </cdr:txBody>
    </cdr:sp>
  </cdr:relSizeAnchor>
  <cdr:relSizeAnchor xmlns:cdr="http://schemas.openxmlformats.org/drawingml/2006/chartDrawing">
    <cdr:from>
      <cdr:x>0.09861</cdr:x>
      <cdr:y>0.6196</cdr:y>
    </cdr:from>
    <cdr:to>
      <cdr:x>0.44583</cdr:x>
      <cdr:y>0.83582</cdr:y>
    </cdr:to>
    <cdr:sp macro="" textlink="">
      <cdr:nvSpPr>
        <cdr:cNvPr id="8" name="TextBox 1"/>
        <cdr:cNvSpPr txBox="1"/>
      </cdr:nvSpPr>
      <cdr:spPr>
        <a:xfrm xmlns:a="http://schemas.openxmlformats.org/drawingml/2006/main">
          <a:off x="450830" y="1699693"/>
          <a:ext cx="1587490" cy="593135"/>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n-AU" sz="1000"/>
            <a:t>SA Power Networks </a:t>
          </a:r>
        </a:p>
      </cdr:txBody>
    </cdr:sp>
  </cdr:relSizeAnchor>
  <cdr:relSizeAnchor xmlns:cdr="http://schemas.openxmlformats.org/drawingml/2006/chartDrawing">
    <cdr:from>
      <cdr:x>0.06713</cdr:x>
      <cdr:y>0.47453</cdr:y>
    </cdr:from>
    <cdr:to>
      <cdr:x>0.34978</cdr:x>
      <cdr:y>0.69076</cdr:y>
    </cdr:to>
    <cdr:sp macro="" textlink="">
      <cdr:nvSpPr>
        <cdr:cNvPr id="9" name="TextBox 1"/>
        <cdr:cNvSpPr txBox="1"/>
      </cdr:nvSpPr>
      <cdr:spPr>
        <a:xfrm xmlns:a="http://schemas.openxmlformats.org/drawingml/2006/main">
          <a:off x="306903" y="1301740"/>
          <a:ext cx="1292276" cy="59316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n-AU" sz="1000" b="0">
              <a:solidFill>
                <a:sysClr val="windowText" lastClr="000000"/>
              </a:solidFill>
            </a:rPr>
            <a:t>Ergon Energy </a:t>
          </a:r>
        </a:p>
      </cdr:txBody>
    </cdr:sp>
  </cdr:relSizeAnchor>
  <cdr:relSizeAnchor xmlns:cdr="http://schemas.openxmlformats.org/drawingml/2006/chartDrawing">
    <cdr:from>
      <cdr:x>0.26574</cdr:x>
      <cdr:y>0.24228</cdr:y>
    </cdr:from>
    <cdr:to>
      <cdr:x>0.51874</cdr:x>
      <cdr:y>0.39884</cdr:y>
    </cdr:to>
    <cdr:sp macro="" textlink="">
      <cdr:nvSpPr>
        <cdr:cNvPr id="10" name="TextBox 1"/>
        <cdr:cNvSpPr txBox="1"/>
      </cdr:nvSpPr>
      <cdr:spPr>
        <a:xfrm xmlns:a="http://schemas.openxmlformats.org/drawingml/2006/main">
          <a:off x="1214966" y="664634"/>
          <a:ext cx="1156712" cy="429475"/>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n-AU" sz="1000"/>
            <a:t>TasNetworks </a:t>
          </a:r>
        </a:p>
      </cdr:txBody>
    </cdr:sp>
  </cdr:relSizeAnchor>
  <cdr:relSizeAnchor xmlns:cdr="http://schemas.openxmlformats.org/drawingml/2006/chartDrawing">
    <cdr:from>
      <cdr:x>0.14306</cdr:x>
      <cdr:y>0.07639</cdr:y>
    </cdr:from>
    <cdr:to>
      <cdr:x>0.4702</cdr:x>
      <cdr:y>0.24299</cdr:y>
    </cdr:to>
    <cdr:sp macro="" textlink="">
      <cdr:nvSpPr>
        <cdr:cNvPr id="11" name="TextBox 1"/>
        <cdr:cNvSpPr txBox="1"/>
      </cdr:nvSpPr>
      <cdr:spPr>
        <a:xfrm xmlns:a="http://schemas.openxmlformats.org/drawingml/2006/main">
          <a:off x="654050" y="209551"/>
          <a:ext cx="1495715" cy="457017"/>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n-AU" sz="1000" b="0">
              <a:solidFill>
                <a:sysClr val="windowText" lastClr="000000"/>
              </a:solidFill>
            </a:rPr>
            <a:t>Essential</a:t>
          </a:r>
          <a:r>
            <a:rPr lang="en-AU" sz="1000" b="0" baseline="0">
              <a:solidFill>
                <a:sysClr val="windowText" lastClr="000000"/>
              </a:solidFill>
            </a:rPr>
            <a:t> Energy </a:t>
          </a:r>
          <a:endParaRPr lang="en-AU" sz="1000" b="0">
            <a:solidFill>
              <a:sysClr val="windowText" lastClr="000000"/>
            </a:solidFill>
          </a:endParaRPr>
        </a:p>
      </cdr:txBody>
    </cdr: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docProps/app.xml><?xml version="1.0" encoding="utf-8"?>
<Properties xmlns="http://schemas.openxmlformats.org/officeDocument/2006/extended-properties" xmlns:vt="http://schemas.openxmlformats.org/officeDocument/2006/docPropsVTypes">
  <Template>BE0F880E.dotm</Template>
  <TotalTime>0</TotalTime>
  <Pages>84</Pages>
  <Words>24597</Words>
  <Characters>140208</Characters>
  <Application>Microsoft Office Word</Application>
  <DocSecurity>0</DocSecurity>
  <Lines>1168</Lines>
  <Paragraphs>328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164477</CharactersWithSpaces>
  <SharedDoc>false</SharedDoc>
  <HLinks>
    <vt:vector size="108" baseType="variant">
      <vt:variant>
        <vt:i4>1048636</vt:i4>
      </vt:variant>
      <vt:variant>
        <vt:i4>104</vt:i4>
      </vt:variant>
      <vt:variant>
        <vt:i4>0</vt:i4>
      </vt:variant>
      <vt:variant>
        <vt:i4>5</vt:i4>
      </vt:variant>
      <vt:variant>
        <vt:lpwstr/>
      </vt:variant>
      <vt:variant>
        <vt:lpwstr>_Toc322596469</vt:lpwstr>
      </vt:variant>
      <vt:variant>
        <vt:i4>1048636</vt:i4>
      </vt:variant>
      <vt:variant>
        <vt:i4>98</vt:i4>
      </vt:variant>
      <vt:variant>
        <vt:i4>0</vt:i4>
      </vt:variant>
      <vt:variant>
        <vt:i4>5</vt:i4>
      </vt:variant>
      <vt:variant>
        <vt:lpwstr/>
      </vt:variant>
      <vt:variant>
        <vt:lpwstr>_Toc322596468</vt:lpwstr>
      </vt:variant>
      <vt:variant>
        <vt:i4>1048636</vt:i4>
      </vt:variant>
      <vt:variant>
        <vt:i4>92</vt:i4>
      </vt:variant>
      <vt:variant>
        <vt:i4>0</vt:i4>
      </vt:variant>
      <vt:variant>
        <vt:i4>5</vt:i4>
      </vt:variant>
      <vt:variant>
        <vt:lpwstr/>
      </vt:variant>
      <vt:variant>
        <vt:lpwstr>_Toc322596467</vt:lpwstr>
      </vt:variant>
      <vt:variant>
        <vt:i4>1048636</vt:i4>
      </vt:variant>
      <vt:variant>
        <vt:i4>86</vt:i4>
      </vt:variant>
      <vt:variant>
        <vt:i4>0</vt:i4>
      </vt:variant>
      <vt:variant>
        <vt:i4>5</vt:i4>
      </vt:variant>
      <vt:variant>
        <vt:lpwstr/>
      </vt:variant>
      <vt:variant>
        <vt:lpwstr>_Toc322596466</vt:lpwstr>
      </vt:variant>
      <vt:variant>
        <vt:i4>1048636</vt:i4>
      </vt:variant>
      <vt:variant>
        <vt:i4>80</vt:i4>
      </vt:variant>
      <vt:variant>
        <vt:i4>0</vt:i4>
      </vt:variant>
      <vt:variant>
        <vt:i4>5</vt:i4>
      </vt:variant>
      <vt:variant>
        <vt:lpwstr/>
      </vt:variant>
      <vt:variant>
        <vt:lpwstr>_Toc322596465</vt:lpwstr>
      </vt:variant>
      <vt:variant>
        <vt:i4>1048636</vt:i4>
      </vt:variant>
      <vt:variant>
        <vt:i4>74</vt:i4>
      </vt:variant>
      <vt:variant>
        <vt:i4>0</vt:i4>
      </vt:variant>
      <vt:variant>
        <vt:i4>5</vt:i4>
      </vt:variant>
      <vt:variant>
        <vt:lpwstr/>
      </vt:variant>
      <vt:variant>
        <vt:lpwstr>_Toc322596464</vt:lpwstr>
      </vt:variant>
      <vt:variant>
        <vt:i4>1048636</vt:i4>
      </vt:variant>
      <vt:variant>
        <vt:i4>68</vt:i4>
      </vt:variant>
      <vt:variant>
        <vt:i4>0</vt:i4>
      </vt:variant>
      <vt:variant>
        <vt:i4>5</vt:i4>
      </vt:variant>
      <vt:variant>
        <vt:lpwstr/>
      </vt:variant>
      <vt:variant>
        <vt:lpwstr>_Toc322596463</vt:lpwstr>
      </vt:variant>
      <vt:variant>
        <vt:i4>1048636</vt:i4>
      </vt:variant>
      <vt:variant>
        <vt:i4>62</vt:i4>
      </vt:variant>
      <vt:variant>
        <vt:i4>0</vt:i4>
      </vt:variant>
      <vt:variant>
        <vt:i4>5</vt:i4>
      </vt:variant>
      <vt:variant>
        <vt:lpwstr/>
      </vt:variant>
      <vt:variant>
        <vt:lpwstr>_Toc322596462</vt:lpwstr>
      </vt:variant>
      <vt:variant>
        <vt:i4>1048636</vt:i4>
      </vt:variant>
      <vt:variant>
        <vt:i4>56</vt:i4>
      </vt:variant>
      <vt:variant>
        <vt:i4>0</vt:i4>
      </vt:variant>
      <vt:variant>
        <vt:i4>5</vt:i4>
      </vt:variant>
      <vt:variant>
        <vt:lpwstr/>
      </vt:variant>
      <vt:variant>
        <vt:lpwstr>_Toc322596461</vt:lpwstr>
      </vt:variant>
      <vt:variant>
        <vt:i4>1048636</vt:i4>
      </vt:variant>
      <vt:variant>
        <vt:i4>50</vt:i4>
      </vt:variant>
      <vt:variant>
        <vt:i4>0</vt:i4>
      </vt:variant>
      <vt:variant>
        <vt:i4>5</vt:i4>
      </vt:variant>
      <vt:variant>
        <vt:lpwstr/>
      </vt:variant>
      <vt:variant>
        <vt:lpwstr>_Toc322596460</vt:lpwstr>
      </vt:variant>
      <vt:variant>
        <vt:i4>1245244</vt:i4>
      </vt:variant>
      <vt:variant>
        <vt:i4>44</vt:i4>
      </vt:variant>
      <vt:variant>
        <vt:i4>0</vt:i4>
      </vt:variant>
      <vt:variant>
        <vt:i4>5</vt:i4>
      </vt:variant>
      <vt:variant>
        <vt:lpwstr/>
      </vt:variant>
      <vt:variant>
        <vt:lpwstr>_Toc322596459</vt:lpwstr>
      </vt:variant>
      <vt:variant>
        <vt:i4>1245244</vt:i4>
      </vt:variant>
      <vt:variant>
        <vt:i4>38</vt:i4>
      </vt:variant>
      <vt:variant>
        <vt:i4>0</vt:i4>
      </vt:variant>
      <vt:variant>
        <vt:i4>5</vt:i4>
      </vt:variant>
      <vt:variant>
        <vt:lpwstr/>
      </vt:variant>
      <vt:variant>
        <vt:lpwstr>_Toc322596458</vt:lpwstr>
      </vt:variant>
      <vt:variant>
        <vt:i4>1245244</vt:i4>
      </vt:variant>
      <vt:variant>
        <vt:i4>32</vt:i4>
      </vt:variant>
      <vt:variant>
        <vt:i4>0</vt:i4>
      </vt:variant>
      <vt:variant>
        <vt:i4>5</vt:i4>
      </vt:variant>
      <vt:variant>
        <vt:lpwstr/>
      </vt:variant>
      <vt:variant>
        <vt:lpwstr>_Toc322596457</vt:lpwstr>
      </vt:variant>
      <vt:variant>
        <vt:i4>1245244</vt:i4>
      </vt:variant>
      <vt:variant>
        <vt:i4>26</vt:i4>
      </vt:variant>
      <vt:variant>
        <vt:i4>0</vt:i4>
      </vt:variant>
      <vt:variant>
        <vt:i4>5</vt:i4>
      </vt:variant>
      <vt:variant>
        <vt:lpwstr/>
      </vt:variant>
      <vt:variant>
        <vt:lpwstr>_Toc322596456</vt:lpwstr>
      </vt:variant>
      <vt:variant>
        <vt:i4>1245244</vt:i4>
      </vt:variant>
      <vt:variant>
        <vt:i4>20</vt:i4>
      </vt:variant>
      <vt:variant>
        <vt:i4>0</vt:i4>
      </vt:variant>
      <vt:variant>
        <vt:i4>5</vt:i4>
      </vt:variant>
      <vt:variant>
        <vt:lpwstr/>
      </vt:variant>
      <vt:variant>
        <vt:lpwstr>_Toc322596455</vt:lpwstr>
      </vt:variant>
      <vt:variant>
        <vt:i4>1245244</vt:i4>
      </vt:variant>
      <vt:variant>
        <vt:i4>14</vt:i4>
      </vt:variant>
      <vt:variant>
        <vt:i4>0</vt:i4>
      </vt:variant>
      <vt:variant>
        <vt:i4>5</vt:i4>
      </vt:variant>
      <vt:variant>
        <vt:lpwstr/>
      </vt:variant>
      <vt:variant>
        <vt:lpwstr>_Toc322596454</vt:lpwstr>
      </vt:variant>
      <vt:variant>
        <vt:i4>1245244</vt:i4>
      </vt:variant>
      <vt:variant>
        <vt:i4>8</vt:i4>
      </vt:variant>
      <vt:variant>
        <vt:i4>0</vt:i4>
      </vt:variant>
      <vt:variant>
        <vt:i4>5</vt:i4>
      </vt:variant>
      <vt:variant>
        <vt:lpwstr/>
      </vt:variant>
      <vt:variant>
        <vt:lpwstr>_Toc322596453</vt:lpwstr>
      </vt:variant>
      <vt:variant>
        <vt:i4>1245244</vt:i4>
      </vt:variant>
      <vt:variant>
        <vt:i4>2</vt:i4>
      </vt:variant>
      <vt:variant>
        <vt:i4>0</vt:i4>
      </vt:variant>
      <vt:variant>
        <vt:i4>5</vt:i4>
      </vt:variant>
      <vt:variant>
        <vt:lpwstr/>
      </vt:variant>
      <vt:variant>
        <vt:lpwstr>_Toc322596452</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2014-11-26T07:27:00Z</dcterms:created>
  <dcterms:modified xsi:type="dcterms:W3CDTF">2014-11-26T07:28:00Z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URI">
    <vt:lpwstr>8292839</vt:lpwstr>
  </property>
</Properties>
</file>