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46CC" w:rsidRDefault="009C46CC" w:rsidP="009C46CC">
      <w:r w:rsidRPr="009C46CC">
        <w:rPr>
          <w:noProof/>
          <w:lang w:eastAsia="en-AU"/>
        </w:rPr>
        <w:drawing>
          <wp:anchor distT="0" distB="0" distL="114300" distR="114300" simplePos="0" relativeHeight="251659264" behindDoc="1" locked="0" layoutInCell="1" allowOverlap="1" wp14:anchorId="40CB22DC" wp14:editId="4C052ED5">
            <wp:simplePos x="0" y="0"/>
            <wp:positionH relativeFrom="column">
              <wp:posOffset>-969645</wp:posOffset>
            </wp:positionH>
            <wp:positionV relativeFrom="paragraph">
              <wp:posOffset>-928370</wp:posOffset>
            </wp:positionV>
            <wp:extent cx="7657465" cy="10791825"/>
            <wp:effectExtent l="0" t="0" r="0" b="0"/>
            <wp:wrapNone/>
            <wp:docPr id="40" name="Picture 2" descr="AER-draft-br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draft-brown"/>
                    <pic:cNvPicPr>
                      <a:picLocks noChangeAspect="1" noChangeArrowheads="1"/>
                    </pic:cNvPicPr>
                  </pic:nvPicPr>
                  <pic:blipFill>
                    <a:blip r:embed="rId8" cstate="print"/>
                    <a:srcRect/>
                    <a:stretch>
                      <a:fillRect/>
                    </a:stretch>
                  </pic:blipFill>
                  <pic:spPr bwMode="auto">
                    <a:xfrm>
                      <a:off x="0" y="0"/>
                      <a:ext cx="7657465" cy="10791825"/>
                    </a:xfrm>
                    <a:prstGeom prst="rect">
                      <a:avLst/>
                    </a:prstGeom>
                    <a:noFill/>
                    <a:ln w="9525">
                      <a:noFill/>
                      <a:miter lim="800000"/>
                      <a:headEnd/>
                      <a:tailEnd/>
                    </a:ln>
                  </pic:spPr>
                </pic:pic>
              </a:graphicData>
            </a:graphic>
          </wp:anchor>
        </w:drawing>
      </w:r>
    </w:p>
    <w:p w:rsidR="009C46CC" w:rsidRDefault="009C46CC" w:rsidP="009C46CC"/>
    <w:p w:rsidR="009C46CC" w:rsidRDefault="009C46CC" w:rsidP="009C46CC"/>
    <w:p w:rsidR="009C46CC" w:rsidRDefault="009C46CC" w:rsidP="009C46CC"/>
    <w:p w:rsidR="009C46CC" w:rsidRDefault="009C46CC" w:rsidP="009C46CC"/>
    <w:p w:rsidR="009C46CC" w:rsidRDefault="009C46CC" w:rsidP="009C46CC"/>
    <w:p w:rsidR="009C46CC" w:rsidRDefault="009C46CC" w:rsidP="009C46CC"/>
    <w:p w:rsidR="009C46CC" w:rsidRDefault="009C46CC" w:rsidP="009C46CC"/>
    <w:p w:rsidR="009C46CC" w:rsidRDefault="009C46CC" w:rsidP="009C46CC"/>
    <w:p w:rsidR="009C46CC" w:rsidRDefault="009C46CC" w:rsidP="009C46CC"/>
    <w:p w:rsidR="009A39C3" w:rsidRPr="00BA5160" w:rsidRDefault="009A39C3" w:rsidP="009A39C3">
      <w:pPr>
        <w:jc w:val="center"/>
        <w:rPr>
          <w:rFonts w:eastAsia="Times New Roman"/>
          <w:b/>
          <w:sz w:val="40"/>
          <w:szCs w:val="24"/>
          <w:lang w:eastAsia="en-AU"/>
        </w:rPr>
      </w:pPr>
      <w:r w:rsidRPr="00BA5160">
        <w:rPr>
          <w:rFonts w:eastAsia="Times New Roman"/>
          <w:b/>
          <w:sz w:val="40"/>
          <w:szCs w:val="24"/>
          <w:lang w:eastAsia="en-AU"/>
        </w:rPr>
        <w:t>Draft decision</w:t>
      </w:r>
    </w:p>
    <w:p w:rsidR="009A39C3" w:rsidRPr="00BA5160" w:rsidRDefault="009A39C3" w:rsidP="009A39C3">
      <w:pPr>
        <w:jc w:val="center"/>
        <w:rPr>
          <w:rFonts w:eastAsia="Times New Roman"/>
          <w:b/>
          <w:sz w:val="40"/>
          <w:szCs w:val="24"/>
          <w:lang w:eastAsia="en-AU"/>
        </w:rPr>
      </w:pPr>
      <w:r w:rsidRPr="00BA5160">
        <w:rPr>
          <w:rFonts w:eastAsia="Times New Roman"/>
          <w:b/>
          <w:sz w:val="40"/>
          <w:szCs w:val="24"/>
          <w:lang w:eastAsia="en-AU"/>
        </w:rPr>
        <w:t>Endeavour Energy distribution determination</w:t>
      </w:r>
    </w:p>
    <w:p w:rsidR="009A39C3" w:rsidRPr="00BA5160" w:rsidRDefault="009A39C3" w:rsidP="009A39C3">
      <w:pPr>
        <w:jc w:val="center"/>
        <w:rPr>
          <w:rFonts w:eastAsia="Times New Roman"/>
          <w:b/>
          <w:sz w:val="40"/>
          <w:szCs w:val="24"/>
          <w:lang w:eastAsia="en-AU"/>
        </w:rPr>
      </w:pPr>
      <w:r w:rsidRPr="00BA5160">
        <w:rPr>
          <w:rFonts w:eastAsia="Times New Roman"/>
          <w:b/>
          <w:sz w:val="40"/>
          <w:szCs w:val="24"/>
          <w:lang w:eastAsia="en-AU"/>
        </w:rPr>
        <w:t>2015–16 to 2018–19</w:t>
      </w:r>
    </w:p>
    <w:p w:rsidR="009A39C3" w:rsidRDefault="009A39C3" w:rsidP="009A39C3">
      <w:pPr>
        <w:jc w:val="center"/>
        <w:rPr>
          <w:rFonts w:eastAsia="Times New Roman"/>
          <w:b/>
          <w:sz w:val="40"/>
          <w:szCs w:val="24"/>
          <w:lang w:eastAsia="en-AU"/>
        </w:rPr>
      </w:pPr>
      <w:r w:rsidRPr="00BA5160">
        <w:rPr>
          <w:rFonts w:eastAsia="Times New Roman"/>
          <w:b/>
          <w:sz w:val="40"/>
          <w:szCs w:val="24"/>
          <w:lang w:eastAsia="en-AU"/>
        </w:rPr>
        <w:t>Attachment 1</w:t>
      </w:r>
      <w:r>
        <w:rPr>
          <w:rFonts w:eastAsia="Times New Roman"/>
          <w:b/>
          <w:sz w:val="40"/>
          <w:szCs w:val="24"/>
          <w:lang w:eastAsia="en-AU"/>
        </w:rPr>
        <w:t xml:space="preserve">7: </w:t>
      </w:r>
      <w:r w:rsidRPr="009A39C3">
        <w:rPr>
          <w:rFonts w:eastAsia="Times New Roman"/>
          <w:b/>
          <w:sz w:val="40"/>
          <w:szCs w:val="24"/>
          <w:lang w:eastAsia="en-AU"/>
        </w:rPr>
        <w:t>Negotiated distribution services framework and criteria</w:t>
      </w:r>
    </w:p>
    <w:p w:rsidR="009A39C3" w:rsidRDefault="009A39C3" w:rsidP="009A39C3">
      <w:pPr>
        <w:jc w:val="center"/>
        <w:rPr>
          <w:rFonts w:eastAsia="Times New Roman"/>
          <w:b/>
          <w:sz w:val="40"/>
          <w:szCs w:val="24"/>
          <w:lang w:eastAsia="en-AU"/>
        </w:rPr>
      </w:pPr>
    </w:p>
    <w:p w:rsidR="009A39C3" w:rsidRDefault="009A39C3" w:rsidP="009A39C3">
      <w:pPr>
        <w:jc w:val="center"/>
        <w:rPr>
          <w:rFonts w:eastAsia="Times New Roman"/>
          <w:b/>
          <w:sz w:val="40"/>
          <w:szCs w:val="24"/>
          <w:lang w:eastAsia="en-AU"/>
        </w:rPr>
      </w:pPr>
    </w:p>
    <w:p w:rsidR="009C46CC" w:rsidRDefault="009A39C3" w:rsidP="004D3E28">
      <w:pPr>
        <w:pStyle w:val="AERtitle2"/>
      </w:pPr>
      <w:r>
        <w:t>November 2014</w:t>
      </w:r>
    </w:p>
    <w:p w:rsidR="009A39C3" w:rsidRDefault="009A39C3">
      <w:pPr>
        <w:spacing w:after="0" w:line="240" w:lineRule="auto"/>
        <w:jc w:val="left"/>
        <w:rPr>
          <w:rFonts w:eastAsia="Times New Roman"/>
          <w:szCs w:val="24"/>
        </w:rPr>
      </w:pPr>
      <w:r>
        <w:br w:type="page"/>
      </w:r>
    </w:p>
    <w:p w:rsidR="009A39C3" w:rsidRPr="000A33B4" w:rsidRDefault="009A39C3" w:rsidP="009A39C3">
      <w:pPr>
        <w:pStyle w:val="AERbodytextnospace"/>
        <w:rPr>
          <w:rStyle w:val="AERtextbold"/>
        </w:rPr>
      </w:pPr>
      <w:r w:rsidRPr="000A33B4">
        <w:rPr>
          <w:rStyle w:val="AERtextbold"/>
        </w:rPr>
        <w:lastRenderedPageBreak/>
        <w:t>© Commonwealth of Australia 2014</w:t>
      </w:r>
    </w:p>
    <w:p w:rsidR="009A39C3" w:rsidRPr="000A33B4" w:rsidRDefault="009A39C3" w:rsidP="009A39C3">
      <w:pPr>
        <w:pStyle w:val="AERbodytext"/>
      </w:pPr>
      <w:r w:rsidRPr="000A33B4">
        <w:t>This work is copyright. In addition to any use permitted under the Copyright Act 1968, all material contained within this work is provided under a Creative Commons Attribution 3.0 Australia licence, with the exception of:</w:t>
      </w:r>
    </w:p>
    <w:p w:rsidR="009A39C3" w:rsidRPr="000A33B4" w:rsidRDefault="009A39C3" w:rsidP="009A39C3">
      <w:pPr>
        <w:pStyle w:val="AERbulletlistfirststyle"/>
      </w:pPr>
      <w:r w:rsidRPr="000A33B4">
        <w:t>the Commonwealth Coat of Arms</w:t>
      </w:r>
    </w:p>
    <w:p w:rsidR="009A39C3" w:rsidRDefault="009A39C3" w:rsidP="009A39C3">
      <w:pPr>
        <w:pStyle w:val="AERbulletlistfirststyle"/>
      </w:pPr>
      <w:r w:rsidRPr="000A33B4">
        <w:t>the ACCC and AER logos</w:t>
      </w:r>
    </w:p>
    <w:p w:rsidR="009A39C3" w:rsidRPr="000A33B4" w:rsidRDefault="009A39C3" w:rsidP="009A39C3">
      <w:pPr>
        <w:pStyle w:val="AERbulletlistfirststyle"/>
      </w:pPr>
      <w:r w:rsidRPr="000A33B4">
        <w:t>any illustration, diagram, photograph or graphic over which the Australian Competition and Consumer Commission does not hold copyright, but which may be part of or contained within this publication.</w:t>
      </w:r>
    </w:p>
    <w:p w:rsidR="009A39C3" w:rsidRPr="000A33B4" w:rsidRDefault="009A39C3" w:rsidP="009A39C3">
      <w:pPr>
        <w:pStyle w:val="AERbodytext"/>
      </w:pPr>
      <w:r w:rsidRPr="000A33B4">
        <w:t>The details of the relevant licence conditions are available on the Creative Commons website, as is the full legal code for the CC BY 3.0 AU licence.</w:t>
      </w:r>
    </w:p>
    <w:p w:rsidR="009A39C3" w:rsidRPr="000A33B4" w:rsidRDefault="009A39C3" w:rsidP="009A39C3">
      <w:pPr>
        <w:pStyle w:val="AERbodytext"/>
      </w:pPr>
      <w:r w:rsidRPr="000A33B4">
        <w:t>Requests and inquiries concerning reproduction and rights should be addressed to the Director, Corporate Communications, ACCC, GPO Box 3131, Canberra ACT 2601, or</w:t>
      </w:r>
    </w:p>
    <w:p w:rsidR="009A39C3" w:rsidRPr="000A33B4" w:rsidRDefault="009A39C3" w:rsidP="009A39C3">
      <w:pPr>
        <w:pStyle w:val="AERbodytext"/>
      </w:pPr>
      <w:r w:rsidRPr="000A33B4">
        <w:t xml:space="preserve"> </w:t>
      </w:r>
      <w:r>
        <w:tab/>
      </w:r>
      <w:hyperlink r:id="rId9" w:history="1">
        <w:r w:rsidRPr="000A33B4">
          <w:t>publishing.unit@accc.gov.au</w:t>
        </w:r>
      </w:hyperlink>
      <w:r w:rsidRPr="000A33B4">
        <w:t xml:space="preserve"> .</w:t>
      </w:r>
    </w:p>
    <w:p w:rsidR="009A39C3" w:rsidRPr="000A33B4" w:rsidRDefault="009A39C3" w:rsidP="009A39C3">
      <w:pPr>
        <w:pStyle w:val="AERbodytext"/>
      </w:pPr>
      <w:r w:rsidRPr="000A33B4">
        <w:t>Inquiries about this document should be addressed to:</w:t>
      </w:r>
    </w:p>
    <w:p w:rsidR="009A39C3" w:rsidRPr="000A33B4" w:rsidRDefault="009A39C3" w:rsidP="009A39C3">
      <w:pPr>
        <w:pStyle w:val="AERbodytextnospace"/>
      </w:pPr>
      <w:r w:rsidRPr="000A33B4">
        <w:t>Australian Energy Regulator</w:t>
      </w:r>
    </w:p>
    <w:p w:rsidR="009A39C3" w:rsidRPr="000A33B4" w:rsidRDefault="009A39C3" w:rsidP="009A39C3">
      <w:pPr>
        <w:pStyle w:val="AERbodytextnospace"/>
      </w:pPr>
      <w:r w:rsidRPr="000A33B4">
        <w:t>GPO Box 520</w:t>
      </w:r>
    </w:p>
    <w:p w:rsidR="009A39C3" w:rsidRPr="000A33B4" w:rsidRDefault="009A39C3" w:rsidP="009A39C3">
      <w:pPr>
        <w:pStyle w:val="AERbodytextnospace"/>
      </w:pPr>
      <w:r w:rsidRPr="000A33B4">
        <w:t>Melbourne  Vic  3001</w:t>
      </w:r>
    </w:p>
    <w:p w:rsidR="009A39C3" w:rsidRPr="000A33B4" w:rsidRDefault="009A39C3" w:rsidP="009A39C3">
      <w:pPr>
        <w:pStyle w:val="AERbodytextnospace"/>
      </w:pPr>
      <w:r w:rsidRPr="000A33B4">
        <w:t>Tel: (03) 9290 1444</w:t>
      </w:r>
    </w:p>
    <w:p w:rsidR="009A39C3" w:rsidRDefault="009A39C3" w:rsidP="009A39C3">
      <w:pPr>
        <w:pStyle w:val="AERbodytextnospace"/>
      </w:pPr>
      <w:r w:rsidRPr="000A33B4">
        <w:t>Fax: (03) 9290 1457</w:t>
      </w:r>
    </w:p>
    <w:p w:rsidR="009A39C3" w:rsidRDefault="009A39C3" w:rsidP="009A39C3">
      <w:pPr>
        <w:pStyle w:val="AERbodytextnospace"/>
      </w:pPr>
      <w:r w:rsidRPr="000A33B4">
        <w:t xml:space="preserve">Email: </w:t>
      </w:r>
      <w:hyperlink r:id="rId10" w:history="1">
        <w:r w:rsidRPr="000A33B4">
          <w:rPr>
            <w:rStyle w:val="Hyperlink"/>
          </w:rPr>
          <w:t>AERInquiry@aer.gov.au</w:t>
        </w:r>
      </w:hyperlink>
    </w:p>
    <w:p w:rsidR="009A39C3" w:rsidRDefault="009A39C3" w:rsidP="009A39C3"/>
    <w:p w:rsidR="009A39C3" w:rsidRDefault="009A39C3" w:rsidP="009A39C3">
      <w:r>
        <w:t>AER reference: 54420</w:t>
      </w:r>
    </w:p>
    <w:p w:rsidR="009A39C3" w:rsidRDefault="009A39C3" w:rsidP="009A39C3"/>
    <w:p w:rsidR="009A39C3" w:rsidRDefault="009A39C3" w:rsidP="009A39C3"/>
    <w:p w:rsidR="009A39C3" w:rsidRDefault="009A39C3" w:rsidP="009A39C3">
      <w:pPr>
        <w:spacing w:after="0" w:line="240" w:lineRule="auto"/>
        <w:jc w:val="left"/>
      </w:pPr>
      <w:r>
        <w:br w:type="page"/>
      </w:r>
    </w:p>
    <w:p w:rsidR="009A39C3" w:rsidRPr="006B36C8" w:rsidRDefault="009A39C3" w:rsidP="009A39C3">
      <w:pPr>
        <w:pStyle w:val="UnnumberedHeading"/>
        <w:numPr>
          <w:ilvl w:val="0"/>
          <w:numId w:val="2"/>
        </w:numPr>
        <w:rPr>
          <w:rStyle w:val="AERtextorange"/>
        </w:rPr>
      </w:pPr>
      <w:bookmarkStart w:id="0" w:name="_Toc404615255"/>
      <w:r w:rsidRPr="006B36C8">
        <w:rPr>
          <w:rStyle w:val="AERtextorange"/>
        </w:rPr>
        <w:lastRenderedPageBreak/>
        <w:t>Note</w:t>
      </w:r>
      <w:bookmarkEnd w:id="0"/>
    </w:p>
    <w:p w:rsidR="009A39C3" w:rsidRDefault="009A39C3" w:rsidP="009A39C3">
      <w:r>
        <w:t>This attachment forms part of the AER's draft decision on Endeavour Energy's 2015–19 distribution determination. It should be read with other parts of the draft decision.</w:t>
      </w:r>
    </w:p>
    <w:p w:rsidR="009A39C3" w:rsidRDefault="009A39C3" w:rsidP="009A39C3">
      <w:r>
        <w:t>The draft decision includes the following documents:</w:t>
      </w:r>
    </w:p>
    <w:p w:rsidR="009A39C3" w:rsidRDefault="009A39C3" w:rsidP="009A39C3">
      <w:r>
        <w:t>Overview</w:t>
      </w:r>
    </w:p>
    <w:p w:rsidR="009A39C3" w:rsidRDefault="009A39C3" w:rsidP="009A39C3">
      <w:r>
        <w:t>Attachment 1 – Annual revenue requirement</w:t>
      </w:r>
    </w:p>
    <w:p w:rsidR="009A39C3" w:rsidRDefault="009A39C3" w:rsidP="009A39C3">
      <w:r>
        <w:t>Attachment 2 – Regulatory asset base</w:t>
      </w:r>
    </w:p>
    <w:p w:rsidR="009A39C3" w:rsidRDefault="009A39C3" w:rsidP="009A39C3">
      <w:r>
        <w:t>Attachment 3 – Rate of return</w:t>
      </w:r>
    </w:p>
    <w:p w:rsidR="009A39C3" w:rsidRDefault="009A39C3" w:rsidP="009A39C3">
      <w:r>
        <w:t>Attachment 4 – Value of imputation credits</w:t>
      </w:r>
    </w:p>
    <w:p w:rsidR="009A39C3" w:rsidRDefault="009A39C3" w:rsidP="009A39C3">
      <w:r>
        <w:t>Attachment 5 – Regulatory depreciation</w:t>
      </w:r>
    </w:p>
    <w:p w:rsidR="009A39C3" w:rsidRDefault="009A39C3" w:rsidP="009A39C3">
      <w:r>
        <w:t>Attachment 6 – Capital expenditure</w:t>
      </w:r>
      <w:r w:rsidRPr="0012445F">
        <w:t xml:space="preserve"> </w:t>
      </w:r>
    </w:p>
    <w:p w:rsidR="009A39C3" w:rsidRDefault="009A39C3" w:rsidP="009A39C3">
      <w:r>
        <w:t>Attachment 7 – Operating expenditure</w:t>
      </w:r>
    </w:p>
    <w:p w:rsidR="009A39C3" w:rsidRDefault="009A39C3" w:rsidP="009A39C3">
      <w:r>
        <w:t>Attachment 8 – Corporate income tax</w:t>
      </w:r>
    </w:p>
    <w:p w:rsidR="009A39C3" w:rsidRDefault="009A39C3" w:rsidP="009A39C3">
      <w:r>
        <w:t>Attachment 9 – Efficiency benefit sharing scheme</w:t>
      </w:r>
    </w:p>
    <w:p w:rsidR="009A39C3" w:rsidRDefault="009A39C3" w:rsidP="009A39C3">
      <w:r w:rsidRPr="00DF268E">
        <w:t xml:space="preserve">Attachment </w:t>
      </w:r>
      <w:r>
        <w:t>10</w:t>
      </w:r>
      <w:r w:rsidRPr="00DF268E">
        <w:t xml:space="preserve"> –</w:t>
      </w:r>
      <w:r>
        <w:t xml:space="preserve"> C</w:t>
      </w:r>
      <w:r w:rsidRPr="00FB0F49">
        <w:t>apital expenditure sharing scheme</w:t>
      </w:r>
    </w:p>
    <w:p w:rsidR="009A39C3" w:rsidRDefault="009A39C3" w:rsidP="009A39C3">
      <w:r w:rsidRPr="00DF268E">
        <w:t>Attachment 1</w:t>
      </w:r>
      <w:r>
        <w:t>1 – S</w:t>
      </w:r>
      <w:r w:rsidRPr="00FB0F49">
        <w:t>ervice target performance incentive scheme</w:t>
      </w:r>
    </w:p>
    <w:p w:rsidR="009A39C3" w:rsidRDefault="009A39C3" w:rsidP="009A39C3">
      <w:r w:rsidRPr="00DF268E">
        <w:t>Attachment 1</w:t>
      </w:r>
      <w:r>
        <w:t>2</w:t>
      </w:r>
      <w:r w:rsidRPr="00DF268E">
        <w:t xml:space="preserve"> –</w:t>
      </w:r>
      <w:r>
        <w:t xml:space="preserve"> Demand management incentive scheme</w:t>
      </w:r>
    </w:p>
    <w:p w:rsidR="009A39C3" w:rsidRPr="0012445F" w:rsidRDefault="009A39C3" w:rsidP="009A39C3">
      <w:r w:rsidRPr="00DF268E">
        <w:t>Attachment 1</w:t>
      </w:r>
      <w:r>
        <w:t>3</w:t>
      </w:r>
      <w:r w:rsidRPr="00DF268E">
        <w:t xml:space="preserve"> –</w:t>
      </w:r>
      <w:r>
        <w:t xml:space="preserve"> Classification of services</w:t>
      </w:r>
    </w:p>
    <w:p w:rsidR="009A39C3" w:rsidRDefault="009A39C3" w:rsidP="009A39C3">
      <w:r w:rsidRPr="00DF268E">
        <w:t>Attachment 1</w:t>
      </w:r>
      <w:r>
        <w:t>4</w:t>
      </w:r>
      <w:r w:rsidRPr="00DF268E">
        <w:t xml:space="preserve"> –</w:t>
      </w:r>
      <w:r>
        <w:t xml:space="preserve"> Control mechanisms</w:t>
      </w:r>
    </w:p>
    <w:p w:rsidR="009A39C3" w:rsidRDefault="009A39C3" w:rsidP="009A39C3">
      <w:r w:rsidRPr="00DF268E">
        <w:t>Attachment 1</w:t>
      </w:r>
      <w:r>
        <w:t>5</w:t>
      </w:r>
      <w:r w:rsidRPr="00DF268E">
        <w:t xml:space="preserve"> –</w:t>
      </w:r>
      <w:r>
        <w:t xml:space="preserve"> Pass through events</w:t>
      </w:r>
    </w:p>
    <w:p w:rsidR="009A39C3" w:rsidRDefault="009A39C3" w:rsidP="009A39C3">
      <w:r w:rsidRPr="00DF268E">
        <w:t>Attachment 1</w:t>
      </w:r>
      <w:r>
        <w:t>6</w:t>
      </w:r>
      <w:r w:rsidRPr="00DF268E">
        <w:t xml:space="preserve"> –</w:t>
      </w:r>
      <w:r>
        <w:t xml:space="preserve"> Alternative control services</w:t>
      </w:r>
    </w:p>
    <w:p w:rsidR="009A39C3" w:rsidRDefault="009A39C3" w:rsidP="009A39C3">
      <w:r w:rsidRPr="00DF268E">
        <w:t>Attachment 1</w:t>
      </w:r>
      <w:r>
        <w:t>7</w:t>
      </w:r>
      <w:r w:rsidRPr="00DF268E">
        <w:t xml:space="preserve"> –</w:t>
      </w:r>
      <w:r>
        <w:t xml:space="preserve"> Negotiated services framework and criteria</w:t>
      </w:r>
    </w:p>
    <w:p w:rsidR="009A39C3" w:rsidRDefault="009A39C3" w:rsidP="009A39C3">
      <w:r w:rsidRPr="00DF268E">
        <w:t>Attachment 1</w:t>
      </w:r>
      <w:r>
        <w:t>8</w:t>
      </w:r>
      <w:r w:rsidRPr="00DF268E">
        <w:t xml:space="preserve"> –</w:t>
      </w:r>
      <w:r>
        <w:t xml:space="preserve"> Connection policy</w:t>
      </w:r>
    </w:p>
    <w:p w:rsidR="009A39C3" w:rsidRDefault="009A39C3" w:rsidP="009A39C3">
      <w:pPr>
        <w:pStyle w:val="AERbodytext"/>
      </w:pPr>
      <w:r>
        <w:br w:type="page"/>
      </w:r>
    </w:p>
    <w:p w:rsidR="009A39C3" w:rsidRPr="00A628B6" w:rsidRDefault="009A39C3" w:rsidP="009A39C3">
      <w:pPr>
        <w:pStyle w:val="UnnumberedHeading"/>
        <w:numPr>
          <w:ilvl w:val="0"/>
          <w:numId w:val="2"/>
        </w:numPr>
      </w:pPr>
      <w:bookmarkStart w:id="1" w:name="_Toc404615256"/>
      <w:r>
        <w:t>Contents</w:t>
      </w:r>
      <w:bookmarkEnd w:id="1"/>
    </w:p>
    <w:sdt>
      <w:sdtPr>
        <w:id w:val="-830675811"/>
        <w:docPartObj>
          <w:docPartGallery w:val="Table of Contents"/>
          <w:docPartUnique/>
        </w:docPartObj>
      </w:sdtPr>
      <w:sdtEndPr/>
      <w:sdtContent>
        <w:p w:rsidR="008513E0" w:rsidRDefault="009A39C3">
          <w:pPr>
            <w:pStyle w:val="TOC1"/>
            <w:tabs>
              <w:tab w:val="right" w:leader="dot" w:pos="9016"/>
            </w:tabs>
            <w:rPr>
              <w:rFonts w:asciiTheme="minorHAnsi" w:eastAsiaTheme="minorEastAsia" w:hAnsiTheme="minorHAnsi" w:cstheme="minorBidi"/>
              <w:b w:val="0"/>
              <w:bCs w:val="0"/>
              <w:noProof/>
              <w:sz w:val="22"/>
              <w:szCs w:val="22"/>
              <w:lang w:eastAsia="en-AU"/>
            </w:rPr>
          </w:pPr>
          <w:r>
            <w:rPr>
              <w:lang w:val="en-US" w:eastAsia="ja-JP"/>
            </w:rPr>
            <w:fldChar w:fldCharType="begin"/>
          </w:r>
          <w:r>
            <w:rPr>
              <w:lang w:val="en-US" w:eastAsia="ja-JP"/>
            </w:rPr>
            <w:instrText xml:space="preserve"> TOC \o "1-3" \h \z \u \t "Heading 7,1,Heading 8,2,Heading 9,3" </w:instrText>
          </w:r>
          <w:r>
            <w:rPr>
              <w:lang w:val="en-US" w:eastAsia="ja-JP"/>
            </w:rPr>
            <w:fldChar w:fldCharType="separate"/>
          </w:r>
          <w:hyperlink w:anchor="_Toc404615255" w:history="1">
            <w:r w:rsidR="008513E0" w:rsidRPr="00600C7A">
              <w:rPr>
                <w:rStyle w:val="Hyperlink"/>
                <w:noProof/>
              </w:rPr>
              <w:t>Note</w:t>
            </w:r>
            <w:r w:rsidR="008513E0">
              <w:rPr>
                <w:noProof/>
                <w:webHidden/>
              </w:rPr>
              <w:tab/>
            </w:r>
            <w:r w:rsidR="008513E0">
              <w:rPr>
                <w:noProof/>
                <w:webHidden/>
              </w:rPr>
              <w:fldChar w:fldCharType="begin"/>
            </w:r>
            <w:r w:rsidR="008513E0">
              <w:rPr>
                <w:noProof/>
                <w:webHidden/>
              </w:rPr>
              <w:instrText xml:space="preserve"> PAGEREF _Toc404615255 \h </w:instrText>
            </w:r>
            <w:r w:rsidR="008513E0">
              <w:rPr>
                <w:noProof/>
                <w:webHidden/>
              </w:rPr>
            </w:r>
            <w:r w:rsidR="008513E0">
              <w:rPr>
                <w:noProof/>
                <w:webHidden/>
              </w:rPr>
              <w:fldChar w:fldCharType="separate"/>
            </w:r>
            <w:r w:rsidR="008513E0">
              <w:rPr>
                <w:noProof/>
                <w:webHidden/>
              </w:rPr>
              <w:t>17-3</w:t>
            </w:r>
            <w:r w:rsidR="008513E0">
              <w:rPr>
                <w:noProof/>
                <w:webHidden/>
              </w:rPr>
              <w:fldChar w:fldCharType="end"/>
            </w:r>
          </w:hyperlink>
        </w:p>
        <w:p w:rsidR="008513E0" w:rsidRDefault="00C850A8">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615256" w:history="1">
            <w:r w:rsidR="008513E0" w:rsidRPr="00600C7A">
              <w:rPr>
                <w:rStyle w:val="Hyperlink"/>
                <w:noProof/>
              </w:rPr>
              <w:t>Contents</w:t>
            </w:r>
            <w:r w:rsidR="008513E0">
              <w:rPr>
                <w:noProof/>
                <w:webHidden/>
              </w:rPr>
              <w:tab/>
            </w:r>
            <w:r w:rsidR="008513E0">
              <w:rPr>
                <w:noProof/>
                <w:webHidden/>
              </w:rPr>
              <w:fldChar w:fldCharType="begin"/>
            </w:r>
            <w:r w:rsidR="008513E0">
              <w:rPr>
                <w:noProof/>
                <w:webHidden/>
              </w:rPr>
              <w:instrText xml:space="preserve"> PAGEREF _Toc404615256 \h </w:instrText>
            </w:r>
            <w:r w:rsidR="008513E0">
              <w:rPr>
                <w:noProof/>
                <w:webHidden/>
              </w:rPr>
            </w:r>
            <w:r w:rsidR="008513E0">
              <w:rPr>
                <w:noProof/>
                <w:webHidden/>
              </w:rPr>
              <w:fldChar w:fldCharType="separate"/>
            </w:r>
            <w:r w:rsidR="008513E0">
              <w:rPr>
                <w:noProof/>
                <w:webHidden/>
              </w:rPr>
              <w:t>17-4</w:t>
            </w:r>
            <w:r w:rsidR="008513E0">
              <w:rPr>
                <w:noProof/>
                <w:webHidden/>
              </w:rPr>
              <w:fldChar w:fldCharType="end"/>
            </w:r>
          </w:hyperlink>
        </w:p>
        <w:p w:rsidR="008513E0" w:rsidRDefault="00C850A8">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615257" w:history="1">
            <w:r w:rsidR="008513E0" w:rsidRPr="00600C7A">
              <w:rPr>
                <w:rStyle w:val="Hyperlink"/>
                <w:noProof/>
              </w:rPr>
              <w:t>Shortened forms</w:t>
            </w:r>
            <w:r w:rsidR="008513E0">
              <w:rPr>
                <w:noProof/>
                <w:webHidden/>
              </w:rPr>
              <w:tab/>
            </w:r>
            <w:r w:rsidR="008513E0">
              <w:rPr>
                <w:noProof/>
                <w:webHidden/>
              </w:rPr>
              <w:fldChar w:fldCharType="begin"/>
            </w:r>
            <w:r w:rsidR="008513E0">
              <w:rPr>
                <w:noProof/>
                <w:webHidden/>
              </w:rPr>
              <w:instrText xml:space="preserve"> PAGEREF _Toc404615257 \h </w:instrText>
            </w:r>
            <w:r w:rsidR="008513E0">
              <w:rPr>
                <w:noProof/>
                <w:webHidden/>
              </w:rPr>
            </w:r>
            <w:r w:rsidR="008513E0">
              <w:rPr>
                <w:noProof/>
                <w:webHidden/>
              </w:rPr>
              <w:fldChar w:fldCharType="separate"/>
            </w:r>
            <w:r w:rsidR="008513E0">
              <w:rPr>
                <w:noProof/>
                <w:webHidden/>
              </w:rPr>
              <w:t>17-5</w:t>
            </w:r>
            <w:r w:rsidR="008513E0">
              <w:rPr>
                <w:noProof/>
                <w:webHidden/>
              </w:rPr>
              <w:fldChar w:fldCharType="end"/>
            </w:r>
          </w:hyperlink>
        </w:p>
        <w:p w:rsidR="008513E0" w:rsidRDefault="00C850A8">
          <w:pPr>
            <w:pStyle w:val="TOC1"/>
            <w:tabs>
              <w:tab w:val="left" w:pos="600"/>
              <w:tab w:val="right" w:leader="dot" w:pos="9016"/>
            </w:tabs>
            <w:rPr>
              <w:rFonts w:asciiTheme="minorHAnsi" w:eastAsiaTheme="minorEastAsia" w:hAnsiTheme="minorHAnsi" w:cstheme="minorBidi"/>
              <w:b w:val="0"/>
              <w:bCs w:val="0"/>
              <w:noProof/>
              <w:sz w:val="22"/>
              <w:szCs w:val="22"/>
              <w:lang w:eastAsia="en-AU"/>
            </w:rPr>
          </w:pPr>
          <w:hyperlink w:anchor="_Toc404615258" w:history="1">
            <w:r w:rsidR="008513E0" w:rsidRPr="00600C7A">
              <w:rPr>
                <w:rStyle w:val="Hyperlink"/>
                <w:noProof/>
              </w:rPr>
              <w:t>17</w:t>
            </w:r>
            <w:r w:rsidR="008513E0">
              <w:rPr>
                <w:rFonts w:asciiTheme="minorHAnsi" w:eastAsiaTheme="minorEastAsia" w:hAnsiTheme="minorHAnsi" w:cstheme="minorBidi"/>
                <w:b w:val="0"/>
                <w:bCs w:val="0"/>
                <w:noProof/>
                <w:sz w:val="22"/>
                <w:szCs w:val="22"/>
                <w:lang w:eastAsia="en-AU"/>
              </w:rPr>
              <w:tab/>
            </w:r>
            <w:r w:rsidR="008513E0" w:rsidRPr="00600C7A">
              <w:rPr>
                <w:rStyle w:val="Hyperlink"/>
                <w:noProof/>
              </w:rPr>
              <w:t>Negotiated distribution services framework and criteria</w:t>
            </w:r>
            <w:r w:rsidR="008513E0">
              <w:rPr>
                <w:noProof/>
                <w:webHidden/>
              </w:rPr>
              <w:tab/>
            </w:r>
            <w:r w:rsidR="008513E0">
              <w:rPr>
                <w:noProof/>
                <w:webHidden/>
              </w:rPr>
              <w:fldChar w:fldCharType="begin"/>
            </w:r>
            <w:r w:rsidR="008513E0">
              <w:rPr>
                <w:noProof/>
                <w:webHidden/>
              </w:rPr>
              <w:instrText xml:space="preserve"> PAGEREF _Toc404615258 \h </w:instrText>
            </w:r>
            <w:r w:rsidR="008513E0">
              <w:rPr>
                <w:noProof/>
                <w:webHidden/>
              </w:rPr>
            </w:r>
            <w:r w:rsidR="008513E0">
              <w:rPr>
                <w:noProof/>
                <w:webHidden/>
              </w:rPr>
              <w:fldChar w:fldCharType="separate"/>
            </w:r>
            <w:r w:rsidR="008513E0">
              <w:rPr>
                <w:noProof/>
                <w:webHidden/>
              </w:rPr>
              <w:t>17-7</w:t>
            </w:r>
            <w:r w:rsidR="008513E0">
              <w:rPr>
                <w:noProof/>
                <w:webHidden/>
              </w:rPr>
              <w:fldChar w:fldCharType="end"/>
            </w:r>
          </w:hyperlink>
        </w:p>
        <w:p w:rsidR="008513E0" w:rsidRDefault="00C850A8">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615259" w:history="1">
            <w:r w:rsidR="008513E0" w:rsidRPr="00600C7A">
              <w:rPr>
                <w:rStyle w:val="Hyperlink"/>
                <w:noProof/>
              </w:rPr>
              <w:t>17.1</w:t>
            </w:r>
            <w:r w:rsidR="008513E0">
              <w:rPr>
                <w:rFonts w:asciiTheme="minorHAnsi" w:eastAsiaTheme="minorEastAsia" w:hAnsiTheme="minorHAnsi" w:cstheme="minorBidi"/>
                <w:iCs w:val="0"/>
                <w:noProof/>
                <w:sz w:val="22"/>
                <w:szCs w:val="22"/>
                <w:lang w:eastAsia="en-AU"/>
              </w:rPr>
              <w:tab/>
            </w:r>
            <w:r w:rsidR="008513E0" w:rsidRPr="00600C7A">
              <w:rPr>
                <w:rStyle w:val="Hyperlink"/>
                <w:noProof/>
              </w:rPr>
              <w:t>Draft decision</w:t>
            </w:r>
            <w:r w:rsidR="008513E0">
              <w:rPr>
                <w:noProof/>
                <w:webHidden/>
              </w:rPr>
              <w:tab/>
            </w:r>
            <w:r w:rsidR="008513E0">
              <w:rPr>
                <w:noProof/>
                <w:webHidden/>
              </w:rPr>
              <w:fldChar w:fldCharType="begin"/>
            </w:r>
            <w:r w:rsidR="008513E0">
              <w:rPr>
                <w:noProof/>
                <w:webHidden/>
              </w:rPr>
              <w:instrText xml:space="preserve"> PAGEREF _Toc404615259 \h </w:instrText>
            </w:r>
            <w:r w:rsidR="008513E0">
              <w:rPr>
                <w:noProof/>
                <w:webHidden/>
              </w:rPr>
            </w:r>
            <w:r w:rsidR="008513E0">
              <w:rPr>
                <w:noProof/>
                <w:webHidden/>
              </w:rPr>
              <w:fldChar w:fldCharType="separate"/>
            </w:r>
            <w:r w:rsidR="008513E0">
              <w:rPr>
                <w:noProof/>
                <w:webHidden/>
              </w:rPr>
              <w:t>17-7</w:t>
            </w:r>
            <w:r w:rsidR="008513E0">
              <w:rPr>
                <w:noProof/>
                <w:webHidden/>
              </w:rPr>
              <w:fldChar w:fldCharType="end"/>
            </w:r>
          </w:hyperlink>
        </w:p>
        <w:p w:rsidR="008513E0" w:rsidRDefault="00C850A8">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615260" w:history="1">
            <w:r w:rsidR="008513E0" w:rsidRPr="00600C7A">
              <w:rPr>
                <w:rStyle w:val="Hyperlink"/>
                <w:noProof/>
              </w:rPr>
              <w:t>17.2</w:t>
            </w:r>
            <w:r w:rsidR="008513E0">
              <w:rPr>
                <w:rFonts w:asciiTheme="minorHAnsi" w:eastAsiaTheme="minorEastAsia" w:hAnsiTheme="minorHAnsi" w:cstheme="minorBidi"/>
                <w:iCs w:val="0"/>
                <w:noProof/>
                <w:sz w:val="22"/>
                <w:szCs w:val="22"/>
                <w:lang w:eastAsia="en-AU"/>
              </w:rPr>
              <w:tab/>
            </w:r>
            <w:r w:rsidR="008513E0" w:rsidRPr="00600C7A">
              <w:rPr>
                <w:rStyle w:val="Hyperlink"/>
                <w:noProof/>
              </w:rPr>
              <w:t>AER's assessment approach</w:t>
            </w:r>
            <w:r w:rsidR="008513E0">
              <w:rPr>
                <w:noProof/>
                <w:webHidden/>
              </w:rPr>
              <w:tab/>
            </w:r>
            <w:r w:rsidR="008513E0">
              <w:rPr>
                <w:noProof/>
                <w:webHidden/>
              </w:rPr>
              <w:fldChar w:fldCharType="begin"/>
            </w:r>
            <w:r w:rsidR="008513E0">
              <w:rPr>
                <w:noProof/>
                <w:webHidden/>
              </w:rPr>
              <w:instrText xml:space="preserve"> PAGEREF _Toc404615260 \h </w:instrText>
            </w:r>
            <w:r w:rsidR="008513E0">
              <w:rPr>
                <w:noProof/>
                <w:webHidden/>
              </w:rPr>
            </w:r>
            <w:r w:rsidR="008513E0">
              <w:rPr>
                <w:noProof/>
                <w:webHidden/>
              </w:rPr>
              <w:fldChar w:fldCharType="separate"/>
            </w:r>
            <w:r w:rsidR="008513E0">
              <w:rPr>
                <w:noProof/>
                <w:webHidden/>
              </w:rPr>
              <w:t>17-7</w:t>
            </w:r>
            <w:r w:rsidR="008513E0">
              <w:rPr>
                <w:noProof/>
                <w:webHidden/>
              </w:rPr>
              <w:fldChar w:fldCharType="end"/>
            </w:r>
          </w:hyperlink>
        </w:p>
        <w:p w:rsidR="008513E0" w:rsidRDefault="00C850A8">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615261" w:history="1">
            <w:r w:rsidR="008513E0" w:rsidRPr="00600C7A">
              <w:rPr>
                <w:rStyle w:val="Hyperlink"/>
                <w:noProof/>
              </w:rPr>
              <w:t>17.3</w:t>
            </w:r>
            <w:r w:rsidR="008513E0">
              <w:rPr>
                <w:rFonts w:asciiTheme="minorHAnsi" w:eastAsiaTheme="minorEastAsia" w:hAnsiTheme="minorHAnsi" w:cstheme="minorBidi"/>
                <w:iCs w:val="0"/>
                <w:noProof/>
                <w:sz w:val="22"/>
                <w:szCs w:val="22"/>
                <w:lang w:eastAsia="en-AU"/>
              </w:rPr>
              <w:tab/>
            </w:r>
            <w:r w:rsidR="008513E0" w:rsidRPr="00600C7A">
              <w:rPr>
                <w:rStyle w:val="Hyperlink"/>
                <w:noProof/>
              </w:rPr>
              <w:t>Reasons for draft decision</w:t>
            </w:r>
            <w:r w:rsidR="008513E0">
              <w:rPr>
                <w:noProof/>
                <w:webHidden/>
              </w:rPr>
              <w:tab/>
            </w:r>
            <w:r w:rsidR="008513E0">
              <w:rPr>
                <w:noProof/>
                <w:webHidden/>
              </w:rPr>
              <w:fldChar w:fldCharType="begin"/>
            </w:r>
            <w:r w:rsidR="008513E0">
              <w:rPr>
                <w:noProof/>
                <w:webHidden/>
              </w:rPr>
              <w:instrText xml:space="preserve"> PAGEREF _Toc404615261 \h </w:instrText>
            </w:r>
            <w:r w:rsidR="008513E0">
              <w:rPr>
                <w:noProof/>
                <w:webHidden/>
              </w:rPr>
            </w:r>
            <w:r w:rsidR="008513E0">
              <w:rPr>
                <w:noProof/>
                <w:webHidden/>
              </w:rPr>
              <w:fldChar w:fldCharType="separate"/>
            </w:r>
            <w:r w:rsidR="008513E0">
              <w:rPr>
                <w:noProof/>
                <w:webHidden/>
              </w:rPr>
              <w:t>17-8</w:t>
            </w:r>
            <w:r w:rsidR="008513E0">
              <w:rPr>
                <w:noProof/>
                <w:webHidden/>
              </w:rPr>
              <w:fldChar w:fldCharType="end"/>
            </w:r>
          </w:hyperlink>
        </w:p>
        <w:p w:rsidR="008513E0" w:rsidRDefault="00C850A8">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615262" w:history="1">
            <w:r w:rsidR="008513E0" w:rsidRPr="00600C7A">
              <w:rPr>
                <w:rStyle w:val="Hyperlink"/>
                <w:noProof/>
              </w:rPr>
              <w:t>Appendix A: Endeavour Energy's negotiating framework</w:t>
            </w:r>
            <w:r w:rsidR="008513E0">
              <w:rPr>
                <w:noProof/>
                <w:webHidden/>
              </w:rPr>
              <w:tab/>
            </w:r>
            <w:r w:rsidR="008513E0">
              <w:rPr>
                <w:noProof/>
                <w:webHidden/>
              </w:rPr>
              <w:fldChar w:fldCharType="begin"/>
            </w:r>
            <w:r w:rsidR="008513E0">
              <w:rPr>
                <w:noProof/>
                <w:webHidden/>
              </w:rPr>
              <w:instrText xml:space="preserve"> PAGEREF _Toc404615262 \h </w:instrText>
            </w:r>
            <w:r w:rsidR="008513E0">
              <w:rPr>
                <w:noProof/>
                <w:webHidden/>
              </w:rPr>
            </w:r>
            <w:r w:rsidR="008513E0">
              <w:rPr>
                <w:noProof/>
                <w:webHidden/>
              </w:rPr>
              <w:fldChar w:fldCharType="separate"/>
            </w:r>
            <w:r w:rsidR="008513E0">
              <w:rPr>
                <w:noProof/>
                <w:webHidden/>
              </w:rPr>
              <w:t>17-11</w:t>
            </w:r>
            <w:r w:rsidR="008513E0">
              <w:rPr>
                <w:noProof/>
                <w:webHidden/>
              </w:rPr>
              <w:fldChar w:fldCharType="end"/>
            </w:r>
          </w:hyperlink>
        </w:p>
        <w:p w:rsidR="009A39C3" w:rsidRDefault="009A39C3" w:rsidP="009A39C3">
          <w:pPr>
            <w:pStyle w:val="TOC1"/>
            <w:tabs>
              <w:tab w:val="right" w:leader="dot" w:pos="9016"/>
            </w:tabs>
          </w:pPr>
          <w:r>
            <w:rPr>
              <w:lang w:val="en-US" w:eastAsia="ja-JP"/>
            </w:rPr>
            <w:fldChar w:fldCharType="end"/>
          </w:r>
        </w:p>
      </w:sdtContent>
    </w:sdt>
    <w:p w:rsidR="009A39C3" w:rsidRDefault="009A39C3" w:rsidP="009A39C3">
      <w:pPr>
        <w:pStyle w:val="AERbodytext"/>
      </w:pPr>
    </w:p>
    <w:p w:rsidR="009A39C3" w:rsidRDefault="009A39C3" w:rsidP="009A39C3">
      <w:pPr>
        <w:pStyle w:val="UnnumberedHeading"/>
        <w:numPr>
          <w:ilvl w:val="0"/>
          <w:numId w:val="2"/>
        </w:numPr>
      </w:pPr>
      <w:bookmarkStart w:id="2" w:name="_Toc402537455"/>
      <w:bookmarkStart w:id="3" w:name="_Toc403479638"/>
      <w:bookmarkStart w:id="4" w:name="_Toc403564409"/>
      <w:bookmarkStart w:id="5" w:name="_Toc403565520"/>
      <w:bookmarkStart w:id="6" w:name="_Toc404257455"/>
      <w:bookmarkStart w:id="7" w:name="_Toc404615257"/>
      <w:r>
        <w:t>Shortened forms</w:t>
      </w:r>
      <w:bookmarkEnd w:id="2"/>
      <w:bookmarkEnd w:id="3"/>
      <w:bookmarkEnd w:id="4"/>
      <w:bookmarkEnd w:id="5"/>
      <w:bookmarkEnd w:id="6"/>
      <w:bookmarkEnd w:id="7"/>
    </w:p>
    <w:tbl>
      <w:tblPr>
        <w:tblStyle w:val="AERtable-numbers"/>
        <w:tblW w:w="0" w:type="auto"/>
        <w:tblLook w:val="04A0" w:firstRow="1" w:lastRow="0" w:firstColumn="1" w:lastColumn="0" w:noHBand="0" w:noVBand="1"/>
      </w:tblPr>
      <w:tblGrid>
        <w:gridCol w:w="4621"/>
        <w:gridCol w:w="4621"/>
      </w:tblGrid>
      <w:tr w:rsidR="009A39C3" w:rsidTr="00383FB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Shortened form</w:t>
            </w:r>
          </w:p>
        </w:tc>
        <w:tc>
          <w:tcPr>
            <w:tcW w:w="4621" w:type="dxa"/>
          </w:tcPr>
          <w:p w:rsidR="009A39C3" w:rsidRDefault="009A39C3" w:rsidP="00383FB3">
            <w:pPr>
              <w:pStyle w:val="AERbodytext"/>
              <w:cnfStyle w:val="100000000000" w:firstRow="1" w:lastRow="0" w:firstColumn="0" w:lastColumn="0" w:oddVBand="0" w:evenVBand="0" w:oddHBand="0" w:evenHBand="0" w:firstRowFirstColumn="0" w:firstRowLastColumn="0" w:lastRowFirstColumn="0" w:lastRowLastColumn="0"/>
            </w:pPr>
            <w:r>
              <w:t>Extended form</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AARR</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aggregate annual revenue requirement</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AEMC</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Australian Energy Market Commission</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AEMO</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Australian Energy Market Operator</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AER</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Australian Energy Regulator</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ASRR</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aggregate service revenue requirement</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augex</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augmentation expenditure</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capex</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capital expenditure</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CCP</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Consumer Challenge Panel</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CESS</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capital expenditure sharing scheme</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CPI</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consumer price index</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CPI-X</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consumer price index minus X</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DRP</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debt risk premium</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DMIA</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demand management innovation allowance</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DMIS</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demand management incentive scheme</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distributor</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distribution network service provider</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proofErr w:type="spellStart"/>
            <w:r>
              <w:t>DUoS</w:t>
            </w:r>
            <w:proofErr w:type="spellEnd"/>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distribution use of system</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EBSS</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efficiency benefit sharing scheme</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ERP</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equity risk premium</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expenditure assessment guideline</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expenditure forecast assessment guideline for electricity distribution</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F&amp;A</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framework and approach</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MRP</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market risk premium</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NEL</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national electricity law</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NEM</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national electricity market</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NEO</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national electricity objective</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NER</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national electricity rules</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NSP</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network service provider</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opex</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operating expenditure</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PPI</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partial performance indicators</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PTRM</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post-tax revenue model</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RAB</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regulatory asset base</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RBA</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Reserve Bank of Australia</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repex</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replacement expenditure</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RFM</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roll forward model</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RIN</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regulatory information notice</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RPP</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revenue pricing principles</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SAIDI</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system average interruption duration index</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SAIFI</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system average interruption frequency index</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SLCAPM</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Sharpe-</w:t>
            </w:r>
            <w:proofErr w:type="spellStart"/>
            <w:r>
              <w:t>Lintner</w:t>
            </w:r>
            <w:proofErr w:type="spellEnd"/>
            <w:r>
              <w:t xml:space="preserve"> capital asset pricing model</w:t>
            </w:r>
          </w:p>
        </w:tc>
      </w:tr>
      <w:tr w:rsidR="009A39C3" w:rsidTr="00383FB3">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STPIS</w:t>
            </w:r>
          </w:p>
        </w:tc>
        <w:tc>
          <w:tcPr>
            <w:tcW w:w="4621" w:type="dxa"/>
          </w:tcPr>
          <w:p w:rsidR="009A39C3" w:rsidRDefault="009A39C3" w:rsidP="00383FB3">
            <w:pPr>
              <w:pStyle w:val="AERbodytext"/>
              <w:cnfStyle w:val="000000000000" w:firstRow="0" w:lastRow="0" w:firstColumn="0" w:lastColumn="0" w:oddVBand="0" w:evenVBand="0" w:oddHBand="0" w:evenHBand="0" w:firstRowFirstColumn="0" w:firstRowLastColumn="0" w:lastRowFirstColumn="0" w:lastRowLastColumn="0"/>
            </w:pPr>
            <w:r>
              <w:t>service target performance incentive scheme</w:t>
            </w:r>
          </w:p>
        </w:tc>
      </w:tr>
      <w:tr w:rsidR="009A39C3" w:rsidTr="00383F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9A39C3" w:rsidRDefault="009A39C3" w:rsidP="00383FB3">
            <w:pPr>
              <w:pStyle w:val="AERbodytext"/>
            </w:pPr>
            <w:r>
              <w:t>WACC</w:t>
            </w:r>
          </w:p>
        </w:tc>
        <w:tc>
          <w:tcPr>
            <w:tcW w:w="4621" w:type="dxa"/>
          </w:tcPr>
          <w:p w:rsidR="009A39C3" w:rsidRDefault="009A39C3" w:rsidP="00383FB3">
            <w:pPr>
              <w:pStyle w:val="AERbodytext"/>
              <w:cnfStyle w:val="000000010000" w:firstRow="0" w:lastRow="0" w:firstColumn="0" w:lastColumn="0" w:oddVBand="0" w:evenVBand="0" w:oddHBand="0" w:evenHBand="1" w:firstRowFirstColumn="0" w:firstRowLastColumn="0" w:lastRowFirstColumn="0" w:lastRowLastColumn="0"/>
            </w:pPr>
            <w:r>
              <w:t>weighted average cost of capital</w:t>
            </w:r>
          </w:p>
        </w:tc>
      </w:tr>
    </w:tbl>
    <w:p w:rsidR="009A39C3" w:rsidRDefault="009A39C3" w:rsidP="009A39C3"/>
    <w:p w:rsidR="00AC3089" w:rsidRPr="00AC3089" w:rsidRDefault="00AC3089" w:rsidP="00AC3089">
      <w:pPr>
        <w:pStyle w:val="AERbodytext"/>
        <w:numPr>
          <w:ilvl w:val="0"/>
          <w:numId w:val="0"/>
        </w:numPr>
      </w:pPr>
    </w:p>
    <w:p w:rsidR="008E68A3" w:rsidRPr="00314A5A" w:rsidRDefault="008E68A3" w:rsidP="009C46CC">
      <w:pPr>
        <w:pStyle w:val="Heading1"/>
      </w:pPr>
      <w:bookmarkStart w:id="8" w:name="_Toc402802016"/>
      <w:bookmarkStart w:id="9" w:name="_Toc404615258"/>
      <w:r w:rsidRPr="00314A5A">
        <w:t>Negotiated dist</w:t>
      </w:r>
      <w:r>
        <w:t>ribution</w:t>
      </w:r>
      <w:r w:rsidRPr="00314A5A">
        <w:t xml:space="preserve"> services</w:t>
      </w:r>
      <w:r>
        <w:t xml:space="preserve"> framework and </w:t>
      </w:r>
      <w:bookmarkStart w:id="10" w:name="_GoBack"/>
      <w:bookmarkEnd w:id="10"/>
      <w:r>
        <w:t>criteria</w:t>
      </w:r>
      <w:bookmarkEnd w:id="8"/>
      <w:bookmarkEnd w:id="9"/>
    </w:p>
    <w:p w:rsidR="008E68A3" w:rsidRDefault="008E68A3" w:rsidP="008E68A3">
      <w:pPr>
        <w:pStyle w:val="AERbodytext"/>
      </w:pPr>
      <w:r>
        <w:t>The NER requires us to make a constituent decision on:</w:t>
      </w:r>
    </w:p>
    <w:p w:rsidR="008E68A3" w:rsidRDefault="008E68A3" w:rsidP="008E68A3">
      <w:pPr>
        <w:pStyle w:val="AERbulletlistfirststyle"/>
      </w:pPr>
      <w:r>
        <w:t xml:space="preserve">the negotiating framework that is to apply to </w:t>
      </w:r>
      <w:r w:rsidR="00CA5EB9">
        <w:t>Endeavour Energy</w:t>
      </w:r>
      <w:r>
        <w:t xml:space="preserve"> (which may be as proposed by the distributor, some variant of it, or a framework substituted by us</w:t>
      </w:r>
      <w:r w:rsidR="00903DC9">
        <w:t>)</w:t>
      </w:r>
      <w:r>
        <w:t>,</w:t>
      </w:r>
      <w:r>
        <w:rPr>
          <w:rStyle w:val="FootnoteReference"/>
        </w:rPr>
        <w:footnoteReference w:id="1"/>
      </w:r>
      <w:r>
        <w:t xml:space="preserve"> and</w:t>
      </w:r>
    </w:p>
    <w:p w:rsidR="008E68A3" w:rsidRDefault="008E68A3" w:rsidP="008E68A3">
      <w:pPr>
        <w:pStyle w:val="AERbulletlistfirststyle"/>
      </w:pPr>
      <w:r>
        <w:t>a decision on the negotiated distribution service criteria (NDSC) for the distributor.</w:t>
      </w:r>
      <w:r>
        <w:rPr>
          <w:rStyle w:val="FootnoteReference"/>
        </w:rPr>
        <w:footnoteReference w:id="2"/>
      </w:r>
    </w:p>
    <w:p w:rsidR="008E68A3" w:rsidRDefault="008E68A3" w:rsidP="003340CF">
      <w:pPr>
        <w:pStyle w:val="AERbodytext"/>
      </w:pPr>
      <w:r>
        <w:t>While our draft decision is not to classify any distribution services as negotiated distribution services, the rules require us to set out these matters irrespective of our classification decisions.</w:t>
      </w:r>
      <w:r w:rsidR="003340CF">
        <w:t xml:space="preserve"> </w:t>
      </w:r>
      <w:r w:rsidR="00CA5EB9">
        <w:t xml:space="preserve">Endeavour Energy </w:t>
      </w:r>
      <w:r>
        <w:t>submitted a negotiat</w:t>
      </w:r>
      <w:r w:rsidR="006963BE">
        <w:t>ing</w:t>
      </w:r>
      <w:r>
        <w:t xml:space="preserve"> framework</w:t>
      </w:r>
      <w:r w:rsidR="003340CF">
        <w:t xml:space="preserve"> as part of its regulatory proposal</w:t>
      </w:r>
      <w:r>
        <w:t>.</w:t>
      </w:r>
      <w:r>
        <w:rPr>
          <w:rStyle w:val="FootnoteReference"/>
        </w:rPr>
        <w:footnoteReference w:id="3"/>
      </w:r>
      <w:r>
        <w:t xml:space="preserve"> </w:t>
      </w:r>
    </w:p>
    <w:p w:rsidR="008E68A3" w:rsidRDefault="008E68A3" w:rsidP="008E68A3">
      <w:r>
        <w:t xml:space="preserve">The NDSC set out criteria that a distributor must apply in negotiating terms and conditions including the prices for negotiated distribution services. They also contain the criteria that a commercial arbitrator must apply to resolve disputes about such terms and conditions and/or prices. This section sets out our draft decision on </w:t>
      </w:r>
      <w:r w:rsidR="00CA5EB9">
        <w:t xml:space="preserve">Endeavour Energy's </w:t>
      </w:r>
      <w:r>
        <w:t xml:space="preserve">negotiating framework and NDSC. </w:t>
      </w:r>
    </w:p>
    <w:p w:rsidR="008E68A3" w:rsidRDefault="008E68A3" w:rsidP="001521FA">
      <w:pPr>
        <w:pStyle w:val="Heading2"/>
      </w:pPr>
      <w:bookmarkStart w:id="11" w:name="_Toc402802017"/>
      <w:bookmarkStart w:id="12" w:name="_Toc404615259"/>
      <w:r>
        <w:t>Draft decision</w:t>
      </w:r>
      <w:bookmarkEnd w:id="11"/>
      <w:bookmarkEnd w:id="12"/>
    </w:p>
    <w:p w:rsidR="008E68A3" w:rsidRDefault="008E68A3" w:rsidP="008E68A3">
      <w:pPr>
        <w:pStyle w:val="HeadingBoldBlue"/>
      </w:pPr>
      <w:r>
        <w:t>Negotiating framework</w:t>
      </w:r>
    </w:p>
    <w:p w:rsidR="008E68A3" w:rsidRDefault="008E68A3" w:rsidP="008E68A3">
      <w:r>
        <w:t xml:space="preserve">We approve </w:t>
      </w:r>
      <w:r w:rsidR="00CA5EB9">
        <w:t xml:space="preserve">Endeavour Energy's </w:t>
      </w:r>
      <w:r>
        <w:t xml:space="preserve">proposed negotiating framework as </w:t>
      </w:r>
      <w:r w:rsidR="003340CF">
        <w:t>it</w:t>
      </w:r>
      <w:r>
        <w:t xml:space="preserve"> meet</w:t>
      </w:r>
      <w:r w:rsidR="003340CF">
        <w:t>s</w:t>
      </w:r>
      <w:r>
        <w:t xml:space="preserve"> the requirements of the NER.</w:t>
      </w:r>
      <w:r>
        <w:rPr>
          <w:rStyle w:val="FootnoteReference"/>
        </w:rPr>
        <w:footnoteReference w:id="4"/>
      </w:r>
      <w:r>
        <w:t xml:space="preserve"> Therefore, our draft decision is that the negotiating framework </w:t>
      </w:r>
      <w:r w:rsidR="003340CF">
        <w:t xml:space="preserve">submitted by </w:t>
      </w:r>
      <w:r w:rsidR="00CA5EB9">
        <w:t xml:space="preserve">Endeavour Energy </w:t>
      </w:r>
      <w:r w:rsidR="003340CF">
        <w:t xml:space="preserve">will </w:t>
      </w:r>
      <w:r>
        <w:t xml:space="preserve">apply to </w:t>
      </w:r>
      <w:r w:rsidR="003340CF">
        <w:t xml:space="preserve">it </w:t>
      </w:r>
      <w:r>
        <w:t>for the 201</w:t>
      </w:r>
      <w:r w:rsidR="006963BE">
        <w:t>5</w:t>
      </w:r>
      <w:r w:rsidRPr="008E68A3">
        <w:t>–</w:t>
      </w:r>
      <w:r>
        <w:t xml:space="preserve">19 </w:t>
      </w:r>
      <w:r w:rsidR="006963BE">
        <w:t xml:space="preserve">regulatory control </w:t>
      </w:r>
      <w:proofErr w:type="gramStart"/>
      <w:r>
        <w:t>period</w:t>
      </w:r>
      <w:proofErr w:type="gramEnd"/>
      <w:r>
        <w:t>.</w:t>
      </w:r>
      <w:r>
        <w:rPr>
          <w:rStyle w:val="FootnoteReference"/>
        </w:rPr>
        <w:footnoteReference w:id="5"/>
      </w:r>
      <w:r>
        <w:t xml:space="preserve"> </w:t>
      </w:r>
    </w:p>
    <w:p w:rsidR="008E68A3" w:rsidRDefault="006453B4" w:rsidP="008E68A3">
      <w:pPr>
        <w:pStyle w:val="HeadingBoldBlue"/>
      </w:pPr>
      <w:r>
        <w:t xml:space="preserve">Negotiated </w:t>
      </w:r>
      <w:r w:rsidR="008E68A3">
        <w:t>distribution service criteria</w:t>
      </w:r>
    </w:p>
    <w:p w:rsidR="008E68A3" w:rsidRDefault="008E68A3" w:rsidP="008E68A3">
      <w:r>
        <w:t xml:space="preserve">Our draft decision is that the NDSC that we published for </w:t>
      </w:r>
      <w:r w:rsidR="00CA5EB9">
        <w:t xml:space="preserve">Endeavour Energy </w:t>
      </w:r>
      <w:r>
        <w:t>in June 2014</w:t>
      </w:r>
      <w:r>
        <w:rPr>
          <w:rStyle w:val="FootnoteReference"/>
        </w:rPr>
        <w:footnoteReference w:id="6"/>
      </w:r>
      <w:r>
        <w:t xml:space="preserve"> will apply to </w:t>
      </w:r>
      <w:r w:rsidR="003340CF">
        <w:t xml:space="preserve">it </w:t>
      </w:r>
      <w:r>
        <w:t>for the 201</w:t>
      </w:r>
      <w:r w:rsidR="006963BE">
        <w:t>5</w:t>
      </w:r>
      <w:r w:rsidRPr="008E68A3">
        <w:t>–</w:t>
      </w:r>
      <w:r>
        <w:t xml:space="preserve">19 </w:t>
      </w:r>
      <w:r w:rsidR="006963BE">
        <w:t xml:space="preserve">regulatory control </w:t>
      </w:r>
      <w:r>
        <w:t>period. The NDSC give effect to the negotiated distribution service principles.</w:t>
      </w:r>
      <w:r>
        <w:rPr>
          <w:rStyle w:val="FootnoteReference"/>
        </w:rPr>
        <w:footnoteReference w:id="7"/>
      </w:r>
      <w:r>
        <w:t xml:space="preserve"> </w:t>
      </w:r>
    </w:p>
    <w:p w:rsidR="008E68A3" w:rsidRDefault="008E68A3" w:rsidP="001521FA">
      <w:pPr>
        <w:pStyle w:val="Heading2"/>
      </w:pPr>
      <w:bookmarkStart w:id="13" w:name="_Toc402802018"/>
      <w:bookmarkStart w:id="14" w:name="_Toc404615260"/>
      <w:r>
        <w:t>AER's assessment approach</w:t>
      </w:r>
      <w:bookmarkEnd w:id="13"/>
      <w:bookmarkEnd w:id="14"/>
    </w:p>
    <w:p w:rsidR="008E68A3" w:rsidRDefault="008E68A3" w:rsidP="008E68A3">
      <w:pPr>
        <w:pStyle w:val="HeadingBoldBlue"/>
      </w:pPr>
      <w:r>
        <w:t>Negotiating framework</w:t>
      </w:r>
    </w:p>
    <w:p w:rsidR="008E68A3" w:rsidRDefault="008E68A3" w:rsidP="008E68A3">
      <w:r>
        <w:t xml:space="preserve">To be approved, a proposed negotiating framework must specify the obligations in clause 6.7.5(c) of the NER. We examined whether </w:t>
      </w:r>
      <w:r w:rsidR="00CA5EB9">
        <w:t xml:space="preserve">Endeavour Energy's </w:t>
      </w:r>
      <w:r>
        <w:t xml:space="preserve">proposed negotiating framework had done that. </w:t>
      </w:r>
    </w:p>
    <w:p w:rsidR="008E68A3" w:rsidRDefault="006453B4" w:rsidP="008E68A3">
      <w:pPr>
        <w:pStyle w:val="HeadingBoldBlue"/>
      </w:pPr>
      <w:r>
        <w:t xml:space="preserve">Negotiated </w:t>
      </w:r>
      <w:r w:rsidR="008E68A3">
        <w:t>distribution services criteria</w:t>
      </w:r>
    </w:p>
    <w:p w:rsidR="008E68A3" w:rsidRDefault="008E68A3" w:rsidP="008E68A3">
      <w:r>
        <w:t xml:space="preserve">We consider NDSC that adopt the negotiated distribution service principles would satisfy the NER. We therefore assessed whether our proposed NDSC reflect the </w:t>
      </w:r>
      <w:r w:rsidR="00045BBA">
        <w:t xml:space="preserve">negotiated </w:t>
      </w:r>
      <w:r>
        <w:t xml:space="preserve">distribution service principles in clause 6.7.1 of the NER. </w:t>
      </w:r>
    </w:p>
    <w:p w:rsidR="008E68A3" w:rsidRDefault="008E68A3" w:rsidP="001521FA">
      <w:pPr>
        <w:pStyle w:val="Heading2"/>
      </w:pPr>
      <w:bookmarkStart w:id="15" w:name="_Toc402802019"/>
      <w:bookmarkStart w:id="16" w:name="_Toc404615261"/>
      <w:r>
        <w:t>Reasons for draft decision</w:t>
      </w:r>
      <w:bookmarkEnd w:id="15"/>
      <w:bookmarkEnd w:id="16"/>
    </w:p>
    <w:p w:rsidR="008E68A3" w:rsidRDefault="008E68A3" w:rsidP="008E68A3">
      <w:pPr>
        <w:pStyle w:val="HeadingBoldBlue"/>
      </w:pPr>
      <w:r>
        <w:t>Negotiating framework</w:t>
      </w:r>
    </w:p>
    <w:p w:rsidR="008E68A3" w:rsidRDefault="008E68A3" w:rsidP="008E68A3">
      <w:pPr>
        <w:pStyle w:val="AERbodytext"/>
      </w:pPr>
      <w:r>
        <w:t xml:space="preserve">We approve </w:t>
      </w:r>
      <w:r w:rsidR="00CA5EB9">
        <w:t xml:space="preserve">Endeavour Energy's </w:t>
      </w:r>
      <w:r>
        <w:t xml:space="preserve">proposed negotiating framework because </w:t>
      </w:r>
      <w:r w:rsidR="00CA5EB9">
        <w:t>it specifies</w:t>
      </w:r>
      <w:r>
        <w:t xml:space="preserve"> the minimum requirements of the NER.</w:t>
      </w:r>
      <w:r>
        <w:rPr>
          <w:rStyle w:val="FootnoteReference"/>
        </w:rPr>
        <w:footnoteReference w:id="8"/>
      </w:r>
      <w:r>
        <w:t xml:space="preserve"> Those requirements include, among other things, a statement that a distributor will negotiate in good faith and a description for dealing with disputes. </w:t>
      </w:r>
    </w:p>
    <w:p w:rsidR="008E68A3" w:rsidRDefault="0032241D" w:rsidP="008E68A3">
      <w:pPr>
        <w:pStyle w:val="AERbodytext"/>
      </w:pPr>
      <w:r>
        <w:fldChar w:fldCharType="begin"/>
      </w:r>
      <w:r>
        <w:instrText xml:space="preserve"> REF _Ref404331974 \h </w:instrText>
      </w:r>
      <w:r>
        <w:fldChar w:fldCharType="separate"/>
      </w:r>
      <w:r>
        <w:t xml:space="preserve">Table </w:t>
      </w:r>
      <w:r>
        <w:rPr>
          <w:noProof/>
        </w:rPr>
        <w:t>17</w:t>
      </w:r>
      <w:r>
        <w:noBreakHyphen/>
      </w:r>
      <w:r>
        <w:rPr>
          <w:noProof/>
        </w:rPr>
        <w:t>1</w:t>
      </w:r>
      <w:r>
        <w:fldChar w:fldCharType="end"/>
      </w:r>
      <w:r w:rsidR="008E68A3">
        <w:t xml:space="preserve"> summarises our </w:t>
      </w:r>
      <w:r w:rsidR="00BB31FB">
        <w:t xml:space="preserve">assessment </w:t>
      </w:r>
      <w:r w:rsidR="00E52421">
        <w:t>of</w:t>
      </w:r>
      <w:r w:rsidR="008E68A3">
        <w:t xml:space="preserve"> </w:t>
      </w:r>
      <w:r w:rsidR="00CA5EB9">
        <w:t xml:space="preserve">Endeavour Energy's </w:t>
      </w:r>
      <w:r w:rsidR="008E68A3">
        <w:t xml:space="preserve">proposed negotiating framework. It shows that each of the </w:t>
      </w:r>
      <w:r w:rsidR="003E3B52">
        <w:t xml:space="preserve">NER </w:t>
      </w:r>
      <w:r w:rsidR="008E68A3">
        <w:t>requirements for a negotiated framework is satisfactorily addressed.</w:t>
      </w:r>
    </w:p>
    <w:p w:rsidR="00CA5EB9" w:rsidRPr="008E68A3" w:rsidRDefault="0032241D" w:rsidP="0032241D">
      <w:pPr>
        <w:pStyle w:val="Caption"/>
        <w:rPr>
          <w:rStyle w:val="AERtextbold"/>
        </w:rPr>
      </w:pPr>
      <w:bookmarkStart w:id="17" w:name="_Ref404331974"/>
      <w:r>
        <w:t xml:space="preserve">Table </w:t>
      </w:r>
      <w:r w:rsidR="00C850A8">
        <w:fldChar w:fldCharType="begin"/>
      </w:r>
      <w:r w:rsidR="00C850A8">
        <w:instrText xml:space="preserve"> STYLEREF 1 \s </w:instrText>
      </w:r>
      <w:r w:rsidR="00C850A8">
        <w:fldChar w:fldCharType="separate"/>
      </w:r>
      <w:r>
        <w:rPr>
          <w:noProof/>
        </w:rPr>
        <w:t>17</w:t>
      </w:r>
      <w:r w:rsidR="00C850A8">
        <w:rPr>
          <w:noProof/>
        </w:rPr>
        <w:fldChar w:fldCharType="end"/>
      </w:r>
      <w:r>
        <w:noBreakHyphen/>
      </w:r>
      <w:r w:rsidR="00C850A8">
        <w:fldChar w:fldCharType="begin"/>
      </w:r>
      <w:r w:rsidR="00C850A8">
        <w:instrText xml:space="preserve"> SEQ Table \* ARABIC \s 1 </w:instrText>
      </w:r>
      <w:r w:rsidR="00C850A8">
        <w:fldChar w:fldCharType="separate"/>
      </w:r>
      <w:r>
        <w:rPr>
          <w:noProof/>
        </w:rPr>
        <w:t>1</w:t>
      </w:r>
      <w:r w:rsidR="00C850A8">
        <w:rPr>
          <w:noProof/>
        </w:rPr>
        <w:fldChar w:fldCharType="end"/>
      </w:r>
      <w:bookmarkEnd w:id="17"/>
      <w:r>
        <w:tab/>
      </w:r>
      <w:r w:rsidR="00CA5EB9" w:rsidRPr="00577AB9">
        <w:rPr>
          <w:rStyle w:val="AERtextbold"/>
        </w:rPr>
        <w:t xml:space="preserve">AER's assessment of Endeavour Energy's proposed negotiating framework </w:t>
      </w:r>
    </w:p>
    <w:tbl>
      <w:tblPr>
        <w:tblStyle w:val="AERtable-numbers"/>
        <w:tblW w:w="0" w:type="auto"/>
        <w:tblLook w:val="04A0" w:firstRow="1" w:lastRow="0" w:firstColumn="1" w:lastColumn="0" w:noHBand="0" w:noVBand="1"/>
      </w:tblPr>
      <w:tblGrid>
        <w:gridCol w:w="5518"/>
        <w:gridCol w:w="3662"/>
      </w:tblGrid>
      <w:tr w:rsidR="00CA5EB9" w:rsidTr="00CA5E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18" w:type="dxa"/>
          </w:tcPr>
          <w:p w:rsidR="00CA5EB9" w:rsidRPr="008E68A3" w:rsidRDefault="00CA5EB9" w:rsidP="00CA5EB9">
            <w:pPr>
              <w:pStyle w:val="AERbodytext"/>
            </w:pPr>
            <w:r>
              <w:t xml:space="preserve">NER requirements </w:t>
            </w:r>
          </w:p>
        </w:tc>
        <w:tc>
          <w:tcPr>
            <w:tcW w:w="3662" w:type="dxa"/>
          </w:tcPr>
          <w:p w:rsidR="00CA5EB9" w:rsidRPr="008E68A3" w:rsidRDefault="00CA5EB9" w:rsidP="00CA5EB9">
            <w:pPr>
              <w:pStyle w:val="AERbodytext"/>
              <w:cnfStyle w:val="100000000000" w:firstRow="1" w:lastRow="0" w:firstColumn="0" w:lastColumn="0" w:oddVBand="0" w:evenVBand="0" w:oddHBand="0" w:evenHBand="0" w:firstRowFirstColumn="0" w:firstRowLastColumn="0" w:lastRowFirstColumn="0" w:lastRowLastColumn="0"/>
            </w:pPr>
            <w:r>
              <w:t>AER assessment of Endeavour Energy</w:t>
            </w:r>
          </w:p>
        </w:tc>
      </w:tr>
      <w:tr w:rsidR="00CA5EB9" w:rsidTr="00CA5EB9">
        <w:tc>
          <w:tcPr>
            <w:cnfStyle w:val="001000000000" w:firstRow="0" w:lastRow="0" w:firstColumn="1" w:lastColumn="0" w:oddVBand="0" w:evenVBand="0" w:oddHBand="0" w:evenHBand="0" w:firstRowFirstColumn="0" w:firstRowLastColumn="0" w:lastRowFirstColumn="0" w:lastRowLastColumn="0"/>
            <w:tcW w:w="5518" w:type="dxa"/>
          </w:tcPr>
          <w:p w:rsidR="00CA5EB9" w:rsidRPr="00CA5EB9" w:rsidRDefault="00CA5EB9" w:rsidP="00CA5EB9">
            <w:pPr>
              <w:pStyle w:val="AERbodytextnospaceleftalign"/>
            </w:pPr>
            <w:r>
              <w:t xml:space="preserve">Requirement for </w:t>
            </w:r>
            <w:r w:rsidRPr="00CA5EB9">
              <w:t>a distributor and applicant</w:t>
            </w:r>
            <w:r w:rsidRPr="00CA5EB9">
              <w:rPr>
                <w:rStyle w:val="FootnoteReference"/>
              </w:rPr>
              <w:footnoteReference w:id="9"/>
            </w:r>
            <w:r w:rsidRPr="00CA5EB9">
              <w:t xml:space="preserve"> to negotiate in good faith— cl. 6.7.5(c)(1)</w:t>
            </w:r>
          </w:p>
        </w:tc>
        <w:tc>
          <w:tcPr>
            <w:tcW w:w="3662" w:type="dxa"/>
          </w:tcPr>
          <w:p w:rsidR="00CA5EB9" w:rsidRPr="00CA5EB9" w:rsidRDefault="00CA5EB9" w:rsidP="00CA5EB9">
            <w:pPr>
              <w:pStyle w:val="AERbodytextnospaceleftalign"/>
              <w:cnfStyle w:val="000000000000" w:firstRow="0" w:lastRow="0" w:firstColumn="0" w:lastColumn="0" w:oddVBand="0" w:evenVBand="0" w:oddHBand="0" w:evenHBand="0" w:firstRowFirstColumn="0" w:firstRowLastColumn="0" w:lastRowFirstColumn="0" w:lastRowLastColumn="0"/>
            </w:pPr>
            <w:r>
              <w:t>Section 4 of Endeavour Energy's framework</w:t>
            </w:r>
          </w:p>
        </w:tc>
      </w:tr>
      <w:tr w:rsidR="00CA5EB9" w:rsidTr="00CA5E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18" w:type="dxa"/>
          </w:tcPr>
          <w:p w:rsidR="00CA5EB9" w:rsidRPr="00CA5EB9" w:rsidRDefault="00CA5EB9" w:rsidP="00CA5EB9">
            <w:pPr>
              <w:pStyle w:val="AERbodytextnospaceleftalign"/>
            </w:pPr>
            <w:r>
              <w:t xml:space="preserve">Requirement for </w:t>
            </w:r>
            <w:r w:rsidRPr="00CA5EB9">
              <w:t>a distributor to provide all such commercial information reasonably required to enable the applicant of a negotiated distribution service to engage in effective negotiations— cl. 6.7.5(c)(2)</w:t>
            </w:r>
          </w:p>
        </w:tc>
        <w:tc>
          <w:tcPr>
            <w:tcW w:w="3662" w:type="dxa"/>
          </w:tcPr>
          <w:p w:rsidR="00CA5EB9" w:rsidRPr="00CA5EB9" w:rsidRDefault="00CA5EB9" w:rsidP="00CA5EB9">
            <w:pPr>
              <w:pStyle w:val="AERbodytextnospaceleftalign"/>
              <w:cnfStyle w:val="000000010000" w:firstRow="0" w:lastRow="0" w:firstColumn="0" w:lastColumn="0" w:oddVBand="0" w:evenVBand="0" w:oddHBand="0" w:evenHBand="1" w:firstRowFirstColumn="0" w:firstRowLastColumn="0" w:lastRowFirstColumn="0" w:lastRowLastColumn="0"/>
            </w:pPr>
            <w:r>
              <w:t xml:space="preserve">Section 8 of Endeavour </w:t>
            </w:r>
            <w:r w:rsidRPr="00CA5EB9">
              <w:t>Energy's framework</w:t>
            </w:r>
          </w:p>
        </w:tc>
      </w:tr>
      <w:tr w:rsidR="00CA5EB9" w:rsidTr="00CA5EB9">
        <w:tc>
          <w:tcPr>
            <w:cnfStyle w:val="001000000000" w:firstRow="0" w:lastRow="0" w:firstColumn="1" w:lastColumn="0" w:oddVBand="0" w:evenVBand="0" w:oddHBand="0" w:evenHBand="0" w:firstRowFirstColumn="0" w:firstRowLastColumn="0" w:lastRowFirstColumn="0" w:lastRowLastColumn="0"/>
            <w:tcW w:w="5518" w:type="dxa"/>
          </w:tcPr>
          <w:p w:rsidR="00CA5EB9" w:rsidRPr="00CA5EB9" w:rsidRDefault="00CA5EB9" w:rsidP="00CA5EB9">
            <w:pPr>
              <w:pStyle w:val="AERbodytextnospaceleftalign"/>
            </w:pPr>
            <w:r>
              <w:t xml:space="preserve">Requirement for </w:t>
            </w:r>
            <w:r w:rsidRPr="00CA5EB9">
              <w:t>a distributor to identify and inform the applicant of the reasonable costs of providing the negotiated service; demonstrate the charges reflect costs and have appropriate arrangements for assessment and review of the charges and the basis on which they are made— cl. 6.7.5(c)(3)</w:t>
            </w:r>
          </w:p>
        </w:tc>
        <w:tc>
          <w:tcPr>
            <w:tcW w:w="3662" w:type="dxa"/>
          </w:tcPr>
          <w:p w:rsidR="00CA5EB9" w:rsidRPr="00CA5EB9" w:rsidRDefault="00CA5EB9" w:rsidP="00CA5EB9">
            <w:pPr>
              <w:pStyle w:val="AERbodytextnospaceleftalign"/>
              <w:cnfStyle w:val="000000000000" w:firstRow="0" w:lastRow="0" w:firstColumn="0" w:lastColumn="0" w:oddVBand="0" w:evenVBand="0" w:oddHBand="0" w:evenHBand="0" w:firstRowFirstColumn="0" w:firstRowLastColumn="0" w:lastRowFirstColumn="0" w:lastRowLastColumn="0"/>
            </w:pPr>
            <w:r>
              <w:t xml:space="preserve">Section 8.1.3 of Endeavour </w:t>
            </w:r>
            <w:r w:rsidRPr="00CA5EB9">
              <w:t>Energy's framework</w:t>
            </w:r>
          </w:p>
        </w:tc>
      </w:tr>
      <w:tr w:rsidR="00CA5EB9" w:rsidTr="00CA5E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18" w:type="dxa"/>
          </w:tcPr>
          <w:p w:rsidR="00CA5EB9" w:rsidRPr="00CA5EB9" w:rsidRDefault="00CA5EB9" w:rsidP="00CA5EB9">
            <w:pPr>
              <w:pStyle w:val="AERbodytextnospaceleftalign"/>
            </w:pPr>
            <w:r>
              <w:t>Requirement for the applicant to provide all such commercial information reasonably required for a distributor to engage in effective negotiation</w:t>
            </w:r>
            <w:r w:rsidRPr="00CA5EB9">
              <w:t>— cl. 6.7.5(c)(4)</w:t>
            </w:r>
          </w:p>
        </w:tc>
        <w:tc>
          <w:tcPr>
            <w:tcW w:w="3662" w:type="dxa"/>
          </w:tcPr>
          <w:p w:rsidR="00CA5EB9" w:rsidRPr="00CA5EB9" w:rsidRDefault="00CA5EB9" w:rsidP="00CA5EB9">
            <w:pPr>
              <w:pStyle w:val="AERbodytextnospaceleftalign"/>
              <w:cnfStyle w:val="000000010000" w:firstRow="0" w:lastRow="0" w:firstColumn="0" w:lastColumn="0" w:oddVBand="0" w:evenVBand="0" w:oddHBand="0" w:evenHBand="1" w:firstRowFirstColumn="0" w:firstRowLastColumn="0" w:lastRowFirstColumn="0" w:lastRowLastColumn="0"/>
            </w:pPr>
            <w:r>
              <w:t>Section 6 of Endeavour Energy's framework</w:t>
            </w:r>
          </w:p>
        </w:tc>
      </w:tr>
      <w:tr w:rsidR="00CA5EB9" w:rsidTr="00CA5EB9">
        <w:tc>
          <w:tcPr>
            <w:cnfStyle w:val="001000000000" w:firstRow="0" w:lastRow="0" w:firstColumn="1" w:lastColumn="0" w:oddVBand="0" w:evenVBand="0" w:oddHBand="0" w:evenHBand="0" w:firstRowFirstColumn="0" w:firstRowLastColumn="0" w:lastRowFirstColumn="0" w:lastRowLastColumn="0"/>
            <w:tcW w:w="5518" w:type="dxa"/>
          </w:tcPr>
          <w:p w:rsidR="00CA5EB9" w:rsidRPr="00CA5EB9" w:rsidRDefault="00CA5EB9" w:rsidP="00CA5EB9">
            <w:pPr>
              <w:pStyle w:val="AERbodytextnospaceleftalign"/>
            </w:pPr>
            <w:r>
              <w:t>Requirement to specify a reasonable period of time for commencing, progressing and finalising negotiations; and a requirement for each party to use their reasonable endeavours to adhere to those time periods during the negotiation</w:t>
            </w:r>
            <w:r w:rsidRPr="00CA5EB9">
              <w:t>— cl. 6.7.5(c)(5)</w:t>
            </w:r>
          </w:p>
        </w:tc>
        <w:tc>
          <w:tcPr>
            <w:tcW w:w="3662" w:type="dxa"/>
          </w:tcPr>
          <w:p w:rsidR="00CA5EB9" w:rsidRPr="00CA5EB9" w:rsidRDefault="00CA5EB9" w:rsidP="00CA5EB9">
            <w:pPr>
              <w:pStyle w:val="AERbodytextnospaceleftalign"/>
              <w:cnfStyle w:val="000000000000" w:firstRow="0" w:lastRow="0" w:firstColumn="0" w:lastColumn="0" w:oddVBand="0" w:evenVBand="0" w:oddHBand="0" w:evenHBand="0" w:firstRowFirstColumn="0" w:firstRowLastColumn="0" w:lastRowFirstColumn="0" w:lastRowLastColumn="0"/>
            </w:pPr>
            <w:r>
              <w:t>Section 5 of Endeavour Energy's framework</w:t>
            </w:r>
          </w:p>
        </w:tc>
      </w:tr>
      <w:tr w:rsidR="00CA5EB9" w:rsidTr="00CA5E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18" w:type="dxa"/>
          </w:tcPr>
          <w:p w:rsidR="00CA5EB9" w:rsidRPr="00CA5EB9" w:rsidRDefault="00CA5EB9" w:rsidP="00CA5EB9">
            <w:pPr>
              <w:pStyle w:val="AERbodytextnospaceleftalign"/>
            </w:pPr>
            <w:r>
              <w:t xml:space="preserve">Requirement to specify a process for dispute resolution </w:t>
            </w:r>
            <w:r w:rsidRPr="00CA5EB9">
              <w:t>in accordance with the relevant provisions for dispute resolution— cl. 6.7.5(c)(6)</w:t>
            </w:r>
          </w:p>
        </w:tc>
        <w:tc>
          <w:tcPr>
            <w:tcW w:w="3662" w:type="dxa"/>
          </w:tcPr>
          <w:p w:rsidR="00CA5EB9" w:rsidRPr="00CA5EB9" w:rsidRDefault="00CA5EB9" w:rsidP="00CA5EB9">
            <w:pPr>
              <w:pStyle w:val="AERbodytextnospaceleftalign"/>
              <w:cnfStyle w:val="000000010000" w:firstRow="0" w:lastRow="0" w:firstColumn="0" w:lastColumn="0" w:oddVBand="0" w:evenVBand="0" w:oddHBand="0" w:evenHBand="1" w:firstRowFirstColumn="0" w:firstRowLastColumn="0" w:lastRowFirstColumn="0" w:lastRowLastColumn="0"/>
            </w:pPr>
            <w:r>
              <w:t>Section 12 of Endeavour Energy's framework</w:t>
            </w:r>
          </w:p>
        </w:tc>
      </w:tr>
      <w:tr w:rsidR="00CA5EB9" w:rsidTr="00CA5EB9">
        <w:tc>
          <w:tcPr>
            <w:cnfStyle w:val="001000000000" w:firstRow="0" w:lastRow="0" w:firstColumn="1" w:lastColumn="0" w:oddVBand="0" w:evenVBand="0" w:oddHBand="0" w:evenHBand="0" w:firstRowFirstColumn="0" w:firstRowLastColumn="0" w:lastRowFirstColumn="0" w:lastRowLastColumn="0"/>
            <w:tcW w:w="5518" w:type="dxa"/>
          </w:tcPr>
          <w:p w:rsidR="00CA5EB9" w:rsidRPr="00CA5EB9" w:rsidRDefault="00CA5EB9" w:rsidP="00CA5EB9">
            <w:pPr>
              <w:pStyle w:val="AERbodytextnospaceleftalign"/>
            </w:pPr>
            <w:r>
              <w:t xml:space="preserve">Requirements to specify arrangements for the payment of a distributor's reasonable direct expenses </w:t>
            </w:r>
            <w:r w:rsidRPr="00CA5EB9">
              <w:t>incurred in processing the application to provide the negotiated distribution service— cl. 6.7.5(c)(7)</w:t>
            </w:r>
          </w:p>
        </w:tc>
        <w:tc>
          <w:tcPr>
            <w:tcW w:w="3662" w:type="dxa"/>
          </w:tcPr>
          <w:p w:rsidR="00CA5EB9" w:rsidRPr="00CA5EB9" w:rsidRDefault="00CA5EB9" w:rsidP="00CA5EB9">
            <w:pPr>
              <w:pStyle w:val="AERbodytextnospaceleftalign"/>
              <w:cnfStyle w:val="000000000000" w:firstRow="0" w:lastRow="0" w:firstColumn="0" w:lastColumn="0" w:oddVBand="0" w:evenVBand="0" w:oddHBand="0" w:evenHBand="0" w:firstRowFirstColumn="0" w:firstRowLastColumn="0" w:lastRowFirstColumn="0" w:lastRowLastColumn="0"/>
            </w:pPr>
            <w:r>
              <w:t>Section 13 of Endeavour Energy's framework</w:t>
            </w:r>
          </w:p>
        </w:tc>
      </w:tr>
      <w:tr w:rsidR="00CA5EB9" w:rsidTr="00CA5E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18" w:type="dxa"/>
          </w:tcPr>
          <w:p w:rsidR="00CA5EB9" w:rsidRPr="00CA5EB9" w:rsidRDefault="00CA5EB9" w:rsidP="00CA5EB9">
            <w:pPr>
              <w:pStyle w:val="AERbodytextnospaceleftalign"/>
            </w:pPr>
            <w:r>
              <w:t>Requirement for a distributor to determine the potential impact of the provision of a negotiated distribution service on other distribution network users</w:t>
            </w:r>
            <w:r w:rsidRPr="00CA5EB9">
              <w:t>— cl. 6.7.5(c)(8)</w:t>
            </w:r>
          </w:p>
        </w:tc>
        <w:tc>
          <w:tcPr>
            <w:tcW w:w="3662" w:type="dxa"/>
          </w:tcPr>
          <w:p w:rsidR="00CA5EB9" w:rsidRPr="00CA5EB9" w:rsidRDefault="00CA5EB9" w:rsidP="00CA5EB9">
            <w:pPr>
              <w:pStyle w:val="AERbodytextnospaceleftalign"/>
              <w:cnfStyle w:val="000000010000" w:firstRow="0" w:lastRow="0" w:firstColumn="0" w:lastColumn="0" w:oddVBand="0" w:evenVBand="0" w:oddHBand="0" w:evenHBand="1" w:firstRowFirstColumn="0" w:firstRowLastColumn="0" w:lastRowFirstColumn="0" w:lastRowLastColumn="0"/>
            </w:pPr>
            <w:r>
              <w:t>Section 10.1 of Endeavour Energy's framework</w:t>
            </w:r>
          </w:p>
        </w:tc>
      </w:tr>
      <w:tr w:rsidR="00CA5EB9" w:rsidTr="00CA5EB9">
        <w:tc>
          <w:tcPr>
            <w:cnfStyle w:val="001000000000" w:firstRow="0" w:lastRow="0" w:firstColumn="1" w:lastColumn="0" w:oddVBand="0" w:evenVBand="0" w:oddHBand="0" w:evenHBand="0" w:firstRowFirstColumn="0" w:firstRowLastColumn="0" w:lastRowFirstColumn="0" w:lastRowLastColumn="0"/>
            <w:tcW w:w="5518" w:type="dxa"/>
          </w:tcPr>
          <w:p w:rsidR="00CA5EB9" w:rsidRPr="00CA5EB9" w:rsidRDefault="00CA5EB9" w:rsidP="00CA5EB9">
            <w:pPr>
              <w:pStyle w:val="AERbodytextnospaceleftalign"/>
            </w:pPr>
            <w:r>
              <w:t>Requirement for a distributor to notify and consult with any affected distribution network user and ensure that the provision of the negotiation distribution service does not result in noncompliance with obligations in relation to other network users under the NER</w:t>
            </w:r>
            <w:r w:rsidRPr="00CA5EB9">
              <w:t>— cl. 6.7.5(c)(9)</w:t>
            </w:r>
          </w:p>
        </w:tc>
        <w:tc>
          <w:tcPr>
            <w:tcW w:w="3662" w:type="dxa"/>
          </w:tcPr>
          <w:p w:rsidR="00CA5EB9" w:rsidRPr="00CA5EB9" w:rsidRDefault="00CA5EB9" w:rsidP="00CA5EB9">
            <w:pPr>
              <w:pStyle w:val="AERbodytextnospaceleftalign"/>
              <w:cnfStyle w:val="000000000000" w:firstRow="0" w:lastRow="0" w:firstColumn="0" w:lastColumn="0" w:oddVBand="0" w:evenVBand="0" w:oddHBand="0" w:evenHBand="0" w:firstRowFirstColumn="0" w:firstRowLastColumn="0" w:lastRowFirstColumn="0" w:lastRowLastColumn="0"/>
            </w:pPr>
            <w:r>
              <w:t>Section 10.2 of Endeavour Energy's framework</w:t>
            </w:r>
          </w:p>
        </w:tc>
      </w:tr>
      <w:tr w:rsidR="00CA5EB9" w:rsidTr="00CA5E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18" w:type="dxa"/>
          </w:tcPr>
          <w:p w:rsidR="00CA5EB9" w:rsidRPr="00CA5EB9" w:rsidRDefault="00CA5EB9" w:rsidP="00CA5EB9">
            <w:pPr>
              <w:pStyle w:val="AERbodytextnospaceleftalign"/>
            </w:pPr>
            <w:r>
              <w:t>Requirement that the distributor publish the results of negotiations on its website</w:t>
            </w:r>
          </w:p>
        </w:tc>
        <w:tc>
          <w:tcPr>
            <w:tcW w:w="3662" w:type="dxa"/>
          </w:tcPr>
          <w:p w:rsidR="00CA5EB9" w:rsidRPr="00CA5EB9" w:rsidRDefault="00CA5EB9" w:rsidP="00CA5EB9">
            <w:pPr>
              <w:pStyle w:val="AERbodytextnospaceleftalign"/>
              <w:cnfStyle w:val="000000010000" w:firstRow="0" w:lastRow="0" w:firstColumn="0" w:lastColumn="0" w:oddVBand="0" w:evenVBand="0" w:oddHBand="0" w:evenHBand="1" w:firstRowFirstColumn="0" w:firstRowLastColumn="0" w:lastRowFirstColumn="0" w:lastRowLastColumn="0"/>
            </w:pPr>
            <w:r>
              <w:t>Section 5.7 of Endeavour Energy's framework</w:t>
            </w:r>
          </w:p>
        </w:tc>
      </w:tr>
    </w:tbl>
    <w:p w:rsidR="00CA5EB9" w:rsidRDefault="00CA5EB9" w:rsidP="00CA5EB9">
      <w:pPr>
        <w:pStyle w:val="AERtablesource"/>
      </w:pPr>
      <w:r>
        <w:t>Source: AER analysis</w:t>
      </w:r>
    </w:p>
    <w:p w:rsidR="00CA5EB9" w:rsidRPr="008E68A3" w:rsidRDefault="00957BC5" w:rsidP="008E68A3">
      <w:pPr>
        <w:pStyle w:val="AERbodytext"/>
      </w:pPr>
      <w:r>
        <w:t>A copy of Endeavour Energy's framework is at appendix</w:t>
      </w:r>
      <w:r w:rsidR="009C46CC">
        <w:t xml:space="preserve"> A</w:t>
      </w:r>
      <w:r>
        <w:t>.</w:t>
      </w:r>
    </w:p>
    <w:p w:rsidR="008E68A3" w:rsidRDefault="006453B4" w:rsidP="008E68A3">
      <w:pPr>
        <w:pStyle w:val="HeadingBoldBlue"/>
      </w:pPr>
      <w:r>
        <w:t xml:space="preserve">Negotiated </w:t>
      </w:r>
      <w:r w:rsidR="008E68A3">
        <w:t>distribution services criteria</w:t>
      </w:r>
    </w:p>
    <w:p w:rsidR="008E68A3" w:rsidRPr="008E68A3" w:rsidRDefault="008E68A3" w:rsidP="008E68A3">
      <w:pPr>
        <w:pStyle w:val="AERbodytext"/>
      </w:pPr>
      <w:r>
        <w:t xml:space="preserve">In June 2014, we published an invitation for submissions on </w:t>
      </w:r>
      <w:r w:rsidRPr="008E68A3">
        <w:t xml:space="preserve">our proposed NDSC for </w:t>
      </w:r>
      <w:r w:rsidR="00CA5EB9">
        <w:t>Endeavour Energy</w:t>
      </w:r>
      <w:r w:rsidRPr="008E68A3">
        <w:t xml:space="preserve">. We did not receive any submissions in response to our proposed NDSC. The NDSC </w:t>
      </w:r>
      <w:r w:rsidR="003340CF">
        <w:t xml:space="preserve">we have decided to apply to </w:t>
      </w:r>
      <w:r w:rsidR="00CA5EB9">
        <w:t xml:space="preserve">Endeavour Energy </w:t>
      </w:r>
      <w:r w:rsidRPr="008E68A3">
        <w:t>follow:</w:t>
      </w:r>
    </w:p>
    <w:p w:rsidR="008E68A3" w:rsidRDefault="008E68A3" w:rsidP="008E68A3">
      <w:pPr>
        <w:pStyle w:val="HeadingBoldItalic"/>
      </w:pPr>
      <w:r>
        <w:t>National Electricity Objective</w:t>
      </w:r>
    </w:p>
    <w:p w:rsidR="008E68A3" w:rsidRPr="00327200" w:rsidRDefault="008E68A3" w:rsidP="008E68A3">
      <w:pPr>
        <w:pStyle w:val="AERnumberedlistfirststyle"/>
      </w:pPr>
      <w:r w:rsidRPr="00124B21">
        <w:t>The terms and conditions of access for a negotiated distribution service, including the price that is to be charged for the provision of that service and any access charges, should promote the achievement of the national electricity objective.</w:t>
      </w:r>
    </w:p>
    <w:p w:rsidR="008E68A3" w:rsidRDefault="008E68A3" w:rsidP="008E68A3">
      <w:pPr>
        <w:pStyle w:val="HeadingBoldItalic"/>
      </w:pPr>
      <w:r>
        <w:t>Criteria for terms and conditions of access</w:t>
      </w:r>
    </w:p>
    <w:p w:rsidR="008E68A3" w:rsidRDefault="008E68A3" w:rsidP="008E68A3">
      <w:pPr>
        <w:pStyle w:val="HeadingItalic"/>
      </w:pPr>
      <w:r>
        <w:t>Terms and Conditions of Access</w:t>
      </w:r>
    </w:p>
    <w:p w:rsidR="008E68A3" w:rsidRPr="00327200" w:rsidRDefault="008E68A3" w:rsidP="008E68A3">
      <w:pPr>
        <w:pStyle w:val="AERnumberedlistfirststyle"/>
      </w:pPr>
      <w:r w:rsidRPr="00124B21">
        <w:t>The terms and conditions of access for a negotiated distribution service must be fair and reasonable and consistent with the safe and reliable operation of the power system in accordance with the NER.</w:t>
      </w:r>
    </w:p>
    <w:p w:rsidR="008E68A3" w:rsidRPr="00327200" w:rsidRDefault="008E68A3" w:rsidP="008E68A3">
      <w:pPr>
        <w:pStyle w:val="AERnumberedlistfirststyle"/>
      </w:pPr>
      <w:r w:rsidRPr="00124B21">
        <w:t xml:space="preserve">The terms and conditions of access for a negotiated distribution service (including in particular, any exclusions and limitations of liability and indemnities) must not be unreasonably onerous taking into account the allocation of risk between </w:t>
      </w:r>
      <w:r w:rsidRPr="00327200">
        <w:t>a distribution network service provider (DNSP) and any other party, the price for the negotiated distribution service and the costs to a DNSP of providing the negotiated distribution service.</w:t>
      </w:r>
    </w:p>
    <w:p w:rsidR="008E68A3" w:rsidRPr="00327200" w:rsidRDefault="008E68A3" w:rsidP="008E68A3">
      <w:pPr>
        <w:pStyle w:val="AERnumberedlistfirststyle"/>
      </w:pPr>
      <w:r w:rsidRPr="00124B21">
        <w:t>The terms and conditions of access for a negotiated distribution service must take into account the need for the service to be provided in a manner that does not adversely affect the safe and reliable operation of the power system in accordance with the NER.</w:t>
      </w:r>
    </w:p>
    <w:p w:rsidR="008E68A3" w:rsidRDefault="008E68A3" w:rsidP="008E68A3">
      <w:pPr>
        <w:pStyle w:val="HeadingItalic"/>
      </w:pPr>
      <w:r>
        <w:t>Price of Services</w:t>
      </w:r>
    </w:p>
    <w:p w:rsidR="008E68A3" w:rsidRPr="00327200" w:rsidRDefault="008E68A3" w:rsidP="008E68A3">
      <w:pPr>
        <w:pStyle w:val="AERnumberedlistfirststyle"/>
      </w:pPr>
      <w:r w:rsidRPr="00124B21">
        <w:t xml:space="preserve">The price for a negotiated distribution service must reflect the costs that </w:t>
      </w:r>
      <w:r w:rsidRPr="00327200">
        <w:t>a DNSP has incurred or incurs in providing that service, and must be determined in accordance with the principles and policies set out in the relevant Cost Allocation Method.</w:t>
      </w:r>
    </w:p>
    <w:p w:rsidR="008E68A3" w:rsidRPr="00327200" w:rsidRDefault="008E68A3" w:rsidP="008E68A3">
      <w:pPr>
        <w:pStyle w:val="AERnumberedlistfirststyle"/>
      </w:pPr>
      <w:r w:rsidRPr="00124B21">
        <w:t xml:space="preserve">Subject to criteria 7 </w:t>
      </w:r>
      <w:r w:rsidR="003E3B52">
        <w:t>and</w:t>
      </w:r>
      <w:r w:rsidR="003E3B52" w:rsidRPr="00124B21">
        <w:t xml:space="preserve"> </w:t>
      </w:r>
      <w:r w:rsidRPr="00124B21">
        <w:t xml:space="preserve">8, the price for a negotiated distribution service must be at least equal to the </w:t>
      </w:r>
      <w:r w:rsidRPr="00327200">
        <w:t>cost that would be avoided by not providing that service but no more than the cost of providing it on a stand-alone basis.</w:t>
      </w:r>
    </w:p>
    <w:p w:rsidR="008E68A3" w:rsidRPr="00327200" w:rsidRDefault="008E68A3" w:rsidP="008E68A3">
      <w:pPr>
        <w:pStyle w:val="AERnumberedlistfirststyle"/>
      </w:pPr>
      <w:r w:rsidRPr="00124B21">
        <w:t>If a negotiated distribution service is a shared distribution service that:</w:t>
      </w:r>
    </w:p>
    <w:p w:rsidR="008E68A3" w:rsidRPr="00327200" w:rsidRDefault="008E68A3" w:rsidP="008E68A3">
      <w:pPr>
        <w:pStyle w:val="AERnumberedlistthirdstyle"/>
      </w:pPr>
      <w:r w:rsidRPr="00124B21">
        <w:t>exceeds any network performance requirements which it is required to meet under any relevant electricity legislation: or</w:t>
      </w:r>
    </w:p>
    <w:p w:rsidR="008E68A3" w:rsidRPr="00327200" w:rsidRDefault="008E68A3" w:rsidP="008E68A3">
      <w:pPr>
        <w:pStyle w:val="AERnumberedlistthirdstyle"/>
      </w:pPr>
      <w:r w:rsidRPr="00124B21">
        <w:t>exceeds the network performance requirements set out in schedule 5.1a and 5.1 of the NER,</w:t>
      </w:r>
    </w:p>
    <w:p w:rsidR="008E68A3" w:rsidRPr="00327200" w:rsidRDefault="008E68A3" w:rsidP="008E68A3">
      <w:pPr>
        <w:pStyle w:val="AERnumberedlistfirststyle"/>
      </w:pPr>
      <w:r w:rsidRPr="00124B21">
        <w:t>then the difference between the price for that service and the price for the shared distribution service which meets network performance requirements must reflect</w:t>
      </w:r>
      <w:r w:rsidRPr="00327200">
        <w:t xml:space="preserve"> a DNSP’s incremental cost of providing that service (as appropriate).</w:t>
      </w:r>
    </w:p>
    <w:p w:rsidR="008E68A3" w:rsidRPr="00327200" w:rsidRDefault="008E68A3" w:rsidP="008E68A3">
      <w:pPr>
        <w:pStyle w:val="AERnumberedlistfirststyle"/>
      </w:pPr>
      <w:r w:rsidRPr="00124B21">
        <w:t>If a negotiated distribution service is the provision of a shared distribution service that does not meet or exceed the network performance requirements</w:t>
      </w:r>
      <w:r w:rsidRPr="00327200">
        <w:t>, the difference between the price for that service and the price for the shared distribution service which meets, but does not exceed, the network performance requirements should reflect the cost a DNSP would avoid by not providing that service (as appropriate).</w:t>
      </w:r>
    </w:p>
    <w:p w:rsidR="008E68A3" w:rsidRPr="00327200" w:rsidRDefault="008E68A3" w:rsidP="008E68A3">
      <w:pPr>
        <w:pStyle w:val="AERnumberedlistfirststyle"/>
      </w:pPr>
      <w:r w:rsidRPr="00124B21">
        <w:t>The price for a negotiated distribution service must be the same for all Distribution Network Users unless there is a material difference in the costs of providing the negotiated distribution service to different Distribution Network Users or classes of Distribution Network Users.</w:t>
      </w:r>
    </w:p>
    <w:p w:rsidR="008E68A3" w:rsidRPr="00327200" w:rsidRDefault="008E68A3" w:rsidP="008E68A3">
      <w:pPr>
        <w:pStyle w:val="AERnumberedlistfirststyle"/>
      </w:pPr>
      <w:r w:rsidRPr="00124B21">
        <w:t>The price for a negotiated distribution service must be subject to adjustment over time to the extent that the assets used to provide that service are subsequently used to provide services to another person, in which case such adjustment must reflect the extent to which the costs of that asset are being recovered through charges to that other person.</w:t>
      </w:r>
    </w:p>
    <w:p w:rsidR="008E68A3" w:rsidRPr="00327200" w:rsidRDefault="008E68A3" w:rsidP="008E68A3">
      <w:pPr>
        <w:pStyle w:val="AERnumberedlistfirststyle"/>
      </w:pPr>
      <w:r w:rsidRPr="00124B21">
        <w:t xml:space="preserve">The price for a negotiated distribution service must be such as to enable </w:t>
      </w:r>
      <w:r w:rsidRPr="00327200">
        <w:t>a DNSP to recover the efficient costs of complying with all regulatory obligations or requirements associated with the provision of the negotiated service.</w:t>
      </w:r>
    </w:p>
    <w:p w:rsidR="008E68A3" w:rsidRDefault="008E68A3" w:rsidP="008E68A3">
      <w:pPr>
        <w:pStyle w:val="HeadingBoldItalic"/>
      </w:pPr>
      <w:r>
        <w:t>Criteria for access charges</w:t>
      </w:r>
    </w:p>
    <w:p w:rsidR="008E68A3" w:rsidRDefault="008E68A3" w:rsidP="008E68A3">
      <w:pPr>
        <w:pStyle w:val="HeadingItalic"/>
      </w:pPr>
      <w:r>
        <w:t>Access Charges</w:t>
      </w:r>
    </w:p>
    <w:p w:rsidR="008E68A3" w:rsidRPr="00327200" w:rsidRDefault="008E68A3" w:rsidP="008E68A3">
      <w:pPr>
        <w:pStyle w:val="AERnumberedlistfirststyle"/>
      </w:pPr>
      <w:r>
        <w:t>Any charges must be based on costs reasonably incurred by a DNSP in providing distribution network user access, and, in the case of compensation referred to in clauses 5.5(f)(4)(ii) and (iii) of the NER, on the revenue that is likely to be foregone and the costs that are likely to be incurred by a person referred to in those provisions where an event referred to in those provisions occurs (as appropriate).</w:t>
      </w:r>
    </w:p>
    <w:p w:rsidR="008E68A3" w:rsidRPr="00327200" w:rsidRDefault="008E68A3" w:rsidP="008E68A3">
      <w:pPr>
        <w:pStyle w:val="AERnumberedlistfirststyle"/>
      </w:pPr>
      <w:r>
        <w:t>Any charges must be based on costs reasonably incurred by a DNSP in providing transmission network user access to services deemed to be negotiated distribution services by clause 6.24.2(c) of the NER, and, in the case of compensation referred to in clauses 5.4A(h) to (j) of the NER, on the revenue that is likely to be foregone and the costs that are likely to be incurred by a person referred to in those provisions where an event referred to in those provisions occurs (as appropriate).</w:t>
      </w:r>
    </w:p>
    <w:p w:rsidR="00903DC9" w:rsidRDefault="00903DC9" w:rsidP="00903DC9">
      <w:pPr>
        <w:pStyle w:val="AERbodytext"/>
      </w:pPr>
      <w:r>
        <w:t>The above therefore constitutes our constituent decisions on the negotiating framework and NDSC to apply to Endeavour Energy for the 2015</w:t>
      </w:r>
      <w:r w:rsidRPr="00903DC9">
        <w:t>–</w:t>
      </w:r>
      <w:r>
        <w:t xml:space="preserve">19 regulatory control </w:t>
      </w:r>
      <w:proofErr w:type="gramStart"/>
      <w:r>
        <w:t>period</w:t>
      </w:r>
      <w:proofErr w:type="gramEnd"/>
      <w:r>
        <w:t xml:space="preserve">. </w:t>
      </w:r>
    </w:p>
    <w:p w:rsidR="008E68A3" w:rsidRDefault="008E68A3" w:rsidP="008E68A3">
      <w:pPr>
        <w:pStyle w:val="AERbodytext"/>
      </w:pPr>
    </w:p>
    <w:p w:rsidR="0019293B" w:rsidRDefault="0019293B" w:rsidP="00577AB9">
      <w:pPr>
        <w:pStyle w:val="AERbodytext"/>
        <w:numPr>
          <w:ilvl w:val="0"/>
          <w:numId w:val="0"/>
        </w:numPr>
      </w:pPr>
    </w:p>
    <w:p w:rsidR="00957BC5" w:rsidRDefault="00957BC5" w:rsidP="00577AB9">
      <w:pPr>
        <w:pStyle w:val="AERbodytext"/>
        <w:numPr>
          <w:ilvl w:val="0"/>
          <w:numId w:val="0"/>
        </w:numPr>
      </w:pPr>
    </w:p>
    <w:p w:rsidR="00957BC5" w:rsidRDefault="00957BC5" w:rsidP="00577AB9">
      <w:pPr>
        <w:pStyle w:val="AERbodytext"/>
        <w:numPr>
          <w:ilvl w:val="0"/>
          <w:numId w:val="0"/>
        </w:numPr>
      </w:pPr>
    </w:p>
    <w:p w:rsidR="00957BC5" w:rsidRDefault="00957BC5" w:rsidP="00957BC5">
      <w:pPr>
        <w:pStyle w:val="UnnumberedHeading"/>
      </w:pPr>
      <w:bookmarkStart w:id="18" w:name="_Toc402802020"/>
      <w:bookmarkStart w:id="19" w:name="_Toc404615262"/>
      <w:r>
        <w:t>Appendix</w:t>
      </w:r>
      <w:r w:rsidR="009C46CC">
        <w:t xml:space="preserve"> A</w:t>
      </w:r>
      <w:r>
        <w:t>: Endeavour Energy's negotiating framework</w:t>
      </w:r>
      <w:bookmarkEnd w:id="18"/>
      <w:bookmarkEnd w:id="19"/>
    </w:p>
    <w:p w:rsidR="00957BC5" w:rsidRDefault="00957BC5" w:rsidP="00577AB9">
      <w:pPr>
        <w:pStyle w:val="AERbodytext"/>
        <w:numPr>
          <w:ilvl w:val="0"/>
          <w:numId w:val="0"/>
        </w:numPr>
      </w:pPr>
      <w:r w:rsidRPr="00957BC5">
        <w:rPr>
          <w:noProof/>
          <w:lang w:eastAsia="en-AU"/>
        </w:rPr>
        <w:drawing>
          <wp:inline distT="0" distB="0" distL="0" distR="0" wp14:anchorId="17CF2717" wp14:editId="011B48E5">
            <wp:extent cx="5708108" cy="807997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l="33672" t="13933" r="34543" b="6080"/>
                    <a:stretch/>
                  </pic:blipFill>
                  <pic:spPr bwMode="auto">
                    <a:xfrm>
                      <a:off x="0" y="0"/>
                      <a:ext cx="5712134" cy="8085669"/>
                    </a:xfrm>
                    <a:prstGeom prst="rect">
                      <a:avLst/>
                    </a:prstGeom>
                    <a:ln>
                      <a:noFill/>
                    </a:ln>
                    <a:extLst>
                      <a:ext uri="{53640926-AAD7-44D8-BBD7-CCE9431645EC}">
                        <a14:shadowObscured xmlns:a14="http://schemas.microsoft.com/office/drawing/2010/main"/>
                      </a:ext>
                    </a:extLst>
                  </pic:spPr>
                </pic:pic>
              </a:graphicData>
            </a:graphic>
          </wp:inline>
        </w:drawing>
      </w:r>
    </w:p>
    <w:p w:rsidR="00957BC5" w:rsidRDefault="00957BC5" w:rsidP="00577AB9">
      <w:pPr>
        <w:pStyle w:val="AERbodytext"/>
        <w:numPr>
          <w:ilvl w:val="0"/>
          <w:numId w:val="0"/>
        </w:numPr>
      </w:pPr>
      <w:r w:rsidRPr="00957BC5">
        <w:rPr>
          <w:noProof/>
          <w:lang w:eastAsia="en-AU"/>
        </w:rPr>
        <w:drawing>
          <wp:inline distT="0" distB="0" distL="0" distR="0" wp14:anchorId="0EC81AC3" wp14:editId="2DB76CB4">
            <wp:extent cx="5928569" cy="82129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a:srcRect l="33527" t="13933" r="34833" b="8144"/>
                    <a:stretch/>
                  </pic:blipFill>
                  <pic:spPr bwMode="auto">
                    <a:xfrm>
                      <a:off x="0" y="0"/>
                      <a:ext cx="5932749" cy="8218766"/>
                    </a:xfrm>
                    <a:prstGeom prst="rect">
                      <a:avLst/>
                    </a:prstGeom>
                    <a:ln>
                      <a:noFill/>
                    </a:ln>
                    <a:extLst>
                      <a:ext uri="{53640926-AAD7-44D8-BBD7-CCE9431645EC}">
                        <a14:shadowObscured xmlns:a14="http://schemas.microsoft.com/office/drawing/2010/main"/>
                      </a:ext>
                    </a:extLst>
                  </pic:spPr>
                </pic:pic>
              </a:graphicData>
            </a:graphic>
          </wp:inline>
        </w:drawing>
      </w:r>
    </w:p>
    <w:p w:rsidR="00957BC5" w:rsidRDefault="00957BC5" w:rsidP="00577AB9">
      <w:pPr>
        <w:pStyle w:val="AERbodytext"/>
        <w:numPr>
          <w:ilvl w:val="0"/>
          <w:numId w:val="0"/>
        </w:numPr>
      </w:pPr>
    </w:p>
    <w:p w:rsidR="00957BC5" w:rsidRDefault="0053105A" w:rsidP="00577AB9">
      <w:pPr>
        <w:pStyle w:val="AERbodytext"/>
        <w:numPr>
          <w:ilvl w:val="0"/>
          <w:numId w:val="0"/>
        </w:numPr>
      </w:pPr>
      <w:r w:rsidRPr="0053105A">
        <w:rPr>
          <w:noProof/>
          <w:lang w:eastAsia="en-AU"/>
        </w:rPr>
        <w:drawing>
          <wp:inline distT="0" distB="0" distL="0" distR="0" wp14:anchorId="70D20DC4" wp14:editId="45670EA1">
            <wp:extent cx="5807068" cy="834597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a:srcRect l="33962" t="13676" r="34833" b="6596"/>
                    <a:stretch/>
                  </pic:blipFill>
                  <pic:spPr bwMode="auto">
                    <a:xfrm>
                      <a:off x="0" y="0"/>
                      <a:ext cx="5811165" cy="8351867"/>
                    </a:xfrm>
                    <a:prstGeom prst="rect">
                      <a:avLst/>
                    </a:prstGeom>
                    <a:ln>
                      <a:noFill/>
                    </a:ln>
                    <a:extLst>
                      <a:ext uri="{53640926-AAD7-44D8-BBD7-CCE9431645EC}">
                        <a14:shadowObscured xmlns:a14="http://schemas.microsoft.com/office/drawing/2010/main"/>
                      </a:ext>
                    </a:extLst>
                  </pic:spPr>
                </pic:pic>
              </a:graphicData>
            </a:graphic>
          </wp:inline>
        </w:drawing>
      </w:r>
    </w:p>
    <w:p w:rsidR="00957BC5" w:rsidRDefault="00957BC5" w:rsidP="00577AB9">
      <w:pPr>
        <w:pStyle w:val="AERbodytext"/>
        <w:numPr>
          <w:ilvl w:val="0"/>
          <w:numId w:val="0"/>
        </w:numPr>
      </w:pPr>
    </w:p>
    <w:p w:rsidR="00957BC5" w:rsidRDefault="0053105A" w:rsidP="00577AB9">
      <w:pPr>
        <w:pStyle w:val="AERbodytext"/>
        <w:numPr>
          <w:ilvl w:val="0"/>
          <w:numId w:val="0"/>
        </w:numPr>
      </w:pPr>
      <w:r w:rsidRPr="0053105A">
        <w:rPr>
          <w:noProof/>
          <w:lang w:eastAsia="en-AU"/>
        </w:rPr>
        <w:drawing>
          <wp:inline distT="0" distB="0" distL="0" distR="0" wp14:anchorId="1DA9004C" wp14:editId="777D13DC">
            <wp:extent cx="6030218" cy="86701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a:srcRect l="33672" t="14449" r="34833" b="5048"/>
                    <a:stretch/>
                  </pic:blipFill>
                  <pic:spPr bwMode="auto">
                    <a:xfrm>
                      <a:off x="0" y="0"/>
                      <a:ext cx="6034474" cy="8676294"/>
                    </a:xfrm>
                    <a:prstGeom prst="rect">
                      <a:avLst/>
                    </a:prstGeom>
                    <a:ln>
                      <a:noFill/>
                    </a:ln>
                    <a:extLst>
                      <a:ext uri="{53640926-AAD7-44D8-BBD7-CCE9431645EC}">
                        <a14:shadowObscured xmlns:a14="http://schemas.microsoft.com/office/drawing/2010/main"/>
                      </a:ext>
                    </a:extLst>
                  </pic:spPr>
                </pic:pic>
              </a:graphicData>
            </a:graphic>
          </wp:inline>
        </w:drawing>
      </w:r>
    </w:p>
    <w:p w:rsidR="0053105A" w:rsidRDefault="0053105A" w:rsidP="00577AB9">
      <w:pPr>
        <w:pStyle w:val="AERbodytext"/>
        <w:numPr>
          <w:ilvl w:val="0"/>
          <w:numId w:val="0"/>
        </w:numPr>
      </w:pPr>
      <w:r w:rsidRPr="0053105A">
        <w:rPr>
          <w:noProof/>
          <w:lang w:eastAsia="en-AU"/>
        </w:rPr>
        <w:drawing>
          <wp:inline distT="0" distB="0" distL="0" distR="0" wp14:anchorId="146FDE3A" wp14:editId="22AD21ED">
            <wp:extent cx="5990971" cy="833766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
                    <a:srcRect l="33962" t="13933" r="34543" b="8144"/>
                    <a:stretch/>
                  </pic:blipFill>
                  <pic:spPr bwMode="auto">
                    <a:xfrm>
                      <a:off x="0" y="0"/>
                      <a:ext cx="5997983" cy="8347424"/>
                    </a:xfrm>
                    <a:prstGeom prst="rect">
                      <a:avLst/>
                    </a:prstGeom>
                    <a:ln>
                      <a:noFill/>
                    </a:ln>
                    <a:extLst>
                      <a:ext uri="{53640926-AAD7-44D8-BBD7-CCE9431645EC}">
                        <a14:shadowObscured xmlns:a14="http://schemas.microsoft.com/office/drawing/2010/main"/>
                      </a:ext>
                    </a:extLst>
                  </pic:spPr>
                </pic:pic>
              </a:graphicData>
            </a:graphic>
          </wp:inline>
        </w:drawing>
      </w:r>
    </w:p>
    <w:p w:rsidR="0053105A" w:rsidRDefault="0053105A" w:rsidP="00577AB9">
      <w:pPr>
        <w:pStyle w:val="AERbodytext"/>
        <w:numPr>
          <w:ilvl w:val="0"/>
          <w:numId w:val="0"/>
        </w:numPr>
      </w:pPr>
    </w:p>
    <w:p w:rsidR="0053105A" w:rsidRDefault="0053105A" w:rsidP="00577AB9">
      <w:pPr>
        <w:pStyle w:val="AERbodytext"/>
        <w:numPr>
          <w:ilvl w:val="0"/>
          <w:numId w:val="0"/>
        </w:numPr>
      </w:pPr>
      <w:r w:rsidRPr="0053105A">
        <w:rPr>
          <w:noProof/>
          <w:lang w:eastAsia="en-AU"/>
        </w:rPr>
        <w:drawing>
          <wp:inline distT="0" distB="0" distL="0" distR="0" wp14:anchorId="66FB462E" wp14:editId="50C03EAF">
            <wp:extent cx="5969019" cy="857873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
                    <a:srcRect l="33962" t="14191" r="34833" b="6079"/>
                    <a:stretch/>
                  </pic:blipFill>
                  <pic:spPr bwMode="auto">
                    <a:xfrm>
                      <a:off x="0" y="0"/>
                      <a:ext cx="5973230" cy="8584788"/>
                    </a:xfrm>
                    <a:prstGeom prst="rect">
                      <a:avLst/>
                    </a:prstGeom>
                    <a:ln>
                      <a:noFill/>
                    </a:ln>
                    <a:extLst>
                      <a:ext uri="{53640926-AAD7-44D8-BBD7-CCE9431645EC}">
                        <a14:shadowObscured xmlns:a14="http://schemas.microsoft.com/office/drawing/2010/main"/>
                      </a:ext>
                    </a:extLst>
                  </pic:spPr>
                </pic:pic>
              </a:graphicData>
            </a:graphic>
          </wp:inline>
        </w:drawing>
      </w:r>
    </w:p>
    <w:p w:rsidR="0053105A" w:rsidRDefault="0053105A" w:rsidP="00577AB9">
      <w:pPr>
        <w:pStyle w:val="AERbodytext"/>
        <w:numPr>
          <w:ilvl w:val="0"/>
          <w:numId w:val="0"/>
        </w:numPr>
      </w:pPr>
      <w:r w:rsidRPr="0053105A">
        <w:rPr>
          <w:noProof/>
          <w:lang w:eastAsia="en-AU"/>
        </w:rPr>
        <w:drawing>
          <wp:inline distT="0" distB="0" distL="0" distR="0" wp14:anchorId="7A318F98" wp14:editId="5A5EBA1F">
            <wp:extent cx="5873070" cy="8129847"/>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7"/>
                    <a:srcRect l="33817" t="13676" r="34833" b="9176"/>
                    <a:stretch/>
                  </pic:blipFill>
                  <pic:spPr bwMode="auto">
                    <a:xfrm>
                      <a:off x="0" y="0"/>
                      <a:ext cx="5877214" cy="8135584"/>
                    </a:xfrm>
                    <a:prstGeom prst="rect">
                      <a:avLst/>
                    </a:prstGeom>
                    <a:ln>
                      <a:noFill/>
                    </a:ln>
                    <a:extLst>
                      <a:ext uri="{53640926-AAD7-44D8-BBD7-CCE9431645EC}">
                        <a14:shadowObscured xmlns:a14="http://schemas.microsoft.com/office/drawing/2010/main"/>
                      </a:ext>
                    </a:extLst>
                  </pic:spPr>
                </pic:pic>
              </a:graphicData>
            </a:graphic>
          </wp:inline>
        </w:drawing>
      </w:r>
    </w:p>
    <w:p w:rsidR="0053105A" w:rsidRDefault="0053105A" w:rsidP="00577AB9">
      <w:pPr>
        <w:pStyle w:val="AERbodytext"/>
        <w:numPr>
          <w:ilvl w:val="0"/>
          <w:numId w:val="0"/>
        </w:numPr>
      </w:pPr>
    </w:p>
    <w:p w:rsidR="0053105A" w:rsidRDefault="0053105A" w:rsidP="00577AB9">
      <w:pPr>
        <w:pStyle w:val="AERbodytext"/>
        <w:numPr>
          <w:ilvl w:val="0"/>
          <w:numId w:val="0"/>
        </w:numPr>
      </w:pPr>
    </w:p>
    <w:p w:rsidR="0053105A" w:rsidRDefault="0053105A" w:rsidP="00577AB9">
      <w:pPr>
        <w:pStyle w:val="AERbodytext"/>
        <w:numPr>
          <w:ilvl w:val="0"/>
          <w:numId w:val="0"/>
        </w:numPr>
      </w:pPr>
      <w:r w:rsidRPr="0053105A">
        <w:rPr>
          <w:noProof/>
          <w:lang w:eastAsia="en-AU"/>
        </w:rPr>
        <w:drawing>
          <wp:inline distT="0" distB="0" distL="0" distR="0" wp14:anchorId="7F17137F" wp14:editId="3353DFFB">
            <wp:extent cx="5877098" cy="8271471"/>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8"/>
                    <a:srcRect l="33962" t="14191" r="34688" b="7370"/>
                    <a:stretch/>
                  </pic:blipFill>
                  <pic:spPr bwMode="auto">
                    <a:xfrm>
                      <a:off x="0" y="0"/>
                      <a:ext cx="5881245" cy="8277308"/>
                    </a:xfrm>
                    <a:prstGeom prst="rect">
                      <a:avLst/>
                    </a:prstGeom>
                    <a:ln>
                      <a:noFill/>
                    </a:ln>
                    <a:extLst>
                      <a:ext uri="{53640926-AAD7-44D8-BBD7-CCE9431645EC}">
                        <a14:shadowObscured xmlns:a14="http://schemas.microsoft.com/office/drawing/2010/main"/>
                      </a:ext>
                    </a:extLst>
                  </pic:spPr>
                </pic:pic>
              </a:graphicData>
            </a:graphic>
          </wp:inline>
        </w:drawing>
      </w:r>
    </w:p>
    <w:p w:rsidR="0053105A" w:rsidRDefault="0053105A" w:rsidP="00577AB9">
      <w:pPr>
        <w:pStyle w:val="AERbodytext"/>
        <w:numPr>
          <w:ilvl w:val="0"/>
          <w:numId w:val="0"/>
        </w:numPr>
      </w:pPr>
    </w:p>
    <w:p w:rsidR="0053105A" w:rsidRDefault="0053105A" w:rsidP="00577AB9">
      <w:pPr>
        <w:pStyle w:val="AERbodytext"/>
        <w:numPr>
          <w:ilvl w:val="0"/>
          <w:numId w:val="0"/>
        </w:numPr>
      </w:pPr>
      <w:r w:rsidRPr="0053105A">
        <w:rPr>
          <w:noProof/>
          <w:lang w:eastAsia="en-AU"/>
        </w:rPr>
        <w:drawing>
          <wp:inline distT="0" distB="0" distL="0" distR="0" wp14:anchorId="33C468CA" wp14:editId="10F4E79A">
            <wp:extent cx="5902036" cy="840428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srcRect l="33817" t="14449" r="34688" b="5821"/>
                    <a:stretch/>
                  </pic:blipFill>
                  <pic:spPr bwMode="auto">
                    <a:xfrm>
                      <a:off x="0" y="0"/>
                      <a:ext cx="5906198" cy="8410211"/>
                    </a:xfrm>
                    <a:prstGeom prst="rect">
                      <a:avLst/>
                    </a:prstGeom>
                    <a:ln>
                      <a:noFill/>
                    </a:ln>
                    <a:extLst>
                      <a:ext uri="{53640926-AAD7-44D8-BBD7-CCE9431645EC}">
                        <a14:shadowObscured xmlns:a14="http://schemas.microsoft.com/office/drawing/2010/main"/>
                      </a:ext>
                    </a:extLst>
                  </pic:spPr>
                </pic:pic>
              </a:graphicData>
            </a:graphic>
          </wp:inline>
        </w:drawing>
      </w:r>
    </w:p>
    <w:p w:rsidR="0053105A" w:rsidRDefault="0053105A" w:rsidP="00577AB9">
      <w:pPr>
        <w:pStyle w:val="AERbodytext"/>
        <w:numPr>
          <w:ilvl w:val="0"/>
          <w:numId w:val="0"/>
        </w:numPr>
      </w:pPr>
    </w:p>
    <w:p w:rsidR="0053105A" w:rsidRDefault="0053105A" w:rsidP="00577AB9">
      <w:pPr>
        <w:pStyle w:val="AERbodytext"/>
        <w:numPr>
          <w:ilvl w:val="0"/>
          <w:numId w:val="0"/>
        </w:numPr>
      </w:pPr>
      <w:r w:rsidRPr="0053105A">
        <w:rPr>
          <w:noProof/>
          <w:lang w:eastAsia="en-AU"/>
        </w:rPr>
        <w:drawing>
          <wp:inline distT="0" distB="0" distL="0" distR="0" wp14:anchorId="1E65A6BC" wp14:editId="3CBA3F15">
            <wp:extent cx="5996947" cy="834597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a:srcRect l="33672" t="13676" r="34833" b="8402"/>
                    <a:stretch/>
                  </pic:blipFill>
                  <pic:spPr bwMode="auto">
                    <a:xfrm>
                      <a:off x="0" y="0"/>
                      <a:ext cx="6001179" cy="8351868"/>
                    </a:xfrm>
                    <a:prstGeom prst="rect">
                      <a:avLst/>
                    </a:prstGeom>
                    <a:ln>
                      <a:noFill/>
                    </a:ln>
                    <a:extLst>
                      <a:ext uri="{53640926-AAD7-44D8-BBD7-CCE9431645EC}">
                        <a14:shadowObscured xmlns:a14="http://schemas.microsoft.com/office/drawing/2010/main"/>
                      </a:ext>
                    </a:extLst>
                  </pic:spPr>
                </pic:pic>
              </a:graphicData>
            </a:graphic>
          </wp:inline>
        </w:drawing>
      </w:r>
    </w:p>
    <w:p w:rsidR="0053105A" w:rsidRDefault="0053105A" w:rsidP="00577AB9">
      <w:pPr>
        <w:pStyle w:val="AERbodytext"/>
        <w:numPr>
          <w:ilvl w:val="0"/>
          <w:numId w:val="0"/>
        </w:numPr>
      </w:pPr>
    </w:p>
    <w:p w:rsidR="0053105A" w:rsidRDefault="0053105A" w:rsidP="00577AB9">
      <w:pPr>
        <w:pStyle w:val="AERbodytext"/>
        <w:numPr>
          <w:ilvl w:val="0"/>
          <w:numId w:val="0"/>
        </w:numPr>
      </w:pPr>
      <w:r w:rsidRPr="0053105A">
        <w:rPr>
          <w:noProof/>
          <w:lang w:eastAsia="en-AU"/>
        </w:rPr>
        <w:drawing>
          <wp:inline distT="0" distB="0" distL="0" distR="0" wp14:anchorId="5012D8BA" wp14:editId="7E113813">
            <wp:extent cx="5993476" cy="8490756"/>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srcRect l="33817" t="14191" r="34833" b="6853"/>
                    <a:stretch/>
                  </pic:blipFill>
                  <pic:spPr bwMode="auto">
                    <a:xfrm>
                      <a:off x="0" y="0"/>
                      <a:ext cx="5997705" cy="8496747"/>
                    </a:xfrm>
                    <a:prstGeom prst="rect">
                      <a:avLst/>
                    </a:prstGeom>
                    <a:ln>
                      <a:noFill/>
                    </a:ln>
                    <a:extLst>
                      <a:ext uri="{53640926-AAD7-44D8-BBD7-CCE9431645EC}">
                        <a14:shadowObscured xmlns:a14="http://schemas.microsoft.com/office/drawing/2010/main"/>
                      </a:ext>
                    </a:extLst>
                  </pic:spPr>
                </pic:pic>
              </a:graphicData>
            </a:graphic>
          </wp:inline>
        </w:drawing>
      </w:r>
    </w:p>
    <w:p w:rsidR="0053105A" w:rsidRDefault="0053105A" w:rsidP="00577AB9">
      <w:pPr>
        <w:pStyle w:val="AERbodytext"/>
        <w:numPr>
          <w:ilvl w:val="0"/>
          <w:numId w:val="0"/>
        </w:numPr>
      </w:pPr>
    </w:p>
    <w:p w:rsidR="0053105A" w:rsidRDefault="0053105A" w:rsidP="00577AB9">
      <w:pPr>
        <w:pStyle w:val="AERbodytext"/>
        <w:numPr>
          <w:ilvl w:val="0"/>
          <w:numId w:val="0"/>
        </w:numPr>
      </w:pPr>
      <w:r w:rsidRPr="0053105A">
        <w:rPr>
          <w:noProof/>
          <w:lang w:eastAsia="en-AU"/>
        </w:rPr>
        <w:drawing>
          <wp:inline distT="0" distB="0" distL="0" distR="0" wp14:anchorId="75A12F4E" wp14:editId="43A0ADA9">
            <wp:extent cx="5852160" cy="841078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2"/>
                    <a:srcRect l="33962" t="14707" r="34833" b="5564"/>
                    <a:stretch/>
                  </pic:blipFill>
                  <pic:spPr bwMode="auto">
                    <a:xfrm>
                      <a:off x="0" y="0"/>
                      <a:ext cx="5856289" cy="8416719"/>
                    </a:xfrm>
                    <a:prstGeom prst="rect">
                      <a:avLst/>
                    </a:prstGeom>
                    <a:ln>
                      <a:noFill/>
                    </a:ln>
                    <a:extLst>
                      <a:ext uri="{53640926-AAD7-44D8-BBD7-CCE9431645EC}">
                        <a14:shadowObscured xmlns:a14="http://schemas.microsoft.com/office/drawing/2010/main"/>
                      </a:ext>
                    </a:extLst>
                  </pic:spPr>
                </pic:pic>
              </a:graphicData>
            </a:graphic>
          </wp:inline>
        </w:drawing>
      </w:r>
    </w:p>
    <w:sectPr w:rsidR="0053105A" w:rsidSect="009414CD">
      <w:footerReference w:type="even" r:id="rId23"/>
      <w:footerReference w:type="default" r:id="rId24"/>
      <w:pgSz w:w="11906" w:h="16838"/>
      <w:pgMar w:top="1440" w:right="1440" w:bottom="1440" w:left="1440" w:header="709" w:footer="709"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6325" w:rsidRPr="00AB4345" w:rsidRDefault="003B6325" w:rsidP="00AB4345">
      <w:r>
        <w:separator/>
      </w:r>
    </w:p>
  </w:endnote>
  <w:endnote w:type="continuationSeparator" w:id="0">
    <w:p w:rsidR="003B6325" w:rsidRPr="00AB4345" w:rsidRDefault="003B6325" w:rsidP="00AB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4882516"/>
      <w:docPartObj>
        <w:docPartGallery w:val="Page Numbers (Bottom of Page)"/>
        <w:docPartUnique/>
      </w:docPartObj>
    </w:sdtPr>
    <w:sdtEndPr/>
    <w:sdtContent>
      <w:p w:rsidR="0032241D" w:rsidRDefault="003B6325" w:rsidP="00824CC8">
        <w:pPr>
          <w:pStyle w:val="Footer"/>
        </w:pPr>
        <w:r w:rsidRPr="00824CC8">
          <w:fldChar w:fldCharType="begin"/>
        </w:r>
        <w:r w:rsidRPr="00824CC8">
          <w:instrText xml:space="preserve"> PAGE   \* MERGEFORMAT </w:instrText>
        </w:r>
        <w:r w:rsidRPr="00824CC8">
          <w:fldChar w:fldCharType="separate"/>
        </w:r>
        <w:r w:rsidR="00C850A8">
          <w:rPr>
            <w:noProof/>
          </w:rPr>
          <w:t>17-2</w:t>
        </w:r>
        <w:r w:rsidRPr="00824CC8">
          <w:fldChar w:fldCharType="end"/>
        </w:r>
      </w:p>
      <w:p w:rsidR="003B6325" w:rsidRPr="00824CC8" w:rsidRDefault="009A39C3" w:rsidP="00824CC8">
        <w:pPr>
          <w:pStyle w:val="Footer"/>
        </w:pPr>
        <w:r>
          <w:rPr>
            <w:rStyle w:val="AERbody"/>
          </w:rPr>
          <w:t xml:space="preserve">Attachment 17: </w:t>
        </w:r>
        <w:r w:rsidR="0032241D" w:rsidRPr="0032241D">
          <w:tab/>
          <w:t>Negotiated distribution services framework and criteria</w:t>
        </w:r>
        <w:r w:rsidR="0032241D" w:rsidRPr="0032241D">
          <w:rPr>
            <w:rStyle w:val="AERbody"/>
          </w:rPr>
          <w:t xml:space="preserve"> </w:t>
        </w:r>
        <w:r w:rsidRPr="00210880">
          <w:rPr>
            <w:rStyle w:val="AERbody"/>
          </w:rPr>
          <w:t xml:space="preserve">| </w:t>
        </w:r>
        <w:r>
          <w:rPr>
            <w:rStyle w:val="AERbody"/>
          </w:rPr>
          <w:t>Endeavour Energy draft decision</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325" w:rsidRPr="00824CC8" w:rsidRDefault="0032241D" w:rsidP="00824CC8">
    <w:pPr>
      <w:pStyle w:val="Footer"/>
      <w:rPr>
        <w:rStyle w:val="AERbody"/>
      </w:rPr>
    </w:pPr>
    <w:r>
      <w:rPr>
        <w:rStyle w:val="AERbody"/>
      </w:rPr>
      <w:t xml:space="preserve">Attachment 17: </w:t>
    </w:r>
    <w:r w:rsidRPr="0032241D">
      <w:tab/>
      <w:t>Negotiated distribution services framework and criteria</w:t>
    </w:r>
    <w:r w:rsidRPr="0032241D">
      <w:rPr>
        <w:rStyle w:val="AERbody"/>
      </w:rPr>
      <w:t xml:space="preserve"> </w:t>
    </w:r>
    <w:r w:rsidRPr="00210880">
      <w:rPr>
        <w:rStyle w:val="AERbody"/>
      </w:rPr>
      <w:t xml:space="preserve">| </w:t>
    </w:r>
    <w:r>
      <w:rPr>
        <w:rStyle w:val="AERbody"/>
      </w:rPr>
      <w:t>Endeavour Energy draft decision</w:t>
    </w:r>
    <w:r>
      <w:rPr>
        <w:rStyle w:val="AERbody"/>
      </w:rPr>
      <w:tab/>
    </w:r>
    <w:r>
      <w:rPr>
        <w:rStyle w:val="AERbody"/>
      </w:rPr>
      <w:tab/>
    </w:r>
    <w:r w:rsidR="003B6325" w:rsidRPr="00824CC8">
      <w:rPr>
        <w:rStyle w:val="AERbody"/>
      </w:rPr>
      <w:fldChar w:fldCharType="begin"/>
    </w:r>
    <w:r w:rsidR="003B6325" w:rsidRPr="00824CC8">
      <w:rPr>
        <w:rStyle w:val="AERbody"/>
      </w:rPr>
      <w:instrText xml:space="preserve"> PAGE   \* MERGEFORMAT </w:instrText>
    </w:r>
    <w:r w:rsidR="003B6325" w:rsidRPr="00824CC8">
      <w:rPr>
        <w:rStyle w:val="AERbody"/>
      </w:rPr>
      <w:fldChar w:fldCharType="separate"/>
    </w:r>
    <w:r w:rsidR="00C850A8">
      <w:rPr>
        <w:rStyle w:val="AERbody"/>
        <w:noProof/>
      </w:rPr>
      <w:t>17-1</w:t>
    </w:r>
    <w:r w:rsidR="003B6325" w:rsidRPr="00824CC8">
      <w:rPr>
        <w:rStyle w:val="AERbody"/>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6325" w:rsidRPr="00AB4345" w:rsidRDefault="003B6325" w:rsidP="00AB4345">
      <w:r>
        <w:separator/>
      </w:r>
    </w:p>
  </w:footnote>
  <w:footnote w:type="continuationSeparator" w:id="0">
    <w:p w:rsidR="003B6325" w:rsidRPr="00AB4345" w:rsidRDefault="003B6325" w:rsidP="00AB4345">
      <w:r>
        <w:continuationSeparator/>
      </w:r>
    </w:p>
  </w:footnote>
  <w:footnote w:id="1">
    <w:p w:rsidR="008E68A3" w:rsidRDefault="008E68A3" w:rsidP="008E68A3">
      <w:pPr>
        <w:pStyle w:val="FootnoteText"/>
      </w:pPr>
      <w:r>
        <w:rPr>
          <w:rStyle w:val="FootnoteReference"/>
        </w:rPr>
        <w:footnoteRef/>
      </w:r>
      <w:r>
        <w:t xml:space="preserve"> </w:t>
      </w:r>
      <w:r>
        <w:tab/>
        <w:t>NER, cl. 6.12.1(15)</w:t>
      </w:r>
    </w:p>
  </w:footnote>
  <w:footnote w:id="2">
    <w:p w:rsidR="008E68A3" w:rsidRDefault="008E68A3" w:rsidP="008E68A3">
      <w:pPr>
        <w:pStyle w:val="FootnoteText"/>
      </w:pPr>
      <w:r>
        <w:rPr>
          <w:rStyle w:val="FootnoteReference"/>
        </w:rPr>
        <w:footnoteRef/>
      </w:r>
      <w:r>
        <w:t xml:space="preserve"> </w:t>
      </w:r>
      <w:r>
        <w:tab/>
        <w:t>NER, cl. 6.12.1 (16).</w:t>
      </w:r>
    </w:p>
  </w:footnote>
  <w:footnote w:id="3">
    <w:p w:rsidR="008E68A3" w:rsidRDefault="008E68A3" w:rsidP="008E68A3">
      <w:pPr>
        <w:pStyle w:val="FootnoteText"/>
      </w:pPr>
      <w:r>
        <w:rPr>
          <w:rStyle w:val="FootnoteReference"/>
        </w:rPr>
        <w:footnoteRef/>
      </w:r>
      <w:r>
        <w:t xml:space="preserve"> </w:t>
      </w:r>
      <w:r>
        <w:tab/>
      </w:r>
      <w:r w:rsidR="00CA5EB9">
        <w:t>Endeavour Energy,</w:t>
      </w:r>
      <w:r>
        <w:t xml:space="preserve"> </w:t>
      </w:r>
      <w:r w:rsidRPr="009D0201">
        <w:rPr>
          <w:rStyle w:val="AERtextitalic"/>
        </w:rPr>
        <w:t>Regulatory proposal</w:t>
      </w:r>
      <w:r>
        <w:t xml:space="preserve">, May 2014, p. </w:t>
      </w:r>
      <w:r w:rsidR="00CA5EB9">
        <w:t xml:space="preserve">149 </w:t>
      </w:r>
      <w:r>
        <w:t xml:space="preserve">and attachment </w:t>
      </w:r>
      <w:r w:rsidR="00CA5EB9">
        <w:t>0.15</w:t>
      </w:r>
      <w:r w:rsidR="003340CF">
        <w:t>.</w:t>
      </w:r>
    </w:p>
  </w:footnote>
  <w:footnote w:id="4">
    <w:p w:rsidR="008E68A3" w:rsidRDefault="008E68A3" w:rsidP="008E68A3">
      <w:pPr>
        <w:pStyle w:val="FootnoteText"/>
      </w:pPr>
      <w:r>
        <w:rPr>
          <w:rStyle w:val="FootnoteReference"/>
        </w:rPr>
        <w:footnoteRef/>
      </w:r>
      <w:r>
        <w:t xml:space="preserve"> </w:t>
      </w:r>
      <w:r>
        <w:tab/>
      </w:r>
      <w:proofErr w:type="gramStart"/>
      <w:r>
        <w:t>NER, cl. 6.7.5.</w:t>
      </w:r>
      <w:proofErr w:type="gramEnd"/>
    </w:p>
  </w:footnote>
  <w:footnote w:id="5">
    <w:p w:rsidR="008E68A3" w:rsidRDefault="008E68A3" w:rsidP="008E68A3">
      <w:pPr>
        <w:pStyle w:val="FootnoteText"/>
      </w:pPr>
      <w:r>
        <w:rPr>
          <w:rStyle w:val="FootnoteReference"/>
        </w:rPr>
        <w:footnoteRef/>
      </w:r>
      <w:r>
        <w:t xml:space="preserve"> </w:t>
      </w:r>
      <w:r>
        <w:tab/>
        <w:t xml:space="preserve">NER, cl. 6.12.1(15). </w:t>
      </w:r>
    </w:p>
  </w:footnote>
  <w:footnote w:id="6">
    <w:p w:rsidR="008E68A3" w:rsidRDefault="008E68A3" w:rsidP="008E68A3">
      <w:pPr>
        <w:pStyle w:val="FootnoteText"/>
      </w:pPr>
      <w:r>
        <w:rPr>
          <w:rStyle w:val="FootnoteReference"/>
        </w:rPr>
        <w:footnoteRef/>
      </w:r>
      <w:r>
        <w:t xml:space="preserve"> </w:t>
      </w:r>
      <w:r>
        <w:tab/>
        <w:t xml:space="preserve">AER, </w:t>
      </w:r>
      <w:r w:rsidRPr="003633BB">
        <w:rPr>
          <w:rStyle w:val="AERtextitalic"/>
        </w:rPr>
        <w:t xml:space="preserve">Proposed Negotiated Distribution Service Criteria for </w:t>
      </w:r>
      <w:r w:rsidR="00CA5EB9">
        <w:rPr>
          <w:rStyle w:val="AERtextitalic"/>
        </w:rPr>
        <w:t>Endeavour Energy</w:t>
      </w:r>
      <w:r w:rsidR="00CA5EB9" w:rsidRPr="003633BB">
        <w:rPr>
          <w:rStyle w:val="AERtextitalic"/>
        </w:rPr>
        <w:t xml:space="preserve"> </w:t>
      </w:r>
      <w:r w:rsidRPr="003633BB">
        <w:rPr>
          <w:rStyle w:val="AERtextitalic"/>
        </w:rPr>
        <w:t>– period commencing 1 July 2014</w:t>
      </w:r>
      <w:r>
        <w:t>, June 2014</w:t>
      </w:r>
      <w:r w:rsidR="003340CF">
        <w:t xml:space="preserve">. </w:t>
      </w:r>
    </w:p>
  </w:footnote>
  <w:footnote w:id="7">
    <w:p w:rsidR="008E68A3" w:rsidRDefault="008E68A3" w:rsidP="008E68A3">
      <w:pPr>
        <w:pStyle w:val="FootnoteText"/>
      </w:pPr>
      <w:r>
        <w:rPr>
          <w:rStyle w:val="FootnoteReference"/>
        </w:rPr>
        <w:footnoteRef/>
      </w:r>
      <w:r>
        <w:t xml:space="preserve"> </w:t>
      </w:r>
      <w:r>
        <w:tab/>
        <w:t>NER, cl. 6.7.1.</w:t>
      </w:r>
    </w:p>
  </w:footnote>
  <w:footnote w:id="8">
    <w:p w:rsidR="008E68A3" w:rsidRDefault="008E68A3" w:rsidP="008E68A3">
      <w:pPr>
        <w:pStyle w:val="FootnoteText"/>
      </w:pPr>
      <w:r>
        <w:rPr>
          <w:rStyle w:val="FootnoteReference"/>
        </w:rPr>
        <w:footnoteRef/>
      </w:r>
      <w:r>
        <w:t xml:space="preserve"> </w:t>
      </w:r>
      <w:r>
        <w:tab/>
      </w:r>
      <w:proofErr w:type="gramStart"/>
      <w:r>
        <w:t>NER, cl. 6.7.5(c).</w:t>
      </w:r>
      <w:proofErr w:type="gramEnd"/>
    </w:p>
  </w:footnote>
  <w:footnote w:id="9">
    <w:p w:rsidR="00CA5EB9" w:rsidRDefault="00CA5EB9" w:rsidP="00CA5EB9">
      <w:pPr>
        <w:pStyle w:val="FootnoteText"/>
      </w:pPr>
      <w:r>
        <w:rPr>
          <w:rStyle w:val="FootnoteReference"/>
        </w:rPr>
        <w:footnoteRef/>
      </w:r>
      <w:r>
        <w:t xml:space="preserve"> </w:t>
      </w:r>
      <w:r>
        <w:tab/>
        <w:t xml:space="preserve">An applicant or service applicant is the person who wishes to receive a negotiated distribution service. NER, ch. 10.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83E63"/>
    <w:multiLevelType w:val="multilevel"/>
    <w:tmpl w:val="950A1C52"/>
    <w:numStyleLink w:val="AERHeadings"/>
  </w:abstractNum>
  <w:abstractNum w:abstractNumId="1">
    <w:nsid w:val="031C7FA6"/>
    <w:multiLevelType w:val="hybridMultilevel"/>
    <w:tmpl w:val="1A7E9E04"/>
    <w:lvl w:ilvl="0" w:tplc="A356B254">
      <w:start w:val="1"/>
      <w:numFmt w:val="bullet"/>
      <w:pStyle w:val="AERbulletlistsecon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
    <w:nsid w:val="0B102140"/>
    <w:multiLevelType w:val="multilevel"/>
    <w:tmpl w:val="39D4CB02"/>
    <w:numStyleLink w:val="AERnumberedlist"/>
  </w:abstractNum>
  <w:abstractNum w:abstractNumId="3">
    <w:nsid w:val="0D517D24"/>
    <w:multiLevelType w:val="hybridMultilevel"/>
    <w:tmpl w:val="BD7E2B36"/>
    <w:lvl w:ilvl="0" w:tplc="23B41A36">
      <w:start w:val="1"/>
      <w:numFmt w:val="lowerRoman"/>
      <w:lvlText w:val="%1."/>
      <w:lvlJc w:val="left"/>
      <w:pPr>
        <w:tabs>
          <w:tab w:val="num" w:pos="1440"/>
        </w:tabs>
        <w:ind w:left="1440" w:hanging="360"/>
      </w:pPr>
      <w:rPr>
        <w:rFonts w:hint="default"/>
        <w:b w:val="0"/>
        <w:i w:val="0"/>
        <w:sz w:val="22"/>
      </w:rPr>
    </w:lvl>
    <w:lvl w:ilvl="1" w:tplc="0C090003" w:tentative="1">
      <w:start w:val="1"/>
      <w:numFmt w:val="bullet"/>
      <w:lvlText w:val="o"/>
      <w:lvlJc w:val="left"/>
      <w:pPr>
        <w:tabs>
          <w:tab w:val="num" w:pos="1806"/>
        </w:tabs>
        <w:ind w:left="1806" w:hanging="360"/>
      </w:pPr>
      <w:rPr>
        <w:rFonts w:ascii="Courier New" w:hAnsi="Courier New" w:cs="Courier New" w:hint="default"/>
      </w:rPr>
    </w:lvl>
    <w:lvl w:ilvl="2" w:tplc="0C090005" w:tentative="1">
      <w:start w:val="1"/>
      <w:numFmt w:val="bullet"/>
      <w:lvlText w:val=""/>
      <w:lvlJc w:val="left"/>
      <w:pPr>
        <w:tabs>
          <w:tab w:val="num" w:pos="2526"/>
        </w:tabs>
        <w:ind w:left="2526" w:hanging="360"/>
      </w:pPr>
      <w:rPr>
        <w:rFonts w:ascii="Wingdings" w:hAnsi="Wingdings" w:hint="default"/>
      </w:rPr>
    </w:lvl>
    <w:lvl w:ilvl="3" w:tplc="0C090001" w:tentative="1">
      <w:start w:val="1"/>
      <w:numFmt w:val="bullet"/>
      <w:lvlText w:val=""/>
      <w:lvlJc w:val="left"/>
      <w:pPr>
        <w:tabs>
          <w:tab w:val="num" w:pos="3246"/>
        </w:tabs>
        <w:ind w:left="3246" w:hanging="360"/>
      </w:pPr>
      <w:rPr>
        <w:rFonts w:ascii="Symbol" w:hAnsi="Symbol" w:hint="default"/>
      </w:rPr>
    </w:lvl>
    <w:lvl w:ilvl="4" w:tplc="0C090003" w:tentative="1">
      <w:start w:val="1"/>
      <w:numFmt w:val="bullet"/>
      <w:lvlText w:val="o"/>
      <w:lvlJc w:val="left"/>
      <w:pPr>
        <w:tabs>
          <w:tab w:val="num" w:pos="3966"/>
        </w:tabs>
        <w:ind w:left="3966" w:hanging="360"/>
      </w:pPr>
      <w:rPr>
        <w:rFonts w:ascii="Courier New" w:hAnsi="Courier New" w:cs="Courier New" w:hint="default"/>
      </w:rPr>
    </w:lvl>
    <w:lvl w:ilvl="5" w:tplc="0C090005" w:tentative="1">
      <w:start w:val="1"/>
      <w:numFmt w:val="bullet"/>
      <w:lvlText w:val=""/>
      <w:lvlJc w:val="left"/>
      <w:pPr>
        <w:tabs>
          <w:tab w:val="num" w:pos="4686"/>
        </w:tabs>
        <w:ind w:left="4686" w:hanging="360"/>
      </w:pPr>
      <w:rPr>
        <w:rFonts w:ascii="Wingdings" w:hAnsi="Wingdings" w:hint="default"/>
      </w:rPr>
    </w:lvl>
    <w:lvl w:ilvl="6" w:tplc="0C090001" w:tentative="1">
      <w:start w:val="1"/>
      <w:numFmt w:val="bullet"/>
      <w:lvlText w:val=""/>
      <w:lvlJc w:val="left"/>
      <w:pPr>
        <w:tabs>
          <w:tab w:val="num" w:pos="5406"/>
        </w:tabs>
        <w:ind w:left="5406" w:hanging="360"/>
      </w:pPr>
      <w:rPr>
        <w:rFonts w:ascii="Symbol" w:hAnsi="Symbol" w:hint="default"/>
      </w:rPr>
    </w:lvl>
    <w:lvl w:ilvl="7" w:tplc="0C090003" w:tentative="1">
      <w:start w:val="1"/>
      <w:numFmt w:val="bullet"/>
      <w:lvlText w:val="o"/>
      <w:lvlJc w:val="left"/>
      <w:pPr>
        <w:tabs>
          <w:tab w:val="num" w:pos="6126"/>
        </w:tabs>
        <w:ind w:left="6126" w:hanging="360"/>
      </w:pPr>
      <w:rPr>
        <w:rFonts w:ascii="Courier New" w:hAnsi="Courier New" w:cs="Courier New" w:hint="default"/>
      </w:rPr>
    </w:lvl>
    <w:lvl w:ilvl="8" w:tplc="0C090005" w:tentative="1">
      <w:start w:val="1"/>
      <w:numFmt w:val="bullet"/>
      <w:lvlText w:val=""/>
      <w:lvlJc w:val="left"/>
      <w:pPr>
        <w:tabs>
          <w:tab w:val="num" w:pos="6846"/>
        </w:tabs>
        <w:ind w:left="6846" w:hanging="360"/>
      </w:pPr>
      <w:rPr>
        <w:rFonts w:ascii="Wingdings" w:hAnsi="Wingdings" w:hint="default"/>
      </w:rPr>
    </w:lvl>
  </w:abstractNum>
  <w:abstractNum w:abstractNumId="4">
    <w:nsid w:val="13597CF9"/>
    <w:multiLevelType w:val="multilevel"/>
    <w:tmpl w:val="39D4CB02"/>
    <w:numStyleLink w:val="AERnumberedlist"/>
  </w:abstractNum>
  <w:abstractNum w:abstractNumId="5">
    <w:nsid w:val="176B27A6"/>
    <w:multiLevelType w:val="multilevel"/>
    <w:tmpl w:val="950A1C52"/>
    <w:numStyleLink w:val="AERHeadings"/>
  </w:abstractNum>
  <w:abstractNum w:abstractNumId="6">
    <w:nsid w:val="1972601F"/>
    <w:multiLevelType w:val="multilevel"/>
    <w:tmpl w:val="950A1C52"/>
    <w:numStyleLink w:val="AERHeadings"/>
  </w:abstractNum>
  <w:abstractNum w:abstractNumId="7">
    <w:nsid w:val="1DFA331B"/>
    <w:multiLevelType w:val="multilevel"/>
    <w:tmpl w:val="39D4CB02"/>
    <w:numStyleLink w:val="AERnumberedlist"/>
  </w:abstractNum>
  <w:abstractNum w:abstractNumId="8">
    <w:nsid w:val="233428C7"/>
    <w:multiLevelType w:val="multilevel"/>
    <w:tmpl w:val="39D4CB02"/>
    <w:numStyleLink w:val="AERnumberedlist"/>
  </w:abstractNum>
  <w:abstractNum w:abstractNumId="9">
    <w:nsid w:val="2776270C"/>
    <w:multiLevelType w:val="multilevel"/>
    <w:tmpl w:val="39D4CB02"/>
    <w:numStyleLink w:val="AERnumberedlist"/>
  </w:abstractNum>
  <w:abstractNum w:abstractNumId="10">
    <w:nsid w:val="281977C0"/>
    <w:multiLevelType w:val="multilevel"/>
    <w:tmpl w:val="950A1C52"/>
    <w:numStyleLink w:val="AERHeadings"/>
  </w:abstractNum>
  <w:abstractNum w:abstractNumId="11">
    <w:nsid w:val="295C7239"/>
    <w:multiLevelType w:val="multilevel"/>
    <w:tmpl w:val="950A1C52"/>
    <w:numStyleLink w:val="AERHeadings"/>
  </w:abstractNum>
  <w:abstractNum w:abstractNumId="12">
    <w:nsid w:val="2B127A5F"/>
    <w:multiLevelType w:val="multilevel"/>
    <w:tmpl w:val="43269A78"/>
    <w:lvl w:ilvl="0">
      <w:start w:val="1"/>
      <w:numFmt w:val="lowerRoman"/>
      <w:lvlText w:val="%1."/>
      <w:lvlJc w:val="left"/>
      <w:pPr>
        <w:tabs>
          <w:tab w:val="num" w:pos="1440"/>
        </w:tabs>
        <w:ind w:left="1440" w:hanging="360"/>
      </w:pPr>
      <w:rPr>
        <w:rFonts w:hint="default"/>
      </w:rPr>
    </w:lvl>
    <w:lvl w:ilvl="1">
      <w:start w:val="1"/>
      <w:numFmt w:val="lowerLetter"/>
      <w:lvlText w:val="%2)"/>
      <w:lvlJc w:val="left"/>
      <w:pPr>
        <w:tabs>
          <w:tab w:val="num" w:pos="1800"/>
        </w:tabs>
        <w:ind w:left="1800" w:hanging="360"/>
      </w:pPr>
      <w:rPr>
        <w:rFonts w:hint="default"/>
      </w:rPr>
    </w:lvl>
    <w:lvl w:ilvl="2">
      <w:start w:val="1"/>
      <w:numFmt w:val="lowerRoman"/>
      <w:lvlText w:val="%3)"/>
      <w:lvlJc w:val="left"/>
      <w:pPr>
        <w:tabs>
          <w:tab w:val="num" w:pos="2160"/>
        </w:tabs>
        <w:ind w:left="2160" w:hanging="36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2880"/>
        </w:tabs>
        <w:ind w:left="2880" w:hanging="360"/>
      </w:pPr>
      <w:rPr>
        <w:rFonts w:hint="default"/>
      </w:rPr>
    </w:lvl>
    <w:lvl w:ilvl="5">
      <w:start w:val="1"/>
      <w:numFmt w:val="lowerRoman"/>
      <w:lvlText w:val="(%6)"/>
      <w:lvlJc w:val="left"/>
      <w:pPr>
        <w:tabs>
          <w:tab w:val="num" w:pos="3240"/>
        </w:tabs>
        <w:ind w:left="3240" w:hanging="360"/>
      </w:pPr>
      <w:rPr>
        <w:rFonts w:hint="default"/>
      </w:rPr>
    </w:lvl>
    <w:lvl w:ilvl="6">
      <w:start w:val="1"/>
      <w:numFmt w:val="decimal"/>
      <w:lvlText w:val="%7."/>
      <w:lvlJc w:val="left"/>
      <w:pPr>
        <w:tabs>
          <w:tab w:val="num" w:pos="3600"/>
        </w:tabs>
        <w:ind w:left="3600" w:hanging="360"/>
      </w:pPr>
      <w:rPr>
        <w:rFonts w:hint="default"/>
      </w:rPr>
    </w:lvl>
    <w:lvl w:ilvl="7">
      <w:start w:val="1"/>
      <w:numFmt w:val="lowerLetter"/>
      <w:lvlText w:val="%8."/>
      <w:lvlJc w:val="left"/>
      <w:pPr>
        <w:tabs>
          <w:tab w:val="num" w:pos="3960"/>
        </w:tabs>
        <w:ind w:left="3960" w:hanging="360"/>
      </w:pPr>
      <w:rPr>
        <w:rFonts w:hint="default"/>
      </w:rPr>
    </w:lvl>
    <w:lvl w:ilvl="8">
      <w:start w:val="1"/>
      <w:numFmt w:val="lowerRoman"/>
      <w:lvlText w:val="%9."/>
      <w:lvlJc w:val="left"/>
      <w:pPr>
        <w:tabs>
          <w:tab w:val="num" w:pos="4320"/>
        </w:tabs>
        <w:ind w:left="4320" w:hanging="360"/>
      </w:pPr>
      <w:rPr>
        <w:rFonts w:hint="default"/>
      </w:rPr>
    </w:lvl>
  </w:abstractNum>
  <w:abstractNum w:abstractNumId="13">
    <w:nsid w:val="2C2D6B9E"/>
    <w:multiLevelType w:val="multilevel"/>
    <w:tmpl w:val="950A1C52"/>
    <w:numStyleLink w:val="AERHeadings"/>
  </w:abstractNum>
  <w:abstractNum w:abstractNumId="14">
    <w:nsid w:val="2DB12A3A"/>
    <w:multiLevelType w:val="multilevel"/>
    <w:tmpl w:val="950A1C52"/>
    <w:numStyleLink w:val="AERHeadings"/>
  </w:abstractNum>
  <w:abstractNum w:abstractNumId="15">
    <w:nsid w:val="2FB612CC"/>
    <w:multiLevelType w:val="multilevel"/>
    <w:tmpl w:val="950A1C52"/>
    <w:styleLink w:val="AERHeadings"/>
    <w:lvl w:ilvl="0">
      <w:start w:val="1"/>
      <w:numFmt w:val="none"/>
      <w:pStyle w:val="UnnumberedHeading"/>
      <w:lvlText w:val="%1"/>
      <w:lvlJc w:val="left"/>
      <w:pPr>
        <w:tabs>
          <w:tab w:val="num" w:pos="0"/>
        </w:tabs>
        <w:ind w:left="0" w:firstLine="0"/>
      </w:pPr>
      <w:rPr>
        <w:rFonts w:hint="default"/>
      </w:rPr>
    </w:lvl>
    <w:lvl w:ilvl="1">
      <w:start w:val="17"/>
      <w:numFmt w:val="decimal"/>
      <w:pStyle w:val="Heading1"/>
      <w:lvlText w:val="%1%2"/>
      <w:lvlJc w:val="left"/>
      <w:pPr>
        <w:tabs>
          <w:tab w:val="num" w:pos="0"/>
        </w:tabs>
        <w:ind w:left="0" w:hanging="851"/>
      </w:pPr>
      <w:rPr>
        <w:rFonts w:hint="default"/>
      </w:rPr>
    </w:lvl>
    <w:lvl w:ilvl="2">
      <w:start w:val="1"/>
      <w:numFmt w:val="decimal"/>
      <w:pStyle w:val="Heading2"/>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6">
    <w:nsid w:val="301B31FF"/>
    <w:multiLevelType w:val="multilevel"/>
    <w:tmpl w:val="A5AEB1CE"/>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7">
    <w:nsid w:val="31AA058E"/>
    <w:multiLevelType w:val="hybridMultilevel"/>
    <w:tmpl w:val="3C70101E"/>
    <w:lvl w:ilvl="0" w:tplc="B336B1FC">
      <w:start w:val="1"/>
      <w:numFmt w:val="bullet"/>
      <w:pStyle w:val="AERbulletlistthir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8">
    <w:nsid w:val="333E0E05"/>
    <w:multiLevelType w:val="multilevel"/>
    <w:tmpl w:val="950A1C52"/>
    <w:numStyleLink w:val="AERHeadings"/>
  </w:abstractNum>
  <w:abstractNum w:abstractNumId="19">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C721288"/>
    <w:multiLevelType w:val="multilevel"/>
    <w:tmpl w:val="950A1C52"/>
    <w:numStyleLink w:val="AERHeadings"/>
  </w:abstractNum>
  <w:abstractNum w:abstractNumId="22">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23">
    <w:nsid w:val="4F037C49"/>
    <w:multiLevelType w:val="multilevel"/>
    <w:tmpl w:val="39D4CB02"/>
    <w:numStyleLink w:val="AERnumberedlist"/>
  </w:abstractNum>
  <w:abstractNum w:abstractNumId="24">
    <w:nsid w:val="4F820549"/>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nsid w:val="51487971"/>
    <w:multiLevelType w:val="multilevel"/>
    <w:tmpl w:val="39D4CB02"/>
    <w:styleLink w:val="AERnumberedlist"/>
    <w:lvl w:ilvl="0">
      <w:start w:val="1"/>
      <w:numFmt w:val="none"/>
      <w:pStyle w:val="AERbodytext"/>
      <w:lvlText w:val="%1"/>
      <w:lvlJc w:val="left"/>
      <w:pPr>
        <w:tabs>
          <w:tab w:val="num" w:pos="0"/>
        </w:tabs>
        <w:ind w:left="0" w:firstLine="0"/>
      </w:pPr>
      <w:rPr>
        <w:rFonts w:hint="default"/>
      </w:rPr>
    </w:lvl>
    <w:lvl w:ilvl="1">
      <w:start w:val="1"/>
      <w:numFmt w:val="decimal"/>
      <w:pStyle w:val="AERnumberedlistfirststyle"/>
      <w:lvlText w:val="%2."/>
      <w:lvlJc w:val="left"/>
      <w:pPr>
        <w:tabs>
          <w:tab w:val="num" w:pos="357"/>
        </w:tabs>
        <w:ind w:left="357" w:hanging="357"/>
      </w:pPr>
      <w:rPr>
        <w:rFonts w:hint="default"/>
      </w:rPr>
    </w:lvl>
    <w:lvl w:ilvl="2">
      <w:start w:val="1"/>
      <w:numFmt w:val="lowerLetter"/>
      <w:pStyle w:val="AERnumberedlistsecondstyle"/>
      <w:lvlText w:val="%3."/>
      <w:lvlJc w:val="left"/>
      <w:pPr>
        <w:tabs>
          <w:tab w:val="num" w:pos="720"/>
        </w:tabs>
        <w:ind w:left="720" w:hanging="363"/>
      </w:pPr>
      <w:rPr>
        <w:rFonts w:hint="default"/>
      </w:rPr>
    </w:lvl>
    <w:lvl w:ilvl="3">
      <w:start w:val="1"/>
      <w:numFmt w:val="lowerRoman"/>
      <w:pStyle w:val="AERnumberedlistthirdstyle"/>
      <w:lvlText w:val="%4."/>
      <w:lvlJc w:val="left"/>
      <w:pPr>
        <w:tabs>
          <w:tab w:val="num" w:pos="1077"/>
        </w:tabs>
        <w:ind w:left="1077" w:hanging="357"/>
      </w:pPr>
      <w:rPr>
        <w:rFonts w:hint="default"/>
      </w:rPr>
    </w:lvl>
    <w:lvl w:ilvl="4">
      <w:start w:val="1"/>
      <w:numFmt w:val="decimal"/>
      <w:lvlRestart w:val="1"/>
      <w:pStyle w:val="AERnumberedlist2first"/>
      <w:lvlText w:val="(%5)"/>
      <w:lvlJc w:val="left"/>
      <w:pPr>
        <w:tabs>
          <w:tab w:val="num" w:pos="454"/>
        </w:tabs>
        <w:ind w:left="454" w:hanging="454"/>
      </w:pPr>
      <w:rPr>
        <w:rFonts w:hint="default"/>
      </w:rPr>
    </w:lvl>
    <w:lvl w:ilvl="5">
      <w:start w:val="1"/>
      <w:numFmt w:val="lowerLetter"/>
      <w:pStyle w:val="AERnumberedlist2second"/>
      <w:lvlText w:val="(%6)"/>
      <w:lvlJc w:val="left"/>
      <w:pPr>
        <w:tabs>
          <w:tab w:val="num" w:pos="811"/>
        </w:tabs>
        <w:ind w:left="811" w:hanging="357"/>
      </w:pPr>
      <w:rPr>
        <w:rFonts w:hint="default"/>
      </w:rPr>
    </w:lvl>
    <w:lvl w:ilvl="6">
      <w:start w:val="1"/>
      <w:numFmt w:val="lowerRoman"/>
      <w:pStyle w:val="AERnumberedlist2third"/>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nsid w:val="51807103"/>
    <w:multiLevelType w:val="multilevel"/>
    <w:tmpl w:val="39D4CB02"/>
    <w:numStyleLink w:val="AERnumberedlist"/>
  </w:abstractNum>
  <w:abstractNum w:abstractNumId="27">
    <w:nsid w:val="5D386EA7"/>
    <w:multiLevelType w:val="multilevel"/>
    <w:tmpl w:val="950A1C52"/>
    <w:numStyleLink w:val="AERHeadings"/>
  </w:abstractNum>
  <w:abstractNum w:abstractNumId="28">
    <w:nsid w:val="5DCC1B18"/>
    <w:multiLevelType w:val="multilevel"/>
    <w:tmpl w:val="39D4CB02"/>
    <w:numStyleLink w:val="AERnumberedlist"/>
  </w:abstractNum>
  <w:abstractNum w:abstractNumId="29">
    <w:nsid w:val="68247CF7"/>
    <w:multiLevelType w:val="multilevel"/>
    <w:tmpl w:val="950A1C52"/>
    <w:numStyleLink w:val="AERHeadings"/>
  </w:abstractNum>
  <w:abstractNum w:abstractNumId="30">
    <w:nsid w:val="69315B1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nsid w:val="74595980"/>
    <w:multiLevelType w:val="multilevel"/>
    <w:tmpl w:val="950A1C52"/>
    <w:numStyleLink w:val="AERHeadings"/>
  </w:abstractNum>
  <w:abstractNum w:abstractNumId="32">
    <w:nsid w:val="74F81DDF"/>
    <w:multiLevelType w:val="multilevel"/>
    <w:tmpl w:val="950A1C52"/>
    <w:numStyleLink w:val="AERHeadings"/>
  </w:abstractNum>
  <w:abstractNum w:abstractNumId="33">
    <w:nsid w:val="787F66A4"/>
    <w:multiLevelType w:val="multilevel"/>
    <w:tmpl w:val="950A1C52"/>
    <w:numStyleLink w:val="AERHeadings"/>
  </w:abstractNum>
  <w:abstractNum w:abstractNumId="34">
    <w:nsid w:val="7AAC6DD7"/>
    <w:multiLevelType w:val="multilevel"/>
    <w:tmpl w:val="950A1C52"/>
    <w:numStyleLink w:val="AERHeadings"/>
  </w:abstractNum>
  <w:abstractNum w:abstractNumId="35">
    <w:nsid w:val="7AEA3AE1"/>
    <w:multiLevelType w:val="hybridMultilevel"/>
    <w:tmpl w:val="52969776"/>
    <w:lvl w:ilvl="0" w:tplc="1B665800">
      <w:start w:val="1"/>
      <w:numFmt w:val="bullet"/>
      <w:pStyle w:val="AERquotebullet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7BE97BF8"/>
    <w:multiLevelType w:val="multilevel"/>
    <w:tmpl w:val="950A1C52"/>
    <w:numStyleLink w:val="AERHeadings"/>
  </w:abstractNum>
  <w:abstractNum w:abstractNumId="37">
    <w:nsid w:val="7CDA0F5F"/>
    <w:multiLevelType w:val="multilevel"/>
    <w:tmpl w:val="950A1C52"/>
    <w:numStyleLink w:val="AERHeadings"/>
  </w:abstractNum>
  <w:num w:numId="1">
    <w:abstractNumId w:val="30"/>
  </w:num>
  <w:num w:numId="2">
    <w:abstractNumId w:val="15"/>
  </w:num>
  <w:num w:numId="3">
    <w:abstractNumId w:val="22"/>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22"/>
    <w:lvlOverride w:ilvl="0">
      <w:startOverride w:val="1"/>
    </w:lvlOverride>
  </w:num>
  <w:num w:numId="7">
    <w:abstractNumId w:val="20"/>
  </w:num>
  <w:num w:numId="8">
    <w:abstractNumId w:val="17"/>
  </w:num>
  <w:num w:numId="9">
    <w:abstractNumId w:val="35"/>
  </w:num>
  <w:num w:numId="10">
    <w:abstractNumId w:val="22"/>
    <w:lvlOverride w:ilvl="0">
      <w:startOverride w:val="1"/>
    </w:lvlOverride>
  </w:num>
  <w:num w:numId="11">
    <w:abstractNumId w:val="1"/>
  </w:num>
  <w:num w:numId="12">
    <w:abstractNumId w:val="22"/>
    <w:lvlOverride w:ilvl="0">
      <w:startOverride w:val="1"/>
    </w:lvlOverride>
  </w:num>
  <w:num w:numId="13">
    <w:abstractNumId w:val="25"/>
  </w:num>
  <w:num w:numId="1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2"/>
  </w:num>
  <w:num w:numId="17">
    <w:abstractNumId w:val="23"/>
  </w:num>
  <w:num w:numId="18">
    <w:abstractNumId w:val="7"/>
  </w:num>
  <w:num w:numId="19">
    <w:abstractNumId w:val="9"/>
  </w:num>
  <w:num w:numId="20">
    <w:abstractNumId w:val="32"/>
  </w:num>
  <w:num w:numId="21">
    <w:abstractNumId w:val="28"/>
  </w:num>
  <w:num w:numId="2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37"/>
  </w:num>
  <w:num w:numId="28">
    <w:abstractNumId w:val="18"/>
  </w:num>
  <w:num w:numId="29">
    <w:abstractNumId w:val="10"/>
  </w:num>
  <w:num w:numId="30">
    <w:abstractNumId w:val="5"/>
  </w:num>
  <w:num w:numId="31">
    <w:abstractNumId w:val="0"/>
  </w:num>
  <w:num w:numId="32">
    <w:abstractNumId w:val="6"/>
  </w:num>
  <w:num w:numId="33">
    <w:abstractNumId w:val="33"/>
  </w:num>
  <w:num w:numId="34">
    <w:abstractNumId w:val="29"/>
  </w:num>
  <w:num w:numId="35">
    <w:abstractNumId w:val="31"/>
  </w:num>
  <w:num w:numId="36">
    <w:abstractNumId w:val="36"/>
  </w:num>
  <w:num w:numId="37">
    <w:abstractNumId w:val="27"/>
  </w:num>
  <w:num w:numId="38">
    <w:abstractNumId w:val="13"/>
  </w:num>
  <w:num w:numId="39">
    <w:abstractNumId w:val="14"/>
  </w:num>
  <w:num w:numId="40">
    <w:abstractNumId w:val="21"/>
  </w:num>
  <w:num w:numId="41">
    <w:abstractNumId w:val="26"/>
  </w:num>
  <w:num w:numId="42">
    <w:abstractNumId w:val="4"/>
  </w:num>
  <w:num w:numId="43">
    <w:abstractNumId w:val="34"/>
  </w:num>
  <w:num w:numId="44">
    <w:abstractNumId w:val="24"/>
  </w:num>
  <w:num w:numId="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2"/>
  </w:num>
  <w:num w:numId="4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5"/>
    <w:lvlOverride w:ilvl="0">
      <w:lvl w:ilvl="0">
        <w:start w:val="1"/>
        <w:numFmt w:val="none"/>
        <w:pStyle w:val="UnnumberedHeading"/>
        <w:lvlText w:val="%1"/>
        <w:lvlJc w:val="left"/>
        <w:pPr>
          <w:tabs>
            <w:tab w:val="num" w:pos="0"/>
          </w:tabs>
          <w:ind w:left="0" w:firstLine="0"/>
        </w:pPr>
        <w:rPr>
          <w:rFonts w:hint="default"/>
        </w:rPr>
      </w:lvl>
    </w:lvlOverride>
    <w:lvlOverride w:ilvl="1">
      <w:lvl w:ilvl="1">
        <w:start w:val="16"/>
        <w:numFmt w:val="decimal"/>
        <w:pStyle w:val="Heading1"/>
        <w:lvlText w:val="%1%2"/>
        <w:lvlJc w:val="left"/>
        <w:pPr>
          <w:tabs>
            <w:tab w:val="num" w:pos="0"/>
          </w:tabs>
          <w:ind w:left="0" w:hanging="851"/>
        </w:pPr>
        <w:rPr>
          <w:rFonts w:hint="default"/>
        </w:rPr>
      </w:lvl>
    </w:lvlOverride>
    <w:lvlOverride w:ilvl="2">
      <w:lvl w:ilvl="2">
        <w:start w:val="1"/>
        <w:numFmt w:val="decimal"/>
        <w:pStyle w:val="Heading2"/>
        <w:lvlText w:val="%1%2.%3"/>
        <w:lvlJc w:val="left"/>
        <w:pPr>
          <w:tabs>
            <w:tab w:val="num" w:pos="0"/>
          </w:tabs>
          <w:ind w:left="0" w:hanging="851"/>
        </w:pPr>
        <w:rPr>
          <w:rFonts w:hint="default"/>
        </w:rPr>
      </w:lvl>
    </w:lvlOverride>
    <w:lvlOverride w:ilvl="3">
      <w:lvl w:ilvl="3">
        <w:start w:val="1"/>
        <w:numFmt w:val="decimal"/>
        <w:pStyle w:val="Heading3"/>
        <w:lvlText w:val="%2.%3.%4"/>
        <w:lvlJc w:val="left"/>
        <w:pPr>
          <w:tabs>
            <w:tab w:val="num" w:pos="0"/>
          </w:tabs>
          <w:ind w:left="0" w:hanging="851"/>
        </w:pPr>
        <w:rPr>
          <w:rFonts w:hint="default"/>
        </w:rPr>
      </w:lvl>
    </w:lvlOverride>
    <w:lvlOverride w:ilvl="4">
      <w:lvl w:ilvl="4">
        <w:start w:val="1"/>
        <w:numFmt w:val="upperLetter"/>
        <w:lvlRestart w:val="1"/>
        <w:pStyle w:val="Heading7"/>
        <w:lvlText w:val="%5"/>
        <w:lvlJc w:val="left"/>
        <w:pPr>
          <w:tabs>
            <w:tab w:val="num" w:pos="0"/>
          </w:tabs>
          <w:ind w:left="0" w:hanging="851"/>
        </w:pPr>
        <w:rPr>
          <w:rFonts w:hint="default"/>
        </w:rPr>
      </w:lvl>
    </w:lvlOverride>
    <w:lvlOverride w:ilvl="5">
      <w:lvl w:ilvl="5">
        <w:start w:val="1"/>
        <w:numFmt w:val="decimal"/>
        <w:pStyle w:val="Heading8"/>
        <w:lvlText w:val="%5.%6"/>
        <w:lvlJc w:val="left"/>
        <w:pPr>
          <w:tabs>
            <w:tab w:val="num" w:pos="0"/>
          </w:tabs>
          <w:ind w:left="0" w:hanging="851"/>
        </w:pPr>
        <w:rPr>
          <w:rFonts w:hint="default"/>
        </w:rPr>
      </w:lvl>
    </w:lvlOverride>
    <w:lvlOverride w:ilvl="6">
      <w:lvl w:ilvl="6">
        <w:start w:val="1"/>
        <w:numFmt w:val="decimal"/>
        <w:pStyle w:val="Heading9"/>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removePersonalInformation/>
  <w:removeDateAndTime/>
  <w:proofState w:spelling="clean" w:grammar="clean"/>
  <w:documentProtection w:formatting="1" w:enforcement="1" w:cryptProviderType="rsaFull" w:cryptAlgorithmClass="hash" w:cryptAlgorithmType="typeAny" w:cryptAlgorithmSid="4" w:cryptSpinCount="100000" w:hash="+aMNySoi6fLpRZkmgypRh4M3Wqk=" w:salt="4fHfufApWMz9Qs3zbeQfSA=="/>
  <w:defaultTabStop w:val="720"/>
  <w:evenAndOddHeaders/>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currentname" w:val="H:\TRIMDATA\TRIM\TEMP\HPTRIM.3540\D14 125040  Ausgrid draft decision - Negotiated distribution services framework and criteria.DOCX"/>
  </w:docVars>
  <w:rsids>
    <w:rsidRoot w:val="000C052F"/>
    <w:rsid w:val="0000420C"/>
    <w:rsid w:val="00005C0F"/>
    <w:rsid w:val="00007465"/>
    <w:rsid w:val="00011129"/>
    <w:rsid w:val="00022606"/>
    <w:rsid w:val="00040599"/>
    <w:rsid w:val="00040749"/>
    <w:rsid w:val="00040D29"/>
    <w:rsid w:val="00045BBA"/>
    <w:rsid w:val="00052A53"/>
    <w:rsid w:val="000623AA"/>
    <w:rsid w:val="000736D8"/>
    <w:rsid w:val="00075CB2"/>
    <w:rsid w:val="00097BC5"/>
    <w:rsid w:val="000A1CC2"/>
    <w:rsid w:val="000A286B"/>
    <w:rsid w:val="000A5342"/>
    <w:rsid w:val="000A789B"/>
    <w:rsid w:val="000B048E"/>
    <w:rsid w:val="000B15CA"/>
    <w:rsid w:val="000C052F"/>
    <w:rsid w:val="000C0DC9"/>
    <w:rsid w:val="000C3430"/>
    <w:rsid w:val="000D03C2"/>
    <w:rsid w:val="000D04B1"/>
    <w:rsid w:val="000D401F"/>
    <w:rsid w:val="000D76C0"/>
    <w:rsid w:val="000E1A25"/>
    <w:rsid w:val="000E6418"/>
    <w:rsid w:val="000F3A6A"/>
    <w:rsid w:val="001033B3"/>
    <w:rsid w:val="00105636"/>
    <w:rsid w:val="00110FBA"/>
    <w:rsid w:val="00114E05"/>
    <w:rsid w:val="00120663"/>
    <w:rsid w:val="0013022D"/>
    <w:rsid w:val="00131287"/>
    <w:rsid w:val="001521FA"/>
    <w:rsid w:val="001543D2"/>
    <w:rsid w:val="00157B4F"/>
    <w:rsid w:val="00163486"/>
    <w:rsid w:val="00163A93"/>
    <w:rsid w:val="001708CC"/>
    <w:rsid w:val="00174026"/>
    <w:rsid w:val="001856EE"/>
    <w:rsid w:val="0019293B"/>
    <w:rsid w:val="00194C3C"/>
    <w:rsid w:val="001B6619"/>
    <w:rsid w:val="001C12E5"/>
    <w:rsid w:val="001C4CE3"/>
    <w:rsid w:val="001D19FD"/>
    <w:rsid w:val="001D2BB9"/>
    <w:rsid w:val="002023C1"/>
    <w:rsid w:val="00202AE1"/>
    <w:rsid w:val="00206E99"/>
    <w:rsid w:val="0020711E"/>
    <w:rsid w:val="00210880"/>
    <w:rsid w:val="002132AC"/>
    <w:rsid w:val="00213BA0"/>
    <w:rsid w:val="002257B9"/>
    <w:rsid w:val="0023137D"/>
    <w:rsid w:val="00234D0C"/>
    <w:rsid w:val="002471E6"/>
    <w:rsid w:val="00266710"/>
    <w:rsid w:val="0027575A"/>
    <w:rsid w:val="002805B8"/>
    <w:rsid w:val="002938CE"/>
    <w:rsid w:val="002A1266"/>
    <w:rsid w:val="002A24F9"/>
    <w:rsid w:val="002A5967"/>
    <w:rsid w:val="002B6640"/>
    <w:rsid w:val="002C450E"/>
    <w:rsid w:val="002D61AC"/>
    <w:rsid w:val="002E4720"/>
    <w:rsid w:val="002F0147"/>
    <w:rsid w:val="00302AB7"/>
    <w:rsid w:val="00303452"/>
    <w:rsid w:val="00311E58"/>
    <w:rsid w:val="00314A5A"/>
    <w:rsid w:val="00316819"/>
    <w:rsid w:val="00317622"/>
    <w:rsid w:val="0032241D"/>
    <w:rsid w:val="00327200"/>
    <w:rsid w:val="003324F7"/>
    <w:rsid w:val="003340CF"/>
    <w:rsid w:val="00334F88"/>
    <w:rsid w:val="0034774B"/>
    <w:rsid w:val="003633BB"/>
    <w:rsid w:val="00366750"/>
    <w:rsid w:val="003707DB"/>
    <w:rsid w:val="003711E2"/>
    <w:rsid w:val="00375AEC"/>
    <w:rsid w:val="00376236"/>
    <w:rsid w:val="0037652C"/>
    <w:rsid w:val="003800E4"/>
    <w:rsid w:val="00380FF5"/>
    <w:rsid w:val="003A0E8F"/>
    <w:rsid w:val="003A33EB"/>
    <w:rsid w:val="003A4A1D"/>
    <w:rsid w:val="003A6174"/>
    <w:rsid w:val="003B6325"/>
    <w:rsid w:val="003C71DE"/>
    <w:rsid w:val="003E3B52"/>
    <w:rsid w:val="004030AB"/>
    <w:rsid w:val="00405323"/>
    <w:rsid w:val="00411433"/>
    <w:rsid w:val="00412282"/>
    <w:rsid w:val="00415A43"/>
    <w:rsid w:val="00422A50"/>
    <w:rsid w:val="004256BA"/>
    <w:rsid w:val="0042630C"/>
    <w:rsid w:val="00431999"/>
    <w:rsid w:val="00433475"/>
    <w:rsid w:val="00435682"/>
    <w:rsid w:val="00436C61"/>
    <w:rsid w:val="00444185"/>
    <w:rsid w:val="00456081"/>
    <w:rsid w:val="004567B7"/>
    <w:rsid w:val="00464F5D"/>
    <w:rsid w:val="00465A12"/>
    <w:rsid w:val="00470CA5"/>
    <w:rsid w:val="00474FBD"/>
    <w:rsid w:val="004754CA"/>
    <w:rsid w:val="0048003B"/>
    <w:rsid w:val="00491D7D"/>
    <w:rsid w:val="004925E3"/>
    <w:rsid w:val="004964DB"/>
    <w:rsid w:val="004A22A2"/>
    <w:rsid w:val="004A37AD"/>
    <w:rsid w:val="004C115A"/>
    <w:rsid w:val="004C3F45"/>
    <w:rsid w:val="004D3E28"/>
    <w:rsid w:val="004E40EF"/>
    <w:rsid w:val="004E73F7"/>
    <w:rsid w:val="004F68CC"/>
    <w:rsid w:val="004F76A0"/>
    <w:rsid w:val="004F7C52"/>
    <w:rsid w:val="00500E7F"/>
    <w:rsid w:val="00507606"/>
    <w:rsid w:val="0052179D"/>
    <w:rsid w:val="00525604"/>
    <w:rsid w:val="0053105A"/>
    <w:rsid w:val="005456A9"/>
    <w:rsid w:val="0054728C"/>
    <w:rsid w:val="00555D52"/>
    <w:rsid w:val="005566D7"/>
    <w:rsid w:val="00561F7F"/>
    <w:rsid w:val="00566B35"/>
    <w:rsid w:val="005732CC"/>
    <w:rsid w:val="00575422"/>
    <w:rsid w:val="00577AB9"/>
    <w:rsid w:val="005801EC"/>
    <w:rsid w:val="00593127"/>
    <w:rsid w:val="005938C6"/>
    <w:rsid w:val="005A0431"/>
    <w:rsid w:val="005B3752"/>
    <w:rsid w:val="005B61C2"/>
    <w:rsid w:val="005C17E4"/>
    <w:rsid w:val="005D26B7"/>
    <w:rsid w:val="005D4AA1"/>
    <w:rsid w:val="005D588B"/>
    <w:rsid w:val="005E3E0C"/>
    <w:rsid w:val="0060146C"/>
    <w:rsid w:val="0060207D"/>
    <w:rsid w:val="006039F2"/>
    <w:rsid w:val="0060534D"/>
    <w:rsid w:val="006061B0"/>
    <w:rsid w:val="0060732E"/>
    <w:rsid w:val="006076A9"/>
    <w:rsid w:val="00614E0C"/>
    <w:rsid w:val="00615E2B"/>
    <w:rsid w:val="006341BE"/>
    <w:rsid w:val="006453B4"/>
    <w:rsid w:val="0065125A"/>
    <w:rsid w:val="006544EA"/>
    <w:rsid w:val="0066569F"/>
    <w:rsid w:val="00672785"/>
    <w:rsid w:val="00680220"/>
    <w:rsid w:val="00680D59"/>
    <w:rsid w:val="006821ED"/>
    <w:rsid w:val="0069004B"/>
    <w:rsid w:val="006963BE"/>
    <w:rsid w:val="006B08EB"/>
    <w:rsid w:val="006B481F"/>
    <w:rsid w:val="006B71F5"/>
    <w:rsid w:val="006D0638"/>
    <w:rsid w:val="006E4093"/>
    <w:rsid w:val="006F638E"/>
    <w:rsid w:val="006F7BDF"/>
    <w:rsid w:val="00703E42"/>
    <w:rsid w:val="007368AD"/>
    <w:rsid w:val="00751681"/>
    <w:rsid w:val="00751D2A"/>
    <w:rsid w:val="00755095"/>
    <w:rsid w:val="00756004"/>
    <w:rsid w:val="007803A7"/>
    <w:rsid w:val="00784A4D"/>
    <w:rsid w:val="00796A07"/>
    <w:rsid w:val="007A1B74"/>
    <w:rsid w:val="007A444A"/>
    <w:rsid w:val="007C6043"/>
    <w:rsid w:val="007D0C0B"/>
    <w:rsid w:val="007E2610"/>
    <w:rsid w:val="007F10E3"/>
    <w:rsid w:val="007F2C0E"/>
    <w:rsid w:val="007F3F6D"/>
    <w:rsid w:val="00804AEB"/>
    <w:rsid w:val="0080524C"/>
    <w:rsid w:val="00806638"/>
    <w:rsid w:val="00824CC8"/>
    <w:rsid w:val="00836D17"/>
    <w:rsid w:val="00840A55"/>
    <w:rsid w:val="00841E25"/>
    <w:rsid w:val="0084378B"/>
    <w:rsid w:val="008464CD"/>
    <w:rsid w:val="00846F61"/>
    <w:rsid w:val="008513E0"/>
    <w:rsid w:val="008515EE"/>
    <w:rsid w:val="00861A78"/>
    <w:rsid w:val="00861C4E"/>
    <w:rsid w:val="00866D21"/>
    <w:rsid w:val="00872D85"/>
    <w:rsid w:val="00883DDA"/>
    <w:rsid w:val="00891547"/>
    <w:rsid w:val="00891FF9"/>
    <w:rsid w:val="00893367"/>
    <w:rsid w:val="00893D07"/>
    <w:rsid w:val="0089691F"/>
    <w:rsid w:val="008A1507"/>
    <w:rsid w:val="008B665B"/>
    <w:rsid w:val="008B7956"/>
    <w:rsid w:val="008C3722"/>
    <w:rsid w:val="008C3B67"/>
    <w:rsid w:val="008C3F48"/>
    <w:rsid w:val="008C4CDB"/>
    <w:rsid w:val="008D01AA"/>
    <w:rsid w:val="008D197D"/>
    <w:rsid w:val="008D49B4"/>
    <w:rsid w:val="008D7498"/>
    <w:rsid w:val="008E68A3"/>
    <w:rsid w:val="00903DC9"/>
    <w:rsid w:val="009045CD"/>
    <w:rsid w:val="00917039"/>
    <w:rsid w:val="00932AD1"/>
    <w:rsid w:val="00932E96"/>
    <w:rsid w:val="009414CD"/>
    <w:rsid w:val="009418E6"/>
    <w:rsid w:val="0094235F"/>
    <w:rsid w:val="0094279F"/>
    <w:rsid w:val="00946B98"/>
    <w:rsid w:val="0095052A"/>
    <w:rsid w:val="009516DF"/>
    <w:rsid w:val="00957BC5"/>
    <w:rsid w:val="0096442A"/>
    <w:rsid w:val="009658F0"/>
    <w:rsid w:val="00971655"/>
    <w:rsid w:val="00971C63"/>
    <w:rsid w:val="00972175"/>
    <w:rsid w:val="00994F2C"/>
    <w:rsid w:val="009A39C3"/>
    <w:rsid w:val="009A4AE9"/>
    <w:rsid w:val="009A5D3E"/>
    <w:rsid w:val="009B2792"/>
    <w:rsid w:val="009C46CC"/>
    <w:rsid w:val="009C71D5"/>
    <w:rsid w:val="009D0201"/>
    <w:rsid w:val="009D0222"/>
    <w:rsid w:val="009E1594"/>
    <w:rsid w:val="009F7CE4"/>
    <w:rsid w:val="00A06533"/>
    <w:rsid w:val="00A11162"/>
    <w:rsid w:val="00A310A4"/>
    <w:rsid w:val="00A31105"/>
    <w:rsid w:val="00A35C1D"/>
    <w:rsid w:val="00A43227"/>
    <w:rsid w:val="00A46CCD"/>
    <w:rsid w:val="00A54172"/>
    <w:rsid w:val="00A65133"/>
    <w:rsid w:val="00A652C5"/>
    <w:rsid w:val="00A71B88"/>
    <w:rsid w:val="00A76608"/>
    <w:rsid w:val="00A77333"/>
    <w:rsid w:val="00A801B6"/>
    <w:rsid w:val="00A85C5A"/>
    <w:rsid w:val="00A9374E"/>
    <w:rsid w:val="00A96A08"/>
    <w:rsid w:val="00AA0161"/>
    <w:rsid w:val="00AB1D08"/>
    <w:rsid w:val="00AB4345"/>
    <w:rsid w:val="00AB5BD7"/>
    <w:rsid w:val="00AC0135"/>
    <w:rsid w:val="00AC070D"/>
    <w:rsid w:val="00AC1B94"/>
    <w:rsid w:val="00AC3089"/>
    <w:rsid w:val="00AD0616"/>
    <w:rsid w:val="00AD34FF"/>
    <w:rsid w:val="00AD4C4C"/>
    <w:rsid w:val="00AD4DE6"/>
    <w:rsid w:val="00AE6DBC"/>
    <w:rsid w:val="00AF3BDE"/>
    <w:rsid w:val="00AF3E95"/>
    <w:rsid w:val="00AF4C0D"/>
    <w:rsid w:val="00AF7C67"/>
    <w:rsid w:val="00B15FE9"/>
    <w:rsid w:val="00B26F37"/>
    <w:rsid w:val="00B3603D"/>
    <w:rsid w:val="00B36EF9"/>
    <w:rsid w:val="00B51883"/>
    <w:rsid w:val="00B61FD4"/>
    <w:rsid w:val="00B674DB"/>
    <w:rsid w:val="00B82306"/>
    <w:rsid w:val="00B82E8D"/>
    <w:rsid w:val="00B83E62"/>
    <w:rsid w:val="00B9264D"/>
    <w:rsid w:val="00B94D99"/>
    <w:rsid w:val="00B9775D"/>
    <w:rsid w:val="00BA2973"/>
    <w:rsid w:val="00BB31FB"/>
    <w:rsid w:val="00BB3FA1"/>
    <w:rsid w:val="00BB62BB"/>
    <w:rsid w:val="00BC00FF"/>
    <w:rsid w:val="00BC05C5"/>
    <w:rsid w:val="00BD04BE"/>
    <w:rsid w:val="00BE0630"/>
    <w:rsid w:val="00BE6F28"/>
    <w:rsid w:val="00BF29FA"/>
    <w:rsid w:val="00BF2ACF"/>
    <w:rsid w:val="00C04D2B"/>
    <w:rsid w:val="00C16375"/>
    <w:rsid w:val="00C21370"/>
    <w:rsid w:val="00C22C94"/>
    <w:rsid w:val="00C5220B"/>
    <w:rsid w:val="00C557F2"/>
    <w:rsid w:val="00C65A70"/>
    <w:rsid w:val="00C737C5"/>
    <w:rsid w:val="00C850A8"/>
    <w:rsid w:val="00C85FEE"/>
    <w:rsid w:val="00CA3540"/>
    <w:rsid w:val="00CA5EB9"/>
    <w:rsid w:val="00CA6DED"/>
    <w:rsid w:val="00CC49D4"/>
    <w:rsid w:val="00CD006C"/>
    <w:rsid w:val="00CD742A"/>
    <w:rsid w:val="00CE6F5A"/>
    <w:rsid w:val="00CF02ED"/>
    <w:rsid w:val="00CF1EEB"/>
    <w:rsid w:val="00CF42CF"/>
    <w:rsid w:val="00D01345"/>
    <w:rsid w:val="00D102E9"/>
    <w:rsid w:val="00D152F2"/>
    <w:rsid w:val="00D1688F"/>
    <w:rsid w:val="00D1762D"/>
    <w:rsid w:val="00D2117F"/>
    <w:rsid w:val="00D25317"/>
    <w:rsid w:val="00D25E0D"/>
    <w:rsid w:val="00D27423"/>
    <w:rsid w:val="00D316C8"/>
    <w:rsid w:val="00D33B90"/>
    <w:rsid w:val="00D40C66"/>
    <w:rsid w:val="00D43E2C"/>
    <w:rsid w:val="00D60F4F"/>
    <w:rsid w:val="00D66E8B"/>
    <w:rsid w:val="00D83CBC"/>
    <w:rsid w:val="00D85715"/>
    <w:rsid w:val="00D8706C"/>
    <w:rsid w:val="00D960A0"/>
    <w:rsid w:val="00DA1D5E"/>
    <w:rsid w:val="00DA3D0B"/>
    <w:rsid w:val="00DA4C62"/>
    <w:rsid w:val="00DB3A35"/>
    <w:rsid w:val="00DB6A17"/>
    <w:rsid w:val="00DB6CE2"/>
    <w:rsid w:val="00DC434A"/>
    <w:rsid w:val="00DD4E84"/>
    <w:rsid w:val="00DD5520"/>
    <w:rsid w:val="00DD6C4F"/>
    <w:rsid w:val="00DE22F1"/>
    <w:rsid w:val="00DF16C2"/>
    <w:rsid w:val="00E00F76"/>
    <w:rsid w:val="00E03A64"/>
    <w:rsid w:val="00E05810"/>
    <w:rsid w:val="00E21E75"/>
    <w:rsid w:val="00E519DC"/>
    <w:rsid w:val="00E52421"/>
    <w:rsid w:val="00E55036"/>
    <w:rsid w:val="00E55578"/>
    <w:rsid w:val="00E6410A"/>
    <w:rsid w:val="00E6571F"/>
    <w:rsid w:val="00E75B8B"/>
    <w:rsid w:val="00E807DA"/>
    <w:rsid w:val="00E84E3A"/>
    <w:rsid w:val="00E86587"/>
    <w:rsid w:val="00E92D5E"/>
    <w:rsid w:val="00E93477"/>
    <w:rsid w:val="00E94C06"/>
    <w:rsid w:val="00E97EF4"/>
    <w:rsid w:val="00EA05AF"/>
    <w:rsid w:val="00EB25B0"/>
    <w:rsid w:val="00EB5B41"/>
    <w:rsid w:val="00EB5CDF"/>
    <w:rsid w:val="00EC06F3"/>
    <w:rsid w:val="00EC1BAB"/>
    <w:rsid w:val="00EC366C"/>
    <w:rsid w:val="00EC43B9"/>
    <w:rsid w:val="00ED4D69"/>
    <w:rsid w:val="00EE362F"/>
    <w:rsid w:val="00EF0E19"/>
    <w:rsid w:val="00EF1265"/>
    <w:rsid w:val="00EF19D6"/>
    <w:rsid w:val="00EF1E2E"/>
    <w:rsid w:val="00F114AE"/>
    <w:rsid w:val="00F226BA"/>
    <w:rsid w:val="00F2746D"/>
    <w:rsid w:val="00F31768"/>
    <w:rsid w:val="00F36538"/>
    <w:rsid w:val="00F3686E"/>
    <w:rsid w:val="00F40F86"/>
    <w:rsid w:val="00F43CA0"/>
    <w:rsid w:val="00F54216"/>
    <w:rsid w:val="00F55030"/>
    <w:rsid w:val="00F7696F"/>
    <w:rsid w:val="00F8209B"/>
    <w:rsid w:val="00F820C2"/>
    <w:rsid w:val="00F8634A"/>
    <w:rsid w:val="00F97CD9"/>
    <w:rsid w:val="00FA0576"/>
    <w:rsid w:val="00FB0768"/>
    <w:rsid w:val="00FB1E44"/>
    <w:rsid w:val="00FB50B4"/>
    <w:rsid w:val="00FC5BFF"/>
    <w:rsid w:val="00FD4B97"/>
    <w:rsid w:val="00FD545C"/>
    <w:rsid w:val="00FE2393"/>
    <w:rsid w:val="00FE55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utami" w:eastAsia="Calibri" w:hAnsi="Gautam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semiHidden="0" w:uiPriority="9" w:unhideWhenUsed="0" w:qFormat="1"/>
    <w:lsdException w:name="heading 3" w:locked="0" w:semiHidden="0" w:uiPriority="9" w:unhideWhenUsed="0" w:qFormat="1"/>
    <w:lsdException w:name="heading 4" w:semiHidden="0" w:uiPriority="9" w:unhideWhenUsed="0" w:qFormat="1"/>
    <w:lsdException w:name="heading 5" w:uiPriority="9" w:qFormat="1"/>
    <w:lsdException w:name="heading 6" w:uiPriority="9" w:qFormat="1"/>
    <w:lsdException w:name="heading 7" w:locked="0" w:uiPriority="9" w:qFormat="1"/>
    <w:lsdException w:name="heading 8" w:locked="0" w:uiPriority="9" w:qFormat="1"/>
    <w:lsdException w:name="heading 9" w:locked="0" w:uiPriority="9"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locked="0" w:uiPriority="39" w:qFormat="1"/>
    <w:lsdException w:name="toc 2" w:locked="0" w:uiPriority="39" w:qFormat="1"/>
    <w:lsdException w:name="toc 3" w:locked="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locked="0" w:qFormat="1"/>
    <w:lsdException w:name="header" w:locked="0"/>
    <w:lsdException w:name="footer" w:locked="0" w:qFormat="1"/>
    <w:lsdException w:name="index heading" w:locked="0"/>
    <w:lsdException w:name="caption" w:locked="0" w:uiPriority="35" w:qFormat="1"/>
    <w:lsdException w:name="table of figures" w:locked="0"/>
    <w:lsdException w:name="envelope address" w:locked="0"/>
    <w:lsdException w:name="envelope return" w:locked="0"/>
    <w:lsdException w:name="footnote reference" w:locked="0"/>
    <w:lsdException w:name="line number" w:locked="0"/>
    <w:lsdException w:name="page number" w:locked="0" w:uiPriority="0"/>
    <w:lsdException w:name="endnote reference" w:locked="0"/>
    <w:lsdException w:name="endnote text" w:locked="0"/>
    <w:lsdException w:name="table of authorities" w:locked="0"/>
    <w:lsdException w:name="macro" w:locked="0"/>
    <w:lsdException w:name="toa heading" w:locked="0"/>
    <w:lsdException w:name="Title" w:locked="0" w:uiPriority="10"/>
    <w:lsdException w:name="Closing" w:locked="0"/>
    <w:lsdException w:name="Signature" w:locked="0"/>
    <w:lsdException w:name="Default Paragraph Font" w:locked="0" w:uiPriority="1"/>
    <w:lsdException w:name="Message Header" w:locked="0"/>
    <w:lsdException w:name="Subtitle" w:locked="0" w:uiPriority="11" w:qFormat="1"/>
    <w:lsdException w:name="Salutation" w:locked="0"/>
    <w:lsdException w:name="Date" w:locked="0"/>
    <w:lsdException w:name="Note Heading" w:locked="0"/>
    <w:lsdException w:name="Hyperlink" w:locked="0" w:qFormat="1"/>
    <w:lsdException w:name="FollowedHyperlink" w:locked="0"/>
    <w:lsdException w:name="Strong" w:locked="0" w:uiPriority="22" w:qFormat="1"/>
    <w:lsdException w:name="Emphasis" w:locked="0" w:uiPriority="20" w:qFormat="1"/>
    <w:lsdException w:name="Document Map" w:locked="0"/>
    <w:lsdException w:name="Plain Text" w:locked="0"/>
    <w:lsdException w:name="E-mail Signature" w:locked="0"/>
    <w:lsdException w:name="HTML Top of Form" w:locked="0"/>
    <w:lsdException w:name="HTML Bottom of Form"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lsdException w:name="No List" w:locked="0"/>
    <w:lsdException w:name="Outline List 3" w:locked="0"/>
    <w:lsdException w:name="Table Grid" w:locked="0" w:semiHidden="0" w:uiPriority="59" w:unhideWhenUsed="0"/>
    <w:lsdException w:name="Placeholder Text" w:locked="0"/>
    <w:lsdException w:name="No Spacing" w:locked="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qFormat="1"/>
    <w:lsdException w:name="Quote" w:locked="0" w:uiPriority="29" w:qFormat="1"/>
    <w:lsdException w:name="Intense Quote" w:locked="0"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uiPriority="37"/>
    <w:lsdException w:name="TOC Heading" w:uiPriority="39" w:qFormat="1"/>
  </w:latentStyles>
  <w:style w:type="paragraph" w:default="1" w:styleId="Normal">
    <w:name w:val="Normal"/>
    <w:qFormat/>
    <w:rsid w:val="00C557F2"/>
    <w:pPr>
      <w:spacing w:after="240" w:line="288" w:lineRule="auto"/>
      <w:jc w:val="both"/>
    </w:pPr>
    <w:rPr>
      <w:lang w:eastAsia="en-US"/>
    </w:rPr>
  </w:style>
  <w:style w:type="paragraph" w:styleId="Heading1">
    <w:name w:val="heading 1"/>
    <w:next w:val="AERbodytext"/>
    <w:link w:val="Heading1Char"/>
    <w:uiPriority w:val="9"/>
    <w:qFormat/>
    <w:rsid w:val="00B94D99"/>
    <w:pPr>
      <w:keepNext/>
      <w:keepLines/>
      <w:pageBreakBefore/>
      <w:numPr>
        <w:ilvl w:val="1"/>
        <w:numId w:val="43"/>
      </w:numPr>
      <w:spacing w:before="120" w:after="120" w:line="288" w:lineRule="auto"/>
      <w:outlineLvl w:val="0"/>
    </w:pPr>
    <w:rPr>
      <w:rFonts w:eastAsia="Times New Roman"/>
      <w:b/>
      <w:bCs/>
      <w:color w:val="E36C0A"/>
      <w:sz w:val="36"/>
      <w:szCs w:val="28"/>
      <w:lang w:eastAsia="en-US"/>
    </w:rPr>
  </w:style>
  <w:style w:type="paragraph" w:styleId="Heading2">
    <w:name w:val="heading 2"/>
    <w:basedOn w:val="Heading1"/>
    <w:next w:val="AERbodytext"/>
    <w:link w:val="Heading2Char"/>
    <w:uiPriority w:val="9"/>
    <w:qFormat/>
    <w:rsid w:val="000A1CC2"/>
    <w:pPr>
      <w:pageBreakBefore w:val="0"/>
      <w:numPr>
        <w:ilvl w:val="2"/>
      </w:numPr>
      <w:outlineLvl w:val="1"/>
    </w:pPr>
    <w:rPr>
      <w:bCs w:val="0"/>
      <w:sz w:val="28"/>
      <w:szCs w:val="26"/>
    </w:rPr>
  </w:style>
  <w:style w:type="paragraph" w:styleId="Heading3">
    <w:name w:val="heading 3"/>
    <w:basedOn w:val="Heading2"/>
    <w:next w:val="AERbodytext"/>
    <w:link w:val="Heading3Char"/>
    <w:uiPriority w:val="9"/>
    <w:qFormat/>
    <w:rsid w:val="000A1CC2"/>
    <w:pPr>
      <w:numPr>
        <w:ilvl w:val="3"/>
      </w:numPr>
      <w:outlineLvl w:val="2"/>
    </w:pPr>
    <w:rPr>
      <w:bCs/>
      <w:sz w:val="24"/>
    </w:rPr>
  </w:style>
  <w:style w:type="paragraph" w:styleId="Heading4">
    <w:name w:val="heading 4"/>
    <w:basedOn w:val="AERbodytext"/>
    <w:next w:val="AERbodytext"/>
    <w:link w:val="Heading4Char"/>
    <w:uiPriority w:val="9"/>
    <w:semiHidden/>
    <w:qFormat/>
    <w:rsid w:val="005A0431"/>
    <w:pPr>
      <w:keepNext/>
      <w:numPr>
        <w:numId w:val="0"/>
      </w:numPr>
      <w:outlineLvl w:val="3"/>
    </w:pPr>
    <w:rPr>
      <w:b/>
      <w:iCs/>
      <w:color w:val="FF0000"/>
      <w:sz w:val="22"/>
    </w:rPr>
  </w:style>
  <w:style w:type="paragraph" w:styleId="Heading5">
    <w:name w:val="heading 5"/>
    <w:basedOn w:val="Heading4"/>
    <w:next w:val="AERbodytext"/>
    <w:link w:val="Heading5Char"/>
    <w:uiPriority w:val="9"/>
    <w:semiHidden/>
    <w:qFormat/>
    <w:rsid w:val="005A0431"/>
    <w:pPr>
      <w:numPr>
        <w:ilvl w:val="5"/>
      </w:numPr>
      <w:outlineLvl w:val="4"/>
    </w:pPr>
    <w:rPr>
      <w:i/>
      <w:sz w:val="20"/>
    </w:rPr>
  </w:style>
  <w:style w:type="paragraph" w:styleId="Heading6">
    <w:name w:val="heading 6"/>
    <w:basedOn w:val="Heading5"/>
    <w:next w:val="AERbodytext"/>
    <w:link w:val="Heading6Char"/>
    <w:uiPriority w:val="9"/>
    <w:semiHidden/>
    <w:qFormat/>
    <w:rsid w:val="005A0431"/>
    <w:pPr>
      <w:numPr>
        <w:ilvl w:val="6"/>
      </w:numPr>
      <w:outlineLvl w:val="5"/>
    </w:pPr>
    <w:rPr>
      <w:b w:val="0"/>
      <w:iCs w:val="0"/>
    </w:rPr>
  </w:style>
  <w:style w:type="paragraph" w:styleId="Heading7">
    <w:name w:val="heading 7"/>
    <w:basedOn w:val="UnnumberedHeading"/>
    <w:next w:val="AERbodytext"/>
    <w:link w:val="Heading7Char"/>
    <w:uiPriority w:val="9"/>
    <w:qFormat/>
    <w:rsid w:val="00303452"/>
    <w:pPr>
      <w:numPr>
        <w:ilvl w:val="4"/>
      </w:numPr>
      <w:outlineLvl w:val="6"/>
    </w:pPr>
    <w:rPr>
      <w:iCs/>
      <w:szCs w:val="24"/>
    </w:rPr>
  </w:style>
  <w:style w:type="paragraph" w:styleId="Heading8">
    <w:name w:val="heading 8"/>
    <w:basedOn w:val="Heading7"/>
    <w:next w:val="AERbodytext"/>
    <w:link w:val="Heading8Char"/>
    <w:uiPriority w:val="9"/>
    <w:qFormat/>
    <w:rsid w:val="00303452"/>
    <w:pPr>
      <w:pageBreakBefore w:val="0"/>
      <w:numPr>
        <w:ilvl w:val="5"/>
      </w:numPr>
      <w:outlineLvl w:val="7"/>
    </w:pPr>
    <w:rPr>
      <w:sz w:val="28"/>
      <w:szCs w:val="20"/>
    </w:rPr>
  </w:style>
  <w:style w:type="paragraph" w:styleId="Heading9">
    <w:name w:val="heading 9"/>
    <w:basedOn w:val="Heading8"/>
    <w:next w:val="AERbodytext"/>
    <w:link w:val="Heading9Char"/>
    <w:uiPriority w:val="9"/>
    <w:qFormat/>
    <w:rsid w:val="00303452"/>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 Headings"/>
    <w:uiPriority w:val="99"/>
    <w:rsid w:val="004E73F7"/>
    <w:pPr>
      <w:numPr>
        <w:numId w:val="2"/>
      </w:numPr>
    </w:pPr>
  </w:style>
  <w:style w:type="character" w:customStyle="1" w:styleId="Heading1Char">
    <w:name w:val="Heading 1 Char"/>
    <w:basedOn w:val="DefaultParagraphFont"/>
    <w:link w:val="Heading1"/>
    <w:uiPriority w:val="9"/>
    <w:rsid w:val="00B94D99"/>
    <w:rPr>
      <w:rFonts w:eastAsia="Times New Roman"/>
      <w:b/>
      <w:bCs/>
      <w:color w:val="E36C0A"/>
      <w:sz w:val="36"/>
      <w:szCs w:val="28"/>
      <w:lang w:eastAsia="en-US"/>
    </w:rPr>
  </w:style>
  <w:style w:type="character" w:customStyle="1" w:styleId="Heading2Char">
    <w:name w:val="Heading 2 Char"/>
    <w:basedOn w:val="DefaultParagraphFont"/>
    <w:link w:val="Heading2"/>
    <w:uiPriority w:val="9"/>
    <w:rsid w:val="000A1CC2"/>
    <w:rPr>
      <w:rFonts w:ascii="Gautami" w:eastAsia="Times New Roman" w:hAnsi="Gautami" w:cs="Times New Roman"/>
      <w:b/>
      <w:color w:val="F79646"/>
      <w:sz w:val="28"/>
      <w:szCs w:val="26"/>
    </w:rPr>
  </w:style>
  <w:style w:type="character" w:customStyle="1" w:styleId="Heading3Char">
    <w:name w:val="Heading 3 Char"/>
    <w:basedOn w:val="DefaultParagraphFont"/>
    <w:link w:val="Heading3"/>
    <w:uiPriority w:val="9"/>
    <w:rsid w:val="000A1CC2"/>
    <w:rPr>
      <w:rFonts w:ascii="Gautami" w:eastAsia="Times New Roman" w:hAnsi="Gautami" w:cs="Times New Roman"/>
      <w:b/>
      <w:bCs/>
      <w:color w:val="F79646"/>
      <w:sz w:val="24"/>
      <w:szCs w:val="26"/>
    </w:rPr>
  </w:style>
  <w:style w:type="character" w:customStyle="1" w:styleId="Heading4Char">
    <w:name w:val="Heading 4 Char"/>
    <w:basedOn w:val="DefaultParagraphFont"/>
    <w:link w:val="Heading4"/>
    <w:uiPriority w:val="9"/>
    <w:semiHidden/>
    <w:rsid w:val="00F97CD9"/>
    <w:rPr>
      <w:rFonts w:eastAsia="Times New Roman"/>
      <w:b/>
      <w:iCs/>
      <w:color w:val="FF0000"/>
      <w:sz w:val="22"/>
      <w:szCs w:val="24"/>
      <w:lang w:eastAsia="en-US"/>
    </w:rPr>
  </w:style>
  <w:style w:type="character" w:customStyle="1" w:styleId="Heading5Char">
    <w:name w:val="Heading 5 Char"/>
    <w:basedOn w:val="DefaultParagraphFont"/>
    <w:link w:val="Heading5"/>
    <w:uiPriority w:val="9"/>
    <w:semiHidden/>
    <w:rsid w:val="00F97CD9"/>
    <w:rPr>
      <w:rFonts w:eastAsia="Times New Roman"/>
      <w:b/>
      <w:i/>
      <w:iCs/>
      <w:color w:val="FF0000"/>
      <w:szCs w:val="24"/>
      <w:lang w:eastAsia="en-US"/>
    </w:rPr>
  </w:style>
  <w:style w:type="character" w:customStyle="1" w:styleId="Heading6Char">
    <w:name w:val="Heading 6 Char"/>
    <w:basedOn w:val="DefaultParagraphFont"/>
    <w:link w:val="Heading6"/>
    <w:uiPriority w:val="9"/>
    <w:semiHidden/>
    <w:rsid w:val="00F97CD9"/>
    <w:rPr>
      <w:rFonts w:eastAsia="Times New Roman"/>
      <w:i/>
      <w:color w:val="FF0000"/>
      <w:szCs w:val="24"/>
      <w:lang w:eastAsia="en-US"/>
    </w:rPr>
  </w:style>
  <w:style w:type="character" w:customStyle="1" w:styleId="Heading7Char">
    <w:name w:val="Heading 7 Char"/>
    <w:basedOn w:val="DefaultParagraphFont"/>
    <w:link w:val="Heading7"/>
    <w:uiPriority w:val="9"/>
    <w:rsid w:val="00303452"/>
    <w:rPr>
      <w:rFonts w:ascii="Gautami" w:eastAsia="Times New Roman" w:hAnsi="Gautami" w:cs="Times New Roman"/>
      <w:b/>
      <w:bCs/>
      <w:iCs/>
      <w:color w:val="E36C0A"/>
      <w:sz w:val="36"/>
      <w:szCs w:val="24"/>
    </w:rPr>
  </w:style>
  <w:style w:type="character" w:customStyle="1" w:styleId="Heading8Char">
    <w:name w:val="Heading 8 Char"/>
    <w:basedOn w:val="DefaultParagraphFont"/>
    <w:link w:val="Heading8"/>
    <w:uiPriority w:val="9"/>
    <w:rsid w:val="00303452"/>
    <w:rPr>
      <w:rFonts w:ascii="Gautami" w:eastAsia="Times New Roman" w:hAnsi="Gautami" w:cs="Times New Roman"/>
      <w:b/>
      <w:bCs/>
      <w:iCs/>
      <w:color w:val="E36C0A"/>
      <w:sz w:val="28"/>
      <w:szCs w:val="20"/>
    </w:rPr>
  </w:style>
  <w:style w:type="character" w:customStyle="1" w:styleId="Heading9Char">
    <w:name w:val="Heading 9 Char"/>
    <w:basedOn w:val="DefaultParagraphFont"/>
    <w:link w:val="Heading9"/>
    <w:uiPriority w:val="9"/>
    <w:rsid w:val="00303452"/>
    <w:rPr>
      <w:rFonts w:ascii="Gautami" w:eastAsia="Times New Roman" w:hAnsi="Gautami" w:cs="Times New Roman"/>
      <w:b/>
      <w:bCs/>
      <w:color w:val="E36C0A"/>
      <w:sz w:val="24"/>
      <w:szCs w:val="20"/>
    </w:rPr>
  </w:style>
  <w:style w:type="paragraph" w:styleId="Caption">
    <w:name w:val="caption"/>
    <w:basedOn w:val="AERbodytext"/>
    <w:next w:val="AERbodytext"/>
    <w:uiPriority w:val="35"/>
    <w:qFormat/>
    <w:rsid w:val="00DA4C62"/>
    <w:pPr>
      <w:keepNext/>
      <w:numPr>
        <w:numId w:val="0"/>
      </w:numPr>
      <w:tabs>
        <w:tab w:val="left" w:pos="1440"/>
      </w:tabs>
      <w:spacing w:before="120" w:after="120"/>
      <w:ind w:left="1440" w:hanging="1440"/>
    </w:pPr>
    <w:rPr>
      <w:b/>
      <w:bCs/>
      <w:szCs w:val="18"/>
    </w:rPr>
  </w:style>
  <w:style w:type="character" w:customStyle="1" w:styleId="AERbody">
    <w:name w:val="AER body"/>
    <w:basedOn w:val="DefaultParagraphFont"/>
    <w:qFormat/>
    <w:rsid w:val="00971C63"/>
    <w:rPr>
      <w:rFonts w:ascii="Gautami" w:hAnsi="Gautami"/>
      <w:color w:val="auto"/>
      <w:sz w:val="20"/>
    </w:rPr>
  </w:style>
  <w:style w:type="paragraph" w:customStyle="1" w:styleId="AERbodytext">
    <w:name w:val="AER body text"/>
    <w:link w:val="AERbodytextChar"/>
    <w:qFormat/>
    <w:rsid w:val="00EB5CDF"/>
    <w:pPr>
      <w:numPr>
        <w:numId w:val="13"/>
      </w:numPr>
      <w:spacing w:after="240" w:line="288" w:lineRule="auto"/>
      <w:jc w:val="both"/>
    </w:pPr>
    <w:rPr>
      <w:rFonts w:eastAsia="Times New Roman"/>
      <w:szCs w:val="24"/>
      <w:lang w:eastAsia="en-US"/>
    </w:rPr>
  </w:style>
  <w:style w:type="paragraph" w:customStyle="1" w:styleId="AERbodytextindent1">
    <w:name w:val="AER body text (indent 1)"/>
    <w:basedOn w:val="AERbodytext"/>
    <w:qFormat/>
    <w:rsid w:val="008D49B4"/>
    <w:pPr>
      <w:numPr>
        <w:numId w:val="0"/>
      </w:numPr>
      <w:ind w:left="357"/>
    </w:pPr>
  </w:style>
  <w:style w:type="paragraph" w:customStyle="1" w:styleId="AERbodytextindent2">
    <w:name w:val="AER body text (indent 2)"/>
    <w:basedOn w:val="AERbodytextindent1"/>
    <w:qFormat/>
    <w:rsid w:val="00BC05C5"/>
    <w:pPr>
      <w:ind w:left="709"/>
    </w:pPr>
  </w:style>
  <w:style w:type="paragraph" w:customStyle="1" w:styleId="AERbodytextindent3">
    <w:name w:val="AER body text (indent 3)"/>
    <w:basedOn w:val="AERbodytext"/>
    <w:qFormat/>
    <w:rsid w:val="008D49B4"/>
    <w:pPr>
      <w:numPr>
        <w:numId w:val="0"/>
      </w:numPr>
      <w:ind w:left="1077"/>
    </w:pPr>
  </w:style>
  <w:style w:type="paragraph" w:customStyle="1" w:styleId="AERbulletlistfirststyle">
    <w:name w:val="AER bullet list (first style)"/>
    <w:basedOn w:val="AERbodytext"/>
    <w:qFormat/>
    <w:rsid w:val="005732CC"/>
    <w:pPr>
      <w:numPr>
        <w:numId w:val="7"/>
      </w:numPr>
      <w:tabs>
        <w:tab w:val="left" w:pos="357"/>
      </w:tabs>
      <w:spacing w:after="200"/>
      <w:ind w:left="357" w:hanging="357"/>
    </w:pPr>
  </w:style>
  <w:style w:type="paragraph" w:customStyle="1" w:styleId="AERbulletlistsecondstyle">
    <w:name w:val="AER bullet list (second style)"/>
    <w:basedOn w:val="AERbodytext"/>
    <w:qFormat/>
    <w:rsid w:val="005732CC"/>
    <w:pPr>
      <w:numPr>
        <w:numId w:val="11"/>
      </w:numPr>
      <w:tabs>
        <w:tab w:val="left" w:pos="709"/>
      </w:tabs>
      <w:spacing w:after="200"/>
      <w:ind w:left="714" w:hanging="357"/>
    </w:pPr>
  </w:style>
  <w:style w:type="paragraph" w:customStyle="1" w:styleId="AERbulletlistthirdstyle">
    <w:name w:val="AER bullet list (third style)"/>
    <w:basedOn w:val="AERbodytext"/>
    <w:qFormat/>
    <w:rsid w:val="005732CC"/>
    <w:pPr>
      <w:numPr>
        <w:numId w:val="8"/>
      </w:numPr>
      <w:tabs>
        <w:tab w:val="left" w:pos="1077"/>
      </w:tabs>
      <w:spacing w:after="200"/>
      <w:ind w:left="1071" w:hanging="357"/>
    </w:pPr>
  </w:style>
  <w:style w:type="character" w:customStyle="1" w:styleId="AERtextconfidential">
    <w:name w:val="AER text confidential"/>
    <w:qFormat/>
    <w:rsid w:val="00971C63"/>
    <w:rPr>
      <w:bdr w:val="none" w:sz="0" w:space="0" w:color="auto"/>
      <w:shd w:val="clear" w:color="auto" w:fill="CCFFFF"/>
    </w:rPr>
  </w:style>
  <w:style w:type="paragraph" w:customStyle="1" w:styleId="AERnumberedlistfirststyle">
    <w:name w:val="AER numbered list (first style)"/>
    <w:basedOn w:val="AERbodytext"/>
    <w:qFormat/>
    <w:rsid w:val="005732CC"/>
    <w:pPr>
      <w:numPr>
        <w:ilvl w:val="1"/>
      </w:numPr>
      <w:spacing w:after="200"/>
    </w:pPr>
  </w:style>
  <w:style w:type="paragraph" w:customStyle="1" w:styleId="AERnumberedlistsecondstyle">
    <w:name w:val="AER numbered list (second style)"/>
    <w:basedOn w:val="AERnumberedlistfirststyle"/>
    <w:qFormat/>
    <w:rsid w:val="005732CC"/>
    <w:pPr>
      <w:numPr>
        <w:ilvl w:val="2"/>
      </w:numPr>
    </w:pPr>
  </w:style>
  <w:style w:type="paragraph" w:customStyle="1" w:styleId="AERnumberedlistthirdstyle">
    <w:name w:val="AER numbered list (third style)"/>
    <w:basedOn w:val="AERnumberedlistsecondstyle"/>
    <w:qFormat/>
    <w:rsid w:val="005732CC"/>
    <w:pPr>
      <w:numPr>
        <w:ilvl w:val="3"/>
      </w:numPr>
    </w:pPr>
  </w:style>
  <w:style w:type="paragraph" w:customStyle="1" w:styleId="AERquote">
    <w:name w:val="AER quote"/>
    <w:next w:val="AERbodytext"/>
    <w:qFormat/>
    <w:rsid w:val="002938CE"/>
    <w:pPr>
      <w:tabs>
        <w:tab w:val="num" w:pos="709"/>
      </w:tabs>
      <w:spacing w:after="160" w:line="288" w:lineRule="auto"/>
      <w:ind w:left="709" w:right="720"/>
      <w:jc w:val="both"/>
    </w:pPr>
    <w:rPr>
      <w:rFonts w:eastAsia="Times New Roman"/>
      <w:color w:val="000000"/>
      <w:sz w:val="16"/>
      <w:szCs w:val="24"/>
      <w:lang w:eastAsia="en-US"/>
    </w:rPr>
  </w:style>
  <w:style w:type="paragraph" w:customStyle="1" w:styleId="AERquoteindent1">
    <w:name w:val="AER quote (indent 1)"/>
    <w:basedOn w:val="AERquote"/>
    <w:qFormat/>
    <w:rsid w:val="003A6174"/>
    <w:pPr>
      <w:tabs>
        <w:tab w:val="clear" w:pos="709"/>
        <w:tab w:val="num" w:pos="1077"/>
      </w:tabs>
      <w:ind w:left="1077" w:right="1440"/>
    </w:pPr>
  </w:style>
  <w:style w:type="paragraph" w:customStyle="1" w:styleId="AERquoteindent2">
    <w:name w:val="AER quote (indent 2)"/>
    <w:basedOn w:val="AERquoteindent1"/>
    <w:qFormat/>
    <w:rsid w:val="003A6174"/>
    <w:pPr>
      <w:tabs>
        <w:tab w:val="clear" w:pos="1077"/>
        <w:tab w:val="left" w:pos="1440"/>
      </w:tabs>
      <w:ind w:left="1440" w:right="1797"/>
    </w:pPr>
  </w:style>
  <w:style w:type="paragraph" w:customStyle="1" w:styleId="AERquoteindent3">
    <w:name w:val="AER quote (indent 3)"/>
    <w:basedOn w:val="AERquoteindent2"/>
    <w:qFormat/>
    <w:rsid w:val="003A6174"/>
    <w:pPr>
      <w:tabs>
        <w:tab w:val="clear" w:pos="1440"/>
        <w:tab w:val="left" w:pos="1803"/>
      </w:tabs>
      <w:ind w:left="1803" w:right="2160"/>
    </w:pPr>
  </w:style>
  <w:style w:type="paragraph" w:customStyle="1" w:styleId="AERquotebullet1">
    <w:name w:val="AER quote bullet 1"/>
    <w:basedOn w:val="Normal"/>
    <w:qFormat/>
    <w:rsid w:val="003A6174"/>
    <w:pPr>
      <w:numPr>
        <w:numId w:val="9"/>
      </w:numPr>
      <w:tabs>
        <w:tab w:val="left" w:pos="1077"/>
      </w:tabs>
      <w:spacing w:line="200" w:lineRule="atLeast"/>
      <w:ind w:left="1077" w:right="663" w:hanging="357"/>
    </w:pPr>
    <w:rPr>
      <w:rFonts w:eastAsia="Times New Roman"/>
      <w:sz w:val="16"/>
      <w:szCs w:val="16"/>
    </w:rPr>
  </w:style>
  <w:style w:type="paragraph" w:customStyle="1" w:styleId="AERrevisionbox">
    <w:name w:val="AER revision box"/>
    <w:basedOn w:val="AERbodytext"/>
    <w:qFormat/>
    <w:rsid w:val="00971C63"/>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subscript">
    <w:name w:val="AER subscript"/>
    <w:qFormat/>
    <w:rsid w:val="00971C63"/>
    <w:rPr>
      <w:rFonts w:ascii="Gautami" w:hAnsi="Gautami"/>
      <w:vertAlign w:val="subscript"/>
    </w:rPr>
  </w:style>
  <w:style w:type="character" w:customStyle="1" w:styleId="AERsuperscript">
    <w:name w:val="AER superscript"/>
    <w:qFormat/>
    <w:rsid w:val="00971C63"/>
    <w:rPr>
      <w:rFonts w:ascii="Gautami" w:hAnsi="Gautami"/>
      <w:vertAlign w:val="superscript"/>
    </w:rPr>
  </w:style>
  <w:style w:type="paragraph" w:customStyle="1" w:styleId="AERtablesource">
    <w:name w:val="AER table source"/>
    <w:next w:val="AERbodytext"/>
    <w:qFormat/>
    <w:rsid w:val="00474FBD"/>
    <w:pPr>
      <w:tabs>
        <w:tab w:val="left" w:pos="794"/>
      </w:tabs>
      <w:spacing w:before="40" w:after="240"/>
      <w:ind w:left="794" w:hanging="794"/>
      <w:contextualSpacing/>
      <w:jc w:val="both"/>
    </w:pPr>
    <w:rPr>
      <w:rFonts w:eastAsia="Times New Roman"/>
      <w:sz w:val="16"/>
      <w:szCs w:val="24"/>
      <w:lang w:eastAsia="en-US"/>
    </w:rPr>
  </w:style>
  <w:style w:type="table" w:customStyle="1" w:styleId="AERtable-text">
    <w:name w:val="AER table - text"/>
    <w:basedOn w:val="TableNormal"/>
    <w:uiPriority w:val="99"/>
    <w:rsid w:val="00C04D2B"/>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tabletextleft">
    <w:name w:val="AER table text left"/>
    <w:qFormat/>
    <w:rsid w:val="00BC05C5"/>
    <w:pPr>
      <w:spacing w:before="80" w:after="120" w:line="288" w:lineRule="auto"/>
    </w:pPr>
    <w:rPr>
      <w:rFonts w:eastAsia="Times New Roman"/>
      <w:sz w:val="16"/>
      <w:szCs w:val="24"/>
      <w:lang w:eastAsia="en-US"/>
    </w:rPr>
  </w:style>
  <w:style w:type="character" w:customStyle="1" w:styleId="AERtextbold">
    <w:name w:val="AER text bold"/>
    <w:qFormat/>
    <w:rsid w:val="00971C63"/>
    <w:rPr>
      <w:b/>
    </w:rPr>
  </w:style>
  <w:style w:type="character" w:customStyle="1" w:styleId="AERtextbolditalics">
    <w:name w:val="AER text bold italics"/>
    <w:basedOn w:val="AERtextbold"/>
    <w:qFormat/>
    <w:rsid w:val="00971C63"/>
    <w:rPr>
      <w:b/>
      <w:i/>
    </w:rPr>
  </w:style>
  <w:style w:type="character" w:customStyle="1" w:styleId="AERtextboldunderline">
    <w:name w:val="AER text bold underline"/>
    <w:qFormat/>
    <w:rsid w:val="00971C63"/>
    <w:rPr>
      <w:b/>
      <w:u w:val="single"/>
    </w:rPr>
  </w:style>
  <w:style w:type="character" w:customStyle="1" w:styleId="AERtexthighlight">
    <w:name w:val="AER text highlight"/>
    <w:qFormat/>
    <w:rsid w:val="005566D7"/>
    <w:rPr>
      <w:bdr w:val="none" w:sz="0" w:space="0" w:color="auto"/>
      <w:shd w:val="clear" w:color="auto" w:fill="FFFF00"/>
    </w:rPr>
  </w:style>
  <w:style w:type="character" w:customStyle="1" w:styleId="AERtextitalic">
    <w:name w:val="AER text italic"/>
    <w:qFormat/>
    <w:rsid w:val="00971C63"/>
    <w:rPr>
      <w:i/>
    </w:rPr>
  </w:style>
  <w:style w:type="character" w:customStyle="1" w:styleId="AERtextunderline">
    <w:name w:val="AER text underline"/>
    <w:qFormat/>
    <w:rsid w:val="00971C63"/>
    <w:rPr>
      <w:u w:val="single"/>
    </w:rPr>
  </w:style>
  <w:style w:type="paragraph" w:styleId="FootnoteText">
    <w:name w:val="footnote text"/>
    <w:aliases w:val="Footnote Text2,Footnote Text1,(NECG) Footnote Text,(NECG) Footnote Text1,ALTS FOOTNOTE,Footnote text,AR Footnote Text,AR Footnote Text Char Char Char Char Char,ALTS FOOTNOTE Char1,Footnote Text Char1 Char,Footnote Text Char Char Char,fn,f"/>
    <w:basedOn w:val="AERbodytext"/>
    <w:link w:val="FootnoteTextChar"/>
    <w:uiPriority w:val="99"/>
    <w:qFormat/>
    <w:rsid w:val="00DD5520"/>
    <w:pPr>
      <w:numPr>
        <w:numId w:val="0"/>
      </w:numPr>
      <w:tabs>
        <w:tab w:val="left" w:pos="426"/>
      </w:tabs>
      <w:spacing w:after="0" w:line="240" w:lineRule="auto"/>
      <w:ind w:left="426" w:hanging="426"/>
    </w:pPr>
    <w:rPr>
      <w:sz w:val="16"/>
      <w:szCs w:val="20"/>
    </w:rPr>
  </w:style>
  <w:style w:type="character" w:customStyle="1" w:styleId="FootnoteTextChar">
    <w:name w:val="Footnote Text Char"/>
    <w:aliases w:val="Footnote Text2 Char,Footnote Text1 Char,(NECG) Footnote Text Char,(NECG) Footnote Text1 Char,ALTS FOOTNOTE Char,Footnote text Char,AR Footnote Text Char,AR Footnote Text Char Char Char Char Char Char,ALTS FOOTNOTE Char1 Char,fn Char"/>
    <w:basedOn w:val="DefaultParagraphFont"/>
    <w:link w:val="FootnoteText"/>
    <w:uiPriority w:val="99"/>
    <w:rsid w:val="00DD5520"/>
    <w:rPr>
      <w:rFonts w:ascii="Gautami" w:eastAsia="Times New Roman" w:hAnsi="Gautami" w:cs="Times New Roman"/>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3800E4"/>
    <w:rPr>
      <w:vertAlign w:val="superscript"/>
    </w:rPr>
  </w:style>
  <w:style w:type="paragraph" w:styleId="Header">
    <w:name w:val="header"/>
    <w:basedOn w:val="Normal"/>
    <w:link w:val="HeaderChar"/>
    <w:uiPriority w:val="99"/>
    <w:unhideWhenUsed/>
    <w:rsid w:val="00380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FF5"/>
  </w:style>
  <w:style w:type="paragraph" w:styleId="Footer">
    <w:name w:val="footer"/>
    <w:basedOn w:val="Normal"/>
    <w:link w:val="FooterChar"/>
    <w:uiPriority w:val="99"/>
    <w:qFormat/>
    <w:rsid w:val="007368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8AD"/>
    <w:rPr>
      <w:rFonts w:ascii="Gautami" w:hAnsi="Gautami"/>
      <w:sz w:val="20"/>
    </w:rPr>
  </w:style>
  <w:style w:type="paragraph" w:customStyle="1" w:styleId="UnnumberedHeading">
    <w:name w:val="Unnumbered Heading"/>
    <w:basedOn w:val="Heading1"/>
    <w:next w:val="AERbodytext"/>
    <w:link w:val="UnnumberedHeadingChar"/>
    <w:qFormat/>
    <w:rsid w:val="00B94D99"/>
    <w:pPr>
      <w:numPr>
        <w:ilvl w:val="0"/>
      </w:numPr>
    </w:pPr>
  </w:style>
  <w:style w:type="table" w:styleId="TableGrid">
    <w:name w:val="Table Grid"/>
    <w:aliases w:val="ACCC Table"/>
    <w:basedOn w:val="TableNormal"/>
    <w:uiPriority w:val="59"/>
    <w:rsid w:val="00500E7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
    <w:name w:val="AER numbered list"/>
    <w:uiPriority w:val="99"/>
    <w:rsid w:val="00EB5CDF"/>
    <w:pPr>
      <w:numPr>
        <w:numId w:val="13"/>
      </w:numPr>
    </w:pPr>
  </w:style>
  <w:style w:type="numbering" w:customStyle="1" w:styleId="OldAERheadings">
    <w:name w:val="Old AER headings"/>
    <w:uiPriority w:val="99"/>
    <w:locked/>
    <w:rsid w:val="008515EE"/>
    <w:pPr>
      <w:numPr>
        <w:numId w:val="24"/>
      </w:numPr>
    </w:pPr>
  </w:style>
  <w:style w:type="character" w:customStyle="1" w:styleId="AERtextorange">
    <w:name w:val="AER text orange"/>
    <w:uiPriority w:val="1"/>
    <w:qFormat/>
    <w:rsid w:val="00DB6A17"/>
    <w:rPr>
      <w:color w:val="E36C0A"/>
    </w:rPr>
  </w:style>
  <w:style w:type="paragraph" w:customStyle="1" w:styleId="AERtitle1">
    <w:name w:val="AER title 1"/>
    <w:qFormat/>
    <w:rsid w:val="000A1CC2"/>
    <w:pPr>
      <w:spacing w:after="240" w:line="288" w:lineRule="auto"/>
      <w:jc w:val="center"/>
    </w:pPr>
    <w:rPr>
      <w:rFonts w:eastAsia="Times New Roman"/>
      <w:b/>
      <w:sz w:val="40"/>
      <w:szCs w:val="24"/>
    </w:rPr>
  </w:style>
  <w:style w:type="paragraph" w:customStyle="1" w:styleId="AERtitle2">
    <w:name w:val="AER title 2"/>
    <w:qFormat/>
    <w:rsid w:val="000A1CC2"/>
    <w:pPr>
      <w:spacing w:after="240" w:line="288" w:lineRule="auto"/>
      <w:jc w:val="center"/>
    </w:pPr>
    <w:rPr>
      <w:rFonts w:eastAsia="Times New Roman"/>
      <w:sz w:val="32"/>
      <w:szCs w:val="24"/>
      <w:lang w:eastAsia="en-US"/>
    </w:rPr>
  </w:style>
  <w:style w:type="paragraph" w:styleId="ListParagraph">
    <w:name w:val="List Paragraph"/>
    <w:basedOn w:val="Normal"/>
    <w:uiPriority w:val="34"/>
    <w:semiHidden/>
    <w:unhideWhenUsed/>
    <w:qFormat/>
    <w:rsid w:val="005D26B7"/>
    <w:pPr>
      <w:ind w:left="720"/>
      <w:contextualSpacing/>
    </w:pPr>
  </w:style>
  <w:style w:type="character" w:customStyle="1" w:styleId="AERtextblue">
    <w:name w:val="AER text blue"/>
    <w:uiPriority w:val="1"/>
    <w:qFormat/>
    <w:rsid w:val="00D2117F"/>
    <w:rPr>
      <w:color w:val="365F91"/>
    </w:rPr>
  </w:style>
  <w:style w:type="character" w:customStyle="1" w:styleId="UnnumberedHeadingChar">
    <w:name w:val="Unnumbered Heading Char"/>
    <w:basedOn w:val="Heading1Char"/>
    <w:link w:val="UnnumberedHeading"/>
    <w:rsid w:val="00B94D99"/>
    <w:rPr>
      <w:rFonts w:eastAsia="Times New Roman"/>
      <w:b/>
      <w:bCs/>
      <w:color w:val="E36C0A"/>
      <w:sz w:val="36"/>
      <w:szCs w:val="28"/>
      <w:lang w:eastAsia="en-US"/>
    </w:rPr>
  </w:style>
  <w:style w:type="table" w:customStyle="1" w:styleId="AERtable-numbers">
    <w:name w:val="AER table - numbers"/>
    <w:basedOn w:val="TableNormal"/>
    <w:uiPriority w:val="99"/>
    <w:rsid w:val="00C04D2B"/>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locked/>
    <w:rsid w:val="00B82E8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bodytextnospace">
    <w:name w:val="AER body text no space"/>
    <w:basedOn w:val="AERbodytext"/>
    <w:qFormat/>
    <w:rsid w:val="00BC05C5"/>
    <w:pPr>
      <w:spacing w:after="0"/>
    </w:pPr>
  </w:style>
  <w:style w:type="paragraph" w:customStyle="1" w:styleId="AERtabletextright">
    <w:name w:val="AER table text right"/>
    <w:basedOn w:val="AERtabletextleft"/>
    <w:qFormat/>
    <w:rsid w:val="00435682"/>
    <w:pPr>
      <w:spacing w:before="120" w:after="80"/>
      <w:jc w:val="right"/>
    </w:pPr>
  </w:style>
  <w:style w:type="paragraph" w:styleId="TOCHeading">
    <w:name w:val="TOC Heading"/>
    <w:basedOn w:val="Heading1"/>
    <w:next w:val="Normal"/>
    <w:uiPriority w:val="39"/>
    <w:semiHidden/>
    <w:unhideWhenUsed/>
    <w:qFormat/>
    <w:rsid w:val="00AF3E95"/>
    <w:pPr>
      <w:pageBreakBefore w:val="0"/>
      <w:numPr>
        <w:ilvl w:val="0"/>
        <w:numId w:val="0"/>
      </w:numPr>
      <w:spacing w:before="480" w:after="0" w:line="276" w:lineRule="auto"/>
      <w:outlineLvl w:val="9"/>
    </w:pPr>
    <w:rPr>
      <w:rFonts w:ascii="Cambria" w:hAnsi="Cambria"/>
      <w:color w:val="365F91"/>
      <w:sz w:val="28"/>
      <w:lang w:val="en-US"/>
    </w:rPr>
  </w:style>
  <w:style w:type="paragraph" w:styleId="TOC1">
    <w:name w:val="toc 1"/>
    <w:basedOn w:val="Normal"/>
    <w:next w:val="Normal"/>
    <w:autoRedefine/>
    <w:uiPriority w:val="39"/>
    <w:unhideWhenUsed/>
    <w:qFormat/>
    <w:rsid w:val="00AF3E95"/>
    <w:pPr>
      <w:spacing w:before="240" w:after="120"/>
      <w:jc w:val="left"/>
    </w:pPr>
    <w:rPr>
      <w:b/>
      <w:bCs/>
    </w:rPr>
  </w:style>
  <w:style w:type="paragraph" w:styleId="TOC2">
    <w:name w:val="toc 2"/>
    <w:basedOn w:val="Normal"/>
    <w:next w:val="Normal"/>
    <w:autoRedefine/>
    <w:uiPriority w:val="39"/>
    <w:unhideWhenUsed/>
    <w:qFormat/>
    <w:rsid w:val="00AF3E95"/>
    <w:pPr>
      <w:spacing w:before="120" w:after="0"/>
      <w:ind w:left="200"/>
      <w:jc w:val="left"/>
    </w:pPr>
    <w:rPr>
      <w:iCs/>
    </w:rPr>
  </w:style>
  <w:style w:type="paragraph" w:styleId="TOC3">
    <w:name w:val="toc 3"/>
    <w:basedOn w:val="Normal"/>
    <w:next w:val="Normal"/>
    <w:autoRedefine/>
    <w:uiPriority w:val="39"/>
    <w:unhideWhenUsed/>
    <w:qFormat/>
    <w:rsid w:val="00AF3E95"/>
    <w:pPr>
      <w:spacing w:after="0"/>
      <w:ind w:left="400"/>
      <w:jc w:val="left"/>
    </w:pPr>
  </w:style>
  <w:style w:type="character" w:styleId="Hyperlink">
    <w:name w:val="Hyperlink"/>
    <w:basedOn w:val="DefaultParagraphFont"/>
    <w:uiPriority w:val="99"/>
    <w:unhideWhenUsed/>
    <w:qFormat/>
    <w:rsid w:val="00AF3E95"/>
    <w:rPr>
      <w:color w:val="0000FF"/>
      <w:u w:val="single"/>
    </w:rPr>
  </w:style>
  <w:style w:type="paragraph" w:styleId="BalloonText">
    <w:name w:val="Balloon Text"/>
    <w:basedOn w:val="Normal"/>
    <w:link w:val="BalloonTextChar"/>
    <w:uiPriority w:val="99"/>
    <w:semiHidden/>
    <w:unhideWhenUsed/>
    <w:rsid w:val="00AF3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3E95"/>
    <w:rPr>
      <w:rFonts w:ascii="Tahoma" w:hAnsi="Tahoma" w:cs="Tahoma"/>
      <w:sz w:val="16"/>
      <w:szCs w:val="16"/>
    </w:rPr>
  </w:style>
  <w:style w:type="paragraph" w:styleId="TOC4">
    <w:name w:val="toc 4"/>
    <w:basedOn w:val="Normal"/>
    <w:next w:val="Normal"/>
    <w:autoRedefine/>
    <w:uiPriority w:val="39"/>
    <w:locked/>
    <w:rsid w:val="00AF3E95"/>
    <w:pPr>
      <w:spacing w:after="0"/>
      <w:ind w:left="600"/>
      <w:jc w:val="left"/>
    </w:pPr>
    <w:rPr>
      <w:rFonts w:ascii="Calibri" w:hAnsi="Calibri"/>
    </w:rPr>
  </w:style>
  <w:style w:type="paragraph" w:styleId="TOC5">
    <w:name w:val="toc 5"/>
    <w:basedOn w:val="Normal"/>
    <w:next w:val="Normal"/>
    <w:autoRedefine/>
    <w:uiPriority w:val="39"/>
    <w:locked/>
    <w:rsid w:val="00AF3E95"/>
    <w:pPr>
      <w:spacing w:after="0"/>
      <w:ind w:left="800"/>
      <w:jc w:val="left"/>
    </w:pPr>
    <w:rPr>
      <w:rFonts w:ascii="Calibri" w:hAnsi="Calibri"/>
    </w:rPr>
  </w:style>
  <w:style w:type="paragraph" w:styleId="TOC6">
    <w:name w:val="toc 6"/>
    <w:basedOn w:val="Normal"/>
    <w:next w:val="Normal"/>
    <w:autoRedefine/>
    <w:uiPriority w:val="39"/>
    <w:locked/>
    <w:rsid w:val="00AF3E95"/>
    <w:pPr>
      <w:spacing w:after="0"/>
      <w:ind w:left="1000"/>
      <w:jc w:val="left"/>
    </w:pPr>
    <w:rPr>
      <w:rFonts w:ascii="Calibri" w:hAnsi="Calibri"/>
    </w:rPr>
  </w:style>
  <w:style w:type="paragraph" w:styleId="TOC7">
    <w:name w:val="toc 7"/>
    <w:basedOn w:val="Normal"/>
    <w:next w:val="Normal"/>
    <w:autoRedefine/>
    <w:uiPriority w:val="39"/>
    <w:locked/>
    <w:rsid w:val="00AF3E95"/>
    <w:pPr>
      <w:spacing w:after="0"/>
      <w:ind w:left="1200"/>
      <w:jc w:val="left"/>
    </w:pPr>
    <w:rPr>
      <w:rFonts w:ascii="Calibri" w:hAnsi="Calibri"/>
    </w:rPr>
  </w:style>
  <w:style w:type="paragraph" w:styleId="TOC8">
    <w:name w:val="toc 8"/>
    <w:basedOn w:val="Normal"/>
    <w:next w:val="Normal"/>
    <w:autoRedefine/>
    <w:uiPriority w:val="39"/>
    <w:locked/>
    <w:rsid w:val="00AF3E95"/>
    <w:pPr>
      <w:spacing w:after="0"/>
      <w:ind w:left="1400"/>
      <w:jc w:val="left"/>
    </w:pPr>
    <w:rPr>
      <w:rFonts w:ascii="Calibri" w:hAnsi="Calibri"/>
    </w:rPr>
  </w:style>
  <w:style w:type="paragraph" w:styleId="TOC9">
    <w:name w:val="toc 9"/>
    <w:basedOn w:val="Normal"/>
    <w:next w:val="Normal"/>
    <w:autoRedefine/>
    <w:uiPriority w:val="39"/>
    <w:locked/>
    <w:rsid w:val="00AF3E95"/>
    <w:pPr>
      <w:spacing w:after="0"/>
      <w:ind w:left="1600"/>
      <w:jc w:val="left"/>
    </w:pPr>
    <w:rPr>
      <w:rFonts w:ascii="Calibri" w:hAnsi="Calibri"/>
    </w:rPr>
  </w:style>
  <w:style w:type="character" w:styleId="CommentReference">
    <w:name w:val="annotation reference"/>
    <w:basedOn w:val="DefaultParagraphFont"/>
    <w:uiPriority w:val="99"/>
    <w:semiHidden/>
    <w:unhideWhenUsed/>
    <w:rsid w:val="00BE6F28"/>
    <w:rPr>
      <w:sz w:val="16"/>
      <w:szCs w:val="16"/>
    </w:rPr>
  </w:style>
  <w:style w:type="paragraph" w:styleId="CommentText">
    <w:name w:val="annotation text"/>
    <w:basedOn w:val="Normal"/>
    <w:link w:val="CommentTextChar"/>
    <w:uiPriority w:val="99"/>
    <w:semiHidden/>
    <w:unhideWhenUsed/>
    <w:rsid w:val="00BE6F28"/>
    <w:pPr>
      <w:spacing w:line="240" w:lineRule="auto"/>
    </w:pPr>
  </w:style>
  <w:style w:type="character" w:customStyle="1" w:styleId="CommentTextChar">
    <w:name w:val="Comment Text Char"/>
    <w:basedOn w:val="DefaultParagraphFont"/>
    <w:link w:val="CommentText"/>
    <w:uiPriority w:val="99"/>
    <w:semiHidden/>
    <w:rsid w:val="00BE6F28"/>
  </w:style>
  <w:style w:type="paragraph" w:styleId="CommentSubject">
    <w:name w:val="annotation subject"/>
    <w:basedOn w:val="CommentText"/>
    <w:next w:val="CommentText"/>
    <w:link w:val="CommentSubjectChar"/>
    <w:uiPriority w:val="99"/>
    <w:semiHidden/>
    <w:unhideWhenUsed/>
    <w:rsid w:val="00BE6F28"/>
    <w:rPr>
      <w:b/>
      <w:bCs/>
    </w:rPr>
  </w:style>
  <w:style w:type="character" w:customStyle="1" w:styleId="CommentSubjectChar">
    <w:name w:val="Comment Subject Char"/>
    <w:basedOn w:val="CommentTextChar"/>
    <w:link w:val="CommentSubject"/>
    <w:uiPriority w:val="99"/>
    <w:semiHidden/>
    <w:rsid w:val="00BE6F28"/>
    <w:rPr>
      <w:b/>
      <w:bCs/>
    </w:rPr>
  </w:style>
  <w:style w:type="character" w:customStyle="1" w:styleId="AERtextsize8">
    <w:name w:val="AER text size 8"/>
    <w:uiPriority w:val="1"/>
    <w:qFormat/>
    <w:rsid w:val="0020711E"/>
    <w:rPr>
      <w:sz w:val="16"/>
    </w:rPr>
  </w:style>
  <w:style w:type="character" w:customStyle="1" w:styleId="AERtextsize10">
    <w:name w:val="AER text size 10"/>
    <w:uiPriority w:val="1"/>
    <w:qFormat/>
    <w:rsid w:val="0020711E"/>
    <w:rPr>
      <w:sz w:val="20"/>
    </w:rPr>
  </w:style>
  <w:style w:type="paragraph" w:customStyle="1" w:styleId="AERnumberedlist2first">
    <w:name w:val="AER numbered list 2 first"/>
    <w:basedOn w:val="AERbodytext"/>
    <w:qFormat/>
    <w:rsid w:val="000E1A25"/>
    <w:pPr>
      <w:numPr>
        <w:ilvl w:val="4"/>
      </w:numPr>
    </w:pPr>
  </w:style>
  <w:style w:type="paragraph" w:customStyle="1" w:styleId="AERnumberedlist2second">
    <w:name w:val="AER numbered list 2 second"/>
    <w:basedOn w:val="AERnumberedlist2first"/>
    <w:qFormat/>
    <w:rsid w:val="000E1A25"/>
    <w:pPr>
      <w:numPr>
        <w:ilvl w:val="5"/>
      </w:numPr>
    </w:pPr>
  </w:style>
  <w:style w:type="paragraph" w:customStyle="1" w:styleId="AERnumberedlist2third">
    <w:name w:val="AER numbered list 2 third"/>
    <w:basedOn w:val="AERnumberedlist2second"/>
    <w:qFormat/>
    <w:rsid w:val="000E1A25"/>
    <w:pPr>
      <w:numPr>
        <w:ilvl w:val="6"/>
      </w:numPr>
    </w:pPr>
  </w:style>
  <w:style w:type="paragraph" w:customStyle="1" w:styleId="HeadingBoldBlue">
    <w:name w:val="Heading Bold Blue"/>
    <w:basedOn w:val="AERbodytext"/>
    <w:next w:val="AERbodytext"/>
    <w:link w:val="HeadingBoldBlueChar"/>
    <w:qFormat/>
    <w:rsid w:val="008C3722"/>
    <w:pPr>
      <w:keepNext/>
      <w:spacing w:before="120" w:after="120"/>
      <w:jc w:val="left"/>
    </w:pPr>
    <w:rPr>
      <w:b/>
      <w:color w:val="365F91" w:themeColor="accent1" w:themeShade="BF"/>
      <w:sz w:val="24"/>
    </w:rPr>
  </w:style>
  <w:style w:type="paragraph" w:customStyle="1" w:styleId="HeadingBoldItalic">
    <w:name w:val="Heading Bold Italic"/>
    <w:basedOn w:val="AERbodytext"/>
    <w:next w:val="AERbodytext"/>
    <w:qFormat/>
    <w:rsid w:val="008C3722"/>
    <w:pPr>
      <w:keepNext/>
      <w:spacing w:before="120" w:after="120"/>
      <w:jc w:val="left"/>
    </w:pPr>
    <w:rPr>
      <w:b/>
      <w:i/>
      <w:color w:val="E36C0A"/>
      <w:sz w:val="22"/>
    </w:rPr>
  </w:style>
  <w:style w:type="character" w:customStyle="1" w:styleId="AERbodytextChar">
    <w:name w:val="AER body text Char"/>
    <w:basedOn w:val="DefaultParagraphFont"/>
    <w:link w:val="AERbodytext"/>
    <w:rsid w:val="00EB5CDF"/>
    <w:rPr>
      <w:rFonts w:eastAsia="Times New Roman"/>
      <w:szCs w:val="24"/>
      <w:lang w:eastAsia="en-US"/>
    </w:rPr>
  </w:style>
  <w:style w:type="character" w:customStyle="1" w:styleId="HeadingBoldBlueChar">
    <w:name w:val="Heading Bold Blue Char"/>
    <w:basedOn w:val="AERbodytextChar"/>
    <w:link w:val="HeadingBoldBlue"/>
    <w:rsid w:val="008C3722"/>
    <w:rPr>
      <w:rFonts w:eastAsia="Times New Roman"/>
      <w:b/>
      <w:color w:val="365F91" w:themeColor="accent1" w:themeShade="BF"/>
      <w:sz w:val="24"/>
      <w:szCs w:val="24"/>
      <w:lang w:eastAsia="en-US"/>
    </w:rPr>
  </w:style>
  <w:style w:type="paragraph" w:customStyle="1" w:styleId="HeadingItalic">
    <w:name w:val="Heading Italic"/>
    <w:basedOn w:val="AERbodytext"/>
    <w:next w:val="AERbodytext"/>
    <w:qFormat/>
    <w:rsid w:val="008C3722"/>
    <w:pPr>
      <w:keepNext/>
      <w:spacing w:before="120" w:after="120"/>
      <w:jc w:val="left"/>
    </w:pPr>
    <w:rPr>
      <w:b/>
      <w:i/>
      <w:color w:val="365F91" w:themeColor="accent1" w:themeShade="BF"/>
      <w:sz w:val="22"/>
    </w:rPr>
  </w:style>
  <w:style w:type="character" w:styleId="PageNumber">
    <w:name w:val="page number"/>
    <w:basedOn w:val="DefaultParagraphFont"/>
    <w:rsid w:val="00CC49D4"/>
    <w:rPr>
      <w:rFonts w:ascii="Gautami" w:hAnsi="Gautami"/>
      <w:sz w:val="18"/>
    </w:rPr>
  </w:style>
  <w:style w:type="paragraph" w:customStyle="1" w:styleId="AERbodytextnospaceleftalign">
    <w:name w:val="AER body text no space left align"/>
    <w:basedOn w:val="AERbodytextnospace"/>
    <w:qFormat/>
    <w:rsid w:val="00DD4E84"/>
    <w:pPr>
      <w:numPr>
        <w:numId w:val="0"/>
      </w:numPr>
      <w:tabs>
        <w:tab w:val="num" w:pos="0"/>
      </w:tabs>
      <w:jc w:val="left"/>
    </w:pPr>
  </w:style>
  <w:style w:type="paragraph" w:customStyle="1" w:styleId="AERbodytextleftalign">
    <w:name w:val="AER body text left align"/>
    <w:basedOn w:val="AERbodytext"/>
    <w:qFormat/>
    <w:rsid w:val="00DD4E84"/>
    <w:pPr>
      <w:jc w:val="left"/>
    </w:pPr>
  </w:style>
  <w:style w:type="paragraph" w:customStyle="1" w:styleId="AERbodytextcentre">
    <w:name w:val="AER body text centre"/>
    <w:basedOn w:val="AERbodytext"/>
    <w:qFormat/>
    <w:rsid w:val="0013022D"/>
    <w:pPr>
      <w:jc w:val="center"/>
    </w:pPr>
  </w:style>
  <w:style w:type="paragraph" w:customStyle="1" w:styleId="AERbodytextnospacecentre">
    <w:name w:val="AER body text no space centre"/>
    <w:basedOn w:val="AERbodytextnospace"/>
    <w:qFormat/>
    <w:rsid w:val="0013022D"/>
    <w:pPr>
      <w:jc w:val="center"/>
    </w:pPr>
  </w:style>
  <w:style w:type="paragraph" w:customStyle="1" w:styleId="HeadingOrange">
    <w:name w:val="Heading Orange"/>
    <w:basedOn w:val="HeadingBoldItalic"/>
    <w:qFormat/>
    <w:rsid w:val="008C3722"/>
    <w:rPr>
      <w:i w:val="0"/>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Headings"/>
    <w:pPr>
      <w:numPr>
        <w:numId w:val="2"/>
      </w:numPr>
    </w:pPr>
  </w:style>
  <w:style w:type="numbering" w:customStyle="1" w:styleId="Heading1Char">
    <w:name w:val="OldAERheadings"/>
    <w:pPr>
      <w:numPr>
        <w:numId w:val="24"/>
      </w:numPr>
    </w:pPr>
  </w:style>
  <w:style w:type="numbering" w:customStyle="1" w:styleId="Heading2Char">
    <w:name w:val="AERnumberedlist"/>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4128573">
      <w:bodyDiv w:val="1"/>
      <w:marLeft w:val="0"/>
      <w:marRight w:val="0"/>
      <w:marTop w:val="0"/>
      <w:marBottom w:val="0"/>
      <w:divBdr>
        <w:top w:val="none" w:sz="0" w:space="0" w:color="auto"/>
        <w:left w:val="none" w:sz="0" w:space="0" w:color="auto"/>
        <w:bottom w:val="none" w:sz="0" w:space="0" w:color="auto"/>
        <w:right w:val="none" w:sz="0" w:space="0" w:color="auto"/>
      </w:divBdr>
      <w:divsChild>
        <w:div w:id="1644504488">
          <w:marLeft w:val="0"/>
          <w:marRight w:val="0"/>
          <w:marTop w:val="0"/>
          <w:marBottom w:val="0"/>
          <w:divBdr>
            <w:top w:val="none" w:sz="0" w:space="0" w:color="auto"/>
            <w:left w:val="none" w:sz="0" w:space="0" w:color="auto"/>
            <w:bottom w:val="none" w:sz="0" w:space="0" w:color="auto"/>
            <w:right w:val="none" w:sz="0" w:space="0" w:color="auto"/>
          </w:divBdr>
          <w:divsChild>
            <w:div w:id="668413804">
              <w:marLeft w:val="0"/>
              <w:marRight w:val="0"/>
              <w:marTop w:val="0"/>
              <w:marBottom w:val="0"/>
              <w:divBdr>
                <w:top w:val="none" w:sz="0" w:space="0" w:color="auto"/>
                <w:left w:val="none" w:sz="0" w:space="0" w:color="auto"/>
                <w:bottom w:val="none" w:sz="0" w:space="0" w:color="auto"/>
                <w:right w:val="none" w:sz="0" w:space="0" w:color="auto"/>
              </w:divBdr>
              <w:divsChild>
                <w:div w:id="518668694">
                  <w:marLeft w:val="0"/>
                  <w:marRight w:val="0"/>
                  <w:marTop w:val="0"/>
                  <w:marBottom w:val="0"/>
                  <w:divBdr>
                    <w:top w:val="none" w:sz="0" w:space="0" w:color="auto"/>
                    <w:left w:val="none" w:sz="0" w:space="0" w:color="auto"/>
                    <w:bottom w:val="none" w:sz="0" w:space="0" w:color="auto"/>
                    <w:right w:val="none" w:sz="0" w:space="0" w:color="auto"/>
                  </w:divBdr>
                  <w:divsChild>
                    <w:div w:id="1963808138">
                      <w:marLeft w:val="-225"/>
                      <w:marRight w:val="-225"/>
                      <w:marTop w:val="0"/>
                      <w:marBottom w:val="0"/>
                      <w:divBdr>
                        <w:top w:val="none" w:sz="0" w:space="0" w:color="auto"/>
                        <w:left w:val="none" w:sz="0" w:space="0" w:color="auto"/>
                        <w:bottom w:val="none" w:sz="0" w:space="0" w:color="auto"/>
                        <w:right w:val="none" w:sz="0" w:space="0" w:color="auto"/>
                      </w:divBdr>
                      <w:divsChild>
                        <w:div w:id="473522860">
                          <w:marLeft w:val="0"/>
                          <w:marRight w:val="0"/>
                          <w:marTop w:val="0"/>
                          <w:marBottom w:val="0"/>
                          <w:divBdr>
                            <w:top w:val="none" w:sz="0" w:space="0" w:color="auto"/>
                            <w:left w:val="none" w:sz="0" w:space="0" w:color="auto"/>
                            <w:bottom w:val="none" w:sz="0" w:space="0" w:color="auto"/>
                            <w:right w:val="none" w:sz="0" w:space="0" w:color="auto"/>
                          </w:divBdr>
                          <w:divsChild>
                            <w:div w:id="647635667">
                              <w:marLeft w:val="0"/>
                              <w:marRight w:val="0"/>
                              <w:marTop w:val="0"/>
                              <w:marBottom w:val="0"/>
                              <w:divBdr>
                                <w:top w:val="none" w:sz="0" w:space="0" w:color="auto"/>
                                <w:left w:val="none" w:sz="0" w:space="0" w:color="auto"/>
                                <w:bottom w:val="none" w:sz="0" w:space="0" w:color="auto"/>
                                <w:right w:val="none" w:sz="0" w:space="0" w:color="auto"/>
                              </w:divBdr>
                              <w:divsChild>
                                <w:div w:id="1261646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3216248">
      <w:bodyDiv w:val="1"/>
      <w:marLeft w:val="0"/>
      <w:marRight w:val="0"/>
      <w:marTop w:val="0"/>
      <w:marBottom w:val="0"/>
      <w:divBdr>
        <w:top w:val="none" w:sz="0" w:space="0" w:color="auto"/>
        <w:left w:val="none" w:sz="0" w:space="0" w:color="auto"/>
        <w:bottom w:val="none" w:sz="0" w:space="0" w:color="auto"/>
        <w:right w:val="none" w:sz="0" w:space="0" w:color="auto"/>
      </w:divBdr>
    </w:div>
    <w:div w:id="1065907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oter" Target="footer1.xml"/><Relationship Id="rId10" Type="http://schemas.openxmlformats.org/officeDocument/2006/relationships/hyperlink" Target="mailto:AERInquiry@aer.gov.au" TargetMode="External"/><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hyperlink" Target="mailto:publishing.unit@accc.gov.au" TargetMode="External"/><Relationship Id="rId14" Type="http://schemas.openxmlformats.org/officeDocument/2006/relationships/image" Target="media/image5.png"/><Relationship Id="rId22"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722E8A9E.dotm</Template>
  <TotalTime>0</TotalTime>
  <Pages>22</Pages>
  <Words>2236</Words>
  <Characters>12748</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14955</CharactersWithSpaces>
  <SharedDoc>false</SharedDoc>
  <HLinks>
    <vt:vector size="108" baseType="variant">
      <vt:variant>
        <vt:i4>1048636</vt:i4>
      </vt:variant>
      <vt:variant>
        <vt:i4>104</vt:i4>
      </vt:variant>
      <vt:variant>
        <vt:i4>0</vt:i4>
      </vt:variant>
      <vt:variant>
        <vt:i4>5</vt:i4>
      </vt:variant>
      <vt:variant>
        <vt:lpwstr/>
      </vt:variant>
      <vt:variant>
        <vt:lpwstr>_Toc322596469</vt:lpwstr>
      </vt:variant>
      <vt:variant>
        <vt:i4>1048636</vt:i4>
      </vt:variant>
      <vt:variant>
        <vt:i4>98</vt:i4>
      </vt:variant>
      <vt:variant>
        <vt:i4>0</vt:i4>
      </vt:variant>
      <vt:variant>
        <vt:i4>5</vt:i4>
      </vt:variant>
      <vt:variant>
        <vt:lpwstr/>
      </vt:variant>
      <vt:variant>
        <vt:lpwstr>_Toc322596468</vt:lpwstr>
      </vt:variant>
      <vt:variant>
        <vt:i4>1048636</vt:i4>
      </vt:variant>
      <vt:variant>
        <vt:i4>92</vt:i4>
      </vt:variant>
      <vt:variant>
        <vt:i4>0</vt:i4>
      </vt:variant>
      <vt:variant>
        <vt:i4>5</vt:i4>
      </vt:variant>
      <vt:variant>
        <vt:lpwstr/>
      </vt:variant>
      <vt:variant>
        <vt:lpwstr>_Toc322596467</vt:lpwstr>
      </vt:variant>
      <vt:variant>
        <vt:i4>1048636</vt:i4>
      </vt:variant>
      <vt:variant>
        <vt:i4>86</vt:i4>
      </vt:variant>
      <vt:variant>
        <vt:i4>0</vt:i4>
      </vt:variant>
      <vt:variant>
        <vt:i4>5</vt:i4>
      </vt:variant>
      <vt:variant>
        <vt:lpwstr/>
      </vt:variant>
      <vt:variant>
        <vt:lpwstr>_Toc322596466</vt:lpwstr>
      </vt:variant>
      <vt:variant>
        <vt:i4>1048636</vt:i4>
      </vt:variant>
      <vt:variant>
        <vt:i4>80</vt:i4>
      </vt:variant>
      <vt:variant>
        <vt:i4>0</vt:i4>
      </vt:variant>
      <vt:variant>
        <vt:i4>5</vt:i4>
      </vt:variant>
      <vt:variant>
        <vt:lpwstr/>
      </vt:variant>
      <vt:variant>
        <vt:lpwstr>_Toc322596465</vt:lpwstr>
      </vt:variant>
      <vt:variant>
        <vt:i4>1048636</vt:i4>
      </vt:variant>
      <vt:variant>
        <vt:i4>74</vt:i4>
      </vt:variant>
      <vt:variant>
        <vt:i4>0</vt:i4>
      </vt:variant>
      <vt:variant>
        <vt:i4>5</vt:i4>
      </vt:variant>
      <vt:variant>
        <vt:lpwstr/>
      </vt:variant>
      <vt:variant>
        <vt:lpwstr>_Toc322596464</vt:lpwstr>
      </vt:variant>
      <vt:variant>
        <vt:i4>1048636</vt:i4>
      </vt:variant>
      <vt:variant>
        <vt:i4>68</vt:i4>
      </vt:variant>
      <vt:variant>
        <vt:i4>0</vt:i4>
      </vt:variant>
      <vt:variant>
        <vt:i4>5</vt:i4>
      </vt:variant>
      <vt:variant>
        <vt:lpwstr/>
      </vt:variant>
      <vt:variant>
        <vt:lpwstr>_Toc322596463</vt:lpwstr>
      </vt:variant>
      <vt:variant>
        <vt:i4>1048636</vt:i4>
      </vt:variant>
      <vt:variant>
        <vt:i4>62</vt:i4>
      </vt:variant>
      <vt:variant>
        <vt:i4>0</vt:i4>
      </vt:variant>
      <vt:variant>
        <vt:i4>5</vt:i4>
      </vt:variant>
      <vt:variant>
        <vt:lpwstr/>
      </vt:variant>
      <vt:variant>
        <vt:lpwstr>_Toc322596462</vt:lpwstr>
      </vt:variant>
      <vt:variant>
        <vt:i4>1048636</vt:i4>
      </vt:variant>
      <vt:variant>
        <vt:i4>56</vt:i4>
      </vt:variant>
      <vt:variant>
        <vt:i4>0</vt:i4>
      </vt:variant>
      <vt:variant>
        <vt:i4>5</vt:i4>
      </vt:variant>
      <vt:variant>
        <vt:lpwstr/>
      </vt:variant>
      <vt:variant>
        <vt:lpwstr>_Toc322596461</vt:lpwstr>
      </vt:variant>
      <vt:variant>
        <vt:i4>1048636</vt:i4>
      </vt:variant>
      <vt:variant>
        <vt:i4>50</vt:i4>
      </vt:variant>
      <vt:variant>
        <vt:i4>0</vt:i4>
      </vt:variant>
      <vt:variant>
        <vt:i4>5</vt:i4>
      </vt:variant>
      <vt:variant>
        <vt:lpwstr/>
      </vt:variant>
      <vt:variant>
        <vt:lpwstr>_Toc322596460</vt:lpwstr>
      </vt:variant>
      <vt:variant>
        <vt:i4>1245244</vt:i4>
      </vt:variant>
      <vt:variant>
        <vt:i4>44</vt:i4>
      </vt:variant>
      <vt:variant>
        <vt:i4>0</vt:i4>
      </vt:variant>
      <vt:variant>
        <vt:i4>5</vt:i4>
      </vt:variant>
      <vt:variant>
        <vt:lpwstr/>
      </vt:variant>
      <vt:variant>
        <vt:lpwstr>_Toc322596459</vt:lpwstr>
      </vt:variant>
      <vt:variant>
        <vt:i4>1245244</vt:i4>
      </vt:variant>
      <vt:variant>
        <vt:i4>38</vt:i4>
      </vt:variant>
      <vt:variant>
        <vt:i4>0</vt:i4>
      </vt:variant>
      <vt:variant>
        <vt:i4>5</vt:i4>
      </vt:variant>
      <vt:variant>
        <vt:lpwstr/>
      </vt:variant>
      <vt:variant>
        <vt:lpwstr>_Toc322596458</vt:lpwstr>
      </vt:variant>
      <vt:variant>
        <vt:i4>1245244</vt:i4>
      </vt:variant>
      <vt:variant>
        <vt:i4>32</vt:i4>
      </vt:variant>
      <vt:variant>
        <vt:i4>0</vt:i4>
      </vt:variant>
      <vt:variant>
        <vt:i4>5</vt:i4>
      </vt:variant>
      <vt:variant>
        <vt:lpwstr/>
      </vt:variant>
      <vt:variant>
        <vt:lpwstr>_Toc322596457</vt:lpwstr>
      </vt:variant>
      <vt:variant>
        <vt:i4>1245244</vt:i4>
      </vt:variant>
      <vt:variant>
        <vt:i4>26</vt:i4>
      </vt:variant>
      <vt:variant>
        <vt:i4>0</vt:i4>
      </vt:variant>
      <vt:variant>
        <vt:i4>5</vt:i4>
      </vt:variant>
      <vt:variant>
        <vt:lpwstr/>
      </vt:variant>
      <vt:variant>
        <vt:lpwstr>_Toc322596456</vt:lpwstr>
      </vt:variant>
      <vt:variant>
        <vt:i4>1245244</vt:i4>
      </vt:variant>
      <vt:variant>
        <vt:i4>20</vt:i4>
      </vt:variant>
      <vt:variant>
        <vt:i4>0</vt:i4>
      </vt:variant>
      <vt:variant>
        <vt:i4>5</vt:i4>
      </vt:variant>
      <vt:variant>
        <vt:lpwstr/>
      </vt:variant>
      <vt:variant>
        <vt:lpwstr>_Toc322596455</vt:lpwstr>
      </vt:variant>
      <vt:variant>
        <vt:i4>1245244</vt:i4>
      </vt:variant>
      <vt:variant>
        <vt:i4>14</vt:i4>
      </vt:variant>
      <vt:variant>
        <vt:i4>0</vt:i4>
      </vt:variant>
      <vt:variant>
        <vt:i4>5</vt:i4>
      </vt:variant>
      <vt:variant>
        <vt:lpwstr/>
      </vt:variant>
      <vt:variant>
        <vt:lpwstr>_Toc322596454</vt:lpwstr>
      </vt:variant>
      <vt:variant>
        <vt:i4>1245244</vt:i4>
      </vt:variant>
      <vt:variant>
        <vt:i4>8</vt:i4>
      </vt:variant>
      <vt:variant>
        <vt:i4>0</vt:i4>
      </vt:variant>
      <vt:variant>
        <vt:i4>5</vt:i4>
      </vt:variant>
      <vt:variant>
        <vt:lpwstr/>
      </vt:variant>
      <vt:variant>
        <vt:lpwstr>_Toc322596453</vt:lpwstr>
      </vt:variant>
      <vt:variant>
        <vt:i4>1245244</vt:i4>
      </vt:variant>
      <vt:variant>
        <vt:i4>2</vt:i4>
      </vt:variant>
      <vt:variant>
        <vt:i4>0</vt:i4>
      </vt:variant>
      <vt:variant>
        <vt:i4>5</vt:i4>
      </vt:variant>
      <vt:variant>
        <vt:lpwstr/>
      </vt:variant>
      <vt:variant>
        <vt:lpwstr>_Toc322596452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2014-11-26T07:29:00Z</dcterms:created>
  <dcterms:modified xsi:type="dcterms:W3CDTF">2014-11-26T07:29:00Z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8268338</vt:lpwstr>
  </property>
</Properties>
</file>