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09" w:rsidRDefault="00175109" w:rsidP="00175109">
      <w:pPr>
        <w:jc w:val="center"/>
        <w:rPr>
          <w:rFonts w:eastAsia="Times New Roman"/>
          <w:b/>
          <w:sz w:val="40"/>
          <w:szCs w:val="24"/>
          <w:lang w:eastAsia="en-AU"/>
        </w:rPr>
      </w:pPr>
      <w:r w:rsidRPr="00A628B6">
        <w:rPr>
          <w:noProof/>
          <w:lang w:eastAsia="en-AU"/>
        </w:rPr>
        <w:drawing>
          <wp:anchor distT="0" distB="0" distL="114300" distR="114300" simplePos="0" relativeHeight="251659264" behindDoc="1" locked="0" layoutInCell="1" allowOverlap="1" wp14:anchorId="6F52A195" wp14:editId="500DCD22">
            <wp:simplePos x="0" y="0"/>
            <wp:positionH relativeFrom="column">
              <wp:posOffset>-909955</wp:posOffset>
            </wp:positionH>
            <wp:positionV relativeFrom="paragraph">
              <wp:posOffset>-909955</wp:posOffset>
            </wp:positionV>
            <wp:extent cx="7657465" cy="10791825"/>
            <wp:effectExtent l="0" t="0" r="0" b="0"/>
            <wp:wrapNone/>
            <wp:docPr id="2"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175109" w:rsidRDefault="00175109" w:rsidP="00175109">
      <w:pPr>
        <w:jc w:val="center"/>
        <w:rPr>
          <w:rFonts w:eastAsia="Times New Roman"/>
          <w:b/>
          <w:sz w:val="40"/>
          <w:szCs w:val="24"/>
          <w:lang w:eastAsia="en-AU"/>
        </w:rPr>
      </w:pPr>
    </w:p>
    <w:p w:rsidR="00175109" w:rsidRDefault="00175109" w:rsidP="00175109">
      <w:pPr>
        <w:jc w:val="center"/>
        <w:rPr>
          <w:rFonts w:eastAsia="Times New Roman"/>
          <w:b/>
          <w:sz w:val="40"/>
          <w:szCs w:val="24"/>
          <w:lang w:eastAsia="en-AU"/>
        </w:rPr>
      </w:pPr>
    </w:p>
    <w:p w:rsidR="00175109" w:rsidRDefault="00175109" w:rsidP="00175109">
      <w:pPr>
        <w:jc w:val="center"/>
      </w:pPr>
    </w:p>
    <w:p w:rsidR="00175109" w:rsidRDefault="00175109" w:rsidP="00175109">
      <w:pPr>
        <w:jc w:val="center"/>
      </w:pPr>
    </w:p>
    <w:p w:rsidR="00175109" w:rsidRDefault="00175109" w:rsidP="00175109">
      <w:pPr>
        <w:jc w:val="center"/>
      </w:pPr>
    </w:p>
    <w:p w:rsidR="004D6D97" w:rsidRDefault="004D6D97" w:rsidP="00175109">
      <w:pPr>
        <w:jc w:val="center"/>
        <w:rPr>
          <w:rFonts w:eastAsia="Times New Roman"/>
          <w:b/>
          <w:sz w:val="40"/>
          <w:szCs w:val="24"/>
          <w:lang w:eastAsia="en-AU"/>
        </w:rPr>
      </w:pPr>
    </w:p>
    <w:p w:rsidR="00175109" w:rsidRPr="00BA5160" w:rsidRDefault="00175109" w:rsidP="00175109">
      <w:pPr>
        <w:jc w:val="center"/>
        <w:rPr>
          <w:rFonts w:eastAsia="Times New Roman"/>
          <w:b/>
          <w:sz w:val="40"/>
          <w:szCs w:val="24"/>
          <w:lang w:eastAsia="en-AU"/>
        </w:rPr>
      </w:pPr>
      <w:r w:rsidRPr="00BA5160">
        <w:rPr>
          <w:rFonts w:eastAsia="Times New Roman"/>
          <w:b/>
          <w:sz w:val="40"/>
          <w:szCs w:val="24"/>
          <w:lang w:eastAsia="en-AU"/>
        </w:rPr>
        <w:t>Draft decision</w:t>
      </w:r>
    </w:p>
    <w:p w:rsidR="00175109" w:rsidRPr="00BA5160" w:rsidRDefault="00175109" w:rsidP="00175109">
      <w:pPr>
        <w:jc w:val="center"/>
        <w:rPr>
          <w:rFonts w:eastAsia="Times New Roman"/>
          <w:b/>
          <w:sz w:val="40"/>
          <w:szCs w:val="24"/>
          <w:lang w:eastAsia="en-AU"/>
        </w:rPr>
      </w:pPr>
      <w:r w:rsidRPr="00BA5160">
        <w:rPr>
          <w:rFonts w:eastAsia="Times New Roman"/>
          <w:b/>
          <w:sz w:val="40"/>
          <w:szCs w:val="24"/>
          <w:lang w:eastAsia="en-AU"/>
        </w:rPr>
        <w:t>Endeavour Energy distribution determination</w:t>
      </w:r>
    </w:p>
    <w:p w:rsidR="00175109" w:rsidRPr="00BA5160" w:rsidRDefault="00175109" w:rsidP="00175109">
      <w:pPr>
        <w:jc w:val="center"/>
        <w:rPr>
          <w:rFonts w:eastAsia="Times New Roman"/>
          <w:b/>
          <w:sz w:val="40"/>
          <w:szCs w:val="24"/>
          <w:lang w:eastAsia="en-AU"/>
        </w:rPr>
      </w:pPr>
      <w:r w:rsidRPr="00BA5160">
        <w:rPr>
          <w:rFonts w:eastAsia="Times New Roman"/>
          <w:b/>
          <w:sz w:val="40"/>
          <w:szCs w:val="24"/>
          <w:lang w:eastAsia="en-AU"/>
        </w:rPr>
        <w:t>2015–16 to 2018–19</w:t>
      </w:r>
    </w:p>
    <w:p w:rsidR="00175109" w:rsidRDefault="00175109" w:rsidP="00175109">
      <w:pPr>
        <w:jc w:val="center"/>
        <w:rPr>
          <w:rFonts w:eastAsia="Times New Roman"/>
          <w:b/>
          <w:sz w:val="40"/>
          <w:szCs w:val="24"/>
          <w:lang w:eastAsia="en-AU"/>
        </w:rPr>
      </w:pPr>
      <w:r w:rsidRPr="00BA5160">
        <w:rPr>
          <w:rFonts w:eastAsia="Times New Roman"/>
          <w:b/>
          <w:sz w:val="40"/>
          <w:szCs w:val="24"/>
          <w:lang w:eastAsia="en-AU"/>
        </w:rPr>
        <w:t>Attachment 1</w:t>
      </w:r>
      <w:r>
        <w:rPr>
          <w:rFonts w:eastAsia="Times New Roman"/>
          <w:b/>
          <w:sz w:val="40"/>
          <w:szCs w:val="24"/>
          <w:lang w:eastAsia="en-AU"/>
        </w:rPr>
        <w:t>8: Connection policy</w:t>
      </w:r>
    </w:p>
    <w:p w:rsidR="00175109" w:rsidRDefault="00175109" w:rsidP="00175109">
      <w:pPr>
        <w:jc w:val="center"/>
        <w:rPr>
          <w:rFonts w:eastAsia="Times New Roman"/>
          <w:b/>
          <w:sz w:val="40"/>
          <w:szCs w:val="24"/>
          <w:lang w:eastAsia="en-AU"/>
        </w:rPr>
      </w:pPr>
    </w:p>
    <w:p w:rsidR="00175109" w:rsidRDefault="00175109" w:rsidP="00175109">
      <w:pPr>
        <w:jc w:val="center"/>
        <w:rPr>
          <w:rFonts w:eastAsia="Times New Roman"/>
          <w:b/>
          <w:sz w:val="40"/>
          <w:szCs w:val="24"/>
          <w:lang w:eastAsia="en-AU"/>
        </w:rPr>
      </w:pPr>
    </w:p>
    <w:p w:rsidR="00175109" w:rsidRPr="00BA5160" w:rsidRDefault="00175109" w:rsidP="00175109">
      <w:pPr>
        <w:pStyle w:val="AERtitle2"/>
        <w:rPr>
          <w:b/>
          <w:sz w:val="40"/>
          <w:lang w:eastAsia="en-AU"/>
        </w:rPr>
      </w:pPr>
      <w:r>
        <w:t>November 2014</w:t>
      </w:r>
    </w:p>
    <w:p w:rsidR="00175109" w:rsidRDefault="00175109" w:rsidP="00175109">
      <w:pPr>
        <w:pStyle w:val="AERbodytext"/>
      </w:pPr>
      <w:r>
        <w:br w:type="page"/>
      </w:r>
    </w:p>
    <w:p w:rsidR="00175109" w:rsidRPr="000A33B4" w:rsidRDefault="00175109" w:rsidP="00175109">
      <w:pPr>
        <w:pStyle w:val="AERbodytextnospace"/>
        <w:rPr>
          <w:rStyle w:val="AERtextbold"/>
        </w:rPr>
      </w:pPr>
      <w:r w:rsidRPr="000A33B4">
        <w:rPr>
          <w:rStyle w:val="AERtextbold"/>
        </w:rPr>
        <w:lastRenderedPageBreak/>
        <w:t>© Commonwealth of Australia 2014</w:t>
      </w:r>
    </w:p>
    <w:p w:rsidR="00175109" w:rsidRPr="000A33B4" w:rsidRDefault="00175109" w:rsidP="00175109">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175109" w:rsidRPr="000A33B4" w:rsidRDefault="00175109" w:rsidP="00175109">
      <w:pPr>
        <w:pStyle w:val="AERbulletlistfirststyle"/>
      </w:pPr>
      <w:r w:rsidRPr="000A33B4">
        <w:t>the Commonwealth Coat of Arms</w:t>
      </w:r>
    </w:p>
    <w:p w:rsidR="00175109" w:rsidRDefault="00175109" w:rsidP="00175109">
      <w:pPr>
        <w:pStyle w:val="AERbulletlistfirststyle"/>
      </w:pPr>
      <w:r w:rsidRPr="000A33B4">
        <w:t>the ACCC and AER logos</w:t>
      </w:r>
    </w:p>
    <w:p w:rsidR="00175109" w:rsidRPr="000A33B4" w:rsidRDefault="00175109" w:rsidP="00175109">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175109" w:rsidRPr="000A33B4" w:rsidRDefault="00175109" w:rsidP="00175109">
      <w:pPr>
        <w:pStyle w:val="AERbodytext"/>
      </w:pPr>
      <w:r w:rsidRPr="000A33B4">
        <w:t>The details of the relevant licence conditions are available on the Creative Commons website, as is the full legal code for the CC BY 3.0 AU licence.</w:t>
      </w:r>
    </w:p>
    <w:p w:rsidR="00175109" w:rsidRPr="000A33B4" w:rsidRDefault="00175109" w:rsidP="00175109">
      <w:pPr>
        <w:pStyle w:val="AERbodytext"/>
      </w:pPr>
      <w:r w:rsidRPr="000A33B4">
        <w:t>Requests and inquiries concerning reproduction and rights should be addressed to the Director, Corporate Communications, ACCC, GPO Box 3131, Canberra ACT 2601, or</w:t>
      </w:r>
    </w:p>
    <w:p w:rsidR="00175109" w:rsidRPr="000A33B4" w:rsidRDefault="00175109" w:rsidP="00175109">
      <w:pPr>
        <w:pStyle w:val="AERbodytext"/>
      </w:pPr>
      <w:r w:rsidRPr="000A33B4">
        <w:t xml:space="preserve"> </w:t>
      </w:r>
      <w:r>
        <w:tab/>
      </w:r>
      <w:hyperlink r:id="rId9" w:history="1">
        <w:r w:rsidRPr="000A33B4">
          <w:t>publishing.unit@accc.gov.au</w:t>
        </w:r>
      </w:hyperlink>
      <w:r w:rsidRPr="000A33B4">
        <w:t xml:space="preserve"> .</w:t>
      </w:r>
    </w:p>
    <w:p w:rsidR="00175109" w:rsidRPr="000A33B4" w:rsidRDefault="00175109" w:rsidP="00175109">
      <w:pPr>
        <w:pStyle w:val="AERbodytext"/>
      </w:pPr>
      <w:r w:rsidRPr="000A33B4">
        <w:t>Inquiries about this document should be addressed to:</w:t>
      </w:r>
    </w:p>
    <w:p w:rsidR="00175109" w:rsidRPr="000A33B4" w:rsidRDefault="00175109" w:rsidP="00175109">
      <w:pPr>
        <w:pStyle w:val="AERbodytextnospace"/>
      </w:pPr>
      <w:r w:rsidRPr="000A33B4">
        <w:t>Australian Energy Regulator</w:t>
      </w:r>
    </w:p>
    <w:p w:rsidR="00175109" w:rsidRPr="000A33B4" w:rsidRDefault="00175109" w:rsidP="00175109">
      <w:pPr>
        <w:pStyle w:val="AERbodytextnospace"/>
      </w:pPr>
      <w:r w:rsidRPr="000A33B4">
        <w:t>GPO Box 520</w:t>
      </w:r>
    </w:p>
    <w:p w:rsidR="00175109" w:rsidRPr="000A33B4" w:rsidRDefault="00175109" w:rsidP="00175109">
      <w:pPr>
        <w:pStyle w:val="AERbodytextnospace"/>
      </w:pPr>
      <w:r w:rsidRPr="000A33B4">
        <w:t>Melbourne  Vic  3001</w:t>
      </w:r>
    </w:p>
    <w:p w:rsidR="00175109" w:rsidRPr="000A33B4" w:rsidRDefault="00175109" w:rsidP="00175109">
      <w:pPr>
        <w:pStyle w:val="AERbodytextnospace"/>
      </w:pPr>
      <w:r w:rsidRPr="000A33B4">
        <w:t>Tel: (03) 9290 1444</w:t>
      </w:r>
    </w:p>
    <w:p w:rsidR="00175109" w:rsidRDefault="00175109" w:rsidP="00175109">
      <w:pPr>
        <w:pStyle w:val="AERbodytextnospace"/>
      </w:pPr>
      <w:r w:rsidRPr="000A33B4">
        <w:t>Fax: (03) 9290 1457</w:t>
      </w:r>
    </w:p>
    <w:p w:rsidR="00175109" w:rsidRDefault="00175109" w:rsidP="00175109">
      <w:pPr>
        <w:pStyle w:val="AERbodytextnospace"/>
      </w:pPr>
      <w:r w:rsidRPr="000A33B4">
        <w:t xml:space="preserve">Email: </w:t>
      </w:r>
      <w:hyperlink r:id="rId10" w:history="1">
        <w:r w:rsidRPr="000A33B4">
          <w:rPr>
            <w:rStyle w:val="Hyperlink"/>
          </w:rPr>
          <w:t>AERInquiry@aer.gov.au</w:t>
        </w:r>
      </w:hyperlink>
    </w:p>
    <w:p w:rsidR="00175109" w:rsidRDefault="00175109" w:rsidP="00175109"/>
    <w:p w:rsidR="00175109" w:rsidRDefault="00175109" w:rsidP="00175109">
      <w:r>
        <w:t>AER reference: 54420</w:t>
      </w:r>
    </w:p>
    <w:p w:rsidR="00175109" w:rsidRDefault="00175109" w:rsidP="00175109"/>
    <w:p w:rsidR="00175109" w:rsidRDefault="00175109" w:rsidP="00175109"/>
    <w:p w:rsidR="00175109" w:rsidRDefault="00175109" w:rsidP="00175109">
      <w:pPr>
        <w:spacing w:after="0" w:line="240" w:lineRule="auto"/>
        <w:jc w:val="left"/>
      </w:pPr>
      <w:r>
        <w:br w:type="page"/>
      </w:r>
    </w:p>
    <w:p w:rsidR="00175109" w:rsidRPr="006B36C8" w:rsidRDefault="00175109" w:rsidP="00175109">
      <w:pPr>
        <w:pStyle w:val="UnnumberedHeading"/>
        <w:rPr>
          <w:rStyle w:val="AERtextorange"/>
        </w:rPr>
      </w:pPr>
      <w:bookmarkStart w:id="0" w:name="_Toc404332542"/>
      <w:r w:rsidRPr="006B36C8">
        <w:rPr>
          <w:rStyle w:val="AERtextorange"/>
        </w:rPr>
        <w:lastRenderedPageBreak/>
        <w:t>Note</w:t>
      </w:r>
      <w:bookmarkEnd w:id="0"/>
    </w:p>
    <w:p w:rsidR="00175109" w:rsidRDefault="00175109" w:rsidP="00175109">
      <w:r>
        <w:t>This attachment forms part of the AER's draft decision on Endeavour Energy's 2015–19 distribution determination. It should be read with other parts of the draft decision.</w:t>
      </w:r>
    </w:p>
    <w:p w:rsidR="00175109" w:rsidRDefault="00175109" w:rsidP="00175109">
      <w:r>
        <w:t>The draft decision includes the following documents:</w:t>
      </w:r>
    </w:p>
    <w:p w:rsidR="00175109" w:rsidRDefault="00175109" w:rsidP="00175109">
      <w:r>
        <w:t>Overview</w:t>
      </w:r>
    </w:p>
    <w:p w:rsidR="00175109" w:rsidRDefault="00175109" w:rsidP="00175109">
      <w:r>
        <w:t>Attachment 1 – Annual revenue requirement</w:t>
      </w:r>
    </w:p>
    <w:p w:rsidR="00175109" w:rsidRDefault="00175109" w:rsidP="00175109">
      <w:r>
        <w:t>Attachment 2 – Regulatory asset base</w:t>
      </w:r>
    </w:p>
    <w:p w:rsidR="00175109" w:rsidRDefault="00175109" w:rsidP="00175109">
      <w:r>
        <w:t>Attachment 3 – Rate of return</w:t>
      </w:r>
    </w:p>
    <w:p w:rsidR="00175109" w:rsidRDefault="00175109" w:rsidP="00175109">
      <w:r>
        <w:t>Attachment 4 – Value of imputation credits</w:t>
      </w:r>
    </w:p>
    <w:p w:rsidR="00175109" w:rsidRDefault="00175109" w:rsidP="00175109">
      <w:r>
        <w:t>Attachment 5 – Regulatory depreciation</w:t>
      </w:r>
    </w:p>
    <w:p w:rsidR="00175109" w:rsidRDefault="00175109" w:rsidP="00175109">
      <w:r>
        <w:t>Attachment 6 – Capital expenditure</w:t>
      </w:r>
      <w:r w:rsidRPr="0012445F">
        <w:t xml:space="preserve"> </w:t>
      </w:r>
    </w:p>
    <w:p w:rsidR="00175109" w:rsidRDefault="00175109" w:rsidP="00175109">
      <w:r>
        <w:t>Attachment 7 – Operating expenditure</w:t>
      </w:r>
    </w:p>
    <w:p w:rsidR="00175109" w:rsidRDefault="00175109" w:rsidP="00175109">
      <w:r>
        <w:t>Attachment 8 – Corporate income tax</w:t>
      </w:r>
    </w:p>
    <w:p w:rsidR="00175109" w:rsidRDefault="00175109" w:rsidP="00175109">
      <w:r>
        <w:t>Attachment 9 – Efficiency benefit sharing scheme</w:t>
      </w:r>
    </w:p>
    <w:p w:rsidR="00175109" w:rsidRDefault="00175109" w:rsidP="00175109">
      <w:r w:rsidRPr="00DF268E">
        <w:t xml:space="preserve">Attachment </w:t>
      </w:r>
      <w:r>
        <w:t>10</w:t>
      </w:r>
      <w:r w:rsidRPr="00DF268E">
        <w:t xml:space="preserve"> –</w:t>
      </w:r>
      <w:r>
        <w:t xml:space="preserve"> C</w:t>
      </w:r>
      <w:r w:rsidRPr="00FB0F49">
        <w:t>apital expenditure sharing scheme</w:t>
      </w:r>
    </w:p>
    <w:p w:rsidR="00175109" w:rsidRDefault="00175109" w:rsidP="00175109">
      <w:r w:rsidRPr="00DF268E">
        <w:t>Attachment 1</w:t>
      </w:r>
      <w:r>
        <w:t>1 – S</w:t>
      </w:r>
      <w:r w:rsidRPr="00FB0F49">
        <w:t>ervice target performance incentive scheme</w:t>
      </w:r>
    </w:p>
    <w:p w:rsidR="00175109" w:rsidRDefault="00175109" w:rsidP="00175109">
      <w:r w:rsidRPr="00DF268E">
        <w:t>Attachment 1</w:t>
      </w:r>
      <w:r>
        <w:t>2</w:t>
      </w:r>
      <w:r w:rsidRPr="00DF268E">
        <w:t xml:space="preserve"> –</w:t>
      </w:r>
      <w:r>
        <w:t xml:space="preserve"> Demand management incentive scheme</w:t>
      </w:r>
    </w:p>
    <w:p w:rsidR="00175109" w:rsidRPr="0012445F" w:rsidRDefault="00175109" w:rsidP="00175109">
      <w:r w:rsidRPr="00DF268E">
        <w:t>Attachment 1</w:t>
      </w:r>
      <w:r>
        <w:t>3</w:t>
      </w:r>
      <w:r w:rsidRPr="00DF268E">
        <w:t xml:space="preserve"> –</w:t>
      </w:r>
      <w:r>
        <w:t xml:space="preserve"> Classification of services</w:t>
      </w:r>
    </w:p>
    <w:p w:rsidR="00175109" w:rsidRDefault="00175109" w:rsidP="00175109">
      <w:r w:rsidRPr="00DF268E">
        <w:t>Attachment 1</w:t>
      </w:r>
      <w:r>
        <w:t>4</w:t>
      </w:r>
      <w:r w:rsidRPr="00DF268E">
        <w:t xml:space="preserve"> –</w:t>
      </w:r>
      <w:r>
        <w:t xml:space="preserve"> Control mechanisms</w:t>
      </w:r>
    </w:p>
    <w:p w:rsidR="00175109" w:rsidRDefault="00175109" w:rsidP="00175109">
      <w:r w:rsidRPr="00DF268E">
        <w:t>Attachment 1</w:t>
      </w:r>
      <w:r>
        <w:t>5</w:t>
      </w:r>
      <w:r w:rsidRPr="00DF268E">
        <w:t xml:space="preserve"> –</w:t>
      </w:r>
      <w:r>
        <w:t xml:space="preserve"> Pass through events</w:t>
      </w:r>
    </w:p>
    <w:p w:rsidR="00175109" w:rsidRDefault="00175109" w:rsidP="00175109">
      <w:r w:rsidRPr="00DF268E">
        <w:t>Attachment 1</w:t>
      </w:r>
      <w:r>
        <w:t>6</w:t>
      </w:r>
      <w:r w:rsidRPr="00DF268E">
        <w:t xml:space="preserve"> –</w:t>
      </w:r>
      <w:r>
        <w:t xml:space="preserve"> Alternative control services</w:t>
      </w:r>
    </w:p>
    <w:p w:rsidR="00175109" w:rsidRDefault="00175109" w:rsidP="00175109">
      <w:r w:rsidRPr="00DF268E">
        <w:t>Attachment 1</w:t>
      </w:r>
      <w:r>
        <w:t>7</w:t>
      </w:r>
      <w:r w:rsidRPr="00DF268E">
        <w:t xml:space="preserve"> –</w:t>
      </w:r>
      <w:r>
        <w:t xml:space="preserve"> Negotiated services framework and criteria</w:t>
      </w:r>
    </w:p>
    <w:p w:rsidR="00175109" w:rsidRDefault="00175109" w:rsidP="00175109">
      <w:r w:rsidRPr="00DF268E">
        <w:t>Attachment 1</w:t>
      </w:r>
      <w:r>
        <w:t>8</w:t>
      </w:r>
      <w:r w:rsidRPr="00DF268E">
        <w:t xml:space="preserve"> –</w:t>
      </w:r>
      <w:r>
        <w:t xml:space="preserve"> Connection policy</w:t>
      </w:r>
    </w:p>
    <w:p w:rsidR="00175109" w:rsidRDefault="00175109" w:rsidP="00175109">
      <w:pPr>
        <w:pStyle w:val="AERbodytext"/>
      </w:pPr>
      <w:r>
        <w:br w:type="page"/>
      </w:r>
    </w:p>
    <w:p w:rsidR="00175109" w:rsidRPr="00A628B6" w:rsidRDefault="00175109" w:rsidP="00175109">
      <w:pPr>
        <w:pStyle w:val="UnnumberedHeading"/>
      </w:pPr>
      <w:bookmarkStart w:id="1" w:name="_Toc404332543"/>
      <w:r>
        <w:t>Contents</w:t>
      </w:r>
      <w:bookmarkEnd w:id="1"/>
    </w:p>
    <w:sdt>
      <w:sdtPr>
        <w:id w:val="-830675811"/>
        <w:docPartObj>
          <w:docPartGallery w:val="Table of Contents"/>
          <w:docPartUnique/>
        </w:docPartObj>
      </w:sdtPr>
      <w:sdtEndPr/>
      <w:sdtContent>
        <w:p w:rsidR="00175109" w:rsidRDefault="00175109">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\t "Heading 7,1,Heading 8,2,Heading 9,3" </w:instrText>
          </w:r>
          <w:r>
            <w:rPr>
              <w:lang w:val="en-US" w:eastAsia="ja-JP"/>
            </w:rPr>
            <w:fldChar w:fldCharType="separate"/>
          </w:r>
          <w:hyperlink w:anchor="_Toc404332542" w:history="1">
            <w:r w:rsidRPr="00801667">
              <w:rPr>
                <w:rStyle w:val="Hyperlink"/>
                <w:noProof/>
              </w:rPr>
              <w:t>Note</w:t>
            </w:r>
            <w:r>
              <w:rPr>
                <w:noProof/>
                <w:webHidden/>
              </w:rPr>
              <w:tab/>
            </w:r>
            <w:r>
              <w:rPr>
                <w:noProof/>
                <w:webHidden/>
              </w:rPr>
              <w:fldChar w:fldCharType="begin"/>
            </w:r>
            <w:r>
              <w:rPr>
                <w:noProof/>
                <w:webHidden/>
              </w:rPr>
              <w:instrText xml:space="preserve"> PAGEREF _Toc404332542 \h </w:instrText>
            </w:r>
            <w:r>
              <w:rPr>
                <w:noProof/>
                <w:webHidden/>
              </w:rPr>
            </w:r>
            <w:r>
              <w:rPr>
                <w:noProof/>
                <w:webHidden/>
              </w:rPr>
              <w:fldChar w:fldCharType="separate"/>
            </w:r>
            <w:r>
              <w:rPr>
                <w:noProof/>
                <w:webHidden/>
              </w:rPr>
              <w:t>18-3</w:t>
            </w:r>
            <w:r>
              <w:rPr>
                <w:noProof/>
                <w:webHidden/>
              </w:rPr>
              <w:fldChar w:fldCharType="end"/>
            </w:r>
          </w:hyperlink>
        </w:p>
        <w:p w:rsidR="00175109" w:rsidRDefault="00F11638">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32543" w:history="1">
            <w:r w:rsidR="00175109" w:rsidRPr="00801667">
              <w:rPr>
                <w:rStyle w:val="Hyperlink"/>
                <w:noProof/>
              </w:rPr>
              <w:t>Contents</w:t>
            </w:r>
            <w:r w:rsidR="00175109">
              <w:rPr>
                <w:noProof/>
                <w:webHidden/>
              </w:rPr>
              <w:tab/>
            </w:r>
            <w:r w:rsidR="00175109">
              <w:rPr>
                <w:noProof/>
                <w:webHidden/>
              </w:rPr>
              <w:fldChar w:fldCharType="begin"/>
            </w:r>
            <w:r w:rsidR="00175109">
              <w:rPr>
                <w:noProof/>
                <w:webHidden/>
              </w:rPr>
              <w:instrText xml:space="preserve"> PAGEREF _Toc404332543 \h </w:instrText>
            </w:r>
            <w:r w:rsidR="00175109">
              <w:rPr>
                <w:noProof/>
                <w:webHidden/>
              </w:rPr>
            </w:r>
            <w:r w:rsidR="00175109">
              <w:rPr>
                <w:noProof/>
                <w:webHidden/>
              </w:rPr>
              <w:fldChar w:fldCharType="separate"/>
            </w:r>
            <w:r w:rsidR="00175109">
              <w:rPr>
                <w:noProof/>
                <w:webHidden/>
              </w:rPr>
              <w:t>18-4</w:t>
            </w:r>
            <w:r w:rsidR="00175109">
              <w:rPr>
                <w:noProof/>
                <w:webHidden/>
              </w:rPr>
              <w:fldChar w:fldCharType="end"/>
            </w:r>
          </w:hyperlink>
        </w:p>
        <w:p w:rsidR="00175109" w:rsidRDefault="00F11638">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32544" w:history="1">
            <w:r w:rsidR="00175109" w:rsidRPr="00801667">
              <w:rPr>
                <w:rStyle w:val="Hyperlink"/>
                <w:noProof/>
              </w:rPr>
              <w:t>Shortened forms</w:t>
            </w:r>
            <w:r w:rsidR="00175109">
              <w:rPr>
                <w:noProof/>
                <w:webHidden/>
              </w:rPr>
              <w:tab/>
            </w:r>
            <w:r w:rsidR="00175109">
              <w:rPr>
                <w:noProof/>
                <w:webHidden/>
              </w:rPr>
              <w:fldChar w:fldCharType="begin"/>
            </w:r>
            <w:r w:rsidR="00175109">
              <w:rPr>
                <w:noProof/>
                <w:webHidden/>
              </w:rPr>
              <w:instrText xml:space="preserve"> PAGEREF _Toc404332544 \h </w:instrText>
            </w:r>
            <w:r w:rsidR="00175109">
              <w:rPr>
                <w:noProof/>
                <w:webHidden/>
              </w:rPr>
            </w:r>
            <w:r w:rsidR="00175109">
              <w:rPr>
                <w:noProof/>
                <w:webHidden/>
              </w:rPr>
              <w:fldChar w:fldCharType="separate"/>
            </w:r>
            <w:r w:rsidR="00175109">
              <w:rPr>
                <w:noProof/>
                <w:webHidden/>
              </w:rPr>
              <w:t>18-5</w:t>
            </w:r>
            <w:r w:rsidR="00175109">
              <w:rPr>
                <w:noProof/>
                <w:webHidden/>
              </w:rPr>
              <w:fldChar w:fldCharType="end"/>
            </w:r>
          </w:hyperlink>
        </w:p>
        <w:p w:rsidR="00175109" w:rsidRDefault="00F11638">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332545" w:history="1">
            <w:r w:rsidR="00175109" w:rsidRPr="00801667">
              <w:rPr>
                <w:rStyle w:val="Hyperlink"/>
                <w:noProof/>
              </w:rPr>
              <w:t>18</w:t>
            </w:r>
            <w:r w:rsidR="00175109">
              <w:rPr>
                <w:rFonts w:asciiTheme="minorHAnsi" w:eastAsiaTheme="minorEastAsia" w:hAnsiTheme="minorHAnsi" w:cstheme="minorBidi"/>
                <w:b w:val="0"/>
                <w:bCs w:val="0"/>
                <w:noProof/>
                <w:sz w:val="22"/>
                <w:szCs w:val="22"/>
                <w:lang w:eastAsia="en-AU"/>
              </w:rPr>
              <w:tab/>
            </w:r>
            <w:r w:rsidR="00175109" w:rsidRPr="00801667">
              <w:rPr>
                <w:rStyle w:val="Hyperlink"/>
                <w:noProof/>
              </w:rPr>
              <w:t>Connection policy</w:t>
            </w:r>
            <w:r w:rsidR="00175109">
              <w:rPr>
                <w:noProof/>
                <w:webHidden/>
              </w:rPr>
              <w:tab/>
            </w:r>
            <w:r w:rsidR="00175109">
              <w:rPr>
                <w:noProof/>
                <w:webHidden/>
              </w:rPr>
              <w:fldChar w:fldCharType="begin"/>
            </w:r>
            <w:r w:rsidR="00175109">
              <w:rPr>
                <w:noProof/>
                <w:webHidden/>
              </w:rPr>
              <w:instrText xml:space="preserve"> PAGEREF _Toc404332545 \h </w:instrText>
            </w:r>
            <w:r w:rsidR="00175109">
              <w:rPr>
                <w:noProof/>
                <w:webHidden/>
              </w:rPr>
            </w:r>
            <w:r w:rsidR="00175109">
              <w:rPr>
                <w:noProof/>
                <w:webHidden/>
              </w:rPr>
              <w:fldChar w:fldCharType="separate"/>
            </w:r>
            <w:r w:rsidR="00175109">
              <w:rPr>
                <w:noProof/>
                <w:webHidden/>
              </w:rPr>
              <w:t>18-7</w:t>
            </w:r>
            <w:r w:rsidR="00175109">
              <w:rPr>
                <w:noProof/>
                <w:webHidden/>
              </w:rPr>
              <w:fldChar w:fldCharType="end"/>
            </w:r>
          </w:hyperlink>
        </w:p>
        <w:p w:rsidR="00175109" w:rsidRDefault="00F11638">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32546" w:history="1">
            <w:r w:rsidR="00175109" w:rsidRPr="00801667">
              <w:rPr>
                <w:rStyle w:val="Hyperlink"/>
                <w:noProof/>
              </w:rPr>
              <w:t>18.1</w:t>
            </w:r>
            <w:r w:rsidR="00175109">
              <w:rPr>
                <w:rFonts w:asciiTheme="minorHAnsi" w:eastAsiaTheme="minorEastAsia" w:hAnsiTheme="minorHAnsi" w:cstheme="minorBidi"/>
                <w:iCs w:val="0"/>
                <w:noProof/>
                <w:sz w:val="22"/>
                <w:szCs w:val="22"/>
                <w:lang w:eastAsia="en-AU"/>
              </w:rPr>
              <w:tab/>
            </w:r>
            <w:r w:rsidR="00175109" w:rsidRPr="00801667">
              <w:rPr>
                <w:rStyle w:val="Hyperlink"/>
                <w:noProof/>
              </w:rPr>
              <w:t>Draft decision</w:t>
            </w:r>
            <w:r w:rsidR="00175109">
              <w:rPr>
                <w:noProof/>
                <w:webHidden/>
              </w:rPr>
              <w:tab/>
            </w:r>
            <w:r w:rsidR="00175109">
              <w:rPr>
                <w:noProof/>
                <w:webHidden/>
              </w:rPr>
              <w:fldChar w:fldCharType="begin"/>
            </w:r>
            <w:r w:rsidR="00175109">
              <w:rPr>
                <w:noProof/>
                <w:webHidden/>
              </w:rPr>
              <w:instrText xml:space="preserve"> PAGEREF _Toc404332546 \h </w:instrText>
            </w:r>
            <w:r w:rsidR="00175109">
              <w:rPr>
                <w:noProof/>
                <w:webHidden/>
              </w:rPr>
            </w:r>
            <w:r w:rsidR="00175109">
              <w:rPr>
                <w:noProof/>
                <w:webHidden/>
              </w:rPr>
              <w:fldChar w:fldCharType="separate"/>
            </w:r>
            <w:r w:rsidR="00175109">
              <w:rPr>
                <w:noProof/>
                <w:webHidden/>
              </w:rPr>
              <w:t>18-8</w:t>
            </w:r>
            <w:r w:rsidR="00175109">
              <w:rPr>
                <w:noProof/>
                <w:webHidden/>
              </w:rPr>
              <w:fldChar w:fldCharType="end"/>
            </w:r>
          </w:hyperlink>
        </w:p>
        <w:p w:rsidR="00175109" w:rsidRDefault="00F11638">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32547" w:history="1">
            <w:r w:rsidR="00175109" w:rsidRPr="00801667">
              <w:rPr>
                <w:rStyle w:val="Hyperlink"/>
                <w:noProof/>
              </w:rPr>
              <w:t>18.2</w:t>
            </w:r>
            <w:r w:rsidR="00175109">
              <w:rPr>
                <w:rFonts w:asciiTheme="minorHAnsi" w:eastAsiaTheme="minorEastAsia" w:hAnsiTheme="minorHAnsi" w:cstheme="minorBidi"/>
                <w:iCs w:val="0"/>
                <w:noProof/>
                <w:sz w:val="22"/>
                <w:szCs w:val="22"/>
                <w:lang w:eastAsia="en-AU"/>
              </w:rPr>
              <w:tab/>
            </w:r>
            <w:r w:rsidR="00175109" w:rsidRPr="00801667">
              <w:rPr>
                <w:rStyle w:val="Hyperlink"/>
                <w:noProof/>
              </w:rPr>
              <w:t>Endeavour Energy's proposal</w:t>
            </w:r>
            <w:r w:rsidR="00175109">
              <w:rPr>
                <w:noProof/>
                <w:webHidden/>
              </w:rPr>
              <w:tab/>
            </w:r>
            <w:r w:rsidR="00175109">
              <w:rPr>
                <w:noProof/>
                <w:webHidden/>
              </w:rPr>
              <w:fldChar w:fldCharType="begin"/>
            </w:r>
            <w:r w:rsidR="00175109">
              <w:rPr>
                <w:noProof/>
                <w:webHidden/>
              </w:rPr>
              <w:instrText xml:space="preserve"> PAGEREF _Toc404332547 \h </w:instrText>
            </w:r>
            <w:r w:rsidR="00175109">
              <w:rPr>
                <w:noProof/>
                <w:webHidden/>
              </w:rPr>
            </w:r>
            <w:r w:rsidR="00175109">
              <w:rPr>
                <w:noProof/>
                <w:webHidden/>
              </w:rPr>
              <w:fldChar w:fldCharType="separate"/>
            </w:r>
            <w:r w:rsidR="00175109">
              <w:rPr>
                <w:noProof/>
                <w:webHidden/>
              </w:rPr>
              <w:t>18-8</w:t>
            </w:r>
            <w:r w:rsidR="00175109">
              <w:rPr>
                <w:noProof/>
                <w:webHidden/>
              </w:rPr>
              <w:fldChar w:fldCharType="end"/>
            </w:r>
          </w:hyperlink>
        </w:p>
        <w:p w:rsidR="00175109" w:rsidRDefault="00F11638">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32548" w:history="1">
            <w:r w:rsidR="00175109" w:rsidRPr="00801667">
              <w:rPr>
                <w:rStyle w:val="Hyperlink"/>
                <w:noProof/>
              </w:rPr>
              <w:t>18.3</w:t>
            </w:r>
            <w:r w:rsidR="00175109">
              <w:rPr>
                <w:rFonts w:asciiTheme="minorHAnsi" w:eastAsiaTheme="minorEastAsia" w:hAnsiTheme="minorHAnsi" w:cstheme="minorBidi"/>
                <w:iCs w:val="0"/>
                <w:noProof/>
                <w:sz w:val="22"/>
                <w:szCs w:val="22"/>
                <w:lang w:eastAsia="en-AU"/>
              </w:rPr>
              <w:tab/>
            </w:r>
            <w:r w:rsidR="00175109" w:rsidRPr="00801667">
              <w:rPr>
                <w:rStyle w:val="Hyperlink"/>
                <w:noProof/>
              </w:rPr>
              <w:t>AER's assessment approach</w:t>
            </w:r>
            <w:r w:rsidR="00175109">
              <w:rPr>
                <w:noProof/>
                <w:webHidden/>
              </w:rPr>
              <w:tab/>
            </w:r>
            <w:r w:rsidR="00175109">
              <w:rPr>
                <w:noProof/>
                <w:webHidden/>
              </w:rPr>
              <w:fldChar w:fldCharType="begin"/>
            </w:r>
            <w:r w:rsidR="00175109">
              <w:rPr>
                <w:noProof/>
                <w:webHidden/>
              </w:rPr>
              <w:instrText xml:space="preserve"> PAGEREF _Toc404332548 \h </w:instrText>
            </w:r>
            <w:r w:rsidR="00175109">
              <w:rPr>
                <w:noProof/>
                <w:webHidden/>
              </w:rPr>
            </w:r>
            <w:r w:rsidR="00175109">
              <w:rPr>
                <w:noProof/>
                <w:webHidden/>
              </w:rPr>
              <w:fldChar w:fldCharType="separate"/>
            </w:r>
            <w:r w:rsidR="00175109">
              <w:rPr>
                <w:noProof/>
                <w:webHidden/>
              </w:rPr>
              <w:t>18-8</w:t>
            </w:r>
            <w:r w:rsidR="00175109">
              <w:rPr>
                <w:noProof/>
                <w:webHidden/>
              </w:rPr>
              <w:fldChar w:fldCharType="end"/>
            </w:r>
          </w:hyperlink>
        </w:p>
        <w:p w:rsidR="00175109" w:rsidRDefault="00F11638">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32549" w:history="1">
            <w:r w:rsidR="00175109" w:rsidRPr="00801667">
              <w:rPr>
                <w:rStyle w:val="Hyperlink"/>
                <w:noProof/>
              </w:rPr>
              <w:t>18.4</w:t>
            </w:r>
            <w:r w:rsidR="00175109">
              <w:rPr>
                <w:rFonts w:asciiTheme="minorHAnsi" w:eastAsiaTheme="minorEastAsia" w:hAnsiTheme="minorHAnsi" w:cstheme="minorBidi"/>
                <w:iCs w:val="0"/>
                <w:noProof/>
                <w:sz w:val="22"/>
                <w:szCs w:val="22"/>
                <w:lang w:eastAsia="en-AU"/>
              </w:rPr>
              <w:tab/>
            </w:r>
            <w:r w:rsidR="00175109" w:rsidRPr="00801667">
              <w:rPr>
                <w:rStyle w:val="Hyperlink"/>
                <w:noProof/>
              </w:rPr>
              <w:t>Reasons for draft decision</w:t>
            </w:r>
            <w:r w:rsidR="00175109">
              <w:rPr>
                <w:noProof/>
                <w:webHidden/>
              </w:rPr>
              <w:tab/>
            </w:r>
            <w:r w:rsidR="00175109">
              <w:rPr>
                <w:noProof/>
                <w:webHidden/>
              </w:rPr>
              <w:fldChar w:fldCharType="begin"/>
            </w:r>
            <w:r w:rsidR="00175109">
              <w:rPr>
                <w:noProof/>
                <w:webHidden/>
              </w:rPr>
              <w:instrText xml:space="preserve"> PAGEREF _Toc404332549 \h </w:instrText>
            </w:r>
            <w:r w:rsidR="00175109">
              <w:rPr>
                <w:noProof/>
                <w:webHidden/>
              </w:rPr>
            </w:r>
            <w:r w:rsidR="00175109">
              <w:rPr>
                <w:noProof/>
                <w:webHidden/>
              </w:rPr>
              <w:fldChar w:fldCharType="separate"/>
            </w:r>
            <w:r w:rsidR="00175109">
              <w:rPr>
                <w:noProof/>
                <w:webHidden/>
              </w:rPr>
              <w:t>18-8</w:t>
            </w:r>
            <w:r w:rsidR="00175109">
              <w:rPr>
                <w:noProof/>
                <w:webHidden/>
              </w:rPr>
              <w:fldChar w:fldCharType="end"/>
            </w:r>
          </w:hyperlink>
        </w:p>
        <w:p w:rsidR="00175109" w:rsidRDefault="00175109" w:rsidP="00175109">
          <w:pPr>
            <w:pStyle w:val="TOC1"/>
            <w:tabs>
              <w:tab w:val="right" w:leader="dot" w:pos="9016"/>
            </w:tabs>
          </w:pPr>
          <w:r>
            <w:rPr>
              <w:lang w:val="en-US" w:eastAsia="ja-JP"/>
            </w:rPr>
            <w:fldChar w:fldCharType="end"/>
          </w:r>
        </w:p>
      </w:sdtContent>
    </w:sdt>
    <w:p w:rsidR="00175109" w:rsidRDefault="00175109" w:rsidP="00175109">
      <w:pPr>
        <w:pStyle w:val="AERbodytext"/>
      </w:pPr>
    </w:p>
    <w:p w:rsidR="00175109" w:rsidRDefault="00175109" w:rsidP="00175109">
      <w:pPr>
        <w:pStyle w:val="UnnumberedHeading"/>
      </w:pPr>
      <w:bookmarkStart w:id="2" w:name="_Toc402537455"/>
      <w:bookmarkStart w:id="3" w:name="_Toc403479638"/>
      <w:bookmarkStart w:id="4" w:name="_Toc403564409"/>
      <w:bookmarkStart w:id="5" w:name="_Toc403565520"/>
      <w:bookmarkStart w:id="6" w:name="_Toc404257455"/>
      <w:bookmarkStart w:id="7" w:name="_Toc404332544"/>
      <w:r>
        <w:t>Shortened forms</w:t>
      </w:r>
      <w:bookmarkEnd w:id="2"/>
      <w:bookmarkEnd w:id="3"/>
      <w:bookmarkEnd w:id="4"/>
      <w:bookmarkEnd w:id="5"/>
      <w:bookmarkEnd w:id="6"/>
      <w:bookmarkEnd w:id="7"/>
    </w:p>
    <w:tbl>
      <w:tblPr>
        <w:tblStyle w:val="AERtable-numbers"/>
        <w:tblW w:w="0" w:type="auto"/>
        <w:tblLook w:val="04A0" w:firstRow="1" w:lastRow="0" w:firstColumn="1" w:lastColumn="0" w:noHBand="0" w:noVBand="1"/>
      </w:tblPr>
      <w:tblGrid>
        <w:gridCol w:w="4621"/>
        <w:gridCol w:w="4621"/>
      </w:tblGrid>
      <w:tr w:rsidR="00175109" w:rsidTr="00383F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Shortened form</w:t>
            </w:r>
          </w:p>
        </w:tc>
        <w:tc>
          <w:tcPr>
            <w:tcW w:w="4621" w:type="dxa"/>
          </w:tcPr>
          <w:p w:rsidR="00175109" w:rsidRDefault="00175109" w:rsidP="00383FB3">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AARR</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AEMC</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AEMO</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AER</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ASRR</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augex</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capex</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CCP</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CESS</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CPI</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CPI-X</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DRP</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DMIA</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DMIS</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distributor</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proofErr w:type="spellStart"/>
            <w:r>
              <w:t>DUoS</w:t>
            </w:r>
            <w:proofErr w:type="spellEnd"/>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EBSS</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ERP</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expenditure assessment guideline</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F&amp;A</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MRP</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NEL</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NEM</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NEO</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NER</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NSP</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opex</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PPI</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PTRM</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RAB</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RBA</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repex</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RFM</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RIN</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RPP</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SAIDI</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SAIFI</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SLCAPM</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175109" w:rsidTr="00383FB3">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STPIS</w:t>
            </w:r>
          </w:p>
        </w:tc>
        <w:tc>
          <w:tcPr>
            <w:tcW w:w="4621" w:type="dxa"/>
          </w:tcPr>
          <w:p w:rsidR="00175109" w:rsidRDefault="00175109" w:rsidP="00383FB3">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175109" w:rsidTr="00383F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75109" w:rsidRDefault="00175109" w:rsidP="00383FB3">
            <w:pPr>
              <w:pStyle w:val="AERbodytext"/>
            </w:pPr>
            <w:r>
              <w:t>WACC</w:t>
            </w:r>
          </w:p>
        </w:tc>
        <w:tc>
          <w:tcPr>
            <w:tcW w:w="4621" w:type="dxa"/>
          </w:tcPr>
          <w:p w:rsidR="00175109" w:rsidRDefault="00175109" w:rsidP="00383FB3">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175109" w:rsidRDefault="00175109" w:rsidP="00175109"/>
    <w:p w:rsidR="00175109" w:rsidRDefault="00175109" w:rsidP="00175109"/>
    <w:p w:rsidR="00175109" w:rsidRDefault="00175109" w:rsidP="00175109"/>
    <w:p w:rsidR="00CA54AE" w:rsidRDefault="00CA54AE" w:rsidP="00175109">
      <w:pPr>
        <w:pStyle w:val="Heading1"/>
      </w:pPr>
      <w:bookmarkStart w:id="8" w:name="_Toc404332545"/>
      <w:r>
        <w:t>Connection polic</w:t>
      </w:r>
      <w:r w:rsidR="00D30DD2">
        <w:t>y</w:t>
      </w:r>
      <w:bookmarkEnd w:id="8"/>
    </w:p>
    <w:p w:rsidR="00DB2C56" w:rsidRDefault="00CA54AE" w:rsidP="00DB2C56">
      <w:pPr>
        <w:pStyle w:val="AERbodytext"/>
        <w:rPr>
          <w:rStyle w:val="AERbody"/>
        </w:rPr>
      </w:pPr>
      <w:r>
        <w:t>Part DA of Chapter 6 of the NER requires a DNSP to prepare a connection policy for approval by the AER.</w:t>
      </w:r>
      <w:r w:rsidR="00DB2C56">
        <w:t xml:space="preserve"> </w:t>
      </w:r>
      <w:r w:rsidR="00DB2C56" w:rsidRPr="00A868C4">
        <w:rPr>
          <w:rStyle w:val="AERbody"/>
        </w:rPr>
        <w:t xml:space="preserve">The </w:t>
      </w:r>
      <w:r w:rsidR="00DB2C56">
        <w:rPr>
          <w:rStyle w:val="AERbody"/>
        </w:rPr>
        <w:t xml:space="preserve">purpose of the </w:t>
      </w:r>
      <w:r w:rsidR="00DB2C56" w:rsidRPr="00A868C4">
        <w:rPr>
          <w:rStyle w:val="AERbody"/>
        </w:rPr>
        <w:t xml:space="preserve">connection policy </w:t>
      </w:r>
      <w:r w:rsidR="00DB2C56">
        <w:rPr>
          <w:rStyle w:val="AERbody"/>
        </w:rPr>
        <w:t xml:space="preserve">is to </w:t>
      </w:r>
      <w:r w:rsidR="00DB2C56" w:rsidRPr="00A868C4">
        <w:rPr>
          <w:rStyle w:val="AERbody"/>
        </w:rPr>
        <w:t>set out</w:t>
      </w:r>
      <w:r w:rsidR="00DB2C56">
        <w:rPr>
          <w:rStyle w:val="AERbody"/>
        </w:rPr>
        <w:t xml:space="preserve"> the circumstances in which the DNSP</w:t>
      </w:r>
      <w:r w:rsidR="00DB2C56" w:rsidRPr="00A868C4">
        <w:rPr>
          <w:rStyle w:val="AERbody"/>
        </w:rPr>
        <w:t xml:space="preserve"> may require a connection applicant to pay a connection charge</w:t>
      </w:r>
      <w:r w:rsidR="00DB2C56">
        <w:rPr>
          <w:rStyle w:val="AERbody"/>
        </w:rPr>
        <w:t xml:space="preserve"> and explains how such a charge is determined. </w:t>
      </w:r>
    </w:p>
    <w:p w:rsidR="00CA54AE" w:rsidRDefault="00CA54AE" w:rsidP="00CA54AE">
      <w:pPr>
        <w:pStyle w:val="AERbodytext"/>
      </w:pPr>
      <w:r>
        <w:t>The proposed connection policy:</w:t>
      </w:r>
      <w:r w:rsidRPr="00EA0A07">
        <w:rPr>
          <w:rStyle w:val="AERsuperscript"/>
        </w:rPr>
        <w:footnoteReference w:id="1"/>
      </w:r>
      <w:r w:rsidRPr="00EA0A07">
        <w:rPr>
          <w:rStyle w:val="AERsuperscript"/>
        </w:rPr>
        <w:t xml:space="preserve"> </w:t>
      </w:r>
    </w:p>
    <w:p w:rsidR="00CA54AE" w:rsidRPr="00FE49D1" w:rsidRDefault="00CA54AE" w:rsidP="00CA54AE">
      <w:pPr>
        <w:pStyle w:val="AERbulletlistfirststyle"/>
      </w:pPr>
      <w:r>
        <w:t>must be consistent with:</w:t>
      </w:r>
    </w:p>
    <w:p w:rsidR="00CA54AE" w:rsidRPr="00FE49D1" w:rsidRDefault="00CA54AE" w:rsidP="00CA54AE">
      <w:pPr>
        <w:pStyle w:val="AERbulletlistthirdstyle"/>
      </w:pPr>
      <w:r>
        <w:t>the connection charge principles set out in chapter 5A of the NER</w:t>
      </w:r>
    </w:p>
    <w:p w:rsidR="00CA54AE" w:rsidRDefault="00CA54AE" w:rsidP="00CA54AE">
      <w:pPr>
        <w:pStyle w:val="AERbulletlistthirdstyle"/>
      </w:pPr>
      <w:proofErr w:type="gramStart"/>
      <w:r>
        <w:t>the</w:t>
      </w:r>
      <w:proofErr w:type="gramEnd"/>
      <w:r>
        <w:t xml:space="preserve"> connection charge guidelines published by us under chapter 5A.</w:t>
      </w:r>
      <w:r>
        <w:rPr>
          <w:rStyle w:val="FootnoteReference"/>
        </w:rPr>
        <w:footnoteReference w:id="2"/>
      </w:r>
    </w:p>
    <w:p w:rsidR="00CA54AE" w:rsidRDefault="00CA54AE" w:rsidP="00CA54AE">
      <w:pPr>
        <w:pStyle w:val="AERbulletlistfirststyle"/>
      </w:pPr>
      <w:r>
        <w:t>must specify:</w:t>
      </w:r>
    </w:p>
    <w:p w:rsidR="00CA54AE" w:rsidRPr="00EA0A07" w:rsidRDefault="00CA54AE" w:rsidP="00CA54AE">
      <w:pPr>
        <w:pStyle w:val="AERbulletlistthirdstyle"/>
      </w:pPr>
      <w:r w:rsidRPr="00EA0A07">
        <w:t>the categories of persons that may be required to pay a connection charge and the circumstances in which such a requirement may be imposed</w:t>
      </w:r>
    </w:p>
    <w:p w:rsidR="00CA54AE" w:rsidRPr="00EA0A07" w:rsidRDefault="00CA54AE" w:rsidP="00CA54AE">
      <w:pPr>
        <w:pStyle w:val="AERbulletlistthirdstyle"/>
      </w:pPr>
      <w:r w:rsidRPr="00EA0A07">
        <w:t>the aspects of a connection service for which a connection charge may be made</w:t>
      </w:r>
    </w:p>
    <w:p w:rsidR="00CA54AE" w:rsidRPr="00EA0A07" w:rsidRDefault="00CA54AE" w:rsidP="00CA54AE">
      <w:pPr>
        <w:pStyle w:val="AERbulletlistthirdstyle"/>
      </w:pPr>
      <w:r w:rsidRPr="00EA0A07">
        <w:t>the basis on which connec</w:t>
      </w:r>
      <w:r>
        <w:t>tion charges are determined</w:t>
      </w:r>
    </w:p>
    <w:p w:rsidR="00CA54AE" w:rsidRPr="00EA0A07" w:rsidRDefault="00CA54AE" w:rsidP="00CA54AE">
      <w:pPr>
        <w:pStyle w:val="AERbulletlistthirdstyle"/>
      </w:pPr>
      <w:r w:rsidRPr="00EA0A07">
        <w:t>the manner in which connection charges are to be paid (or equivalent co</w:t>
      </w:r>
      <w:r>
        <w:t>nsideration is to be given)</w:t>
      </w:r>
    </w:p>
    <w:p w:rsidR="00CA54AE" w:rsidRDefault="00CA54AE" w:rsidP="00CA54AE">
      <w:pPr>
        <w:pStyle w:val="AERbulletlistthirdstyle"/>
      </w:pPr>
      <w:r w:rsidRPr="00EA0A07">
        <w:t>a threshold (based on capacity or any other measure identified in the connection charge guidelines) below which a retail customer (not being  non-registered embedded generator or a real estate developer) will not be liable for a connection charge for an augmentation other than an extension.</w:t>
      </w:r>
    </w:p>
    <w:p w:rsidR="00CA54AE" w:rsidRPr="00E30446" w:rsidRDefault="00CA54AE" w:rsidP="00CA54AE">
      <w:pPr>
        <w:pStyle w:val="AERbodytext"/>
        <w:rPr>
          <w:rStyle w:val="AERbody"/>
        </w:rPr>
      </w:pPr>
      <w:r w:rsidRPr="00E30446">
        <w:rPr>
          <w:rStyle w:val="AERbody"/>
        </w:rPr>
        <w:t>The purpose of our connection charge guidelines for electricity retail customers is to ensure that connection charges:</w:t>
      </w:r>
    </w:p>
    <w:p w:rsidR="00CA54AE" w:rsidRPr="00FE49D1" w:rsidRDefault="00CA54AE" w:rsidP="00CA54AE">
      <w:pPr>
        <w:pStyle w:val="AERbulletlistfirststyle"/>
        <w:rPr>
          <w:rStyle w:val="AERbody"/>
        </w:rPr>
      </w:pPr>
      <w:r w:rsidRPr="00E30446">
        <w:rPr>
          <w:rStyle w:val="AERbody"/>
        </w:rPr>
        <w:t xml:space="preserve">are reasonable, taking into account the efficient costs of providing the connection services arising from the new connection or connection alteration </w:t>
      </w:r>
    </w:p>
    <w:p w:rsidR="00CA54AE" w:rsidRPr="00FE49D1" w:rsidRDefault="00CA54AE" w:rsidP="00CA54AE">
      <w:pPr>
        <w:pStyle w:val="AERbulletlistfirststyle"/>
        <w:rPr>
          <w:rStyle w:val="AERbody"/>
        </w:rPr>
      </w:pPr>
      <w:r w:rsidRPr="00E30446">
        <w:rPr>
          <w:rStyle w:val="AERbody"/>
        </w:rPr>
        <w:t>provide, without undue administrative cost, a user-pays signal to reflect the efficient cost of providing the connection services</w:t>
      </w:r>
    </w:p>
    <w:p w:rsidR="00CA54AE" w:rsidRPr="00FE49D1" w:rsidRDefault="00CA54AE" w:rsidP="00CA54AE">
      <w:pPr>
        <w:pStyle w:val="AERbulletlistfirststyle"/>
        <w:rPr>
          <w:rStyle w:val="AERbody"/>
        </w:rPr>
      </w:pPr>
      <w:r w:rsidRPr="00E30446">
        <w:rPr>
          <w:rStyle w:val="AERbody"/>
        </w:rPr>
        <w:t>limit cross-subsidisation of connection costs between different classes (or subclasses) of retail customer</w:t>
      </w:r>
    </w:p>
    <w:p w:rsidR="00CA54AE" w:rsidRDefault="00CA54AE" w:rsidP="00CA54AE">
      <w:pPr>
        <w:pStyle w:val="AERbulletlistfirststyle"/>
        <w:rPr>
          <w:rStyle w:val="AERbody"/>
        </w:rPr>
      </w:pPr>
      <w:proofErr w:type="gramStart"/>
      <w:r w:rsidRPr="00E30446">
        <w:rPr>
          <w:rStyle w:val="AERbody"/>
        </w:rPr>
        <w:t>are</w:t>
      </w:r>
      <w:proofErr w:type="gramEnd"/>
      <w:r w:rsidRPr="00E30446">
        <w:rPr>
          <w:rStyle w:val="AERbody"/>
        </w:rPr>
        <w:t xml:space="preserve"> competitively neutral, if the connection services are contestable.</w:t>
      </w:r>
    </w:p>
    <w:p w:rsidR="00CA54AE" w:rsidRDefault="00CA54AE" w:rsidP="00CA54AE">
      <w:pPr>
        <w:pStyle w:val="AERbodytext"/>
        <w:rPr>
          <w:rStyle w:val="AERbody"/>
        </w:rPr>
      </w:pPr>
      <w:r>
        <w:rPr>
          <w:rStyle w:val="AERbody"/>
        </w:rPr>
        <w:t>We</w:t>
      </w:r>
      <w:r w:rsidRPr="00E05D13">
        <w:rPr>
          <w:rStyle w:val="AERbody"/>
        </w:rPr>
        <w:t xml:space="preserve"> may approve the </w:t>
      </w:r>
      <w:r>
        <w:rPr>
          <w:rStyle w:val="AERbody"/>
        </w:rPr>
        <w:t xml:space="preserve">proposed connection policy if </w:t>
      </w:r>
      <w:r w:rsidRPr="00E05D13">
        <w:rPr>
          <w:rStyle w:val="AERbody"/>
        </w:rPr>
        <w:t>satisfied that the proposed policy adequately complies with the</w:t>
      </w:r>
      <w:r>
        <w:rPr>
          <w:rStyle w:val="AERbody"/>
        </w:rPr>
        <w:t xml:space="preserve"> </w:t>
      </w:r>
      <w:r w:rsidRPr="00E05D13">
        <w:rPr>
          <w:rStyle w:val="AERbody"/>
        </w:rPr>
        <w:t>requirements of Part DA of chapter 6 of the NER.</w:t>
      </w:r>
    </w:p>
    <w:p w:rsidR="00CA54AE" w:rsidRPr="00FE49D1" w:rsidRDefault="00CA54AE" w:rsidP="00CA54AE">
      <w:pPr>
        <w:pStyle w:val="AERbodytext"/>
      </w:pPr>
    </w:p>
    <w:p w:rsidR="00CA54AE" w:rsidRDefault="00CA54AE" w:rsidP="00FC1817">
      <w:pPr>
        <w:pStyle w:val="Heading2"/>
        <w:numPr>
          <w:ilvl w:val="2"/>
          <w:numId w:val="47"/>
        </w:numPr>
      </w:pPr>
      <w:bookmarkStart w:id="9" w:name="_Toc404332546"/>
      <w:r w:rsidRPr="00D27423">
        <w:t>Draft decision</w:t>
      </w:r>
      <w:bookmarkEnd w:id="9"/>
    </w:p>
    <w:p w:rsidR="00CA54AE" w:rsidRPr="00FE49D1" w:rsidRDefault="00CA54AE" w:rsidP="00CA54AE">
      <w:pPr>
        <w:pStyle w:val="AERbodytext"/>
      </w:pPr>
      <w:r>
        <w:t xml:space="preserve">We approve Endeavour Energy’s connection policy because it meets </w:t>
      </w:r>
      <w:r w:rsidRPr="0015441B">
        <w:rPr>
          <w:rStyle w:val="AERbody"/>
        </w:rPr>
        <w:t xml:space="preserve">the requirements </w:t>
      </w:r>
      <w:r>
        <w:rPr>
          <w:rStyle w:val="AERbody"/>
        </w:rPr>
        <w:t>of</w:t>
      </w:r>
      <w:r w:rsidRPr="0015441B">
        <w:rPr>
          <w:rStyle w:val="AERbody"/>
        </w:rPr>
        <w:t xml:space="preserve"> Part DA of Chapter 6 of the NER</w:t>
      </w:r>
      <w:r>
        <w:rPr>
          <w:rStyle w:val="AERbody"/>
        </w:rPr>
        <w:t xml:space="preserve">, and is </w:t>
      </w:r>
      <w:r w:rsidRPr="0015441B">
        <w:rPr>
          <w:rStyle w:val="AERbody"/>
        </w:rPr>
        <w:t xml:space="preserve">consistent with the connection charge principles and </w:t>
      </w:r>
      <w:r>
        <w:rPr>
          <w:rStyle w:val="AERbody"/>
        </w:rPr>
        <w:t>our</w:t>
      </w:r>
      <w:r w:rsidRPr="0015441B">
        <w:rPr>
          <w:rStyle w:val="AERbody"/>
        </w:rPr>
        <w:t xml:space="preserve"> </w:t>
      </w:r>
      <w:r w:rsidRPr="0035701D">
        <w:rPr>
          <w:rStyle w:val="AERbody"/>
        </w:rPr>
        <w:t xml:space="preserve">connection charge guidelines for electricity </w:t>
      </w:r>
      <w:r>
        <w:rPr>
          <w:rStyle w:val="AERbody"/>
        </w:rPr>
        <w:t xml:space="preserve">retail </w:t>
      </w:r>
      <w:r w:rsidRPr="0035701D">
        <w:rPr>
          <w:rStyle w:val="AERbody"/>
        </w:rPr>
        <w:t>customers</w:t>
      </w:r>
      <w:r>
        <w:rPr>
          <w:rStyle w:val="AERbody"/>
        </w:rPr>
        <w:t>.</w:t>
      </w:r>
    </w:p>
    <w:p w:rsidR="00CA54AE" w:rsidRPr="00D27423" w:rsidRDefault="00CA54AE" w:rsidP="00CA54AE">
      <w:pPr>
        <w:pStyle w:val="Heading2"/>
      </w:pPr>
      <w:bookmarkStart w:id="10" w:name="_Toc404332547"/>
      <w:r>
        <w:t xml:space="preserve">Endeavour Energy's </w:t>
      </w:r>
      <w:r w:rsidRPr="00D27423">
        <w:t>proposal</w:t>
      </w:r>
      <w:bookmarkEnd w:id="10"/>
    </w:p>
    <w:p w:rsidR="00CA54AE" w:rsidRPr="00CA54AE" w:rsidRDefault="00CA54AE" w:rsidP="00CA54AE">
      <w:pPr>
        <w:pStyle w:val="AERbodytext"/>
      </w:pPr>
      <w:r>
        <w:t xml:space="preserve">Endeavour Energy proposed the same connection policy for the forthcoming regulatory period as previously approved by us in the transitional </w:t>
      </w:r>
      <w:r w:rsidR="00775B1C">
        <w:t xml:space="preserve">distribution </w:t>
      </w:r>
      <w:r>
        <w:t>de</w:t>
      </w:r>
      <w:r w:rsidR="00A703E9">
        <w:t>cision for Endeavour Energy</w:t>
      </w:r>
      <w:r>
        <w:t xml:space="preserve"> for 2014/15.</w:t>
      </w:r>
      <w:r w:rsidR="00A703E9">
        <w:rPr>
          <w:rStyle w:val="FootnoteReference"/>
        </w:rPr>
        <w:footnoteReference w:id="3"/>
      </w:r>
    </w:p>
    <w:p w:rsidR="00CA54AE" w:rsidRDefault="00CA54AE" w:rsidP="00CA54AE">
      <w:pPr>
        <w:pStyle w:val="Heading2"/>
      </w:pPr>
      <w:bookmarkStart w:id="11" w:name="_Toc404332548"/>
      <w:r w:rsidRPr="00D27423">
        <w:t>AER's assessment approach</w:t>
      </w:r>
      <w:bookmarkEnd w:id="11"/>
    </w:p>
    <w:p w:rsidR="003E6A78" w:rsidRPr="003E6A78" w:rsidRDefault="003E6A78" w:rsidP="003E6A78">
      <w:pPr>
        <w:pStyle w:val="AERbodytext"/>
      </w:pPr>
      <w:r>
        <w:t>We examined the</w:t>
      </w:r>
      <w:r w:rsidRPr="003E6A78">
        <w:t xml:space="preserve"> proposed connection policy against the requirements of Part DA of chapter 6 as stated above––whether it:</w:t>
      </w:r>
    </w:p>
    <w:p w:rsidR="003E6A78" w:rsidRDefault="003E6A78" w:rsidP="003E6A78">
      <w:pPr>
        <w:pStyle w:val="AERbulletlistfirststyle"/>
      </w:pPr>
      <w:r>
        <w:t xml:space="preserve">is consistent with </w:t>
      </w:r>
      <w:r w:rsidRPr="00964370">
        <w:t>the connection charge principles set out in chapter 5A of the NER</w:t>
      </w:r>
      <w:r>
        <w:t>, and our</w:t>
      </w:r>
      <w:r w:rsidRPr="00964370">
        <w:t xml:space="preserve"> connection charge guidelines</w:t>
      </w:r>
    </w:p>
    <w:p w:rsidR="003E6A78" w:rsidRDefault="003E6A78" w:rsidP="003E6A78">
      <w:pPr>
        <w:pStyle w:val="AERbulletlistfirststyle"/>
      </w:pPr>
      <w:proofErr w:type="gramStart"/>
      <w:r>
        <w:t>contains</w:t>
      </w:r>
      <w:proofErr w:type="gramEnd"/>
      <w:r>
        <w:t xml:space="preserve"> all the information for new customers as prescribed by the NER.</w:t>
      </w:r>
    </w:p>
    <w:p w:rsidR="003E6A78" w:rsidRDefault="003E6A78" w:rsidP="003E6A78">
      <w:pPr>
        <w:pStyle w:val="AERbodytext"/>
      </w:pPr>
      <w:r>
        <w:t>In addition, we also examined whether:</w:t>
      </w:r>
    </w:p>
    <w:p w:rsidR="003E6A78" w:rsidRDefault="003E6A78" w:rsidP="003E6A78">
      <w:pPr>
        <w:pStyle w:val="AERbulletlistfirststyle"/>
      </w:pPr>
      <w:r>
        <w:t xml:space="preserve">other connection related charges included in the connection policy, such as metering installation charges, are consistent with the service classification of this draft </w:t>
      </w:r>
      <w:r w:rsidR="00A00E71">
        <w:t>determination</w:t>
      </w:r>
    </w:p>
    <w:p w:rsidR="003E6A78" w:rsidRDefault="003E6A78" w:rsidP="003E6A78">
      <w:pPr>
        <w:pStyle w:val="AERbulletlistfirststyle"/>
      </w:pPr>
      <w:proofErr w:type="gramStart"/>
      <w:r>
        <w:t>the</w:t>
      </w:r>
      <w:proofErr w:type="gramEnd"/>
      <w:r>
        <w:t xml:space="preserve"> connection policy contains terms that are not fair and reasonable.</w:t>
      </w:r>
    </w:p>
    <w:p w:rsidR="00CA54AE" w:rsidRPr="00D27423" w:rsidRDefault="00CA54AE" w:rsidP="00CA54AE">
      <w:pPr>
        <w:pStyle w:val="Heading2"/>
      </w:pPr>
      <w:bookmarkStart w:id="12" w:name="_Toc404332549"/>
      <w:r w:rsidRPr="00D27423">
        <w:t>Reasons for draft decision</w:t>
      </w:r>
      <w:bookmarkEnd w:id="12"/>
    </w:p>
    <w:p w:rsidR="00CA54AE" w:rsidRDefault="00CA54AE" w:rsidP="00CA54AE">
      <w:pPr>
        <w:pStyle w:val="AERbodytext"/>
      </w:pPr>
      <w:r>
        <w:t>We approve Endeavour Energy’s connection policy because we found that:</w:t>
      </w:r>
    </w:p>
    <w:p w:rsidR="003E6A78" w:rsidRDefault="003E6A78" w:rsidP="003E6A78">
      <w:pPr>
        <w:pStyle w:val="AERbulletlistfirststyle"/>
        <w:rPr>
          <w:rStyle w:val="AERbody"/>
        </w:rPr>
      </w:pPr>
      <w:r>
        <w:t>It is</w:t>
      </w:r>
      <w:r w:rsidRPr="00C62758">
        <w:rPr>
          <w:rStyle w:val="AERbody"/>
        </w:rPr>
        <w:t xml:space="preserve"> consistent with the connection charge principles </w:t>
      </w:r>
      <w:r>
        <w:rPr>
          <w:rStyle w:val="AERbody"/>
        </w:rPr>
        <w:t xml:space="preserve">of chapter 5A of the NER </w:t>
      </w:r>
      <w:r w:rsidRPr="00C62758">
        <w:rPr>
          <w:rStyle w:val="AERbody"/>
        </w:rPr>
        <w:t xml:space="preserve">and </w:t>
      </w:r>
      <w:r>
        <w:rPr>
          <w:rStyle w:val="AERbody"/>
        </w:rPr>
        <w:t>our</w:t>
      </w:r>
      <w:r w:rsidRPr="00C62758">
        <w:rPr>
          <w:rStyle w:val="AERbody"/>
        </w:rPr>
        <w:t xml:space="preserve"> </w:t>
      </w:r>
      <w:r w:rsidRPr="0035701D">
        <w:rPr>
          <w:rStyle w:val="AERbody"/>
        </w:rPr>
        <w:t>connection charge guidelines for electricity</w:t>
      </w:r>
      <w:r>
        <w:rPr>
          <w:rStyle w:val="AERbody"/>
        </w:rPr>
        <w:t xml:space="preserve"> retail</w:t>
      </w:r>
      <w:r w:rsidRPr="0035701D">
        <w:rPr>
          <w:rStyle w:val="AERbody"/>
        </w:rPr>
        <w:t xml:space="preserve"> customers</w:t>
      </w:r>
      <w:r>
        <w:rPr>
          <w:rStyle w:val="AERbody"/>
        </w:rPr>
        <w:t xml:space="preserve"> published under chapter 5A.</w:t>
      </w:r>
    </w:p>
    <w:p w:rsidR="003E6A78" w:rsidRDefault="003E6A78" w:rsidP="003E6A78">
      <w:pPr>
        <w:pStyle w:val="AERbulletlistfirststyle"/>
        <w:rPr>
          <w:rStyle w:val="AERbody"/>
        </w:rPr>
      </w:pPr>
      <w:r>
        <w:rPr>
          <w:rStyle w:val="AERbody"/>
        </w:rPr>
        <w:t xml:space="preserve">It contains </w:t>
      </w:r>
      <w:r w:rsidR="00A64532">
        <w:rPr>
          <w:rStyle w:val="AERbody"/>
        </w:rPr>
        <w:t xml:space="preserve">all </w:t>
      </w:r>
      <w:r>
        <w:rPr>
          <w:rStyle w:val="AERbody"/>
        </w:rPr>
        <w:t>the necessary information to new customers as required by Part DA of chapter 6 of the NER.</w:t>
      </w:r>
    </w:p>
    <w:p w:rsidR="00DB7356" w:rsidRPr="00DB7356" w:rsidRDefault="00DB7356" w:rsidP="00A703E9">
      <w:pPr>
        <w:pStyle w:val="AERbulletlistfirststyle"/>
        <w:numPr>
          <w:ilvl w:val="0"/>
          <w:numId w:val="0"/>
        </w:numPr>
        <w:rPr>
          <w:rStyle w:val="AERbody"/>
        </w:rPr>
      </w:pPr>
      <w:r w:rsidRPr="00DB7356">
        <w:rPr>
          <w:rStyle w:val="AERbody"/>
        </w:rPr>
        <w:t>We note that:</w:t>
      </w:r>
    </w:p>
    <w:p w:rsidR="003E6A78" w:rsidRDefault="003E6A78" w:rsidP="003E6A78">
      <w:pPr>
        <w:pStyle w:val="AERbulletlistfirststyle"/>
      </w:pPr>
      <w:r>
        <w:t>All other connection related charges included in the connection policy, such as metering installation charges, are consistent with the service classification of this determination.</w:t>
      </w:r>
    </w:p>
    <w:p w:rsidR="003E6A78" w:rsidRDefault="003E6A78" w:rsidP="003E6A78">
      <w:pPr>
        <w:pStyle w:val="AERbulletlistfirststyle"/>
      </w:pPr>
      <w:r>
        <w:rPr>
          <w:rStyle w:val="AERbody"/>
        </w:rPr>
        <w:t>It does not have terms and conditions that are unfair or unreasonable.</w:t>
      </w:r>
    </w:p>
    <w:p w:rsidR="00CA54AE" w:rsidRPr="00D27423" w:rsidRDefault="00CA54AE" w:rsidP="003E6A78">
      <w:bookmarkStart w:id="13" w:name="_GoBack"/>
      <w:bookmarkEnd w:id="13"/>
    </w:p>
    <w:sectPr w:rsidR="00CA54AE" w:rsidRPr="00D27423" w:rsidSect="00175109">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E6" w:rsidRPr="00AB4345" w:rsidRDefault="002471E6" w:rsidP="00AB4345">
      <w:r>
        <w:separator/>
      </w:r>
    </w:p>
  </w:endnote>
  <w:endnote w:type="continuationSeparator" w:id="0">
    <w:p w:rsidR="002471E6" w:rsidRPr="00AB4345" w:rsidRDefault="002471E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471E6" w:rsidRPr="00824CC8" w:rsidRDefault="002471E6" w:rsidP="00824CC8">
        <w:pPr>
          <w:pStyle w:val="Footer"/>
        </w:pPr>
        <w:r w:rsidRPr="00824CC8">
          <w:fldChar w:fldCharType="begin"/>
        </w:r>
        <w:r w:rsidRPr="00824CC8">
          <w:instrText xml:space="preserve"> PAGE   \* MERGEFORMAT </w:instrText>
        </w:r>
        <w:r w:rsidRPr="00824CC8">
          <w:fldChar w:fldCharType="separate"/>
        </w:r>
        <w:r w:rsidR="00F11638">
          <w:rPr>
            <w:noProof/>
          </w:rPr>
          <w:t>18-2</w:t>
        </w:r>
        <w:r w:rsidRPr="00824CC8">
          <w:fldChar w:fldCharType="end"/>
        </w:r>
        <w:r w:rsidRPr="00824CC8">
          <w:tab/>
        </w:r>
        <w:r w:rsidR="00175109">
          <w:t xml:space="preserve">                                             </w:t>
        </w:r>
        <w:r w:rsidR="00175109">
          <w:rPr>
            <w:rStyle w:val="AERbody"/>
          </w:rPr>
          <w:t xml:space="preserve">Attachment 18: </w:t>
        </w:r>
        <w:r w:rsidR="00175109">
          <w:t>Connection policy</w:t>
        </w:r>
        <w:r w:rsidR="00175109" w:rsidRPr="00210880">
          <w:rPr>
            <w:rStyle w:val="AERbody"/>
          </w:rPr>
          <w:t xml:space="preserve"> | </w:t>
        </w:r>
        <w:r w:rsidR="00175109">
          <w:rPr>
            <w:rStyle w:val="AERbody"/>
          </w:rPr>
          <w:t>Endeavour Energy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824CC8" w:rsidRDefault="00175109" w:rsidP="00824CC8">
    <w:pPr>
      <w:pStyle w:val="Footer"/>
      <w:rPr>
        <w:rStyle w:val="AERbody"/>
      </w:rPr>
    </w:pPr>
    <w:r>
      <w:rPr>
        <w:rStyle w:val="AERbody"/>
      </w:rPr>
      <w:t xml:space="preserve">Attachment 18: </w:t>
    </w:r>
    <w:r>
      <w:t>Connection policy</w:t>
    </w:r>
    <w:r w:rsidRPr="00210880">
      <w:rPr>
        <w:rStyle w:val="AERbody"/>
      </w:rPr>
      <w:t xml:space="preserve"> | </w:t>
    </w:r>
    <w:r>
      <w:rPr>
        <w:rStyle w:val="AERbody"/>
      </w:rPr>
      <w:t>Endeavour Energy draft decision</w:t>
    </w:r>
    <w:r w:rsidR="002471E6" w:rsidRPr="00210880">
      <w:rPr>
        <w:rStyle w:val="AERbody"/>
      </w:rPr>
      <w:tab/>
    </w:r>
    <w:r w:rsidR="002471E6" w:rsidRPr="00824CC8">
      <w:rPr>
        <w:rStyle w:val="AERbody"/>
      </w:rPr>
      <w:fldChar w:fldCharType="begin"/>
    </w:r>
    <w:r w:rsidR="002471E6" w:rsidRPr="00824CC8">
      <w:rPr>
        <w:rStyle w:val="AERbody"/>
      </w:rPr>
      <w:instrText xml:space="preserve"> PAGE   \* MERGEFORMAT </w:instrText>
    </w:r>
    <w:r w:rsidR="002471E6" w:rsidRPr="00824CC8">
      <w:rPr>
        <w:rStyle w:val="AERbody"/>
      </w:rPr>
      <w:fldChar w:fldCharType="separate"/>
    </w:r>
    <w:r w:rsidR="00F11638">
      <w:rPr>
        <w:rStyle w:val="AERbody"/>
        <w:noProof/>
      </w:rPr>
      <w:t>18-1</w:t>
    </w:r>
    <w:r w:rsidR="002471E6"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E6" w:rsidRPr="00AB4345" w:rsidRDefault="002471E6" w:rsidP="00AB4345">
      <w:r>
        <w:separator/>
      </w:r>
    </w:p>
  </w:footnote>
  <w:footnote w:type="continuationSeparator" w:id="0">
    <w:p w:rsidR="002471E6" w:rsidRPr="00AB4345" w:rsidRDefault="002471E6" w:rsidP="00AB4345">
      <w:r>
        <w:continuationSeparator/>
      </w:r>
    </w:p>
  </w:footnote>
  <w:footnote w:id="1">
    <w:p w:rsidR="00CA54AE" w:rsidRDefault="00CA54AE" w:rsidP="00CA54AE">
      <w:pPr>
        <w:pStyle w:val="FootnoteText"/>
      </w:pPr>
      <w:r>
        <w:rPr>
          <w:rStyle w:val="FootnoteReference"/>
        </w:rPr>
        <w:footnoteRef/>
      </w:r>
      <w:r>
        <w:t xml:space="preserve"> </w:t>
      </w:r>
      <w:r>
        <w:tab/>
        <w:t xml:space="preserve">NER, clause </w:t>
      </w:r>
      <w:proofErr w:type="gramStart"/>
      <w:r>
        <w:t>6.7A.1(</w:t>
      </w:r>
      <w:proofErr w:type="gramEnd"/>
      <w:r>
        <w:t>b).</w:t>
      </w:r>
    </w:p>
  </w:footnote>
  <w:footnote w:id="2">
    <w:p w:rsidR="00CA54AE" w:rsidRDefault="00CA54AE" w:rsidP="00CA54AE">
      <w:pPr>
        <w:pStyle w:val="FootnoteText"/>
      </w:pPr>
      <w:r>
        <w:rPr>
          <w:rStyle w:val="FootnoteReference"/>
        </w:rPr>
        <w:footnoteRef/>
      </w:r>
      <w:r>
        <w:t xml:space="preserve"> </w:t>
      </w:r>
      <w:r>
        <w:tab/>
      </w:r>
      <w:r w:rsidRPr="001D0C7F">
        <w:t xml:space="preserve">AER, </w:t>
      </w:r>
      <w:r w:rsidRPr="00DA1375">
        <w:rPr>
          <w:rStyle w:val="AERtextitalic"/>
        </w:rPr>
        <w:t xml:space="preserve">Connection charge guideline for electricity retail customers, </w:t>
      </w:r>
      <w:proofErr w:type="gramStart"/>
      <w:r w:rsidRPr="00DA1375">
        <w:rPr>
          <w:rStyle w:val="AERtextitalic"/>
        </w:rPr>
        <w:t>Under</w:t>
      </w:r>
      <w:proofErr w:type="gramEnd"/>
      <w:r w:rsidRPr="00DA1375">
        <w:rPr>
          <w:rStyle w:val="AERtextitalic"/>
        </w:rPr>
        <w:t xml:space="preserve"> chapter 5A of the National Electricity Rules Version 1.0</w:t>
      </w:r>
      <w:r w:rsidRPr="001D0C7F">
        <w:t>, June 2012</w:t>
      </w:r>
      <w:r>
        <w:t>.</w:t>
      </w:r>
    </w:p>
  </w:footnote>
  <w:footnote w:id="3">
    <w:p w:rsidR="00A703E9" w:rsidRDefault="00A703E9">
      <w:pPr>
        <w:pStyle w:val="FootnoteText"/>
      </w:pPr>
      <w:r>
        <w:rPr>
          <w:rStyle w:val="FootnoteReference"/>
        </w:rPr>
        <w:footnoteRef/>
      </w:r>
      <w:r>
        <w:t xml:space="preserve"> </w:t>
      </w:r>
      <w:r>
        <w:tab/>
      </w:r>
      <w:r w:rsidR="00775B1C" w:rsidRPr="00775B1C">
        <w:t xml:space="preserve">AER, </w:t>
      </w:r>
      <w:r w:rsidR="00775B1C" w:rsidRPr="00775B1C">
        <w:rPr>
          <w:rStyle w:val="AERtextitalic"/>
        </w:rPr>
        <w:t>Transitional distribution decision 2014–15: Ausgrid, Endeavour Energy, Essential Energy, ActewAGL</w:t>
      </w:r>
      <w:r w:rsidR="00775B1C" w:rsidRPr="00775B1C">
        <w:t>, 16 April 2014</w:t>
      </w:r>
      <w:r>
        <w:t>, p.56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8"/>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6"/>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documentProtection w:formatting="1" w:enforcement="1" w:cryptProviderType="rsaFull" w:cryptAlgorithmClass="hash" w:cryptAlgorithmType="typeAny" w:cryptAlgorithmSid="4" w:cryptSpinCount="100000" w:hash="xOsN8Oc1jR9ke9sdGF1YpH+7N2k=" w:salt="ziz8s3O0lk6UWLJHvuubWg=="/>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17896\AER14 903  Ausgrid reset 2014-19 - Draft decision - Connection policies.DOCX"/>
  </w:docVars>
  <w:rsids>
    <w:rsidRoot w:val="000C052F"/>
    <w:rsid w:val="00011129"/>
    <w:rsid w:val="00022606"/>
    <w:rsid w:val="00040599"/>
    <w:rsid w:val="00040749"/>
    <w:rsid w:val="000A1CC2"/>
    <w:rsid w:val="000A5342"/>
    <w:rsid w:val="000B15CA"/>
    <w:rsid w:val="000C052F"/>
    <w:rsid w:val="000C3430"/>
    <w:rsid w:val="000D03C2"/>
    <w:rsid w:val="000D04B1"/>
    <w:rsid w:val="000D401F"/>
    <w:rsid w:val="000D76C0"/>
    <w:rsid w:val="000E1A25"/>
    <w:rsid w:val="000E6418"/>
    <w:rsid w:val="000F3A6A"/>
    <w:rsid w:val="001033B3"/>
    <w:rsid w:val="00105636"/>
    <w:rsid w:val="0013022D"/>
    <w:rsid w:val="00131287"/>
    <w:rsid w:val="001543D2"/>
    <w:rsid w:val="001708CC"/>
    <w:rsid w:val="00174026"/>
    <w:rsid w:val="00175109"/>
    <w:rsid w:val="001856EE"/>
    <w:rsid w:val="00194C3C"/>
    <w:rsid w:val="001B6619"/>
    <w:rsid w:val="001C12E5"/>
    <w:rsid w:val="001C5208"/>
    <w:rsid w:val="002023C1"/>
    <w:rsid w:val="0020711E"/>
    <w:rsid w:val="00210880"/>
    <w:rsid w:val="002257B9"/>
    <w:rsid w:val="0023137D"/>
    <w:rsid w:val="002471E6"/>
    <w:rsid w:val="00266710"/>
    <w:rsid w:val="002805B8"/>
    <w:rsid w:val="002938CE"/>
    <w:rsid w:val="002B6640"/>
    <w:rsid w:val="002D61AC"/>
    <w:rsid w:val="002E4720"/>
    <w:rsid w:val="00303452"/>
    <w:rsid w:val="003324F7"/>
    <w:rsid w:val="00334F88"/>
    <w:rsid w:val="003707DB"/>
    <w:rsid w:val="003711E2"/>
    <w:rsid w:val="00375AEC"/>
    <w:rsid w:val="00376236"/>
    <w:rsid w:val="0037652C"/>
    <w:rsid w:val="003800E4"/>
    <w:rsid w:val="00380FF5"/>
    <w:rsid w:val="003A6174"/>
    <w:rsid w:val="003E45D6"/>
    <w:rsid w:val="003E6A78"/>
    <w:rsid w:val="004030AB"/>
    <w:rsid w:val="00411433"/>
    <w:rsid w:val="00412282"/>
    <w:rsid w:val="004256BA"/>
    <w:rsid w:val="00431999"/>
    <w:rsid w:val="00433475"/>
    <w:rsid w:val="00435682"/>
    <w:rsid w:val="00436C61"/>
    <w:rsid w:val="0044154E"/>
    <w:rsid w:val="00444185"/>
    <w:rsid w:val="00456081"/>
    <w:rsid w:val="00464F5D"/>
    <w:rsid w:val="00474FBD"/>
    <w:rsid w:val="00491D7D"/>
    <w:rsid w:val="004964DB"/>
    <w:rsid w:val="004C115A"/>
    <w:rsid w:val="004C3F45"/>
    <w:rsid w:val="004D6D97"/>
    <w:rsid w:val="004E40EF"/>
    <w:rsid w:val="004E73F7"/>
    <w:rsid w:val="004F2E0B"/>
    <w:rsid w:val="004F76A0"/>
    <w:rsid w:val="00500E7F"/>
    <w:rsid w:val="0052179D"/>
    <w:rsid w:val="00525604"/>
    <w:rsid w:val="005456A9"/>
    <w:rsid w:val="00555D52"/>
    <w:rsid w:val="005566D7"/>
    <w:rsid w:val="00561F7F"/>
    <w:rsid w:val="00566B35"/>
    <w:rsid w:val="00571B68"/>
    <w:rsid w:val="005732CC"/>
    <w:rsid w:val="00575422"/>
    <w:rsid w:val="005938C6"/>
    <w:rsid w:val="00593C90"/>
    <w:rsid w:val="005A0431"/>
    <w:rsid w:val="005B3752"/>
    <w:rsid w:val="005B61C2"/>
    <w:rsid w:val="005D26B7"/>
    <w:rsid w:val="005D4AA1"/>
    <w:rsid w:val="005E3E0C"/>
    <w:rsid w:val="0060146C"/>
    <w:rsid w:val="0060207D"/>
    <w:rsid w:val="006039F2"/>
    <w:rsid w:val="006061B0"/>
    <w:rsid w:val="0060732E"/>
    <w:rsid w:val="006076A9"/>
    <w:rsid w:val="006341BE"/>
    <w:rsid w:val="0065125A"/>
    <w:rsid w:val="006544EA"/>
    <w:rsid w:val="0066569F"/>
    <w:rsid w:val="0069004B"/>
    <w:rsid w:val="006B08EB"/>
    <w:rsid w:val="006B481F"/>
    <w:rsid w:val="006F638E"/>
    <w:rsid w:val="00703E42"/>
    <w:rsid w:val="00717EB9"/>
    <w:rsid w:val="007368AD"/>
    <w:rsid w:val="00751D2A"/>
    <w:rsid w:val="00755095"/>
    <w:rsid w:val="00775B1C"/>
    <w:rsid w:val="00785DA7"/>
    <w:rsid w:val="00796A07"/>
    <w:rsid w:val="007E2610"/>
    <w:rsid w:val="007F10E3"/>
    <w:rsid w:val="007F2C0E"/>
    <w:rsid w:val="00804AEB"/>
    <w:rsid w:val="00824CC8"/>
    <w:rsid w:val="00836D17"/>
    <w:rsid w:val="00840A55"/>
    <w:rsid w:val="00841E25"/>
    <w:rsid w:val="0084378B"/>
    <w:rsid w:val="008464CD"/>
    <w:rsid w:val="008515EE"/>
    <w:rsid w:val="00861C4E"/>
    <w:rsid w:val="008648CF"/>
    <w:rsid w:val="00866D21"/>
    <w:rsid w:val="00872D85"/>
    <w:rsid w:val="00883DDA"/>
    <w:rsid w:val="00891FF9"/>
    <w:rsid w:val="00893367"/>
    <w:rsid w:val="00893D07"/>
    <w:rsid w:val="008B7956"/>
    <w:rsid w:val="008C33FF"/>
    <w:rsid w:val="008C3722"/>
    <w:rsid w:val="008C3B67"/>
    <w:rsid w:val="008C3F48"/>
    <w:rsid w:val="008C4CDB"/>
    <w:rsid w:val="008D49B4"/>
    <w:rsid w:val="008D7498"/>
    <w:rsid w:val="00931ABD"/>
    <w:rsid w:val="00932E96"/>
    <w:rsid w:val="009418E6"/>
    <w:rsid w:val="0094235F"/>
    <w:rsid w:val="0094279F"/>
    <w:rsid w:val="00946B98"/>
    <w:rsid w:val="0095052A"/>
    <w:rsid w:val="009516DF"/>
    <w:rsid w:val="009658F0"/>
    <w:rsid w:val="00971655"/>
    <w:rsid w:val="00971C63"/>
    <w:rsid w:val="00972175"/>
    <w:rsid w:val="009A4AE9"/>
    <w:rsid w:val="009C71D5"/>
    <w:rsid w:val="009D0222"/>
    <w:rsid w:val="009F7CE4"/>
    <w:rsid w:val="00A00E71"/>
    <w:rsid w:val="00A11162"/>
    <w:rsid w:val="00A43227"/>
    <w:rsid w:val="00A46CCD"/>
    <w:rsid w:val="00A64532"/>
    <w:rsid w:val="00A65133"/>
    <w:rsid w:val="00A652C5"/>
    <w:rsid w:val="00A703E9"/>
    <w:rsid w:val="00A71B88"/>
    <w:rsid w:val="00A85C5A"/>
    <w:rsid w:val="00A96A08"/>
    <w:rsid w:val="00AA0161"/>
    <w:rsid w:val="00AB1D08"/>
    <w:rsid w:val="00AB4345"/>
    <w:rsid w:val="00AB5BD7"/>
    <w:rsid w:val="00AC0135"/>
    <w:rsid w:val="00AC070D"/>
    <w:rsid w:val="00AC1B94"/>
    <w:rsid w:val="00AD0616"/>
    <w:rsid w:val="00AD34FF"/>
    <w:rsid w:val="00AD4DE6"/>
    <w:rsid w:val="00AE6DBC"/>
    <w:rsid w:val="00AF3E95"/>
    <w:rsid w:val="00AF7C67"/>
    <w:rsid w:val="00B15FE9"/>
    <w:rsid w:val="00B51883"/>
    <w:rsid w:val="00B61FD4"/>
    <w:rsid w:val="00B674DB"/>
    <w:rsid w:val="00B82E8D"/>
    <w:rsid w:val="00B9264D"/>
    <w:rsid w:val="00B94D99"/>
    <w:rsid w:val="00BB3FA1"/>
    <w:rsid w:val="00BB62BB"/>
    <w:rsid w:val="00BC05C5"/>
    <w:rsid w:val="00BD04BE"/>
    <w:rsid w:val="00BE0630"/>
    <w:rsid w:val="00BE38B1"/>
    <w:rsid w:val="00BE6F28"/>
    <w:rsid w:val="00BF29FA"/>
    <w:rsid w:val="00C04D2B"/>
    <w:rsid w:val="00C22C94"/>
    <w:rsid w:val="00C557F2"/>
    <w:rsid w:val="00C65A70"/>
    <w:rsid w:val="00C737C5"/>
    <w:rsid w:val="00CA3540"/>
    <w:rsid w:val="00CA54AE"/>
    <w:rsid w:val="00CA6DED"/>
    <w:rsid w:val="00CC49D4"/>
    <w:rsid w:val="00CE6F5A"/>
    <w:rsid w:val="00CF42CF"/>
    <w:rsid w:val="00D01345"/>
    <w:rsid w:val="00D102E9"/>
    <w:rsid w:val="00D1688F"/>
    <w:rsid w:val="00D2117F"/>
    <w:rsid w:val="00D25317"/>
    <w:rsid w:val="00D27423"/>
    <w:rsid w:val="00D30DD2"/>
    <w:rsid w:val="00D66E8B"/>
    <w:rsid w:val="00D85715"/>
    <w:rsid w:val="00D8706C"/>
    <w:rsid w:val="00DA4C62"/>
    <w:rsid w:val="00DB2C56"/>
    <w:rsid w:val="00DB6A17"/>
    <w:rsid w:val="00DB7356"/>
    <w:rsid w:val="00DD4E84"/>
    <w:rsid w:val="00DD5520"/>
    <w:rsid w:val="00DE22F1"/>
    <w:rsid w:val="00DF16C2"/>
    <w:rsid w:val="00E00F76"/>
    <w:rsid w:val="00E13473"/>
    <w:rsid w:val="00E21E75"/>
    <w:rsid w:val="00E31873"/>
    <w:rsid w:val="00E519DC"/>
    <w:rsid w:val="00E6571F"/>
    <w:rsid w:val="00E807DA"/>
    <w:rsid w:val="00E84E3A"/>
    <w:rsid w:val="00E94C06"/>
    <w:rsid w:val="00EA05AF"/>
    <w:rsid w:val="00EB5292"/>
    <w:rsid w:val="00EB5CDF"/>
    <w:rsid w:val="00EC43B9"/>
    <w:rsid w:val="00ED4D69"/>
    <w:rsid w:val="00EE362F"/>
    <w:rsid w:val="00EF0E19"/>
    <w:rsid w:val="00F114AE"/>
    <w:rsid w:val="00F11638"/>
    <w:rsid w:val="00F43CA0"/>
    <w:rsid w:val="00F54216"/>
    <w:rsid w:val="00F55030"/>
    <w:rsid w:val="00F7696F"/>
    <w:rsid w:val="00F8209B"/>
    <w:rsid w:val="00F820C2"/>
    <w:rsid w:val="00F8634A"/>
    <w:rsid w:val="00F97CD9"/>
    <w:rsid w:val="00FA0576"/>
    <w:rsid w:val="00FB0768"/>
    <w:rsid w:val="00FB50B4"/>
    <w:rsid w:val="00FC1817"/>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6590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83A4F2BC.dotm</Template>
  <TotalTime>0</TotalTime>
  <Pages>8</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2014-11-26T07:30:00Z</dcterms:created>
  <dcterms:modified xsi:type="dcterms:W3CDTF">2014-11-26T07:30:00Z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8295399</vt:lpwstr>
  </property>
</Properties>
</file>