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CC2" w:rsidRPr="0020711E" w:rsidRDefault="00CA2AE8" w:rsidP="00824CC8">
      <w:pPr>
        <w:pStyle w:val="AERbodytextindent1"/>
        <w:rPr>
          <w:rStyle w:val="AERtextsize8"/>
        </w:rPr>
      </w:pPr>
      <w:r w:rsidRPr="00CA2AE8">
        <w:rPr>
          <w:noProof/>
          <w:lang w:eastAsia="en-AU"/>
        </w:rPr>
        <w:drawing>
          <wp:anchor distT="0" distB="0" distL="114300" distR="114300" simplePos="0" relativeHeight="251666432" behindDoc="1" locked="0" layoutInCell="1" allowOverlap="1" wp14:anchorId="0655C8A6" wp14:editId="23FF2E25">
            <wp:simplePos x="0" y="0"/>
            <wp:positionH relativeFrom="column">
              <wp:posOffset>-909955</wp:posOffset>
            </wp:positionH>
            <wp:positionV relativeFrom="paragraph">
              <wp:posOffset>-935355</wp:posOffset>
            </wp:positionV>
            <wp:extent cx="7576185" cy="10706735"/>
            <wp:effectExtent l="0" t="0" r="0" b="0"/>
            <wp:wrapNone/>
            <wp:docPr id="1"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6185" cy="10706735"/>
                    </a:xfrm>
                    <a:prstGeom prst="rect">
                      <a:avLst/>
                    </a:prstGeom>
                    <a:noFill/>
                    <a:ln w="9525">
                      <a:noFill/>
                      <a:miter lim="800000"/>
                      <a:headEnd/>
                      <a:tailEnd/>
                    </a:ln>
                  </pic:spPr>
                </pic:pic>
              </a:graphicData>
            </a:graphic>
          </wp:anchor>
        </w:drawing>
      </w:r>
      <w:r w:rsidR="00CC49D4" w:rsidRPr="00824CC8">
        <w:rPr>
          <w:noProof/>
          <w:lang w:eastAsia="en-AU"/>
        </w:rPr>
        <w:drawing>
          <wp:anchor distT="0" distB="0" distL="114300" distR="114300" simplePos="0" relativeHeight="251661312" behindDoc="1" locked="0" layoutInCell="1" allowOverlap="1" wp14:anchorId="32B0F0A5" wp14:editId="490CAD01">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p>
    <w:p w:rsidR="009658F0" w:rsidRDefault="009658F0" w:rsidP="000A1CC2">
      <w:pPr>
        <w:pStyle w:val="AERtitle1"/>
      </w:pPr>
    </w:p>
    <w:p w:rsidR="009658F0" w:rsidRDefault="009658F0" w:rsidP="000A1CC2">
      <w:pPr>
        <w:pStyle w:val="AERtitle1"/>
      </w:pPr>
    </w:p>
    <w:p w:rsidR="00CA2AE8" w:rsidRDefault="00CA2AE8" w:rsidP="000A1CC2">
      <w:pPr>
        <w:pStyle w:val="AERtitle1"/>
      </w:pPr>
    </w:p>
    <w:p w:rsidR="00CA2AE8" w:rsidRDefault="00CA2AE8" w:rsidP="000A1CC2">
      <w:pPr>
        <w:pStyle w:val="AERtitle1"/>
      </w:pPr>
    </w:p>
    <w:p w:rsidR="000A1CC2" w:rsidRDefault="00427CA9" w:rsidP="000A1CC2">
      <w:pPr>
        <w:pStyle w:val="AERtitle1"/>
      </w:pPr>
      <w:r>
        <w:t>AEMO</w:t>
      </w:r>
    </w:p>
    <w:p w:rsidR="00CA2AE8" w:rsidRDefault="00CA2AE8" w:rsidP="000A1CC2">
      <w:pPr>
        <w:pStyle w:val="AERtitle1"/>
      </w:pPr>
      <w:r>
        <w:t>Transmission determination</w:t>
      </w:r>
    </w:p>
    <w:p w:rsidR="00CA2AE8" w:rsidRDefault="00743941" w:rsidP="000A1CC2">
      <w:pPr>
        <w:pStyle w:val="AERtitle1"/>
      </w:pPr>
      <w:r>
        <w:t>2014–15 to 2018–19</w:t>
      </w:r>
    </w:p>
    <w:p w:rsidR="000A1CC2" w:rsidRDefault="000A1CC2" w:rsidP="000A1CC2">
      <w:pPr>
        <w:pStyle w:val="AERtitle1"/>
      </w:pPr>
    </w:p>
    <w:p w:rsidR="000B15CA" w:rsidRDefault="000B15CA" w:rsidP="000B15CA">
      <w:pPr>
        <w:pStyle w:val="AERtitle2"/>
      </w:pPr>
    </w:p>
    <w:p w:rsidR="00CA2AE8" w:rsidRPr="00CA2AE8" w:rsidRDefault="00AD64C8" w:rsidP="000B15CA">
      <w:pPr>
        <w:pStyle w:val="AERtitle2"/>
        <w:rPr>
          <w:rStyle w:val="AERtextbold"/>
        </w:rPr>
      </w:pPr>
      <w:r>
        <w:rPr>
          <w:rStyle w:val="AERtextbold"/>
        </w:rPr>
        <w:t>April</w:t>
      </w:r>
      <w:r w:rsidR="00CA2AE8" w:rsidRPr="00CA2AE8">
        <w:rPr>
          <w:rStyle w:val="AERtextbold"/>
        </w:rPr>
        <w:t xml:space="preserve"> 2014</w:t>
      </w:r>
    </w:p>
    <w:p w:rsidR="000B15CA" w:rsidRDefault="000B15CA" w:rsidP="000B15CA">
      <w:pPr>
        <w:pStyle w:val="AERtitle2"/>
      </w:pPr>
    </w:p>
    <w:p w:rsidR="000B15CA" w:rsidRDefault="000B15CA" w:rsidP="000B15CA">
      <w:pPr>
        <w:pStyle w:val="AERtitle2"/>
      </w:pPr>
    </w:p>
    <w:p w:rsidR="000B15CA" w:rsidRDefault="000B15CA" w:rsidP="00F97CD9">
      <w:pPr>
        <w:pStyle w:val="AERbodytextnospace"/>
        <w:numPr>
          <w:ilvl w:val="0"/>
          <w:numId w:val="13"/>
        </w:numPr>
      </w:pPr>
    </w:p>
    <w:p w:rsidR="00CA2AE8" w:rsidRPr="00CA2AE8" w:rsidRDefault="00CA2AE8" w:rsidP="00CA2AE8">
      <w:pPr>
        <w:pStyle w:val="AERbodytextnospace"/>
        <w:numPr>
          <w:ilvl w:val="0"/>
          <w:numId w:val="13"/>
        </w:numPr>
        <w:rPr>
          <w:b/>
        </w:rPr>
      </w:pPr>
      <w:bookmarkStart w:id="0" w:name="_Toc360023682"/>
      <w:bookmarkStart w:id="1" w:name="_Toc360024843"/>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CA2AE8" w:rsidRPr="00CA2AE8" w:rsidRDefault="00CA2AE8" w:rsidP="00CA2AE8">
      <w:pPr>
        <w:pStyle w:val="AERbodytextnospace"/>
        <w:numPr>
          <w:ilvl w:val="0"/>
          <w:numId w:val="13"/>
        </w:numPr>
        <w:rPr>
          <w:b/>
        </w:rPr>
      </w:pPr>
    </w:p>
    <w:p w:rsidR="00B925C9" w:rsidRDefault="00B925C9" w:rsidP="00CA2AE8">
      <w:pPr>
        <w:pStyle w:val="AERbodytextnospace"/>
        <w:numPr>
          <w:ilvl w:val="0"/>
          <w:numId w:val="13"/>
        </w:numPr>
        <w:rPr>
          <w:rStyle w:val="AERtextbold"/>
        </w:rPr>
        <w:sectPr w:rsidR="00B925C9" w:rsidSect="00CA2AE8">
          <w:footerReference w:type="even" r:id="rId10"/>
          <w:footerReference w:type="default" r:id="rId11"/>
          <w:pgSz w:w="11906" w:h="16838" w:code="9"/>
          <w:pgMar w:top="1440" w:right="1440" w:bottom="1440" w:left="1440" w:header="709" w:footer="709" w:gutter="0"/>
          <w:cols w:space="708"/>
          <w:docGrid w:linePitch="360"/>
        </w:sectPr>
      </w:pPr>
    </w:p>
    <w:p w:rsidR="00CA2AE8" w:rsidRPr="008F1A4A" w:rsidRDefault="00CA2AE8" w:rsidP="00CA2AE8">
      <w:pPr>
        <w:pStyle w:val="AERbodytextnospace"/>
        <w:numPr>
          <w:ilvl w:val="0"/>
          <w:numId w:val="13"/>
        </w:numPr>
        <w:rPr>
          <w:rStyle w:val="AERtextbold"/>
        </w:rPr>
      </w:pPr>
      <w:r w:rsidRPr="008F1A4A">
        <w:rPr>
          <w:rStyle w:val="AERtextbold"/>
        </w:rPr>
        <w:lastRenderedPageBreak/>
        <w:t xml:space="preserve">© </w:t>
      </w:r>
      <w:r>
        <w:rPr>
          <w:rStyle w:val="AERtextbold"/>
        </w:rPr>
        <w:t>Commonwealth of Australia 2014</w:t>
      </w:r>
      <w:r w:rsidRPr="008F1A4A">
        <w:rPr>
          <w:rStyle w:val="AERtextbold"/>
        </w:rPr>
        <w:t xml:space="preserve"> </w:t>
      </w:r>
    </w:p>
    <w:p w:rsidR="00CA2AE8" w:rsidRPr="00F6235D" w:rsidRDefault="00CA2AE8" w:rsidP="00CA2AE8">
      <w:r w:rsidRPr="00F6235D">
        <w:t>This work is copyright. Apart from any use permitted by the Copyright Act 1968, no part may be reproduced without</w:t>
      </w:r>
      <w:bookmarkStart w:id="2" w:name="_GoBack"/>
      <w:bookmarkEnd w:id="2"/>
      <w:r w:rsidRPr="00F6235D">
        <w:t xml:space="preserve"> permission of the Australian Competition and Consumer Commission. Requests and inquiries concerning reproduction and rights should be addressed to the Director Publishing, Australian Competition and Consumer Commission, GPO Box 3131, Canberra ACT 2601.</w:t>
      </w:r>
    </w:p>
    <w:p w:rsidR="00CA2AE8" w:rsidRDefault="00CA2AE8" w:rsidP="00CA2AE8">
      <w:r>
        <w:t>Inquiries about this document should be addressed to:</w:t>
      </w:r>
    </w:p>
    <w:p w:rsidR="00CA2AE8" w:rsidRDefault="00CA2AE8" w:rsidP="00CA2AE8">
      <w:pPr>
        <w:pStyle w:val="AERbodytextnospace"/>
        <w:numPr>
          <w:ilvl w:val="0"/>
          <w:numId w:val="13"/>
        </w:numPr>
      </w:pPr>
      <w:r>
        <w:t>Australian Energy Regulator</w:t>
      </w:r>
    </w:p>
    <w:p w:rsidR="00CA2AE8" w:rsidRDefault="00CA2AE8" w:rsidP="00CA2AE8">
      <w:pPr>
        <w:pStyle w:val="AERbodytextnospace"/>
        <w:numPr>
          <w:ilvl w:val="0"/>
          <w:numId w:val="13"/>
        </w:numPr>
      </w:pPr>
      <w:r>
        <w:t>GPO Box 520</w:t>
      </w:r>
    </w:p>
    <w:p w:rsidR="00CA2AE8" w:rsidRDefault="00CA2AE8" w:rsidP="00CA2AE8">
      <w:pPr>
        <w:pStyle w:val="AERbodytextnospace"/>
        <w:numPr>
          <w:ilvl w:val="0"/>
          <w:numId w:val="13"/>
        </w:numPr>
      </w:pPr>
      <w:r>
        <w:t>Melbourne  Vic  3001</w:t>
      </w:r>
    </w:p>
    <w:p w:rsidR="00CA2AE8" w:rsidRDefault="00CA2AE8" w:rsidP="00CA2AE8">
      <w:pPr>
        <w:pStyle w:val="AERbodytextnospace"/>
        <w:numPr>
          <w:ilvl w:val="0"/>
          <w:numId w:val="13"/>
        </w:numPr>
      </w:pPr>
      <w:r>
        <w:t>Tel: (03) 9290 1444</w:t>
      </w:r>
    </w:p>
    <w:p w:rsidR="00CA2AE8" w:rsidRDefault="00CA2AE8" w:rsidP="00CA2AE8">
      <w:pPr>
        <w:pStyle w:val="AERbodytextnospace"/>
        <w:numPr>
          <w:ilvl w:val="0"/>
          <w:numId w:val="13"/>
        </w:numPr>
      </w:pPr>
      <w:r>
        <w:t>Fax: (03) 9290 1457</w:t>
      </w:r>
    </w:p>
    <w:p w:rsidR="00CA2AE8" w:rsidRDefault="00CA2AE8" w:rsidP="00CA2AE8">
      <w:pPr>
        <w:pStyle w:val="AERbodytextnospace"/>
        <w:numPr>
          <w:ilvl w:val="0"/>
          <w:numId w:val="13"/>
        </w:numPr>
      </w:pPr>
      <w:r>
        <w:t xml:space="preserve">Email: </w:t>
      </w:r>
      <w:hyperlink r:id="rId12" w:history="1">
        <w:r w:rsidRPr="003E184A">
          <w:rPr>
            <w:rStyle w:val="Hyperlink"/>
          </w:rPr>
          <w:t>AERInquiry@aer.gov.au</w:t>
        </w:r>
      </w:hyperlink>
    </w:p>
    <w:p w:rsidR="00CA2AE8" w:rsidRPr="008F1A4A" w:rsidRDefault="00CA2AE8" w:rsidP="00CA2AE8"/>
    <w:p w:rsidR="00AF3E95" w:rsidRDefault="00AF3E95" w:rsidP="00CA2AE8">
      <w:pPr>
        <w:pStyle w:val="UnnumberedHeading"/>
        <w:numPr>
          <w:ilvl w:val="0"/>
          <w:numId w:val="0"/>
        </w:numPr>
      </w:pPr>
      <w:bookmarkStart w:id="3" w:name="_Toc383165533"/>
      <w:r>
        <w:lastRenderedPageBreak/>
        <w:t>Contents</w:t>
      </w:r>
      <w:bookmarkEnd w:id="0"/>
      <w:bookmarkEnd w:id="1"/>
      <w:bookmarkEnd w:id="3"/>
    </w:p>
    <w:p w:rsidR="00446F60" w:rsidRDefault="00824CC8">
      <w:pPr>
        <w:pStyle w:val="TOC1"/>
        <w:tabs>
          <w:tab w:val="right" w:leader="dot" w:pos="9016"/>
        </w:tabs>
        <w:rPr>
          <w:rFonts w:asciiTheme="minorHAnsi" w:eastAsiaTheme="minorEastAsia" w:hAnsiTheme="minorHAnsi" w:cstheme="minorBidi"/>
          <w:b w:val="0"/>
          <w:bCs w:val="0"/>
          <w:noProof/>
          <w:sz w:val="22"/>
          <w:szCs w:val="22"/>
          <w:lang w:eastAsia="en-AU"/>
        </w:rPr>
      </w:pPr>
      <w:r w:rsidRPr="00AC1B94">
        <w:fldChar w:fldCharType="begin"/>
      </w:r>
      <w:r w:rsidRPr="00971655">
        <w:instrText xml:space="preserve"> TOC \o "1-2" \h \z \u </w:instrText>
      </w:r>
      <w:r w:rsidRPr="00AC1B94">
        <w:fldChar w:fldCharType="separate"/>
      </w:r>
      <w:hyperlink w:anchor="_Toc383165533" w:history="1">
        <w:r w:rsidR="00446F60" w:rsidRPr="00197CF1">
          <w:rPr>
            <w:rStyle w:val="Hyperlink"/>
            <w:noProof/>
          </w:rPr>
          <w:t>Contents</w:t>
        </w:r>
        <w:r w:rsidR="00446F60">
          <w:rPr>
            <w:noProof/>
            <w:webHidden/>
          </w:rPr>
          <w:tab/>
        </w:r>
        <w:r w:rsidR="00446F60">
          <w:rPr>
            <w:noProof/>
            <w:webHidden/>
          </w:rPr>
          <w:fldChar w:fldCharType="begin"/>
        </w:r>
        <w:r w:rsidR="00446F60">
          <w:rPr>
            <w:noProof/>
            <w:webHidden/>
          </w:rPr>
          <w:instrText xml:space="preserve"> PAGEREF _Toc383165533 \h </w:instrText>
        </w:r>
        <w:r w:rsidR="00446F60">
          <w:rPr>
            <w:noProof/>
            <w:webHidden/>
          </w:rPr>
        </w:r>
        <w:r w:rsidR="00446F60">
          <w:rPr>
            <w:noProof/>
            <w:webHidden/>
          </w:rPr>
          <w:fldChar w:fldCharType="separate"/>
        </w:r>
        <w:r w:rsidR="00446F60">
          <w:rPr>
            <w:noProof/>
            <w:webHidden/>
          </w:rPr>
          <w:t>ii</w:t>
        </w:r>
        <w:r w:rsidR="00446F60">
          <w:rPr>
            <w:noProof/>
            <w:webHidden/>
          </w:rPr>
          <w:fldChar w:fldCharType="end"/>
        </w:r>
      </w:hyperlink>
    </w:p>
    <w:p w:rsidR="00446F60" w:rsidRDefault="00AD64C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3165534" w:history="1">
        <w:r w:rsidR="00446F60" w:rsidRPr="00197CF1">
          <w:rPr>
            <w:rStyle w:val="Hyperlink"/>
            <w:noProof/>
          </w:rPr>
          <w:t>Shortened forms</w:t>
        </w:r>
        <w:r w:rsidR="00446F60">
          <w:rPr>
            <w:noProof/>
            <w:webHidden/>
          </w:rPr>
          <w:tab/>
        </w:r>
        <w:r w:rsidR="00446F60">
          <w:rPr>
            <w:noProof/>
            <w:webHidden/>
          </w:rPr>
          <w:fldChar w:fldCharType="begin"/>
        </w:r>
        <w:r w:rsidR="00446F60">
          <w:rPr>
            <w:noProof/>
            <w:webHidden/>
          </w:rPr>
          <w:instrText xml:space="preserve"> PAGEREF _Toc383165534 \h </w:instrText>
        </w:r>
        <w:r w:rsidR="00446F60">
          <w:rPr>
            <w:noProof/>
            <w:webHidden/>
          </w:rPr>
        </w:r>
        <w:r w:rsidR="00446F60">
          <w:rPr>
            <w:noProof/>
            <w:webHidden/>
          </w:rPr>
          <w:fldChar w:fldCharType="separate"/>
        </w:r>
        <w:r w:rsidR="00446F60">
          <w:rPr>
            <w:noProof/>
            <w:webHidden/>
          </w:rPr>
          <w:t>iii</w:t>
        </w:r>
        <w:r w:rsidR="00446F60">
          <w:rPr>
            <w:noProof/>
            <w:webHidden/>
          </w:rPr>
          <w:fldChar w:fldCharType="end"/>
        </w:r>
      </w:hyperlink>
    </w:p>
    <w:p w:rsidR="00446F60" w:rsidRDefault="00AD64C8">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3165535" w:history="1">
        <w:r w:rsidR="00446F60" w:rsidRPr="00197CF1">
          <w:rPr>
            <w:rStyle w:val="Hyperlink"/>
            <w:noProof/>
          </w:rPr>
          <w:t>Summary</w:t>
        </w:r>
        <w:r w:rsidR="00446F60">
          <w:rPr>
            <w:noProof/>
            <w:webHidden/>
          </w:rPr>
          <w:tab/>
        </w:r>
        <w:r w:rsidR="00446F60">
          <w:rPr>
            <w:noProof/>
            <w:webHidden/>
          </w:rPr>
          <w:fldChar w:fldCharType="begin"/>
        </w:r>
        <w:r w:rsidR="00446F60">
          <w:rPr>
            <w:noProof/>
            <w:webHidden/>
          </w:rPr>
          <w:instrText xml:space="preserve"> PAGEREF _Toc383165535 \h </w:instrText>
        </w:r>
        <w:r w:rsidR="00446F60">
          <w:rPr>
            <w:noProof/>
            <w:webHidden/>
          </w:rPr>
        </w:r>
        <w:r w:rsidR="00446F60">
          <w:rPr>
            <w:noProof/>
            <w:webHidden/>
          </w:rPr>
          <w:fldChar w:fldCharType="separate"/>
        </w:r>
        <w:r w:rsidR="00446F60">
          <w:rPr>
            <w:noProof/>
            <w:webHidden/>
          </w:rPr>
          <w:t>1</w:t>
        </w:r>
        <w:r w:rsidR="00446F60">
          <w:rPr>
            <w:noProof/>
            <w:webHidden/>
          </w:rPr>
          <w:fldChar w:fldCharType="end"/>
        </w:r>
      </w:hyperlink>
    </w:p>
    <w:p w:rsidR="00446F60" w:rsidRDefault="00AD64C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165536" w:history="1">
        <w:r w:rsidR="00446F60" w:rsidRPr="00197CF1">
          <w:rPr>
            <w:rStyle w:val="Hyperlink"/>
            <w:noProof/>
          </w:rPr>
          <w:t>1</w:t>
        </w:r>
        <w:r w:rsidR="00446F60">
          <w:rPr>
            <w:rFonts w:asciiTheme="minorHAnsi" w:eastAsiaTheme="minorEastAsia" w:hAnsiTheme="minorHAnsi" w:cstheme="minorBidi"/>
            <w:b w:val="0"/>
            <w:bCs w:val="0"/>
            <w:noProof/>
            <w:sz w:val="22"/>
            <w:szCs w:val="22"/>
            <w:lang w:eastAsia="en-AU"/>
          </w:rPr>
          <w:tab/>
        </w:r>
        <w:r w:rsidR="00446F60" w:rsidRPr="00197CF1">
          <w:rPr>
            <w:rStyle w:val="Hyperlink"/>
            <w:noProof/>
          </w:rPr>
          <w:t>Approved negotiating framework</w:t>
        </w:r>
        <w:r w:rsidR="00446F60">
          <w:rPr>
            <w:noProof/>
            <w:webHidden/>
          </w:rPr>
          <w:tab/>
        </w:r>
        <w:r w:rsidR="00446F60">
          <w:rPr>
            <w:noProof/>
            <w:webHidden/>
          </w:rPr>
          <w:fldChar w:fldCharType="begin"/>
        </w:r>
        <w:r w:rsidR="00446F60">
          <w:rPr>
            <w:noProof/>
            <w:webHidden/>
          </w:rPr>
          <w:instrText xml:space="preserve"> PAGEREF _Toc383165536 \h </w:instrText>
        </w:r>
        <w:r w:rsidR="00446F60">
          <w:rPr>
            <w:noProof/>
            <w:webHidden/>
          </w:rPr>
        </w:r>
        <w:r w:rsidR="00446F60">
          <w:rPr>
            <w:noProof/>
            <w:webHidden/>
          </w:rPr>
          <w:fldChar w:fldCharType="separate"/>
        </w:r>
        <w:r w:rsidR="00446F60">
          <w:rPr>
            <w:noProof/>
            <w:webHidden/>
          </w:rPr>
          <w:t>3</w:t>
        </w:r>
        <w:r w:rsidR="00446F60">
          <w:rPr>
            <w:noProof/>
            <w:webHidden/>
          </w:rPr>
          <w:fldChar w:fldCharType="end"/>
        </w:r>
      </w:hyperlink>
    </w:p>
    <w:p w:rsidR="00446F60" w:rsidRDefault="00AD64C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165537" w:history="1">
        <w:r w:rsidR="00446F60" w:rsidRPr="00197CF1">
          <w:rPr>
            <w:rStyle w:val="Hyperlink"/>
            <w:noProof/>
          </w:rPr>
          <w:t>2</w:t>
        </w:r>
        <w:r w:rsidR="00446F60">
          <w:rPr>
            <w:rFonts w:asciiTheme="minorHAnsi" w:eastAsiaTheme="minorEastAsia" w:hAnsiTheme="minorHAnsi" w:cstheme="minorBidi"/>
            <w:b w:val="0"/>
            <w:bCs w:val="0"/>
            <w:noProof/>
            <w:sz w:val="22"/>
            <w:szCs w:val="22"/>
            <w:lang w:eastAsia="en-AU"/>
          </w:rPr>
          <w:tab/>
        </w:r>
        <w:r w:rsidR="00446F60" w:rsidRPr="00197CF1">
          <w:rPr>
            <w:rStyle w:val="Hyperlink"/>
            <w:noProof/>
          </w:rPr>
          <w:t>Negotiated transmission service criteria</w:t>
        </w:r>
        <w:r w:rsidR="00446F60">
          <w:rPr>
            <w:noProof/>
            <w:webHidden/>
          </w:rPr>
          <w:tab/>
        </w:r>
        <w:r w:rsidR="00446F60">
          <w:rPr>
            <w:noProof/>
            <w:webHidden/>
          </w:rPr>
          <w:fldChar w:fldCharType="begin"/>
        </w:r>
        <w:r w:rsidR="00446F60">
          <w:rPr>
            <w:noProof/>
            <w:webHidden/>
          </w:rPr>
          <w:instrText xml:space="preserve"> PAGEREF _Toc383165537 \h </w:instrText>
        </w:r>
        <w:r w:rsidR="00446F60">
          <w:rPr>
            <w:noProof/>
            <w:webHidden/>
          </w:rPr>
        </w:r>
        <w:r w:rsidR="00446F60">
          <w:rPr>
            <w:noProof/>
            <w:webHidden/>
          </w:rPr>
          <w:fldChar w:fldCharType="separate"/>
        </w:r>
        <w:r w:rsidR="00446F60">
          <w:rPr>
            <w:noProof/>
            <w:webHidden/>
          </w:rPr>
          <w:t>12</w:t>
        </w:r>
        <w:r w:rsidR="00446F60">
          <w:rPr>
            <w:noProof/>
            <w:webHidden/>
          </w:rPr>
          <w:fldChar w:fldCharType="end"/>
        </w:r>
      </w:hyperlink>
    </w:p>
    <w:p w:rsidR="00446F60" w:rsidRDefault="00AD64C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3165538" w:history="1">
        <w:r w:rsidR="00446F60" w:rsidRPr="00197CF1">
          <w:rPr>
            <w:rStyle w:val="Hyperlink"/>
            <w:noProof/>
            <w14:scene3d>
              <w14:camera w14:prst="orthographicFront"/>
              <w14:lightRig w14:rig="threePt" w14:dir="t">
                <w14:rot w14:lat="0" w14:lon="0" w14:rev="0"/>
              </w14:lightRig>
            </w14:scene3d>
          </w:rPr>
          <w:t>2.1</w:t>
        </w:r>
        <w:r w:rsidR="00446F60">
          <w:rPr>
            <w:rFonts w:asciiTheme="minorHAnsi" w:eastAsiaTheme="minorEastAsia" w:hAnsiTheme="minorHAnsi" w:cstheme="minorBidi"/>
            <w:iCs w:val="0"/>
            <w:noProof/>
            <w:sz w:val="22"/>
            <w:szCs w:val="22"/>
            <w:lang w:eastAsia="en-AU"/>
          </w:rPr>
          <w:tab/>
        </w:r>
        <w:r w:rsidR="00446F60" w:rsidRPr="00197CF1">
          <w:rPr>
            <w:rStyle w:val="Hyperlink"/>
            <w:noProof/>
          </w:rPr>
          <w:t>National Electricity Objective</w:t>
        </w:r>
        <w:r w:rsidR="00446F60">
          <w:rPr>
            <w:noProof/>
            <w:webHidden/>
          </w:rPr>
          <w:tab/>
        </w:r>
        <w:r w:rsidR="00446F60">
          <w:rPr>
            <w:noProof/>
            <w:webHidden/>
          </w:rPr>
          <w:fldChar w:fldCharType="begin"/>
        </w:r>
        <w:r w:rsidR="00446F60">
          <w:rPr>
            <w:noProof/>
            <w:webHidden/>
          </w:rPr>
          <w:instrText xml:space="preserve"> PAGEREF _Toc383165538 \h </w:instrText>
        </w:r>
        <w:r w:rsidR="00446F60">
          <w:rPr>
            <w:noProof/>
            <w:webHidden/>
          </w:rPr>
        </w:r>
        <w:r w:rsidR="00446F60">
          <w:rPr>
            <w:noProof/>
            <w:webHidden/>
          </w:rPr>
          <w:fldChar w:fldCharType="separate"/>
        </w:r>
        <w:r w:rsidR="00446F60">
          <w:rPr>
            <w:noProof/>
            <w:webHidden/>
          </w:rPr>
          <w:t>12</w:t>
        </w:r>
        <w:r w:rsidR="00446F60">
          <w:rPr>
            <w:noProof/>
            <w:webHidden/>
          </w:rPr>
          <w:fldChar w:fldCharType="end"/>
        </w:r>
      </w:hyperlink>
    </w:p>
    <w:p w:rsidR="00446F60" w:rsidRDefault="00AD64C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3165539" w:history="1">
        <w:r w:rsidR="00446F60" w:rsidRPr="00197CF1">
          <w:rPr>
            <w:rStyle w:val="Hyperlink"/>
            <w:noProof/>
            <w14:scene3d>
              <w14:camera w14:prst="orthographicFront"/>
              <w14:lightRig w14:rig="threePt" w14:dir="t">
                <w14:rot w14:lat="0" w14:lon="0" w14:rev="0"/>
              </w14:lightRig>
            </w14:scene3d>
          </w:rPr>
          <w:t>2.2</w:t>
        </w:r>
        <w:r w:rsidR="00446F60">
          <w:rPr>
            <w:rFonts w:asciiTheme="minorHAnsi" w:eastAsiaTheme="minorEastAsia" w:hAnsiTheme="minorHAnsi" w:cstheme="minorBidi"/>
            <w:iCs w:val="0"/>
            <w:noProof/>
            <w:sz w:val="22"/>
            <w:szCs w:val="22"/>
            <w:lang w:eastAsia="en-AU"/>
          </w:rPr>
          <w:tab/>
        </w:r>
        <w:r w:rsidR="00446F60" w:rsidRPr="00197CF1">
          <w:rPr>
            <w:rStyle w:val="Hyperlink"/>
            <w:noProof/>
          </w:rPr>
          <w:t>Criteria for terms and conditions of access</w:t>
        </w:r>
        <w:r w:rsidR="00446F60">
          <w:rPr>
            <w:noProof/>
            <w:webHidden/>
          </w:rPr>
          <w:tab/>
        </w:r>
        <w:r w:rsidR="00446F60">
          <w:rPr>
            <w:noProof/>
            <w:webHidden/>
          </w:rPr>
          <w:fldChar w:fldCharType="begin"/>
        </w:r>
        <w:r w:rsidR="00446F60">
          <w:rPr>
            <w:noProof/>
            <w:webHidden/>
          </w:rPr>
          <w:instrText xml:space="preserve"> PAGEREF _Toc383165539 \h </w:instrText>
        </w:r>
        <w:r w:rsidR="00446F60">
          <w:rPr>
            <w:noProof/>
            <w:webHidden/>
          </w:rPr>
        </w:r>
        <w:r w:rsidR="00446F60">
          <w:rPr>
            <w:noProof/>
            <w:webHidden/>
          </w:rPr>
          <w:fldChar w:fldCharType="separate"/>
        </w:r>
        <w:r w:rsidR="00446F60">
          <w:rPr>
            <w:noProof/>
            <w:webHidden/>
          </w:rPr>
          <w:t>12</w:t>
        </w:r>
        <w:r w:rsidR="00446F60">
          <w:rPr>
            <w:noProof/>
            <w:webHidden/>
          </w:rPr>
          <w:fldChar w:fldCharType="end"/>
        </w:r>
      </w:hyperlink>
    </w:p>
    <w:p w:rsidR="00446F60" w:rsidRDefault="00AD64C8">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3165540" w:history="1">
        <w:r w:rsidR="00446F60" w:rsidRPr="00197CF1">
          <w:rPr>
            <w:rStyle w:val="Hyperlink"/>
            <w:noProof/>
            <w14:scene3d>
              <w14:camera w14:prst="orthographicFront"/>
              <w14:lightRig w14:rig="threePt" w14:dir="t">
                <w14:rot w14:lat="0" w14:lon="0" w14:rev="0"/>
              </w14:lightRig>
            </w14:scene3d>
          </w:rPr>
          <w:t>2.3</w:t>
        </w:r>
        <w:r w:rsidR="00446F60">
          <w:rPr>
            <w:rFonts w:asciiTheme="minorHAnsi" w:eastAsiaTheme="minorEastAsia" w:hAnsiTheme="minorHAnsi" w:cstheme="minorBidi"/>
            <w:iCs w:val="0"/>
            <w:noProof/>
            <w:sz w:val="22"/>
            <w:szCs w:val="22"/>
            <w:lang w:eastAsia="en-AU"/>
          </w:rPr>
          <w:tab/>
        </w:r>
        <w:r w:rsidR="00446F60" w:rsidRPr="00197CF1">
          <w:rPr>
            <w:rStyle w:val="Hyperlink"/>
            <w:noProof/>
          </w:rPr>
          <w:t>Criteria for access charges</w:t>
        </w:r>
        <w:r w:rsidR="00446F60">
          <w:rPr>
            <w:noProof/>
            <w:webHidden/>
          </w:rPr>
          <w:tab/>
        </w:r>
        <w:r w:rsidR="00446F60">
          <w:rPr>
            <w:noProof/>
            <w:webHidden/>
          </w:rPr>
          <w:fldChar w:fldCharType="begin"/>
        </w:r>
        <w:r w:rsidR="00446F60">
          <w:rPr>
            <w:noProof/>
            <w:webHidden/>
          </w:rPr>
          <w:instrText xml:space="preserve"> PAGEREF _Toc383165540 \h </w:instrText>
        </w:r>
        <w:r w:rsidR="00446F60">
          <w:rPr>
            <w:noProof/>
            <w:webHidden/>
          </w:rPr>
        </w:r>
        <w:r w:rsidR="00446F60">
          <w:rPr>
            <w:noProof/>
            <w:webHidden/>
          </w:rPr>
          <w:fldChar w:fldCharType="separate"/>
        </w:r>
        <w:r w:rsidR="00446F60">
          <w:rPr>
            <w:noProof/>
            <w:webHidden/>
          </w:rPr>
          <w:t>13</w:t>
        </w:r>
        <w:r w:rsidR="00446F60">
          <w:rPr>
            <w:noProof/>
            <w:webHidden/>
          </w:rPr>
          <w:fldChar w:fldCharType="end"/>
        </w:r>
      </w:hyperlink>
    </w:p>
    <w:p w:rsidR="00446F60" w:rsidRDefault="00AD64C8">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3165541" w:history="1">
        <w:r w:rsidR="00446F60" w:rsidRPr="00197CF1">
          <w:rPr>
            <w:rStyle w:val="Hyperlink"/>
            <w:noProof/>
          </w:rPr>
          <w:t>3</w:t>
        </w:r>
        <w:r w:rsidR="00446F60">
          <w:rPr>
            <w:rFonts w:asciiTheme="minorHAnsi" w:eastAsiaTheme="minorEastAsia" w:hAnsiTheme="minorHAnsi" w:cstheme="minorBidi"/>
            <w:b w:val="0"/>
            <w:bCs w:val="0"/>
            <w:noProof/>
            <w:sz w:val="22"/>
            <w:szCs w:val="22"/>
            <w:lang w:eastAsia="en-AU"/>
          </w:rPr>
          <w:tab/>
        </w:r>
        <w:r w:rsidR="00446F60" w:rsidRPr="00197CF1">
          <w:rPr>
            <w:rStyle w:val="Hyperlink"/>
            <w:noProof/>
          </w:rPr>
          <w:t>Approved pricing methodology</w:t>
        </w:r>
        <w:r w:rsidR="00446F60">
          <w:rPr>
            <w:noProof/>
            <w:webHidden/>
          </w:rPr>
          <w:tab/>
        </w:r>
        <w:r w:rsidR="00446F60">
          <w:rPr>
            <w:noProof/>
            <w:webHidden/>
          </w:rPr>
          <w:fldChar w:fldCharType="begin"/>
        </w:r>
        <w:r w:rsidR="00446F60">
          <w:rPr>
            <w:noProof/>
            <w:webHidden/>
          </w:rPr>
          <w:instrText xml:space="preserve"> PAGEREF _Toc383165541 \h </w:instrText>
        </w:r>
        <w:r w:rsidR="00446F60">
          <w:rPr>
            <w:noProof/>
            <w:webHidden/>
          </w:rPr>
        </w:r>
        <w:r w:rsidR="00446F60">
          <w:rPr>
            <w:noProof/>
            <w:webHidden/>
          </w:rPr>
          <w:fldChar w:fldCharType="separate"/>
        </w:r>
        <w:r w:rsidR="00446F60">
          <w:rPr>
            <w:noProof/>
            <w:webHidden/>
          </w:rPr>
          <w:t>14</w:t>
        </w:r>
        <w:r w:rsidR="00446F60">
          <w:rPr>
            <w:noProof/>
            <w:webHidden/>
          </w:rPr>
          <w:fldChar w:fldCharType="end"/>
        </w:r>
      </w:hyperlink>
    </w:p>
    <w:p w:rsidR="00AF3E95" w:rsidRPr="00AF3E95" w:rsidRDefault="00824CC8" w:rsidP="00DF16C2">
      <w:pPr>
        <w:pStyle w:val="TOC1"/>
      </w:pPr>
      <w:r w:rsidRPr="00AC1B94">
        <w:fldChar w:fldCharType="end"/>
      </w:r>
    </w:p>
    <w:p w:rsidR="009658F0" w:rsidRDefault="00CA2AE8" w:rsidP="00F97CD9">
      <w:pPr>
        <w:pStyle w:val="UnnumberedHeading"/>
        <w:numPr>
          <w:ilvl w:val="0"/>
          <w:numId w:val="2"/>
        </w:numPr>
      </w:pPr>
      <w:bookmarkStart w:id="4" w:name="_Toc383165534"/>
      <w:r>
        <w:lastRenderedPageBreak/>
        <w:t>Shortened forms</w:t>
      </w:r>
      <w:bookmarkEnd w:id="4"/>
    </w:p>
    <w:tbl>
      <w:tblPr>
        <w:tblStyle w:val="AERtable-text"/>
        <w:tblpPr w:leftFromText="180" w:rightFromText="180" w:vertAnchor="text" w:tblpY="1"/>
        <w:tblW w:w="0" w:type="auto"/>
        <w:tblLook w:val="01E0" w:firstRow="1" w:lastRow="1" w:firstColumn="1" w:lastColumn="1" w:noHBand="0" w:noVBand="0"/>
      </w:tblPr>
      <w:tblGrid>
        <w:gridCol w:w="2802"/>
        <w:gridCol w:w="5726"/>
      </w:tblGrid>
      <w:tr w:rsidR="00CA2AE8" w:rsidRPr="00CA2AE8" w:rsidTr="00CA2AE8">
        <w:trPr>
          <w:cnfStyle w:val="100000000000" w:firstRow="1" w:lastRow="0" w:firstColumn="0" w:lastColumn="0" w:oddVBand="0" w:evenVBand="0" w:oddHBand="0" w:evenHBand="0"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Shortened form</w:t>
            </w:r>
          </w:p>
        </w:tc>
        <w:tc>
          <w:tcPr>
            <w:tcW w:w="5726" w:type="dxa"/>
            <w:noWrap/>
          </w:tcPr>
          <w:p w:rsidR="00CA2AE8" w:rsidRPr="00CA2AE8" w:rsidRDefault="00CA2AE8" w:rsidP="00CA2AE8">
            <w:pPr>
              <w:numPr>
                <w:ilvl w:val="0"/>
                <w:numId w:val="13"/>
              </w:numPr>
            </w:pPr>
            <w:r w:rsidRPr="00CA2AE8">
              <w:t>Extended form</w:t>
            </w:r>
          </w:p>
        </w:tc>
      </w:tr>
      <w:tr w:rsidR="00CA2AE8" w:rsidRPr="00CA2AE8" w:rsidTr="00CA2AE8">
        <w:tc>
          <w:tcPr>
            <w:tcW w:w="2802" w:type="dxa"/>
            <w:noWrap/>
          </w:tcPr>
          <w:p w:rsidR="00CA2AE8" w:rsidRPr="00CA2AE8" w:rsidRDefault="00CA2AE8" w:rsidP="00CA2AE8">
            <w:pPr>
              <w:numPr>
                <w:ilvl w:val="0"/>
                <w:numId w:val="13"/>
              </w:numPr>
            </w:pPr>
            <w:r w:rsidRPr="00CA2AE8">
              <w:t>AER</w:t>
            </w:r>
          </w:p>
        </w:tc>
        <w:tc>
          <w:tcPr>
            <w:tcW w:w="5726" w:type="dxa"/>
            <w:noWrap/>
          </w:tcPr>
          <w:p w:rsidR="00CA2AE8" w:rsidRPr="00CA2AE8" w:rsidRDefault="00CA2AE8" w:rsidP="00CA2AE8">
            <w:pPr>
              <w:numPr>
                <w:ilvl w:val="0"/>
                <w:numId w:val="13"/>
              </w:numPr>
            </w:pPr>
            <w:r w:rsidRPr="00CA2AE8">
              <w:t>Australian Energy Regulator</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NER</w:t>
            </w:r>
          </w:p>
        </w:tc>
        <w:tc>
          <w:tcPr>
            <w:tcW w:w="5726" w:type="dxa"/>
            <w:noWrap/>
          </w:tcPr>
          <w:p w:rsidR="00CA2AE8" w:rsidRPr="00CA2AE8" w:rsidRDefault="00CA2AE8" w:rsidP="00CA2AE8">
            <w:pPr>
              <w:numPr>
                <w:ilvl w:val="0"/>
                <w:numId w:val="13"/>
              </w:numPr>
            </w:pPr>
            <w:r w:rsidRPr="00CA2AE8">
              <w:t>National Electricity Rules</w:t>
            </w:r>
          </w:p>
        </w:tc>
      </w:tr>
      <w:tr w:rsidR="00CA2AE8" w:rsidRPr="00CA2AE8" w:rsidTr="00CA2AE8">
        <w:tc>
          <w:tcPr>
            <w:tcW w:w="2802" w:type="dxa"/>
            <w:noWrap/>
          </w:tcPr>
          <w:p w:rsidR="00CA2AE8" w:rsidRPr="00CA2AE8" w:rsidRDefault="00CA2AE8" w:rsidP="00CA2AE8">
            <w:pPr>
              <w:numPr>
                <w:ilvl w:val="0"/>
                <w:numId w:val="13"/>
              </w:numPr>
            </w:pPr>
            <w:r w:rsidRPr="00CA2AE8">
              <w:t>NTSC</w:t>
            </w:r>
          </w:p>
        </w:tc>
        <w:tc>
          <w:tcPr>
            <w:tcW w:w="5726" w:type="dxa"/>
            <w:noWrap/>
          </w:tcPr>
          <w:p w:rsidR="00CA2AE8" w:rsidRPr="00CA2AE8" w:rsidRDefault="00CA2AE8" w:rsidP="00CA2AE8">
            <w:pPr>
              <w:numPr>
                <w:ilvl w:val="0"/>
                <w:numId w:val="13"/>
              </w:numPr>
            </w:pPr>
            <w:r w:rsidRPr="00CA2AE8">
              <w:t>negotiated transmission service criteria</w:t>
            </w:r>
          </w:p>
        </w:tc>
      </w:tr>
      <w:tr w:rsidR="00CA2AE8" w:rsidRPr="00CA2AE8" w:rsidTr="00CA2AE8">
        <w:trPr>
          <w:cnfStyle w:val="000000010000" w:firstRow="0" w:lastRow="0" w:firstColumn="0" w:lastColumn="0" w:oddVBand="0" w:evenVBand="0" w:oddHBand="0" w:evenHBand="1" w:firstRowFirstColumn="0" w:firstRowLastColumn="0" w:lastRowFirstColumn="0" w:lastRowLastColumn="0"/>
        </w:trPr>
        <w:tc>
          <w:tcPr>
            <w:tcW w:w="2802" w:type="dxa"/>
            <w:noWrap/>
          </w:tcPr>
          <w:p w:rsidR="00CA2AE8" w:rsidRPr="00CA2AE8" w:rsidRDefault="00CA2AE8" w:rsidP="00CA2AE8">
            <w:pPr>
              <w:numPr>
                <w:ilvl w:val="0"/>
                <w:numId w:val="13"/>
              </w:numPr>
            </w:pPr>
            <w:r w:rsidRPr="00CA2AE8">
              <w:t>TNSP</w:t>
            </w:r>
          </w:p>
        </w:tc>
        <w:tc>
          <w:tcPr>
            <w:tcW w:w="5726" w:type="dxa"/>
            <w:noWrap/>
          </w:tcPr>
          <w:p w:rsidR="00CA2AE8" w:rsidRPr="00CA2AE8" w:rsidRDefault="00CA2AE8" w:rsidP="00CA2AE8">
            <w:pPr>
              <w:numPr>
                <w:ilvl w:val="0"/>
                <w:numId w:val="13"/>
              </w:numPr>
            </w:pPr>
            <w:r w:rsidRPr="00CA2AE8">
              <w:t>transmission network service provider</w:t>
            </w:r>
          </w:p>
        </w:tc>
      </w:tr>
    </w:tbl>
    <w:p w:rsidR="009F7CE4" w:rsidRDefault="009F7CE4"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CA2AE8" w:rsidRDefault="00CA2AE8" w:rsidP="00CA2AE8">
      <w:pPr>
        <w:pStyle w:val="AERbodytext"/>
        <w:numPr>
          <w:ilvl w:val="0"/>
          <w:numId w:val="0"/>
        </w:numPr>
      </w:pPr>
    </w:p>
    <w:p w:rsidR="00B925C9" w:rsidRDefault="00B925C9" w:rsidP="00CA2AE8">
      <w:pPr>
        <w:pStyle w:val="UnnumberedHeading"/>
        <w:sectPr w:rsidR="00B925C9" w:rsidSect="00B925C9">
          <w:pgSz w:w="11906" w:h="16838" w:code="9"/>
          <w:pgMar w:top="1440" w:right="1440" w:bottom="1440" w:left="1440" w:header="709" w:footer="709" w:gutter="0"/>
          <w:pgNumType w:fmt="lowerRoman" w:start="1"/>
          <w:cols w:space="708"/>
          <w:docGrid w:linePitch="360"/>
        </w:sectPr>
      </w:pPr>
    </w:p>
    <w:p w:rsidR="00CA2AE8" w:rsidRDefault="00CA2AE8" w:rsidP="00CA2AE8">
      <w:pPr>
        <w:pStyle w:val="UnnumberedHeading"/>
      </w:pPr>
      <w:bookmarkStart w:id="5" w:name="_Toc383165535"/>
      <w:r>
        <w:lastRenderedPageBreak/>
        <w:t>Summary</w:t>
      </w:r>
      <w:bookmarkEnd w:id="5"/>
    </w:p>
    <w:p w:rsidR="00B56E1D" w:rsidRDefault="00B56E1D" w:rsidP="00CA2AE8">
      <w:r>
        <w:t>We</w:t>
      </w:r>
      <w:r w:rsidR="00D5592B">
        <w:t>, the Australian Energy Regulator (AER),</w:t>
      </w:r>
      <w:r>
        <w:t xml:space="preserve"> approve the negotiating framework and pricing methodology the Australian Energy Market Operator (AEMO) proposed for the 201</w:t>
      </w:r>
      <w:r w:rsidR="00D46EFE">
        <w:t>4–19 regulatory control period. Our final decision is that the negotiating transmission service criteria (NTSC) set out in part 2 will apply to AEMO.</w:t>
      </w:r>
    </w:p>
    <w:p w:rsidR="00CA2AE8" w:rsidRPr="00CA2AE8" w:rsidRDefault="00CA2AE8" w:rsidP="00CA2AE8">
      <w:r w:rsidRPr="00CA2AE8">
        <w:t xml:space="preserve">Clause 6A.13.4 of the National Electricity Rules (NER) requires </w:t>
      </w:r>
      <w:r w:rsidR="00D5592B">
        <w:t>us to</w:t>
      </w:r>
      <w:r w:rsidRPr="00CA2AE8">
        <w:t xml:space="preserve"> make a transmission determination in relation to </w:t>
      </w:r>
      <w:r w:rsidR="00D5592B">
        <w:t>our</w:t>
      </w:r>
      <w:r w:rsidR="00D5592B" w:rsidRPr="00CA2AE8">
        <w:t xml:space="preserve"> </w:t>
      </w:r>
      <w:r w:rsidRPr="00CA2AE8">
        <w:t xml:space="preserve">final decision for </w:t>
      </w:r>
      <w:r w:rsidR="00427CA9">
        <w:t>AEMO</w:t>
      </w:r>
      <w:r w:rsidRPr="00CA2AE8">
        <w:t>. In accordance with clause 6A.2.2 of the NER, this transmission determination consists of:</w:t>
      </w:r>
    </w:p>
    <w:p w:rsidR="00CA2AE8" w:rsidRDefault="00CA2AE8" w:rsidP="00CA2AE8">
      <w:pPr>
        <w:pStyle w:val="AERbulletlistfirststyle"/>
      </w:pPr>
      <w:r w:rsidRPr="00CA2AE8">
        <w:t xml:space="preserve">a determination relating to </w:t>
      </w:r>
      <w:r w:rsidR="00427CA9">
        <w:t>AEMO</w:t>
      </w:r>
      <w:r w:rsidRPr="00CA2AE8">
        <w:t>’s negotiating framework</w:t>
      </w:r>
    </w:p>
    <w:p w:rsidR="00CA2AE8" w:rsidRDefault="00CA2AE8" w:rsidP="00CA2AE8">
      <w:pPr>
        <w:pStyle w:val="AERbulletlistfirststyle"/>
      </w:pPr>
      <w:r w:rsidRPr="00CA2AE8">
        <w:t xml:space="preserve">a determination that specifies the </w:t>
      </w:r>
      <w:r w:rsidR="00D5592B">
        <w:t>NTSC</w:t>
      </w:r>
      <w:r w:rsidRPr="00CA2AE8">
        <w:t xml:space="preserve"> that apply to</w:t>
      </w:r>
      <w:r>
        <w:t xml:space="preserve"> </w:t>
      </w:r>
      <w:r w:rsidR="00427CA9">
        <w:t>AEMO</w:t>
      </w:r>
    </w:p>
    <w:p w:rsidR="00CA2AE8" w:rsidRDefault="00CA2AE8" w:rsidP="00CA2AE8">
      <w:pPr>
        <w:pStyle w:val="AERbulletlistfirststyle"/>
      </w:pPr>
      <w:r w:rsidRPr="00CA2AE8">
        <w:t xml:space="preserve">a determination that specifies the pricing methodology that applies to </w:t>
      </w:r>
      <w:r w:rsidR="00427CA9">
        <w:t>AEMO</w:t>
      </w:r>
      <w:r w:rsidRPr="00CA2AE8">
        <w:t>.</w:t>
      </w:r>
    </w:p>
    <w:p w:rsidR="00427CA9" w:rsidRPr="00CA2AE8" w:rsidRDefault="008F5532" w:rsidP="00427CA9">
      <w:pPr>
        <w:pStyle w:val="AERbulletlistfirststyle"/>
        <w:numPr>
          <w:ilvl w:val="0"/>
          <w:numId w:val="0"/>
        </w:numPr>
      </w:pPr>
      <w:r>
        <w:t>We are not required to make a traditional building block revenue determination for AEMO.</w:t>
      </w:r>
      <w:r>
        <w:rPr>
          <w:rStyle w:val="FootnoteReference"/>
        </w:rPr>
        <w:footnoteReference w:id="1"/>
      </w:r>
      <w:r>
        <w:t xml:space="preserve"> However, AEMO must have a revenue methodology</w:t>
      </w:r>
      <w:r w:rsidR="00603431">
        <w:t xml:space="preserve"> (which is not subject to our approval)</w:t>
      </w:r>
      <w:r>
        <w:t xml:space="preserve"> setting out the method for calculating its maximum allowed revenue for the provision of prescribed transmission services for each regulatory year.</w:t>
      </w:r>
      <w:r>
        <w:rPr>
          <w:rStyle w:val="FootnoteReference"/>
        </w:rPr>
        <w:footnoteReference w:id="2"/>
      </w:r>
      <w:r>
        <w:t xml:space="preserve"> AEMO’s revenue methodology is available on its website: </w:t>
      </w:r>
      <w:hyperlink r:id="rId13" w:history="1">
        <w:r w:rsidRPr="00540F69">
          <w:rPr>
            <w:rStyle w:val="Hyperlink"/>
          </w:rPr>
          <w:t>www.aemo.com.au</w:t>
        </w:r>
      </w:hyperlink>
      <w:r>
        <w:t>.</w:t>
      </w:r>
      <w:r w:rsidR="00446F60">
        <w:t xml:space="preserve"> In developing that methodology, AEMO is required to consult publicly.</w:t>
      </w:r>
      <w:r w:rsidR="00446F60">
        <w:rPr>
          <w:rStyle w:val="FootnoteReference"/>
        </w:rPr>
        <w:footnoteReference w:id="3"/>
      </w:r>
    </w:p>
    <w:p w:rsidR="00CA2AE8" w:rsidRPr="00CA2AE8" w:rsidRDefault="00CA2AE8" w:rsidP="00CA2AE8">
      <w:pPr>
        <w:pStyle w:val="HeadingBoldBlue"/>
      </w:pPr>
      <w:r w:rsidRPr="00CA2AE8">
        <w:t>Negotiating framework</w:t>
      </w:r>
    </w:p>
    <w:p w:rsidR="00B56E1D" w:rsidRDefault="00B56E1D" w:rsidP="00CA2AE8">
      <w:pPr>
        <w:pStyle w:val="AERbodytext"/>
      </w:pPr>
      <w:r>
        <w:t>The document at part 1</w:t>
      </w:r>
      <w:r w:rsidRPr="00CA2AE8">
        <w:t xml:space="preserve"> of this transmission determination is the negotiating framework that the AER has determined will apply to </w:t>
      </w:r>
      <w:r>
        <w:t>AEMO</w:t>
      </w:r>
      <w:r w:rsidRPr="00CA2AE8">
        <w:t xml:space="preserve"> for the </w:t>
      </w:r>
      <w:r>
        <w:t>2014–19</w:t>
      </w:r>
      <w:r w:rsidRPr="00CA2AE8">
        <w:t xml:space="preserve"> regulatory control period.</w:t>
      </w:r>
      <w:r w:rsidR="00446F60">
        <w:rPr>
          <w:rStyle w:val="FootnoteReference"/>
        </w:rPr>
        <w:footnoteReference w:id="4"/>
      </w:r>
    </w:p>
    <w:p w:rsidR="00CA2AE8" w:rsidRPr="00CA2AE8" w:rsidRDefault="00CA2AE8" w:rsidP="00CA2AE8">
      <w:r w:rsidRPr="00CA2AE8">
        <w:t>The NER requires certain transmission services (negotiated transmission services) to be provided on terms and conditions of access that are negotiated between the transmission network service provider (TNSP) and the service applicant.</w:t>
      </w:r>
      <w:r>
        <w:rPr>
          <w:rStyle w:val="FootnoteReference"/>
        </w:rPr>
        <w:footnoteReference w:id="5"/>
      </w:r>
      <w:r w:rsidRPr="00CA2AE8">
        <w:t xml:space="preserve"> Each TNSP is required to prepare a negotiating framework, which sets out the procedure to be followed during negotiations. The negotiating framework must </w:t>
      </w:r>
      <w:r w:rsidR="00252868">
        <w:t xml:space="preserve">be consistent and comply </w:t>
      </w:r>
      <w:r w:rsidRPr="00CA2AE8">
        <w:t>with:</w:t>
      </w:r>
    </w:p>
    <w:p w:rsidR="00CA2AE8" w:rsidRPr="00CA2AE8" w:rsidRDefault="00CA2AE8" w:rsidP="00CA2AE8">
      <w:pPr>
        <w:pStyle w:val="AERbulletlistfirststyle"/>
      </w:pPr>
      <w:r w:rsidRPr="00CA2AE8">
        <w:t>the applicable requirements of a transmission determination applying to the provider</w:t>
      </w:r>
    </w:p>
    <w:p w:rsidR="00CA2AE8" w:rsidRPr="00CA2AE8" w:rsidRDefault="00CA2AE8" w:rsidP="00CA2AE8">
      <w:pPr>
        <w:pStyle w:val="AERbulletlistfirststyle"/>
      </w:pPr>
      <w:r w:rsidRPr="00CA2AE8">
        <w:t>the minimum requirements for a negotiating framework, which are set out in clause 6A.9.5(c).</w:t>
      </w:r>
    </w:p>
    <w:p w:rsidR="00CA2AE8" w:rsidRPr="00CA2AE8" w:rsidRDefault="00CA2AE8" w:rsidP="00CA2AE8">
      <w:pPr>
        <w:pStyle w:val="HeadingBoldBlue"/>
      </w:pPr>
      <w:r w:rsidRPr="00CA2AE8">
        <w:t>Negotiated transmission service criteria</w:t>
      </w:r>
    </w:p>
    <w:p w:rsidR="00B56E1D" w:rsidRDefault="00B56E1D" w:rsidP="00CA2AE8">
      <w:pPr>
        <w:pStyle w:val="AERbodytext"/>
      </w:pPr>
      <w:r w:rsidRPr="00CA2AE8">
        <w:t xml:space="preserve">The AER has determined that the </w:t>
      </w:r>
      <w:r>
        <w:t>NTSC at part 2</w:t>
      </w:r>
      <w:r w:rsidRPr="00CA2AE8">
        <w:t xml:space="preserve"> of this transmission determination will apply to </w:t>
      </w:r>
      <w:r>
        <w:t>AEMO</w:t>
      </w:r>
      <w:r w:rsidRPr="00CA2AE8">
        <w:t xml:space="preserve"> for the </w:t>
      </w:r>
      <w:r>
        <w:t>2014–19</w:t>
      </w:r>
      <w:r w:rsidRPr="00CA2AE8">
        <w:t xml:space="preserve"> regulatory control period.</w:t>
      </w:r>
      <w:r w:rsidR="00446F60">
        <w:rPr>
          <w:rStyle w:val="FootnoteReference"/>
        </w:rPr>
        <w:footnoteReference w:id="6"/>
      </w:r>
    </w:p>
    <w:p w:rsidR="00CA2AE8" w:rsidRPr="00CA2AE8" w:rsidRDefault="00CA2AE8" w:rsidP="00CA2AE8">
      <w:r w:rsidRPr="00CA2AE8">
        <w:t>Clause 6A.9.4 requires the AER to set out the criteria that apply to a TNSP in negotiating the provision of negotiated transmission services, specifically:</w:t>
      </w:r>
    </w:p>
    <w:p w:rsidR="00CA2AE8" w:rsidRDefault="00CA2AE8" w:rsidP="00CA2AE8">
      <w:pPr>
        <w:pStyle w:val="AERbulletlistfirststyle"/>
      </w:pPr>
      <w:r w:rsidRPr="00CA2AE8">
        <w:t>the terms and conditions of access for negotiated transmission services, including the prices that are to be charged</w:t>
      </w:r>
    </w:p>
    <w:p w:rsidR="00CA2AE8" w:rsidRPr="00CA2AE8" w:rsidRDefault="00CA2AE8" w:rsidP="00CA2AE8">
      <w:pPr>
        <w:pStyle w:val="AERbulletlistfirststyle"/>
      </w:pPr>
      <w:r w:rsidRPr="00CA2AE8">
        <w:lastRenderedPageBreak/>
        <w:t>access charges that are negotiated by the provider during that regulatory control period.</w:t>
      </w:r>
    </w:p>
    <w:p w:rsidR="00CA2AE8" w:rsidRPr="00CA2AE8" w:rsidRDefault="00CA2AE8" w:rsidP="00CA2AE8">
      <w:r w:rsidRPr="00CA2AE8">
        <w:t xml:space="preserve">The criteria must also be applied by a commercial arbitrator to resolve disputes about negotiated transmission services, specifically: </w:t>
      </w:r>
    </w:p>
    <w:p w:rsidR="00CA2AE8" w:rsidRPr="00CA2AE8" w:rsidRDefault="00CA2AE8" w:rsidP="00CA2AE8">
      <w:pPr>
        <w:pStyle w:val="AERbulletlistfirststyle"/>
      </w:pPr>
      <w:r w:rsidRPr="00CA2AE8">
        <w:t>the terms and conditions of access for the negotiated transmission service, including the price that is to be charged for the provision of that service by the TNSP</w:t>
      </w:r>
    </w:p>
    <w:p w:rsidR="00CA2AE8" w:rsidRPr="00CA2AE8" w:rsidRDefault="00CA2AE8" w:rsidP="00CA2AE8">
      <w:pPr>
        <w:pStyle w:val="AERbulletlistfirststyle"/>
      </w:pPr>
      <w:r w:rsidRPr="00CA2AE8">
        <w:t>access charges that are to be paid to, or by, the TNSP.</w:t>
      </w:r>
    </w:p>
    <w:p w:rsidR="00CA2AE8" w:rsidRPr="00CA2AE8" w:rsidRDefault="00CA2AE8" w:rsidP="00CA2AE8">
      <w:pPr>
        <w:pStyle w:val="HeadingBoldBlue"/>
      </w:pPr>
      <w:r w:rsidRPr="00CA2AE8">
        <w:t>Pricing methodology</w:t>
      </w:r>
    </w:p>
    <w:p w:rsidR="00B56E1D" w:rsidRDefault="00B56E1D" w:rsidP="00CA2AE8">
      <w:pPr>
        <w:pStyle w:val="AERbodytext"/>
      </w:pPr>
      <w:r>
        <w:t>The document at part 3</w:t>
      </w:r>
      <w:r w:rsidRPr="00CA2AE8">
        <w:t xml:space="preserve"> of this transmission determination is the pricing methodology that the AER has determined will apply to </w:t>
      </w:r>
      <w:r>
        <w:t>AEMO</w:t>
      </w:r>
      <w:r w:rsidRPr="00CA2AE8">
        <w:t xml:space="preserve"> for the </w:t>
      </w:r>
      <w:r>
        <w:t>2014–19</w:t>
      </w:r>
      <w:r w:rsidRPr="00CA2AE8">
        <w:t xml:space="preserve"> regulatory control period.</w:t>
      </w:r>
    </w:p>
    <w:p w:rsidR="00CA2AE8" w:rsidRPr="00CA2AE8" w:rsidRDefault="00CA2AE8" w:rsidP="00CA2AE8">
      <w:r w:rsidRPr="00CA2AE8">
        <w:t>The NER requires each TNSP to prepare a proposed pricing methodology.</w:t>
      </w:r>
      <w:r w:rsidR="00446F60">
        <w:rPr>
          <w:rStyle w:val="FootnoteReference"/>
        </w:rPr>
        <w:footnoteReference w:id="7"/>
      </w:r>
      <w:r w:rsidRPr="00CA2AE8">
        <w:t xml:space="preserve"> The pricing methodology must give effect to and be consistent with the pricing principles for prescribed transmission services, which are set out in rule 6A.23. It must also comply with the requirements of the AER’s pricing methodology guidelines.</w:t>
      </w:r>
    </w:p>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CA2AE8" w:rsidRDefault="00CA2AE8" w:rsidP="00CA2AE8"/>
    <w:p w:rsidR="00F63519" w:rsidRDefault="00F63519" w:rsidP="00CA2AE8"/>
    <w:p w:rsidR="00F63519" w:rsidRDefault="00F63519" w:rsidP="00CA2AE8"/>
    <w:p w:rsidR="00F63519" w:rsidRDefault="001B3420" w:rsidP="00F63519">
      <w:pPr>
        <w:pStyle w:val="Heading1"/>
      </w:pPr>
      <w:bookmarkStart w:id="6" w:name="_Toc383165536"/>
      <w:r>
        <w:lastRenderedPageBreak/>
        <w:t>Approved n</w:t>
      </w:r>
      <w:r w:rsidR="00F63519">
        <w:t>egotiating framework</w:t>
      </w:r>
      <w:bookmarkEnd w:id="6"/>
    </w:p>
    <w:p w:rsidR="00F63519" w:rsidRDefault="00F63519" w:rsidP="00F63519">
      <w:pPr>
        <w:pStyle w:val="AERbodytext"/>
      </w:pPr>
      <w:r>
        <w:rPr>
          <w:noProof/>
          <w:lang w:eastAsia="en-AU"/>
        </w:rPr>
        <w:drawing>
          <wp:inline distT="0" distB="0" distL="0" distR="0" wp14:anchorId="5F517324" wp14:editId="52BB02C5">
            <wp:extent cx="5731510" cy="8147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D.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8147685"/>
                    </a:xfrm>
                    <a:prstGeom prst="rect">
                      <a:avLst/>
                    </a:prstGeom>
                  </pic:spPr>
                </pic:pic>
              </a:graphicData>
            </a:graphic>
          </wp:inline>
        </w:drawing>
      </w:r>
    </w:p>
    <w:p w:rsidR="00F63519" w:rsidRPr="00F63519" w:rsidRDefault="00F63519" w:rsidP="00F63519">
      <w:pPr>
        <w:pStyle w:val="AERbodytext"/>
      </w:pPr>
      <w:r>
        <w:rPr>
          <w:noProof/>
          <w:lang w:eastAsia="en-AU"/>
        </w:rPr>
        <w:lastRenderedPageBreak/>
        <w:drawing>
          <wp:inline distT="0" distB="0" distL="0" distR="0" wp14:anchorId="6B661F79" wp14:editId="47D251FA">
            <wp:extent cx="5731510" cy="8114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E.tmp"/>
                    <pic:cNvPicPr/>
                  </pic:nvPicPr>
                  <pic:blipFill>
                    <a:blip r:embed="rId15">
                      <a:extLst>
                        <a:ext uri="{28A0092B-C50C-407E-A947-70E740481C1C}">
                          <a14:useLocalDpi xmlns:a14="http://schemas.microsoft.com/office/drawing/2010/main" val="0"/>
                        </a:ext>
                      </a:extLst>
                    </a:blip>
                    <a:stretch>
                      <a:fillRect/>
                    </a:stretch>
                  </pic:blipFill>
                  <pic:spPr>
                    <a:xfrm>
                      <a:off x="0" y="0"/>
                      <a:ext cx="5731510" cy="8114665"/>
                    </a:xfrm>
                    <a:prstGeom prst="rect">
                      <a:avLst/>
                    </a:prstGeom>
                  </pic:spPr>
                </pic:pic>
              </a:graphicData>
            </a:graphic>
          </wp:inline>
        </w:drawing>
      </w:r>
    </w:p>
    <w:p w:rsidR="00CA2AE8" w:rsidRDefault="00CA2AE8" w:rsidP="00F63519">
      <w:pPr>
        <w:pStyle w:val="AERbodytext"/>
        <w:numPr>
          <w:ilvl w:val="0"/>
          <w:numId w:val="0"/>
        </w:numPr>
      </w:pPr>
    </w:p>
    <w:p w:rsidR="00076E48" w:rsidRDefault="00076E48" w:rsidP="00CA2AE8">
      <w:pPr>
        <w:pStyle w:val="AERbodytext"/>
        <w:numPr>
          <w:ilvl w:val="0"/>
          <w:numId w:val="0"/>
        </w:numPr>
      </w:pPr>
    </w:p>
    <w:p w:rsidR="00CA2AE8" w:rsidRDefault="00F63519" w:rsidP="00CA2AE8">
      <w:pPr>
        <w:pStyle w:val="AERbodytext"/>
        <w:numPr>
          <w:ilvl w:val="0"/>
          <w:numId w:val="0"/>
        </w:numPr>
      </w:pPr>
      <w:r>
        <w:rPr>
          <w:noProof/>
          <w:lang w:eastAsia="en-AU"/>
        </w:rPr>
        <w:lastRenderedPageBreak/>
        <w:drawing>
          <wp:inline distT="0" distB="0" distL="0" distR="0" wp14:anchorId="6A9FC8BF" wp14:editId="0EE53AEE">
            <wp:extent cx="5731510" cy="8079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CF.tmp"/>
                    <pic:cNvPicPr/>
                  </pic:nvPicPr>
                  <pic:blipFill>
                    <a:blip r:embed="rId16">
                      <a:extLst>
                        <a:ext uri="{28A0092B-C50C-407E-A947-70E740481C1C}">
                          <a14:useLocalDpi xmlns:a14="http://schemas.microsoft.com/office/drawing/2010/main" val="0"/>
                        </a:ext>
                      </a:extLst>
                    </a:blip>
                    <a:stretch>
                      <a:fillRect/>
                    </a:stretch>
                  </pic:blipFill>
                  <pic:spPr>
                    <a:xfrm>
                      <a:off x="0" y="0"/>
                      <a:ext cx="5731510" cy="8079105"/>
                    </a:xfrm>
                    <a:prstGeom prst="rect">
                      <a:avLst/>
                    </a:prstGeom>
                  </pic:spPr>
                </pic:pic>
              </a:graphicData>
            </a:graphic>
          </wp:inline>
        </w:drawing>
      </w:r>
    </w:p>
    <w:p w:rsidR="00076E48" w:rsidRDefault="00076E48" w:rsidP="00CA2AE8">
      <w:pPr>
        <w:pStyle w:val="AERbodytext"/>
        <w:numPr>
          <w:ilvl w:val="0"/>
          <w:numId w:val="0"/>
        </w:numPr>
      </w:pPr>
    </w:p>
    <w:p w:rsidR="00076E48" w:rsidRDefault="00076E48" w:rsidP="00CA2AE8">
      <w:pPr>
        <w:pStyle w:val="AERbodytext"/>
        <w:numPr>
          <w:ilvl w:val="0"/>
          <w:numId w:val="0"/>
        </w:numPr>
      </w:pPr>
    </w:p>
    <w:p w:rsidR="00076E48" w:rsidRDefault="00076E48" w:rsidP="00CA2AE8">
      <w:pPr>
        <w:pStyle w:val="AERbodytext"/>
        <w:numPr>
          <w:ilvl w:val="0"/>
          <w:numId w:val="0"/>
        </w:numPr>
      </w:pPr>
      <w:r>
        <w:rPr>
          <w:noProof/>
          <w:lang w:eastAsia="en-AU"/>
        </w:rPr>
        <w:lastRenderedPageBreak/>
        <w:drawing>
          <wp:inline distT="0" distB="0" distL="0" distR="0" wp14:anchorId="0B127363" wp14:editId="5DE155E9">
            <wp:extent cx="5731510" cy="8041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0.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8041005"/>
                    </a:xfrm>
                    <a:prstGeom prst="rect">
                      <a:avLst/>
                    </a:prstGeom>
                  </pic:spPr>
                </pic:pic>
              </a:graphicData>
            </a:graphic>
          </wp:inline>
        </w:drawing>
      </w:r>
    </w:p>
    <w:p w:rsidR="00076E48" w:rsidRDefault="00076E48" w:rsidP="00CA2AE8">
      <w:pPr>
        <w:pStyle w:val="AERbodytext"/>
        <w:numPr>
          <w:ilvl w:val="0"/>
          <w:numId w:val="0"/>
        </w:numPr>
      </w:pPr>
    </w:p>
    <w:p w:rsidR="00076E48" w:rsidRDefault="00076E48" w:rsidP="00CA2AE8">
      <w:pPr>
        <w:pStyle w:val="AERbodytext"/>
        <w:numPr>
          <w:ilvl w:val="0"/>
          <w:numId w:val="0"/>
        </w:numPr>
      </w:pPr>
    </w:p>
    <w:p w:rsidR="00076E48" w:rsidRDefault="00076E48" w:rsidP="00CA2AE8">
      <w:pPr>
        <w:pStyle w:val="AERbodytext"/>
        <w:numPr>
          <w:ilvl w:val="0"/>
          <w:numId w:val="0"/>
        </w:numPr>
      </w:pPr>
      <w:r>
        <w:rPr>
          <w:noProof/>
          <w:lang w:eastAsia="en-AU"/>
        </w:rPr>
        <w:lastRenderedPageBreak/>
        <w:drawing>
          <wp:inline distT="0" distB="0" distL="0" distR="0" wp14:anchorId="28A9A749" wp14:editId="0F83549E">
            <wp:extent cx="5731510" cy="7966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1.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p>
    <w:p w:rsidR="00076E48" w:rsidRDefault="00076E48" w:rsidP="00CA2AE8">
      <w:pPr>
        <w:pStyle w:val="AERbodytext"/>
        <w:numPr>
          <w:ilvl w:val="0"/>
          <w:numId w:val="0"/>
        </w:numPr>
      </w:pPr>
    </w:p>
    <w:p w:rsidR="00076E48" w:rsidRDefault="00076E48" w:rsidP="00CA2AE8">
      <w:pPr>
        <w:pStyle w:val="AERbodytext"/>
        <w:numPr>
          <w:ilvl w:val="0"/>
          <w:numId w:val="0"/>
        </w:numPr>
      </w:pPr>
    </w:p>
    <w:p w:rsidR="00076E48" w:rsidRDefault="0071347D" w:rsidP="00CA2AE8">
      <w:pPr>
        <w:pStyle w:val="AERbodytext"/>
        <w:numPr>
          <w:ilvl w:val="0"/>
          <w:numId w:val="0"/>
        </w:numPr>
      </w:pPr>
      <w:r>
        <w:rPr>
          <w:noProof/>
          <w:lang w:eastAsia="en-AU"/>
        </w:rPr>
        <w:lastRenderedPageBreak/>
        <w:drawing>
          <wp:inline distT="0" distB="0" distL="0" distR="0" wp14:anchorId="3C51F49C" wp14:editId="2F21DBE4">
            <wp:extent cx="5731510" cy="8058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2.tmp"/>
                    <pic:cNvPicPr/>
                  </pic:nvPicPr>
                  <pic:blipFill>
                    <a:blip r:embed="rId19">
                      <a:extLst>
                        <a:ext uri="{28A0092B-C50C-407E-A947-70E740481C1C}">
                          <a14:useLocalDpi xmlns:a14="http://schemas.microsoft.com/office/drawing/2010/main" val="0"/>
                        </a:ext>
                      </a:extLst>
                    </a:blip>
                    <a:stretch>
                      <a:fillRect/>
                    </a:stretch>
                  </pic:blipFill>
                  <pic:spPr>
                    <a:xfrm>
                      <a:off x="0" y="0"/>
                      <a:ext cx="5731510" cy="8058785"/>
                    </a:xfrm>
                    <a:prstGeom prst="rect">
                      <a:avLst/>
                    </a:prstGeom>
                  </pic:spPr>
                </pic:pic>
              </a:graphicData>
            </a:graphic>
          </wp:inline>
        </w:drawing>
      </w:r>
    </w:p>
    <w:p w:rsidR="0071347D" w:rsidRDefault="0071347D" w:rsidP="00CA2AE8">
      <w:pPr>
        <w:pStyle w:val="AERbodytext"/>
        <w:numPr>
          <w:ilvl w:val="0"/>
          <w:numId w:val="0"/>
        </w:numPr>
      </w:pPr>
    </w:p>
    <w:p w:rsidR="0071347D" w:rsidRDefault="0071347D" w:rsidP="00CA2AE8">
      <w:pPr>
        <w:pStyle w:val="AERbodytext"/>
        <w:numPr>
          <w:ilvl w:val="0"/>
          <w:numId w:val="0"/>
        </w:numPr>
      </w:pPr>
    </w:p>
    <w:p w:rsidR="0071347D" w:rsidRDefault="0071347D" w:rsidP="00CA2AE8">
      <w:pPr>
        <w:pStyle w:val="AERbodytext"/>
        <w:numPr>
          <w:ilvl w:val="0"/>
          <w:numId w:val="0"/>
        </w:numPr>
      </w:pPr>
      <w:r>
        <w:rPr>
          <w:noProof/>
          <w:lang w:eastAsia="en-AU"/>
        </w:rPr>
        <w:lastRenderedPageBreak/>
        <w:drawing>
          <wp:inline distT="0" distB="0" distL="0" distR="0" wp14:anchorId="40FD7DCA" wp14:editId="57CF7E8E">
            <wp:extent cx="5731510" cy="8044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3.tmp"/>
                    <pic:cNvPicPr/>
                  </pic:nvPicPr>
                  <pic:blipFill>
                    <a:blip r:embed="rId20">
                      <a:extLst>
                        <a:ext uri="{28A0092B-C50C-407E-A947-70E740481C1C}">
                          <a14:useLocalDpi xmlns:a14="http://schemas.microsoft.com/office/drawing/2010/main" val="0"/>
                        </a:ext>
                      </a:extLst>
                    </a:blip>
                    <a:stretch>
                      <a:fillRect/>
                    </a:stretch>
                  </pic:blipFill>
                  <pic:spPr>
                    <a:xfrm>
                      <a:off x="0" y="0"/>
                      <a:ext cx="5731510" cy="8044815"/>
                    </a:xfrm>
                    <a:prstGeom prst="rect">
                      <a:avLst/>
                    </a:prstGeom>
                  </pic:spPr>
                </pic:pic>
              </a:graphicData>
            </a:graphic>
          </wp:inline>
        </w:drawing>
      </w:r>
    </w:p>
    <w:p w:rsidR="0071347D" w:rsidRDefault="0071347D" w:rsidP="00CA2AE8">
      <w:pPr>
        <w:pStyle w:val="AERbodytext"/>
        <w:numPr>
          <w:ilvl w:val="0"/>
          <w:numId w:val="0"/>
        </w:numPr>
      </w:pPr>
    </w:p>
    <w:p w:rsidR="0071347D" w:rsidRDefault="0071347D" w:rsidP="00CA2AE8">
      <w:pPr>
        <w:pStyle w:val="AERbodytext"/>
        <w:numPr>
          <w:ilvl w:val="0"/>
          <w:numId w:val="0"/>
        </w:numPr>
      </w:pPr>
    </w:p>
    <w:p w:rsidR="0071347D" w:rsidRDefault="0071347D" w:rsidP="00CA2AE8">
      <w:pPr>
        <w:pStyle w:val="AERbodytext"/>
        <w:numPr>
          <w:ilvl w:val="0"/>
          <w:numId w:val="0"/>
        </w:numPr>
      </w:pPr>
      <w:r>
        <w:rPr>
          <w:noProof/>
          <w:lang w:eastAsia="en-AU"/>
        </w:rPr>
        <w:lastRenderedPageBreak/>
        <w:drawing>
          <wp:inline distT="0" distB="0" distL="0" distR="0" wp14:anchorId="4E36F510" wp14:editId="2D643ABC">
            <wp:extent cx="5731510" cy="811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4.tmp"/>
                    <pic:cNvPicPr/>
                  </pic:nvPicPr>
                  <pic:blipFill>
                    <a:blip r:embed="rId21">
                      <a:extLst>
                        <a:ext uri="{28A0092B-C50C-407E-A947-70E740481C1C}">
                          <a14:useLocalDpi xmlns:a14="http://schemas.microsoft.com/office/drawing/2010/main" val="0"/>
                        </a:ext>
                      </a:extLst>
                    </a:blip>
                    <a:stretch>
                      <a:fillRect/>
                    </a:stretch>
                  </pic:blipFill>
                  <pic:spPr>
                    <a:xfrm>
                      <a:off x="0" y="0"/>
                      <a:ext cx="5731510" cy="8115300"/>
                    </a:xfrm>
                    <a:prstGeom prst="rect">
                      <a:avLst/>
                    </a:prstGeom>
                  </pic:spPr>
                </pic:pic>
              </a:graphicData>
            </a:graphic>
          </wp:inline>
        </w:drawing>
      </w:r>
    </w:p>
    <w:p w:rsidR="0071347D" w:rsidRDefault="0071347D" w:rsidP="00CA2AE8">
      <w:pPr>
        <w:pStyle w:val="AERbodytext"/>
        <w:numPr>
          <w:ilvl w:val="0"/>
          <w:numId w:val="0"/>
        </w:numPr>
      </w:pPr>
    </w:p>
    <w:p w:rsidR="0071347D" w:rsidRDefault="0071347D" w:rsidP="00CA2AE8">
      <w:pPr>
        <w:pStyle w:val="AERbodytext"/>
        <w:numPr>
          <w:ilvl w:val="0"/>
          <w:numId w:val="0"/>
        </w:numPr>
      </w:pPr>
    </w:p>
    <w:p w:rsidR="0071347D" w:rsidRDefault="0071347D" w:rsidP="00CA2AE8">
      <w:pPr>
        <w:pStyle w:val="AERbodytext"/>
        <w:numPr>
          <w:ilvl w:val="0"/>
          <w:numId w:val="0"/>
        </w:numPr>
      </w:pPr>
      <w:r>
        <w:rPr>
          <w:noProof/>
          <w:lang w:eastAsia="en-AU"/>
        </w:rPr>
        <w:lastRenderedPageBreak/>
        <w:drawing>
          <wp:inline distT="0" distB="0" distL="0" distR="0" wp14:anchorId="792E028E" wp14:editId="7524EDA1">
            <wp:extent cx="5731510" cy="8113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D5.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8113395"/>
                    </a:xfrm>
                    <a:prstGeom prst="rect">
                      <a:avLst/>
                    </a:prstGeom>
                  </pic:spPr>
                </pic:pic>
              </a:graphicData>
            </a:graphic>
          </wp:inline>
        </w:drawing>
      </w:r>
    </w:p>
    <w:p w:rsidR="0071347D" w:rsidRDefault="0071347D" w:rsidP="00CA2AE8">
      <w:pPr>
        <w:pStyle w:val="AERbodytext"/>
        <w:numPr>
          <w:ilvl w:val="0"/>
          <w:numId w:val="0"/>
        </w:numPr>
      </w:pPr>
    </w:p>
    <w:p w:rsidR="0071347D" w:rsidRDefault="0071347D" w:rsidP="00CA2AE8">
      <w:pPr>
        <w:pStyle w:val="AERbodytext"/>
        <w:numPr>
          <w:ilvl w:val="0"/>
          <w:numId w:val="0"/>
        </w:numPr>
      </w:pPr>
    </w:p>
    <w:p w:rsidR="0071347D" w:rsidRDefault="0071347D" w:rsidP="0071347D">
      <w:pPr>
        <w:pStyle w:val="Heading1"/>
      </w:pPr>
      <w:bookmarkStart w:id="7" w:name="_Toc383165537"/>
      <w:r>
        <w:lastRenderedPageBreak/>
        <w:t>Negotiated transmission service criteria</w:t>
      </w:r>
      <w:bookmarkEnd w:id="7"/>
    </w:p>
    <w:p w:rsidR="0071347D" w:rsidRPr="00F71E9B" w:rsidRDefault="0071347D" w:rsidP="0071347D">
      <w:pPr>
        <w:pStyle w:val="Heading2"/>
      </w:pPr>
      <w:bookmarkStart w:id="8" w:name="_Toc355023222"/>
      <w:bookmarkStart w:id="9" w:name="_Toc377546638"/>
      <w:bookmarkStart w:id="10" w:name="_Toc383165538"/>
      <w:r w:rsidRPr="00F71E9B">
        <w:t>National Electricity Objective</w:t>
      </w:r>
      <w:bookmarkEnd w:id="8"/>
      <w:bookmarkEnd w:id="9"/>
      <w:bookmarkEnd w:id="10"/>
    </w:p>
    <w:p w:rsidR="0071347D" w:rsidRPr="00F71E9B" w:rsidRDefault="0071347D" w:rsidP="0071347D">
      <w:pPr>
        <w:pStyle w:val="AERnumberedlistfirststyle"/>
        <w:numPr>
          <w:ilvl w:val="1"/>
          <w:numId w:val="13"/>
        </w:numPr>
      </w:pPr>
      <w:r w:rsidRPr="00F71E9B">
        <w:t>The terms and conditions of access for a negotiated transmission service, including the price that is to be charged for the provision of that service and any access charges, should promote the achievement of the national electricity objective.</w:t>
      </w:r>
    </w:p>
    <w:p w:rsidR="0071347D" w:rsidRPr="00F71E9B" w:rsidRDefault="0071347D" w:rsidP="0071347D">
      <w:pPr>
        <w:pStyle w:val="Heading2"/>
      </w:pPr>
      <w:bookmarkStart w:id="11" w:name="_Toc355023223"/>
      <w:bookmarkStart w:id="12" w:name="_Toc377546639"/>
      <w:bookmarkStart w:id="13" w:name="_Toc383165539"/>
      <w:r w:rsidRPr="00F71E9B">
        <w:t>Criteria for terms and conditions of access</w:t>
      </w:r>
      <w:bookmarkEnd w:id="11"/>
      <w:bookmarkEnd w:id="12"/>
      <w:bookmarkEnd w:id="13"/>
    </w:p>
    <w:p w:rsidR="0071347D" w:rsidRPr="00F71E9B" w:rsidRDefault="0071347D" w:rsidP="0071347D">
      <w:pPr>
        <w:pStyle w:val="HeadingBoldBlue"/>
      </w:pPr>
      <w:r w:rsidRPr="00F71E9B">
        <w:t>Terms and conditions of access</w:t>
      </w:r>
    </w:p>
    <w:p w:rsidR="0071347D" w:rsidRPr="00F71E9B" w:rsidRDefault="0071347D" w:rsidP="0071347D">
      <w:pPr>
        <w:pStyle w:val="AERnumberedlistfirststyle"/>
        <w:numPr>
          <w:ilvl w:val="1"/>
          <w:numId w:val="13"/>
        </w:numPr>
      </w:pPr>
      <w:r w:rsidRPr="00F71E9B">
        <w:t>The terms and conditions of access for a negotiated transmission service must be fair, reasonable, and consistent with the safe and reliable operation of the power system in accordance with the NER.</w:t>
      </w:r>
    </w:p>
    <w:p w:rsidR="0071347D" w:rsidRPr="00F71E9B" w:rsidRDefault="0071347D" w:rsidP="0071347D">
      <w:pPr>
        <w:pStyle w:val="AERnumberedlistfirststyle"/>
        <w:numPr>
          <w:ilvl w:val="1"/>
          <w:numId w:val="13"/>
        </w:numPr>
      </w:pPr>
      <w:r w:rsidRPr="00F71E9B">
        <w:t>The terms and conditions of access for negotiated transmission services, particularly any exclusions and limitations of liability and indemnities, must not be unreasonably onerous. Relevant considerations include the allocation of risk between the TNSP and the other party, the price for the negotiated transmission service and the cost to the TNSP of providing the negotiated service.</w:t>
      </w:r>
    </w:p>
    <w:p w:rsidR="0071347D" w:rsidRPr="00F71E9B" w:rsidRDefault="0071347D" w:rsidP="0071347D">
      <w:pPr>
        <w:pStyle w:val="AERnumberedlistfirststyle"/>
        <w:numPr>
          <w:ilvl w:val="1"/>
          <w:numId w:val="13"/>
        </w:numPr>
      </w:pPr>
      <w:r w:rsidRPr="00F71E9B">
        <w:t>The terms and conditions of access for a negotiated transmission service must take into account the need for the service to be provided in a manner that does not adversely affect the safe and reliable operation of the power system in accordance with the NER.</w:t>
      </w:r>
    </w:p>
    <w:p w:rsidR="0071347D" w:rsidRPr="00F71E9B" w:rsidRDefault="0071347D" w:rsidP="0071347D">
      <w:pPr>
        <w:pStyle w:val="HeadingBoldBlue"/>
      </w:pPr>
      <w:r w:rsidRPr="00F71E9B">
        <w:t>Price of services</w:t>
      </w:r>
    </w:p>
    <w:p w:rsidR="0071347D" w:rsidRPr="00F71E9B" w:rsidRDefault="0071347D" w:rsidP="0071347D">
      <w:pPr>
        <w:pStyle w:val="AERnumberedlistfirststyle"/>
        <w:numPr>
          <w:ilvl w:val="1"/>
          <w:numId w:val="13"/>
        </w:numPr>
      </w:pPr>
      <w:r w:rsidRPr="00F71E9B">
        <w:t>The price of a negotiated transmission service must reflect the cost that the TNSP has incurred or incurs in providing that service, and must be determined in accordance with the principles and policies set out in the Cost Allocation Methodology.</w:t>
      </w:r>
    </w:p>
    <w:p w:rsidR="0071347D" w:rsidRPr="00F71E9B" w:rsidRDefault="0071347D" w:rsidP="0071347D">
      <w:pPr>
        <w:pStyle w:val="AERnumberedlistfirststyle"/>
        <w:numPr>
          <w:ilvl w:val="1"/>
          <w:numId w:val="13"/>
        </w:numPr>
      </w:pPr>
      <w:r w:rsidRPr="00F71E9B">
        <w:t>Subject to criteria 7 and 8, the price for a negotiated transmission service must be at least equal to the avoided cost of providing that service but no more than the cost of providing it on a stand alone basis.</w:t>
      </w:r>
    </w:p>
    <w:p w:rsidR="0071347D" w:rsidRPr="00F71E9B" w:rsidRDefault="0071347D" w:rsidP="0071347D">
      <w:pPr>
        <w:pStyle w:val="AERnumberedlistfirststyle"/>
        <w:numPr>
          <w:ilvl w:val="1"/>
          <w:numId w:val="13"/>
        </w:numPr>
      </w:pPr>
      <w:r w:rsidRPr="00F71E9B">
        <w:t>If the negotiated transmission service is a shared transmission service that:</w:t>
      </w:r>
    </w:p>
    <w:p w:rsidR="0071347D" w:rsidRPr="00F71E9B" w:rsidRDefault="0071347D" w:rsidP="0071347D">
      <w:pPr>
        <w:pStyle w:val="AERnumberedlistthirdstyle"/>
        <w:numPr>
          <w:ilvl w:val="3"/>
          <w:numId w:val="13"/>
        </w:numPr>
      </w:pPr>
      <w:r w:rsidRPr="00F71E9B">
        <w:t>exceeds any network performance requirements which it is required to meet under any relevant electricity legislation; or</w:t>
      </w:r>
    </w:p>
    <w:p w:rsidR="0071347D" w:rsidRPr="00F71E9B" w:rsidRDefault="0071347D" w:rsidP="0071347D">
      <w:pPr>
        <w:pStyle w:val="AERnumberedlistthirdstyle"/>
        <w:numPr>
          <w:ilvl w:val="3"/>
          <w:numId w:val="13"/>
        </w:numPr>
      </w:pPr>
      <w:r w:rsidRPr="00F71E9B">
        <w:t>exceeds the network performance requirements set out in schedule 5.1a and 5.1 of the NER</w:t>
      </w:r>
    </w:p>
    <w:p w:rsidR="0071347D" w:rsidRPr="00F71E9B" w:rsidRDefault="0071347D" w:rsidP="0071347D">
      <w:pPr>
        <w:pStyle w:val="AERnumberedlistfirststyle"/>
        <w:numPr>
          <w:ilvl w:val="0"/>
          <w:numId w:val="0"/>
        </w:numPr>
        <w:ind w:left="357"/>
      </w:pPr>
      <w:r w:rsidRPr="00F71E9B">
        <w:t>then the difference between the price for that service and the price for the shared transmission service which meets network performance requirements must reflect the TNSP’s incremental cost of providing that service (as appropriate).</w:t>
      </w:r>
    </w:p>
    <w:p w:rsidR="0071347D" w:rsidRPr="00F71E9B" w:rsidRDefault="0071347D" w:rsidP="0071347D">
      <w:pPr>
        <w:pStyle w:val="AERnumberedlistfirststyle"/>
        <w:numPr>
          <w:ilvl w:val="1"/>
          <w:numId w:val="13"/>
        </w:numPr>
      </w:pPr>
      <w:r w:rsidRPr="00F71E9B">
        <w:t>For shared transmission services, the difference in price between a negotiated transmission service that does not meet or exceed network performance requirements and a service that meets those requirements should reflect the TNSP’s avoided costs. Schedule 5.1a and 5.1 of the NER or any relevant electricity legislation must be considered in determining whether any network service performance requirements have not been met or exceeded.</w:t>
      </w:r>
    </w:p>
    <w:p w:rsidR="0071347D" w:rsidRPr="00F71E9B" w:rsidRDefault="0071347D" w:rsidP="0071347D">
      <w:pPr>
        <w:pStyle w:val="AERnumberedlistfirststyle"/>
        <w:numPr>
          <w:ilvl w:val="1"/>
          <w:numId w:val="13"/>
        </w:numPr>
      </w:pPr>
      <w:r w:rsidRPr="00F71E9B">
        <w:lastRenderedPageBreak/>
        <w:t>The price for a negotiated transmission service must be the same for all Transmission Network Users.  The exception is if there is a material difference in the costs of providing the negotiated transmission service to different Transmission Network Users or classes of Transmission Network Users.</w:t>
      </w:r>
    </w:p>
    <w:p w:rsidR="0071347D" w:rsidRPr="00F71E9B" w:rsidRDefault="0071347D" w:rsidP="0071347D">
      <w:pPr>
        <w:pStyle w:val="AERnumberedlistfirststyle"/>
        <w:numPr>
          <w:ilvl w:val="1"/>
          <w:numId w:val="13"/>
        </w:numPr>
      </w:pPr>
      <w:r w:rsidRPr="00F71E9B">
        <w:t>The price for a negotiated transmission service must be subject to adjustment over time to the extent that the assets used to provide that service are subsequently used to provide services to another person. In such cases the adjustment must reflect the extent to which the costs of that asset are being recovered through charges to that other person.</w:t>
      </w:r>
    </w:p>
    <w:p w:rsidR="0071347D" w:rsidRPr="00F71E9B" w:rsidRDefault="0071347D" w:rsidP="0071347D">
      <w:pPr>
        <w:pStyle w:val="AERnumberedlistfirststyle"/>
        <w:numPr>
          <w:ilvl w:val="1"/>
          <w:numId w:val="13"/>
        </w:numPr>
      </w:pPr>
      <w:r w:rsidRPr="00F71E9B">
        <w:t>The price for a negotiated transmission service must be such as to enable the TNSP to recover the efficient costs of complying with all regulatory obligations associated with the provision of the negotiated transmission service.</w:t>
      </w:r>
    </w:p>
    <w:p w:rsidR="0071347D" w:rsidRPr="00F71E9B" w:rsidRDefault="0071347D" w:rsidP="0071347D">
      <w:pPr>
        <w:pStyle w:val="Heading2"/>
      </w:pPr>
      <w:bookmarkStart w:id="14" w:name="_Toc355023224"/>
      <w:bookmarkStart w:id="15" w:name="_Toc377546640"/>
      <w:bookmarkStart w:id="16" w:name="_Toc383165540"/>
      <w:r w:rsidRPr="00F71E9B">
        <w:t>Criteria for access charges</w:t>
      </w:r>
      <w:bookmarkEnd w:id="14"/>
      <w:bookmarkEnd w:id="15"/>
      <w:bookmarkEnd w:id="16"/>
    </w:p>
    <w:p w:rsidR="0071347D" w:rsidRPr="00F71E9B" w:rsidRDefault="0071347D" w:rsidP="0071347D">
      <w:pPr>
        <w:pStyle w:val="HeadingBoldBlue"/>
      </w:pPr>
      <w:r w:rsidRPr="00F71E9B">
        <w:t>Access charges</w:t>
      </w:r>
    </w:p>
    <w:p w:rsidR="0071347D" w:rsidRDefault="0071347D" w:rsidP="0071347D">
      <w:pPr>
        <w:pStyle w:val="AERbodytext"/>
        <w:numPr>
          <w:ilvl w:val="0"/>
          <w:numId w:val="13"/>
        </w:numPr>
      </w:pPr>
      <w:r w:rsidRPr="00F71E9B">
        <w:t>Any access charges must be based on the costs reasonably incurred by the TNSP in providing transmission network user access. This includes the compensation for foregone revenue referred to in clause 5.4A(h) to (j) of the NER and the costs that are likely to be incurred by a person referred to in clause 5.4A(h)</w:t>
      </w:r>
      <w:r>
        <w:t>.</w:t>
      </w: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Pr="00F71E9B"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71347D" w:rsidP="0071347D">
      <w:pPr>
        <w:pStyle w:val="AERbodytext"/>
        <w:numPr>
          <w:ilvl w:val="0"/>
          <w:numId w:val="0"/>
        </w:numPr>
      </w:pPr>
    </w:p>
    <w:p w:rsidR="0071347D" w:rsidRDefault="001B3420" w:rsidP="0071347D">
      <w:pPr>
        <w:pStyle w:val="Heading1"/>
      </w:pPr>
      <w:bookmarkStart w:id="17" w:name="_Toc383165541"/>
      <w:r>
        <w:lastRenderedPageBreak/>
        <w:t>Approved p</w:t>
      </w:r>
      <w:r w:rsidR="0071347D">
        <w:t>ricing methodology</w:t>
      </w:r>
      <w:bookmarkEnd w:id="17"/>
    </w:p>
    <w:p w:rsidR="0071347D" w:rsidRDefault="001A1D17" w:rsidP="001A1D17">
      <w:pPr>
        <w:pStyle w:val="AERbodytext"/>
      </w:pPr>
      <w:r>
        <w:rPr>
          <w:noProof/>
          <w:lang w:eastAsia="en-AU"/>
        </w:rPr>
        <w:drawing>
          <wp:inline distT="0" distB="0" distL="0" distR="0">
            <wp:extent cx="5731510" cy="81241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124122"/>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80623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062396"/>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472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947274"/>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80056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005666"/>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2365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7923653"/>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0100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901001"/>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700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970089"/>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805975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8059758"/>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80471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047106"/>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80776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077686"/>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806239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062396"/>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551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955149"/>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090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909023"/>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236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923653"/>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8777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877782"/>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8330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833082"/>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85456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854564"/>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8482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848270"/>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7790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779081"/>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7565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756580"/>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3950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939509"/>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855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7985525"/>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703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7970337"/>
                    </a:xfrm>
                    <a:prstGeom prst="rect">
                      <a:avLst/>
                    </a:prstGeom>
                    <a:noFill/>
                    <a:ln>
                      <a:noFill/>
                    </a:ln>
                  </pic:spPr>
                </pic:pic>
              </a:graphicData>
            </a:graphic>
          </wp:inline>
        </w:drawing>
      </w:r>
    </w:p>
    <w:p w:rsidR="001A1D17" w:rsidRDefault="001A1D17" w:rsidP="001A1D17">
      <w:pPr>
        <w:pStyle w:val="AERbodytext"/>
        <w:numPr>
          <w:ilvl w:val="0"/>
          <w:numId w:val="0"/>
        </w:numPr>
      </w:pPr>
    </w:p>
    <w:p w:rsidR="001A1D17" w:rsidRDefault="001A1D17" w:rsidP="001A1D17">
      <w:pPr>
        <w:pStyle w:val="AERbodytext"/>
        <w:numPr>
          <w:ilvl w:val="0"/>
          <w:numId w:val="0"/>
        </w:numPr>
      </w:pPr>
    </w:p>
    <w:p w:rsidR="001A1D17" w:rsidRDefault="001A1D17" w:rsidP="001A1D17">
      <w:pPr>
        <w:pStyle w:val="AERbodytext"/>
        <w:numPr>
          <w:ilvl w:val="0"/>
          <w:numId w:val="0"/>
        </w:numPr>
      </w:pPr>
      <w:r>
        <w:rPr>
          <w:noProof/>
          <w:lang w:eastAsia="en-AU"/>
        </w:rPr>
        <w:lastRenderedPageBreak/>
        <w:drawing>
          <wp:inline distT="0" distB="0" distL="0" distR="0">
            <wp:extent cx="5731510" cy="790902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909023"/>
                    </a:xfrm>
                    <a:prstGeom prst="rect">
                      <a:avLst/>
                    </a:prstGeom>
                    <a:noFill/>
                    <a:ln>
                      <a:noFill/>
                    </a:ln>
                  </pic:spPr>
                </pic:pic>
              </a:graphicData>
            </a:graphic>
          </wp:inline>
        </w:drawing>
      </w:r>
    </w:p>
    <w:p w:rsidR="0071347D" w:rsidRDefault="0071347D" w:rsidP="0071347D">
      <w:pPr>
        <w:pStyle w:val="AERbodytext"/>
      </w:pPr>
    </w:p>
    <w:p w:rsidR="00C25F63" w:rsidRPr="0071347D" w:rsidRDefault="00C25F63" w:rsidP="0071347D">
      <w:pPr>
        <w:pStyle w:val="AERbodytext"/>
        <w:numPr>
          <w:ilvl w:val="0"/>
          <w:numId w:val="0"/>
        </w:numPr>
      </w:pPr>
    </w:p>
    <w:sectPr w:rsidR="00C25F63" w:rsidRPr="0071347D" w:rsidSect="00B925C9">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D17" w:rsidRPr="00AB4345" w:rsidRDefault="001A1D17" w:rsidP="00AB4345">
      <w:r>
        <w:separator/>
      </w:r>
    </w:p>
  </w:endnote>
  <w:endnote w:type="continuationSeparator" w:id="0">
    <w:p w:rsidR="001A1D17" w:rsidRPr="00AB4345" w:rsidRDefault="001A1D17"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97381"/>
      <w:docPartObj>
        <w:docPartGallery w:val="Page Numbers (Bottom of Page)"/>
        <w:docPartUnique/>
      </w:docPartObj>
    </w:sdtPr>
    <w:sdtEndPr/>
    <w:sdtContent>
      <w:p w:rsidR="001A1D17" w:rsidRPr="00824CC8" w:rsidRDefault="001A1D17" w:rsidP="00824CC8">
        <w:pPr>
          <w:pStyle w:val="Footer"/>
        </w:pPr>
        <w:r w:rsidRPr="00824CC8">
          <w:fldChar w:fldCharType="begin"/>
        </w:r>
        <w:r w:rsidRPr="00824CC8">
          <w:instrText xml:space="preserve"> PAGE   \* MERGEFORMAT </w:instrText>
        </w:r>
        <w:r w:rsidRPr="00824CC8">
          <w:fldChar w:fldCharType="separate"/>
        </w:r>
        <w:r w:rsidR="00AD64C8">
          <w:rPr>
            <w:noProof/>
          </w:rPr>
          <w:t>36</w:t>
        </w:r>
        <w:r w:rsidRPr="00824CC8">
          <w:fldChar w:fldCharType="end"/>
        </w:r>
        <w:r w:rsidRPr="00824CC8">
          <w:tab/>
        </w:r>
        <w:r>
          <w:t xml:space="preserve">                                                                       </w:t>
        </w:r>
        <w:r>
          <w:rPr>
            <w:rStyle w:val="AERtextorange"/>
          </w:rPr>
          <w:t>AER transmission determination</w:t>
        </w:r>
        <w:r>
          <w:rPr>
            <w:rStyle w:val="AERbody"/>
          </w:rPr>
          <w:t xml:space="preserve"> </w:t>
        </w:r>
        <w:r w:rsidRPr="00210880">
          <w:rPr>
            <w:rStyle w:val="AERbody"/>
          </w:rPr>
          <w:t xml:space="preserve">| </w:t>
        </w:r>
        <w:r>
          <w:rPr>
            <w:rStyle w:val="AERtextblue"/>
          </w:rPr>
          <w:t xml:space="preserve">AEMO </w:t>
        </w:r>
        <w:r w:rsidR="00743941">
          <w:rPr>
            <w:rStyle w:val="AERtextblue"/>
          </w:rPr>
          <w:t>2014–19</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D17" w:rsidRPr="00824CC8" w:rsidRDefault="001A1D17" w:rsidP="00824CC8">
    <w:pPr>
      <w:pStyle w:val="Footer"/>
      <w:rPr>
        <w:rStyle w:val="AERbody"/>
      </w:rPr>
    </w:pPr>
    <w:r>
      <w:rPr>
        <w:rStyle w:val="AERtextorange"/>
      </w:rPr>
      <w:t>AER transmission determination</w:t>
    </w:r>
    <w:r>
      <w:rPr>
        <w:rStyle w:val="AERbody"/>
      </w:rPr>
      <w:t xml:space="preserve"> </w:t>
    </w:r>
    <w:r w:rsidRPr="00210880">
      <w:rPr>
        <w:rStyle w:val="AERbody"/>
      </w:rPr>
      <w:t xml:space="preserve">| </w:t>
    </w:r>
    <w:r w:rsidR="00743941">
      <w:rPr>
        <w:rStyle w:val="AERtextblue"/>
      </w:rPr>
      <w:t>Australian Energy Market Operator 2014–19</w:t>
    </w:r>
    <w:r>
      <w:rPr>
        <w:rStyle w:val="AERbody"/>
      </w:rPr>
      <w:tab/>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AD64C8">
      <w:rPr>
        <w:rStyle w:val="AERbody"/>
        <w:noProof/>
      </w:rPr>
      <w:t>i</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D17" w:rsidRPr="00AB4345" w:rsidRDefault="001A1D17" w:rsidP="00AB4345">
      <w:r>
        <w:separator/>
      </w:r>
    </w:p>
  </w:footnote>
  <w:footnote w:type="continuationSeparator" w:id="0">
    <w:p w:rsidR="001A1D17" w:rsidRPr="00AB4345" w:rsidRDefault="001A1D17" w:rsidP="00AB4345">
      <w:r>
        <w:continuationSeparator/>
      </w:r>
    </w:p>
  </w:footnote>
  <w:footnote w:id="1">
    <w:p w:rsidR="001A1D17" w:rsidRDefault="001A1D17">
      <w:pPr>
        <w:pStyle w:val="FootnoteText"/>
      </w:pPr>
      <w:r>
        <w:rPr>
          <w:rStyle w:val="FootnoteReference"/>
        </w:rPr>
        <w:footnoteRef/>
      </w:r>
      <w:r>
        <w:t xml:space="preserve"> </w:t>
      </w:r>
      <w:r>
        <w:tab/>
        <w:t>NER, clause S6A.4.2</w:t>
      </w:r>
      <w:r w:rsidR="00D5592B">
        <w:t>(c)</w:t>
      </w:r>
      <w:r>
        <w:t>(1).</w:t>
      </w:r>
    </w:p>
  </w:footnote>
  <w:footnote w:id="2">
    <w:p w:rsidR="001A1D17" w:rsidRDefault="001A1D17">
      <w:pPr>
        <w:pStyle w:val="FootnoteText"/>
      </w:pPr>
      <w:r>
        <w:rPr>
          <w:rStyle w:val="FootnoteReference"/>
        </w:rPr>
        <w:footnoteRef/>
      </w:r>
      <w:r>
        <w:t xml:space="preserve"> </w:t>
      </w:r>
      <w:r>
        <w:tab/>
        <w:t>NER, clause S6A.4.2</w:t>
      </w:r>
      <w:r w:rsidR="00D5592B">
        <w:t>(c)</w:t>
      </w:r>
      <w:r>
        <w:t>(2).</w:t>
      </w:r>
    </w:p>
  </w:footnote>
  <w:footnote w:id="3">
    <w:p w:rsidR="00446F60" w:rsidRDefault="00446F60">
      <w:pPr>
        <w:pStyle w:val="FootnoteText"/>
      </w:pPr>
      <w:r>
        <w:rPr>
          <w:rStyle w:val="FootnoteReference"/>
        </w:rPr>
        <w:footnoteRef/>
      </w:r>
      <w:r>
        <w:t xml:space="preserve"> </w:t>
      </w:r>
      <w:r>
        <w:tab/>
        <w:t>NER, clause S6A.4.2(c)(3).</w:t>
      </w:r>
    </w:p>
  </w:footnote>
  <w:footnote w:id="4">
    <w:p w:rsidR="00446F60" w:rsidRDefault="00446F60">
      <w:pPr>
        <w:pStyle w:val="FootnoteText"/>
      </w:pPr>
      <w:r>
        <w:rPr>
          <w:rStyle w:val="FootnoteReference"/>
        </w:rPr>
        <w:footnoteRef/>
      </w:r>
      <w:r>
        <w:t xml:space="preserve"> </w:t>
      </w:r>
      <w:r>
        <w:tab/>
        <w:t>NER, clause 6A.2.2(2).</w:t>
      </w:r>
    </w:p>
  </w:footnote>
  <w:footnote w:id="5">
    <w:p w:rsidR="001A1D17" w:rsidRDefault="001A1D17">
      <w:pPr>
        <w:pStyle w:val="FootnoteText"/>
      </w:pPr>
      <w:r>
        <w:rPr>
          <w:rStyle w:val="FootnoteReference"/>
        </w:rPr>
        <w:footnoteRef/>
      </w:r>
      <w:r>
        <w:t xml:space="preserve"> </w:t>
      </w:r>
      <w:r>
        <w:tab/>
        <w:t>NER, clause 6A.9.5(a).</w:t>
      </w:r>
    </w:p>
  </w:footnote>
  <w:footnote w:id="6">
    <w:p w:rsidR="00446F60" w:rsidRDefault="00446F60">
      <w:pPr>
        <w:pStyle w:val="FootnoteText"/>
      </w:pPr>
      <w:r>
        <w:rPr>
          <w:rStyle w:val="FootnoteReference"/>
        </w:rPr>
        <w:footnoteRef/>
      </w:r>
      <w:r>
        <w:t xml:space="preserve"> </w:t>
      </w:r>
      <w:r>
        <w:tab/>
        <w:t>NER, clause 6A.2.2(3).</w:t>
      </w:r>
    </w:p>
  </w:footnote>
  <w:footnote w:id="7">
    <w:p w:rsidR="00446F60" w:rsidRDefault="00446F60">
      <w:pPr>
        <w:pStyle w:val="FootnoteText"/>
      </w:pPr>
      <w:r>
        <w:rPr>
          <w:rStyle w:val="FootnoteReference"/>
        </w:rPr>
        <w:footnoteRef/>
      </w:r>
      <w:r>
        <w:t xml:space="preserve"> </w:t>
      </w:r>
      <w:r>
        <w:tab/>
        <w:t>NER, clause 6A.2.2(4).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50A1C52"/>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B478DFE6"/>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3597CF9"/>
    <w:multiLevelType w:val="multilevel"/>
    <w:tmpl w:val="B478DFE6"/>
    <w:numStyleLink w:val="AERnumberedlist"/>
  </w:abstractNum>
  <w:abstractNum w:abstractNumId="5">
    <w:nsid w:val="176B27A6"/>
    <w:multiLevelType w:val="multilevel"/>
    <w:tmpl w:val="950A1C52"/>
    <w:numStyleLink w:val="AERHeadings"/>
  </w:abstractNum>
  <w:abstractNum w:abstractNumId="6">
    <w:nsid w:val="1972601F"/>
    <w:multiLevelType w:val="multilevel"/>
    <w:tmpl w:val="950A1C52"/>
    <w:numStyleLink w:val="AERHeadings"/>
  </w:abstractNum>
  <w:abstractNum w:abstractNumId="7">
    <w:nsid w:val="1DFA331B"/>
    <w:multiLevelType w:val="multilevel"/>
    <w:tmpl w:val="B478DFE6"/>
    <w:numStyleLink w:val="AERnumberedlist"/>
  </w:abstractNum>
  <w:abstractNum w:abstractNumId="8">
    <w:nsid w:val="233428C7"/>
    <w:multiLevelType w:val="multilevel"/>
    <w:tmpl w:val="B478DFE6"/>
    <w:numStyleLink w:val="AERnumberedlist"/>
  </w:abstractNum>
  <w:abstractNum w:abstractNumId="9">
    <w:nsid w:val="2776270C"/>
    <w:multiLevelType w:val="multilevel"/>
    <w:tmpl w:val="B478DFE6"/>
    <w:numStyleLink w:val="AERnumberedlist"/>
  </w:abstractNum>
  <w:abstractNum w:abstractNumId="10">
    <w:nsid w:val="281977C0"/>
    <w:multiLevelType w:val="multilevel"/>
    <w:tmpl w:val="950A1C52"/>
    <w:numStyleLink w:val="AERHeadings"/>
  </w:abstractNum>
  <w:abstractNum w:abstractNumId="11">
    <w:nsid w:val="295C7239"/>
    <w:multiLevelType w:val="multilevel"/>
    <w:tmpl w:val="950A1C52"/>
    <w:numStyleLink w:val="AERHeadings"/>
  </w:abstractNum>
  <w:abstractNum w:abstractNumId="12">
    <w:nsid w:val="2C2D6B9E"/>
    <w:multiLevelType w:val="multilevel"/>
    <w:tmpl w:val="950A1C52"/>
    <w:numStyleLink w:val="AERHeadings"/>
  </w:abstractNum>
  <w:abstractNum w:abstractNumId="13">
    <w:nsid w:val="2DB12A3A"/>
    <w:multiLevelType w:val="multilevel"/>
    <w:tmpl w:val="950A1C52"/>
    <w:numStyleLink w:val="AERHeadings"/>
  </w:abstractNum>
  <w:abstractNum w:abstractNumId="14">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5">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nsid w:val="333E0E05"/>
    <w:multiLevelType w:val="multilevel"/>
    <w:tmpl w:val="950A1C52"/>
    <w:numStyleLink w:val="AERHeadings"/>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721288"/>
    <w:multiLevelType w:val="multilevel"/>
    <w:tmpl w:val="950A1C52"/>
    <w:numStyleLink w:val="AERHeadings"/>
  </w:abstractNum>
  <w:abstractNum w:abstractNumId="2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2">
    <w:nsid w:val="4F037C49"/>
    <w:multiLevelType w:val="multilevel"/>
    <w:tmpl w:val="B478DFE6"/>
    <w:numStyleLink w:val="AERnumberedlist"/>
  </w:abstractNum>
  <w:abstractNum w:abstractNumId="23">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51487971"/>
    <w:multiLevelType w:val="multilevel"/>
    <w:tmpl w:val="B478DFE6"/>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357"/>
        </w:tabs>
        <w:ind w:left="357" w:hanging="357"/>
      </w:pPr>
      <w:rPr>
        <w:rFonts w:hint="default"/>
      </w:rPr>
    </w:lvl>
    <w:lvl w:ilvl="5">
      <w:start w:val="1"/>
      <w:numFmt w:val="lowerLetter"/>
      <w:lvlRestart w:val="2"/>
      <w:pStyle w:val="AERnumberedlist2second"/>
      <w:lvlText w:val="(%6)"/>
      <w:lvlJc w:val="left"/>
      <w:pPr>
        <w:tabs>
          <w:tab w:val="num" w:pos="720"/>
        </w:tabs>
        <w:ind w:left="720" w:hanging="363"/>
      </w:pPr>
      <w:rPr>
        <w:rFonts w:hint="default"/>
      </w:rPr>
    </w:lvl>
    <w:lvl w:ilvl="6">
      <w:start w:val="1"/>
      <w:numFmt w:val="lowerRoman"/>
      <w:lvlRestart w:val="3"/>
      <w:pStyle w:val="AERnumberedlist2third"/>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1807103"/>
    <w:multiLevelType w:val="multilevel"/>
    <w:tmpl w:val="B478DFE6"/>
    <w:numStyleLink w:val="AERnumberedlist"/>
  </w:abstractNum>
  <w:abstractNum w:abstractNumId="26">
    <w:nsid w:val="5D386EA7"/>
    <w:multiLevelType w:val="multilevel"/>
    <w:tmpl w:val="950A1C52"/>
    <w:numStyleLink w:val="AERHeadings"/>
  </w:abstractNum>
  <w:abstractNum w:abstractNumId="27">
    <w:nsid w:val="5DCC1B18"/>
    <w:multiLevelType w:val="multilevel"/>
    <w:tmpl w:val="B478DFE6"/>
    <w:numStyleLink w:val="AERnumberedlist"/>
  </w:abstractNum>
  <w:abstractNum w:abstractNumId="28">
    <w:nsid w:val="68247CF7"/>
    <w:multiLevelType w:val="multilevel"/>
    <w:tmpl w:val="950A1C52"/>
    <w:numStyleLink w:val="AERHeadings"/>
  </w:abstractNum>
  <w:abstractNum w:abstractNumId="29">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4595980"/>
    <w:multiLevelType w:val="multilevel"/>
    <w:tmpl w:val="950A1C52"/>
    <w:numStyleLink w:val="AERHeadings"/>
  </w:abstractNum>
  <w:abstractNum w:abstractNumId="31">
    <w:nsid w:val="74F81DDF"/>
    <w:multiLevelType w:val="multilevel"/>
    <w:tmpl w:val="950A1C52"/>
    <w:numStyleLink w:val="AERHeadings"/>
  </w:abstractNum>
  <w:abstractNum w:abstractNumId="32">
    <w:nsid w:val="787F66A4"/>
    <w:multiLevelType w:val="multilevel"/>
    <w:tmpl w:val="950A1C52"/>
    <w:numStyleLink w:val="AERHeadings"/>
  </w:abstractNum>
  <w:abstractNum w:abstractNumId="33">
    <w:nsid w:val="7AAC6DD7"/>
    <w:multiLevelType w:val="multilevel"/>
    <w:tmpl w:val="950A1C52"/>
    <w:numStyleLink w:val="AERHeadings"/>
  </w:abstractNum>
  <w:abstractNum w:abstractNumId="34">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E97BF8"/>
    <w:multiLevelType w:val="multilevel"/>
    <w:tmpl w:val="950A1C52"/>
    <w:numStyleLink w:val="AERHeadings"/>
  </w:abstractNum>
  <w:abstractNum w:abstractNumId="36">
    <w:nsid w:val="7CDA0F5F"/>
    <w:multiLevelType w:val="multilevel"/>
    <w:tmpl w:val="950A1C52"/>
    <w:numStyleLink w:val="AERHeadings"/>
  </w:abstractNum>
  <w:num w:numId="1">
    <w:abstractNumId w:val="29"/>
  </w:num>
  <w:num w:numId="2">
    <w:abstractNumId w:val="14"/>
    <w:lvlOverride w:ilvl="2">
      <w:lvl w:ilvl="2">
        <w:start w:val="1"/>
        <w:numFmt w:val="decimal"/>
        <w:pStyle w:val="Heading2"/>
        <w:lvlText w:val="%1%2.%3"/>
        <w:lvlJc w:val="left"/>
        <w:pPr>
          <w:tabs>
            <w:tab w:val="num" w:pos="0"/>
          </w:tabs>
          <w:ind w:left="0" w:hanging="851"/>
        </w:pPr>
        <w:rPr>
          <w:rFonts w:hint="default"/>
        </w:rPr>
      </w:lvl>
    </w:lvlOverride>
  </w:num>
  <w:num w:numId="3">
    <w:abstractNumId w:val="2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1"/>
    <w:lvlOverride w:ilvl="0">
      <w:startOverride w:val="1"/>
    </w:lvlOverride>
  </w:num>
  <w:num w:numId="7">
    <w:abstractNumId w:val="19"/>
  </w:num>
  <w:num w:numId="8">
    <w:abstractNumId w:val="16"/>
  </w:num>
  <w:num w:numId="9">
    <w:abstractNumId w:val="34"/>
  </w:num>
  <w:num w:numId="10">
    <w:abstractNumId w:val="21"/>
    <w:lvlOverride w:ilvl="0">
      <w:startOverride w:val="1"/>
    </w:lvlOverride>
  </w:num>
  <w:num w:numId="11">
    <w:abstractNumId w:val="1"/>
  </w:num>
  <w:num w:numId="12">
    <w:abstractNumId w:val="21"/>
    <w:lvlOverride w:ilvl="0">
      <w:startOverride w:val="1"/>
    </w:lvlOverride>
  </w:num>
  <w:num w:numId="13">
    <w:abstractNumId w:val="2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
  </w:num>
  <w:num w:numId="17">
    <w:abstractNumId w:val="22"/>
  </w:num>
  <w:num w:numId="18">
    <w:abstractNumId w:val="7"/>
  </w:num>
  <w:num w:numId="19">
    <w:abstractNumId w:val="9"/>
  </w:num>
  <w:num w:numId="20">
    <w:abstractNumId w:val="31"/>
  </w:num>
  <w:num w:numId="21">
    <w:abstractNumId w:val="2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6"/>
  </w:num>
  <w:num w:numId="28">
    <w:abstractNumId w:val="17"/>
  </w:num>
  <w:num w:numId="29">
    <w:abstractNumId w:val="10"/>
  </w:num>
  <w:num w:numId="30">
    <w:abstractNumId w:val="5"/>
  </w:num>
  <w:num w:numId="31">
    <w:abstractNumId w:val="0"/>
  </w:num>
  <w:num w:numId="32">
    <w:abstractNumId w:val="6"/>
  </w:num>
  <w:num w:numId="33">
    <w:abstractNumId w:val="32"/>
  </w:num>
  <w:num w:numId="34">
    <w:abstractNumId w:val="28"/>
  </w:num>
  <w:num w:numId="35">
    <w:abstractNumId w:val="30"/>
  </w:num>
  <w:num w:numId="36">
    <w:abstractNumId w:val="35"/>
  </w:num>
  <w:num w:numId="37">
    <w:abstractNumId w:val="26"/>
  </w:num>
  <w:num w:numId="38">
    <w:abstractNumId w:val="12"/>
  </w:num>
  <w:num w:numId="39">
    <w:abstractNumId w:val="13"/>
  </w:num>
  <w:num w:numId="40">
    <w:abstractNumId w:val="20"/>
  </w:num>
  <w:num w:numId="41">
    <w:abstractNumId w:val="25"/>
  </w:num>
  <w:num w:numId="42">
    <w:abstractNumId w:val="4"/>
  </w:num>
  <w:num w:numId="43">
    <w:abstractNumId w:val="33"/>
    <w:lvlOverride w:ilvl="2">
      <w:lvl w:ilvl="2">
        <w:start w:val="1"/>
        <w:numFmt w:val="decimal"/>
        <w:pStyle w:val="Heading2"/>
        <w:lvlText w:val="%1%2.%3"/>
        <w:lvlJc w:val="left"/>
        <w:pPr>
          <w:tabs>
            <w:tab w:val="num" w:pos="0"/>
          </w:tabs>
          <w:ind w:left="0" w:hanging="851"/>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23"/>
  </w:num>
  <w:num w:numId="45">
    <w:abstractNumId w:val="20"/>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evenAndOddHeaders/>
  <w:drawingGridHorizontalSpacing w:val="10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2668\D14 34418  3.6.2 - Attachment - AEMO transmission determination - Determination document.DOCX"/>
  </w:docVars>
  <w:rsids>
    <w:rsidRoot w:val="000C052F"/>
    <w:rsid w:val="00006CAA"/>
    <w:rsid w:val="00011129"/>
    <w:rsid w:val="00022606"/>
    <w:rsid w:val="0002727C"/>
    <w:rsid w:val="00040599"/>
    <w:rsid w:val="00040749"/>
    <w:rsid w:val="00072085"/>
    <w:rsid w:val="00076A2C"/>
    <w:rsid w:val="00076E48"/>
    <w:rsid w:val="000779D8"/>
    <w:rsid w:val="000A1CC2"/>
    <w:rsid w:val="000A3DFC"/>
    <w:rsid w:val="000A5342"/>
    <w:rsid w:val="000B15CA"/>
    <w:rsid w:val="000B4BAD"/>
    <w:rsid w:val="000C052F"/>
    <w:rsid w:val="000C3430"/>
    <w:rsid w:val="000D03C2"/>
    <w:rsid w:val="000D04B1"/>
    <w:rsid w:val="000D401F"/>
    <w:rsid w:val="000E1A25"/>
    <w:rsid w:val="000F3A6A"/>
    <w:rsid w:val="001033B3"/>
    <w:rsid w:val="00105636"/>
    <w:rsid w:val="0014593A"/>
    <w:rsid w:val="001543D2"/>
    <w:rsid w:val="00174026"/>
    <w:rsid w:val="001856EE"/>
    <w:rsid w:val="00194C3C"/>
    <w:rsid w:val="001A1D17"/>
    <w:rsid w:val="001B26CC"/>
    <w:rsid w:val="001B3420"/>
    <w:rsid w:val="001B5B5B"/>
    <w:rsid w:val="001C12E5"/>
    <w:rsid w:val="00205818"/>
    <w:rsid w:val="0020711E"/>
    <w:rsid w:val="00210880"/>
    <w:rsid w:val="002257B9"/>
    <w:rsid w:val="0023137D"/>
    <w:rsid w:val="002325F4"/>
    <w:rsid w:val="00245C73"/>
    <w:rsid w:val="00252868"/>
    <w:rsid w:val="00252AC5"/>
    <w:rsid w:val="00266710"/>
    <w:rsid w:val="002739EE"/>
    <w:rsid w:val="002805B8"/>
    <w:rsid w:val="002938CE"/>
    <w:rsid w:val="002A0750"/>
    <w:rsid w:val="002A6F55"/>
    <w:rsid w:val="002B6640"/>
    <w:rsid w:val="002D61AC"/>
    <w:rsid w:val="002D6BFB"/>
    <w:rsid w:val="002D7BC0"/>
    <w:rsid w:val="002E2A37"/>
    <w:rsid w:val="002E4720"/>
    <w:rsid w:val="002E5FEA"/>
    <w:rsid w:val="002E7359"/>
    <w:rsid w:val="00303452"/>
    <w:rsid w:val="00320336"/>
    <w:rsid w:val="003324F7"/>
    <w:rsid w:val="00334F88"/>
    <w:rsid w:val="00342620"/>
    <w:rsid w:val="00342793"/>
    <w:rsid w:val="00356E76"/>
    <w:rsid w:val="003610D2"/>
    <w:rsid w:val="003707DB"/>
    <w:rsid w:val="00375AEC"/>
    <w:rsid w:val="00376236"/>
    <w:rsid w:val="0037652C"/>
    <w:rsid w:val="003800E4"/>
    <w:rsid w:val="00380FF5"/>
    <w:rsid w:val="003933EA"/>
    <w:rsid w:val="0039548F"/>
    <w:rsid w:val="003A6174"/>
    <w:rsid w:val="003F409F"/>
    <w:rsid w:val="004030AB"/>
    <w:rsid w:val="004047DE"/>
    <w:rsid w:val="00412282"/>
    <w:rsid w:val="004256BA"/>
    <w:rsid w:val="00427CA9"/>
    <w:rsid w:val="00431999"/>
    <w:rsid w:val="00435682"/>
    <w:rsid w:val="004418C3"/>
    <w:rsid w:val="00446F60"/>
    <w:rsid w:val="00456081"/>
    <w:rsid w:val="00464F5D"/>
    <w:rsid w:val="00474FBD"/>
    <w:rsid w:val="00491D7D"/>
    <w:rsid w:val="004A2BFB"/>
    <w:rsid w:val="004C3F45"/>
    <w:rsid w:val="004E40EF"/>
    <w:rsid w:val="004E73F7"/>
    <w:rsid w:val="004F76A0"/>
    <w:rsid w:val="00500E7F"/>
    <w:rsid w:val="005021CE"/>
    <w:rsid w:val="00505A48"/>
    <w:rsid w:val="0052179D"/>
    <w:rsid w:val="00527D92"/>
    <w:rsid w:val="005318F1"/>
    <w:rsid w:val="005456A9"/>
    <w:rsid w:val="00555D52"/>
    <w:rsid w:val="005566D7"/>
    <w:rsid w:val="00561F7F"/>
    <w:rsid w:val="00566B35"/>
    <w:rsid w:val="005727C7"/>
    <w:rsid w:val="005732CC"/>
    <w:rsid w:val="00575422"/>
    <w:rsid w:val="005938C6"/>
    <w:rsid w:val="005A0431"/>
    <w:rsid w:val="005B3752"/>
    <w:rsid w:val="005B61C2"/>
    <w:rsid w:val="005C2390"/>
    <w:rsid w:val="005D26B7"/>
    <w:rsid w:val="005D4AA1"/>
    <w:rsid w:val="0060146C"/>
    <w:rsid w:val="0060207D"/>
    <w:rsid w:val="00603431"/>
    <w:rsid w:val="006039F2"/>
    <w:rsid w:val="006061B0"/>
    <w:rsid w:val="0060732E"/>
    <w:rsid w:val="006076A9"/>
    <w:rsid w:val="00624103"/>
    <w:rsid w:val="006544EA"/>
    <w:rsid w:val="0066569F"/>
    <w:rsid w:val="006731C3"/>
    <w:rsid w:val="0067671B"/>
    <w:rsid w:val="006802B3"/>
    <w:rsid w:val="0069004B"/>
    <w:rsid w:val="006967F9"/>
    <w:rsid w:val="006B007E"/>
    <w:rsid w:val="006B08EB"/>
    <w:rsid w:val="006B1BE8"/>
    <w:rsid w:val="006B481F"/>
    <w:rsid w:val="006C14C9"/>
    <w:rsid w:val="006C238C"/>
    <w:rsid w:val="006D7B6E"/>
    <w:rsid w:val="006E62FF"/>
    <w:rsid w:val="006F638E"/>
    <w:rsid w:val="00703E42"/>
    <w:rsid w:val="007055F7"/>
    <w:rsid w:val="007102B7"/>
    <w:rsid w:val="0071347D"/>
    <w:rsid w:val="007368AD"/>
    <w:rsid w:val="00743941"/>
    <w:rsid w:val="00751D2A"/>
    <w:rsid w:val="00755095"/>
    <w:rsid w:val="007721D5"/>
    <w:rsid w:val="00796A07"/>
    <w:rsid w:val="00797CD5"/>
    <w:rsid w:val="007A7879"/>
    <w:rsid w:val="007E4809"/>
    <w:rsid w:val="007F10E3"/>
    <w:rsid w:val="007F2C0E"/>
    <w:rsid w:val="007F7511"/>
    <w:rsid w:val="008025AC"/>
    <w:rsid w:val="00804AEB"/>
    <w:rsid w:val="008244C4"/>
    <w:rsid w:val="00824CC8"/>
    <w:rsid w:val="00836D17"/>
    <w:rsid w:val="00840A55"/>
    <w:rsid w:val="00841E25"/>
    <w:rsid w:val="00843621"/>
    <w:rsid w:val="008464CD"/>
    <w:rsid w:val="008515EE"/>
    <w:rsid w:val="00852989"/>
    <w:rsid w:val="00861C4E"/>
    <w:rsid w:val="00866D21"/>
    <w:rsid w:val="00872D85"/>
    <w:rsid w:val="00883DDA"/>
    <w:rsid w:val="00891546"/>
    <w:rsid w:val="00891FF9"/>
    <w:rsid w:val="00893367"/>
    <w:rsid w:val="00894B9F"/>
    <w:rsid w:val="008A2706"/>
    <w:rsid w:val="008B7956"/>
    <w:rsid w:val="008C3B67"/>
    <w:rsid w:val="008C3F48"/>
    <w:rsid w:val="008C5272"/>
    <w:rsid w:val="008D49B4"/>
    <w:rsid w:val="008D7498"/>
    <w:rsid w:val="008F5532"/>
    <w:rsid w:val="0090233C"/>
    <w:rsid w:val="009158AD"/>
    <w:rsid w:val="009278D1"/>
    <w:rsid w:val="00932E96"/>
    <w:rsid w:val="009418E6"/>
    <w:rsid w:val="0094235F"/>
    <w:rsid w:val="0094279F"/>
    <w:rsid w:val="00946B98"/>
    <w:rsid w:val="0095052A"/>
    <w:rsid w:val="009658F0"/>
    <w:rsid w:val="00971655"/>
    <w:rsid w:val="00971C63"/>
    <w:rsid w:val="009A4AE9"/>
    <w:rsid w:val="009A7DEC"/>
    <w:rsid w:val="009C71D5"/>
    <w:rsid w:val="009F7CE4"/>
    <w:rsid w:val="00A11162"/>
    <w:rsid w:val="00A228A1"/>
    <w:rsid w:val="00A43227"/>
    <w:rsid w:val="00A46CCD"/>
    <w:rsid w:val="00A6368C"/>
    <w:rsid w:val="00A65133"/>
    <w:rsid w:val="00A652C5"/>
    <w:rsid w:val="00A85B72"/>
    <w:rsid w:val="00A85C5A"/>
    <w:rsid w:val="00A93B7B"/>
    <w:rsid w:val="00A96A08"/>
    <w:rsid w:val="00AA0161"/>
    <w:rsid w:val="00AA66FF"/>
    <w:rsid w:val="00AB1D08"/>
    <w:rsid w:val="00AB4345"/>
    <w:rsid w:val="00AB5BD7"/>
    <w:rsid w:val="00AC0135"/>
    <w:rsid w:val="00AC070D"/>
    <w:rsid w:val="00AC1B94"/>
    <w:rsid w:val="00AC6FE6"/>
    <w:rsid w:val="00AD0616"/>
    <w:rsid w:val="00AD34FF"/>
    <w:rsid w:val="00AD4DE6"/>
    <w:rsid w:val="00AD64C8"/>
    <w:rsid w:val="00AE3C1B"/>
    <w:rsid w:val="00AE6DBC"/>
    <w:rsid w:val="00AF20FA"/>
    <w:rsid w:val="00AF3B72"/>
    <w:rsid w:val="00AF3E95"/>
    <w:rsid w:val="00AF7C67"/>
    <w:rsid w:val="00B04082"/>
    <w:rsid w:val="00B07456"/>
    <w:rsid w:val="00B15FE9"/>
    <w:rsid w:val="00B30E91"/>
    <w:rsid w:val="00B42368"/>
    <w:rsid w:val="00B45A56"/>
    <w:rsid w:val="00B51883"/>
    <w:rsid w:val="00B56E1D"/>
    <w:rsid w:val="00B61FD4"/>
    <w:rsid w:val="00B674DB"/>
    <w:rsid w:val="00B82E8D"/>
    <w:rsid w:val="00B874FB"/>
    <w:rsid w:val="00B91014"/>
    <w:rsid w:val="00B925C9"/>
    <w:rsid w:val="00B9264D"/>
    <w:rsid w:val="00B94D99"/>
    <w:rsid w:val="00BA40A0"/>
    <w:rsid w:val="00BB3FA1"/>
    <w:rsid w:val="00BB62BB"/>
    <w:rsid w:val="00BC05C5"/>
    <w:rsid w:val="00BC18AF"/>
    <w:rsid w:val="00BD04BE"/>
    <w:rsid w:val="00BD0E08"/>
    <w:rsid w:val="00BD5488"/>
    <w:rsid w:val="00BE6F28"/>
    <w:rsid w:val="00BF1056"/>
    <w:rsid w:val="00BF2213"/>
    <w:rsid w:val="00BF29FA"/>
    <w:rsid w:val="00C04D2B"/>
    <w:rsid w:val="00C25F63"/>
    <w:rsid w:val="00C465DA"/>
    <w:rsid w:val="00C737C5"/>
    <w:rsid w:val="00C96306"/>
    <w:rsid w:val="00CA2AE8"/>
    <w:rsid w:val="00CA2D0C"/>
    <w:rsid w:val="00CA3540"/>
    <w:rsid w:val="00CA6DED"/>
    <w:rsid w:val="00CC31A6"/>
    <w:rsid w:val="00CC49D4"/>
    <w:rsid w:val="00CE6F5A"/>
    <w:rsid w:val="00CF0123"/>
    <w:rsid w:val="00CF42CF"/>
    <w:rsid w:val="00D102E9"/>
    <w:rsid w:val="00D1688F"/>
    <w:rsid w:val="00D2117F"/>
    <w:rsid w:val="00D25317"/>
    <w:rsid w:val="00D46EFE"/>
    <w:rsid w:val="00D5592B"/>
    <w:rsid w:val="00D66E8B"/>
    <w:rsid w:val="00D85715"/>
    <w:rsid w:val="00D8706C"/>
    <w:rsid w:val="00D941F7"/>
    <w:rsid w:val="00DA278F"/>
    <w:rsid w:val="00DA4C62"/>
    <w:rsid w:val="00DB6A17"/>
    <w:rsid w:val="00DD5520"/>
    <w:rsid w:val="00DF16C2"/>
    <w:rsid w:val="00E00F76"/>
    <w:rsid w:val="00E12A44"/>
    <w:rsid w:val="00E21E75"/>
    <w:rsid w:val="00E519DC"/>
    <w:rsid w:val="00E60764"/>
    <w:rsid w:val="00E61FDB"/>
    <w:rsid w:val="00E807DA"/>
    <w:rsid w:val="00E84E3A"/>
    <w:rsid w:val="00EA05AF"/>
    <w:rsid w:val="00EC43B9"/>
    <w:rsid w:val="00ED4D69"/>
    <w:rsid w:val="00EE362F"/>
    <w:rsid w:val="00EF0E19"/>
    <w:rsid w:val="00F114AE"/>
    <w:rsid w:val="00F3324C"/>
    <w:rsid w:val="00F43CA0"/>
    <w:rsid w:val="00F52129"/>
    <w:rsid w:val="00F55030"/>
    <w:rsid w:val="00F63519"/>
    <w:rsid w:val="00F640E3"/>
    <w:rsid w:val="00F7696F"/>
    <w:rsid w:val="00F8209B"/>
    <w:rsid w:val="00F872BF"/>
    <w:rsid w:val="00F97CD9"/>
    <w:rsid w:val="00FA0576"/>
    <w:rsid w:val="00FB4ACE"/>
    <w:rsid w:val="00FB50B4"/>
    <w:rsid w:val="00FD4B97"/>
    <w:rsid w:val="00FE55EB"/>
    <w:rsid w:val="00FF3F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4A2BFB"/>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43"/>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46"/>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0E1A25"/>
    <w:pPr>
      <w:numPr>
        <w:numId w:val="42"/>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semiHidden/>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2E4720"/>
    <w:pPr>
      <w:keepNext/>
      <w:spacing w:before="120" w:after="120"/>
    </w:pPr>
    <w:rPr>
      <w:b/>
      <w:color w:val="365F91" w:themeColor="accent1" w:themeShade="BF"/>
      <w:sz w:val="22"/>
    </w:rPr>
  </w:style>
  <w:style w:type="paragraph" w:customStyle="1" w:styleId="HeadingBoldItalic">
    <w:name w:val="Heading Bold Italic"/>
    <w:basedOn w:val="AERbodytext"/>
    <w:next w:val="AERbodytext"/>
    <w:qFormat/>
    <w:rsid w:val="002E4720"/>
    <w:pPr>
      <w:keepNext/>
      <w:spacing w:before="120" w:after="120"/>
    </w:pPr>
    <w:rPr>
      <w:b/>
      <w:i/>
      <w:color w:val="E36C0A"/>
    </w:rPr>
  </w:style>
  <w:style w:type="character" w:customStyle="1" w:styleId="AERbodytextChar">
    <w:name w:val="AER body text Char"/>
    <w:basedOn w:val="DefaultParagraphFont"/>
    <w:link w:val="AERbodytext"/>
    <w:rsid w:val="00BD04BE"/>
    <w:rPr>
      <w:rFonts w:eastAsia="Times New Roman"/>
      <w:szCs w:val="24"/>
      <w:lang w:eastAsia="en-US"/>
    </w:rPr>
  </w:style>
  <w:style w:type="character" w:customStyle="1" w:styleId="HeadingBoldBlueChar">
    <w:name w:val="Heading Bold Blue Char"/>
    <w:basedOn w:val="AERbodytextChar"/>
    <w:link w:val="HeadingBoldBlue"/>
    <w:rsid w:val="002E4720"/>
    <w:rPr>
      <w:rFonts w:eastAsia="Times New Roman"/>
      <w:b/>
      <w:color w:val="365F91" w:themeColor="accent1" w:themeShade="BF"/>
      <w:sz w:val="22"/>
      <w:szCs w:val="24"/>
      <w:lang w:eastAsia="en-US"/>
    </w:rPr>
  </w:style>
  <w:style w:type="paragraph" w:customStyle="1" w:styleId="HeadingItalic">
    <w:name w:val="Heading Italic"/>
    <w:basedOn w:val="AERbodytext"/>
    <w:next w:val="AERbodytext"/>
    <w:qFormat/>
    <w:rsid w:val="002E4720"/>
    <w:pPr>
      <w:keepNext/>
      <w:spacing w:before="120" w:after="120"/>
    </w:pPr>
    <w:rPr>
      <w:i/>
      <w:color w:val="365F91" w:themeColor="accent1" w:themeShade="BF"/>
    </w:rPr>
  </w:style>
  <w:style w:type="character" w:styleId="PageNumber">
    <w:name w:val="page number"/>
    <w:basedOn w:val="DefaultParagraphFont"/>
    <w:rsid w:val="00CC49D4"/>
    <w:rPr>
      <w:rFonts w:ascii="Gautami" w:hAnsi="Gautami"/>
      <w:sz w:val="18"/>
    </w:rPr>
  </w:style>
  <w:style w:type="paragraph" w:styleId="Revision">
    <w:name w:val="Revision"/>
    <w:hidden/>
    <w:uiPriority w:val="99"/>
    <w:semiHidden/>
    <w:rsid w:val="00072085"/>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46"/>
      </w:numPr>
    </w:pPr>
  </w:style>
  <w:style w:type="numbering" w:customStyle="1" w:styleId="Heading1Char">
    <w:name w:val="OldAERheadings"/>
    <w:pPr>
      <w:numPr>
        <w:numId w:val="24"/>
      </w:numPr>
    </w:pPr>
  </w:style>
  <w:style w:type="numbering" w:customStyle="1" w:styleId="Heading2Char">
    <w:name w:val="AERnumbered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emo.com.au" TargetMode="External"/><Relationship Id="rId18" Type="http://schemas.openxmlformats.org/officeDocument/2006/relationships/image" Target="media/image6.tmp"/><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ERInquiry@aer.gov.au" TargetMode="External"/><Relationship Id="rId17" Type="http://schemas.openxmlformats.org/officeDocument/2006/relationships/image" Target="media/image5.tmp"/><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tmp"/><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settings" Target="settings.xml"/><Relationship Id="rId15" Type="http://schemas.openxmlformats.org/officeDocument/2006/relationships/image" Target="media/image3.tmp"/><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7.tmp"/><Relationship Id="rId31" Type="http://schemas.openxmlformats.org/officeDocument/2006/relationships/image" Target="media/image19.emf"/><Relationship Id="rId44"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tmp"/><Relationship Id="rId22" Type="http://schemas.openxmlformats.org/officeDocument/2006/relationships/image" Target="media/image10.tmp"/><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E7C91-87B6-4327-A877-5C5B7938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C39C5C05.dotm</Template>
  <TotalTime>0</TotalTime>
  <Pages>43</Pages>
  <Words>1400</Words>
  <Characters>8042</Characters>
  <Application>Microsoft Office Word</Application>
  <DocSecurity>4</DocSecurity>
  <Lines>131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2014-03-31T01:13:00Z</dcterms:created>
  <dcterms:modified xsi:type="dcterms:W3CDTF">2014-03-31T01:13:00Z</dcterms:modified>
  <cp:contentStatus/>
</cp:coreProperties>
</file>