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1CC2" w:rsidRPr="0020711E" w:rsidRDefault="00711B42" w:rsidP="008C3722">
      <w:pPr>
        <w:pStyle w:val="HeadingOrange"/>
        <w:rPr>
          <w:rStyle w:val="AERtextsize8"/>
        </w:rPr>
      </w:pPr>
      <w:r w:rsidRPr="00824CC8">
        <w:rPr>
          <w:noProof/>
          <w:lang w:eastAsia="en-AU"/>
        </w:rPr>
        <w:drawing>
          <wp:anchor distT="0" distB="0" distL="114300" distR="114300" simplePos="0" relativeHeight="251663360" behindDoc="1" locked="0" layoutInCell="1" allowOverlap="1" wp14:anchorId="442F6564" wp14:editId="695194F4">
            <wp:simplePos x="0" y="0"/>
            <wp:positionH relativeFrom="column">
              <wp:posOffset>-1020598</wp:posOffset>
            </wp:positionH>
            <wp:positionV relativeFrom="paragraph">
              <wp:posOffset>-899160</wp:posOffset>
            </wp:positionV>
            <wp:extent cx="7576185" cy="10706735"/>
            <wp:effectExtent l="0" t="0" r="0" b="0"/>
            <wp:wrapNone/>
            <wp:docPr id="39" name="Picture 2" descr="AER-final-or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R-final-orange"/>
                    <pic:cNvPicPr>
                      <a:picLocks noChangeAspect="1" noChangeArrowheads="1"/>
                    </pic:cNvPicPr>
                  </pic:nvPicPr>
                  <pic:blipFill>
                    <a:blip r:embed="rId9" cstate="print"/>
                    <a:srcRect/>
                    <a:stretch>
                      <a:fillRect/>
                    </a:stretch>
                  </pic:blipFill>
                  <pic:spPr bwMode="auto">
                    <a:xfrm>
                      <a:off x="0" y="0"/>
                      <a:ext cx="7576185" cy="10706735"/>
                    </a:xfrm>
                    <a:prstGeom prst="rect">
                      <a:avLst/>
                    </a:prstGeom>
                    <a:noFill/>
                    <a:ln w="9525">
                      <a:noFill/>
                      <a:miter lim="800000"/>
                      <a:headEnd/>
                      <a:tailEnd/>
                    </a:ln>
                  </pic:spPr>
                </pic:pic>
              </a:graphicData>
            </a:graphic>
          </wp:anchor>
        </w:drawing>
      </w:r>
      <w:r w:rsidR="00CC49D4" w:rsidRPr="00824CC8">
        <w:rPr>
          <w:noProof/>
          <w:lang w:eastAsia="en-AU"/>
        </w:rPr>
        <w:drawing>
          <wp:anchor distT="0" distB="0" distL="114300" distR="114300" simplePos="0" relativeHeight="251661312" behindDoc="1" locked="0" layoutInCell="1" allowOverlap="1" wp14:anchorId="79CC367E" wp14:editId="2A538885">
            <wp:simplePos x="0" y="0"/>
            <wp:positionH relativeFrom="column">
              <wp:posOffset>8280400</wp:posOffset>
            </wp:positionH>
            <wp:positionV relativeFrom="paragraph">
              <wp:posOffset>-946150</wp:posOffset>
            </wp:positionV>
            <wp:extent cx="7635875" cy="10784205"/>
            <wp:effectExtent l="19050" t="0" r="3175" b="0"/>
            <wp:wrapNone/>
            <wp:docPr id="2" name="Picture 2" descr="AER-final-or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R-final-orange"/>
                    <pic:cNvPicPr>
                      <a:picLocks noChangeAspect="1" noChangeArrowheads="1"/>
                    </pic:cNvPicPr>
                  </pic:nvPicPr>
                  <pic:blipFill>
                    <a:blip r:embed="rId9" cstate="print"/>
                    <a:srcRect/>
                    <a:stretch>
                      <a:fillRect/>
                    </a:stretch>
                  </pic:blipFill>
                  <pic:spPr bwMode="auto">
                    <a:xfrm>
                      <a:off x="0" y="0"/>
                      <a:ext cx="7635875" cy="10784205"/>
                    </a:xfrm>
                    <a:prstGeom prst="rect">
                      <a:avLst/>
                    </a:prstGeom>
                    <a:noFill/>
                    <a:ln w="9525">
                      <a:noFill/>
                      <a:miter lim="800000"/>
                      <a:headEnd/>
                      <a:tailEnd/>
                    </a:ln>
                  </pic:spPr>
                </pic:pic>
              </a:graphicData>
            </a:graphic>
          </wp:anchor>
        </w:drawing>
      </w:r>
    </w:p>
    <w:p w:rsidR="009658F0" w:rsidRDefault="009658F0" w:rsidP="000A1CC2">
      <w:pPr>
        <w:pStyle w:val="AERtitle1"/>
      </w:pPr>
    </w:p>
    <w:p w:rsidR="00711B42" w:rsidRDefault="00711B42" w:rsidP="000A1CC2">
      <w:pPr>
        <w:pStyle w:val="AERtitle1"/>
      </w:pPr>
    </w:p>
    <w:p w:rsidR="00711B42" w:rsidRDefault="00711B42" w:rsidP="000A1CC2">
      <w:pPr>
        <w:pStyle w:val="AERtitle1"/>
      </w:pPr>
    </w:p>
    <w:p w:rsidR="009658F0" w:rsidRDefault="009658F0" w:rsidP="000A1CC2">
      <w:pPr>
        <w:pStyle w:val="AERtitle1"/>
      </w:pPr>
    </w:p>
    <w:p w:rsidR="000A1CC2" w:rsidRDefault="000E222C" w:rsidP="000A1CC2">
      <w:pPr>
        <w:pStyle w:val="AERtitle1"/>
      </w:pPr>
      <w:r>
        <w:t>Final decision</w:t>
      </w:r>
    </w:p>
    <w:p w:rsidR="000E222C" w:rsidRDefault="000E222C" w:rsidP="000A1CC2">
      <w:pPr>
        <w:pStyle w:val="AERtitle1"/>
      </w:pPr>
      <w:r>
        <w:t>AEMO transmission determination</w:t>
      </w:r>
    </w:p>
    <w:p w:rsidR="000A1CC2" w:rsidRDefault="000A1CC2" w:rsidP="000A1CC2">
      <w:pPr>
        <w:pStyle w:val="AERtitle1"/>
      </w:pPr>
    </w:p>
    <w:p w:rsidR="00B651E6" w:rsidRDefault="00B651E6" w:rsidP="000B15CA">
      <w:pPr>
        <w:pStyle w:val="AERtitle2"/>
      </w:pPr>
    </w:p>
    <w:p w:rsidR="00B651E6" w:rsidRDefault="00B651E6" w:rsidP="000B15CA">
      <w:pPr>
        <w:pStyle w:val="AERtitle2"/>
      </w:pPr>
    </w:p>
    <w:p w:rsidR="00B651E6" w:rsidRDefault="00B651E6" w:rsidP="000B15CA">
      <w:pPr>
        <w:pStyle w:val="AERtitle2"/>
      </w:pPr>
    </w:p>
    <w:p w:rsidR="00B651E6" w:rsidRDefault="00B651E6" w:rsidP="000B15CA">
      <w:pPr>
        <w:pStyle w:val="AERtitle2"/>
      </w:pPr>
    </w:p>
    <w:p w:rsidR="00B651E6" w:rsidRDefault="00B651E6" w:rsidP="000B15CA">
      <w:pPr>
        <w:pStyle w:val="AERtitle2"/>
      </w:pPr>
    </w:p>
    <w:p w:rsidR="00B651E6" w:rsidRDefault="00B651E6" w:rsidP="000B15CA">
      <w:pPr>
        <w:pStyle w:val="AERtitle2"/>
      </w:pPr>
    </w:p>
    <w:p w:rsidR="00B651E6" w:rsidRDefault="00B651E6" w:rsidP="000B15CA">
      <w:pPr>
        <w:pStyle w:val="AERtitle2"/>
      </w:pPr>
    </w:p>
    <w:p w:rsidR="00AF3E95" w:rsidRDefault="00F80457" w:rsidP="000B15CA">
      <w:pPr>
        <w:pStyle w:val="AERtitle2"/>
      </w:pPr>
      <w:bookmarkStart w:id="0" w:name="_GoBack"/>
      <w:bookmarkEnd w:id="0"/>
      <w:r>
        <w:t>April</w:t>
      </w:r>
      <w:r w:rsidR="000E222C">
        <w:t xml:space="preserve"> 2014</w:t>
      </w:r>
    </w:p>
    <w:p w:rsidR="000B15CA" w:rsidRDefault="000B15CA" w:rsidP="00F97CD9">
      <w:pPr>
        <w:pStyle w:val="AERbodytextnospace"/>
      </w:pPr>
    </w:p>
    <w:p w:rsidR="00711B42" w:rsidRDefault="00711B42" w:rsidP="00711B42">
      <w:bookmarkStart w:id="1" w:name="_Toc360023682"/>
      <w:bookmarkStart w:id="2" w:name="_Toc360024843"/>
    </w:p>
    <w:p w:rsidR="00711B42" w:rsidRDefault="00711B42">
      <w:pPr>
        <w:spacing w:after="0" w:line="240" w:lineRule="auto"/>
        <w:jc w:val="left"/>
      </w:pPr>
      <w:r>
        <w:br w:type="page"/>
      </w:r>
    </w:p>
    <w:p w:rsidR="00711B42" w:rsidRPr="00F6235D" w:rsidRDefault="00711B42" w:rsidP="00711B42">
      <w:r w:rsidRPr="00F6235D">
        <w:lastRenderedPageBreak/>
        <w:t>This work is copyright. Apart from any use permitted by the Copyright Act 1968, no part may be reproduced without permission of the Australian Competition and Consumer Commission. Requests and inquiries concerning reproduction and rights should be addressed to the Director Publishing, Australian Competition and Consumer Commission, GPO Box 3131, Canberra ACT 2601.</w:t>
      </w:r>
    </w:p>
    <w:p w:rsidR="00711B42" w:rsidRDefault="00711B42" w:rsidP="00711B42">
      <w:r>
        <w:t>Inquiries about this document should be addressed to:</w:t>
      </w:r>
    </w:p>
    <w:p w:rsidR="00711B42" w:rsidRDefault="00711B42" w:rsidP="00711B42">
      <w:pPr>
        <w:pStyle w:val="AERbodytextnospace"/>
      </w:pPr>
      <w:r>
        <w:t>Australian Energy Regulator</w:t>
      </w:r>
    </w:p>
    <w:p w:rsidR="00711B42" w:rsidRDefault="00711B42" w:rsidP="00711B42">
      <w:pPr>
        <w:pStyle w:val="AERbodytextnospace"/>
      </w:pPr>
      <w:r>
        <w:t>GPO Box 520</w:t>
      </w:r>
    </w:p>
    <w:p w:rsidR="00711B42" w:rsidRDefault="00711B42" w:rsidP="00711B42">
      <w:pPr>
        <w:pStyle w:val="AERbodytextnospace"/>
      </w:pPr>
      <w:r>
        <w:t>Melbourne  Vic  3001</w:t>
      </w:r>
    </w:p>
    <w:p w:rsidR="00711B42" w:rsidRDefault="00711B42" w:rsidP="00711B42">
      <w:pPr>
        <w:pStyle w:val="AERbodytextnospace"/>
      </w:pPr>
      <w:r>
        <w:t>Tel: (03) 9290 1444</w:t>
      </w:r>
    </w:p>
    <w:p w:rsidR="00711B42" w:rsidRDefault="00711B42" w:rsidP="00711B42">
      <w:pPr>
        <w:pStyle w:val="AERbodytextnospace"/>
      </w:pPr>
      <w:r>
        <w:t>Fax: (03) 9290 1457</w:t>
      </w:r>
    </w:p>
    <w:p w:rsidR="00711B42" w:rsidRDefault="00711B42" w:rsidP="00711B42">
      <w:pPr>
        <w:pStyle w:val="AERbodytextnospace"/>
      </w:pPr>
      <w:r>
        <w:t xml:space="preserve">Email: </w:t>
      </w:r>
      <w:hyperlink r:id="rId10" w:history="1">
        <w:r w:rsidRPr="003E184A">
          <w:rPr>
            <w:rStyle w:val="Hyperlink"/>
          </w:rPr>
          <w:t>AERInquiry@aer.gov.au</w:t>
        </w:r>
      </w:hyperlink>
    </w:p>
    <w:p w:rsidR="00711B42" w:rsidRPr="008F1A4A" w:rsidRDefault="00711B42" w:rsidP="00711B42"/>
    <w:p w:rsidR="00711B42" w:rsidRDefault="00711B42" w:rsidP="00711B42">
      <w:r>
        <w:t xml:space="preserve">AER reference:   </w:t>
      </w:r>
      <w:r w:rsidR="000E222C">
        <w:t>52117</w:t>
      </w:r>
    </w:p>
    <w:p w:rsidR="00711B42" w:rsidRDefault="00711B42" w:rsidP="00711B42"/>
    <w:p w:rsidR="00711B42" w:rsidRDefault="00711B42" w:rsidP="00711B42">
      <w:pPr>
        <w:sectPr w:rsidR="00711B42" w:rsidSect="00CC49D4">
          <w:footerReference w:type="even" r:id="rId11"/>
          <w:footerReference w:type="default" r:id="rId12"/>
          <w:pgSz w:w="11906" w:h="16838" w:code="9"/>
          <w:pgMar w:top="1440" w:right="1440" w:bottom="1440" w:left="1440" w:header="709" w:footer="709" w:gutter="0"/>
          <w:cols w:space="708"/>
          <w:docGrid w:linePitch="360"/>
        </w:sectPr>
      </w:pPr>
    </w:p>
    <w:p w:rsidR="00AF3E95" w:rsidRDefault="00AF3E95" w:rsidP="00711B42">
      <w:pPr>
        <w:pStyle w:val="UnnumberedHeading"/>
        <w:numPr>
          <w:ilvl w:val="0"/>
          <w:numId w:val="0"/>
        </w:numPr>
      </w:pPr>
      <w:bookmarkStart w:id="3" w:name="_Toc383164886"/>
      <w:r>
        <w:lastRenderedPageBreak/>
        <w:t>Contents</w:t>
      </w:r>
      <w:bookmarkEnd w:id="1"/>
      <w:bookmarkEnd w:id="2"/>
      <w:bookmarkEnd w:id="3"/>
    </w:p>
    <w:p w:rsidR="00617D4B" w:rsidRDefault="00824CC8">
      <w:pPr>
        <w:pStyle w:val="TOC1"/>
        <w:tabs>
          <w:tab w:val="right" w:leader="dot" w:pos="9016"/>
        </w:tabs>
        <w:rPr>
          <w:rFonts w:asciiTheme="minorHAnsi" w:eastAsiaTheme="minorEastAsia" w:hAnsiTheme="minorHAnsi" w:cstheme="minorBidi"/>
          <w:b w:val="0"/>
          <w:bCs w:val="0"/>
          <w:noProof/>
          <w:sz w:val="22"/>
          <w:szCs w:val="22"/>
          <w:lang w:eastAsia="en-AU"/>
        </w:rPr>
      </w:pPr>
      <w:r w:rsidRPr="00AC1B94">
        <w:fldChar w:fldCharType="begin"/>
      </w:r>
      <w:r w:rsidRPr="00971655">
        <w:instrText xml:space="preserve"> TOC \o "1-2" \h \z \u </w:instrText>
      </w:r>
      <w:r w:rsidRPr="00AC1B94">
        <w:fldChar w:fldCharType="separate"/>
      </w:r>
      <w:hyperlink w:anchor="_Toc383164886" w:history="1">
        <w:r w:rsidR="00617D4B" w:rsidRPr="000A6211">
          <w:rPr>
            <w:rStyle w:val="Hyperlink"/>
            <w:noProof/>
          </w:rPr>
          <w:t>Contents</w:t>
        </w:r>
        <w:r w:rsidR="00617D4B">
          <w:rPr>
            <w:noProof/>
            <w:webHidden/>
          </w:rPr>
          <w:tab/>
        </w:r>
        <w:r w:rsidR="00617D4B">
          <w:rPr>
            <w:noProof/>
            <w:webHidden/>
          </w:rPr>
          <w:fldChar w:fldCharType="begin"/>
        </w:r>
        <w:r w:rsidR="00617D4B">
          <w:rPr>
            <w:noProof/>
            <w:webHidden/>
          </w:rPr>
          <w:instrText xml:space="preserve"> PAGEREF _Toc383164886 \h </w:instrText>
        </w:r>
        <w:r w:rsidR="00617D4B">
          <w:rPr>
            <w:noProof/>
            <w:webHidden/>
          </w:rPr>
        </w:r>
        <w:r w:rsidR="00617D4B">
          <w:rPr>
            <w:noProof/>
            <w:webHidden/>
          </w:rPr>
          <w:fldChar w:fldCharType="separate"/>
        </w:r>
        <w:r w:rsidR="00B651E6">
          <w:rPr>
            <w:noProof/>
            <w:webHidden/>
          </w:rPr>
          <w:t>3</w:t>
        </w:r>
        <w:r w:rsidR="00617D4B">
          <w:rPr>
            <w:noProof/>
            <w:webHidden/>
          </w:rPr>
          <w:fldChar w:fldCharType="end"/>
        </w:r>
      </w:hyperlink>
    </w:p>
    <w:p w:rsidR="00617D4B" w:rsidRDefault="00B651E6">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83164887" w:history="1">
        <w:r w:rsidR="00617D4B" w:rsidRPr="000A6211">
          <w:rPr>
            <w:rStyle w:val="Hyperlink"/>
            <w:noProof/>
          </w:rPr>
          <w:t>1</w:t>
        </w:r>
        <w:r w:rsidR="00617D4B">
          <w:rPr>
            <w:rFonts w:asciiTheme="minorHAnsi" w:eastAsiaTheme="minorEastAsia" w:hAnsiTheme="minorHAnsi" w:cstheme="minorBidi"/>
            <w:b w:val="0"/>
            <w:bCs w:val="0"/>
            <w:noProof/>
            <w:sz w:val="22"/>
            <w:szCs w:val="22"/>
            <w:lang w:eastAsia="en-AU"/>
          </w:rPr>
          <w:tab/>
        </w:r>
        <w:r w:rsidR="00617D4B" w:rsidRPr="000A6211">
          <w:rPr>
            <w:rStyle w:val="Hyperlink"/>
            <w:noProof/>
          </w:rPr>
          <w:t>Final decision</w:t>
        </w:r>
        <w:r w:rsidR="00617D4B">
          <w:rPr>
            <w:noProof/>
            <w:webHidden/>
          </w:rPr>
          <w:tab/>
        </w:r>
        <w:r w:rsidR="00617D4B">
          <w:rPr>
            <w:noProof/>
            <w:webHidden/>
          </w:rPr>
          <w:fldChar w:fldCharType="begin"/>
        </w:r>
        <w:r w:rsidR="00617D4B">
          <w:rPr>
            <w:noProof/>
            <w:webHidden/>
          </w:rPr>
          <w:instrText xml:space="preserve"> PAGEREF _Toc383164887 \h </w:instrText>
        </w:r>
        <w:r w:rsidR="00617D4B">
          <w:rPr>
            <w:noProof/>
            <w:webHidden/>
          </w:rPr>
        </w:r>
        <w:r w:rsidR="00617D4B">
          <w:rPr>
            <w:noProof/>
            <w:webHidden/>
          </w:rPr>
          <w:fldChar w:fldCharType="separate"/>
        </w:r>
        <w:r>
          <w:rPr>
            <w:noProof/>
            <w:webHidden/>
          </w:rPr>
          <w:t>4</w:t>
        </w:r>
        <w:r w:rsidR="00617D4B">
          <w:rPr>
            <w:noProof/>
            <w:webHidden/>
          </w:rPr>
          <w:fldChar w:fldCharType="end"/>
        </w:r>
      </w:hyperlink>
    </w:p>
    <w:p w:rsidR="00617D4B" w:rsidRDefault="00B651E6">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83164888" w:history="1">
        <w:r w:rsidR="00617D4B" w:rsidRPr="000A6211">
          <w:rPr>
            <w:rStyle w:val="Hyperlink"/>
            <w:noProof/>
          </w:rPr>
          <w:t>1.1</w:t>
        </w:r>
        <w:r w:rsidR="00617D4B">
          <w:rPr>
            <w:rFonts w:asciiTheme="minorHAnsi" w:eastAsiaTheme="minorEastAsia" w:hAnsiTheme="minorHAnsi" w:cstheme="minorBidi"/>
            <w:iCs w:val="0"/>
            <w:noProof/>
            <w:sz w:val="22"/>
            <w:szCs w:val="22"/>
            <w:lang w:eastAsia="en-AU"/>
          </w:rPr>
          <w:tab/>
        </w:r>
        <w:r w:rsidR="00617D4B" w:rsidRPr="000A6211">
          <w:rPr>
            <w:rStyle w:val="Hyperlink"/>
            <w:noProof/>
          </w:rPr>
          <w:t>Final decision: pricing methodology</w:t>
        </w:r>
        <w:r w:rsidR="00617D4B">
          <w:rPr>
            <w:noProof/>
            <w:webHidden/>
          </w:rPr>
          <w:tab/>
        </w:r>
        <w:r w:rsidR="00617D4B">
          <w:rPr>
            <w:noProof/>
            <w:webHidden/>
          </w:rPr>
          <w:fldChar w:fldCharType="begin"/>
        </w:r>
        <w:r w:rsidR="00617D4B">
          <w:rPr>
            <w:noProof/>
            <w:webHidden/>
          </w:rPr>
          <w:instrText xml:space="preserve"> PAGEREF _Toc383164888 \h </w:instrText>
        </w:r>
        <w:r w:rsidR="00617D4B">
          <w:rPr>
            <w:noProof/>
            <w:webHidden/>
          </w:rPr>
        </w:r>
        <w:r w:rsidR="00617D4B">
          <w:rPr>
            <w:noProof/>
            <w:webHidden/>
          </w:rPr>
          <w:fldChar w:fldCharType="separate"/>
        </w:r>
        <w:r>
          <w:rPr>
            <w:noProof/>
            <w:webHidden/>
          </w:rPr>
          <w:t>4</w:t>
        </w:r>
        <w:r w:rsidR="00617D4B">
          <w:rPr>
            <w:noProof/>
            <w:webHidden/>
          </w:rPr>
          <w:fldChar w:fldCharType="end"/>
        </w:r>
      </w:hyperlink>
    </w:p>
    <w:p w:rsidR="00617D4B" w:rsidRDefault="00B651E6">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83164889" w:history="1">
        <w:r w:rsidR="00617D4B" w:rsidRPr="000A6211">
          <w:rPr>
            <w:rStyle w:val="Hyperlink"/>
            <w:noProof/>
          </w:rPr>
          <w:t>1.2</w:t>
        </w:r>
        <w:r w:rsidR="00617D4B">
          <w:rPr>
            <w:rFonts w:asciiTheme="minorHAnsi" w:eastAsiaTheme="minorEastAsia" w:hAnsiTheme="minorHAnsi" w:cstheme="minorBidi"/>
            <w:iCs w:val="0"/>
            <w:noProof/>
            <w:sz w:val="22"/>
            <w:szCs w:val="22"/>
            <w:lang w:eastAsia="en-AU"/>
          </w:rPr>
          <w:tab/>
        </w:r>
        <w:r w:rsidR="00617D4B" w:rsidRPr="000A6211">
          <w:rPr>
            <w:rStyle w:val="Hyperlink"/>
            <w:noProof/>
          </w:rPr>
          <w:t>Final decision: negotiating framework and negotiating transmission service criteria</w:t>
        </w:r>
        <w:r w:rsidR="00617D4B">
          <w:rPr>
            <w:noProof/>
            <w:webHidden/>
          </w:rPr>
          <w:tab/>
        </w:r>
        <w:r w:rsidR="00617D4B">
          <w:rPr>
            <w:noProof/>
            <w:webHidden/>
          </w:rPr>
          <w:fldChar w:fldCharType="begin"/>
        </w:r>
        <w:r w:rsidR="00617D4B">
          <w:rPr>
            <w:noProof/>
            <w:webHidden/>
          </w:rPr>
          <w:instrText xml:space="preserve"> PAGEREF _Toc383164889 \h </w:instrText>
        </w:r>
        <w:r w:rsidR="00617D4B">
          <w:rPr>
            <w:noProof/>
            <w:webHidden/>
          </w:rPr>
        </w:r>
        <w:r w:rsidR="00617D4B">
          <w:rPr>
            <w:noProof/>
            <w:webHidden/>
          </w:rPr>
          <w:fldChar w:fldCharType="separate"/>
        </w:r>
        <w:r>
          <w:rPr>
            <w:noProof/>
            <w:webHidden/>
          </w:rPr>
          <w:t>5</w:t>
        </w:r>
        <w:r w:rsidR="00617D4B">
          <w:rPr>
            <w:noProof/>
            <w:webHidden/>
          </w:rPr>
          <w:fldChar w:fldCharType="end"/>
        </w:r>
      </w:hyperlink>
    </w:p>
    <w:p w:rsidR="00711B42" w:rsidRDefault="00824CC8" w:rsidP="00DF16C2">
      <w:pPr>
        <w:pStyle w:val="TOC1"/>
      </w:pPr>
      <w:r w:rsidRPr="00AC1B94">
        <w:fldChar w:fldCharType="end"/>
      </w:r>
    </w:p>
    <w:p w:rsidR="00711B42" w:rsidRDefault="00711B42">
      <w:pPr>
        <w:spacing w:after="0" w:line="240" w:lineRule="auto"/>
        <w:jc w:val="left"/>
        <w:rPr>
          <w:b/>
          <w:bCs/>
        </w:rPr>
      </w:pPr>
      <w:r>
        <w:br w:type="page"/>
      </w:r>
    </w:p>
    <w:p w:rsidR="00AF3E95" w:rsidRDefault="00032608" w:rsidP="00032608">
      <w:pPr>
        <w:pStyle w:val="Heading1"/>
      </w:pPr>
      <w:bookmarkStart w:id="4" w:name="_Toc383164887"/>
      <w:r>
        <w:lastRenderedPageBreak/>
        <w:t>Final decision</w:t>
      </w:r>
      <w:bookmarkEnd w:id="4"/>
    </w:p>
    <w:p w:rsidR="00032608" w:rsidRDefault="00032608" w:rsidP="00032608">
      <w:pPr>
        <w:pStyle w:val="AERbodytext"/>
      </w:pPr>
      <w:r>
        <w:t xml:space="preserve">We regulate the economic activities of </w:t>
      </w:r>
      <w:r w:rsidRPr="00D00945">
        <w:t>transmission network se</w:t>
      </w:r>
      <w:r>
        <w:t xml:space="preserve">rvice providers </w:t>
      </w:r>
      <w:r w:rsidR="009779F7">
        <w:t xml:space="preserve">(TNSPs) </w:t>
      </w:r>
      <w:r>
        <w:t>in the n</w:t>
      </w:r>
      <w:r w:rsidRPr="00D00945">
        <w:t>at</w:t>
      </w:r>
      <w:r>
        <w:t xml:space="preserve">ional electricity market (NEM), in accordance with the National Electricity Law and the National Electricity Rules. </w:t>
      </w:r>
    </w:p>
    <w:p w:rsidR="00032608" w:rsidRDefault="00032608" w:rsidP="00032608">
      <w:pPr>
        <w:pStyle w:val="AERbodytext"/>
      </w:pPr>
      <w:r>
        <w:t>The Australian Energy Market Operator (AEMO) manages energy markets and systems and provides network planning advice. It does this in each region of the NEM, which incorporates the Eastern and Southern states of Australia. Additionally,</w:t>
      </w:r>
      <w:r w:rsidR="00381C1E">
        <w:t xml:space="preserve"> and only</w:t>
      </w:r>
      <w:r>
        <w:t xml:space="preserve"> in Victoria</w:t>
      </w:r>
      <w:r w:rsidR="00381C1E">
        <w:t>,</w:t>
      </w:r>
      <w:r>
        <w:t xml:space="preserve"> AEMO provides prescribed and negotiated transmission services.</w:t>
      </w:r>
      <w:r>
        <w:rPr>
          <w:rStyle w:val="FootnoteReference"/>
        </w:rPr>
        <w:footnoteReference w:id="1"/>
      </w:r>
      <w:r>
        <w:t xml:space="preserve"> </w:t>
      </w:r>
    </w:p>
    <w:p w:rsidR="00166844" w:rsidRDefault="00032608" w:rsidP="00032608">
      <w:pPr>
        <w:pStyle w:val="AERbodytext"/>
      </w:pPr>
      <w:r>
        <w:t>We are required to make a transmission determination for AEMO</w:t>
      </w:r>
      <w:r w:rsidR="007C0484">
        <w:t xml:space="preserve"> in its role as a provider of transmission services in Victoria (</w:t>
      </w:r>
      <w:r w:rsidR="009779F7">
        <w:t>TNSP</w:t>
      </w:r>
      <w:r w:rsidR="007C0484">
        <w:t>)</w:t>
      </w:r>
      <w:r>
        <w:t xml:space="preserve"> for its next regulatory control period commencing 1 July 2014 to 30 June 2019. Our transmission determination consist</w:t>
      </w:r>
      <w:r w:rsidR="007C0484">
        <w:t>s</w:t>
      </w:r>
      <w:r>
        <w:t xml:space="preserve"> of a pricing methodology, negotiating </w:t>
      </w:r>
      <w:r w:rsidR="00381C1E">
        <w:t>framework and</w:t>
      </w:r>
      <w:r>
        <w:t xml:space="preserve"> negotiated transmission service criteria (NTSC). </w:t>
      </w:r>
    </w:p>
    <w:p w:rsidR="00166844" w:rsidRDefault="007C0484" w:rsidP="00166844">
      <w:pPr>
        <w:pStyle w:val="AERbodytext"/>
      </w:pPr>
      <w:r>
        <w:t>Unlike other TNSPs, however, w</w:t>
      </w:r>
      <w:r w:rsidR="00166844" w:rsidRPr="00166844">
        <w:t>e are not required to make a building block</w:t>
      </w:r>
      <w:r>
        <w:t>-based</w:t>
      </w:r>
      <w:r w:rsidR="00166844" w:rsidRPr="00166844">
        <w:t xml:space="preserve"> revenue determination for AEMO.</w:t>
      </w:r>
      <w:r w:rsidR="00166844" w:rsidRPr="00166844">
        <w:rPr>
          <w:rStyle w:val="FootnoteReference"/>
        </w:rPr>
        <w:footnoteReference w:id="2"/>
      </w:r>
      <w:r w:rsidR="00166844" w:rsidRPr="00166844">
        <w:t xml:space="preserve"> However, AEMO must have a revenue methodology setting out the method for calculating its maximum allowed revenue for the provision of prescribed transmission services for each regulatory year.</w:t>
      </w:r>
      <w:r w:rsidR="00166844" w:rsidRPr="00166844">
        <w:rPr>
          <w:rStyle w:val="FootnoteReference"/>
        </w:rPr>
        <w:footnoteReference w:id="3"/>
      </w:r>
      <w:r w:rsidR="00166844" w:rsidRPr="00166844">
        <w:t xml:space="preserve"> </w:t>
      </w:r>
      <w:r>
        <w:t>This revenue methodology is not subject to regulatory scrutiny or approval</w:t>
      </w:r>
      <w:r w:rsidR="00617D4B">
        <w:t>, but</w:t>
      </w:r>
      <w:r w:rsidR="00617D4B" w:rsidRPr="00617D4B">
        <w:t xml:space="preserve"> AEMO is required to consult with stakeholders when developing it</w:t>
      </w:r>
      <w:r w:rsidR="00617D4B">
        <w:t>.</w:t>
      </w:r>
      <w:r w:rsidR="00617D4B">
        <w:rPr>
          <w:rStyle w:val="FootnoteReference"/>
        </w:rPr>
        <w:footnoteReference w:id="4"/>
      </w:r>
      <w:r w:rsidR="00F4213C">
        <w:t xml:space="preserve"> </w:t>
      </w:r>
      <w:r w:rsidR="00166844" w:rsidRPr="00166844">
        <w:t xml:space="preserve">AEMO’s revenue methodology is available on its website: </w:t>
      </w:r>
      <w:hyperlink r:id="rId13" w:history="1">
        <w:r w:rsidR="00166844" w:rsidRPr="00166844">
          <w:rPr>
            <w:rStyle w:val="Hyperlink"/>
          </w:rPr>
          <w:t>www.aemo.com.au</w:t>
        </w:r>
      </w:hyperlink>
      <w:r w:rsidR="00166844" w:rsidRPr="00166844">
        <w:t>.</w:t>
      </w:r>
    </w:p>
    <w:p w:rsidR="00F4213C" w:rsidRPr="00166844" w:rsidRDefault="00F4213C" w:rsidP="00166844">
      <w:pPr>
        <w:pStyle w:val="AERbodytext"/>
      </w:pPr>
      <w:r>
        <w:t>The following contains our final decision on the pricing methodology, negotiating framework and NTSC that will apply to AEMO in the 2014–19 regulatory control period.</w:t>
      </w:r>
    </w:p>
    <w:p w:rsidR="00032608" w:rsidRDefault="00024542" w:rsidP="00032608">
      <w:pPr>
        <w:pStyle w:val="Heading2"/>
      </w:pPr>
      <w:bookmarkStart w:id="5" w:name="_Toc382399393"/>
      <w:bookmarkStart w:id="6" w:name="_Toc383164888"/>
      <w:bookmarkEnd w:id="5"/>
      <w:r>
        <w:t>Final decision: p</w:t>
      </w:r>
      <w:r w:rsidR="00032608">
        <w:t>ricing methodology</w:t>
      </w:r>
      <w:bookmarkEnd w:id="6"/>
    </w:p>
    <w:p w:rsidR="00B8295B" w:rsidRDefault="001711A2" w:rsidP="00B8295B">
      <w:pPr>
        <w:pStyle w:val="AERbodytext"/>
      </w:pPr>
      <w:r>
        <w:t xml:space="preserve">Our decision is to approve </w:t>
      </w:r>
      <w:r w:rsidR="00CC2221">
        <w:t>the</w:t>
      </w:r>
      <w:r>
        <w:t xml:space="preserve"> revised pricing methodology</w:t>
      </w:r>
      <w:r w:rsidR="00CC2221">
        <w:t xml:space="preserve"> AEMO proposed</w:t>
      </w:r>
      <w:r>
        <w:t xml:space="preserve"> for its 2014–19 regulatory control period. </w:t>
      </w:r>
      <w:r w:rsidR="007C0484">
        <w:t xml:space="preserve">AEMO provided a revised version on </w:t>
      </w:r>
      <w:r w:rsidR="00F4213C">
        <w:t>21 February 2014</w:t>
      </w:r>
      <w:r w:rsidR="007C0484">
        <w:t xml:space="preserve"> following the release of our draft decision which indicated some concerns with AEMO's original proposal. </w:t>
      </w:r>
      <w:r w:rsidR="00CC2221">
        <w:t xml:space="preserve">We are satisfied that </w:t>
      </w:r>
      <w:r w:rsidR="007C0484">
        <w:t xml:space="preserve">the revised pricing methodology </w:t>
      </w:r>
      <w:r w:rsidR="00CC2221">
        <w:t xml:space="preserve"> gives effect to</w:t>
      </w:r>
      <w:r w:rsidR="00C51524">
        <w:t xml:space="preserve"> the</w:t>
      </w:r>
      <w:r w:rsidR="00B04DAE">
        <w:t xml:space="preserve"> transmission</w:t>
      </w:r>
      <w:r w:rsidR="00CC2221">
        <w:t xml:space="preserve"> pricing principles in the </w:t>
      </w:r>
      <w:r w:rsidR="0005274C">
        <w:t xml:space="preserve">rules </w:t>
      </w:r>
      <w:r w:rsidR="00CC2221">
        <w:t xml:space="preserve">and complies with the pricing methodology guidelines. </w:t>
      </w:r>
    </w:p>
    <w:p w:rsidR="00B8295B" w:rsidRDefault="00B8295B" w:rsidP="00B07F37">
      <w:pPr>
        <w:pStyle w:val="AERbodytext"/>
      </w:pPr>
      <w:r>
        <w:t>The initial and revised pricing methodologies AEMO prop</w:t>
      </w:r>
      <w:r w:rsidR="00867671">
        <w:t xml:space="preserve">osed differ in two respects. </w:t>
      </w:r>
      <w:r w:rsidR="00917C2A">
        <w:t>First, t</w:t>
      </w:r>
      <w:r w:rsidR="00867671">
        <w:t>he</w:t>
      </w:r>
      <w:r>
        <w:t xml:space="preserve"> revised </w:t>
      </w:r>
      <w:r w:rsidR="00F4213C">
        <w:t>version</w:t>
      </w:r>
      <w:r w:rsidR="00867671">
        <w:t xml:space="preserve"> </w:t>
      </w:r>
      <w:r>
        <w:t xml:space="preserve">uses more </w:t>
      </w:r>
      <w:r w:rsidR="00166844">
        <w:t>up-to-date</w:t>
      </w:r>
      <w:r>
        <w:t xml:space="preserve"> data</w:t>
      </w:r>
      <w:r w:rsidR="00E70502">
        <w:t xml:space="preserve"> to calculate network charges</w:t>
      </w:r>
      <w:r>
        <w:t xml:space="preserve"> and</w:t>
      </w:r>
      <w:r w:rsidR="00867671">
        <w:t>, second,</w:t>
      </w:r>
      <w:r w:rsidR="00E70502">
        <w:t xml:space="preserve"> </w:t>
      </w:r>
      <w:r w:rsidR="00466139">
        <w:t xml:space="preserve">it </w:t>
      </w:r>
      <w:r w:rsidR="00E70502">
        <w:t xml:space="preserve">provides additional flexibility. </w:t>
      </w:r>
      <w:r w:rsidR="00F530DF">
        <w:t>T</w:t>
      </w:r>
      <w:r w:rsidR="00E70502">
        <w:t xml:space="preserve">hese </w:t>
      </w:r>
      <w:r w:rsidR="00F530DF">
        <w:t>revisions</w:t>
      </w:r>
      <w:r w:rsidR="00E70502">
        <w:t xml:space="preserve"> were introduced </w:t>
      </w:r>
      <w:r>
        <w:t xml:space="preserve">in response to </w:t>
      </w:r>
      <w:r w:rsidR="00E70502">
        <w:t>stakeholder concerns about</w:t>
      </w:r>
      <w:r w:rsidR="00F530DF">
        <w:t xml:space="preserve"> declining energy consumption and </w:t>
      </w:r>
      <w:r w:rsidR="00381C1E">
        <w:t xml:space="preserve">the </w:t>
      </w:r>
      <w:r w:rsidR="00F530DF">
        <w:t xml:space="preserve">potential effect </w:t>
      </w:r>
      <w:r w:rsidR="00381C1E">
        <w:t xml:space="preserve">this would have </w:t>
      </w:r>
      <w:r w:rsidR="00F530DF">
        <w:t>on the calculation of transmission charges.</w:t>
      </w:r>
    </w:p>
    <w:p w:rsidR="00E70502" w:rsidRPr="00B8295B" w:rsidRDefault="00E70502" w:rsidP="00340AE4">
      <w:pPr>
        <w:pStyle w:val="Heading3"/>
      </w:pPr>
      <w:r>
        <w:t xml:space="preserve">More </w:t>
      </w:r>
      <w:r w:rsidR="00381C1E">
        <w:t>up-to-date</w:t>
      </w:r>
      <w:r w:rsidR="00381C1E" w:rsidDel="00381C1E">
        <w:t xml:space="preserve"> </w:t>
      </w:r>
      <w:r>
        <w:t>data</w:t>
      </w:r>
    </w:p>
    <w:p w:rsidR="0042269B" w:rsidRDefault="00C64E7B" w:rsidP="0042269B">
      <w:pPr>
        <w:pStyle w:val="AERbodytext"/>
        <w:numPr>
          <w:ilvl w:val="0"/>
          <w:numId w:val="0"/>
        </w:numPr>
      </w:pPr>
      <w:r>
        <w:t>In its initial pricing methodology AEMO proposed to use data from the most recently completed financial year (t–2)</w:t>
      </w:r>
      <w:r w:rsidR="00DF55FE">
        <w:t xml:space="preserve"> to calculate the prices and charges for shared transmission services</w:t>
      </w:r>
      <w:r>
        <w:t>.</w:t>
      </w:r>
      <w:r w:rsidR="00381C1E">
        <w:rPr>
          <w:rStyle w:val="FootnoteReference"/>
        </w:rPr>
        <w:footnoteReference w:id="5"/>
      </w:r>
      <w:r>
        <w:t xml:space="preserve"> </w:t>
      </w:r>
      <w:r w:rsidR="0042269B">
        <w:t>In its revised pricing methodology</w:t>
      </w:r>
      <w:r w:rsidR="00DF55FE">
        <w:t xml:space="preserve"> </w:t>
      </w:r>
      <w:r w:rsidR="0042269B">
        <w:t>AEMO proposed to</w:t>
      </w:r>
      <w:r w:rsidR="00DF55FE">
        <w:t xml:space="preserve"> instead</w:t>
      </w:r>
      <w:r w:rsidR="0042269B">
        <w:t xml:space="preserve"> use</w:t>
      </w:r>
      <w:r>
        <w:t xml:space="preserve"> data from the m</w:t>
      </w:r>
      <w:r w:rsidR="00446FDD">
        <w:t>ost recent 12 month period</w:t>
      </w:r>
      <w:r w:rsidR="00DF55FE">
        <w:t xml:space="preserve"> </w:t>
      </w:r>
      <w:r w:rsidR="00446FDD">
        <w:t xml:space="preserve">(t–1). This </w:t>
      </w:r>
      <w:r w:rsidR="0042269B">
        <w:t>would be</w:t>
      </w:r>
      <w:r w:rsidR="00446FDD">
        <w:t xml:space="preserve"> from 1 March to 28 February each year.</w:t>
      </w:r>
      <w:r w:rsidR="0042269B">
        <w:t xml:space="preserve"> </w:t>
      </w:r>
    </w:p>
    <w:p w:rsidR="00803F42" w:rsidRDefault="000C422C" w:rsidP="0042269B">
      <w:pPr>
        <w:pStyle w:val="AERbodytext"/>
        <w:numPr>
          <w:ilvl w:val="0"/>
          <w:numId w:val="0"/>
        </w:numPr>
      </w:pPr>
      <w:r>
        <w:lastRenderedPageBreak/>
        <w:t>T</w:t>
      </w:r>
      <w:r w:rsidR="00384453">
        <w:t xml:space="preserve">he </w:t>
      </w:r>
      <w:r w:rsidR="0042269B">
        <w:t>Energy Users Coalition of Vic</w:t>
      </w:r>
      <w:r w:rsidR="003D7B92">
        <w:t xml:space="preserve">toria </w:t>
      </w:r>
      <w:r>
        <w:t>submitted that</w:t>
      </w:r>
      <w:r w:rsidR="00384453">
        <w:t xml:space="preserve"> AEMO should use the most </w:t>
      </w:r>
      <w:r w:rsidR="00803F42">
        <w:t>up to date</w:t>
      </w:r>
      <w:r w:rsidR="00384453">
        <w:t xml:space="preserve"> data</w:t>
      </w:r>
      <w:r w:rsidR="00803F42">
        <w:t xml:space="preserve"> on demand and energy consumption</w:t>
      </w:r>
      <w:r w:rsidR="00384453">
        <w:t xml:space="preserve"> available</w:t>
      </w:r>
      <w:r>
        <w:t xml:space="preserve"> so that prices and charges are cost reflective</w:t>
      </w:r>
      <w:r w:rsidR="00384453">
        <w:t xml:space="preserve">. </w:t>
      </w:r>
      <w:r w:rsidR="00803F42">
        <w:t>The</w:t>
      </w:r>
      <w:r w:rsidR="0005274C">
        <w:t>y</w:t>
      </w:r>
      <w:r w:rsidR="00803F42">
        <w:t xml:space="preserve"> further stated that</w:t>
      </w:r>
      <w:r>
        <w:t xml:space="preserve"> the</w:t>
      </w:r>
      <w:r w:rsidR="004D178D">
        <w:t xml:space="preserve"> </w:t>
      </w:r>
      <w:r w:rsidR="007E7528">
        <w:t>use of the latest data</w:t>
      </w:r>
      <w:r w:rsidR="00803F42">
        <w:t xml:space="preserve"> was particularly important given the trend towards declining demand and energy consumption.</w:t>
      </w:r>
      <w:r w:rsidR="00803F42">
        <w:rPr>
          <w:rStyle w:val="FootnoteReference"/>
        </w:rPr>
        <w:footnoteReference w:id="6"/>
      </w:r>
    </w:p>
    <w:p w:rsidR="007F7761" w:rsidRDefault="003D7B92" w:rsidP="0042269B">
      <w:pPr>
        <w:pStyle w:val="AERbodytext"/>
        <w:numPr>
          <w:ilvl w:val="0"/>
          <w:numId w:val="0"/>
        </w:numPr>
      </w:pPr>
      <w:r>
        <w:t xml:space="preserve">We </w:t>
      </w:r>
      <w:r w:rsidR="00803F42">
        <w:t xml:space="preserve">note the work AEMO has done to incorporate </w:t>
      </w:r>
      <w:r w:rsidR="0005274C">
        <w:t xml:space="preserve">stakeholders' </w:t>
      </w:r>
      <w:r w:rsidR="00803F42">
        <w:t>views</w:t>
      </w:r>
      <w:r w:rsidR="009600E3">
        <w:t xml:space="preserve"> </w:t>
      </w:r>
      <w:r w:rsidR="00803F42">
        <w:t xml:space="preserve">in </w:t>
      </w:r>
      <w:r w:rsidR="0005274C">
        <w:t xml:space="preserve">the </w:t>
      </w:r>
      <w:r w:rsidR="00B11775">
        <w:t xml:space="preserve">revised pricing methodology, and are satisfied that basing prices and charges using data from the most recent 12 month period </w:t>
      </w:r>
      <w:r w:rsidR="00917C2A">
        <w:t xml:space="preserve">improves on the previous approach and </w:t>
      </w:r>
      <w:r w:rsidR="00B11775">
        <w:t>complies with</w:t>
      </w:r>
      <w:r w:rsidR="0042269B">
        <w:t xml:space="preserve"> th</w:t>
      </w:r>
      <w:r w:rsidR="00B11775">
        <w:t xml:space="preserve">e pricing principles in the </w:t>
      </w:r>
      <w:r w:rsidR="0005274C">
        <w:t>rules</w:t>
      </w:r>
      <w:r w:rsidR="00B11775">
        <w:t>. It also meets the relevant requirements of the</w:t>
      </w:r>
      <w:r w:rsidR="007F7761">
        <w:t xml:space="preserve"> pricing methodology guidelines.</w:t>
      </w:r>
      <w:r w:rsidR="00446FDD">
        <w:rPr>
          <w:rStyle w:val="FootnoteReference"/>
        </w:rPr>
        <w:footnoteReference w:id="7"/>
      </w:r>
      <w:r w:rsidR="00AE49F9">
        <w:t xml:space="preserve"> </w:t>
      </w:r>
    </w:p>
    <w:p w:rsidR="00B8295B" w:rsidRDefault="00340AE4" w:rsidP="00340AE4">
      <w:pPr>
        <w:pStyle w:val="Heading3"/>
      </w:pPr>
      <w:r>
        <w:t>Additional flexibility</w:t>
      </w:r>
    </w:p>
    <w:p w:rsidR="0045667B" w:rsidRDefault="00B8295B" w:rsidP="00B07F37">
      <w:pPr>
        <w:pStyle w:val="AERbodytext"/>
      </w:pPr>
      <w:r>
        <w:t>T</w:t>
      </w:r>
      <w:r w:rsidR="00B04DAE">
        <w:t>he</w:t>
      </w:r>
      <w:r w:rsidR="007951AF">
        <w:t xml:space="preserve"> revised pricing methodology AEMO submitted </w:t>
      </w:r>
      <w:r w:rsidR="006231E5">
        <w:t>provides additional flexibility</w:t>
      </w:r>
      <w:r w:rsidR="007951AF">
        <w:t xml:space="preserve"> in the way</w:t>
      </w:r>
      <w:r w:rsidR="008C37DF">
        <w:t xml:space="preserve"> a</w:t>
      </w:r>
      <w:r w:rsidR="007951AF">
        <w:t xml:space="preserve"> customer's charges are calculated</w:t>
      </w:r>
      <w:r w:rsidR="0005274C">
        <w:t>, namely</w:t>
      </w:r>
      <w:r w:rsidR="007951AF">
        <w:t>:</w:t>
      </w:r>
    </w:p>
    <w:p w:rsidR="0045667B" w:rsidRDefault="007951AF" w:rsidP="0045667B">
      <w:pPr>
        <w:pStyle w:val="AERbulletlistfirststyle"/>
      </w:pPr>
      <w:r>
        <w:t>U</w:t>
      </w:r>
      <w:r w:rsidR="0045667B">
        <w:t xml:space="preserve">nder normal circumstances, AEMO will calculate </w:t>
      </w:r>
      <w:r w:rsidR="00B11775">
        <w:t>prices and</w:t>
      </w:r>
      <w:r w:rsidR="0045667B">
        <w:t xml:space="preserve"> charges</w:t>
      </w:r>
      <w:r w:rsidR="00B11775">
        <w:t xml:space="preserve"> for shared transmission services</w:t>
      </w:r>
      <w:r w:rsidR="0045667B">
        <w:t xml:space="preserve"> using </w:t>
      </w:r>
      <w:r w:rsidR="0045667B" w:rsidRPr="0045667B">
        <w:rPr>
          <w:rStyle w:val="AERtextitalic"/>
        </w:rPr>
        <w:t>historical</w:t>
      </w:r>
      <w:r w:rsidR="0045667B">
        <w:t xml:space="preserve"> </w:t>
      </w:r>
      <w:r w:rsidR="00E97634">
        <w:t xml:space="preserve">data on </w:t>
      </w:r>
      <w:r w:rsidR="00290E18">
        <w:t>a customer's</w:t>
      </w:r>
      <w:r w:rsidR="00B11775">
        <w:t xml:space="preserve"> demand and energy consumption</w:t>
      </w:r>
      <w:r>
        <w:t>.</w:t>
      </w:r>
      <w:r w:rsidR="00F40CAB">
        <w:rPr>
          <w:rStyle w:val="FootnoteReference"/>
        </w:rPr>
        <w:footnoteReference w:id="8"/>
      </w:r>
    </w:p>
    <w:p w:rsidR="00E97634" w:rsidRDefault="00E97634" w:rsidP="00E97634">
      <w:pPr>
        <w:pStyle w:val="AERbulletlistfirststyle"/>
      </w:pPr>
      <w:r>
        <w:rPr>
          <w:rStyle w:val="AERbody"/>
        </w:rPr>
        <w:t xml:space="preserve">In exceptional circumstances, a customer may request </w:t>
      </w:r>
      <w:r w:rsidR="000D14E3" w:rsidRPr="0045667B">
        <w:rPr>
          <w:rStyle w:val="AERtextitalic"/>
        </w:rPr>
        <w:t>actual</w:t>
      </w:r>
      <w:r w:rsidR="0045667B">
        <w:t xml:space="preserve"> </w:t>
      </w:r>
      <w:r w:rsidR="000D14E3">
        <w:t>data</w:t>
      </w:r>
      <w:r>
        <w:t xml:space="preserve"> </w:t>
      </w:r>
      <w:r w:rsidR="00ED3940">
        <w:t>be</w:t>
      </w:r>
      <w:r w:rsidR="00B11775">
        <w:t xml:space="preserve"> used</w:t>
      </w:r>
      <w:r w:rsidR="00290E18">
        <w:t xml:space="preserve"> instead</w:t>
      </w:r>
      <w:r w:rsidR="003F6223">
        <w:t>.</w:t>
      </w:r>
      <w:r>
        <w:t xml:space="preserve"> This</w:t>
      </w:r>
      <w:r w:rsidR="003F6223">
        <w:t xml:space="preserve"> </w:t>
      </w:r>
      <w:r>
        <w:t xml:space="preserve">request </w:t>
      </w:r>
      <w:r w:rsidR="00DE5B9E">
        <w:t>may</w:t>
      </w:r>
      <w:r w:rsidR="003F6223">
        <w:t xml:space="preserve"> be</w:t>
      </w:r>
      <w:r w:rsidR="007951AF">
        <w:t xml:space="preserve"> made </w:t>
      </w:r>
      <w:r w:rsidR="009600E3">
        <w:t xml:space="preserve">either </w:t>
      </w:r>
      <w:r w:rsidR="007951AF">
        <w:t>before</w:t>
      </w:r>
      <w:r w:rsidR="00886527">
        <w:t xml:space="preserve"> or during</w:t>
      </w:r>
      <w:r w:rsidR="007951AF">
        <w:t xml:space="preserve"> a pricing period.</w:t>
      </w:r>
      <w:r w:rsidR="009600E3">
        <w:rPr>
          <w:rStyle w:val="FootnoteReference"/>
        </w:rPr>
        <w:footnoteReference w:id="9"/>
      </w:r>
      <w:r w:rsidR="007951AF">
        <w:t xml:space="preserve"> </w:t>
      </w:r>
    </w:p>
    <w:p w:rsidR="00847CA8" w:rsidRDefault="00F40CAB" w:rsidP="007951AF">
      <w:pPr>
        <w:pStyle w:val="AERbulletlistfirststyle"/>
        <w:numPr>
          <w:ilvl w:val="0"/>
          <w:numId w:val="0"/>
        </w:numPr>
      </w:pPr>
      <w:r>
        <w:t>The addition</w:t>
      </w:r>
      <w:r w:rsidR="00FD6B14">
        <w:t xml:space="preserve">al flexibility was included in the </w:t>
      </w:r>
      <w:r>
        <w:t>revised pricin</w:t>
      </w:r>
      <w:r w:rsidR="00FD6B14">
        <w:t>g methodology in response to AEMO's consultation with</w:t>
      </w:r>
      <w:r>
        <w:t xml:space="preserve"> stakeholders. They expressed concerns about </w:t>
      </w:r>
      <w:r w:rsidR="00290E18">
        <w:t>using</w:t>
      </w:r>
      <w:r>
        <w:t xml:space="preserve"> historical data to derive the prices and charges for customers whose demand and energy consumption </w:t>
      </w:r>
      <w:r w:rsidR="001D0C8D">
        <w:t>is, or is likely to be,</w:t>
      </w:r>
      <w:r>
        <w:t xml:space="preserve"> significantly different from what it has previously been. </w:t>
      </w:r>
      <w:r w:rsidR="0005274C">
        <w:t xml:space="preserve">Major energy user </w:t>
      </w:r>
      <w:r w:rsidR="00886527">
        <w:t>representatives</w:t>
      </w:r>
      <w:r>
        <w:t xml:space="preserve"> noted that where, for example, there is a decommissioning of a large</w:t>
      </w:r>
      <w:r w:rsidR="0005274C">
        <w:t xml:space="preserve"> or</w:t>
      </w:r>
      <w:r>
        <w:t xml:space="preserve"> </w:t>
      </w:r>
      <w:r w:rsidR="0005274C">
        <w:t xml:space="preserve">highly variable </w:t>
      </w:r>
      <w:r>
        <w:t xml:space="preserve">load, then the option to apply </w:t>
      </w:r>
      <w:r w:rsidR="00024542">
        <w:t>actual</w:t>
      </w:r>
      <w:r>
        <w:t xml:space="preserve"> data should be available.</w:t>
      </w:r>
      <w:r>
        <w:rPr>
          <w:rStyle w:val="FootnoteReference"/>
        </w:rPr>
        <w:footnoteReference w:id="10"/>
      </w:r>
    </w:p>
    <w:p w:rsidR="0043367F" w:rsidRDefault="001D0C8D" w:rsidP="007951AF">
      <w:pPr>
        <w:pStyle w:val="AERbulletlistfirststyle"/>
        <w:numPr>
          <w:ilvl w:val="0"/>
          <w:numId w:val="0"/>
        </w:numPr>
      </w:pPr>
      <w:r>
        <w:t xml:space="preserve">We are satisfied that the additional flexibility </w:t>
      </w:r>
      <w:r w:rsidR="00917C2A">
        <w:t xml:space="preserve">in </w:t>
      </w:r>
      <w:r>
        <w:t xml:space="preserve">AEMO's revised pricing methodology gives effect to the pricing principles in the </w:t>
      </w:r>
      <w:r w:rsidR="0005274C">
        <w:t xml:space="preserve">rules </w:t>
      </w:r>
      <w:r>
        <w:t xml:space="preserve">and the pricing methodology guidelines. </w:t>
      </w:r>
      <w:r w:rsidR="00290E18">
        <w:t xml:space="preserve">The pricing principles are intended to provide </w:t>
      </w:r>
      <w:r w:rsidR="00C142EA">
        <w:t>TNSPs</w:t>
      </w:r>
      <w:r w:rsidR="00B07205">
        <w:t xml:space="preserve"> </w:t>
      </w:r>
      <w:r w:rsidR="00290E18">
        <w:t xml:space="preserve">with scope to </w:t>
      </w:r>
      <w:r w:rsidR="0011648B">
        <w:t>implement</w:t>
      </w:r>
      <w:r w:rsidR="00290E18">
        <w:t xml:space="preserve"> innovative arrangements</w:t>
      </w:r>
      <w:r w:rsidR="00B07205">
        <w:t>,</w:t>
      </w:r>
      <w:r w:rsidR="00290E18">
        <w:t xml:space="preserve"> such as those </w:t>
      </w:r>
      <w:r w:rsidR="00B07205">
        <w:t>proposed</w:t>
      </w:r>
      <w:r w:rsidR="00B07205" w:rsidRPr="00B07205">
        <w:t xml:space="preserve"> </w:t>
      </w:r>
      <w:r w:rsidR="00B07205">
        <w:t>by</w:t>
      </w:r>
      <w:r w:rsidR="00024542">
        <w:t xml:space="preserve"> </w:t>
      </w:r>
      <w:r w:rsidR="00290E18">
        <w:t xml:space="preserve">AEMO. As noted by </w:t>
      </w:r>
      <w:r w:rsidR="0005274C">
        <w:t>energy users</w:t>
      </w:r>
      <w:r w:rsidR="00290E18">
        <w:t>, the additional flexibility is also appropriate considering</w:t>
      </w:r>
      <w:r w:rsidR="00FD6B14">
        <w:t xml:space="preserve"> the current trend towards declinin</w:t>
      </w:r>
      <w:r w:rsidR="00290E18">
        <w:t>g demand and energy consumption in Victoria</w:t>
      </w:r>
      <w:r w:rsidR="0005274C">
        <w:t>, particularly in the manufacturing and industrial sectors.</w:t>
      </w:r>
    </w:p>
    <w:p w:rsidR="008C37DF" w:rsidRDefault="00AC6C9E" w:rsidP="00290E18">
      <w:pPr>
        <w:pStyle w:val="Heading2"/>
      </w:pPr>
      <w:bookmarkStart w:id="7" w:name="_Toc383164889"/>
      <w:r>
        <w:t>Final decision: n</w:t>
      </w:r>
      <w:r w:rsidR="00290E18">
        <w:t xml:space="preserve">egotiating framework and </w:t>
      </w:r>
      <w:r w:rsidR="00A800C7">
        <w:t>negotiating transmission service criteria</w:t>
      </w:r>
      <w:bookmarkEnd w:id="7"/>
    </w:p>
    <w:p w:rsidR="00290E18" w:rsidRDefault="00290E18" w:rsidP="00290E18">
      <w:pPr>
        <w:pStyle w:val="AERbodytext"/>
      </w:pPr>
      <w:r>
        <w:t xml:space="preserve">We affirm our draft decision approving </w:t>
      </w:r>
      <w:r w:rsidR="00A800C7" w:rsidRPr="00A800C7">
        <w:t>AEMO</w:t>
      </w:r>
      <w:r w:rsidR="00A800C7">
        <w:t>'s</w:t>
      </w:r>
      <w:r w:rsidR="00A800C7" w:rsidRPr="00A800C7">
        <w:t xml:space="preserve"> proposed</w:t>
      </w:r>
      <w:r w:rsidR="00A800C7" w:rsidRPr="00A800C7" w:rsidDel="00A800C7">
        <w:t xml:space="preserve"> </w:t>
      </w:r>
      <w:r>
        <w:t>negotiating framework</w:t>
      </w:r>
      <w:r w:rsidR="002F49E5">
        <w:t xml:space="preserve">. Our final decision is that the NTSC we published </w:t>
      </w:r>
      <w:r w:rsidR="000C422C">
        <w:t>in October 2013</w:t>
      </w:r>
      <w:r w:rsidR="002F49E5">
        <w:t xml:space="preserve"> will be the criteria applicable to AEMO in its 2014–19 regulatory control period. </w:t>
      </w:r>
    </w:p>
    <w:p w:rsidR="002F49E5" w:rsidRDefault="002F49E5" w:rsidP="00290E18">
      <w:pPr>
        <w:pStyle w:val="AERbodytext"/>
      </w:pPr>
      <w:r>
        <w:t xml:space="preserve">The approved negotiating framework and the NTSC </w:t>
      </w:r>
      <w:r w:rsidR="00A800C7">
        <w:t>to be applied by</w:t>
      </w:r>
      <w:r>
        <w:t xml:space="preserve"> AEMO are set out in our transmission determination, along with the pricing methodology.</w:t>
      </w:r>
    </w:p>
    <w:p w:rsidR="004513D2" w:rsidRDefault="004513D2" w:rsidP="002F49E5">
      <w:pPr>
        <w:pStyle w:val="AERbodytext"/>
        <w:numPr>
          <w:ilvl w:val="0"/>
          <w:numId w:val="0"/>
        </w:numPr>
      </w:pPr>
    </w:p>
    <w:sectPr w:rsidR="004513D2" w:rsidSect="00456081">
      <w:footerReference w:type="even"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0484" w:rsidRPr="00AB4345" w:rsidRDefault="007C0484" w:rsidP="00AB4345">
      <w:r>
        <w:separator/>
      </w:r>
    </w:p>
  </w:endnote>
  <w:endnote w:type="continuationSeparator" w:id="0">
    <w:p w:rsidR="007C0484" w:rsidRPr="00AB4345" w:rsidRDefault="007C0484" w:rsidP="00AB4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Gautami">
    <w:panose1 w:val="02000500000000000000"/>
    <w:charset w:val="00"/>
    <w:family w:val="auto"/>
    <w:pitch w:val="variable"/>
    <w:sig w:usb0="002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484" w:rsidRPr="00824CC8" w:rsidRDefault="007C0484" w:rsidP="00EB5CDF">
    <w:pPr>
      <w:pStyle w:val="Footer"/>
      <w:tabs>
        <w:tab w:val="clear" w:pos="4513"/>
      </w:tabs>
    </w:pPr>
    <w:r w:rsidRPr="00824CC8">
      <w:rPr>
        <w:rStyle w:val="AERbody"/>
      </w:rPr>
      <w:fldChar w:fldCharType="begin"/>
    </w:r>
    <w:r w:rsidRPr="00824CC8">
      <w:rPr>
        <w:rStyle w:val="AERbody"/>
      </w:rPr>
      <w:instrText xml:space="preserve"> PAGE   \* MERGEFORMAT </w:instrText>
    </w:r>
    <w:r w:rsidRPr="00824CC8">
      <w:rPr>
        <w:rStyle w:val="AERbody"/>
      </w:rPr>
      <w:fldChar w:fldCharType="separate"/>
    </w:r>
    <w:r w:rsidR="00B651E6">
      <w:rPr>
        <w:rStyle w:val="AERbody"/>
        <w:noProof/>
      </w:rPr>
      <w:t>2</w:t>
    </w:r>
    <w:r w:rsidRPr="00824CC8">
      <w:rPr>
        <w:rStyle w:val="AERbody"/>
      </w:rPr>
      <w:fldChar w:fldCharType="end"/>
    </w:r>
    <w:r w:rsidRPr="00824CC8">
      <w:rPr>
        <w:rStyle w:val="AERbody"/>
      </w:rPr>
      <w:tab/>
    </w:r>
    <w:r>
      <w:rPr>
        <w:rStyle w:val="AERbody"/>
      </w:rPr>
      <w:t>Final decision</w:t>
    </w:r>
    <w:r w:rsidRPr="00824CC8">
      <w:rPr>
        <w:rStyle w:val="AERbody"/>
      </w:rPr>
      <w:t xml:space="preserve">| </w:t>
    </w:r>
    <w:r>
      <w:rPr>
        <w:rStyle w:val="AERbody"/>
      </w:rPr>
      <w:t>A</w:t>
    </w:r>
    <w:r w:rsidRPr="002F49E5">
      <w:rPr>
        <w:rStyle w:val="AERbody"/>
      </w:rPr>
      <w:t>EMO 2014–19 transmission determination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484" w:rsidRPr="00824CC8" w:rsidRDefault="007C0484" w:rsidP="00EB5CDF">
    <w:pPr>
      <w:pStyle w:val="Footer"/>
      <w:tabs>
        <w:tab w:val="clear" w:pos="4513"/>
      </w:tabs>
    </w:pPr>
    <w:r w:rsidRPr="00210880">
      <w:rPr>
        <w:rStyle w:val="AERbody"/>
      </w:rPr>
      <w:t>Distribution/transmission determination heading | Attachment heading</w:t>
    </w:r>
    <w:r w:rsidRPr="00210880">
      <w:rPr>
        <w:rStyle w:val="AERbody"/>
      </w:rPr>
      <w:tab/>
    </w:r>
    <w:r w:rsidRPr="00824CC8">
      <w:rPr>
        <w:rStyle w:val="AERbody"/>
      </w:rPr>
      <w:fldChar w:fldCharType="begin"/>
    </w:r>
    <w:r w:rsidRPr="00824CC8">
      <w:rPr>
        <w:rStyle w:val="AERbody"/>
      </w:rPr>
      <w:instrText xml:space="preserve"> PAGE   \* MERGEFORMAT </w:instrText>
    </w:r>
    <w:r w:rsidRPr="00824CC8">
      <w:rPr>
        <w:rStyle w:val="AERbody"/>
      </w:rPr>
      <w:fldChar w:fldCharType="separate"/>
    </w:r>
    <w:r w:rsidR="00B651E6">
      <w:rPr>
        <w:rStyle w:val="AERbody"/>
        <w:noProof/>
      </w:rPr>
      <w:t>1</w:t>
    </w:r>
    <w:r w:rsidRPr="00824CC8">
      <w:rPr>
        <w:rStyle w:val="AERbody"/>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4882516"/>
      <w:docPartObj>
        <w:docPartGallery w:val="Page Numbers (Bottom of Page)"/>
        <w:docPartUnique/>
      </w:docPartObj>
    </w:sdtPr>
    <w:sdtEndPr/>
    <w:sdtContent>
      <w:p w:rsidR="007C0484" w:rsidRPr="00824CC8" w:rsidRDefault="007C0484" w:rsidP="00824CC8">
        <w:pPr>
          <w:pStyle w:val="Footer"/>
        </w:pPr>
        <w:r w:rsidRPr="00824CC8">
          <w:fldChar w:fldCharType="begin"/>
        </w:r>
        <w:r w:rsidRPr="00824CC8">
          <w:instrText xml:space="preserve"> PAGE   \* MERGEFORMAT </w:instrText>
        </w:r>
        <w:r w:rsidRPr="00824CC8">
          <w:fldChar w:fldCharType="separate"/>
        </w:r>
        <w:r w:rsidR="00B651E6">
          <w:rPr>
            <w:noProof/>
          </w:rPr>
          <w:t>4</w:t>
        </w:r>
        <w:r w:rsidRPr="00824CC8">
          <w:fldChar w:fldCharType="end"/>
        </w:r>
        <w:r w:rsidRPr="00824CC8">
          <w:tab/>
        </w:r>
        <w:r>
          <w:t xml:space="preserve">                                                                </w:t>
        </w:r>
        <w:r>
          <w:rPr>
            <w:rStyle w:val="AERbody"/>
          </w:rPr>
          <w:t>Final decision</w:t>
        </w:r>
        <w:r w:rsidRPr="00824CC8">
          <w:rPr>
            <w:rStyle w:val="AERbody"/>
          </w:rPr>
          <w:t xml:space="preserve"> | </w:t>
        </w:r>
        <w:r>
          <w:rPr>
            <w:rStyle w:val="AERbody"/>
          </w:rPr>
          <w:t>AEMO 2014–19 transmission determination</w:t>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484" w:rsidRPr="00824CC8" w:rsidRDefault="007C0484" w:rsidP="00824CC8">
    <w:pPr>
      <w:pStyle w:val="Footer"/>
      <w:rPr>
        <w:rStyle w:val="AERbody"/>
      </w:rPr>
    </w:pPr>
    <w:r>
      <w:rPr>
        <w:rStyle w:val="AERbody"/>
      </w:rPr>
      <w:t>AEMO 2014–19 transmission determination</w:t>
    </w:r>
    <w:r w:rsidRPr="00210880">
      <w:rPr>
        <w:rStyle w:val="AERbody"/>
      </w:rPr>
      <w:t xml:space="preserve"> | </w:t>
    </w:r>
    <w:r>
      <w:rPr>
        <w:rStyle w:val="AERbody"/>
      </w:rPr>
      <w:t>Final decision</w:t>
    </w:r>
    <w:r w:rsidRPr="00210880">
      <w:rPr>
        <w:rStyle w:val="AERbody"/>
      </w:rPr>
      <w:tab/>
    </w:r>
    <w:r w:rsidRPr="00824CC8">
      <w:rPr>
        <w:rStyle w:val="AERbody"/>
      </w:rPr>
      <w:fldChar w:fldCharType="begin"/>
    </w:r>
    <w:r w:rsidRPr="00824CC8">
      <w:rPr>
        <w:rStyle w:val="AERbody"/>
      </w:rPr>
      <w:instrText xml:space="preserve"> PAGE   \* MERGEFORMAT </w:instrText>
    </w:r>
    <w:r w:rsidRPr="00824CC8">
      <w:rPr>
        <w:rStyle w:val="AERbody"/>
      </w:rPr>
      <w:fldChar w:fldCharType="separate"/>
    </w:r>
    <w:r w:rsidR="00B651E6">
      <w:rPr>
        <w:rStyle w:val="AERbody"/>
        <w:noProof/>
      </w:rPr>
      <w:t>5</w:t>
    </w:r>
    <w:r w:rsidRPr="00824CC8">
      <w:rPr>
        <w:rStyle w:val="AERbody"/>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0484" w:rsidRPr="00AB4345" w:rsidRDefault="007C0484" w:rsidP="00AB4345">
      <w:r>
        <w:separator/>
      </w:r>
    </w:p>
  </w:footnote>
  <w:footnote w:type="continuationSeparator" w:id="0">
    <w:p w:rsidR="007C0484" w:rsidRPr="00AB4345" w:rsidRDefault="007C0484" w:rsidP="00AB4345">
      <w:r>
        <w:continuationSeparator/>
      </w:r>
    </w:p>
  </w:footnote>
  <w:footnote w:id="1">
    <w:p w:rsidR="007C0484" w:rsidRDefault="007C0484" w:rsidP="00032608">
      <w:pPr>
        <w:pStyle w:val="FootnoteText"/>
      </w:pPr>
      <w:r>
        <w:rPr>
          <w:rStyle w:val="FootnoteReference"/>
        </w:rPr>
        <w:footnoteRef/>
      </w:r>
      <w:r>
        <w:t xml:space="preserve"> </w:t>
      </w:r>
      <w:r>
        <w:tab/>
        <w:t>NER, S6A.4.1(a)</w:t>
      </w:r>
    </w:p>
  </w:footnote>
  <w:footnote w:id="2">
    <w:p w:rsidR="007C0484" w:rsidRDefault="007C0484" w:rsidP="00166844">
      <w:pPr>
        <w:pStyle w:val="FootnoteText"/>
      </w:pPr>
      <w:r>
        <w:rPr>
          <w:rStyle w:val="FootnoteReference"/>
        </w:rPr>
        <w:footnoteRef/>
      </w:r>
      <w:r>
        <w:t xml:space="preserve"> </w:t>
      </w:r>
      <w:r>
        <w:tab/>
        <w:t>NER, clause S6A.4.2</w:t>
      </w:r>
      <w:r w:rsidR="009779F7">
        <w:t>(c</w:t>
      </w:r>
      <w:proofErr w:type="gramStart"/>
      <w:r w:rsidR="009779F7">
        <w:t>)</w:t>
      </w:r>
      <w:r>
        <w:t>(</w:t>
      </w:r>
      <w:proofErr w:type="gramEnd"/>
      <w:r>
        <w:t>1).</w:t>
      </w:r>
    </w:p>
  </w:footnote>
  <w:footnote w:id="3">
    <w:p w:rsidR="007C0484" w:rsidRDefault="007C0484" w:rsidP="00166844">
      <w:pPr>
        <w:pStyle w:val="FootnoteText"/>
      </w:pPr>
      <w:r>
        <w:rPr>
          <w:rStyle w:val="FootnoteReference"/>
        </w:rPr>
        <w:footnoteRef/>
      </w:r>
      <w:r>
        <w:t xml:space="preserve"> </w:t>
      </w:r>
      <w:r>
        <w:tab/>
        <w:t>NER, clause S6A.4.2</w:t>
      </w:r>
      <w:r w:rsidR="009779F7">
        <w:t>(c</w:t>
      </w:r>
      <w:proofErr w:type="gramStart"/>
      <w:r w:rsidR="009779F7">
        <w:t>)</w:t>
      </w:r>
      <w:r>
        <w:t>(</w:t>
      </w:r>
      <w:proofErr w:type="gramEnd"/>
      <w:r>
        <w:t>2).</w:t>
      </w:r>
    </w:p>
  </w:footnote>
  <w:footnote w:id="4">
    <w:p w:rsidR="00617D4B" w:rsidRDefault="00617D4B">
      <w:pPr>
        <w:pStyle w:val="FootnoteText"/>
      </w:pPr>
      <w:r>
        <w:rPr>
          <w:rStyle w:val="FootnoteReference"/>
        </w:rPr>
        <w:footnoteRef/>
      </w:r>
      <w:r>
        <w:t xml:space="preserve"> </w:t>
      </w:r>
      <w:r>
        <w:tab/>
        <w:t>NER, clause S6A.4.2(c)(3)</w:t>
      </w:r>
    </w:p>
  </w:footnote>
  <w:footnote w:id="5">
    <w:p w:rsidR="007C0484" w:rsidRDefault="007C0484">
      <w:pPr>
        <w:pStyle w:val="FootnoteText"/>
      </w:pPr>
      <w:r>
        <w:rPr>
          <w:rStyle w:val="FootnoteReference"/>
        </w:rPr>
        <w:footnoteRef/>
      </w:r>
      <w:r>
        <w:t xml:space="preserve"> </w:t>
      </w:r>
      <w:r>
        <w:tab/>
        <w:t xml:space="preserve">The term "price" refers to the unit cost of a service. "Charges" represent price x quantity, or total bill. </w:t>
      </w:r>
    </w:p>
  </w:footnote>
  <w:footnote w:id="6">
    <w:p w:rsidR="007C0484" w:rsidRDefault="007C0484">
      <w:pPr>
        <w:pStyle w:val="FootnoteText"/>
      </w:pPr>
      <w:r>
        <w:rPr>
          <w:rStyle w:val="FootnoteReference"/>
        </w:rPr>
        <w:footnoteRef/>
      </w:r>
      <w:r>
        <w:t xml:space="preserve"> </w:t>
      </w:r>
      <w:r>
        <w:tab/>
        <w:t xml:space="preserve">EUCV, </w:t>
      </w:r>
      <w:r w:rsidRPr="00594A1F">
        <w:rPr>
          <w:rStyle w:val="AERtextitalic"/>
        </w:rPr>
        <w:t>Submission to the AER on AEMO's initial pricing methodology</w:t>
      </w:r>
      <w:r>
        <w:t>, 24 November 2013, p. 2.</w:t>
      </w:r>
    </w:p>
  </w:footnote>
  <w:footnote w:id="7">
    <w:p w:rsidR="007C0484" w:rsidRDefault="007C0484">
      <w:pPr>
        <w:pStyle w:val="FootnoteText"/>
      </w:pPr>
      <w:r>
        <w:rPr>
          <w:rStyle w:val="FootnoteReference"/>
        </w:rPr>
        <w:footnoteRef/>
      </w:r>
      <w:r>
        <w:t xml:space="preserve"> </w:t>
      </w:r>
      <w:r>
        <w:tab/>
      </w:r>
      <w:proofErr w:type="gramStart"/>
      <w:r>
        <w:t>AER, Pricing methodology guidelines, October 2007, section 2.2(c).</w:t>
      </w:r>
      <w:proofErr w:type="gramEnd"/>
    </w:p>
  </w:footnote>
  <w:footnote w:id="8">
    <w:p w:rsidR="007C0484" w:rsidRDefault="007C0484">
      <w:pPr>
        <w:pStyle w:val="FootnoteText"/>
      </w:pPr>
      <w:r>
        <w:rPr>
          <w:rStyle w:val="FootnoteReference"/>
        </w:rPr>
        <w:footnoteRef/>
      </w:r>
      <w:r>
        <w:t xml:space="preserve"> </w:t>
      </w:r>
      <w:r>
        <w:tab/>
        <w:t>AEMO, Revised pricing methodology for 2014–19 regulatory control period, 21 February 2014, p. 6-7.</w:t>
      </w:r>
    </w:p>
  </w:footnote>
  <w:footnote w:id="9">
    <w:p w:rsidR="007C0484" w:rsidRDefault="007C0484">
      <w:pPr>
        <w:pStyle w:val="FootnoteText"/>
      </w:pPr>
      <w:r>
        <w:rPr>
          <w:rStyle w:val="FootnoteReference"/>
        </w:rPr>
        <w:footnoteRef/>
      </w:r>
      <w:r>
        <w:t xml:space="preserve"> </w:t>
      </w:r>
      <w:r>
        <w:tab/>
        <w:t>AEMO, Revised pricing methodology for 2014–19 regulatory control period, 21 February 2014, p. 7.</w:t>
      </w:r>
    </w:p>
  </w:footnote>
  <w:footnote w:id="10">
    <w:p w:rsidR="007C0484" w:rsidRDefault="007C0484">
      <w:pPr>
        <w:pStyle w:val="FootnoteText"/>
      </w:pPr>
      <w:r>
        <w:rPr>
          <w:rStyle w:val="FootnoteReference"/>
        </w:rPr>
        <w:footnoteRef/>
      </w:r>
      <w:r>
        <w:t xml:space="preserve"> </w:t>
      </w:r>
      <w:r>
        <w:tab/>
        <w:t xml:space="preserve">EUCV, </w:t>
      </w:r>
      <w:r w:rsidRPr="00594A1F">
        <w:rPr>
          <w:rStyle w:val="AERtextitalic"/>
        </w:rPr>
        <w:t>Submission to the AER on AEMO's initial pricing methodology</w:t>
      </w:r>
      <w:r>
        <w:t>, 24 November 2013, p. 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83E63"/>
    <w:multiLevelType w:val="multilevel"/>
    <w:tmpl w:val="950A1C52"/>
    <w:numStyleLink w:val="AERHeadings"/>
  </w:abstractNum>
  <w:abstractNum w:abstractNumId="1">
    <w:nsid w:val="031C7FA6"/>
    <w:multiLevelType w:val="hybridMultilevel"/>
    <w:tmpl w:val="1A7E9E04"/>
    <w:lvl w:ilvl="0" w:tplc="A356B254">
      <w:start w:val="1"/>
      <w:numFmt w:val="bullet"/>
      <w:pStyle w:val="AERbulletlistsecon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
    <w:nsid w:val="0B102140"/>
    <w:multiLevelType w:val="multilevel"/>
    <w:tmpl w:val="39D4CB02"/>
    <w:numStyleLink w:val="AERnumberedlist"/>
  </w:abstractNum>
  <w:abstractNum w:abstractNumId="3">
    <w:nsid w:val="0D517D24"/>
    <w:multiLevelType w:val="hybridMultilevel"/>
    <w:tmpl w:val="BD7E2B36"/>
    <w:lvl w:ilvl="0" w:tplc="23B41A36">
      <w:start w:val="1"/>
      <w:numFmt w:val="lowerRoman"/>
      <w:lvlText w:val="%1."/>
      <w:lvlJc w:val="left"/>
      <w:pPr>
        <w:tabs>
          <w:tab w:val="num" w:pos="1440"/>
        </w:tabs>
        <w:ind w:left="1440" w:hanging="360"/>
      </w:pPr>
      <w:rPr>
        <w:rFonts w:hint="default"/>
        <w:b w:val="0"/>
        <w:i w:val="0"/>
        <w:sz w:val="22"/>
      </w:rPr>
    </w:lvl>
    <w:lvl w:ilvl="1" w:tplc="0C090003" w:tentative="1">
      <w:start w:val="1"/>
      <w:numFmt w:val="bullet"/>
      <w:lvlText w:val="o"/>
      <w:lvlJc w:val="left"/>
      <w:pPr>
        <w:tabs>
          <w:tab w:val="num" w:pos="1806"/>
        </w:tabs>
        <w:ind w:left="1806" w:hanging="360"/>
      </w:pPr>
      <w:rPr>
        <w:rFonts w:ascii="Courier New" w:hAnsi="Courier New" w:cs="Courier New" w:hint="default"/>
      </w:rPr>
    </w:lvl>
    <w:lvl w:ilvl="2" w:tplc="0C090005" w:tentative="1">
      <w:start w:val="1"/>
      <w:numFmt w:val="bullet"/>
      <w:lvlText w:val=""/>
      <w:lvlJc w:val="left"/>
      <w:pPr>
        <w:tabs>
          <w:tab w:val="num" w:pos="2526"/>
        </w:tabs>
        <w:ind w:left="2526" w:hanging="360"/>
      </w:pPr>
      <w:rPr>
        <w:rFonts w:ascii="Wingdings" w:hAnsi="Wingdings" w:hint="default"/>
      </w:rPr>
    </w:lvl>
    <w:lvl w:ilvl="3" w:tplc="0C090001" w:tentative="1">
      <w:start w:val="1"/>
      <w:numFmt w:val="bullet"/>
      <w:lvlText w:val=""/>
      <w:lvlJc w:val="left"/>
      <w:pPr>
        <w:tabs>
          <w:tab w:val="num" w:pos="3246"/>
        </w:tabs>
        <w:ind w:left="3246" w:hanging="360"/>
      </w:pPr>
      <w:rPr>
        <w:rFonts w:ascii="Symbol" w:hAnsi="Symbol" w:hint="default"/>
      </w:rPr>
    </w:lvl>
    <w:lvl w:ilvl="4" w:tplc="0C090003" w:tentative="1">
      <w:start w:val="1"/>
      <w:numFmt w:val="bullet"/>
      <w:lvlText w:val="o"/>
      <w:lvlJc w:val="left"/>
      <w:pPr>
        <w:tabs>
          <w:tab w:val="num" w:pos="3966"/>
        </w:tabs>
        <w:ind w:left="3966" w:hanging="360"/>
      </w:pPr>
      <w:rPr>
        <w:rFonts w:ascii="Courier New" w:hAnsi="Courier New" w:cs="Courier New" w:hint="default"/>
      </w:rPr>
    </w:lvl>
    <w:lvl w:ilvl="5" w:tplc="0C090005" w:tentative="1">
      <w:start w:val="1"/>
      <w:numFmt w:val="bullet"/>
      <w:lvlText w:val=""/>
      <w:lvlJc w:val="left"/>
      <w:pPr>
        <w:tabs>
          <w:tab w:val="num" w:pos="4686"/>
        </w:tabs>
        <w:ind w:left="4686" w:hanging="360"/>
      </w:pPr>
      <w:rPr>
        <w:rFonts w:ascii="Wingdings" w:hAnsi="Wingdings" w:hint="default"/>
      </w:rPr>
    </w:lvl>
    <w:lvl w:ilvl="6" w:tplc="0C090001" w:tentative="1">
      <w:start w:val="1"/>
      <w:numFmt w:val="bullet"/>
      <w:lvlText w:val=""/>
      <w:lvlJc w:val="left"/>
      <w:pPr>
        <w:tabs>
          <w:tab w:val="num" w:pos="5406"/>
        </w:tabs>
        <w:ind w:left="5406" w:hanging="360"/>
      </w:pPr>
      <w:rPr>
        <w:rFonts w:ascii="Symbol" w:hAnsi="Symbol" w:hint="default"/>
      </w:rPr>
    </w:lvl>
    <w:lvl w:ilvl="7" w:tplc="0C090003" w:tentative="1">
      <w:start w:val="1"/>
      <w:numFmt w:val="bullet"/>
      <w:lvlText w:val="o"/>
      <w:lvlJc w:val="left"/>
      <w:pPr>
        <w:tabs>
          <w:tab w:val="num" w:pos="6126"/>
        </w:tabs>
        <w:ind w:left="6126" w:hanging="360"/>
      </w:pPr>
      <w:rPr>
        <w:rFonts w:ascii="Courier New" w:hAnsi="Courier New" w:cs="Courier New" w:hint="default"/>
      </w:rPr>
    </w:lvl>
    <w:lvl w:ilvl="8" w:tplc="0C090005" w:tentative="1">
      <w:start w:val="1"/>
      <w:numFmt w:val="bullet"/>
      <w:lvlText w:val=""/>
      <w:lvlJc w:val="left"/>
      <w:pPr>
        <w:tabs>
          <w:tab w:val="num" w:pos="6846"/>
        </w:tabs>
        <w:ind w:left="6846" w:hanging="360"/>
      </w:pPr>
      <w:rPr>
        <w:rFonts w:ascii="Wingdings" w:hAnsi="Wingdings" w:hint="default"/>
      </w:rPr>
    </w:lvl>
  </w:abstractNum>
  <w:abstractNum w:abstractNumId="4">
    <w:nsid w:val="13597CF9"/>
    <w:multiLevelType w:val="multilevel"/>
    <w:tmpl w:val="39D4CB02"/>
    <w:numStyleLink w:val="AERnumberedlist"/>
  </w:abstractNum>
  <w:abstractNum w:abstractNumId="5">
    <w:nsid w:val="176B27A6"/>
    <w:multiLevelType w:val="multilevel"/>
    <w:tmpl w:val="950A1C52"/>
    <w:numStyleLink w:val="AERHeadings"/>
  </w:abstractNum>
  <w:abstractNum w:abstractNumId="6">
    <w:nsid w:val="1972601F"/>
    <w:multiLevelType w:val="multilevel"/>
    <w:tmpl w:val="950A1C52"/>
    <w:numStyleLink w:val="AERHeadings"/>
  </w:abstractNum>
  <w:abstractNum w:abstractNumId="7">
    <w:nsid w:val="1DFA331B"/>
    <w:multiLevelType w:val="multilevel"/>
    <w:tmpl w:val="39D4CB02"/>
    <w:numStyleLink w:val="AERnumberedlist"/>
  </w:abstractNum>
  <w:abstractNum w:abstractNumId="8">
    <w:nsid w:val="233428C7"/>
    <w:multiLevelType w:val="multilevel"/>
    <w:tmpl w:val="39D4CB02"/>
    <w:numStyleLink w:val="AERnumberedlist"/>
  </w:abstractNum>
  <w:abstractNum w:abstractNumId="9">
    <w:nsid w:val="2776270C"/>
    <w:multiLevelType w:val="multilevel"/>
    <w:tmpl w:val="39D4CB02"/>
    <w:numStyleLink w:val="AERnumberedlist"/>
  </w:abstractNum>
  <w:abstractNum w:abstractNumId="10">
    <w:nsid w:val="281977C0"/>
    <w:multiLevelType w:val="multilevel"/>
    <w:tmpl w:val="950A1C52"/>
    <w:numStyleLink w:val="AERHeadings"/>
  </w:abstractNum>
  <w:abstractNum w:abstractNumId="11">
    <w:nsid w:val="295C7239"/>
    <w:multiLevelType w:val="multilevel"/>
    <w:tmpl w:val="950A1C52"/>
    <w:numStyleLink w:val="AERHeadings"/>
  </w:abstractNum>
  <w:abstractNum w:abstractNumId="12">
    <w:nsid w:val="2C2D6B9E"/>
    <w:multiLevelType w:val="multilevel"/>
    <w:tmpl w:val="950A1C52"/>
    <w:numStyleLink w:val="AERHeadings"/>
  </w:abstractNum>
  <w:abstractNum w:abstractNumId="13">
    <w:nsid w:val="2DB12A3A"/>
    <w:multiLevelType w:val="multilevel"/>
    <w:tmpl w:val="950A1C52"/>
    <w:numStyleLink w:val="AERHeadings"/>
  </w:abstractNum>
  <w:abstractNum w:abstractNumId="14">
    <w:nsid w:val="2FB612CC"/>
    <w:multiLevelType w:val="multilevel"/>
    <w:tmpl w:val="950A1C52"/>
    <w:styleLink w:val="AERHeadings"/>
    <w:lvl w:ilvl="0">
      <w:start w:val="1"/>
      <w:numFmt w:val="none"/>
      <w:pStyle w:val="UnnumberedHeading"/>
      <w:lvlText w:val="%1"/>
      <w:lvlJc w:val="left"/>
      <w:pPr>
        <w:tabs>
          <w:tab w:val="num" w:pos="0"/>
        </w:tabs>
        <w:ind w:left="0" w:firstLine="0"/>
      </w:pPr>
      <w:rPr>
        <w:rFonts w:hint="default"/>
      </w:rPr>
    </w:lvl>
    <w:lvl w:ilvl="1">
      <w:start w:val="1"/>
      <w:numFmt w:val="decimal"/>
      <w:pStyle w:val="Heading1"/>
      <w:lvlText w:val="%1%2"/>
      <w:lvlJc w:val="left"/>
      <w:pPr>
        <w:tabs>
          <w:tab w:val="num" w:pos="0"/>
        </w:tabs>
        <w:ind w:left="0" w:hanging="851"/>
      </w:pPr>
      <w:rPr>
        <w:rFonts w:hint="default"/>
      </w:rPr>
    </w:lvl>
    <w:lvl w:ilvl="2">
      <w:start w:val="1"/>
      <w:numFmt w:val="decimal"/>
      <w:pStyle w:val="Heading2"/>
      <w:lvlText w:val="%1%2.%3"/>
      <w:lvlJc w:val="left"/>
      <w:pPr>
        <w:tabs>
          <w:tab w:val="num" w:pos="0"/>
        </w:tabs>
        <w:ind w:left="0" w:hanging="851"/>
      </w:pPr>
      <w:rPr>
        <w:rFonts w:hint="default"/>
      </w:rPr>
    </w:lvl>
    <w:lvl w:ilvl="3">
      <w:start w:val="1"/>
      <w:numFmt w:val="decimal"/>
      <w:pStyle w:val="Heading3"/>
      <w:lvlText w:val="%2.%3.%4"/>
      <w:lvlJc w:val="left"/>
      <w:pPr>
        <w:tabs>
          <w:tab w:val="num" w:pos="0"/>
        </w:tabs>
        <w:ind w:left="0" w:hanging="851"/>
      </w:pPr>
      <w:rPr>
        <w:rFonts w:hint="default"/>
      </w:rPr>
    </w:lvl>
    <w:lvl w:ilvl="4">
      <w:start w:val="1"/>
      <w:numFmt w:val="upperLetter"/>
      <w:lvlRestart w:val="1"/>
      <w:pStyle w:val="Heading7"/>
      <w:lvlText w:val="%5"/>
      <w:lvlJc w:val="left"/>
      <w:pPr>
        <w:tabs>
          <w:tab w:val="num" w:pos="0"/>
        </w:tabs>
        <w:ind w:left="0" w:hanging="851"/>
      </w:pPr>
      <w:rPr>
        <w:rFonts w:hint="default"/>
      </w:rPr>
    </w:lvl>
    <w:lvl w:ilvl="5">
      <w:start w:val="1"/>
      <w:numFmt w:val="decimal"/>
      <w:pStyle w:val="Heading8"/>
      <w:lvlText w:val="%5.%6"/>
      <w:lvlJc w:val="left"/>
      <w:pPr>
        <w:tabs>
          <w:tab w:val="num" w:pos="0"/>
        </w:tabs>
        <w:ind w:left="0" w:hanging="851"/>
      </w:pPr>
      <w:rPr>
        <w:rFonts w:hint="default"/>
      </w:rPr>
    </w:lvl>
    <w:lvl w:ilvl="6">
      <w:start w:val="1"/>
      <w:numFmt w:val="decimal"/>
      <w:pStyle w:val="Heading9"/>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5">
    <w:nsid w:val="301B31FF"/>
    <w:multiLevelType w:val="multilevel"/>
    <w:tmpl w:val="A5AEB1CE"/>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6">
    <w:nsid w:val="31AA058E"/>
    <w:multiLevelType w:val="hybridMultilevel"/>
    <w:tmpl w:val="3C70101E"/>
    <w:lvl w:ilvl="0" w:tplc="B336B1FC">
      <w:start w:val="1"/>
      <w:numFmt w:val="bullet"/>
      <w:pStyle w:val="AERbulletlistthir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7">
    <w:nsid w:val="333E0E05"/>
    <w:multiLevelType w:val="multilevel"/>
    <w:tmpl w:val="950A1C52"/>
    <w:numStyleLink w:val="AERHeadings"/>
  </w:abstractNum>
  <w:abstractNum w:abstractNumId="18">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3AF336BC"/>
    <w:multiLevelType w:val="hybridMultilevel"/>
    <w:tmpl w:val="955A02CC"/>
    <w:lvl w:ilvl="0" w:tplc="C90C7928">
      <w:start w:val="1"/>
      <w:numFmt w:val="bullet"/>
      <w:pStyle w:val="AERbulletlistfirststyle"/>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C721288"/>
    <w:multiLevelType w:val="multilevel"/>
    <w:tmpl w:val="950A1C52"/>
    <w:numStyleLink w:val="AERHeadings"/>
  </w:abstractNum>
  <w:abstractNum w:abstractNumId="21">
    <w:nsid w:val="443F74CB"/>
    <w:multiLevelType w:val="hybridMultilevel"/>
    <w:tmpl w:val="5FB40038"/>
    <w:lvl w:ilvl="0" w:tplc="921A7DDA">
      <w:start w:val="1"/>
      <w:numFmt w:val="decimal"/>
      <w:lvlText w:val="%1."/>
      <w:lvlJc w:val="left"/>
      <w:pPr>
        <w:tabs>
          <w:tab w:val="num" w:pos="357"/>
        </w:tabs>
        <w:ind w:left="357" w:hanging="357"/>
      </w:pPr>
      <w:rPr>
        <w:rFonts w:ascii="Gautami" w:hAnsi="Gautami" w:hint="default"/>
        <w:b w:val="0"/>
        <w:i w:val="0"/>
        <w:sz w:val="22"/>
      </w:rPr>
    </w:lvl>
    <w:lvl w:ilvl="1" w:tplc="6A7A61AE">
      <w:start w:val="1"/>
      <w:numFmt w:val="bullet"/>
      <w:lvlText w:val=""/>
      <w:lvlJc w:val="left"/>
      <w:pPr>
        <w:tabs>
          <w:tab w:val="num" w:pos="4498"/>
        </w:tabs>
        <w:ind w:left="4498" w:hanging="358"/>
      </w:pPr>
      <w:rPr>
        <w:rFonts w:ascii="Wingdings" w:hAnsi="Wingdings" w:hint="default"/>
        <w:b w:val="0"/>
        <w:i w:val="0"/>
        <w:sz w:val="22"/>
      </w:rPr>
    </w:lvl>
    <w:lvl w:ilvl="2" w:tplc="0C090005" w:tentative="1">
      <w:start w:val="1"/>
      <w:numFmt w:val="lowerRoman"/>
      <w:lvlText w:val="%3."/>
      <w:lvlJc w:val="right"/>
      <w:pPr>
        <w:tabs>
          <w:tab w:val="num" w:pos="5220"/>
        </w:tabs>
        <w:ind w:left="5220" w:hanging="180"/>
      </w:pPr>
    </w:lvl>
    <w:lvl w:ilvl="3" w:tplc="0C090001" w:tentative="1">
      <w:start w:val="1"/>
      <w:numFmt w:val="decimal"/>
      <w:lvlText w:val="%4."/>
      <w:lvlJc w:val="left"/>
      <w:pPr>
        <w:tabs>
          <w:tab w:val="num" w:pos="5940"/>
        </w:tabs>
        <w:ind w:left="5940" w:hanging="360"/>
      </w:pPr>
    </w:lvl>
    <w:lvl w:ilvl="4" w:tplc="0C090003">
      <w:start w:val="1"/>
      <w:numFmt w:val="lowerLetter"/>
      <w:lvlText w:val="%5."/>
      <w:lvlJc w:val="left"/>
      <w:pPr>
        <w:tabs>
          <w:tab w:val="num" w:pos="6660"/>
        </w:tabs>
        <w:ind w:left="6660" w:hanging="360"/>
      </w:pPr>
    </w:lvl>
    <w:lvl w:ilvl="5" w:tplc="0C090005">
      <w:start w:val="1"/>
      <w:numFmt w:val="lowerRoman"/>
      <w:lvlText w:val="%6."/>
      <w:lvlJc w:val="right"/>
      <w:pPr>
        <w:tabs>
          <w:tab w:val="num" w:pos="7380"/>
        </w:tabs>
        <w:ind w:left="7380" w:hanging="180"/>
      </w:pPr>
    </w:lvl>
    <w:lvl w:ilvl="6" w:tplc="0C090001" w:tentative="1">
      <w:start w:val="1"/>
      <w:numFmt w:val="decimal"/>
      <w:lvlText w:val="%7."/>
      <w:lvlJc w:val="left"/>
      <w:pPr>
        <w:tabs>
          <w:tab w:val="num" w:pos="8100"/>
        </w:tabs>
        <w:ind w:left="8100" w:hanging="360"/>
      </w:pPr>
    </w:lvl>
    <w:lvl w:ilvl="7" w:tplc="0C090003" w:tentative="1">
      <w:start w:val="1"/>
      <w:numFmt w:val="lowerLetter"/>
      <w:lvlText w:val="%8."/>
      <w:lvlJc w:val="left"/>
      <w:pPr>
        <w:tabs>
          <w:tab w:val="num" w:pos="8820"/>
        </w:tabs>
        <w:ind w:left="8820" w:hanging="360"/>
      </w:pPr>
    </w:lvl>
    <w:lvl w:ilvl="8" w:tplc="0C090005" w:tentative="1">
      <w:start w:val="1"/>
      <w:numFmt w:val="lowerRoman"/>
      <w:lvlText w:val="%9."/>
      <w:lvlJc w:val="right"/>
      <w:pPr>
        <w:tabs>
          <w:tab w:val="num" w:pos="9540"/>
        </w:tabs>
        <w:ind w:left="9540" w:hanging="180"/>
      </w:pPr>
    </w:lvl>
  </w:abstractNum>
  <w:abstractNum w:abstractNumId="22">
    <w:nsid w:val="4F037C49"/>
    <w:multiLevelType w:val="multilevel"/>
    <w:tmpl w:val="39D4CB02"/>
    <w:numStyleLink w:val="AERnumberedlist"/>
  </w:abstractNum>
  <w:abstractNum w:abstractNumId="23">
    <w:nsid w:val="4F820549"/>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nsid w:val="51487971"/>
    <w:multiLevelType w:val="multilevel"/>
    <w:tmpl w:val="39D4CB02"/>
    <w:styleLink w:val="AERnumberedlist"/>
    <w:lvl w:ilvl="0">
      <w:start w:val="1"/>
      <w:numFmt w:val="none"/>
      <w:pStyle w:val="AERbodytext"/>
      <w:lvlText w:val="%1"/>
      <w:lvlJc w:val="left"/>
      <w:pPr>
        <w:tabs>
          <w:tab w:val="num" w:pos="0"/>
        </w:tabs>
        <w:ind w:left="0" w:firstLine="0"/>
      </w:pPr>
      <w:rPr>
        <w:rFonts w:hint="default"/>
      </w:rPr>
    </w:lvl>
    <w:lvl w:ilvl="1">
      <w:start w:val="1"/>
      <w:numFmt w:val="decimal"/>
      <w:pStyle w:val="AERnumberedlistfirststyle"/>
      <w:lvlText w:val="%2."/>
      <w:lvlJc w:val="left"/>
      <w:pPr>
        <w:tabs>
          <w:tab w:val="num" w:pos="357"/>
        </w:tabs>
        <w:ind w:left="357" w:hanging="357"/>
      </w:pPr>
      <w:rPr>
        <w:rFonts w:hint="default"/>
      </w:rPr>
    </w:lvl>
    <w:lvl w:ilvl="2">
      <w:start w:val="1"/>
      <w:numFmt w:val="lowerLetter"/>
      <w:pStyle w:val="AERnumberedlistsecondstyle"/>
      <w:lvlText w:val="%3."/>
      <w:lvlJc w:val="left"/>
      <w:pPr>
        <w:tabs>
          <w:tab w:val="num" w:pos="720"/>
        </w:tabs>
        <w:ind w:left="720" w:hanging="363"/>
      </w:pPr>
      <w:rPr>
        <w:rFonts w:hint="default"/>
      </w:rPr>
    </w:lvl>
    <w:lvl w:ilvl="3">
      <w:start w:val="1"/>
      <w:numFmt w:val="lowerRoman"/>
      <w:pStyle w:val="AERnumberedlistthirdstyle"/>
      <w:lvlText w:val="%4."/>
      <w:lvlJc w:val="left"/>
      <w:pPr>
        <w:tabs>
          <w:tab w:val="num" w:pos="1077"/>
        </w:tabs>
        <w:ind w:left="1077" w:hanging="357"/>
      </w:pPr>
      <w:rPr>
        <w:rFonts w:hint="default"/>
      </w:rPr>
    </w:lvl>
    <w:lvl w:ilvl="4">
      <w:start w:val="1"/>
      <w:numFmt w:val="decimal"/>
      <w:lvlRestart w:val="1"/>
      <w:pStyle w:val="AERnumberedlist2first"/>
      <w:lvlText w:val="(%5)"/>
      <w:lvlJc w:val="left"/>
      <w:pPr>
        <w:tabs>
          <w:tab w:val="num" w:pos="454"/>
        </w:tabs>
        <w:ind w:left="454" w:hanging="454"/>
      </w:pPr>
      <w:rPr>
        <w:rFonts w:hint="default"/>
      </w:rPr>
    </w:lvl>
    <w:lvl w:ilvl="5">
      <w:start w:val="1"/>
      <w:numFmt w:val="lowerLetter"/>
      <w:pStyle w:val="AERnumberedlist2second"/>
      <w:lvlText w:val="(%6)"/>
      <w:lvlJc w:val="left"/>
      <w:pPr>
        <w:tabs>
          <w:tab w:val="num" w:pos="811"/>
        </w:tabs>
        <w:ind w:left="811" w:hanging="357"/>
      </w:pPr>
      <w:rPr>
        <w:rFonts w:hint="default"/>
      </w:rPr>
    </w:lvl>
    <w:lvl w:ilvl="6">
      <w:start w:val="1"/>
      <w:numFmt w:val="lowerRoman"/>
      <w:pStyle w:val="AERnumberedlist2third"/>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51807103"/>
    <w:multiLevelType w:val="multilevel"/>
    <w:tmpl w:val="39D4CB02"/>
    <w:numStyleLink w:val="AERnumberedlist"/>
  </w:abstractNum>
  <w:abstractNum w:abstractNumId="26">
    <w:nsid w:val="5D386EA7"/>
    <w:multiLevelType w:val="multilevel"/>
    <w:tmpl w:val="950A1C52"/>
    <w:numStyleLink w:val="AERHeadings"/>
  </w:abstractNum>
  <w:abstractNum w:abstractNumId="27">
    <w:nsid w:val="5DCC1B18"/>
    <w:multiLevelType w:val="multilevel"/>
    <w:tmpl w:val="39D4CB02"/>
    <w:numStyleLink w:val="AERnumberedlist"/>
  </w:abstractNum>
  <w:abstractNum w:abstractNumId="28">
    <w:nsid w:val="68247CF7"/>
    <w:multiLevelType w:val="multilevel"/>
    <w:tmpl w:val="950A1C52"/>
    <w:numStyleLink w:val="AERHeadings"/>
  </w:abstractNum>
  <w:abstractNum w:abstractNumId="29">
    <w:nsid w:val="69315B1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74595980"/>
    <w:multiLevelType w:val="multilevel"/>
    <w:tmpl w:val="950A1C52"/>
    <w:numStyleLink w:val="AERHeadings"/>
  </w:abstractNum>
  <w:abstractNum w:abstractNumId="31">
    <w:nsid w:val="74F81DDF"/>
    <w:multiLevelType w:val="multilevel"/>
    <w:tmpl w:val="950A1C52"/>
    <w:numStyleLink w:val="AERHeadings"/>
  </w:abstractNum>
  <w:abstractNum w:abstractNumId="32">
    <w:nsid w:val="787F66A4"/>
    <w:multiLevelType w:val="multilevel"/>
    <w:tmpl w:val="950A1C52"/>
    <w:numStyleLink w:val="AERHeadings"/>
  </w:abstractNum>
  <w:abstractNum w:abstractNumId="33">
    <w:nsid w:val="7AAC6DD7"/>
    <w:multiLevelType w:val="multilevel"/>
    <w:tmpl w:val="950A1C52"/>
    <w:numStyleLink w:val="AERHeadings"/>
  </w:abstractNum>
  <w:abstractNum w:abstractNumId="34">
    <w:nsid w:val="7AEA3AE1"/>
    <w:multiLevelType w:val="hybridMultilevel"/>
    <w:tmpl w:val="52969776"/>
    <w:lvl w:ilvl="0" w:tplc="1B665800">
      <w:start w:val="1"/>
      <w:numFmt w:val="bullet"/>
      <w:pStyle w:val="AERquotebullet1"/>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7BE97BF8"/>
    <w:multiLevelType w:val="multilevel"/>
    <w:tmpl w:val="950A1C52"/>
    <w:numStyleLink w:val="AERHeadings"/>
  </w:abstractNum>
  <w:abstractNum w:abstractNumId="36">
    <w:nsid w:val="7CDA0F5F"/>
    <w:multiLevelType w:val="multilevel"/>
    <w:tmpl w:val="950A1C52"/>
    <w:numStyleLink w:val="AERHeadings"/>
  </w:abstractNum>
  <w:num w:numId="1">
    <w:abstractNumId w:val="29"/>
  </w:num>
  <w:num w:numId="2">
    <w:abstractNumId w:val="14"/>
  </w:num>
  <w:num w:numId="3">
    <w:abstractNumId w:val="21"/>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1"/>
    <w:lvlOverride w:ilvl="0">
      <w:startOverride w:val="1"/>
    </w:lvlOverride>
  </w:num>
  <w:num w:numId="7">
    <w:abstractNumId w:val="19"/>
  </w:num>
  <w:num w:numId="8">
    <w:abstractNumId w:val="16"/>
  </w:num>
  <w:num w:numId="9">
    <w:abstractNumId w:val="34"/>
  </w:num>
  <w:num w:numId="10">
    <w:abstractNumId w:val="21"/>
    <w:lvlOverride w:ilvl="0">
      <w:startOverride w:val="1"/>
    </w:lvlOverride>
  </w:num>
  <w:num w:numId="11">
    <w:abstractNumId w:val="1"/>
  </w:num>
  <w:num w:numId="12">
    <w:abstractNumId w:val="21"/>
    <w:lvlOverride w:ilvl="0">
      <w:startOverride w:val="1"/>
    </w:lvlOverride>
  </w:num>
  <w:num w:numId="13">
    <w:abstractNumId w:val="24"/>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2"/>
  </w:num>
  <w:num w:numId="17">
    <w:abstractNumId w:val="22"/>
  </w:num>
  <w:num w:numId="18">
    <w:abstractNumId w:val="7"/>
  </w:num>
  <w:num w:numId="19">
    <w:abstractNumId w:val="9"/>
  </w:num>
  <w:num w:numId="20">
    <w:abstractNumId w:val="31"/>
  </w:num>
  <w:num w:numId="21">
    <w:abstractNumId w:val="27"/>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36"/>
  </w:num>
  <w:num w:numId="28">
    <w:abstractNumId w:val="17"/>
  </w:num>
  <w:num w:numId="29">
    <w:abstractNumId w:val="10"/>
  </w:num>
  <w:num w:numId="30">
    <w:abstractNumId w:val="5"/>
  </w:num>
  <w:num w:numId="31">
    <w:abstractNumId w:val="0"/>
  </w:num>
  <w:num w:numId="32">
    <w:abstractNumId w:val="6"/>
  </w:num>
  <w:num w:numId="33">
    <w:abstractNumId w:val="32"/>
  </w:num>
  <w:num w:numId="34">
    <w:abstractNumId w:val="28"/>
  </w:num>
  <w:num w:numId="35">
    <w:abstractNumId w:val="30"/>
  </w:num>
  <w:num w:numId="36">
    <w:abstractNumId w:val="35"/>
  </w:num>
  <w:num w:numId="37">
    <w:abstractNumId w:val="26"/>
  </w:num>
  <w:num w:numId="38">
    <w:abstractNumId w:val="12"/>
  </w:num>
  <w:num w:numId="39">
    <w:abstractNumId w:val="13"/>
  </w:num>
  <w:num w:numId="40">
    <w:abstractNumId w:val="20"/>
  </w:num>
  <w:num w:numId="41">
    <w:abstractNumId w:val="25"/>
  </w:num>
  <w:num w:numId="42">
    <w:abstractNumId w:val="4"/>
  </w:num>
  <w:num w:numId="43">
    <w:abstractNumId w:val="33"/>
  </w:num>
  <w:num w:numId="4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cumentProtection w:formatting="1" w:enforcement="1" w:cryptProviderType="rsaFull" w:cryptAlgorithmClass="hash" w:cryptAlgorithmType="typeAny" w:cryptAlgorithmSid="4" w:cryptSpinCount="100000" w:hash="XbKrjc+OK8pcsxC8Tr0X+N6ptzQ=" w:salt="REliLWc8yRvU5hrgJa3XHA=="/>
  <w:defaultTabStop w:val="720"/>
  <w:evenAndOddHeaders/>
  <w:drawingGridHorizontalSpacing w:val="100"/>
  <w:displayHorizont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2"/>
  </w:compat>
  <w:docVars>
    <w:docVar w:name="currentname" w:val="H:\TRIMDATA\TRIM\TEMP\HPTRIM.2668\D14 34407  3.6.1 - Attachment - AEMO transmission determination - Final decision.DOCX"/>
  </w:docVars>
  <w:rsids>
    <w:rsidRoot w:val="000C052F"/>
    <w:rsid w:val="00011129"/>
    <w:rsid w:val="000137ED"/>
    <w:rsid w:val="00022606"/>
    <w:rsid w:val="00024542"/>
    <w:rsid w:val="000309BA"/>
    <w:rsid w:val="00032608"/>
    <w:rsid w:val="00040599"/>
    <w:rsid w:val="00040749"/>
    <w:rsid w:val="0005274C"/>
    <w:rsid w:val="000651F1"/>
    <w:rsid w:val="000A1CC2"/>
    <w:rsid w:val="000A5342"/>
    <w:rsid w:val="000A68FE"/>
    <w:rsid w:val="000B15CA"/>
    <w:rsid w:val="000C052F"/>
    <w:rsid w:val="000C3430"/>
    <w:rsid w:val="000C422C"/>
    <w:rsid w:val="000D03C2"/>
    <w:rsid w:val="000D04B1"/>
    <w:rsid w:val="000D14E3"/>
    <w:rsid w:val="000D401F"/>
    <w:rsid w:val="000E1A25"/>
    <w:rsid w:val="000E222C"/>
    <w:rsid w:val="000F3A6A"/>
    <w:rsid w:val="001033B3"/>
    <w:rsid w:val="00105636"/>
    <w:rsid w:val="0011648B"/>
    <w:rsid w:val="0013022D"/>
    <w:rsid w:val="001543D2"/>
    <w:rsid w:val="00166844"/>
    <w:rsid w:val="001711A2"/>
    <w:rsid w:val="00174026"/>
    <w:rsid w:val="001856EE"/>
    <w:rsid w:val="00193B8D"/>
    <w:rsid w:val="00194C3C"/>
    <w:rsid w:val="001B29BF"/>
    <w:rsid w:val="001C12E5"/>
    <w:rsid w:val="001D0C8D"/>
    <w:rsid w:val="001E266D"/>
    <w:rsid w:val="0020711E"/>
    <w:rsid w:val="00210880"/>
    <w:rsid w:val="00213B1D"/>
    <w:rsid w:val="002257B9"/>
    <w:rsid w:val="0023137D"/>
    <w:rsid w:val="0024241E"/>
    <w:rsid w:val="00246FD9"/>
    <w:rsid w:val="00266710"/>
    <w:rsid w:val="002805B8"/>
    <w:rsid w:val="00290E18"/>
    <w:rsid w:val="002938CE"/>
    <w:rsid w:val="00293B51"/>
    <w:rsid w:val="002B6640"/>
    <w:rsid w:val="002D389F"/>
    <w:rsid w:val="002D61AC"/>
    <w:rsid w:val="002E4720"/>
    <w:rsid w:val="002E4AC9"/>
    <w:rsid w:val="002F49E5"/>
    <w:rsid w:val="002F5C48"/>
    <w:rsid w:val="00303452"/>
    <w:rsid w:val="003324F7"/>
    <w:rsid w:val="00334F88"/>
    <w:rsid w:val="003374BB"/>
    <w:rsid w:val="00340AE4"/>
    <w:rsid w:val="003707DB"/>
    <w:rsid w:val="00375AEC"/>
    <w:rsid w:val="00376236"/>
    <w:rsid w:val="0037652C"/>
    <w:rsid w:val="003800E4"/>
    <w:rsid w:val="00380B5A"/>
    <w:rsid w:val="00380FF5"/>
    <w:rsid w:val="00381C1E"/>
    <w:rsid w:val="00384453"/>
    <w:rsid w:val="00387312"/>
    <w:rsid w:val="003A6174"/>
    <w:rsid w:val="003B768E"/>
    <w:rsid w:val="003D7B92"/>
    <w:rsid w:val="003F6223"/>
    <w:rsid w:val="004030AB"/>
    <w:rsid w:val="00412282"/>
    <w:rsid w:val="0042269B"/>
    <w:rsid w:val="00422CB6"/>
    <w:rsid w:val="004256BA"/>
    <w:rsid w:val="00430321"/>
    <w:rsid w:val="00431999"/>
    <w:rsid w:val="0043367F"/>
    <w:rsid w:val="00435682"/>
    <w:rsid w:val="00446FDD"/>
    <w:rsid w:val="004513D2"/>
    <w:rsid w:val="00452C90"/>
    <w:rsid w:val="00456081"/>
    <w:rsid w:val="0045667B"/>
    <w:rsid w:val="00464F5D"/>
    <w:rsid w:val="00466139"/>
    <w:rsid w:val="00474FBD"/>
    <w:rsid w:val="00491D7D"/>
    <w:rsid w:val="004C3F45"/>
    <w:rsid w:val="004D178D"/>
    <w:rsid w:val="004D370B"/>
    <w:rsid w:val="004E40EF"/>
    <w:rsid w:val="004E73F7"/>
    <w:rsid w:val="004F76A0"/>
    <w:rsid w:val="00500E7F"/>
    <w:rsid w:val="0052179D"/>
    <w:rsid w:val="00525B72"/>
    <w:rsid w:val="0053197E"/>
    <w:rsid w:val="005456A9"/>
    <w:rsid w:val="00555D52"/>
    <w:rsid w:val="005566D7"/>
    <w:rsid w:val="00561F7F"/>
    <w:rsid w:val="0056407F"/>
    <w:rsid w:val="00566B35"/>
    <w:rsid w:val="005732CC"/>
    <w:rsid w:val="00575422"/>
    <w:rsid w:val="00592584"/>
    <w:rsid w:val="005938C6"/>
    <w:rsid w:val="00594A1F"/>
    <w:rsid w:val="005A0431"/>
    <w:rsid w:val="005A1610"/>
    <w:rsid w:val="005B3752"/>
    <w:rsid w:val="005B61C2"/>
    <w:rsid w:val="005D26B7"/>
    <w:rsid w:val="005D4AA1"/>
    <w:rsid w:val="005E7B64"/>
    <w:rsid w:val="005F019A"/>
    <w:rsid w:val="0060146C"/>
    <w:rsid w:val="0060207D"/>
    <w:rsid w:val="006039F2"/>
    <w:rsid w:val="006061B0"/>
    <w:rsid w:val="0060732E"/>
    <w:rsid w:val="006076A9"/>
    <w:rsid w:val="00617D4B"/>
    <w:rsid w:val="006231E5"/>
    <w:rsid w:val="00625DF8"/>
    <w:rsid w:val="006323A8"/>
    <w:rsid w:val="0064467C"/>
    <w:rsid w:val="006544EA"/>
    <w:rsid w:val="0066569F"/>
    <w:rsid w:val="006867F9"/>
    <w:rsid w:val="0069004B"/>
    <w:rsid w:val="006B08EB"/>
    <w:rsid w:val="006B481F"/>
    <w:rsid w:val="006C2AC7"/>
    <w:rsid w:val="006F638E"/>
    <w:rsid w:val="00703E42"/>
    <w:rsid w:val="00711B42"/>
    <w:rsid w:val="007368AD"/>
    <w:rsid w:val="00751D2A"/>
    <w:rsid w:val="00755095"/>
    <w:rsid w:val="007643D8"/>
    <w:rsid w:val="00777B98"/>
    <w:rsid w:val="007951AF"/>
    <w:rsid w:val="00796A07"/>
    <w:rsid w:val="007B7D04"/>
    <w:rsid w:val="007C0484"/>
    <w:rsid w:val="007E7528"/>
    <w:rsid w:val="007F10E3"/>
    <w:rsid w:val="007F2C0E"/>
    <w:rsid w:val="007F320D"/>
    <w:rsid w:val="007F7761"/>
    <w:rsid w:val="00803F42"/>
    <w:rsid w:val="00804AEB"/>
    <w:rsid w:val="00824CC8"/>
    <w:rsid w:val="00836D17"/>
    <w:rsid w:val="00840A55"/>
    <w:rsid w:val="00841E25"/>
    <w:rsid w:val="008464CD"/>
    <w:rsid w:val="00847CA8"/>
    <w:rsid w:val="008515EE"/>
    <w:rsid w:val="00861C4E"/>
    <w:rsid w:val="00866D21"/>
    <w:rsid w:val="00867671"/>
    <w:rsid w:val="00872D85"/>
    <w:rsid w:val="00883DDA"/>
    <w:rsid w:val="00886527"/>
    <w:rsid w:val="00891FF9"/>
    <w:rsid w:val="00893367"/>
    <w:rsid w:val="00893D07"/>
    <w:rsid w:val="008B7956"/>
    <w:rsid w:val="008C3722"/>
    <w:rsid w:val="008C37DF"/>
    <w:rsid w:val="008C3B67"/>
    <w:rsid w:val="008C3F48"/>
    <w:rsid w:val="008D49B4"/>
    <w:rsid w:val="008D7498"/>
    <w:rsid w:val="008E5F7B"/>
    <w:rsid w:val="00906FEC"/>
    <w:rsid w:val="00917C2A"/>
    <w:rsid w:val="00932E96"/>
    <w:rsid w:val="009418E6"/>
    <w:rsid w:val="0094235F"/>
    <w:rsid w:val="0094279F"/>
    <w:rsid w:val="00946B98"/>
    <w:rsid w:val="0095052A"/>
    <w:rsid w:val="009600E3"/>
    <w:rsid w:val="009658F0"/>
    <w:rsid w:val="00971655"/>
    <w:rsid w:val="00971C63"/>
    <w:rsid w:val="009779F7"/>
    <w:rsid w:val="00980FC4"/>
    <w:rsid w:val="00985995"/>
    <w:rsid w:val="009A4AE9"/>
    <w:rsid w:val="009C71D5"/>
    <w:rsid w:val="009F228E"/>
    <w:rsid w:val="009F7CE4"/>
    <w:rsid w:val="00A11162"/>
    <w:rsid w:val="00A43227"/>
    <w:rsid w:val="00A46CCD"/>
    <w:rsid w:val="00A65133"/>
    <w:rsid w:val="00A652C5"/>
    <w:rsid w:val="00A800C7"/>
    <w:rsid w:val="00A85C5A"/>
    <w:rsid w:val="00A96A08"/>
    <w:rsid w:val="00AA0161"/>
    <w:rsid w:val="00AB1D08"/>
    <w:rsid w:val="00AB39C1"/>
    <w:rsid w:val="00AB4345"/>
    <w:rsid w:val="00AB5BD7"/>
    <w:rsid w:val="00AC0135"/>
    <w:rsid w:val="00AC070D"/>
    <w:rsid w:val="00AC1B94"/>
    <w:rsid w:val="00AC6C9E"/>
    <w:rsid w:val="00AD0616"/>
    <w:rsid w:val="00AD34FF"/>
    <w:rsid w:val="00AD4DE6"/>
    <w:rsid w:val="00AE49F9"/>
    <w:rsid w:val="00AE6DBC"/>
    <w:rsid w:val="00AF3E95"/>
    <w:rsid w:val="00AF7C67"/>
    <w:rsid w:val="00B04DAE"/>
    <w:rsid w:val="00B06C1B"/>
    <w:rsid w:val="00B07205"/>
    <w:rsid w:val="00B07F37"/>
    <w:rsid w:val="00B11775"/>
    <w:rsid w:val="00B15FE9"/>
    <w:rsid w:val="00B2372A"/>
    <w:rsid w:val="00B51883"/>
    <w:rsid w:val="00B61FD4"/>
    <w:rsid w:val="00B651E6"/>
    <w:rsid w:val="00B674DB"/>
    <w:rsid w:val="00B8295B"/>
    <w:rsid w:val="00B82E8D"/>
    <w:rsid w:val="00B9264D"/>
    <w:rsid w:val="00B94D99"/>
    <w:rsid w:val="00B96BD6"/>
    <w:rsid w:val="00BB14B9"/>
    <w:rsid w:val="00BB3FA1"/>
    <w:rsid w:val="00BB62BB"/>
    <w:rsid w:val="00BC05C5"/>
    <w:rsid w:val="00BC6635"/>
    <w:rsid w:val="00BD04BE"/>
    <w:rsid w:val="00BE6F28"/>
    <w:rsid w:val="00BF29FA"/>
    <w:rsid w:val="00C04D2B"/>
    <w:rsid w:val="00C12C15"/>
    <w:rsid w:val="00C142EA"/>
    <w:rsid w:val="00C23228"/>
    <w:rsid w:val="00C51524"/>
    <w:rsid w:val="00C64E7B"/>
    <w:rsid w:val="00C737C5"/>
    <w:rsid w:val="00CA01AE"/>
    <w:rsid w:val="00CA0A82"/>
    <w:rsid w:val="00CA3540"/>
    <w:rsid w:val="00CA6DED"/>
    <w:rsid w:val="00CC2221"/>
    <w:rsid w:val="00CC49D4"/>
    <w:rsid w:val="00CE4F3C"/>
    <w:rsid w:val="00CE6F5A"/>
    <w:rsid w:val="00CF42CF"/>
    <w:rsid w:val="00D00F61"/>
    <w:rsid w:val="00D102E9"/>
    <w:rsid w:val="00D1688F"/>
    <w:rsid w:val="00D2117F"/>
    <w:rsid w:val="00D25317"/>
    <w:rsid w:val="00D40834"/>
    <w:rsid w:val="00D66E8B"/>
    <w:rsid w:val="00D85715"/>
    <w:rsid w:val="00D8706C"/>
    <w:rsid w:val="00DA4C62"/>
    <w:rsid w:val="00DB6A17"/>
    <w:rsid w:val="00DD4E84"/>
    <w:rsid w:val="00DD5520"/>
    <w:rsid w:val="00DE5B9E"/>
    <w:rsid w:val="00DF16C2"/>
    <w:rsid w:val="00DF55FE"/>
    <w:rsid w:val="00DF6070"/>
    <w:rsid w:val="00E00F76"/>
    <w:rsid w:val="00E21E75"/>
    <w:rsid w:val="00E519DC"/>
    <w:rsid w:val="00E70502"/>
    <w:rsid w:val="00E807DA"/>
    <w:rsid w:val="00E84E3A"/>
    <w:rsid w:val="00E97634"/>
    <w:rsid w:val="00EA05AF"/>
    <w:rsid w:val="00EB5CDF"/>
    <w:rsid w:val="00EC00F2"/>
    <w:rsid w:val="00EC43B9"/>
    <w:rsid w:val="00ED3940"/>
    <w:rsid w:val="00ED4D69"/>
    <w:rsid w:val="00EE362F"/>
    <w:rsid w:val="00EE4F8B"/>
    <w:rsid w:val="00EF0E19"/>
    <w:rsid w:val="00F114AE"/>
    <w:rsid w:val="00F37FEE"/>
    <w:rsid w:val="00F40CAB"/>
    <w:rsid w:val="00F4213C"/>
    <w:rsid w:val="00F43CA0"/>
    <w:rsid w:val="00F530DF"/>
    <w:rsid w:val="00F55030"/>
    <w:rsid w:val="00F636F3"/>
    <w:rsid w:val="00F66299"/>
    <w:rsid w:val="00F703D5"/>
    <w:rsid w:val="00F7696F"/>
    <w:rsid w:val="00F80457"/>
    <w:rsid w:val="00F8209B"/>
    <w:rsid w:val="00F97CD9"/>
    <w:rsid w:val="00FA0576"/>
    <w:rsid w:val="00FB50B4"/>
    <w:rsid w:val="00FD4B97"/>
    <w:rsid w:val="00FD6B14"/>
    <w:rsid w:val="00FE55E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utami" w:eastAsia="Calibri" w:hAnsi="Gautami" w:cs="Times New Roman"/>
        <w:lang w:val="en-AU" w:eastAsia="en-AU"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semiHidden="0" w:uiPriority="9" w:unhideWhenUsed="0" w:qFormat="1"/>
    <w:lsdException w:name="heading 3" w:locked="0" w:semiHidden="0" w:uiPriority="9" w:unhideWhenUsed="0" w:qFormat="1"/>
    <w:lsdException w:name="heading 4" w:semiHidden="0" w:uiPriority="9" w:unhideWhenUsed="0" w:qFormat="1"/>
    <w:lsdException w:name="heading 5" w:uiPriority="9" w:qFormat="1"/>
    <w:lsdException w:name="heading 6"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qFormat="1"/>
    <w:lsdException w:name="toc 2" w:locked="0" w:uiPriority="39" w:qFormat="1"/>
    <w:lsdException w:name="toc 3" w:locked="0"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locked="0" w:qFormat="1"/>
    <w:lsdException w:name="header" w:locked="0"/>
    <w:lsdException w:name="footer" w:locked="0" w:qFormat="1"/>
    <w:lsdException w:name="index heading" w:locked="0"/>
    <w:lsdException w:name="caption" w:locked="0" w:uiPriority="35" w:qFormat="1"/>
    <w:lsdException w:name="table of figures" w:locked="0"/>
    <w:lsdException w:name="envelope address" w:locked="0"/>
    <w:lsdException w:name="envelope return" w:locked="0"/>
    <w:lsdException w:name="footnote reference" w:locked="0"/>
    <w:lsdException w:name="line number" w:locked="0"/>
    <w:lsdException w:name="page number" w:locked="0" w:uiPriority="0"/>
    <w:lsdException w:name="endnote reference" w:locked="0"/>
    <w:lsdException w:name="endnote text" w:locked="0"/>
    <w:lsdException w:name="table of authorities" w:locked="0"/>
    <w:lsdException w:name="macro" w:locked="0"/>
    <w:lsdException w:name="toa heading" w:locked="0"/>
    <w:lsdException w:name="Title" w:locked="0" w:uiPriority="10"/>
    <w:lsdException w:name="Closing" w:locked="0"/>
    <w:lsdException w:name="Signature" w:locked="0"/>
    <w:lsdException w:name="Default Paragraph Font" w:locked="0" w:uiPriority="1"/>
    <w:lsdException w:name="Message Header" w:locked="0"/>
    <w:lsdException w:name="Subtitle" w:locked="0" w:uiPriority="11" w:qFormat="1"/>
    <w:lsdException w:name="Salutation" w:locked="0"/>
    <w:lsdException w:name="Date" w:locked="0"/>
    <w:lsdException w:name="Note Heading" w:locked="0"/>
    <w:lsdException w:name="Hyperlink" w:locked="0"/>
    <w:lsdException w:name="FollowedHyperlink" w:locked="0"/>
    <w:lsdException w:name="Strong" w:locked="0" w:uiPriority="22" w:qFormat="1"/>
    <w:lsdException w:name="Emphasis" w:locked="0" w:uiPriority="20" w:qFormat="1"/>
    <w:lsdException w:name="Document Map" w:locked="0"/>
    <w:lsdException w:name="Plain Text" w:locked="0"/>
    <w:lsdException w:name="E-mail Signature" w:locked="0"/>
    <w:lsdException w:name="HTML Top of Form" w:locked="0"/>
    <w:lsdException w:name="HTML Bottom of Form"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No List" w:locked="0"/>
    <w:lsdException w:name="Outline List 3" w:locked="0"/>
    <w:lsdException w:name="Table Grid" w:locked="0" w:semiHidden="0" w:uiPriority="59" w:unhideWhenUsed="0"/>
    <w:lsdException w:name="Placeholder Text" w:locked="0"/>
    <w:lsdException w:name="No Spacing" w:locked="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uiPriority="34" w:qFormat="1"/>
    <w:lsdException w:name="Quote" w:locked="0" w:uiPriority="29" w:qFormat="1"/>
    <w:lsdException w:name="Intense Quote" w:locked="0"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uiPriority="37"/>
    <w:lsdException w:name="TOC Heading" w:uiPriority="39" w:qFormat="1"/>
  </w:latentStyles>
  <w:style w:type="paragraph" w:default="1" w:styleId="Normal">
    <w:name w:val="Normal"/>
    <w:semiHidden/>
    <w:qFormat/>
    <w:rsid w:val="00F97CD9"/>
    <w:pPr>
      <w:spacing w:after="240" w:line="288" w:lineRule="auto"/>
      <w:jc w:val="both"/>
    </w:pPr>
    <w:rPr>
      <w:lang w:eastAsia="en-US"/>
    </w:rPr>
  </w:style>
  <w:style w:type="paragraph" w:styleId="Heading1">
    <w:name w:val="heading 1"/>
    <w:next w:val="AERbodytext"/>
    <w:link w:val="Heading1Char"/>
    <w:uiPriority w:val="9"/>
    <w:qFormat/>
    <w:rsid w:val="00B94D99"/>
    <w:pPr>
      <w:keepNext/>
      <w:keepLines/>
      <w:pageBreakBefore/>
      <w:numPr>
        <w:ilvl w:val="1"/>
        <w:numId w:val="43"/>
      </w:numPr>
      <w:spacing w:before="120" w:after="120" w:line="288" w:lineRule="auto"/>
      <w:outlineLvl w:val="0"/>
    </w:pPr>
    <w:rPr>
      <w:rFonts w:eastAsia="Times New Roman"/>
      <w:b/>
      <w:bCs/>
      <w:color w:val="E36C0A"/>
      <w:sz w:val="36"/>
      <w:szCs w:val="28"/>
      <w:lang w:eastAsia="en-US"/>
    </w:rPr>
  </w:style>
  <w:style w:type="paragraph" w:styleId="Heading2">
    <w:name w:val="heading 2"/>
    <w:basedOn w:val="Heading1"/>
    <w:next w:val="AERbodytext"/>
    <w:link w:val="Heading2Char"/>
    <w:uiPriority w:val="9"/>
    <w:qFormat/>
    <w:rsid w:val="000A1CC2"/>
    <w:pPr>
      <w:pageBreakBefore w:val="0"/>
      <w:numPr>
        <w:ilvl w:val="2"/>
      </w:numPr>
      <w:outlineLvl w:val="1"/>
    </w:pPr>
    <w:rPr>
      <w:bCs w:val="0"/>
      <w:sz w:val="28"/>
      <w:szCs w:val="26"/>
    </w:rPr>
  </w:style>
  <w:style w:type="paragraph" w:styleId="Heading3">
    <w:name w:val="heading 3"/>
    <w:basedOn w:val="Heading2"/>
    <w:next w:val="AERbodytext"/>
    <w:link w:val="Heading3Char"/>
    <w:uiPriority w:val="9"/>
    <w:qFormat/>
    <w:rsid w:val="000A1CC2"/>
    <w:pPr>
      <w:numPr>
        <w:ilvl w:val="3"/>
      </w:numPr>
      <w:outlineLvl w:val="2"/>
    </w:pPr>
    <w:rPr>
      <w:bCs/>
      <w:sz w:val="24"/>
    </w:rPr>
  </w:style>
  <w:style w:type="paragraph" w:styleId="Heading4">
    <w:name w:val="heading 4"/>
    <w:basedOn w:val="AERbodytext"/>
    <w:next w:val="AERbodytext"/>
    <w:link w:val="Heading4Char"/>
    <w:uiPriority w:val="9"/>
    <w:semiHidden/>
    <w:qFormat/>
    <w:rsid w:val="005A0431"/>
    <w:pPr>
      <w:keepNext/>
      <w:numPr>
        <w:numId w:val="0"/>
      </w:numPr>
      <w:outlineLvl w:val="3"/>
    </w:pPr>
    <w:rPr>
      <w:b/>
      <w:iCs/>
      <w:color w:val="FF0000"/>
      <w:sz w:val="22"/>
    </w:rPr>
  </w:style>
  <w:style w:type="paragraph" w:styleId="Heading5">
    <w:name w:val="heading 5"/>
    <w:basedOn w:val="Heading4"/>
    <w:next w:val="AERbodytext"/>
    <w:link w:val="Heading5Char"/>
    <w:uiPriority w:val="9"/>
    <w:semiHidden/>
    <w:qFormat/>
    <w:rsid w:val="005A0431"/>
    <w:pPr>
      <w:numPr>
        <w:ilvl w:val="5"/>
      </w:numPr>
      <w:outlineLvl w:val="4"/>
    </w:pPr>
    <w:rPr>
      <w:i/>
      <w:sz w:val="20"/>
    </w:rPr>
  </w:style>
  <w:style w:type="paragraph" w:styleId="Heading6">
    <w:name w:val="heading 6"/>
    <w:basedOn w:val="Heading5"/>
    <w:next w:val="AERbodytext"/>
    <w:link w:val="Heading6Char"/>
    <w:uiPriority w:val="9"/>
    <w:semiHidden/>
    <w:qFormat/>
    <w:rsid w:val="005A0431"/>
    <w:pPr>
      <w:numPr>
        <w:ilvl w:val="6"/>
      </w:numPr>
      <w:outlineLvl w:val="5"/>
    </w:pPr>
    <w:rPr>
      <w:b w:val="0"/>
      <w:iCs w:val="0"/>
    </w:rPr>
  </w:style>
  <w:style w:type="paragraph" w:styleId="Heading7">
    <w:name w:val="heading 7"/>
    <w:basedOn w:val="UnnumberedHeading"/>
    <w:next w:val="AERbodytext"/>
    <w:link w:val="Heading7Char"/>
    <w:uiPriority w:val="9"/>
    <w:qFormat/>
    <w:rsid w:val="00303452"/>
    <w:pPr>
      <w:numPr>
        <w:ilvl w:val="4"/>
      </w:numPr>
      <w:outlineLvl w:val="6"/>
    </w:pPr>
    <w:rPr>
      <w:iCs/>
      <w:szCs w:val="24"/>
    </w:rPr>
  </w:style>
  <w:style w:type="paragraph" w:styleId="Heading8">
    <w:name w:val="heading 8"/>
    <w:basedOn w:val="Heading7"/>
    <w:next w:val="AERbodytext"/>
    <w:link w:val="Heading8Char"/>
    <w:uiPriority w:val="9"/>
    <w:qFormat/>
    <w:rsid w:val="00303452"/>
    <w:pPr>
      <w:pageBreakBefore w:val="0"/>
      <w:numPr>
        <w:ilvl w:val="5"/>
      </w:numPr>
      <w:outlineLvl w:val="7"/>
    </w:pPr>
    <w:rPr>
      <w:sz w:val="28"/>
      <w:szCs w:val="20"/>
    </w:rPr>
  </w:style>
  <w:style w:type="paragraph" w:styleId="Heading9">
    <w:name w:val="heading 9"/>
    <w:basedOn w:val="Heading8"/>
    <w:next w:val="AERbodytext"/>
    <w:link w:val="Heading9Char"/>
    <w:uiPriority w:val="9"/>
    <w:qFormat/>
    <w:rsid w:val="00303452"/>
    <w:pPr>
      <w:numPr>
        <w:ilvl w:val="6"/>
      </w:numPr>
      <w:outlineLvl w:val="8"/>
    </w:pPr>
    <w:rPr>
      <w:iCs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Headings">
    <w:name w:val="AER Headings"/>
    <w:uiPriority w:val="99"/>
    <w:rsid w:val="004E73F7"/>
    <w:pPr>
      <w:numPr>
        <w:numId w:val="2"/>
      </w:numPr>
    </w:pPr>
  </w:style>
  <w:style w:type="character" w:customStyle="1" w:styleId="Heading1Char">
    <w:name w:val="Heading 1 Char"/>
    <w:basedOn w:val="DefaultParagraphFont"/>
    <w:link w:val="Heading1"/>
    <w:uiPriority w:val="9"/>
    <w:rsid w:val="00B94D99"/>
    <w:rPr>
      <w:rFonts w:eastAsia="Times New Roman"/>
      <w:b/>
      <w:bCs/>
      <w:color w:val="E36C0A"/>
      <w:sz w:val="36"/>
      <w:szCs w:val="28"/>
      <w:lang w:eastAsia="en-US"/>
    </w:rPr>
  </w:style>
  <w:style w:type="character" w:customStyle="1" w:styleId="Heading2Char">
    <w:name w:val="Heading 2 Char"/>
    <w:basedOn w:val="DefaultParagraphFont"/>
    <w:link w:val="Heading2"/>
    <w:uiPriority w:val="9"/>
    <w:rsid w:val="000A1CC2"/>
    <w:rPr>
      <w:rFonts w:ascii="Gautami" w:eastAsia="Times New Roman" w:hAnsi="Gautami" w:cs="Times New Roman"/>
      <w:b/>
      <w:color w:val="F79646"/>
      <w:sz w:val="28"/>
      <w:szCs w:val="26"/>
    </w:rPr>
  </w:style>
  <w:style w:type="character" w:customStyle="1" w:styleId="Heading3Char">
    <w:name w:val="Heading 3 Char"/>
    <w:basedOn w:val="DefaultParagraphFont"/>
    <w:link w:val="Heading3"/>
    <w:uiPriority w:val="9"/>
    <w:rsid w:val="000A1CC2"/>
    <w:rPr>
      <w:rFonts w:ascii="Gautami" w:eastAsia="Times New Roman" w:hAnsi="Gautami" w:cs="Times New Roman"/>
      <w:b/>
      <w:bCs/>
      <w:color w:val="F79646"/>
      <w:sz w:val="24"/>
      <w:szCs w:val="26"/>
    </w:rPr>
  </w:style>
  <w:style w:type="character" w:customStyle="1" w:styleId="Heading4Char">
    <w:name w:val="Heading 4 Char"/>
    <w:basedOn w:val="DefaultParagraphFont"/>
    <w:link w:val="Heading4"/>
    <w:uiPriority w:val="9"/>
    <w:semiHidden/>
    <w:rsid w:val="00F97CD9"/>
    <w:rPr>
      <w:rFonts w:eastAsia="Times New Roman"/>
      <w:b/>
      <w:iCs/>
      <w:color w:val="FF0000"/>
      <w:sz w:val="22"/>
      <w:szCs w:val="24"/>
      <w:lang w:eastAsia="en-US"/>
    </w:rPr>
  </w:style>
  <w:style w:type="character" w:customStyle="1" w:styleId="Heading5Char">
    <w:name w:val="Heading 5 Char"/>
    <w:basedOn w:val="DefaultParagraphFont"/>
    <w:link w:val="Heading5"/>
    <w:uiPriority w:val="9"/>
    <w:semiHidden/>
    <w:rsid w:val="00F97CD9"/>
    <w:rPr>
      <w:rFonts w:eastAsia="Times New Roman"/>
      <w:b/>
      <w:i/>
      <w:iCs/>
      <w:color w:val="FF0000"/>
      <w:szCs w:val="24"/>
      <w:lang w:eastAsia="en-US"/>
    </w:rPr>
  </w:style>
  <w:style w:type="character" w:customStyle="1" w:styleId="Heading6Char">
    <w:name w:val="Heading 6 Char"/>
    <w:basedOn w:val="DefaultParagraphFont"/>
    <w:link w:val="Heading6"/>
    <w:uiPriority w:val="9"/>
    <w:semiHidden/>
    <w:rsid w:val="00F97CD9"/>
    <w:rPr>
      <w:rFonts w:eastAsia="Times New Roman"/>
      <w:i/>
      <w:color w:val="FF0000"/>
      <w:szCs w:val="24"/>
      <w:lang w:eastAsia="en-US"/>
    </w:rPr>
  </w:style>
  <w:style w:type="character" w:customStyle="1" w:styleId="Heading7Char">
    <w:name w:val="Heading 7 Char"/>
    <w:basedOn w:val="DefaultParagraphFont"/>
    <w:link w:val="Heading7"/>
    <w:uiPriority w:val="9"/>
    <w:rsid w:val="00303452"/>
    <w:rPr>
      <w:rFonts w:ascii="Gautami" w:eastAsia="Times New Roman" w:hAnsi="Gautami" w:cs="Times New Roman"/>
      <w:b/>
      <w:bCs/>
      <w:iCs/>
      <w:color w:val="E36C0A"/>
      <w:sz w:val="36"/>
      <w:szCs w:val="24"/>
    </w:rPr>
  </w:style>
  <w:style w:type="character" w:customStyle="1" w:styleId="Heading8Char">
    <w:name w:val="Heading 8 Char"/>
    <w:basedOn w:val="DefaultParagraphFont"/>
    <w:link w:val="Heading8"/>
    <w:uiPriority w:val="9"/>
    <w:rsid w:val="00303452"/>
    <w:rPr>
      <w:rFonts w:ascii="Gautami" w:eastAsia="Times New Roman" w:hAnsi="Gautami" w:cs="Times New Roman"/>
      <w:b/>
      <w:bCs/>
      <w:iCs/>
      <w:color w:val="E36C0A"/>
      <w:sz w:val="28"/>
      <w:szCs w:val="20"/>
    </w:rPr>
  </w:style>
  <w:style w:type="character" w:customStyle="1" w:styleId="Heading9Char">
    <w:name w:val="Heading 9 Char"/>
    <w:basedOn w:val="DefaultParagraphFont"/>
    <w:link w:val="Heading9"/>
    <w:uiPriority w:val="9"/>
    <w:rsid w:val="00303452"/>
    <w:rPr>
      <w:rFonts w:ascii="Gautami" w:eastAsia="Times New Roman" w:hAnsi="Gautami" w:cs="Times New Roman"/>
      <w:b/>
      <w:bCs/>
      <w:color w:val="E36C0A"/>
      <w:sz w:val="24"/>
      <w:szCs w:val="20"/>
    </w:rPr>
  </w:style>
  <w:style w:type="paragraph" w:styleId="Caption">
    <w:name w:val="caption"/>
    <w:basedOn w:val="AERbodytext"/>
    <w:next w:val="AERbodytext"/>
    <w:uiPriority w:val="35"/>
    <w:qFormat/>
    <w:rsid w:val="00DA4C62"/>
    <w:pPr>
      <w:keepNext/>
      <w:numPr>
        <w:numId w:val="0"/>
      </w:numPr>
      <w:tabs>
        <w:tab w:val="left" w:pos="1440"/>
      </w:tabs>
      <w:spacing w:before="120" w:after="120"/>
      <w:ind w:left="1440" w:hanging="1440"/>
    </w:pPr>
    <w:rPr>
      <w:b/>
      <w:bCs/>
      <w:szCs w:val="18"/>
    </w:rPr>
  </w:style>
  <w:style w:type="character" w:customStyle="1" w:styleId="AERbody">
    <w:name w:val="AER body"/>
    <w:basedOn w:val="DefaultParagraphFont"/>
    <w:qFormat/>
    <w:rsid w:val="00971C63"/>
    <w:rPr>
      <w:rFonts w:ascii="Gautami" w:hAnsi="Gautami"/>
      <w:color w:val="auto"/>
      <w:sz w:val="20"/>
    </w:rPr>
  </w:style>
  <w:style w:type="paragraph" w:customStyle="1" w:styleId="AERbodytext">
    <w:name w:val="AER body text"/>
    <w:link w:val="AERbodytextChar"/>
    <w:qFormat/>
    <w:rsid w:val="00EB5CDF"/>
    <w:pPr>
      <w:numPr>
        <w:numId w:val="13"/>
      </w:numPr>
      <w:spacing w:after="240" w:line="288" w:lineRule="auto"/>
      <w:jc w:val="both"/>
    </w:pPr>
    <w:rPr>
      <w:rFonts w:eastAsia="Times New Roman"/>
      <w:szCs w:val="24"/>
      <w:lang w:eastAsia="en-US"/>
    </w:rPr>
  </w:style>
  <w:style w:type="paragraph" w:customStyle="1" w:styleId="AERbodytextindent1">
    <w:name w:val="AER body text (indent 1)"/>
    <w:basedOn w:val="AERbodytext"/>
    <w:qFormat/>
    <w:rsid w:val="008D49B4"/>
    <w:pPr>
      <w:numPr>
        <w:numId w:val="0"/>
      </w:numPr>
      <w:ind w:left="357"/>
    </w:pPr>
  </w:style>
  <w:style w:type="paragraph" w:customStyle="1" w:styleId="AERbodytextindent2">
    <w:name w:val="AER body text (indent 2)"/>
    <w:basedOn w:val="AERbodytextindent1"/>
    <w:qFormat/>
    <w:rsid w:val="00BC05C5"/>
    <w:pPr>
      <w:ind w:left="709"/>
    </w:pPr>
  </w:style>
  <w:style w:type="paragraph" w:customStyle="1" w:styleId="AERbodytextindent3">
    <w:name w:val="AER body text (indent 3)"/>
    <w:basedOn w:val="AERbodytext"/>
    <w:qFormat/>
    <w:rsid w:val="008D49B4"/>
    <w:pPr>
      <w:numPr>
        <w:numId w:val="0"/>
      </w:numPr>
      <w:ind w:left="1077"/>
    </w:pPr>
  </w:style>
  <w:style w:type="paragraph" w:customStyle="1" w:styleId="AERbulletlistfirststyle">
    <w:name w:val="AER bullet list (first style)"/>
    <w:basedOn w:val="AERbodytext"/>
    <w:qFormat/>
    <w:rsid w:val="005732CC"/>
    <w:pPr>
      <w:numPr>
        <w:numId w:val="7"/>
      </w:numPr>
      <w:tabs>
        <w:tab w:val="left" w:pos="357"/>
      </w:tabs>
      <w:spacing w:after="200"/>
      <w:ind w:left="357" w:hanging="357"/>
    </w:pPr>
  </w:style>
  <w:style w:type="paragraph" w:customStyle="1" w:styleId="AERbulletlistsecondstyle">
    <w:name w:val="AER bullet list (second style)"/>
    <w:basedOn w:val="AERbodytext"/>
    <w:qFormat/>
    <w:rsid w:val="005732CC"/>
    <w:pPr>
      <w:numPr>
        <w:numId w:val="11"/>
      </w:numPr>
      <w:tabs>
        <w:tab w:val="left" w:pos="709"/>
      </w:tabs>
      <w:spacing w:after="200"/>
      <w:ind w:left="714" w:hanging="357"/>
    </w:pPr>
  </w:style>
  <w:style w:type="paragraph" w:customStyle="1" w:styleId="AERbulletlistthirdstyle">
    <w:name w:val="AER bullet list (third style)"/>
    <w:basedOn w:val="AERbodytext"/>
    <w:qFormat/>
    <w:rsid w:val="005732CC"/>
    <w:pPr>
      <w:numPr>
        <w:numId w:val="8"/>
      </w:numPr>
      <w:tabs>
        <w:tab w:val="left" w:pos="1077"/>
      </w:tabs>
      <w:spacing w:after="200"/>
      <w:ind w:left="1071" w:hanging="357"/>
    </w:pPr>
  </w:style>
  <w:style w:type="character" w:customStyle="1" w:styleId="AERtextconfidential">
    <w:name w:val="AER text confidential"/>
    <w:qFormat/>
    <w:rsid w:val="00971C63"/>
    <w:rPr>
      <w:bdr w:val="none" w:sz="0" w:space="0" w:color="auto"/>
      <w:shd w:val="clear" w:color="auto" w:fill="CCFFFF"/>
    </w:rPr>
  </w:style>
  <w:style w:type="paragraph" w:customStyle="1" w:styleId="AERnumberedlistfirststyle">
    <w:name w:val="AER numbered list (first style)"/>
    <w:basedOn w:val="AERbodytext"/>
    <w:qFormat/>
    <w:rsid w:val="005732CC"/>
    <w:pPr>
      <w:numPr>
        <w:ilvl w:val="1"/>
      </w:numPr>
      <w:spacing w:after="200"/>
    </w:pPr>
  </w:style>
  <w:style w:type="paragraph" w:customStyle="1" w:styleId="AERnumberedlistsecondstyle">
    <w:name w:val="AER numbered list (second style)"/>
    <w:basedOn w:val="AERnumberedlistfirststyle"/>
    <w:qFormat/>
    <w:rsid w:val="005732CC"/>
    <w:pPr>
      <w:numPr>
        <w:ilvl w:val="2"/>
      </w:numPr>
    </w:pPr>
  </w:style>
  <w:style w:type="paragraph" w:customStyle="1" w:styleId="AERnumberedlistthirdstyle">
    <w:name w:val="AER numbered list (third style)"/>
    <w:basedOn w:val="AERnumberedlistsecondstyle"/>
    <w:qFormat/>
    <w:rsid w:val="005732CC"/>
    <w:pPr>
      <w:numPr>
        <w:ilvl w:val="3"/>
      </w:numPr>
    </w:pPr>
  </w:style>
  <w:style w:type="paragraph" w:customStyle="1" w:styleId="AERquote">
    <w:name w:val="AER quote"/>
    <w:next w:val="AERbodytext"/>
    <w:qFormat/>
    <w:rsid w:val="002938CE"/>
    <w:pPr>
      <w:tabs>
        <w:tab w:val="num" w:pos="709"/>
      </w:tabs>
      <w:spacing w:after="160" w:line="288" w:lineRule="auto"/>
      <w:ind w:left="709" w:right="720"/>
      <w:jc w:val="both"/>
    </w:pPr>
    <w:rPr>
      <w:rFonts w:eastAsia="Times New Roman"/>
      <w:color w:val="000000"/>
      <w:sz w:val="16"/>
      <w:szCs w:val="24"/>
      <w:lang w:eastAsia="en-US"/>
    </w:rPr>
  </w:style>
  <w:style w:type="paragraph" w:customStyle="1" w:styleId="AERquoteindent1">
    <w:name w:val="AER quote (indent 1)"/>
    <w:basedOn w:val="AERquote"/>
    <w:qFormat/>
    <w:rsid w:val="003A6174"/>
    <w:pPr>
      <w:tabs>
        <w:tab w:val="clear" w:pos="709"/>
        <w:tab w:val="num" w:pos="1077"/>
      </w:tabs>
      <w:ind w:left="1077" w:right="1440"/>
    </w:pPr>
  </w:style>
  <w:style w:type="paragraph" w:customStyle="1" w:styleId="AERquoteindent2">
    <w:name w:val="AER quote (indent 2)"/>
    <w:basedOn w:val="AERquoteindent1"/>
    <w:qFormat/>
    <w:rsid w:val="003A6174"/>
    <w:pPr>
      <w:tabs>
        <w:tab w:val="clear" w:pos="1077"/>
        <w:tab w:val="left" w:pos="1440"/>
      </w:tabs>
      <w:ind w:left="1440" w:right="1797"/>
    </w:pPr>
  </w:style>
  <w:style w:type="paragraph" w:customStyle="1" w:styleId="AERquoteindent3">
    <w:name w:val="AER quote (indent 3)"/>
    <w:basedOn w:val="AERquoteindent2"/>
    <w:qFormat/>
    <w:rsid w:val="003A6174"/>
    <w:pPr>
      <w:tabs>
        <w:tab w:val="clear" w:pos="1440"/>
        <w:tab w:val="left" w:pos="1803"/>
      </w:tabs>
      <w:ind w:left="1803" w:right="2160"/>
    </w:pPr>
  </w:style>
  <w:style w:type="paragraph" w:customStyle="1" w:styleId="AERquotebullet1">
    <w:name w:val="AER quote bullet 1"/>
    <w:basedOn w:val="Normal"/>
    <w:qFormat/>
    <w:rsid w:val="003A6174"/>
    <w:pPr>
      <w:numPr>
        <w:numId w:val="9"/>
      </w:numPr>
      <w:tabs>
        <w:tab w:val="left" w:pos="1077"/>
      </w:tabs>
      <w:spacing w:line="200" w:lineRule="atLeast"/>
      <w:ind w:left="1077" w:right="663" w:hanging="357"/>
    </w:pPr>
    <w:rPr>
      <w:rFonts w:eastAsia="Times New Roman"/>
      <w:sz w:val="16"/>
      <w:szCs w:val="16"/>
    </w:rPr>
  </w:style>
  <w:style w:type="paragraph" w:customStyle="1" w:styleId="AERrevisionbox">
    <w:name w:val="AER revision box"/>
    <w:basedOn w:val="AERbodytext"/>
    <w:qFormat/>
    <w:rsid w:val="00971C63"/>
    <w:pPr>
      <w:pBdr>
        <w:top w:val="single" w:sz="4" w:space="1" w:color="auto"/>
        <w:left w:val="single" w:sz="4" w:space="4" w:color="auto"/>
        <w:bottom w:val="single" w:sz="4" w:space="1" w:color="auto"/>
        <w:right w:val="single" w:sz="4" w:space="4" w:color="auto"/>
      </w:pBdr>
      <w:shd w:val="clear" w:color="auto" w:fill="E0E0E0"/>
    </w:pPr>
  </w:style>
  <w:style w:type="character" w:customStyle="1" w:styleId="AERsubscript">
    <w:name w:val="AER subscript"/>
    <w:qFormat/>
    <w:rsid w:val="00971C63"/>
    <w:rPr>
      <w:rFonts w:ascii="Gautami" w:hAnsi="Gautami"/>
      <w:vertAlign w:val="subscript"/>
    </w:rPr>
  </w:style>
  <w:style w:type="character" w:customStyle="1" w:styleId="AERsuperscript">
    <w:name w:val="AER superscript"/>
    <w:qFormat/>
    <w:rsid w:val="00971C63"/>
    <w:rPr>
      <w:rFonts w:ascii="Gautami" w:hAnsi="Gautami"/>
      <w:vertAlign w:val="superscript"/>
    </w:rPr>
  </w:style>
  <w:style w:type="paragraph" w:customStyle="1" w:styleId="AERtablesource">
    <w:name w:val="AER table source"/>
    <w:next w:val="AERbodytext"/>
    <w:qFormat/>
    <w:rsid w:val="00474FBD"/>
    <w:pPr>
      <w:tabs>
        <w:tab w:val="left" w:pos="794"/>
      </w:tabs>
      <w:spacing w:before="40" w:after="240"/>
      <w:ind w:left="794" w:hanging="794"/>
      <w:contextualSpacing/>
      <w:jc w:val="both"/>
    </w:pPr>
    <w:rPr>
      <w:rFonts w:eastAsia="Times New Roman"/>
      <w:sz w:val="16"/>
      <w:szCs w:val="24"/>
      <w:lang w:eastAsia="en-US"/>
    </w:rPr>
  </w:style>
  <w:style w:type="table" w:customStyle="1" w:styleId="AERtable-text">
    <w:name w:val="AER table - text"/>
    <w:basedOn w:val="TableNormal"/>
    <w:uiPriority w:val="99"/>
    <w:rsid w:val="00C04D2B"/>
    <w:pPr>
      <w:spacing w:before="120" w:after="80"/>
    </w:pPr>
    <w:rPr>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customStyle="1" w:styleId="AERtabletextleft">
    <w:name w:val="AER table text left"/>
    <w:qFormat/>
    <w:rsid w:val="00BC05C5"/>
    <w:pPr>
      <w:spacing w:before="80" w:after="120" w:line="288" w:lineRule="auto"/>
    </w:pPr>
    <w:rPr>
      <w:rFonts w:eastAsia="Times New Roman"/>
      <w:sz w:val="16"/>
      <w:szCs w:val="24"/>
      <w:lang w:eastAsia="en-US"/>
    </w:rPr>
  </w:style>
  <w:style w:type="character" w:customStyle="1" w:styleId="AERtextbold">
    <w:name w:val="AER text bold"/>
    <w:qFormat/>
    <w:rsid w:val="00971C63"/>
    <w:rPr>
      <w:b/>
    </w:rPr>
  </w:style>
  <w:style w:type="character" w:customStyle="1" w:styleId="AERtextbolditalics">
    <w:name w:val="AER text bold italics"/>
    <w:basedOn w:val="AERtextbold"/>
    <w:qFormat/>
    <w:rsid w:val="00971C63"/>
    <w:rPr>
      <w:b/>
      <w:i/>
    </w:rPr>
  </w:style>
  <w:style w:type="character" w:customStyle="1" w:styleId="AERtextboldunderline">
    <w:name w:val="AER text bold underline"/>
    <w:qFormat/>
    <w:rsid w:val="00971C63"/>
    <w:rPr>
      <w:b/>
      <w:u w:val="single"/>
    </w:rPr>
  </w:style>
  <w:style w:type="character" w:customStyle="1" w:styleId="AERtexthighlight">
    <w:name w:val="AER text highlight"/>
    <w:qFormat/>
    <w:rsid w:val="005566D7"/>
    <w:rPr>
      <w:bdr w:val="none" w:sz="0" w:space="0" w:color="auto"/>
      <w:shd w:val="clear" w:color="auto" w:fill="FFFF00"/>
    </w:rPr>
  </w:style>
  <w:style w:type="character" w:customStyle="1" w:styleId="AERtextitalic">
    <w:name w:val="AER text italic"/>
    <w:qFormat/>
    <w:rsid w:val="00971C63"/>
    <w:rPr>
      <w:i/>
    </w:rPr>
  </w:style>
  <w:style w:type="character" w:customStyle="1" w:styleId="AERtextunderline">
    <w:name w:val="AER text underline"/>
    <w:qFormat/>
    <w:rsid w:val="00971C63"/>
    <w:rPr>
      <w:u w:val="single"/>
    </w:r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AERbodytext"/>
    <w:link w:val="FootnoteTextChar"/>
    <w:uiPriority w:val="99"/>
    <w:qFormat/>
    <w:rsid w:val="00DD5520"/>
    <w:pPr>
      <w:numPr>
        <w:numId w:val="0"/>
      </w:numPr>
      <w:tabs>
        <w:tab w:val="left" w:pos="426"/>
      </w:tabs>
      <w:spacing w:after="0" w:line="240" w:lineRule="auto"/>
      <w:ind w:left="426" w:hanging="426"/>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D5520"/>
    <w:rPr>
      <w:rFonts w:ascii="Gautami" w:eastAsia="Times New Roman" w:hAnsi="Gautami" w:cs="Times New Roman"/>
      <w:sz w:val="16"/>
      <w:szCs w:val="20"/>
    </w:rPr>
  </w:style>
  <w:style w:type="character" w:styleId="FootnoteReference">
    <w:name w:val="footnote reference"/>
    <w:aliases w:val="(NECG) Footnote Reference,(NECG) Footnote Reference1,(NECG) Footnote Reference2,o,Style 3,Style 12,fr,Appel note de bas de p,Style 124,(NECG) Footnote Reference3,(NECG) Footnote Reference4,(NECG) Footnote Reference5"/>
    <w:basedOn w:val="DefaultParagraphFont"/>
    <w:uiPriority w:val="99"/>
    <w:unhideWhenUsed/>
    <w:rsid w:val="003800E4"/>
    <w:rPr>
      <w:vertAlign w:val="superscript"/>
    </w:rPr>
  </w:style>
  <w:style w:type="paragraph" w:styleId="Header">
    <w:name w:val="header"/>
    <w:basedOn w:val="Normal"/>
    <w:link w:val="HeaderChar"/>
    <w:uiPriority w:val="99"/>
    <w:unhideWhenUsed/>
    <w:rsid w:val="00380F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0FF5"/>
  </w:style>
  <w:style w:type="paragraph" w:styleId="Footer">
    <w:name w:val="footer"/>
    <w:basedOn w:val="Normal"/>
    <w:link w:val="FooterChar"/>
    <w:uiPriority w:val="99"/>
    <w:qFormat/>
    <w:rsid w:val="007368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68AD"/>
    <w:rPr>
      <w:rFonts w:ascii="Gautami" w:hAnsi="Gautami"/>
      <w:sz w:val="20"/>
    </w:rPr>
  </w:style>
  <w:style w:type="paragraph" w:customStyle="1" w:styleId="UnnumberedHeading">
    <w:name w:val="Unnumbered Heading"/>
    <w:basedOn w:val="Heading1"/>
    <w:next w:val="AERbodytext"/>
    <w:link w:val="UnnumberedHeadingChar"/>
    <w:qFormat/>
    <w:rsid w:val="00B94D99"/>
    <w:pPr>
      <w:numPr>
        <w:ilvl w:val="0"/>
      </w:numPr>
    </w:pPr>
  </w:style>
  <w:style w:type="table" w:styleId="TableGrid">
    <w:name w:val="Table Grid"/>
    <w:basedOn w:val="TableNormal"/>
    <w:uiPriority w:val="59"/>
    <w:rsid w:val="00500E7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AERnumberedlist">
    <w:name w:val="AER numbered list"/>
    <w:uiPriority w:val="99"/>
    <w:rsid w:val="00EB5CDF"/>
    <w:pPr>
      <w:numPr>
        <w:numId w:val="13"/>
      </w:numPr>
    </w:pPr>
  </w:style>
  <w:style w:type="numbering" w:customStyle="1" w:styleId="OldAERheadings">
    <w:name w:val="Old AER headings"/>
    <w:uiPriority w:val="99"/>
    <w:locked/>
    <w:rsid w:val="008515EE"/>
    <w:pPr>
      <w:numPr>
        <w:numId w:val="24"/>
      </w:numPr>
    </w:pPr>
  </w:style>
  <w:style w:type="character" w:customStyle="1" w:styleId="AERtextorange">
    <w:name w:val="AER text orange"/>
    <w:uiPriority w:val="1"/>
    <w:qFormat/>
    <w:rsid w:val="00DB6A17"/>
    <w:rPr>
      <w:color w:val="E36C0A"/>
    </w:rPr>
  </w:style>
  <w:style w:type="paragraph" w:customStyle="1" w:styleId="AERtitle1">
    <w:name w:val="AER title 1"/>
    <w:qFormat/>
    <w:rsid w:val="000A1CC2"/>
    <w:pPr>
      <w:spacing w:after="240" w:line="288" w:lineRule="auto"/>
      <w:jc w:val="center"/>
    </w:pPr>
    <w:rPr>
      <w:rFonts w:eastAsia="Times New Roman"/>
      <w:b/>
      <w:sz w:val="40"/>
      <w:szCs w:val="24"/>
    </w:rPr>
  </w:style>
  <w:style w:type="paragraph" w:customStyle="1" w:styleId="AERtitle2">
    <w:name w:val="AER title 2"/>
    <w:qFormat/>
    <w:rsid w:val="000A1CC2"/>
    <w:pPr>
      <w:spacing w:after="240" w:line="288" w:lineRule="auto"/>
      <w:jc w:val="center"/>
    </w:pPr>
    <w:rPr>
      <w:rFonts w:eastAsia="Times New Roman"/>
      <w:sz w:val="32"/>
      <w:szCs w:val="24"/>
      <w:lang w:eastAsia="en-US"/>
    </w:rPr>
  </w:style>
  <w:style w:type="paragraph" w:styleId="ListParagraph">
    <w:name w:val="List Paragraph"/>
    <w:basedOn w:val="Normal"/>
    <w:uiPriority w:val="34"/>
    <w:semiHidden/>
    <w:unhideWhenUsed/>
    <w:qFormat/>
    <w:rsid w:val="005D26B7"/>
    <w:pPr>
      <w:ind w:left="720"/>
      <w:contextualSpacing/>
    </w:pPr>
  </w:style>
  <w:style w:type="character" w:customStyle="1" w:styleId="AERtextblue">
    <w:name w:val="AER text blue"/>
    <w:uiPriority w:val="1"/>
    <w:qFormat/>
    <w:rsid w:val="00D2117F"/>
    <w:rPr>
      <w:color w:val="365F91"/>
    </w:rPr>
  </w:style>
  <w:style w:type="character" w:customStyle="1" w:styleId="UnnumberedHeadingChar">
    <w:name w:val="Unnumbered Heading Char"/>
    <w:basedOn w:val="Heading1Char"/>
    <w:link w:val="UnnumberedHeading"/>
    <w:rsid w:val="00B94D99"/>
    <w:rPr>
      <w:rFonts w:eastAsia="Times New Roman"/>
      <w:b/>
      <w:bCs/>
      <w:color w:val="E36C0A"/>
      <w:sz w:val="36"/>
      <w:szCs w:val="28"/>
      <w:lang w:eastAsia="en-US"/>
    </w:rPr>
  </w:style>
  <w:style w:type="table" w:customStyle="1" w:styleId="AERtable-numbers">
    <w:name w:val="AER table - numbers"/>
    <w:basedOn w:val="TableNormal"/>
    <w:uiPriority w:val="99"/>
    <w:rsid w:val="00C04D2B"/>
    <w:pPr>
      <w:spacing w:before="120" w:after="80"/>
      <w:jc w:val="right"/>
    </w:pPr>
    <w:rPr>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locked/>
    <w:rsid w:val="00B82E8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bodytextnospace">
    <w:name w:val="AER body text no space"/>
    <w:basedOn w:val="AERbodytext"/>
    <w:qFormat/>
    <w:rsid w:val="00BC05C5"/>
    <w:pPr>
      <w:spacing w:after="0"/>
    </w:pPr>
  </w:style>
  <w:style w:type="paragraph" w:customStyle="1" w:styleId="AERtabletextright">
    <w:name w:val="AER table text right"/>
    <w:basedOn w:val="AERtabletextleft"/>
    <w:qFormat/>
    <w:rsid w:val="00435682"/>
    <w:pPr>
      <w:spacing w:before="120" w:after="80"/>
      <w:jc w:val="right"/>
    </w:pPr>
  </w:style>
  <w:style w:type="paragraph" w:styleId="TOCHeading">
    <w:name w:val="TOC Heading"/>
    <w:basedOn w:val="Heading1"/>
    <w:next w:val="Normal"/>
    <w:uiPriority w:val="39"/>
    <w:semiHidden/>
    <w:unhideWhenUsed/>
    <w:qFormat/>
    <w:rsid w:val="00AF3E95"/>
    <w:pPr>
      <w:pageBreakBefore w:val="0"/>
      <w:numPr>
        <w:ilvl w:val="0"/>
        <w:numId w:val="0"/>
      </w:numPr>
      <w:spacing w:before="480" w:after="0" w:line="276" w:lineRule="auto"/>
      <w:outlineLvl w:val="9"/>
    </w:pPr>
    <w:rPr>
      <w:rFonts w:ascii="Cambria" w:hAnsi="Cambria"/>
      <w:color w:val="365F91"/>
      <w:sz w:val="28"/>
      <w:lang w:val="en-US"/>
    </w:rPr>
  </w:style>
  <w:style w:type="paragraph" w:styleId="TOC1">
    <w:name w:val="toc 1"/>
    <w:basedOn w:val="Normal"/>
    <w:next w:val="Normal"/>
    <w:autoRedefine/>
    <w:uiPriority w:val="39"/>
    <w:unhideWhenUsed/>
    <w:qFormat/>
    <w:rsid w:val="00AF3E95"/>
    <w:pPr>
      <w:spacing w:before="240" w:after="120"/>
      <w:jc w:val="left"/>
    </w:pPr>
    <w:rPr>
      <w:b/>
      <w:bCs/>
    </w:rPr>
  </w:style>
  <w:style w:type="paragraph" w:styleId="TOC2">
    <w:name w:val="toc 2"/>
    <w:basedOn w:val="Normal"/>
    <w:next w:val="Normal"/>
    <w:autoRedefine/>
    <w:uiPriority w:val="39"/>
    <w:unhideWhenUsed/>
    <w:qFormat/>
    <w:rsid w:val="00AF3E95"/>
    <w:pPr>
      <w:spacing w:before="120" w:after="0"/>
      <w:ind w:left="200"/>
      <w:jc w:val="left"/>
    </w:pPr>
    <w:rPr>
      <w:iCs/>
    </w:rPr>
  </w:style>
  <w:style w:type="paragraph" w:styleId="TOC3">
    <w:name w:val="toc 3"/>
    <w:basedOn w:val="Normal"/>
    <w:next w:val="Normal"/>
    <w:autoRedefine/>
    <w:uiPriority w:val="39"/>
    <w:unhideWhenUsed/>
    <w:qFormat/>
    <w:rsid w:val="00AF3E95"/>
    <w:pPr>
      <w:spacing w:after="0"/>
      <w:ind w:left="400"/>
      <w:jc w:val="left"/>
    </w:pPr>
  </w:style>
  <w:style w:type="character" w:styleId="Hyperlink">
    <w:name w:val="Hyperlink"/>
    <w:basedOn w:val="DefaultParagraphFont"/>
    <w:uiPriority w:val="99"/>
    <w:unhideWhenUsed/>
    <w:rsid w:val="00AF3E95"/>
    <w:rPr>
      <w:color w:val="0000FF"/>
      <w:u w:val="single"/>
    </w:rPr>
  </w:style>
  <w:style w:type="paragraph" w:styleId="BalloonText">
    <w:name w:val="Balloon Text"/>
    <w:basedOn w:val="Normal"/>
    <w:link w:val="BalloonTextChar"/>
    <w:uiPriority w:val="99"/>
    <w:semiHidden/>
    <w:unhideWhenUsed/>
    <w:rsid w:val="00AF3E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E95"/>
    <w:rPr>
      <w:rFonts w:ascii="Tahoma" w:hAnsi="Tahoma" w:cs="Tahoma"/>
      <w:sz w:val="16"/>
      <w:szCs w:val="16"/>
    </w:rPr>
  </w:style>
  <w:style w:type="paragraph" w:styleId="TOC4">
    <w:name w:val="toc 4"/>
    <w:basedOn w:val="Normal"/>
    <w:next w:val="Normal"/>
    <w:autoRedefine/>
    <w:uiPriority w:val="39"/>
    <w:semiHidden/>
    <w:locked/>
    <w:rsid w:val="00AF3E95"/>
    <w:pPr>
      <w:spacing w:after="0"/>
      <w:ind w:left="600"/>
      <w:jc w:val="left"/>
    </w:pPr>
    <w:rPr>
      <w:rFonts w:ascii="Calibri" w:hAnsi="Calibri"/>
    </w:rPr>
  </w:style>
  <w:style w:type="paragraph" w:styleId="TOC5">
    <w:name w:val="toc 5"/>
    <w:basedOn w:val="Normal"/>
    <w:next w:val="Normal"/>
    <w:autoRedefine/>
    <w:uiPriority w:val="39"/>
    <w:semiHidden/>
    <w:locked/>
    <w:rsid w:val="00AF3E95"/>
    <w:pPr>
      <w:spacing w:after="0"/>
      <w:ind w:left="800"/>
      <w:jc w:val="left"/>
    </w:pPr>
    <w:rPr>
      <w:rFonts w:ascii="Calibri" w:hAnsi="Calibri"/>
    </w:rPr>
  </w:style>
  <w:style w:type="paragraph" w:styleId="TOC6">
    <w:name w:val="toc 6"/>
    <w:basedOn w:val="Normal"/>
    <w:next w:val="Normal"/>
    <w:autoRedefine/>
    <w:uiPriority w:val="39"/>
    <w:semiHidden/>
    <w:locked/>
    <w:rsid w:val="00AF3E95"/>
    <w:pPr>
      <w:spacing w:after="0"/>
      <w:ind w:left="1000"/>
      <w:jc w:val="left"/>
    </w:pPr>
    <w:rPr>
      <w:rFonts w:ascii="Calibri" w:hAnsi="Calibri"/>
    </w:rPr>
  </w:style>
  <w:style w:type="paragraph" w:styleId="TOC7">
    <w:name w:val="toc 7"/>
    <w:basedOn w:val="Normal"/>
    <w:next w:val="Normal"/>
    <w:autoRedefine/>
    <w:uiPriority w:val="39"/>
    <w:semiHidden/>
    <w:locked/>
    <w:rsid w:val="00AF3E95"/>
    <w:pPr>
      <w:spacing w:after="0"/>
      <w:ind w:left="1200"/>
      <w:jc w:val="left"/>
    </w:pPr>
    <w:rPr>
      <w:rFonts w:ascii="Calibri" w:hAnsi="Calibri"/>
    </w:rPr>
  </w:style>
  <w:style w:type="paragraph" w:styleId="TOC8">
    <w:name w:val="toc 8"/>
    <w:basedOn w:val="Normal"/>
    <w:next w:val="Normal"/>
    <w:autoRedefine/>
    <w:uiPriority w:val="39"/>
    <w:semiHidden/>
    <w:locked/>
    <w:rsid w:val="00AF3E95"/>
    <w:pPr>
      <w:spacing w:after="0"/>
      <w:ind w:left="1400"/>
      <w:jc w:val="left"/>
    </w:pPr>
    <w:rPr>
      <w:rFonts w:ascii="Calibri" w:hAnsi="Calibri"/>
    </w:rPr>
  </w:style>
  <w:style w:type="paragraph" w:styleId="TOC9">
    <w:name w:val="toc 9"/>
    <w:basedOn w:val="Normal"/>
    <w:next w:val="Normal"/>
    <w:autoRedefine/>
    <w:uiPriority w:val="39"/>
    <w:semiHidden/>
    <w:locked/>
    <w:rsid w:val="00AF3E95"/>
    <w:pPr>
      <w:spacing w:after="0"/>
      <w:ind w:left="1600"/>
      <w:jc w:val="left"/>
    </w:pPr>
    <w:rPr>
      <w:rFonts w:ascii="Calibri" w:hAnsi="Calibri"/>
    </w:rPr>
  </w:style>
  <w:style w:type="character" w:styleId="CommentReference">
    <w:name w:val="annotation reference"/>
    <w:basedOn w:val="DefaultParagraphFont"/>
    <w:uiPriority w:val="99"/>
    <w:semiHidden/>
    <w:unhideWhenUsed/>
    <w:rsid w:val="00BE6F28"/>
    <w:rPr>
      <w:sz w:val="16"/>
      <w:szCs w:val="16"/>
    </w:rPr>
  </w:style>
  <w:style w:type="paragraph" w:styleId="CommentText">
    <w:name w:val="annotation text"/>
    <w:basedOn w:val="Normal"/>
    <w:link w:val="CommentTextChar"/>
    <w:uiPriority w:val="99"/>
    <w:semiHidden/>
    <w:unhideWhenUsed/>
    <w:rsid w:val="00BE6F28"/>
    <w:pPr>
      <w:spacing w:line="240" w:lineRule="auto"/>
    </w:pPr>
  </w:style>
  <w:style w:type="character" w:customStyle="1" w:styleId="CommentTextChar">
    <w:name w:val="Comment Text Char"/>
    <w:basedOn w:val="DefaultParagraphFont"/>
    <w:link w:val="CommentText"/>
    <w:uiPriority w:val="99"/>
    <w:semiHidden/>
    <w:rsid w:val="00BE6F28"/>
  </w:style>
  <w:style w:type="paragraph" w:styleId="CommentSubject">
    <w:name w:val="annotation subject"/>
    <w:basedOn w:val="CommentText"/>
    <w:next w:val="CommentText"/>
    <w:link w:val="CommentSubjectChar"/>
    <w:uiPriority w:val="99"/>
    <w:semiHidden/>
    <w:unhideWhenUsed/>
    <w:rsid w:val="00BE6F28"/>
    <w:rPr>
      <w:b/>
      <w:bCs/>
    </w:rPr>
  </w:style>
  <w:style w:type="character" w:customStyle="1" w:styleId="CommentSubjectChar">
    <w:name w:val="Comment Subject Char"/>
    <w:basedOn w:val="CommentTextChar"/>
    <w:link w:val="CommentSubject"/>
    <w:uiPriority w:val="99"/>
    <w:semiHidden/>
    <w:rsid w:val="00BE6F28"/>
    <w:rPr>
      <w:b/>
      <w:bCs/>
    </w:rPr>
  </w:style>
  <w:style w:type="character" w:customStyle="1" w:styleId="AERtextsize8">
    <w:name w:val="AER text size 8"/>
    <w:uiPriority w:val="1"/>
    <w:qFormat/>
    <w:rsid w:val="0020711E"/>
    <w:rPr>
      <w:sz w:val="16"/>
    </w:rPr>
  </w:style>
  <w:style w:type="character" w:customStyle="1" w:styleId="AERtextsize10">
    <w:name w:val="AER text size 10"/>
    <w:uiPriority w:val="1"/>
    <w:qFormat/>
    <w:rsid w:val="0020711E"/>
    <w:rPr>
      <w:sz w:val="20"/>
    </w:rPr>
  </w:style>
  <w:style w:type="paragraph" w:customStyle="1" w:styleId="AERnumberedlist2first">
    <w:name w:val="AER numbered list 2 first"/>
    <w:basedOn w:val="AERbodytext"/>
    <w:qFormat/>
    <w:rsid w:val="000E1A25"/>
    <w:pPr>
      <w:numPr>
        <w:ilvl w:val="4"/>
      </w:numPr>
    </w:pPr>
  </w:style>
  <w:style w:type="paragraph" w:customStyle="1" w:styleId="AERnumberedlist2second">
    <w:name w:val="AER numbered list 2 second"/>
    <w:basedOn w:val="AERnumberedlist2first"/>
    <w:qFormat/>
    <w:rsid w:val="000E1A25"/>
    <w:pPr>
      <w:numPr>
        <w:ilvl w:val="5"/>
      </w:numPr>
    </w:pPr>
  </w:style>
  <w:style w:type="paragraph" w:customStyle="1" w:styleId="AERnumberedlist2third">
    <w:name w:val="AER numbered list 2 third"/>
    <w:basedOn w:val="AERnumberedlist2second"/>
    <w:qFormat/>
    <w:rsid w:val="000E1A25"/>
    <w:pPr>
      <w:numPr>
        <w:ilvl w:val="6"/>
      </w:numPr>
    </w:pPr>
  </w:style>
  <w:style w:type="paragraph" w:customStyle="1" w:styleId="HeadingBoldBlue">
    <w:name w:val="Heading Bold Blue"/>
    <w:basedOn w:val="AERbodytext"/>
    <w:next w:val="AERbodytext"/>
    <w:link w:val="HeadingBoldBlueChar"/>
    <w:qFormat/>
    <w:rsid w:val="008C3722"/>
    <w:pPr>
      <w:keepNext/>
      <w:spacing w:before="120" w:after="120"/>
      <w:jc w:val="left"/>
    </w:pPr>
    <w:rPr>
      <w:b/>
      <w:color w:val="365F91" w:themeColor="accent1" w:themeShade="BF"/>
      <w:sz w:val="24"/>
    </w:rPr>
  </w:style>
  <w:style w:type="paragraph" w:customStyle="1" w:styleId="HeadingBoldItalic">
    <w:name w:val="Heading Bold Italic"/>
    <w:basedOn w:val="AERbodytext"/>
    <w:next w:val="AERbodytext"/>
    <w:qFormat/>
    <w:rsid w:val="008C3722"/>
    <w:pPr>
      <w:keepNext/>
      <w:spacing w:before="120" w:after="120"/>
      <w:jc w:val="left"/>
    </w:pPr>
    <w:rPr>
      <w:b/>
      <w:i/>
      <w:color w:val="E36C0A"/>
      <w:sz w:val="22"/>
    </w:rPr>
  </w:style>
  <w:style w:type="character" w:customStyle="1" w:styleId="AERbodytextChar">
    <w:name w:val="AER body text Char"/>
    <w:basedOn w:val="DefaultParagraphFont"/>
    <w:link w:val="AERbodytext"/>
    <w:rsid w:val="00EB5CDF"/>
    <w:rPr>
      <w:rFonts w:eastAsia="Times New Roman"/>
      <w:szCs w:val="24"/>
      <w:lang w:eastAsia="en-US"/>
    </w:rPr>
  </w:style>
  <w:style w:type="character" w:customStyle="1" w:styleId="HeadingBoldBlueChar">
    <w:name w:val="Heading Bold Blue Char"/>
    <w:basedOn w:val="AERbodytextChar"/>
    <w:link w:val="HeadingBoldBlue"/>
    <w:rsid w:val="008C3722"/>
    <w:rPr>
      <w:rFonts w:eastAsia="Times New Roman"/>
      <w:b/>
      <w:color w:val="365F91" w:themeColor="accent1" w:themeShade="BF"/>
      <w:sz w:val="24"/>
      <w:szCs w:val="24"/>
      <w:lang w:eastAsia="en-US"/>
    </w:rPr>
  </w:style>
  <w:style w:type="paragraph" w:customStyle="1" w:styleId="HeadingItalic">
    <w:name w:val="Heading Italic"/>
    <w:basedOn w:val="AERbodytext"/>
    <w:next w:val="AERbodytext"/>
    <w:qFormat/>
    <w:rsid w:val="008C3722"/>
    <w:pPr>
      <w:keepNext/>
      <w:spacing w:before="120" w:after="120"/>
      <w:jc w:val="left"/>
    </w:pPr>
    <w:rPr>
      <w:b/>
      <w:i/>
      <w:color w:val="365F91" w:themeColor="accent1" w:themeShade="BF"/>
      <w:sz w:val="22"/>
    </w:rPr>
  </w:style>
  <w:style w:type="character" w:styleId="PageNumber">
    <w:name w:val="page number"/>
    <w:basedOn w:val="DefaultParagraphFont"/>
    <w:rsid w:val="00CC49D4"/>
    <w:rPr>
      <w:rFonts w:ascii="Gautami" w:hAnsi="Gautami"/>
      <w:sz w:val="18"/>
    </w:rPr>
  </w:style>
  <w:style w:type="paragraph" w:customStyle="1" w:styleId="AERbodytextnospaceleftalign">
    <w:name w:val="AER body text no space left align"/>
    <w:basedOn w:val="AERbodytextnospace"/>
    <w:qFormat/>
    <w:rsid w:val="00DD4E84"/>
    <w:pPr>
      <w:numPr>
        <w:numId w:val="0"/>
      </w:numPr>
      <w:tabs>
        <w:tab w:val="num" w:pos="0"/>
      </w:tabs>
      <w:jc w:val="left"/>
    </w:pPr>
  </w:style>
  <w:style w:type="paragraph" w:customStyle="1" w:styleId="AERbodytextleftalign">
    <w:name w:val="AER body text left align"/>
    <w:basedOn w:val="AERbodytext"/>
    <w:qFormat/>
    <w:rsid w:val="00DD4E84"/>
    <w:pPr>
      <w:jc w:val="left"/>
    </w:pPr>
  </w:style>
  <w:style w:type="paragraph" w:customStyle="1" w:styleId="AERbodytextcentre">
    <w:name w:val="AER body text centre"/>
    <w:basedOn w:val="AERbodytext"/>
    <w:qFormat/>
    <w:rsid w:val="0013022D"/>
    <w:pPr>
      <w:jc w:val="center"/>
    </w:pPr>
  </w:style>
  <w:style w:type="paragraph" w:customStyle="1" w:styleId="AERbodytextnospacecentre">
    <w:name w:val="AER body text no space centre"/>
    <w:basedOn w:val="AERbodytextnospace"/>
    <w:qFormat/>
    <w:rsid w:val="0013022D"/>
    <w:pPr>
      <w:jc w:val="center"/>
    </w:pPr>
  </w:style>
  <w:style w:type="paragraph" w:customStyle="1" w:styleId="HeadingOrange">
    <w:name w:val="Heading Orange"/>
    <w:basedOn w:val="HeadingBoldItalic"/>
    <w:qFormat/>
    <w:rsid w:val="008C3722"/>
    <w:rPr>
      <w:i w:val="0"/>
      <w:sz w:val="20"/>
    </w:rPr>
  </w:style>
  <w:style w:type="paragraph" w:styleId="Revision">
    <w:name w:val="Revision"/>
    <w:hidden/>
    <w:uiPriority w:val="99"/>
    <w:semiHidden/>
    <w:rsid w:val="00886527"/>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Headings">
    <w:name w:val="AERHeadings"/>
    <w:pPr>
      <w:numPr>
        <w:numId w:val="2"/>
      </w:numPr>
    </w:pPr>
  </w:style>
  <w:style w:type="numbering" w:customStyle="1" w:styleId="Heading1Char">
    <w:name w:val="OldAERheadings"/>
    <w:pPr>
      <w:numPr>
        <w:numId w:val="24"/>
      </w:numPr>
    </w:pPr>
  </w:style>
  <w:style w:type="numbering" w:customStyle="1" w:styleId="Heading2Char">
    <w:name w:val="AERnumberedlist"/>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3216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emo.com.a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yperlink" Target="mailto:AERInquiry@aer.gov.a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8A75DE-E773-4132-8989-2BC3EC1BD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B293446B.dotm</Template>
  <TotalTime>2</TotalTime>
  <Pages>5</Pages>
  <Words>1009</Words>
  <Characters>5752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ACCC</Company>
  <LinksUpToDate>false</LinksUpToDate>
  <CharactersWithSpaces>6748</CharactersWithSpaces>
  <SharedDoc>false</SharedDoc>
  <HLinks>
    <vt:vector size="108" baseType="variant">
      <vt:variant>
        <vt:i4>1048636</vt:i4>
      </vt:variant>
      <vt:variant>
        <vt:i4>104</vt:i4>
      </vt:variant>
      <vt:variant>
        <vt:i4>0</vt:i4>
      </vt:variant>
      <vt:variant>
        <vt:i4>5</vt:i4>
      </vt:variant>
      <vt:variant>
        <vt:lpwstr/>
      </vt:variant>
      <vt:variant>
        <vt:lpwstr>_Toc322596469</vt:lpwstr>
      </vt:variant>
      <vt:variant>
        <vt:i4>1048636</vt:i4>
      </vt:variant>
      <vt:variant>
        <vt:i4>98</vt:i4>
      </vt:variant>
      <vt:variant>
        <vt:i4>0</vt:i4>
      </vt:variant>
      <vt:variant>
        <vt:i4>5</vt:i4>
      </vt:variant>
      <vt:variant>
        <vt:lpwstr/>
      </vt:variant>
      <vt:variant>
        <vt:lpwstr>_Toc322596468</vt:lpwstr>
      </vt:variant>
      <vt:variant>
        <vt:i4>1048636</vt:i4>
      </vt:variant>
      <vt:variant>
        <vt:i4>92</vt:i4>
      </vt:variant>
      <vt:variant>
        <vt:i4>0</vt:i4>
      </vt:variant>
      <vt:variant>
        <vt:i4>5</vt:i4>
      </vt:variant>
      <vt:variant>
        <vt:lpwstr/>
      </vt:variant>
      <vt:variant>
        <vt:lpwstr>_Toc322596467</vt:lpwstr>
      </vt:variant>
      <vt:variant>
        <vt:i4>1048636</vt:i4>
      </vt:variant>
      <vt:variant>
        <vt:i4>86</vt:i4>
      </vt:variant>
      <vt:variant>
        <vt:i4>0</vt:i4>
      </vt:variant>
      <vt:variant>
        <vt:i4>5</vt:i4>
      </vt:variant>
      <vt:variant>
        <vt:lpwstr/>
      </vt:variant>
      <vt:variant>
        <vt:lpwstr>_Toc322596466</vt:lpwstr>
      </vt:variant>
      <vt:variant>
        <vt:i4>1048636</vt:i4>
      </vt:variant>
      <vt:variant>
        <vt:i4>80</vt:i4>
      </vt:variant>
      <vt:variant>
        <vt:i4>0</vt:i4>
      </vt:variant>
      <vt:variant>
        <vt:i4>5</vt:i4>
      </vt:variant>
      <vt:variant>
        <vt:lpwstr/>
      </vt:variant>
      <vt:variant>
        <vt:lpwstr>_Toc322596465</vt:lpwstr>
      </vt:variant>
      <vt:variant>
        <vt:i4>1048636</vt:i4>
      </vt:variant>
      <vt:variant>
        <vt:i4>74</vt:i4>
      </vt:variant>
      <vt:variant>
        <vt:i4>0</vt:i4>
      </vt:variant>
      <vt:variant>
        <vt:i4>5</vt:i4>
      </vt:variant>
      <vt:variant>
        <vt:lpwstr/>
      </vt:variant>
      <vt:variant>
        <vt:lpwstr>_Toc322596464</vt:lpwstr>
      </vt:variant>
      <vt:variant>
        <vt:i4>1048636</vt:i4>
      </vt:variant>
      <vt:variant>
        <vt:i4>68</vt:i4>
      </vt:variant>
      <vt:variant>
        <vt:i4>0</vt:i4>
      </vt:variant>
      <vt:variant>
        <vt:i4>5</vt:i4>
      </vt:variant>
      <vt:variant>
        <vt:lpwstr/>
      </vt:variant>
      <vt:variant>
        <vt:lpwstr>_Toc322596463</vt:lpwstr>
      </vt:variant>
      <vt:variant>
        <vt:i4>1048636</vt:i4>
      </vt:variant>
      <vt:variant>
        <vt:i4>62</vt:i4>
      </vt:variant>
      <vt:variant>
        <vt:i4>0</vt:i4>
      </vt:variant>
      <vt:variant>
        <vt:i4>5</vt:i4>
      </vt:variant>
      <vt:variant>
        <vt:lpwstr/>
      </vt:variant>
      <vt:variant>
        <vt:lpwstr>_Toc322596462</vt:lpwstr>
      </vt:variant>
      <vt:variant>
        <vt:i4>1048636</vt:i4>
      </vt:variant>
      <vt:variant>
        <vt:i4>56</vt:i4>
      </vt:variant>
      <vt:variant>
        <vt:i4>0</vt:i4>
      </vt:variant>
      <vt:variant>
        <vt:i4>5</vt:i4>
      </vt:variant>
      <vt:variant>
        <vt:lpwstr/>
      </vt:variant>
      <vt:variant>
        <vt:lpwstr>_Toc322596461</vt:lpwstr>
      </vt:variant>
      <vt:variant>
        <vt:i4>1048636</vt:i4>
      </vt:variant>
      <vt:variant>
        <vt:i4>50</vt:i4>
      </vt:variant>
      <vt:variant>
        <vt:i4>0</vt:i4>
      </vt:variant>
      <vt:variant>
        <vt:i4>5</vt:i4>
      </vt:variant>
      <vt:variant>
        <vt:lpwstr/>
      </vt:variant>
      <vt:variant>
        <vt:lpwstr>_Toc322596460</vt:lpwstr>
      </vt:variant>
      <vt:variant>
        <vt:i4>1245244</vt:i4>
      </vt:variant>
      <vt:variant>
        <vt:i4>44</vt:i4>
      </vt:variant>
      <vt:variant>
        <vt:i4>0</vt:i4>
      </vt:variant>
      <vt:variant>
        <vt:i4>5</vt:i4>
      </vt:variant>
      <vt:variant>
        <vt:lpwstr/>
      </vt:variant>
      <vt:variant>
        <vt:lpwstr>_Toc322596459</vt:lpwstr>
      </vt:variant>
      <vt:variant>
        <vt:i4>1245244</vt:i4>
      </vt:variant>
      <vt:variant>
        <vt:i4>38</vt:i4>
      </vt:variant>
      <vt:variant>
        <vt:i4>0</vt:i4>
      </vt:variant>
      <vt:variant>
        <vt:i4>5</vt:i4>
      </vt:variant>
      <vt:variant>
        <vt:lpwstr/>
      </vt:variant>
      <vt:variant>
        <vt:lpwstr>_Toc322596458</vt:lpwstr>
      </vt:variant>
      <vt:variant>
        <vt:i4>1245244</vt:i4>
      </vt:variant>
      <vt:variant>
        <vt:i4>32</vt:i4>
      </vt:variant>
      <vt:variant>
        <vt:i4>0</vt:i4>
      </vt:variant>
      <vt:variant>
        <vt:i4>5</vt:i4>
      </vt:variant>
      <vt:variant>
        <vt:lpwstr/>
      </vt:variant>
      <vt:variant>
        <vt:lpwstr>_Toc322596457</vt:lpwstr>
      </vt:variant>
      <vt:variant>
        <vt:i4>1245244</vt:i4>
      </vt:variant>
      <vt:variant>
        <vt:i4>26</vt:i4>
      </vt:variant>
      <vt:variant>
        <vt:i4>0</vt:i4>
      </vt:variant>
      <vt:variant>
        <vt:i4>5</vt:i4>
      </vt:variant>
      <vt:variant>
        <vt:lpwstr/>
      </vt:variant>
      <vt:variant>
        <vt:lpwstr>_Toc322596456</vt:lpwstr>
      </vt:variant>
      <vt:variant>
        <vt:i4>1245244</vt:i4>
      </vt:variant>
      <vt:variant>
        <vt:i4>20</vt:i4>
      </vt:variant>
      <vt:variant>
        <vt:i4>0</vt:i4>
      </vt:variant>
      <vt:variant>
        <vt:i4>5</vt:i4>
      </vt:variant>
      <vt:variant>
        <vt:lpwstr/>
      </vt:variant>
      <vt:variant>
        <vt:lpwstr>_Toc322596455</vt:lpwstr>
      </vt:variant>
      <vt:variant>
        <vt:i4>1245244</vt:i4>
      </vt:variant>
      <vt:variant>
        <vt:i4>14</vt:i4>
      </vt:variant>
      <vt:variant>
        <vt:i4>0</vt:i4>
      </vt:variant>
      <vt:variant>
        <vt:i4>5</vt:i4>
      </vt:variant>
      <vt:variant>
        <vt:lpwstr/>
      </vt:variant>
      <vt:variant>
        <vt:lpwstr>_Toc322596454</vt:lpwstr>
      </vt:variant>
      <vt:variant>
        <vt:i4>1245244</vt:i4>
      </vt:variant>
      <vt:variant>
        <vt:i4>8</vt:i4>
      </vt:variant>
      <vt:variant>
        <vt:i4>0</vt:i4>
      </vt:variant>
      <vt:variant>
        <vt:i4>5</vt:i4>
      </vt:variant>
      <vt:variant>
        <vt:lpwstr/>
      </vt:variant>
      <vt:variant>
        <vt:lpwstr>_Toc322596453</vt:lpwstr>
      </vt:variant>
      <vt:variant>
        <vt:i4>1245244</vt:i4>
      </vt:variant>
      <vt:variant>
        <vt:i4>2</vt:i4>
      </vt:variant>
      <vt:variant>
        <vt:i4>0</vt:i4>
      </vt:variant>
      <vt:variant>
        <vt:i4>5</vt:i4>
      </vt:variant>
      <vt:variant>
        <vt:lpwstr/>
      </vt:variant>
      <vt:variant>
        <vt:lpwstr>_Toc322596452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AER</dc:creator>
  <cp:keywords/>
  <cp:lastModifiedBy>Moffitt, Shannon</cp:lastModifiedBy>
  <cp:revision>4</cp:revision>
  <cp:lastPrinted>2014-03-31T01:33:00Z</cp:lastPrinted>
  <dcterms:created xsi:type="dcterms:W3CDTF">2014-03-31T01:14:00Z</dcterms:created>
  <dcterms:modified xsi:type="dcterms:W3CDTF">2014-03-31T01:33:00Z</dcterms:modified>
</cp:coreProperties>
</file>