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Default="008E5C0C" w:rsidP="008E5C0C">
      <w:pPr>
        <w:jc w:val="right"/>
      </w:pPr>
      <w:r>
        <w:rPr>
          <w:noProof/>
          <w:lang w:eastAsia="en-AU"/>
        </w:rPr>
        <w:drawing>
          <wp:inline distT="0" distB="0" distL="0" distR="0">
            <wp:extent cx="1847850" cy="400050"/>
            <wp:effectExtent l="0" t="0" r="0" b="0"/>
            <wp:docPr id="1" name="Picture 1" descr="AER_A4-letterhead_Adela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_A4-letterhead_Adela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77" b="63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0C" w:rsidRDefault="008E5C0C" w:rsidP="008E5C0C">
      <w:pPr>
        <w:jc w:val="right"/>
      </w:pPr>
    </w:p>
    <w:p w:rsidR="008E5C0C" w:rsidRDefault="00566D4E" w:rsidP="008E5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Forum Attendees</w:t>
      </w:r>
    </w:p>
    <w:p w:rsidR="008E5C0C" w:rsidRDefault="008E5C0C" w:rsidP="008E5C0C">
      <w:pPr>
        <w:spacing w:before="0"/>
        <w:jc w:val="center"/>
        <w:rPr>
          <w:b/>
          <w:sz w:val="28"/>
          <w:szCs w:val="28"/>
        </w:rPr>
      </w:pPr>
    </w:p>
    <w:p w:rsidR="008E5C0C" w:rsidRPr="008E5C0C" w:rsidRDefault="008E5C0C" w:rsidP="008E5C0C">
      <w:pPr>
        <w:spacing w:before="0"/>
        <w:ind w:left="1440" w:hanging="1440"/>
        <w:rPr>
          <w:sz w:val="24"/>
          <w:szCs w:val="24"/>
        </w:rPr>
      </w:pPr>
      <w:r w:rsidRPr="008E5C0C">
        <w:rPr>
          <w:b/>
          <w:sz w:val="24"/>
          <w:szCs w:val="24"/>
        </w:rPr>
        <w:t>Meeting:</w:t>
      </w:r>
      <w:r w:rsidRPr="008E5C0C">
        <w:rPr>
          <w:sz w:val="24"/>
          <w:szCs w:val="24"/>
        </w:rPr>
        <w:t xml:space="preserve"> </w:t>
      </w:r>
      <w:r w:rsidRPr="008E5C0C">
        <w:rPr>
          <w:sz w:val="24"/>
          <w:szCs w:val="24"/>
        </w:rPr>
        <w:tab/>
      </w:r>
      <w:r w:rsidR="00FE1033">
        <w:rPr>
          <w:sz w:val="24"/>
          <w:szCs w:val="24"/>
        </w:rPr>
        <w:t xml:space="preserve">AER draft decision on </w:t>
      </w:r>
      <w:r w:rsidR="00F71064">
        <w:rPr>
          <w:sz w:val="24"/>
          <w:szCs w:val="24"/>
        </w:rPr>
        <w:t>Powerlink</w:t>
      </w:r>
      <w:r w:rsidR="00FE1033">
        <w:rPr>
          <w:sz w:val="24"/>
          <w:szCs w:val="24"/>
        </w:rPr>
        <w:t xml:space="preserve"> transmission revenue proposal for 2017–22</w:t>
      </w:r>
      <w:r w:rsidR="00FD14D1">
        <w:rPr>
          <w:sz w:val="24"/>
          <w:szCs w:val="24"/>
        </w:rPr>
        <w:t xml:space="preserve"> </w:t>
      </w:r>
      <w:r w:rsidR="001E1A49">
        <w:rPr>
          <w:sz w:val="24"/>
          <w:szCs w:val="24"/>
        </w:rPr>
        <w:t>– Public forum</w:t>
      </w:r>
    </w:p>
    <w:p w:rsidR="008E5C0C" w:rsidRPr="008E5C0C" w:rsidRDefault="008E5C0C" w:rsidP="008E5C0C">
      <w:pPr>
        <w:spacing w:before="0"/>
        <w:rPr>
          <w:sz w:val="24"/>
          <w:szCs w:val="24"/>
        </w:rPr>
      </w:pPr>
    </w:p>
    <w:p w:rsidR="005A47BD" w:rsidRDefault="008E5C0C" w:rsidP="008E5C0C">
      <w:pPr>
        <w:spacing w:before="0"/>
        <w:rPr>
          <w:sz w:val="24"/>
          <w:szCs w:val="24"/>
        </w:rPr>
      </w:pPr>
      <w:r w:rsidRPr="008E5C0C">
        <w:rPr>
          <w:b/>
          <w:sz w:val="24"/>
          <w:szCs w:val="24"/>
        </w:rPr>
        <w:t>Location:</w:t>
      </w:r>
      <w:r w:rsidR="007B5D9D">
        <w:rPr>
          <w:sz w:val="24"/>
          <w:szCs w:val="24"/>
        </w:rPr>
        <w:t xml:space="preserve"> </w:t>
      </w:r>
      <w:r w:rsidR="007B5D9D">
        <w:rPr>
          <w:sz w:val="24"/>
          <w:szCs w:val="24"/>
        </w:rPr>
        <w:tab/>
      </w:r>
      <w:r w:rsidR="00FE1033">
        <w:rPr>
          <w:sz w:val="24"/>
          <w:szCs w:val="24"/>
        </w:rPr>
        <w:t>Australian Energy Regulator</w:t>
      </w:r>
      <w:r w:rsidR="005A47BD">
        <w:rPr>
          <w:sz w:val="24"/>
          <w:szCs w:val="24"/>
        </w:rPr>
        <w:t xml:space="preserve">, Level 24, </w:t>
      </w:r>
    </w:p>
    <w:p w:rsidR="00FE1033" w:rsidRDefault="005A47BD" w:rsidP="005A47BD">
      <w:pPr>
        <w:spacing w:before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400 George St, Brisbane 4000</w:t>
      </w:r>
      <w:r w:rsidR="008E5C0C" w:rsidRPr="008E5C0C">
        <w:rPr>
          <w:sz w:val="24"/>
          <w:szCs w:val="24"/>
        </w:rPr>
        <w:tab/>
      </w:r>
    </w:p>
    <w:p w:rsidR="00FD4A4B" w:rsidRPr="008E5C0C" w:rsidRDefault="00FD4A4B" w:rsidP="00FD4A4B">
      <w:pPr>
        <w:spacing w:before="0"/>
        <w:rPr>
          <w:sz w:val="24"/>
          <w:szCs w:val="24"/>
        </w:rPr>
      </w:pPr>
    </w:p>
    <w:p w:rsidR="008E5C0C" w:rsidRPr="008E5C0C" w:rsidRDefault="008E5C0C" w:rsidP="008E5C0C">
      <w:pPr>
        <w:spacing w:before="0"/>
        <w:rPr>
          <w:sz w:val="24"/>
          <w:szCs w:val="24"/>
        </w:rPr>
      </w:pPr>
      <w:r w:rsidRPr="008E5C0C">
        <w:rPr>
          <w:b/>
          <w:sz w:val="24"/>
          <w:szCs w:val="24"/>
        </w:rPr>
        <w:t>Date:</w:t>
      </w:r>
      <w:r w:rsidRPr="008E5C0C">
        <w:rPr>
          <w:b/>
          <w:sz w:val="24"/>
          <w:szCs w:val="24"/>
        </w:rPr>
        <w:tab/>
      </w:r>
      <w:r w:rsidRPr="008E5C0C">
        <w:rPr>
          <w:sz w:val="24"/>
          <w:szCs w:val="24"/>
        </w:rPr>
        <w:tab/>
      </w:r>
      <w:r w:rsidR="00A72353">
        <w:rPr>
          <w:sz w:val="24"/>
          <w:szCs w:val="24"/>
        </w:rPr>
        <w:t>Wednesday 19 October</w:t>
      </w:r>
      <w:r w:rsidR="00FE1033">
        <w:rPr>
          <w:sz w:val="24"/>
          <w:szCs w:val="24"/>
        </w:rPr>
        <w:t xml:space="preserve"> 2016</w:t>
      </w:r>
      <w:r w:rsidRPr="008E5C0C">
        <w:rPr>
          <w:sz w:val="24"/>
          <w:szCs w:val="24"/>
        </w:rPr>
        <w:t xml:space="preserve">, </w:t>
      </w:r>
      <w:r w:rsidR="008419AE">
        <w:rPr>
          <w:sz w:val="24"/>
          <w:szCs w:val="24"/>
        </w:rPr>
        <w:t>9.</w:t>
      </w:r>
      <w:r w:rsidR="00A77588">
        <w:rPr>
          <w:sz w:val="24"/>
          <w:szCs w:val="24"/>
        </w:rPr>
        <w:t>3</w:t>
      </w:r>
      <w:r w:rsidR="00FE1033">
        <w:rPr>
          <w:sz w:val="24"/>
          <w:szCs w:val="24"/>
        </w:rPr>
        <w:t>0</w:t>
      </w:r>
      <w:r w:rsidR="00A9423E">
        <w:rPr>
          <w:sz w:val="24"/>
          <w:szCs w:val="24"/>
        </w:rPr>
        <w:t xml:space="preserve">am </w:t>
      </w:r>
      <w:r w:rsidR="008419AE">
        <w:rPr>
          <w:sz w:val="24"/>
          <w:szCs w:val="24"/>
        </w:rPr>
        <w:t>-</w:t>
      </w:r>
      <w:r w:rsidR="00A9423E">
        <w:rPr>
          <w:sz w:val="24"/>
          <w:szCs w:val="24"/>
        </w:rPr>
        <w:t xml:space="preserve"> </w:t>
      </w:r>
      <w:r w:rsidR="00FE1033">
        <w:rPr>
          <w:sz w:val="24"/>
          <w:szCs w:val="24"/>
        </w:rPr>
        <w:t>1</w:t>
      </w:r>
      <w:r w:rsidR="00A9423E">
        <w:rPr>
          <w:sz w:val="24"/>
          <w:szCs w:val="24"/>
        </w:rPr>
        <w:t>2.00</w:t>
      </w:r>
      <w:r w:rsidR="007B5D9D">
        <w:rPr>
          <w:sz w:val="24"/>
          <w:szCs w:val="24"/>
        </w:rPr>
        <w:t>pm</w:t>
      </w:r>
    </w:p>
    <w:p w:rsidR="008E5C0C" w:rsidRDefault="008E5C0C" w:rsidP="008E5C0C">
      <w:pPr>
        <w:spacing w:before="0"/>
        <w:rPr>
          <w:sz w:val="28"/>
          <w:szCs w:val="28"/>
        </w:rPr>
      </w:pPr>
    </w:p>
    <w:p w:rsidR="008E5C0C" w:rsidRPr="008E5C0C" w:rsidRDefault="008E5C0C" w:rsidP="008E5C0C">
      <w:pPr>
        <w:spacing w:before="0"/>
        <w:jc w:val="center"/>
        <w:rPr>
          <w:b/>
          <w:sz w:val="24"/>
          <w:szCs w:val="24"/>
        </w:rPr>
      </w:pPr>
    </w:p>
    <w:p w:rsidR="008E5C0C" w:rsidRPr="008E5C0C" w:rsidRDefault="008E5C0C" w:rsidP="001E1A49">
      <w:pPr>
        <w:spacing w:before="0"/>
        <w:rPr>
          <w:b/>
          <w:sz w:val="28"/>
          <w:szCs w:val="28"/>
        </w:rPr>
      </w:pPr>
    </w:p>
    <w:tbl>
      <w:tblPr>
        <w:tblStyle w:val="TableGrid"/>
        <w:tblW w:w="7825" w:type="dxa"/>
        <w:tblLook w:val="04A0" w:firstRow="1" w:lastRow="0" w:firstColumn="1" w:lastColumn="0" w:noHBand="0" w:noVBand="1"/>
      </w:tblPr>
      <w:tblGrid>
        <w:gridCol w:w="3119"/>
        <w:gridCol w:w="4706"/>
      </w:tblGrid>
      <w:tr w:rsidR="00566D4E" w:rsidTr="00566D4E">
        <w:trPr>
          <w:tblHeader/>
        </w:trPr>
        <w:tc>
          <w:tcPr>
            <w:tcW w:w="3119" w:type="dxa"/>
          </w:tcPr>
          <w:p w:rsidR="00566D4E" w:rsidRPr="008E5C0C" w:rsidRDefault="00566D4E" w:rsidP="00566D4E">
            <w:pPr>
              <w:rPr>
                <w:b/>
                <w:sz w:val="24"/>
                <w:szCs w:val="24"/>
              </w:rPr>
            </w:pPr>
            <w:r w:rsidRPr="008E5C0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706" w:type="dxa"/>
          </w:tcPr>
          <w:p w:rsidR="00566D4E" w:rsidRPr="008E5C0C" w:rsidRDefault="00566D4E" w:rsidP="00566D4E">
            <w:pPr>
              <w:rPr>
                <w:b/>
                <w:sz w:val="24"/>
                <w:szCs w:val="24"/>
              </w:rPr>
            </w:pPr>
            <w:r w:rsidRPr="008E5C0C">
              <w:rPr>
                <w:b/>
                <w:sz w:val="24"/>
                <w:szCs w:val="24"/>
              </w:rPr>
              <w:t>Organisation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>James Cox</w:t>
            </w:r>
          </w:p>
        </w:tc>
        <w:tc>
          <w:tcPr>
            <w:tcW w:w="4706" w:type="dxa"/>
          </w:tcPr>
          <w:p w:rsidR="00566D4E" w:rsidRDefault="00566D4E" w:rsidP="00566D4E">
            <w:r>
              <w:t>AER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>Moston Neck</w:t>
            </w:r>
          </w:p>
        </w:tc>
        <w:tc>
          <w:tcPr>
            <w:tcW w:w="4706" w:type="dxa"/>
          </w:tcPr>
          <w:p w:rsidR="00566D4E" w:rsidRDefault="00566D4E" w:rsidP="00566D4E">
            <w:r>
              <w:t>AER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 xml:space="preserve">Georgina </w:t>
            </w:r>
            <w:proofErr w:type="spellStart"/>
            <w:r w:rsidRPr="002D4E61">
              <w:t>Duas</w:t>
            </w:r>
            <w:proofErr w:type="spellEnd"/>
          </w:p>
        </w:tc>
        <w:tc>
          <w:tcPr>
            <w:tcW w:w="4706" w:type="dxa"/>
          </w:tcPr>
          <w:p w:rsidR="00566D4E" w:rsidRDefault="00566D4E" w:rsidP="00566D4E">
            <w:r>
              <w:t>Qld Farmers’ Federation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>Claire Tune</w:t>
            </w:r>
          </w:p>
        </w:tc>
        <w:tc>
          <w:tcPr>
            <w:tcW w:w="4706" w:type="dxa"/>
          </w:tcPr>
          <w:p w:rsidR="00566D4E" w:rsidRDefault="00566D4E" w:rsidP="00566D4E">
            <w:r>
              <w:t xml:space="preserve">Qld Department of Energy and Water </w:t>
            </w:r>
          </w:p>
        </w:tc>
      </w:tr>
      <w:tr w:rsidR="00566D4E" w:rsidTr="00566D4E">
        <w:tc>
          <w:tcPr>
            <w:tcW w:w="3119" w:type="dxa"/>
          </w:tcPr>
          <w:p w:rsidR="00566D4E" w:rsidRPr="009A3C5A" w:rsidRDefault="00566D4E" w:rsidP="00566D4E">
            <w:r>
              <w:t xml:space="preserve">Garry </w:t>
            </w:r>
            <w:proofErr w:type="spellStart"/>
            <w:r w:rsidRPr="002D4E61">
              <w:t>Mulhain</w:t>
            </w:r>
            <w:proofErr w:type="spellEnd"/>
          </w:p>
        </w:tc>
        <w:tc>
          <w:tcPr>
            <w:tcW w:w="4706" w:type="dxa"/>
          </w:tcPr>
          <w:p w:rsidR="00566D4E" w:rsidRDefault="00566D4E" w:rsidP="00566D4E">
            <w:r>
              <w:t>Powerlink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>Dan Martin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University of Qld</w:t>
            </w:r>
          </w:p>
        </w:tc>
      </w:tr>
      <w:tr w:rsidR="00566D4E" w:rsidTr="00566D4E">
        <w:tc>
          <w:tcPr>
            <w:tcW w:w="3119" w:type="dxa"/>
          </w:tcPr>
          <w:p w:rsidR="00566D4E" w:rsidRDefault="00566D4E" w:rsidP="00566D4E">
            <w:r>
              <w:t>Henry Wattenberg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Brisbane City Council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proofErr w:type="spellStart"/>
            <w:r>
              <w:t>Merryn</w:t>
            </w:r>
            <w:proofErr w:type="spellEnd"/>
            <w:r>
              <w:t xml:space="preserve"> York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Powerlink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>Jenny Harris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Powerlink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 xml:space="preserve">Thomas </w:t>
            </w:r>
            <w:proofErr w:type="spellStart"/>
            <w:r w:rsidRPr="002D4E61">
              <w:t>Smolkee</w:t>
            </w:r>
            <w:proofErr w:type="spellEnd"/>
          </w:p>
        </w:tc>
        <w:tc>
          <w:tcPr>
            <w:tcW w:w="4706" w:type="dxa"/>
          </w:tcPr>
          <w:p w:rsidR="00566D4E" w:rsidRPr="00CF6B59" w:rsidRDefault="00566D4E" w:rsidP="00566D4E">
            <w:proofErr w:type="spellStart"/>
            <w:r w:rsidRPr="002D4E61">
              <w:t>Reinhavon</w:t>
            </w:r>
            <w:proofErr w:type="spellEnd"/>
            <w:r>
              <w:t xml:space="preserve"> Australia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 xml:space="preserve">Mark </w:t>
            </w:r>
            <w:proofErr w:type="spellStart"/>
            <w:r>
              <w:t>Grenning</w:t>
            </w:r>
            <w:proofErr w:type="spellEnd"/>
          </w:p>
        </w:tc>
        <w:tc>
          <w:tcPr>
            <w:tcW w:w="4706" w:type="dxa"/>
          </w:tcPr>
          <w:p w:rsidR="00566D4E" w:rsidRPr="00CF6B59" w:rsidRDefault="00566D4E" w:rsidP="00951B2C">
            <w:r>
              <w:t>Energy Users’ Association of Australia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>Rimu Nelson</w:t>
            </w:r>
            <w:bookmarkStart w:id="0" w:name="_GoBack"/>
            <w:bookmarkEnd w:id="0"/>
          </w:p>
        </w:tc>
        <w:tc>
          <w:tcPr>
            <w:tcW w:w="4706" w:type="dxa"/>
          </w:tcPr>
          <w:p w:rsidR="00566D4E" w:rsidRPr="00CF6B59" w:rsidRDefault="00566D4E" w:rsidP="00566D4E">
            <w:r>
              <w:t>Qld Treasury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>Gerard Reilly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Powerlink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>Lynne Gallagher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Energy Consumers’ Australia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566D4E" w:rsidP="00566D4E">
            <w:r>
              <w:t>Hugh Grant</w:t>
            </w:r>
          </w:p>
        </w:tc>
        <w:tc>
          <w:tcPr>
            <w:tcW w:w="4706" w:type="dxa"/>
          </w:tcPr>
          <w:p w:rsidR="00566D4E" w:rsidRPr="00CF6B59" w:rsidRDefault="00566D4E" w:rsidP="00566D4E">
            <w:r>
              <w:t>AER Consumer Challenge Panel</w:t>
            </w:r>
          </w:p>
        </w:tc>
      </w:tr>
      <w:tr w:rsidR="00566D4E" w:rsidTr="00566D4E">
        <w:tc>
          <w:tcPr>
            <w:tcW w:w="3119" w:type="dxa"/>
          </w:tcPr>
          <w:p w:rsidR="00566D4E" w:rsidRPr="00160D25" w:rsidRDefault="00951B2C" w:rsidP="00566D4E">
            <w:r>
              <w:t>David Headberry</w:t>
            </w:r>
          </w:p>
        </w:tc>
        <w:tc>
          <w:tcPr>
            <w:tcW w:w="4706" w:type="dxa"/>
          </w:tcPr>
          <w:p w:rsidR="00566D4E" w:rsidRPr="007923ED" w:rsidRDefault="00951B2C" w:rsidP="00566D4E">
            <w:r>
              <w:t>AER Consumer Challenge Panel</w:t>
            </w:r>
          </w:p>
        </w:tc>
      </w:tr>
      <w:tr w:rsidR="00566D4E" w:rsidTr="00566D4E">
        <w:tc>
          <w:tcPr>
            <w:tcW w:w="3119" w:type="dxa"/>
          </w:tcPr>
          <w:p w:rsidR="00566D4E" w:rsidRPr="00CF6B59" w:rsidRDefault="00951B2C" w:rsidP="00566D4E">
            <w:r>
              <w:t>Jo de Silva</w:t>
            </w:r>
          </w:p>
        </w:tc>
        <w:tc>
          <w:tcPr>
            <w:tcW w:w="4706" w:type="dxa"/>
          </w:tcPr>
          <w:p w:rsidR="00566D4E" w:rsidRPr="00CF6B59" w:rsidRDefault="00951B2C" w:rsidP="00566D4E">
            <w:r>
              <w:t>AER Consumer Challenge Panel</w:t>
            </w:r>
          </w:p>
        </w:tc>
      </w:tr>
      <w:tr w:rsidR="00951B2C" w:rsidTr="00566D4E">
        <w:tc>
          <w:tcPr>
            <w:tcW w:w="3119" w:type="dxa"/>
          </w:tcPr>
          <w:p w:rsidR="00951B2C" w:rsidRDefault="00951B2C" w:rsidP="00566D4E">
            <w:r>
              <w:t>Kevin Fincham</w:t>
            </w:r>
          </w:p>
        </w:tc>
        <w:tc>
          <w:tcPr>
            <w:tcW w:w="4706" w:type="dxa"/>
          </w:tcPr>
          <w:p w:rsidR="00951B2C" w:rsidRDefault="00951B2C" w:rsidP="00566D4E">
            <w:r>
              <w:t>AER</w:t>
            </w:r>
          </w:p>
        </w:tc>
      </w:tr>
      <w:tr w:rsidR="00951B2C" w:rsidTr="00566D4E">
        <w:tc>
          <w:tcPr>
            <w:tcW w:w="3119" w:type="dxa"/>
          </w:tcPr>
          <w:p w:rsidR="00951B2C" w:rsidRDefault="00951B2C" w:rsidP="00566D4E">
            <w:r>
              <w:t>Adam Young</w:t>
            </w:r>
          </w:p>
        </w:tc>
        <w:tc>
          <w:tcPr>
            <w:tcW w:w="4706" w:type="dxa"/>
          </w:tcPr>
          <w:p w:rsidR="00951B2C" w:rsidRDefault="00951B2C" w:rsidP="00566D4E">
            <w:r>
              <w:t>AER</w:t>
            </w:r>
          </w:p>
        </w:tc>
      </w:tr>
    </w:tbl>
    <w:p w:rsidR="008E5C0C" w:rsidRPr="008E5C0C" w:rsidRDefault="008E5C0C" w:rsidP="00A77588">
      <w:pPr>
        <w:rPr>
          <w:b/>
          <w:sz w:val="28"/>
          <w:szCs w:val="28"/>
        </w:rPr>
      </w:pPr>
    </w:p>
    <w:sectPr w:rsidR="008E5C0C" w:rsidRPr="008E5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9768\D16 109119  AER - Public forum sign in sheet - AER draft decision for AusNet transmission - August 2016.DOCX"/>
  </w:docVars>
  <w:rsids>
    <w:rsidRoot w:val="008E5C0C"/>
    <w:rsid w:val="00021202"/>
    <w:rsid w:val="000349DB"/>
    <w:rsid w:val="00037DF8"/>
    <w:rsid w:val="0005153E"/>
    <w:rsid w:val="00064D1C"/>
    <w:rsid w:val="00073F8E"/>
    <w:rsid w:val="00087290"/>
    <w:rsid w:val="000E1819"/>
    <w:rsid w:val="000E6C72"/>
    <w:rsid w:val="000F164B"/>
    <w:rsid w:val="00124609"/>
    <w:rsid w:val="001573E4"/>
    <w:rsid w:val="00160D25"/>
    <w:rsid w:val="0019086B"/>
    <w:rsid w:val="001D4247"/>
    <w:rsid w:val="001D6DD9"/>
    <w:rsid w:val="001E1A49"/>
    <w:rsid w:val="00220F53"/>
    <w:rsid w:val="00251745"/>
    <w:rsid w:val="00283D02"/>
    <w:rsid w:val="00286874"/>
    <w:rsid w:val="002A7DEF"/>
    <w:rsid w:val="002C5833"/>
    <w:rsid w:val="002D4E61"/>
    <w:rsid w:val="00307F6D"/>
    <w:rsid w:val="003518B3"/>
    <w:rsid w:val="004819CF"/>
    <w:rsid w:val="004A2662"/>
    <w:rsid w:val="00515441"/>
    <w:rsid w:val="00532467"/>
    <w:rsid w:val="00564A4D"/>
    <w:rsid w:val="00566D4E"/>
    <w:rsid w:val="005A47BD"/>
    <w:rsid w:val="005B3DA7"/>
    <w:rsid w:val="00632D6D"/>
    <w:rsid w:val="006849A0"/>
    <w:rsid w:val="006A6B57"/>
    <w:rsid w:val="007303C3"/>
    <w:rsid w:val="00763E5D"/>
    <w:rsid w:val="00777EE6"/>
    <w:rsid w:val="007923ED"/>
    <w:rsid w:val="00796018"/>
    <w:rsid w:val="007B5D9D"/>
    <w:rsid w:val="007C1C53"/>
    <w:rsid w:val="00815E9A"/>
    <w:rsid w:val="008419AE"/>
    <w:rsid w:val="00851209"/>
    <w:rsid w:val="00883694"/>
    <w:rsid w:val="008E5C0C"/>
    <w:rsid w:val="008E7031"/>
    <w:rsid w:val="0092499E"/>
    <w:rsid w:val="00951B2C"/>
    <w:rsid w:val="009603AD"/>
    <w:rsid w:val="00991DCF"/>
    <w:rsid w:val="009D7017"/>
    <w:rsid w:val="009E5E87"/>
    <w:rsid w:val="00A60A26"/>
    <w:rsid w:val="00A72353"/>
    <w:rsid w:val="00A77588"/>
    <w:rsid w:val="00A9423E"/>
    <w:rsid w:val="00B15B18"/>
    <w:rsid w:val="00BD3446"/>
    <w:rsid w:val="00BE1F1B"/>
    <w:rsid w:val="00C35461"/>
    <w:rsid w:val="00C538A9"/>
    <w:rsid w:val="00C86679"/>
    <w:rsid w:val="00CB7375"/>
    <w:rsid w:val="00CF536A"/>
    <w:rsid w:val="00D61A54"/>
    <w:rsid w:val="00D756C7"/>
    <w:rsid w:val="00DB0F93"/>
    <w:rsid w:val="00DE6D69"/>
    <w:rsid w:val="00E25B8C"/>
    <w:rsid w:val="00E349FF"/>
    <w:rsid w:val="00E67FDC"/>
    <w:rsid w:val="00E7624D"/>
    <w:rsid w:val="00EA3D42"/>
    <w:rsid w:val="00EA6B1B"/>
    <w:rsid w:val="00ED3410"/>
    <w:rsid w:val="00F64C7B"/>
    <w:rsid w:val="00F71064"/>
    <w:rsid w:val="00FD14D1"/>
    <w:rsid w:val="00FD4A4B"/>
    <w:rsid w:val="00FE0BE1"/>
    <w:rsid w:val="00FE1033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8E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D4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D4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8E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6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D4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D4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E8EC-12B5-4D0E-BF20-8D4E70BD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B0EDA3CA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Lowien, Robyn</dc:creator>
  <cp:lastModifiedBy>Pickering, Robyn</cp:lastModifiedBy>
  <cp:revision>8</cp:revision>
  <dcterms:created xsi:type="dcterms:W3CDTF">2016-10-07T03:26:00Z</dcterms:created>
  <dcterms:modified xsi:type="dcterms:W3CDTF">2016-10-20T01:05:00Z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8780011</vt:lpwstr>
  </property>
  <property fmtid="{D5CDD505-2E9C-101B-9397-08002B2CF9AE}" pid="3" name="currfile">
    <vt:lpwstr>\\cdchnas-evs02\home$\rlowi\powerlink public forum draft decision sign in sheet (D2016-00136765).docx</vt:lpwstr>
  </property>
</Properties>
</file>