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7939FF89" wp14:editId="410D2414">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bookmarkStart w:id="0" w:name="_GoBack"/>
          <w:bookmarkEnd w:id="0"/>
          <w:r w:rsidR="001D38AB">
            <w:t>FINAL</w:t>
          </w:r>
          <w:r w:rsidR="00DA4752">
            <w:t xml:space="preserve"> DECISION</w:t>
          </w:r>
        </w:p>
        <w:p w:rsidR="00415F31" w:rsidRDefault="00B9733D" w:rsidP="008F07A3">
          <w:pPr>
            <w:pStyle w:val="ReportSubtitle"/>
          </w:pPr>
          <w:r>
            <w:t>AusNet Services</w:t>
          </w:r>
          <w:r w:rsidR="00415F31">
            <w:t xml:space="preserve"> transmission </w:t>
          </w:r>
          <w:r w:rsidR="00DA4752">
            <w:t>determination</w:t>
          </w:r>
        </w:p>
        <w:p w:rsidR="000A6C7B" w:rsidRDefault="00DA4752" w:rsidP="008F07A3">
          <w:pPr>
            <w:pStyle w:val="ReportSubtitle"/>
          </w:pPr>
          <w:r>
            <w:t xml:space="preserve"> </w:t>
          </w:r>
          <w:r w:rsidRPr="009822FF">
            <w:t>201</w:t>
          </w:r>
          <w:r w:rsidR="00357283" w:rsidRPr="009822FF">
            <w:t>7</w:t>
          </w:r>
          <w:r w:rsidRPr="009822FF">
            <w:rPr>
              <w:rFonts w:cs="Arial"/>
            </w:rPr>
            <w:t>−</w:t>
          </w:r>
          <w:r w:rsidR="001D38AB">
            <w:rPr>
              <w:rFonts w:cs="Arial"/>
            </w:rPr>
            <w:t>20</w:t>
          </w:r>
          <w:r w:rsidR="00B9733D" w:rsidRPr="009822FF">
            <w:rPr>
              <w:rFonts w:cs="Arial"/>
            </w:rPr>
            <w:t>22</w:t>
          </w:r>
        </w:p>
        <w:p w:rsidR="008F07A3" w:rsidRPr="000A6C7B" w:rsidRDefault="008F07A3" w:rsidP="008F07A3">
          <w:pPr>
            <w:pStyle w:val="ReportSubtitle"/>
          </w:pPr>
        </w:p>
        <w:p w:rsidR="000A6C7B" w:rsidRPr="000A6C7B" w:rsidRDefault="00DA4752" w:rsidP="008F07A3">
          <w:pPr>
            <w:pStyle w:val="ReportSubtitle"/>
          </w:pPr>
          <w:r>
            <w:t xml:space="preserve">Attachment 1 </w:t>
          </w:r>
          <w:r w:rsidR="00415F31">
            <w:rPr>
              <w:rFonts w:cs="Arial"/>
            </w:rPr>
            <w:t>–</w:t>
          </w:r>
          <w:r>
            <w:t xml:space="preserve"> </w:t>
          </w:r>
          <w:r w:rsidR="00415F31">
            <w:t>maximum allowed revenue</w:t>
          </w:r>
        </w:p>
        <w:p w:rsidR="00B9733D" w:rsidRDefault="00B9733D" w:rsidP="00327A1E">
          <w:pPr>
            <w:pStyle w:val="ReportDate"/>
          </w:pPr>
        </w:p>
        <w:p w:rsidR="000A6C7B" w:rsidRPr="00327A1E" w:rsidRDefault="001D38AB" w:rsidP="00327A1E">
          <w:pPr>
            <w:pStyle w:val="ReportDate"/>
          </w:pPr>
          <w:r>
            <w:t>April 2017</w:t>
          </w:r>
        </w:p>
      </w:sdtContent>
    </w:sdt>
    <w:p w:rsidR="00327A1E" w:rsidRPr="00290C63" w:rsidRDefault="00327A1E" w:rsidP="00290C63">
      <w:r>
        <w:br w:type="page"/>
      </w:r>
    </w:p>
    <w:p w:rsidR="000A6C7B" w:rsidRDefault="008F07A3" w:rsidP="00961A4A">
      <w:pPr>
        <w:pStyle w:val="Copyright"/>
      </w:pPr>
      <w:r>
        <w:lastRenderedPageBreak/>
        <w:t>© Commonwealth of Australia 201</w:t>
      </w:r>
      <w:r w:rsidR="00711D0E">
        <w:t>7</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 xml:space="preserve">Tel: </w:t>
      </w:r>
      <w:r w:rsidR="00B12DD8">
        <w:t>1300 585 165</w:t>
      </w:r>
    </w:p>
    <w:p w:rsidR="00B9562D" w:rsidRDefault="000A6C7B" w:rsidP="00B9562D">
      <w:pPr>
        <w:pStyle w:val="Copyright"/>
      </w:pPr>
      <w:r>
        <w:t xml:space="preserve">Email: </w:t>
      </w:r>
      <w:hyperlink r:id="rId11" w:history="1">
        <w:r w:rsidRPr="00D2038C">
          <w:rPr>
            <w:rStyle w:val="Hyperlink"/>
            <w:sz w:val="20"/>
          </w:rPr>
          <w:t>AERInquiry@aer.gov.au</w:t>
        </w:r>
      </w:hyperlink>
      <w:r w:rsidR="00951978">
        <w:rPr>
          <w:rStyle w:val="Hyperlink"/>
        </w:rPr>
        <w:br/>
      </w:r>
    </w:p>
    <w:p w:rsidR="008F07A3" w:rsidRPr="009D3906" w:rsidRDefault="00415F31" w:rsidP="00B9562D">
      <w:pPr>
        <w:pStyle w:val="Copyright"/>
      </w:pPr>
      <w:r w:rsidRPr="009D3906">
        <w:t>AER reference:</w:t>
      </w:r>
      <w:r w:rsidRPr="009D3906">
        <w:tab/>
        <w:t>5</w:t>
      </w:r>
      <w:r w:rsidR="00711D0E">
        <w:t>6417</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80808191"/>
      <w:r>
        <w:lastRenderedPageBreak/>
        <w:t>N</w:t>
      </w:r>
      <w:r w:rsidR="008F07A3">
        <w:t>ote</w:t>
      </w:r>
      <w:bookmarkEnd w:id="1"/>
      <w:bookmarkEnd w:id="2"/>
      <w:bookmarkEnd w:id="3"/>
      <w:bookmarkEnd w:id="4"/>
      <w:bookmarkEnd w:id="5"/>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w:t>
      </w:r>
      <w:r w:rsidR="001D38AB">
        <w:t>final</w:t>
      </w:r>
      <w:r w:rsidR="00415F31">
        <w:t xml:space="preserve"> decision on </w:t>
      </w:r>
      <w:r w:rsidR="000B321F">
        <w:t>AusNet Services’</w:t>
      </w:r>
      <w:r w:rsidR="00415F31">
        <w:t xml:space="preserve"> revenue proposal 201</w:t>
      </w:r>
      <w:r w:rsidR="000B321F">
        <w:t>7</w:t>
      </w:r>
      <w:r w:rsidR="00415F31" w:rsidRPr="00D904FA">
        <w:t>–</w:t>
      </w:r>
      <w:r w:rsidR="000B321F">
        <w:t>22</w:t>
      </w:r>
      <w:r w:rsidR="00415F31">
        <w:t xml:space="preserve">. It should be read with other parts of the </w:t>
      </w:r>
      <w:r w:rsidR="001D38AB">
        <w:t>final</w:t>
      </w:r>
      <w:r w:rsidR="00415F31">
        <w:t xml:space="preserve"> decision.</w:t>
      </w:r>
    </w:p>
    <w:p w:rsidR="00415F31" w:rsidRDefault="00415F31" w:rsidP="00415F31">
      <w:pPr>
        <w:numPr>
          <w:ilvl w:val="0"/>
          <w:numId w:val="25"/>
        </w:numPr>
        <w:spacing w:before="0" w:after="240" w:line="288" w:lineRule="auto"/>
        <w:jc w:val="both"/>
      </w:pPr>
      <w:r>
        <w:t xml:space="preserve">The </w:t>
      </w:r>
      <w:r w:rsidR="001D38AB">
        <w:t>final</w:t>
      </w:r>
      <w:r>
        <w:t xml:space="preserve"> decision includes the following documents:</w:t>
      </w:r>
    </w:p>
    <w:p w:rsidR="00415F31" w:rsidRDefault="00415F31" w:rsidP="00415F31">
      <w:pPr>
        <w:numPr>
          <w:ilvl w:val="0"/>
          <w:numId w:val="25"/>
        </w:numPr>
        <w:spacing w:before="0" w:after="240" w:line="288" w:lineRule="auto"/>
        <w:jc w:val="both"/>
      </w:pPr>
      <w:r>
        <w:t>Overview</w:t>
      </w:r>
    </w:p>
    <w:p w:rsidR="00415F31" w:rsidRDefault="00415F31" w:rsidP="00415F31">
      <w:pPr>
        <w:numPr>
          <w:ilvl w:val="0"/>
          <w:numId w:val="25"/>
        </w:numPr>
        <w:spacing w:before="0" w:after="240" w:line="288" w:lineRule="auto"/>
        <w:jc w:val="both"/>
      </w:pPr>
      <w:r>
        <w:t>Attachment 1 – maximum allowed revenue</w:t>
      </w:r>
    </w:p>
    <w:p w:rsidR="00415F31" w:rsidRDefault="00415F31" w:rsidP="00415F31">
      <w:pPr>
        <w:numPr>
          <w:ilvl w:val="0"/>
          <w:numId w:val="25"/>
        </w:numPr>
        <w:spacing w:before="0" w:after="240" w:line="288" w:lineRule="auto"/>
        <w:jc w:val="both"/>
      </w:pPr>
      <w:r>
        <w:t>Attachment 2 – regulatory asset base</w:t>
      </w:r>
    </w:p>
    <w:p w:rsidR="00415F31" w:rsidRDefault="00415F31" w:rsidP="00415F31">
      <w:pPr>
        <w:numPr>
          <w:ilvl w:val="0"/>
          <w:numId w:val="25"/>
        </w:numPr>
        <w:spacing w:before="0" w:after="240" w:line="288" w:lineRule="auto"/>
        <w:jc w:val="both"/>
      </w:pPr>
      <w:r>
        <w:t>Attachment 3 – rate of return</w:t>
      </w:r>
    </w:p>
    <w:p w:rsidR="00415F31" w:rsidRDefault="00415F31" w:rsidP="00415F31">
      <w:pPr>
        <w:numPr>
          <w:ilvl w:val="0"/>
          <w:numId w:val="25"/>
        </w:numPr>
        <w:spacing w:before="0" w:after="240" w:line="288" w:lineRule="auto"/>
        <w:jc w:val="both"/>
      </w:pPr>
      <w:r>
        <w:t>Attachment 4 – value of imputation credits</w:t>
      </w:r>
    </w:p>
    <w:p w:rsidR="00415F31" w:rsidRDefault="00415F31" w:rsidP="00415F31">
      <w:pPr>
        <w:numPr>
          <w:ilvl w:val="0"/>
          <w:numId w:val="25"/>
        </w:numPr>
        <w:spacing w:before="0" w:after="240" w:line="288" w:lineRule="auto"/>
        <w:jc w:val="both"/>
      </w:pPr>
      <w:r>
        <w:t>Attachment 5 – regulatory depreciation</w:t>
      </w:r>
    </w:p>
    <w:p w:rsidR="00415F31" w:rsidRDefault="00415F31" w:rsidP="00415F31">
      <w:pPr>
        <w:numPr>
          <w:ilvl w:val="0"/>
          <w:numId w:val="25"/>
        </w:numPr>
        <w:spacing w:before="0" w:after="240" w:line="288" w:lineRule="auto"/>
        <w:jc w:val="both"/>
      </w:pPr>
      <w:r>
        <w:t xml:space="preserve">Attachment 6 – capital expenditure </w:t>
      </w:r>
    </w:p>
    <w:p w:rsidR="00415F31" w:rsidRDefault="00415F31" w:rsidP="00415F31">
      <w:pPr>
        <w:numPr>
          <w:ilvl w:val="0"/>
          <w:numId w:val="25"/>
        </w:numPr>
        <w:spacing w:before="0" w:after="240" w:line="288" w:lineRule="auto"/>
        <w:jc w:val="both"/>
      </w:pPr>
      <w:r>
        <w:t>Attachment 7 – operating expenditure</w:t>
      </w:r>
    </w:p>
    <w:p w:rsidR="00415F31" w:rsidRDefault="00415F31" w:rsidP="00415F31">
      <w:pPr>
        <w:numPr>
          <w:ilvl w:val="0"/>
          <w:numId w:val="25"/>
        </w:numPr>
        <w:spacing w:before="0" w:after="240" w:line="288" w:lineRule="auto"/>
        <w:jc w:val="both"/>
      </w:pPr>
      <w:r>
        <w:t>Attachment 8 – corporate income tax</w:t>
      </w:r>
    </w:p>
    <w:p w:rsidR="00415F31" w:rsidRDefault="00415F31" w:rsidP="00415F31">
      <w:pPr>
        <w:numPr>
          <w:ilvl w:val="0"/>
          <w:numId w:val="25"/>
        </w:numPr>
        <w:spacing w:before="0" w:after="240" w:line="288" w:lineRule="auto"/>
        <w:jc w:val="both"/>
      </w:pPr>
      <w:r>
        <w:t>Attachment 9 – efficiency benefit sharing scheme</w:t>
      </w:r>
    </w:p>
    <w:p w:rsidR="00415F31" w:rsidRDefault="00415F31" w:rsidP="00415F31">
      <w:pPr>
        <w:numPr>
          <w:ilvl w:val="0"/>
          <w:numId w:val="25"/>
        </w:numPr>
        <w:spacing w:before="0" w:after="240" w:line="288" w:lineRule="auto"/>
        <w:jc w:val="both"/>
      </w:pPr>
      <w:r>
        <w:t>Attachment 10 – capital expenditure sharing scheme</w:t>
      </w:r>
    </w:p>
    <w:p w:rsidR="00415F31" w:rsidRDefault="00415F31" w:rsidP="00415F31">
      <w:pPr>
        <w:numPr>
          <w:ilvl w:val="0"/>
          <w:numId w:val="25"/>
        </w:numPr>
        <w:spacing w:before="0" w:after="240" w:line="288" w:lineRule="auto"/>
        <w:jc w:val="both"/>
      </w:pPr>
      <w:r>
        <w:t>Attachment 11 – service target performance incentive scheme</w:t>
      </w:r>
    </w:p>
    <w:p w:rsidR="00415F31" w:rsidRPr="00D904FA" w:rsidRDefault="00415F31" w:rsidP="00415F31">
      <w:pPr>
        <w:numPr>
          <w:ilvl w:val="0"/>
          <w:numId w:val="25"/>
        </w:numPr>
        <w:spacing w:before="0" w:after="240" w:line="288" w:lineRule="auto"/>
        <w:jc w:val="both"/>
      </w:pPr>
      <w:r>
        <w:t xml:space="preserve">Attachment 12 – </w:t>
      </w:r>
      <w:r w:rsidRPr="00D904FA">
        <w:t>pricing methodology</w:t>
      </w:r>
    </w:p>
    <w:p w:rsidR="00415F31" w:rsidRPr="00D904FA" w:rsidRDefault="00415F31" w:rsidP="00415F31">
      <w:pPr>
        <w:numPr>
          <w:ilvl w:val="0"/>
          <w:numId w:val="25"/>
        </w:numPr>
        <w:spacing w:before="0" w:after="240" w:line="288" w:lineRule="auto"/>
        <w:jc w:val="both"/>
      </w:pPr>
      <w:r>
        <w:t xml:space="preserve">Attachment 13 </w:t>
      </w:r>
      <w:r w:rsidRPr="00D904FA">
        <w:t>– pass through events</w:t>
      </w:r>
    </w:p>
    <w:p w:rsidR="00415F31" w:rsidRDefault="00415F31" w:rsidP="00415F31">
      <w:r w:rsidRPr="00D904FA">
        <w:t>Attachment 14 – negotiated services</w:t>
      </w:r>
    </w:p>
    <w:p w:rsidR="008F07A3" w:rsidRPr="008F07A3" w:rsidRDefault="008F07A3" w:rsidP="00415F31">
      <w:pPr>
        <w:numPr>
          <w:ilvl w:val="0"/>
          <w:numId w:val="25"/>
        </w:numPr>
        <w:sectPr w:rsidR="008F07A3" w:rsidRPr="008F07A3" w:rsidSect="001754EE">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80808192"/>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D2038C" w:rsidRDefault="00B12DD8">
          <w:pPr>
            <w:pStyle w:val="TOC1"/>
            <w:rPr>
              <w:rFonts w:asciiTheme="minorHAnsi" w:eastAsiaTheme="minorEastAsia" w:hAnsiTheme="minorHAnsi"/>
              <w:b w:val="0"/>
              <w:color w:val="auto"/>
              <w:sz w:val="22"/>
              <w:lang w:val="en-AU" w:eastAsia="en-AU"/>
            </w:rPr>
          </w:pPr>
          <w:r>
            <w:fldChar w:fldCharType="begin"/>
          </w:r>
          <w:r>
            <w:instrText xml:space="preserve"> TOC \o "1-2" \h \z \t "Heading 3,3" </w:instrText>
          </w:r>
          <w:r>
            <w:fldChar w:fldCharType="separate"/>
          </w:r>
          <w:hyperlink w:anchor="_Toc480808191" w:history="1">
            <w:r w:rsidR="00D2038C" w:rsidRPr="00EF1BBC">
              <w:rPr>
                <w:rStyle w:val="Hyperlink"/>
              </w:rPr>
              <w:t>Note</w:t>
            </w:r>
            <w:r w:rsidR="00D2038C">
              <w:rPr>
                <w:webHidden/>
              </w:rPr>
              <w:tab/>
            </w:r>
            <w:r w:rsidR="00D2038C">
              <w:rPr>
                <w:webHidden/>
              </w:rPr>
              <w:fldChar w:fldCharType="begin"/>
            </w:r>
            <w:r w:rsidR="00D2038C">
              <w:rPr>
                <w:webHidden/>
              </w:rPr>
              <w:instrText xml:space="preserve"> PAGEREF _Toc480808191 \h </w:instrText>
            </w:r>
            <w:r w:rsidR="00D2038C">
              <w:rPr>
                <w:webHidden/>
              </w:rPr>
            </w:r>
            <w:r w:rsidR="00D2038C">
              <w:rPr>
                <w:webHidden/>
              </w:rPr>
              <w:fldChar w:fldCharType="separate"/>
            </w:r>
            <w:r w:rsidR="00D2038C">
              <w:rPr>
                <w:webHidden/>
              </w:rPr>
              <w:t>1-2</w:t>
            </w:r>
            <w:r w:rsidR="00D2038C">
              <w:rPr>
                <w:webHidden/>
              </w:rPr>
              <w:fldChar w:fldCharType="end"/>
            </w:r>
          </w:hyperlink>
        </w:p>
        <w:p w:rsidR="00D2038C" w:rsidRDefault="001B1513">
          <w:pPr>
            <w:pStyle w:val="TOC1"/>
            <w:rPr>
              <w:rFonts w:asciiTheme="minorHAnsi" w:eastAsiaTheme="minorEastAsia" w:hAnsiTheme="minorHAnsi"/>
              <w:b w:val="0"/>
              <w:color w:val="auto"/>
              <w:sz w:val="22"/>
              <w:lang w:val="en-AU" w:eastAsia="en-AU"/>
            </w:rPr>
          </w:pPr>
          <w:hyperlink w:anchor="_Toc480808192" w:history="1">
            <w:r w:rsidR="00D2038C" w:rsidRPr="00EF1BBC">
              <w:rPr>
                <w:rStyle w:val="Hyperlink"/>
              </w:rPr>
              <w:t>Contents</w:t>
            </w:r>
            <w:r w:rsidR="00D2038C">
              <w:rPr>
                <w:webHidden/>
              </w:rPr>
              <w:tab/>
            </w:r>
            <w:r w:rsidR="00D2038C">
              <w:rPr>
                <w:webHidden/>
              </w:rPr>
              <w:fldChar w:fldCharType="begin"/>
            </w:r>
            <w:r w:rsidR="00D2038C">
              <w:rPr>
                <w:webHidden/>
              </w:rPr>
              <w:instrText xml:space="preserve"> PAGEREF _Toc480808192 \h </w:instrText>
            </w:r>
            <w:r w:rsidR="00D2038C">
              <w:rPr>
                <w:webHidden/>
              </w:rPr>
            </w:r>
            <w:r w:rsidR="00D2038C">
              <w:rPr>
                <w:webHidden/>
              </w:rPr>
              <w:fldChar w:fldCharType="separate"/>
            </w:r>
            <w:r w:rsidR="00D2038C">
              <w:rPr>
                <w:webHidden/>
              </w:rPr>
              <w:t>1-3</w:t>
            </w:r>
            <w:r w:rsidR="00D2038C">
              <w:rPr>
                <w:webHidden/>
              </w:rPr>
              <w:fldChar w:fldCharType="end"/>
            </w:r>
          </w:hyperlink>
        </w:p>
        <w:p w:rsidR="00D2038C" w:rsidRDefault="001B1513">
          <w:pPr>
            <w:pStyle w:val="TOC1"/>
            <w:rPr>
              <w:rFonts w:asciiTheme="minorHAnsi" w:eastAsiaTheme="minorEastAsia" w:hAnsiTheme="minorHAnsi"/>
              <w:b w:val="0"/>
              <w:color w:val="auto"/>
              <w:sz w:val="22"/>
              <w:lang w:val="en-AU" w:eastAsia="en-AU"/>
            </w:rPr>
          </w:pPr>
          <w:hyperlink w:anchor="_Toc480808193" w:history="1">
            <w:r w:rsidR="00D2038C" w:rsidRPr="00EF1BBC">
              <w:rPr>
                <w:rStyle w:val="Hyperlink"/>
              </w:rPr>
              <w:t>Shortened forms</w:t>
            </w:r>
            <w:r w:rsidR="00D2038C">
              <w:rPr>
                <w:webHidden/>
              </w:rPr>
              <w:tab/>
            </w:r>
            <w:r w:rsidR="00D2038C">
              <w:rPr>
                <w:webHidden/>
              </w:rPr>
              <w:fldChar w:fldCharType="begin"/>
            </w:r>
            <w:r w:rsidR="00D2038C">
              <w:rPr>
                <w:webHidden/>
              </w:rPr>
              <w:instrText xml:space="preserve"> PAGEREF _Toc480808193 \h </w:instrText>
            </w:r>
            <w:r w:rsidR="00D2038C">
              <w:rPr>
                <w:webHidden/>
              </w:rPr>
            </w:r>
            <w:r w:rsidR="00D2038C">
              <w:rPr>
                <w:webHidden/>
              </w:rPr>
              <w:fldChar w:fldCharType="separate"/>
            </w:r>
            <w:r w:rsidR="00D2038C">
              <w:rPr>
                <w:webHidden/>
              </w:rPr>
              <w:t>1-4</w:t>
            </w:r>
            <w:r w:rsidR="00D2038C">
              <w:rPr>
                <w:webHidden/>
              </w:rPr>
              <w:fldChar w:fldCharType="end"/>
            </w:r>
          </w:hyperlink>
        </w:p>
        <w:p w:rsidR="00D2038C" w:rsidRDefault="001B1513">
          <w:pPr>
            <w:pStyle w:val="TOC1"/>
            <w:rPr>
              <w:rFonts w:asciiTheme="minorHAnsi" w:eastAsiaTheme="minorEastAsia" w:hAnsiTheme="minorHAnsi"/>
              <w:b w:val="0"/>
              <w:color w:val="auto"/>
              <w:sz w:val="22"/>
              <w:lang w:val="en-AU" w:eastAsia="en-AU"/>
            </w:rPr>
          </w:pPr>
          <w:hyperlink w:anchor="_Toc480808194" w:history="1">
            <w:r w:rsidR="00D2038C" w:rsidRPr="00EF1BBC">
              <w:rPr>
                <w:rStyle w:val="Hyperlink"/>
              </w:rPr>
              <w:t>1</w:t>
            </w:r>
            <w:r w:rsidR="00D2038C">
              <w:rPr>
                <w:rFonts w:asciiTheme="minorHAnsi" w:eastAsiaTheme="minorEastAsia" w:hAnsiTheme="minorHAnsi"/>
                <w:b w:val="0"/>
                <w:color w:val="auto"/>
                <w:sz w:val="22"/>
                <w:lang w:val="en-AU" w:eastAsia="en-AU"/>
              </w:rPr>
              <w:tab/>
            </w:r>
            <w:r w:rsidR="00D2038C" w:rsidRPr="00EF1BBC">
              <w:rPr>
                <w:rStyle w:val="Hyperlink"/>
              </w:rPr>
              <w:t>Maximum allowed revenue</w:t>
            </w:r>
            <w:r w:rsidR="00D2038C">
              <w:rPr>
                <w:webHidden/>
              </w:rPr>
              <w:tab/>
            </w:r>
            <w:r w:rsidR="00D2038C">
              <w:rPr>
                <w:webHidden/>
              </w:rPr>
              <w:fldChar w:fldCharType="begin"/>
            </w:r>
            <w:r w:rsidR="00D2038C">
              <w:rPr>
                <w:webHidden/>
              </w:rPr>
              <w:instrText xml:space="preserve"> PAGEREF _Toc480808194 \h </w:instrText>
            </w:r>
            <w:r w:rsidR="00D2038C">
              <w:rPr>
                <w:webHidden/>
              </w:rPr>
            </w:r>
            <w:r w:rsidR="00D2038C">
              <w:rPr>
                <w:webHidden/>
              </w:rPr>
              <w:fldChar w:fldCharType="separate"/>
            </w:r>
            <w:r w:rsidR="00D2038C">
              <w:rPr>
                <w:webHidden/>
              </w:rPr>
              <w:t>1-6</w:t>
            </w:r>
            <w:r w:rsidR="00D2038C">
              <w:rPr>
                <w:webHidden/>
              </w:rPr>
              <w:fldChar w:fldCharType="end"/>
            </w:r>
          </w:hyperlink>
        </w:p>
        <w:p w:rsidR="00D2038C" w:rsidRDefault="001B1513">
          <w:pPr>
            <w:pStyle w:val="TOC2"/>
            <w:rPr>
              <w:rFonts w:asciiTheme="minorHAnsi" w:eastAsiaTheme="minorEastAsia" w:hAnsiTheme="minorHAnsi"/>
              <w:b w:val="0"/>
              <w:color w:val="auto"/>
              <w:sz w:val="22"/>
              <w:lang w:eastAsia="en-AU"/>
            </w:rPr>
          </w:pPr>
          <w:hyperlink w:anchor="_Toc480808195" w:history="1">
            <w:r w:rsidR="00D2038C" w:rsidRPr="00EF1BBC">
              <w:rPr>
                <w:rStyle w:val="Hyperlink"/>
              </w:rPr>
              <w:t>1.1</w:t>
            </w:r>
            <w:r w:rsidR="00D2038C">
              <w:rPr>
                <w:rFonts w:asciiTheme="minorHAnsi" w:eastAsiaTheme="minorEastAsia" w:hAnsiTheme="minorHAnsi"/>
                <w:b w:val="0"/>
                <w:color w:val="auto"/>
                <w:sz w:val="22"/>
                <w:lang w:eastAsia="en-AU"/>
              </w:rPr>
              <w:tab/>
            </w:r>
            <w:r w:rsidR="00D2038C" w:rsidRPr="00EF1BBC">
              <w:rPr>
                <w:rStyle w:val="Hyperlink"/>
              </w:rPr>
              <w:t>Final decision</w:t>
            </w:r>
            <w:r w:rsidR="00D2038C">
              <w:rPr>
                <w:webHidden/>
              </w:rPr>
              <w:tab/>
            </w:r>
            <w:r w:rsidR="00D2038C">
              <w:rPr>
                <w:webHidden/>
              </w:rPr>
              <w:fldChar w:fldCharType="begin"/>
            </w:r>
            <w:r w:rsidR="00D2038C">
              <w:rPr>
                <w:webHidden/>
              </w:rPr>
              <w:instrText xml:space="preserve"> PAGEREF _Toc480808195 \h </w:instrText>
            </w:r>
            <w:r w:rsidR="00D2038C">
              <w:rPr>
                <w:webHidden/>
              </w:rPr>
            </w:r>
            <w:r w:rsidR="00D2038C">
              <w:rPr>
                <w:webHidden/>
              </w:rPr>
              <w:fldChar w:fldCharType="separate"/>
            </w:r>
            <w:r w:rsidR="00D2038C">
              <w:rPr>
                <w:webHidden/>
              </w:rPr>
              <w:t>1-6</w:t>
            </w:r>
            <w:r w:rsidR="00D2038C">
              <w:rPr>
                <w:webHidden/>
              </w:rPr>
              <w:fldChar w:fldCharType="end"/>
            </w:r>
          </w:hyperlink>
        </w:p>
        <w:p w:rsidR="00D2038C" w:rsidRDefault="001B1513">
          <w:pPr>
            <w:pStyle w:val="TOC2"/>
            <w:rPr>
              <w:rFonts w:asciiTheme="minorHAnsi" w:eastAsiaTheme="minorEastAsia" w:hAnsiTheme="minorHAnsi"/>
              <w:b w:val="0"/>
              <w:color w:val="auto"/>
              <w:sz w:val="22"/>
              <w:lang w:eastAsia="en-AU"/>
            </w:rPr>
          </w:pPr>
          <w:hyperlink w:anchor="_Toc480808196" w:history="1">
            <w:r w:rsidR="00D2038C" w:rsidRPr="00EF1BBC">
              <w:rPr>
                <w:rStyle w:val="Hyperlink"/>
              </w:rPr>
              <w:t>1.2</w:t>
            </w:r>
            <w:r w:rsidR="00D2038C">
              <w:rPr>
                <w:rFonts w:asciiTheme="minorHAnsi" w:eastAsiaTheme="minorEastAsia" w:hAnsiTheme="minorHAnsi"/>
                <w:b w:val="0"/>
                <w:color w:val="auto"/>
                <w:sz w:val="22"/>
                <w:lang w:eastAsia="en-AU"/>
              </w:rPr>
              <w:tab/>
            </w:r>
            <w:r w:rsidR="00D2038C" w:rsidRPr="00EF1BBC">
              <w:rPr>
                <w:rStyle w:val="Hyperlink"/>
              </w:rPr>
              <w:t>AusNet Services’ revised proposal</w:t>
            </w:r>
            <w:r w:rsidR="00D2038C">
              <w:rPr>
                <w:webHidden/>
              </w:rPr>
              <w:tab/>
            </w:r>
            <w:r w:rsidR="00D2038C">
              <w:rPr>
                <w:webHidden/>
              </w:rPr>
              <w:fldChar w:fldCharType="begin"/>
            </w:r>
            <w:r w:rsidR="00D2038C">
              <w:rPr>
                <w:webHidden/>
              </w:rPr>
              <w:instrText xml:space="preserve"> PAGEREF _Toc480808196 \h </w:instrText>
            </w:r>
            <w:r w:rsidR="00D2038C">
              <w:rPr>
                <w:webHidden/>
              </w:rPr>
            </w:r>
            <w:r w:rsidR="00D2038C">
              <w:rPr>
                <w:webHidden/>
              </w:rPr>
              <w:fldChar w:fldCharType="separate"/>
            </w:r>
            <w:r w:rsidR="00D2038C">
              <w:rPr>
                <w:webHidden/>
              </w:rPr>
              <w:t>1-7</w:t>
            </w:r>
            <w:r w:rsidR="00D2038C">
              <w:rPr>
                <w:webHidden/>
              </w:rPr>
              <w:fldChar w:fldCharType="end"/>
            </w:r>
          </w:hyperlink>
        </w:p>
        <w:p w:rsidR="00D2038C" w:rsidRDefault="001B1513">
          <w:pPr>
            <w:pStyle w:val="TOC2"/>
            <w:rPr>
              <w:rFonts w:asciiTheme="minorHAnsi" w:eastAsiaTheme="minorEastAsia" w:hAnsiTheme="minorHAnsi"/>
              <w:b w:val="0"/>
              <w:color w:val="auto"/>
              <w:sz w:val="22"/>
              <w:lang w:eastAsia="en-AU"/>
            </w:rPr>
          </w:pPr>
          <w:hyperlink w:anchor="_Toc480808197" w:history="1">
            <w:r w:rsidR="00D2038C" w:rsidRPr="00EF1BBC">
              <w:rPr>
                <w:rStyle w:val="Hyperlink"/>
              </w:rPr>
              <w:t>1.3</w:t>
            </w:r>
            <w:r w:rsidR="00D2038C">
              <w:rPr>
                <w:rFonts w:asciiTheme="minorHAnsi" w:eastAsiaTheme="minorEastAsia" w:hAnsiTheme="minorHAnsi"/>
                <w:b w:val="0"/>
                <w:color w:val="auto"/>
                <w:sz w:val="22"/>
                <w:lang w:eastAsia="en-AU"/>
              </w:rPr>
              <w:tab/>
            </w:r>
            <w:r w:rsidR="00D2038C" w:rsidRPr="00EF1BBC">
              <w:rPr>
                <w:rStyle w:val="Hyperlink"/>
              </w:rPr>
              <w:t>AER’s assessment approach</w:t>
            </w:r>
            <w:r w:rsidR="00D2038C">
              <w:rPr>
                <w:webHidden/>
              </w:rPr>
              <w:tab/>
            </w:r>
            <w:r w:rsidR="00D2038C">
              <w:rPr>
                <w:webHidden/>
              </w:rPr>
              <w:fldChar w:fldCharType="begin"/>
            </w:r>
            <w:r w:rsidR="00D2038C">
              <w:rPr>
                <w:webHidden/>
              </w:rPr>
              <w:instrText xml:space="preserve"> PAGEREF _Toc480808197 \h </w:instrText>
            </w:r>
            <w:r w:rsidR="00D2038C">
              <w:rPr>
                <w:webHidden/>
              </w:rPr>
            </w:r>
            <w:r w:rsidR="00D2038C">
              <w:rPr>
                <w:webHidden/>
              </w:rPr>
              <w:fldChar w:fldCharType="separate"/>
            </w:r>
            <w:r w:rsidR="00D2038C">
              <w:rPr>
                <w:webHidden/>
              </w:rPr>
              <w:t>1-8</w:t>
            </w:r>
            <w:r w:rsidR="00D2038C">
              <w:rPr>
                <w:webHidden/>
              </w:rPr>
              <w:fldChar w:fldCharType="end"/>
            </w:r>
          </w:hyperlink>
        </w:p>
        <w:p w:rsidR="00D2038C" w:rsidRDefault="001B1513">
          <w:pPr>
            <w:pStyle w:val="TOC2"/>
            <w:rPr>
              <w:rFonts w:asciiTheme="minorHAnsi" w:eastAsiaTheme="minorEastAsia" w:hAnsiTheme="minorHAnsi"/>
              <w:b w:val="0"/>
              <w:color w:val="auto"/>
              <w:sz w:val="22"/>
              <w:lang w:eastAsia="en-AU"/>
            </w:rPr>
          </w:pPr>
          <w:hyperlink w:anchor="_Toc480808198" w:history="1">
            <w:r w:rsidR="00D2038C" w:rsidRPr="00EF1BBC">
              <w:rPr>
                <w:rStyle w:val="Hyperlink"/>
              </w:rPr>
              <w:t>1.4</w:t>
            </w:r>
            <w:r w:rsidR="00D2038C">
              <w:rPr>
                <w:rFonts w:asciiTheme="minorHAnsi" w:eastAsiaTheme="minorEastAsia" w:hAnsiTheme="minorHAnsi"/>
                <w:b w:val="0"/>
                <w:color w:val="auto"/>
                <w:sz w:val="22"/>
                <w:lang w:eastAsia="en-AU"/>
              </w:rPr>
              <w:tab/>
            </w:r>
            <w:r w:rsidR="00D2038C" w:rsidRPr="00EF1BBC">
              <w:rPr>
                <w:rStyle w:val="Hyperlink"/>
              </w:rPr>
              <w:t>Reasons for final decision</w:t>
            </w:r>
            <w:r w:rsidR="00D2038C">
              <w:rPr>
                <w:webHidden/>
              </w:rPr>
              <w:tab/>
            </w:r>
            <w:r w:rsidR="00D2038C">
              <w:rPr>
                <w:webHidden/>
              </w:rPr>
              <w:fldChar w:fldCharType="begin"/>
            </w:r>
            <w:r w:rsidR="00D2038C">
              <w:rPr>
                <w:webHidden/>
              </w:rPr>
              <w:instrText xml:space="preserve"> PAGEREF _Toc480808198 \h </w:instrText>
            </w:r>
            <w:r w:rsidR="00D2038C">
              <w:rPr>
                <w:webHidden/>
              </w:rPr>
            </w:r>
            <w:r w:rsidR="00D2038C">
              <w:rPr>
                <w:webHidden/>
              </w:rPr>
              <w:fldChar w:fldCharType="separate"/>
            </w:r>
            <w:r w:rsidR="00D2038C">
              <w:rPr>
                <w:webHidden/>
              </w:rPr>
              <w:t>1-8</w:t>
            </w:r>
            <w:r w:rsidR="00D2038C">
              <w:rPr>
                <w:webHidden/>
              </w:rPr>
              <w:fldChar w:fldCharType="end"/>
            </w:r>
          </w:hyperlink>
        </w:p>
        <w:p w:rsidR="00D2038C" w:rsidRDefault="001B1513">
          <w:pPr>
            <w:pStyle w:val="TOC3"/>
            <w:rPr>
              <w:rFonts w:asciiTheme="minorHAnsi" w:eastAsiaTheme="minorEastAsia" w:hAnsiTheme="minorHAnsi"/>
              <w:lang w:eastAsia="en-AU"/>
            </w:rPr>
          </w:pPr>
          <w:hyperlink w:anchor="_Toc480808199" w:history="1">
            <w:r w:rsidR="00D2038C" w:rsidRPr="00EF1BBC">
              <w:rPr>
                <w:rStyle w:val="Hyperlink"/>
              </w:rPr>
              <w:t>1.4.1</w:t>
            </w:r>
            <w:r w:rsidR="00D2038C">
              <w:rPr>
                <w:rFonts w:asciiTheme="minorHAnsi" w:eastAsiaTheme="minorEastAsia" w:hAnsiTheme="minorHAnsi"/>
                <w:lang w:eastAsia="en-AU"/>
              </w:rPr>
              <w:tab/>
            </w:r>
            <w:r w:rsidR="00D2038C" w:rsidRPr="00EF1BBC">
              <w:rPr>
                <w:rStyle w:val="Hyperlink"/>
              </w:rPr>
              <w:t>X factor, annual expected MAR and estimated total revenue cap</w:t>
            </w:r>
            <w:r w:rsidR="00D2038C">
              <w:rPr>
                <w:webHidden/>
              </w:rPr>
              <w:tab/>
            </w:r>
            <w:r w:rsidR="00D2038C">
              <w:rPr>
                <w:webHidden/>
              </w:rPr>
              <w:fldChar w:fldCharType="begin"/>
            </w:r>
            <w:r w:rsidR="00D2038C">
              <w:rPr>
                <w:webHidden/>
              </w:rPr>
              <w:instrText xml:space="preserve"> PAGEREF _Toc480808199 \h </w:instrText>
            </w:r>
            <w:r w:rsidR="00D2038C">
              <w:rPr>
                <w:webHidden/>
              </w:rPr>
            </w:r>
            <w:r w:rsidR="00D2038C">
              <w:rPr>
                <w:webHidden/>
              </w:rPr>
              <w:fldChar w:fldCharType="separate"/>
            </w:r>
            <w:r w:rsidR="00D2038C">
              <w:rPr>
                <w:webHidden/>
              </w:rPr>
              <w:t>1-9</w:t>
            </w:r>
            <w:r w:rsidR="00D2038C">
              <w:rPr>
                <w:webHidden/>
              </w:rPr>
              <w:fldChar w:fldCharType="end"/>
            </w:r>
          </w:hyperlink>
        </w:p>
        <w:p w:rsidR="00D2038C" w:rsidRDefault="001B1513">
          <w:pPr>
            <w:pStyle w:val="TOC3"/>
            <w:rPr>
              <w:rFonts w:asciiTheme="minorHAnsi" w:eastAsiaTheme="minorEastAsia" w:hAnsiTheme="minorHAnsi"/>
              <w:lang w:eastAsia="en-AU"/>
            </w:rPr>
          </w:pPr>
          <w:hyperlink w:anchor="_Toc480808200" w:history="1">
            <w:r w:rsidR="00D2038C" w:rsidRPr="00EF1BBC">
              <w:rPr>
                <w:rStyle w:val="Hyperlink"/>
              </w:rPr>
              <w:t>1.4.2</w:t>
            </w:r>
            <w:r w:rsidR="00D2038C">
              <w:rPr>
                <w:rFonts w:asciiTheme="minorHAnsi" w:eastAsiaTheme="minorEastAsia" w:hAnsiTheme="minorHAnsi"/>
                <w:lang w:eastAsia="en-AU"/>
              </w:rPr>
              <w:tab/>
            </w:r>
            <w:r w:rsidR="00D2038C" w:rsidRPr="00EF1BBC">
              <w:rPr>
                <w:rStyle w:val="Hyperlink"/>
              </w:rPr>
              <w:t>Shared assets</w:t>
            </w:r>
            <w:r w:rsidR="00D2038C">
              <w:rPr>
                <w:webHidden/>
              </w:rPr>
              <w:tab/>
            </w:r>
            <w:r w:rsidR="00D2038C">
              <w:rPr>
                <w:webHidden/>
              </w:rPr>
              <w:fldChar w:fldCharType="begin"/>
            </w:r>
            <w:r w:rsidR="00D2038C">
              <w:rPr>
                <w:webHidden/>
              </w:rPr>
              <w:instrText xml:space="preserve"> PAGEREF _Toc480808200 \h </w:instrText>
            </w:r>
            <w:r w:rsidR="00D2038C">
              <w:rPr>
                <w:webHidden/>
              </w:rPr>
            </w:r>
            <w:r w:rsidR="00D2038C">
              <w:rPr>
                <w:webHidden/>
              </w:rPr>
              <w:fldChar w:fldCharType="separate"/>
            </w:r>
            <w:r w:rsidR="00D2038C">
              <w:rPr>
                <w:webHidden/>
              </w:rPr>
              <w:t>1-12</w:t>
            </w:r>
            <w:r w:rsidR="00D2038C">
              <w:rPr>
                <w:webHidden/>
              </w:rPr>
              <w:fldChar w:fldCharType="end"/>
            </w:r>
          </w:hyperlink>
        </w:p>
        <w:p w:rsidR="00D2038C" w:rsidRDefault="001B1513">
          <w:pPr>
            <w:pStyle w:val="TOC3"/>
            <w:rPr>
              <w:rFonts w:asciiTheme="minorHAnsi" w:eastAsiaTheme="minorEastAsia" w:hAnsiTheme="minorHAnsi"/>
              <w:lang w:eastAsia="en-AU"/>
            </w:rPr>
          </w:pPr>
          <w:hyperlink w:anchor="_Toc480808201" w:history="1">
            <w:r w:rsidR="00D2038C" w:rsidRPr="00EF1BBC">
              <w:rPr>
                <w:rStyle w:val="Hyperlink"/>
              </w:rPr>
              <w:t>1.4.3</w:t>
            </w:r>
            <w:r w:rsidR="00D2038C">
              <w:rPr>
                <w:rFonts w:asciiTheme="minorHAnsi" w:eastAsiaTheme="minorEastAsia" w:hAnsiTheme="minorHAnsi"/>
                <w:lang w:eastAsia="en-AU"/>
              </w:rPr>
              <w:tab/>
            </w:r>
            <w:r w:rsidR="00D2038C" w:rsidRPr="00EF1BBC">
              <w:rPr>
                <w:rStyle w:val="Hyperlink"/>
              </w:rPr>
              <w:t>Indicative transmission charges and impact on electricity bills</w:t>
            </w:r>
            <w:r w:rsidR="00D2038C">
              <w:rPr>
                <w:webHidden/>
              </w:rPr>
              <w:tab/>
            </w:r>
            <w:r w:rsidR="00D2038C">
              <w:rPr>
                <w:webHidden/>
              </w:rPr>
              <w:fldChar w:fldCharType="begin"/>
            </w:r>
            <w:r w:rsidR="00D2038C">
              <w:rPr>
                <w:webHidden/>
              </w:rPr>
              <w:instrText xml:space="preserve"> PAGEREF _Toc480808201 \h </w:instrText>
            </w:r>
            <w:r w:rsidR="00D2038C">
              <w:rPr>
                <w:webHidden/>
              </w:rPr>
            </w:r>
            <w:r w:rsidR="00D2038C">
              <w:rPr>
                <w:webHidden/>
              </w:rPr>
              <w:fldChar w:fldCharType="separate"/>
            </w:r>
            <w:r w:rsidR="00D2038C">
              <w:rPr>
                <w:webHidden/>
              </w:rPr>
              <w:t>1-13</w:t>
            </w:r>
            <w:r w:rsidR="00D2038C">
              <w:rPr>
                <w:webHidden/>
              </w:rPr>
              <w:fldChar w:fldCharType="end"/>
            </w:r>
          </w:hyperlink>
        </w:p>
        <w:p w:rsidR="00DE563D" w:rsidRDefault="00B12DD8" w:rsidP="00D2038C">
          <w:pPr>
            <w:pStyle w:val="TOC1"/>
          </w:pPr>
          <w:r>
            <w:fldChar w:fldCharType="end"/>
          </w:r>
        </w:p>
      </w:sdtContent>
    </w:sdt>
    <w:p w:rsidR="00DE563D" w:rsidRDefault="00C84560">
      <w:pPr>
        <w:spacing w:line="240" w:lineRule="auto"/>
      </w:pPr>
      <w:r>
        <w:t xml:space="preserve"> </w:t>
      </w:r>
    </w:p>
    <w:p w:rsidR="00DE563D" w:rsidRDefault="00DE563D" w:rsidP="00DE563D">
      <w:pPr>
        <w:pStyle w:val="UnnumberedHeading"/>
        <w:numPr>
          <w:ilvl w:val="0"/>
          <w:numId w:val="24"/>
        </w:numPr>
      </w:pPr>
      <w:bookmarkStart w:id="8" w:name="_Toc404700925"/>
      <w:bookmarkStart w:id="9" w:name="_Toc480808193"/>
      <w:r>
        <w:lastRenderedPageBreak/>
        <w:t>Shortened forms</w:t>
      </w:r>
      <w:bookmarkEnd w:id="8"/>
      <w:bookmarkEnd w:id="9"/>
    </w:p>
    <w:p w:rsidR="00DE563D" w:rsidRDefault="00DE563D" w:rsidP="00415F31"/>
    <w:tbl>
      <w:tblPr>
        <w:tblStyle w:val="AERtable-numbers"/>
        <w:tblW w:w="0" w:type="auto"/>
        <w:tblLook w:val="04A0" w:firstRow="1" w:lastRow="0" w:firstColumn="1" w:lastColumn="0" w:noHBand="0" w:noVBand="1"/>
      </w:tblPr>
      <w:tblGrid>
        <w:gridCol w:w="4340"/>
        <w:gridCol w:w="4353"/>
      </w:tblGrid>
      <w:tr w:rsidR="00415F31" w:rsidTr="00BD5D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Shortened form</w:t>
            </w:r>
          </w:p>
        </w:tc>
        <w:tc>
          <w:tcPr>
            <w:tcW w:w="4621" w:type="dxa"/>
          </w:tcPr>
          <w:p w:rsidR="00415F31" w:rsidRDefault="00415F31" w:rsidP="00415F31">
            <w:pPr>
              <w:numPr>
                <w:ilvl w:val="0"/>
                <w:numId w:val="25"/>
              </w:numPr>
              <w:spacing w:after="240" w:line="288" w:lineRule="auto"/>
              <w:jc w:val="both"/>
              <w:cnfStyle w:val="100000000000" w:firstRow="1" w:lastRow="0" w:firstColumn="0" w:lastColumn="0" w:oddVBand="0" w:evenVBand="0" w:oddHBand="0" w:evenHBand="0" w:firstRowFirstColumn="0" w:firstRowLastColumn="0" w:lastRowFirstColumn="0" w:lastRowLastColumn="0"/>
            </w:pPr>
            <w:r>
              <w:t>Extended form</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AARR</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AEMC</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AEMO</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Australian Energy Market Operator</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AER</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Regulator</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ASRR</w:t>
            </w:r>
          </w:p>
        </w:tc>
        <w:tc>
          <w:tcPr>
            <w:tcW w:w="4621" w:type="dxa"/>
          </w:tcPr>
          <w:p w:rsidR="00415F31" w:rsidRDefault="009D3906"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annual</w:t>
            </w:r>
            <w:r w:rsidR="00415F31">
              <w:t xml:space="preserve"> service revenue requirement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augex</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augmentation expenditure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capex</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CCP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Challenge Panel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CESS</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 sharing scheme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CPI</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price index</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DRP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debt risk premium</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EBSS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efficiency benefit sharing scheme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ERP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equity risk premium</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MAR</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maximum allowed revenue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MRP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market risk premium</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NEL</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law</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NEM</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market</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NEO</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objective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NER</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rules</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NSP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network service provider</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lastRenderedPageBreak/>
              <w:t>NTSC</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negotiated transmission service criteria</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opex</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operating expenditure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PPI</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partial performance indicators</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PTRM</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post-tax revenue model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RAB</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regulatory asset base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RBA</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Reserve Bank of Australia</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repex</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replacement expenditure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RFM</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roll forward model</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RIN</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regulatory information notice</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RPP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 xml:space="preserve">revenue </w:t>
            </w:r>
            <w:r w:rsidR="002D72E8">
              <w:t xml:space="preserve">and </w:t>
            </w:r>
            <w:r>
              <w:t>pricing principles</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SLCAPM</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STPIS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TNSP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transmission network service provider</w:t>
            </w:r>
          </w:p>
        </w:tc>
      </w:tr>
      <w:tr w:rsidR="00415F31" w:rsidTr="00BD5D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TUoS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transmission use of system</w:t>
            </w:r>
          </w:p>
        </w:tc>
      </w:tr>
      <w:tr w:rsidR="00415F31" w:rsidTr="00BD5D87">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WACC</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415F31" w:rsidRPr="00271F7C" w:rsidRDefault="00415F31" w:rsidP="00415F31"/>
    <w:p w:rsidR="00DE563D" w:rsidRPr="00436A39" w:rsidRDefault="00DE563D" w:rsidP="00DE563D">
      <w:pPr>
        <w:numPr>
          <w:ilvl w:val="0"/>
          <w:numId w:val="25"/>
        </w:numPr>
      </w:pPr>
    </w:p>
    <w:p w:rsidR="00DE563D" w:rsidRDefault="00DE563D" w:rsidP="00DE563D"/>
    <w:p w:rsidR="00DE563D" w:rsidRDefault="00415F31" w:rsidP="001754EE">
      <w:pPr>
        <w:pStyle w:val="Heading1"/>
      </w:pPr>
      <w:bookmarkStart w:id="10" w:name="_Toc480808194"/>
      <w:r w:rsidRPr="001754EE">
        <w:lastRenderedPageBreak/>
        <w:t>Maximum allowed revenue</w:t>
      </w:r>
      <w:bookmarkEnd w:id="10"/>
    </w:p>
    <w:p w:rsidR="00C26737" w:rsidRPr="00C10597" w:rsidRDefault="00C26737" w:rsidP="009822FF">
      <w:bookmarkStart w:id="11" w:name="_Toc403144136"/>
      <w:r w:rsidRPr="00C10597">
        <w:t xml:space="preserve">This attachment sets out the AER's </w:t>
      </w:r>
      <w:r w:rsidR="001D38AB">
        <w:t>final</w:t>
      </w:r>
      <w:r w:rsidR="00821FFA">
        <w:t xml:space="preserve"> </w:t>
      </w:r>
      <w:r w:rsidRPr="00C10597">
        <w:t xml:space="preserve">decision on </w:t>
      </w:r>
      <w:r>
        <w:t>the</w:t>
      </w:r>
      <w:r w:rsidRPr="00C10597">
        <w:t xml:space="preserve"> maximum allowed revenue (MAR) for the provision of prescribed transmission services </w:t>
      </w:r>
      <w:r>
        <w:t xml:space="preserve">for each year of </w:t>
      </w:r>
      <w:r w:rsidR="009822FF">
        <w:t>AusNet Services’</w:t>
      </w:r>
      <w:r>
        <w:t xml:space="preserve"> 201</w:t>
      </w:r>
      <w:r w:rsidR="009822FF">
        <w:t>7</w:t>
      </w:r>
      <w:r>
        <w:t>–</w:t>
      </w:r>
      <w:r w:rsidR="009822FF">
        <w:t>22</w:t>
      </w:r>
      <w:r>
        <w:t xml:space="preserve"> </w:t>
      </w:r>
      <w:r w:rsidR="00821FFA">
        <w:t xml:space="preserve">regulatory control </w:t>
      </w:r>
      <w:r>
        <w:t>period.</w:t>
      </w:r>
      <w:r w:rsidRPr="00C10597">
        <w:t xml:space="preserve"> Specifically, the attachment addresses:</w:t>
      </w:r>
      <w:r w:rsidRPr="00C10597">
        <w:rPr>
          <w:rStyle w:val="FootnoteReference"/>
        </w:rPr>
        <w:footnoteReference w:id="1"/>
      </w:r>
    </w:p>
    <w:p w:rsidR="00C26737" w:rsidRPr="00005540" w:rsidRDefault="00C26737" w:rsidP="00005540">
      <w:pPr>
        <w:pStyle w:val="AERbulletlistfirststyle"/>
      </w:pPr>
      <w:r w:rsidRPr="00005540">
        <w:t xml:space="preserve">the estimated total revenue cap, which is the sum of the annual expected MAR </w:t>
      </w:r>
    </w:p>
    <w:p w:rsidR="00C26737" w:rsidRPr="00005540" w:rsidRDefault="00C26737" w:rsidP="00005540">
      <w:pPr>
        <w:pStyle w:val="AERbulletlistfirststyle"/>
      </w:pPr>
      <w:r w:rsidRPr="00005540">
        <w:t>the annual building block revenue requirement</w:t>
      </w:r>
    </w:p>
    <w:p w:rsidR="00C26737" w:rsidRPr="00005540" w:rsidRDefault="00C26737" w:rsidP="00005540">
      <w:pPr>
        <w:pStyle w:val="AERbulletlistfirststyle"/>
      </w:pPr>
      <w:r w:rsidRPr="00005540">
        <w:t xml:space="preserve">the annual expected MAR </w:t>
      </w:r>
    </w:p>
    <w:p w:rsidR="00C26737" w:rsidRPr="00005540" w:rsidRDefault="00C26737" w:rsidP="00005540">
      <w:pPr>
        <w:pStyle w:val="AERbulletlistfirststyle"/>
      </w:pPr>
      <w:r w:rsidRPr="00005540">
        <w:t>the X factor.</w:t>
      </w:r>
    </w:p>
    <w:p w:rsidR="00C26737" w:rsidRPr="0096157E" w:rsidRDefault="00C26737" w:rsidP="00005540">
      <w:r w:rsidRPr="00C10597">
        <w:t xml:space="preserve">We determine </w:t>
      </w:r>
      <w:r>
        <w:t>the TNSP's</w:t>
      </w:r>
      <w:r w:rsidRPr="00C10597">
        <w:t xml:space="preserve"> annual building block revenue requirement using a building block approach</w:t>
      </w:r>
      <w:r>
        <w:t>. We determine</w:t>
      </w:r>
      <w:r w:rsidRPr="00C10597">
        <w:t xml:space="preserve"> the X factors by smoothing the annual building block revenue requirement over the regulatory control period. The X factor is used in the CPI–X methodology to determine the annual expected MAR (smoothed).</w:t>
      </w:r>
    </w:p>
    <w:p w:rsidR="00DE563D" w:rsidRPr="001754EE" w:rsidRDefault="001D38AB" w:rsidP="009822FF">
      <w:pPr>
        <w:pStyle w:val="Heading2"/>
        <w:keepNext/>
      </w:pPr>
      <w:bookmarkStart w:id="12" w:name="_Toc480808195"/>
      <w:r>
        <w:t>Final</w:t>
      </w:r>
      <w:r w:rsidR="00DE563D" w:rsidRPr="001754EE">
        <w:t xml:space="preserve"> decision</w:t>
      </w:r>
      <w:bookmarkEnd w:id="11"/>
      <w:bookmarkEnd w:id="12"/>
    </w:p>
    <w:p w:rsidR="00492389" w:rsidRDefault="009822FF" w:rsidP="009822FF">
      <w:bookmarkStart w:id="13" w:name="_Toc403144137"/>
      <w:r>
        <w:t xml:space="preserve">We </w:t>
      </w:r>
      <w:r w:rsidRPr="00DB739C">
        <w:t>do not</w:t>
      </w:r>
      <w:r>
        <w:t xml:space="preserve"> accept AusNet Services’ </w:t>
      </w:r>
      <w:r w:rsidR="00DB739C" w:rsidRPr="00365B2E">
        <w:t xml:space="preserve">revised </w:t>
      </w:r>
      <w:r w:rsidRPr="00365B2E">
        <w:t>proposed</w:t>
      </w:r>
      <w:r>
        <w:t xml:space="preserve"> annual building block revenue requirement, annual expected MAR and total revenue cap. </w:t>
      </w:r>
      <w:r w:rsidR="004C6B5A" w:rsidRPr="004C6B5A">
        <w:t xml:space="preserve">This is because we have not accepted the building block costs that </w:t>
      </w:r>
      <w:r w:rsidR="004C6B5A">
        <w:t>AusNet Services</w:t>
      </w:r>
      <w:r w:rsidR="004C6B5A" w:rsidRPr="004C6B5A">
        <w:t xml:space="preserve"> proposed in its revised proposal.</w:t>
      </w:r>
      <w:r w:rsidR="004C6B5A">
        <w:t xml:space="preserve"> </w:t>
      </w:r>
      <w:r>
        <w:t>We have calculated the X factor</w:t>
      </w:r>
      <w:r w:rsidR="004C6B5A">
        <w:t>s</w:t>
      </w:r>
      <w:r>
        <w:t xml:space="preserve"> and the annual expected MAR (smoothed) to reflect our </w:t>
      </w:r>
      <w:r w:rsidR="001D38AB">
        <w:t>final</w:t>
      </w:r>
      <w:r>
        <w:t xml:space="preserve"> decision on AusNet Services’ annual building block revenue requirement.</w:t>
      </w:r>
    </w:p>
    <w:p w:rsidR="009822FF" w:rsidRPr="0076460B" w:rsidRDefault="009822FF" w:rsidP="009822FF">
      <w:r w:rsidRPr="0076460B">
        <w:t>We determine a total annual building block revenue requirement for AusNet Services of $</w:t>
      </w:r>
      <w:r w:rsidR="0076460B">
        <w:t>2742.</w:t>
      </w:r>
      <w:r w:rsidR="008404C7">
        <w:t>8</w:t>
      </w:r>
      <w:r w:rsidR="0076460B">
        <w:t> </w:t>
      </w:r>
      <w:r w:rsidRPr="0076460B">
        <w:t xml:space="preserve">million ($ nominal) for the 2017–22 </w:t>
      </w:r>
      <w:r w:rsidR="00821FFA" w:rsidRPr="0076460B">
        <w:t xml:space="preserve">regulatory control </w:t>
      </w:r>
      <w:r w:rsidRPr="0076460B">
        <w:t>period. This is a reduction of $</w:t>
      </w:r>
      <w:r w:rsidR="0076460B">
        <w:t>22</w:t>
      </w:r>
      <w:r w:rsidR="008404C7">
        <w:t>3.8</w:t>
      </w:r>
      <w:r w:rsidR="0076460B">
        <w:t> </w:t>
      </w:r>
      <w:r w:rsidRPr="0076460B">
        <w:t xml:space="preserve">million ($ nominal) or </w:t>
      </w:r>
      <w:r w:rsidR="0076460B">
        <w:t>7.</w:t>
      </w:r>
      <w:r w:rsidR="008404C7">
        <w:t>5</w:t>
      </w:r>
      <w:r w:rsidR="0076460B">
        <w:t> </w:t>
      </w:r>
      <w:r w:rsidRPr="0076460B">
        <w:t xml:space="preserve">per cent to AusNet Services’ </w:t>
      </w:r>
      <w:r w:rsidR="004C6B5A" w:rsidRPr="0076460B">
        <w:t xml:space="preserve">revised </w:t>
      </w:r>
      <w:r w:rsidRPr="0076460B">
        <w:t xml:space="preserve">proposal and reflects the impact of our </w:t>
      </w:r>
      <w:r w:rsidR="001D38AB" w:rsidRPr="0076460B">
        <w:t>final</w:t>
      </w:r>
      <w:r w:rsidRPr="0076460B">
        <w:t xml:space="preserve"> decisions on the various building block costs.</w:t>
      </w:r>
    </w:p>
    <w:p w:rsidR="009822FF" w:rsidRDefault="00DD1300" w:rsidP="00DD1300">
      <w:r w:rsidRPr="0076460B">
        <w:t xml:space="preserve">As a result of our smoothing of the annual building block revenue requirement, our </w:t>
      </w:r>
      <w:r w:rsidR="008014EF" w:rsidRPr="0076460B">
        <w:t xml:space="preserve">final </w:t>
      </w:r>
      <w:r w:rsidRPr="0076460B">
        <w:t xml:space="preserve">decision on the annual expected MAR and X factor for each regulatory year of the 2017–22 regulatory control period is set out in </w:t>
      </w:r>
      <w:r w:rsidRPr="0076460B">
        <w:fldChar w:fldCharType="begin"/>
      </w:r>
      <w:r w:rsidRPr="0076460B">
        <w:instrText xml:space="preserve"> REF _Ref437858402 \h </w:instrText>
      </w:r>
      <w:r w:rsidR="00365B2E" w:rsidRPr="0076460B">
        <w:instrText xml:space="preserve"> \* MERGEFORMAT </w:instrText>
      </w:r>
      <w:r w:rsidRPr="0076460B">
        <w:fldChar w:fldCharType="separate"/>
      </w:r>
      <w:r w:rsidR="00B12DD8">
        <w:t xml:space="preserve">Table </w:t>
      </w:r>
      <w:r w:rsidR="00B12DD8">
        <w:rPr>
          <w:noProof/>
        </w:rPr>
        <w:t>1.1</w:t>
      </w:r>
      <w:r w:rsidRPr="0076460B">
        <w:fldChar w:fldCharType="end"/>
      </w:r>
      <w:r w:rsidRPr="0076460B">
        <w:t xml:space="preserve">. Our </w:t>
      </w:r>
      <w:r w:rsidR="008014EF" w:rsidRPr="0076460B">
        <w:t>final</w:t>
      </w:r>
      <w:r w:rsidRPr="0076460B">
        <w:t xml:space="preserve"> decision is to approve an estimated total revenue cap of $</w:t>
      </w:r>
      <w:r w:rsidR="00CA60B6">
        <w:t>2741</w:t>
      </w:r>
      <w:r w:rsidR="0076460B">
        <w:t>.</w:t>
      </w:r>
      <w:r w:rsidR="008404C7">
        <w:t>7</w:t>
      </w:r>
      <w:r w:rsidR="0076460B">
        <w:t> </w:t>
      </w:r>
      <w:r w:rsidRPr="0076460B">
        <w:t xml:space="preserve">million ($ nominal) for AusNet Services for the 2017–22 regulatory control period. </w:t>
      </w:r>
      <w:r w:rsidR="00711D0E" w:rsidRPr="0076460B">
        <w:t>O</w:t>
      </w:r>
      <w:r w:rsidRPr="0076460B">
        <w:t xml:space="preserve">ur approved X factor </w:t>
      </w:r>
      <w:r w:rsidR="00711D0E" w:rsidRPr="0076460B">
        <w:t>for 2018–19 to 2021–22 is</w:t>
      </w:r>
      <w:r w:rsidR="004C6B5A" w:rsidRPr="0076460B">
        <w:t xml:space="preserve"> </w:t>
      </w:r>
      <w:r w:rsidR="00CA60B6">
        <w:t>1.1</w:t>
      </w:r>
      <w:r w:rsidR="008404C7">
        <w:t>2</w:t>
      </w:r>
      <w:r w:rsidR="0076460B">
        <w:t> </w:t>
      </w:r>
      <w:r w:rsidR="004C6B5A" w:rsidRPr="0076460B">
        <w:t>per cent per annum</w:t>
      </w:r>
      <w:r w:rsidRPr="0076460B">
        <w:t>.</w:t>
      </w:r>
      <w:r w:rsidR="004C0F6E" w:rsidRPr="0076460B">
        <w:rPr>
          <w:rStyle w:val="FootnoteReference"/>
        </w:rPr>
        <w:footnoteReference w:id="2"/>
      </w:r>
    </w:p>
    <w:p w:rsidR="00DD1300" w:rsidRDefault="00DD1300" w:rsidP="00DD1300">
      <w:r>
        <w:fldChar w:fldCharType="begin"/>
      </w:r>
      <w:r>
        <w:instrText xml:space="preserve"> REF _Ref437858402 \h </w:instrText>
      </w:r>
      <w:r>
        <w:fldChar w:fldCharType="separate"/>
      </w:r>
      <w:r w:rsidR="00B12DD8">
        <w:t xml:space="preserve">Table </w:t>
      </w:r>
      <w:r w:rsidR="00B12DD8">
        <w:rPr>
          <w:noProof/>
        </w:rPr>
        <w:t>1</w:t>
      </w:r>
      <w:r w:rsidR="00B12DD8">
        <w:t>.</w:t>
      </w:r>
      <w:r w:rsidR="00B12DD8">
        <w:rPr>
          <w:noProof/>
        </w:rPr>
        <w:t>1</w:t>
      </w:r>
      <w:r>
        <w:fldChar w:fldCharType="end"/>
      </w:r>
      <w:r>
        <w:t xml:space="preserve"> sets out </w:t>
      </w:r>
      <w:r w:rsidRPr="00365B2E">
        <w:t xml:space="preserve">our </w:t>
      </w:r>
      <w:r w:rsidR="004C0F6E" w:rsidRPr="00365B2E">
        <w:t xml:space="preserve">final </w:t>
      </w:r>
      <w:r w:rsidRPr="00365B2E">
        <w:t>decision</w:t>
      </w:r>
      <w:r>
        <w:t xml:space="preserve"> on AusNet Services’ annual building block revenue requirement, the X factor, the annual expected MAR and the estimated total revenue cap for the 2017–22 regulatory control period.</w:t>
      </w:r>
    </w:p>
    <w:p w:rsidR="00DD1300" w:rsidRDefault="00DD1300" w:rsidP="00DD1300">
      <w:pPr>
        <w:pStyle w:val="Caption"/>
      </w:pPr>
      <w:bookmarkStart w:id="14" w:name="_Ref437858402"/>
      <w:r>
        <w:lastRenderedPageBreak/>
        <w:t xml:space="preserve">Table </w:t>
      </w:r>
      <w:fldSimple w:instr=" STYLEREF 1 \s ">
        <w:r w:rsidR="00B12DD8">
          <w:rPr>
            <w:noProof/>
          </w:rPr>
          <w:t>1</w:t>
        </w:r>
      </w:fldSimple>
      <w:r w:rsidR="004C6B5A">
        <w:t>.</w:t>
      </w:r>
      <w:fldSimple w:instr=" SEQ Table \* ARABIC \s 1 ">
        <w:r w:rsidR="00B12DD8">
          <w:rPr>
            <w:noProof/>
          </w:rPr>
          <w:t>1</w:t>
        </w:r>
      </w:fldSimple>
      <w:bookmarkEnd w:id="14"/>
      <w:r>
        <w:tab/>
      </w:r>
      <w:r w:rsidRPr="00365B2E">
        <w:t xml:space="preserve">AER's </w:t>
      </w:r>
      <w:r w:rsidR="004C0F6E" w:rsidRPr="00365B2E">
        <w:t>final</w:t>
      </w:r>
      <w:r w:rsidRPr="00365B2E">
        <w:t xml:space="preserve"> decision</w:t>
      </w:r>
      <w:r>
        <w:t xml:space="preserve"> on AusNet Services’ annual building block revenue requirement, annual expected MAR, estimated total revenue cap and X factor ($ million, nominal)</w:t>
      </w:r>
    </w:p>
    <w:tbl>
      <w:tblPr>
        <w:tblStyle w:val="AERtable-numbers"/>
        <w:tblW w:w="8880" w:type="dxa"/>
        <w:tblLayout w:type="fixed"/>
        <w:tblLook w:val="04A0" w:firstRow="1" w:lastRow="0" w:firstColumn="1" w:lastColumn="0" w:noHBand="0" w:noVBand="1"/>
      </w:tblPr>
      <w:tblGrid>
        <w:gridCol w:w="3369"/>
        <w:gridCol w:w="918"/>
        <w:gridCol w:w="919"/>
        <w:gridCol w:w="918"/>
        <w:gridCol w:w="919"/>
        <w:gridCol w:w="918"/>
        <w:gridCol w:w="919"/>
      </w:tblGrid>
      <w:tr w:rsidR="00DD1300" w:rsidRPr="00DD1300" w:rsidTr="003C0311">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369" w:type="dxa"/>
            <w:noWrap/>
            <w:hideMark/>
          </w:tcPr>
          <w:p w:rsidR="00DD1300" w:rsidRPr="00DD1300" w:rsidRDefault="00DD1300" w:rsidP="00DD1300">
            <w:pPr>
              <w:keepNext/>
            </w:pPr>
            <w:r w:rsidRPr="00DD1300">
              <w:t> </w:t>
            </w:r>
          </w:p>
        </w:tc>
        <w:tc>
          <w:tcPr>
            <w:tcW w:w="918" w:type="dxa"/>
            <w:noWrap/>
            <w:hideMark/>
          </w:tcPr>
          <w:p w:rsidR="00DD1300" w:rsidRPr="00DD1300" w:rsidRDefault="00DD1300" w:rsidP="00DD1300">
            <w:pPr>
              <w:keepNext/>
              <w:cnfStyle w:val="100000000000" w:firstRow="1" w:lastRow="0" w:firstColumn="0" w:lastColumn="0" w:oddVBand="0" w:evenVBand="0" w:oddHBand="0" w:evenHBand="0" w:firstRowFirstColumn="0" w:firstRowLastColumn="0" w:lastRowFirstColumn="0" w:lastRowLastColumn="0"/>
            </w:pPr>
            <w:r w:rsidRPr="00DD1300">
              <w:t>2017–18</w:t>
            </w:r>
          </w:p>
        </w:tc>
        <w:tc>
          <w:tcPr>
            <w:tcW w:w="919" w:type="dxa"/>
            <w:noWrap/>
            <w:hideMark/>
          </w:tcPr>
          <w:p w:rsidR="00DD1300" w:rsidRPr="00DD1300" w:rsidRDefault="00DD1300" w:rsidP="00DD1300">
            <w:pPr>
              <w:keepNext/>
              <w:cnfStyle w:val="100000000000" w:firstRow="1" w:lastRow="0" w:firstColumn="0" w:lastColumn="0" w:oddVBand="0" w:evenVBand="0" w:oddHBand="0" w:evenHBand="0" w:firstRowFirstColumn="0" w:firstRowLastColumn="0" w:lastRowFirstColumn="0" w:lastRowLastColumn="0"/>
            </w:pPr>
            <w:r w:rsidRPr="00DD1300">
              <w:t>2018–19</w:t>
            </w:r>
          </w:p>
        </w:tc>
        <w:tc>
          <w:tcPr>
            <w:tcW w:w="918" w:type="dxa"/>
            <w:noWrap/>
            <w:hideMark/>
          </w:tcPr>
          <w:p w:rsidR="00DD1300" w:rsidRPr="00DD1300" w:rsidRDefault="00DD1300" w:rsidP="00DD1300">
            <w:pPr>
              <w:keepNext/>
              <w:cnfStyle w:val="100000000000" w:firstRow="1" w:lastRow="0" w:firstColumn="0" w:lastColumn="0" w:oddVBand="0" w:evenVBand="0" w:oddHBand="0" w:evenHBand="0" w:firstRowFirstColumn="0" w:firstRowLastColumn="0" w:lastRowFirstColumn="0" w:lastRowLastColumn="0"/>
            </w:pPr>
            <w:r w:rsidRPr="00DD1300">
              <w:t>2019–20</w:t>
            </w:r>
          </w:p>
        </w:tc>
        <w:tc>
          <w:tcPr>
            <w:tcW w:w="919" w:type="dxa"/>
            <w:noWrap/>
            <w:hideMark/>
          </w:tcPr>
          <w:p w:rsidR="00DD1300" w:rsidRPr="00DD1300" w:rsidRDefault="00DD1300" w:rsidP="00DD1300">
            <w:pPr>
              <w:keepNext/>
              <w:cnfStyle w:val="100000000000" w:firstRow="1" w:lastRow="0" w:firstColumn="0" w:lastColumn="0" w:oddVBand="0" w:evenVBand="0" w:oddHBand="0" w:evenHBand="0" w:firstRowFirstColumn="0" w:firstRowLastColumn="0" w:lastRowFirstColumn="0" w:lastRowLastColumn="0"/>
            </w:pPr>
            <w:r w:rsidRPr="00DD1300">
              <w:t>2020–21</w:t>
            </w:r>
          </w:p>
        </w:tc>
        <w:tc>
          <w:tcPr>
            <w:tcW w:w="918" w:type="dxa"/>
            <w:noWrap/>
            <w:hideMark/>
          </w:tcPr>
          <w:p w:rsidR="00DD1300" w:rsidRPr="00DD1300" w:rsidRDefault="00DD1300" w:rsidP="00DD1300">
            <w:pPr>
              <w:keepNext/>
              <w:cnfStyle w:val="100000000000" w:firstRow="1" w:lastRow="0" w:firstColumn="0" w:lastColumn="0" w:oddVBand="0" w:evenVBand="0" w:oddHBand="0" w:evenHBand="0" w:firstRowFirstColumn="0" w:firstRowLastColumn="0" w:lastRowFirstColumn="0" w:lastRowLastColumn="0"/>
            </w:pPr>
            <w:r w:rsidRPr="00DD1300">
              <w:t>2021–22</w:t>
            </w:r>
          </w:p>
        </w:tc>
        <w:tc>
          <w:tcPr>
            <w:tcW w:w="919" w:type="dxa"/>
            <w:noWrap/>
            <w:hideMark/>
          </w:tcPr>
          <w:p w:rsidR="00DD1300" w:rsidRPr="00DD1300" w:rsidRDefault="00DD1300" w:rsidP="00DD1300">
            <w:pPr>
              <w:keepNext/>
              <w:cnfStyle w:val="100000000000" w:firstRow="1" w:lastRow="0" w:firstColumn="0" w:lastColumn="0" w:oddVBand="0" w:evenVBand="0" w:oddHBand="0" w:evenHBand="0" w:firstRowFirstColumn="0" w:firstRowLastColumn="0" w:lastRowFirstColumn="0" w:lastRowLastColumn="0"/>
            </w:pPr>
            <w:r w:rsidRPr="00DD1300">
              <w:t>Total</w:t>
            </w:r>
          </w:p>
        </w:tc>
      </w:tr>
      <w:tr w:rsidR="008404C7" w:rsidRPr="00DD1300" w:rsidTr="003C0311">
        <w:trPr>
          <w:trHeight w:val="275"/>
        </w:trPr>
        <w:tc>
          <w:tcPr>
            <w:cnfStyle w:val="001000000000" w:firstRow="0" w:lastRow="0" w:firstColumn="1" w:lastColumn="0" w:oddVBand="0" w:evenVBand="0" w:oddHBand="0" w:evenHBand="0" w:firstRowFirstColumn="0" w:firstRowLastColumn="0" w:lastRowFirstColumn="0" w:lastRowLastColumn="0"/>
            <w:tcW w:w="3369" w:type="dxa"/>
            <w:noWrap/>
            <w:hideMark/>
          </w:tcPr>
          <w:p w:rsidR="008404C7" w:rsidRPr="00DD1300" w:rsidRDefault="008404C7" w:rsidP="00DD1300">
            <w:pPr>
              <w:keepNext/>
            </w:pPr>
            <w:r w:rsidRPr="00DD1300">
              <w:t>Return on capital</w:t>
            </w:r>
          </w:p>
        </w:tc>
        <w:tc>
          <w:tcPr>
            <w:tcW w:w="918" w:type="dxa"/>
            <w:noWrap/>
          </w:tcPr>
          <w:p w:rsidR="008404C7" w:rsidRDefault="008404C7">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183.9</w:t>
            </w:r>
          </w:p>
        </w:tc>
        <w:tc>
          <w:tcPr>
            <w:tcW w:w="919" w:type="dxa"/>
            <w:noWrap/>
          </w:tcPr>
          <w:p w:rsidR="008404C7" w:rsidRDefault="008404C7">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189.2</w:t>
            </w:r>
          </w:p>
        </w:tc>
        <w:tc>
          <w:tcPr>
            <w:tcW w:w="918" w:type="dxa"/>
            <w:noWrap/>
          </w:tcPr>
          <w:p w:rsidR="008404C7" w:rsidRDefault="008404C7">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193.2</w:t>
            </w:r>
          </w:p>
        </w:tc>
        <w:tc>
          <w:tcPr>
            <w:tcW w:w="919" w:type="dxa"/>
            <w:noWrap/>
          </w:tcPr>
          <w:p w:rsidR="008404C7" w:rsidRDefault="008404C7">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196.3</w:t>
            </w:r>
          </w:p>
        </w:tc>
        <w:tc>
          <w:tcPr>
            <w:tcW w:w="918" w:type="dxa"/>
            <w:noWrap/>
          </w:tcPr>
          <w:p w:rsidR="008404C7" w:rsidRDefault="008404C7">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198.1</w:t>
            </w:r>
          </w:p>
        </w:tc>
        <w:tc>
          <w:tcPr>
            <w:tcW w:w="919" w:type="dxa"/>
            <w:noWrap/>
          </w:tcPr>
          <w:p w:rsidR="008404C7" w:rsidRDefault="008404C7">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960.7</w:t>
            </w:r>
          </w:p>
        </w:tc>
      </w:tr>
      <w:tr w:rsidR="008404C7" w:rsidRPr="00DD1300" w:rsidTr="003C0311">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369" w:type="dxa"/>
            <w:noWrap/>
            <w:hideMark/>
          </w:tcPr>
          <w:p w:rsidR="008404C7" w:rsidRPr="00DD1300" w:rsidRDefault="008404C7" w:rsidP="00DD1300">
            <w:pPr>
              <w:keepNext/>
            </w:pPr>
            <w:r w:rsidRPr="00DD1300">
              <w:t>Regulatory depreciation</w:t>
            </w:r>
            <w:r w:rsidRPr="00DD1300">
              <w:rPr>
                <w:rStyle w:val="AERsuperscript"/>
              </w:rPr>
              <w:t>a</w:t>
            </w:r>
          </w:p>
        </w:tc>
        <w:tc>
          <w:tcPr>
            <w:tcW w:w="918" w:type="dxa"/>
            <w:noWrap/>
          </w:tcPr>
          <w:p w:rsidR="008404C7" w:rsidRDefault="008404C7">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96.7</w:t>
            </w:r>
          </w:p>
        </w:tc>
        <w:tc>
          <w:tcPr>
            <w:tcW w:w="919" w:type="dxa"/>
            <w:noWrap/>
          </w:tcPr>
          <w:p w:rsidR="008404C7" w:rsidRDefault="008404C7">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99.0</w:t>
            </w:r>
          </w:p>
        </w:tc>
        <w:tc>
          <w:tcPr>
            <w:tcW w:w="918" w:type="dxa"/>
            <w:noWrap/>
          </w:tcPr>
          <w:p w:rsidR="008404C7" w:rsidRDefault="008404C7">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106.7</w:t>
            </w:r>
          </w:p>
        </w:tc>
        <w:tc>
          <w:tcPr>
            <w:tcW w:w="919" w:type="dxa"/>
            <w:noWrap/>
          </w:tcPr>
          <w:p w:rsidR="008404C7" w:rsidRDefault="008404C7">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110.2</w:t>
            </w:r>
          </w:p>
        </w:tc>
        <w:tc>
          <w:tcPr>
            <w:tcW w:w="918" w:type="dxa"/>
            <w:noWrap/>
          </w:tcPr>
          <w:p w:rsidR="008404C7" w:rsidRDefault="008404C7">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93.3</w:t>
            </w:r>
          </w:p>
        </w:tc>
        <w:tc>
          <w:tcPr>
            <w:tcW w:w="919" w:type="dxa"/>
            <w:noWrap/>
          </w:tcPr>
          <w:p w:rsidR="008404C7" w:rsidRDefault="008404C7">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505.9</w:t>
            </w:r>
          </w:p>
        </w:tc>
      </w:tr>
      <w:tr w:rsidR="008404C7" w:rsidRPr="00DD1300" w:rsidTr="003C0311">
        <w:trPr>
          <w:trHeight w:val="275"/>
        </w:trPr>
        <w:tc>
          <w:tcPr>
            <w:cnfStyle w:val="001000000000" w:firstRow="0" w:lastRow="0" w:firstColumn="1" w:lastColumn="0" w:oddVBand="0" w:evenVBand="0" w:oddHBand="0" w:evenHBand="0" w:firstRowFirstColumn="0" w:firstRowLastColumn="0" w:lastRowFirstColumn="0" w:lastRowLastColumn="0"/>
            <w:tcW w:w="3369" w:type="dxa"/>
            <w:noWrap/>
            <w:hideMark/>
          </w:tcPr>
          <w:p w:rsidR="008404C7" w:rsidRPr="009B40B4" w:rsidRDefault="008404C7" w:rsidP="00DD1300">
            <w:pPr>
              <w:keepNext/>
              <w:rPr>
                <w:rStyle w:val="AERsuperscript"/>
              </w:rPr>
            </w:pPr>
            <w:r w:rsidRPr="00DD1300">
              <w:t>Operating expenditure</w:t>
            </w:r>
            <w:r>
              <w:rPr>
                <w:rStyle w:val="AERsuperscript"/>
              </w:rPr>
              <w:t>b</w:t>
            </w:r>
          </w:p>
        </w:tc>
        <w:tc>
          <w:tcPr>
            <w:tcW w:w="918" w:type="dxa"/>
            <w:noWrap/>
          </w:tcPr>
          <w:p w:rsidR="008404C7" w:rsidRDefault="008404C7">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232.4</w:t>
            </w:r>
          </w:p>
        </w:tc>
        <w:tc>
          <w:tcPr>
            <w:tcW w:w="919" w:type="dxa"/>
            <w:noWrap/>
          </w:tcPr>
          <w:p w:rsidR="008404C7" w:rsidRDefault="008404C7">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238.5</w:t>
            </w:r>
          </w:p>
        </w:tc>
        <w:tc>
          <w:tcPr>
            <w:tcW w:w="918" w:type="dxa"/>
            <w:noWrap/>
          </w:tcPr>
          <w:p w:rsidR="008404C7" w:rsidRDefault="008404C7">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244.8</w:t>
            </w:r>
          </w:p>
        </w:tc>
        <w:tc>
          <w:tcPr>
            <w:tcW w:w="919" w:type="dxa"/>
            <w:noWrap/>
          </w:tcPr>
          <w:p w:rsidR="008404C7" w:rsidRDefault="008404C7">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251.2</w:t>
            </w:r>
          </w:p>
        </w:tc>
        <w:tc>
          <w:tcPr>
            <w:tcW w:w="918" w:type="dxa"/>
            <w:noWrap/>
          </w:tcPr>
          <w:p w:rsidR="008404C7" w:rsidRDefault="008404C7">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257.8</w:t>
            </w:r>
          </w:p>
        </w:tc>
        <w:tc>
          <w:tcPr>
            <w:tcW w:w="919" w:type="dxa"/>
            <w:noWrap/>
          </w:tcPr>
          <w:p w:rsidR="008404C7" w:rsidRDefault="008404C7">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1224.7</w:t>
            </w:r>
          </w:p>
        </w:tc>
      </w:tr>
      <w:tr w:rsidR="008404C7" w:rsidRPr="00DD1300" w:rsidTr="003C0311">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369" w:type="dxa"/>
            <w:noWrap/>
            <w:hideMark/>
          </w:tcPr>
          <w:p w:rsidR="008404C7" w:rsidRPr="00DD1300" w:rsidRDefault="008404C7" w:rsidP="00DD1300">
            <w:pPr>
              <w:keepNext/>
            </w:pPr>
            <w:r w:rsidRPr="00DD1300">
              <w:t>Revenue adjustments</w:t>
            </w:r>
            <w:r>
              <w:rPr>
                <w:rStyle w:val="AERsuperscript"/>
              </w:rPr>
              <w:t>c</w:t>
            </w:r>
          </w:p>
        </w:tc>
        <w:tc>
          <w:tcPr>
            <w:tcW w:w="918" w:type="dxa"/>
            <w:noWrap/>
          </w:tcPr>
          <w:p w:rsidR="008404C7" w:rsidRDefault="008404C7">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–0.2</w:t>
            </w:r>
          </w:p>
        </w:tc>
        <w:tc>
          <w:tcPr>
            <w:tcW w:w="919" w:type="dxa"/>
            <w:noWrap/>
          </w:tcPr>
          <w:p w:rsidR="008404C7" w:rsidRDefault="008404C7">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–0.2</w:t>
            </w:r>
          </w:p>
        </w:tc>
        <w:tc>
          <w:tcPr>
            <w:tcW w:w="918" w:type="dxa"/>
            <w:noWrap/>
          </w:tcPr>
          <w:p w:rsidR="008404C7" w:rsidRDefault="008404C7">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–0.3</w:t>
            </w:r>
          </w:p>
        </w:tc>
        <w:tc>
          <w:tcPr>
            <w:tcW w:w="919" w:type="dxa"/>
            <w:noWrap/>
          </w:tcPr>
          <w:p w:rsidR="008404C7" w:rsidRDefault="008404C7">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–1.8</w:t>
            </w:r>
          </w:p>
        </w:tc>
        <w:tc>
          <w:tcPr>
            <w:tcW w:w="918" w:type="dxa"/>
            <w:noWrap/>
          </w:tcPr>
          <w:p w:rsidR="008404C7" w:rsidRDefault="008404C7">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–5.4</w:t>
            </w:r>
          </w:p>
        </w:tc>
        <w:tc>
          <w:tcPr>
            <w:tcW w:w="919" w:type="dxa"/>
            <w:noWrap/>
          </w:tcPr>
          <w:p w:rsidR="008404C7" w:rsidRDefault="008404C7">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–7.9</w:t>
            </w:r>
          </w:p>
        </w:tc>
      </w:tr>
      <w:tr w:rsidR="008404C7" w:rsidRPr="00DD1300" w:rsidTr="003C0311">
        <w:trPr>
          <w:trHeight w:val="275"/>
        </w:trPr>
        <w:tc>
          <w:tcPr>
            <w:cnfStyle w:val="001000000000" w:firstRow="0" w:lastRow="0" w:firstColumn="1" w:lastColumn="0" w:oddVBand="0" w:evenVBand="0" w:oddHBand="0" w:evenHBand="0" w:firstRowFirstColumn="0" w:firstRowLastColumn="0" w:lastRowFirstColumn="0" w:lastRowLastColumn="0"/>
            <w:tcW w:w="3369" w:type="dxa"/>
            <w:noWrap/>
            <w:hideMark/>
          </w:tcPr>
          <w:p w:rsidR="008404C7" w:rsidRPr="00DD1300" w:rsidRDefault="008404C7" w:rsidP="00DD1300">
            <w:pPr>
              <w:keepNext/>
            </w:pPr>
            <w:r w:rsidRPr="00DD1300">
              <w:t>Net tax allowance</w:t>
            </w:r>
          </w:p>
        </w:tc>
        <w:tc>
          <w:tcPr>
            <w:tcW w:w="918" w:type="dxa"/>
            <w:noWrap/>
          </w:tcPr>
          <w:p w:rsidR="008404C7" w:rsidRDefault="008404C7">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13.2</w:t>
            </w:r>
          </w:p>
        </w:tc>
        <w:tc>
          <w:tcPr>
            <w:tcW w:w="919" w:type="dxa"/>
            <w:noWrap/>
          </w:tcPr>
          <w:p w:rsidR="008404C7" w:rsidRDefault="008404C7">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10.6</w:t>
            </w:r>
          </w:p>
        </w:tc>
        <w:tc>
          <w:tcPr>
            <w:tcW w:w="918" w:type="dxa"/>
            <w:noWrap/>
          </w:tcPr>
          <w:p w:rsidR="008404C7" w:rsidRDefault="008404C7">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12.4</w:t>
            </w:r>
          </w:p>
        </w:tc>
        <w:tc>
          <w:tcPr>
            <w:tcW w:w="919" w:type="dxa"/>
            <w:noWrap/>
          </w:tcPr>
          <w:p w:rsidR="008404C7" w:rsidRDefault="008404C7">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14.0</w:t>
            </w:r>
          </w:p>
        </w:tc>
        <w:tc>
          <w:tcPr>
            <w:tcW w:w="918" w:type="dxa"/>
            <w:noWrap/>
          </w:tcPr>
          <w:p w:rsidR="008404C7" w:rsidRDefault="008404C7">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9.2</w:t>
            </w:r>
          </w:p>
        </w:tc>
        <w:tc>
          <w:tcPr>
            <w:tcW w:w="919" w:type="dxa"/>
            <w:noWrap/>
          </w:tcPr>
          <w:p w:rsidR="008404C7" w:rsidRDefault="008404C7">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59.5</w:t>
            </w:r>
          </w:p>
        </w:tc>
      </w:tr>
      <w:tr w:rsidR="008404C7" w:rsidRPr="00DD1300" w:rsidTr="003C0311">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369" w:type="dxa"/>
            <w:noWrap/>
            <w:vAlign w:val="bottom"/>
            <w:hideMark/>
          </w:tcPr>
          <w:p w:rsidR="008404C7" w:rsidRPr="003C0311" w:rsidRDefault="008404C7" w:rsidP="003C0311">
            <w:r w:rsidRPr="003C0311">
              <w:t>Annual building block revenue requirement</w:t>
            </w:r>
            <w:r w:rsidRPr="003C0311">
              <w:br/>
              <w:t>(unsmoothed)</w:t>
            </w:r>
          </w:p>
        </w:tc>
        <w:tc>
          <w:tcPr>
            <w:tcW w:w="918" w:type="dxa"/>
            <w:noWrap/>
          </w:tcPr>
          <w:p w:rsidR="008404C7" w:rsidRDefault="008404C7">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526.1</w:t>
            </w:r>
          </w:p>
        </w:tc>
        <w:tc>
          <w:tcPr>
            <w:tcW w:w="919" w:type="dxa"/>
            <w:noWrap/>
          </w:tcPr>
          <w:p w:rsidR="008404C7" w:rsidRDefault="008404C7">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537.1</w:t>
            </w:r>
          </w:p>
        </w:tc>
        <w:tc>
          <w:tcPr>
            <w:tcW w:w="918" w:type="dxa"/>
            <w:noWrap/>
          </w:tcPr>
          <w:p w:rsidR="008404C7" w:rsidRDefault="008404C7">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556.8</w:t>
            </w:r>
          </w:p>
        </w:tc>
        <w:tc>
          <w:tcPr>
            <w:tcW w:w="919" w:type="dxa"/>
            <w:noWrap/>
          </w:tcPr>
          <w:p w:rsidR="008404C7" w:rsidRDefault="008404C7">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569.9</w:t>
            </w:r>
          </w:p>
        </w:tc>
        <w:tc>
          <w:tcPr>
            <w:tcW w:w="918" w:type="dxa"/>
            <w:noWrap/>
          </w:tcPr>
          <w:p w:rsidR="008404C7" w:rsidRDefault="008404C7">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553.1</w:t>
            </w:r>
          </w:p>
        </w:tc>
        <w:tc>
          <w:tcPr>
            <w:tcW w:w="919" w:type="dxa"/>
            <w:noWrap/>
          </w:tcPr>
          <w:p w:rsidR="008404C7" w:rsidRDefault="008404C7">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2742.8</w:t>
            </w:r>
          </w:p>
        </w:tc>
      </w:tr>
      <w:tr w:rsidR="008404C7" w:rsidRPr="003C0311" w:rsidTr="003C0311">
        <w:trPr>
          <w:trHeight w:val="275"/>
        </w:trPr>
        <w:tc>
          <w:tcPr>
            <w:cnfStyle w:val="001000000000" w:firstRow="0" w:lastRow="0" w:firstColumn="1" w:lastColumn="0" w:oddVBand="0" w:evenVBand="0" w:oddHBand="0" w:evenHBand="0" w:firstRowFirstColumn="0" w:firstRowLastColumn="0" w:lastRowFirstColumn="0" w:lastRowLastColumn="0"/>
            <w:tcW w:w="3369" w:type="dxa"/>
            <w:noWrap/>
            <w:vAlign w:val="bottom"/>
            <w:hideMark/>
          </w:tcPr>
          <w:p w:rsidR="008404C7" w:rsidRPr="003C0311" w:rsidRDefault="008404C7" w:rsidP="00B408B4">
            <w:pPr>
              <w:rPr>
                <w:rStyle w:val="Strong"/>
              </w:rPr>
            </w:pPr>
            <w:r w:rsidRPr="003C0311">
              <w:rPr>
                <w:rStyle w:val="Strong"/>
              </w:rPr>
              <w:t>Annual exp</w:t>
            </w:r>
            <w:r>
              <w:rPr>
                <w:rStyle w:val="Strong"/>
              </w:rPr>
              <w:t>e</w:t>
            </w:r>
            <w:r w:rsidRPr="003C0311">
              <w:rPr>
                <w:rStyle w:val="Strong"/>
              </w:rPr>
              <w:t>cted MAR (smoothed)</w:t>
            </w:r>
          </w:p>
        </w:tc>
        <w:tc>
          <w:tcPr>
            <w:tcW w:w="918" w:type="dxa"/>
            <w:noWrap/>
          </w:tcPr>
          <w:p w:rsidR="008404C7" w:rsidRDefault="008404C7">
            <w:pPr>
              <w:outlineLvl w:val="0"/>
              <w:cnfStyle w:val="000000000000" w:firstRow="0" w:lastRow="0" w:firstColumn="0" w:lastColumn="0" w:oddVBand="0" w:evenVBand="0" w:oddHBand="0" w:evenHBand="0" w:firstRowFirstColumn="0" w:firstRowLastColumn="0" w:lastRowFirstColumn="0" w:lastRowLastColumn="0"/>
              <w:rPr>
                <w:rFonts w:cs="Arial"/>
                <w:b/>
                <w:bCs/>
                <w:color w:val="000000"/>
                <w:szCs w:val="16"/>
              </w:rPr>
            </w:pPr>
            <w:r>
              <w:rPr>
                <w:rFonts w:cs="Arial"/>
                <w:b/>
                <w:bCs/>
                <w:color w:val="000000"/>
                <w:szCs w:val="16"/>
              </w:rPr>
              <w:t>534.8</w:t>
            </w:r>
          </w:p>
        </w:tc>
        <w:tc>
          <w:tcPr>
            <w:tcW w:w="919" w:type="dxa"/>
            <w:noWrap/>
          </w:tcPr>
          <w:p w:rsidR="008404C7" w:rsidRDefault="008404C7">
            <w:pPr>
              <w:outlineLvl w:val="0"/>
              <w:cnfStyle w:val="000000000000" w:firstRow="0" w:lastRow="0" w:firstColumn="0" w:lastColumn="0" w:oddVBand="0" w:evenVBand="0" w:oddHBand="0" w:evenHBand="0" w:firstRowFirstColumn="0" w:firstRowLastColumn="0" w:lastRowFirstColumn="0" w:lastRowLastColumn="0"/>
              <w:rPr>
                <w:rFonts w:cs="Arial"/>
                <w:b/>
                <w:bCs/>
                <w:color w:val="000000"/>
                <w:szCs w:val="16"/>
              </w:rPr>
            </w:pPr>
            <w:r>
              <w:rPr>
                <w:rFonts w:cs="Arial"/>
                <w:b/>
                <w:bCs/>
                <w:color w:val="000000"/>
                <w:szCs w:val="16"/>
              </w:rPr>
              <w:t>541.5</w:t>
            </w:r>
          </w:p>
        </w:tc>
        <w:tc>
          <w:tcPr>
            <w:tcW w:w="918" w:type="dxa"/>
            <w:noWrap/>
          </w:tcPr>
          <w:p w:rsidR="008404C7" w:rsidRDefault="008404C7">
            <w:pPr>
              <w:outlineLvl w:val="0"/>
              <w:cnfStyle w:val="000000000000" w:firstRow="0" w:lastRow="0" w:firstColumn="0" w:lastColumn="0" w:oddVBand="0" w:evenVBand="0" w:oddHBand="0" w:evenHBand="0" w:firstRowFirstColumn="0" w:firstRowLastColumn="0" w:lastRowFirstColumn="0" w:lastRowLastColumn="0"/>
              <w:rPr>
                <w:rFonts w:cs="Arial"/>
                <w:b/>
                <w:bCs/>
                <w:color w:val="000000"/>
                <w:szCs w:val="16"/>
              </w:rPr>
            </w:pPr>
            <w:r>
              <w:rPr>
                <w:rFonts w:cs="Arial"/>
                <w:b/>
                <w:bCs/>
                <w:color w:val="000000"/>
                <w:szCs w:val="16"/>
              </w:rPr>
              <w:t>548.3</w:t>
            </w:r>
          </w:p>
        </w:tc>
        <w:tc>
          <w:tcPr>
            <w:tcW w:w="919" w:type="dxa"/>
            <w:noWrap/>
          </w:tcPr>
          <w:p w:rsidR="008404C7" w:rsidRDefault="008404C7">
            <w:pPr>
              <w:outlineLvl w:val="0"/>
              <w:cnfStyle w:val="000000000000" w:firstRow="0" w:lastRow="0" w:firstColumn="0" w:lastColumn="0" w:oddVBand="0" w:evenVBand="0" w:oddHBand="0" w:evenHBand="0" w:firstRowFirstColumn="0" w:firstRowLastColumn="0" w:lastRowFirstColumn="0" w:lastRowLastColumn="0"/>
              <w:rPr>
                <w:rFonts w:cs="Arial"/>
                <w:b/>
                <w:bCs/>
                <w:color w:val="000000"/>
                <w:szCs w:val="16"/>
              </w:rPr>
            </w:pPr>
            <w:r>
              <w:rPr>
                <w:rFonts w:cs="Arial"/>
                <w:b/>
                <w:bCs/>
                <w:color w:val="000000"/>
                <w:szCs w:val="16"/>
              </w:rPr>
              <w:t>555.1</w:t>
            </w:r>
          </w:p>
        </w:tc>
        <w:tc>
          <w:tcPr>
            <w:tcW w:w="918" w:type="dxa"/>
            <w:noWrap/>
          </w:tcPr>
          <w:p w:rsidR="008404C7" w:rsidRDefault="008404C7">
            <w:pPr>
              <w:outlineLvl w:val="0"/>
              <w:cnfStyle w:val="000000000000" w:firstRow="0" w:lastRow="0" w:firstColumn="0" w:lastColumn="0" w:oddVBand="0" w:evenVBand="0" w:oddHBand="0" w:evenHBand="0" w:firstRowFirstColumn="0" w:firstRowLastColumn="0" w:lastRowFirstColumn="0" w:lastRowLastColumn="0"/>
              <w:rPr>
                <w:rFonts w:cs="Arial"/>
                <w:b/>
                <w:bCs/>
                <w:color w:val="000000"/>
                <w:szCs w:val="16"/>
              </w:rPr>
            </w:pPr>
            <w:r>
              <w:rPr>
                <w:rFonts w:cs="Arial"/>
                <w:b/>
                <w:bCs/>
                <w:color w:val="000000"/>
                <w:szCs w:val="16"/>
              </w:rPr>
              <w:t>562.1</w:t>
            </w:r>
          </w:p>
        </w:tc>
        <w:tc>
          <w:tcPr>
            <w:tcW w:w="919" w:type="dxa"/>
            <w:noWrap/>
          </w:tcPr>
          <w:p w:rsidR="008404C7" w:rsidRDefault="008404C7" w:rsidP="008404C7">
            <w:pPr>
              <w:outlineLvl w:val="0"/>
              <w:cnfStyle w:val="000000000000" w:firstRow="0" w:lastRow="0" w:firstColumn="0" w:lastColumn="0" w:oddVBand="0" w:evenVBand="0" w:oddHBand="0" w:evenHBand="0" w:firstRowFirstColumn="0" w:firstRowLastColumn="0" w:lastRowFirstColumn="0" w:lastRowLastColumn="0"/>
              <w:rPr>
                <w:rFonts w:cs="Arial"/>
                <w:b/>
                <w:bCs/>
                <w:color w:val="000000"/>
                <w:szCs w:val="16"/>
              </w:rPr>
            </w:pPr>
            <w:r>
              <w:rPr>
                <w:rFonts w:cs="Arial"/>
                <w:b/>
                <w:bCs/>
                <w:color w:val="000000"/>
                <w:szCs w:val="16"/>
              </w:rPr>
              <w:t>2741.7</w:t>
            </w:r>
            <w:r w:rsidRPr="0076460B">
              <w:rPr>
                <w:rStyle w:val="AERsuperscript"/>
              </w:rPr>
              <w:t>d</w:t>
            </w:r>
          </w:p>
        </w:tc>
      </w:tr>
      <w:tr w:rsidR="00CA60B6" w:rsidRPr="00DD1300" w:rsidTr="003C0311">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369" w:type="dxa"/>
            <w:noWrap/>
            <w:hideMark/>
          </w:tcPr>
          <w:p w:rsidR="00CA60B6" w:rsidRPr="00DD1300" w:rsidRDefault="00CA60B6" w:rsidP="00DD1300">
            <w:pPr>
              <w:keepNext/>
            </w:pPr>
            <w:r w:rsidRPr="00DD1300">
              <w:t>X factor (%)</w:t>
            </w:r>
            <w:r>
              <w:rPr>
                <w:rStyle w:val="AERsuperscript"/>
              </w:rPr>
              <w:t>e</w:t>
            </w:r>
          </w:p>
        </w:tc>
        <w:tc>
          <w:tcPr>
            <w:tcW w:w="918" w:type="dxa"/>
            <w:noWrap/>
          </w:tcPr>
          <w:p w:rsidR="00CA60B6" w:rsidRDefault="00CA60B6">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n/a</w:t>
            </w:r>
            <w:r w:rsidRPr="0076460B">
              <w:rPr>
                <w:rStyle w:val="AERsuperscript"/>
              </w:rPr>
              <w:t>f</w:t>
            </w:r>
          </w:p>
        </w:tc>
        <w:tc>
          <w:tcPr>
            <w:tcW w:w="919" w:type="dxa"/>
            <w:noWrap/>
          </w:tcPr>
          <w:p w:rsidR="00CA60B6" w:rsidRDefault="00CA60B6">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1.12%</w:t>
            </w:r>
          </w:p>
        </w:tc>
        <w:tc>
          <w:tcPr>
            <w:tcW w:w="918" w:type="dxa"/>
            <w:noWrap/>
          </w:tcPr>
          <w:p w:rsidR="00CA60B6" w:rsidRDefault="00CA60B6">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1.12%</w:t>
            </w:r>
          </w:p>
        </w:tc>
        <w:tc>
          <w:tcPr>
            <w:tcW w:w="919" w:type="dxa"/>
            <w:noWrap/>
          </w:tcPr>
          <w:p w:rsidR="00CA60B6" w:rsidRDefault="00CA60B6">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1.12%</w:t>
            </w:r>
          </w:p>
        </w:tc>
        <w:tc>
          <w:tcPr>
            <w:tcW w:w="918" w:type="dxa"/>
            <w:noWrap/>
          </w:tcPr>
          <w:p w:rsidR="00CA60B6" w:rsidRDefault="00CA60B6">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1.12%</w:t>
            </w:r>
          </w:p>
        </w:tc>
        <w:tc>
          <w:tcPr>
            <w:tcW w:w="919" w:type="dxa"/>
            <w:noWrap/>
          </w:tcPr>
          <w:p w:rsidR="00CA60B6" w:rsidRDefault="00CA60B6">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n/a</w:t>
            </w:r>
          </w:p>
        </w:tc>
      </w:tr>
    </w:tbl>
    <w:p w:rsidR="00DD1300" w:rsidRDefault="00DD1300" w:rsidP="00DD1300">
      <w:pPr>
        <w:pStyle w:val="AERtablesource"/>
      </w:pPr>
      <w:r>
        <w:t>Source:</w:t>
      </w:r>
      <w:r>
        <w:tab/>
        <w:t>AER analysis.</w:t>
      </w:r>
    </w:p>
    <w:p w:rsidR="00DD1300" w:rsidRDefault="00DD1300" w:rsidP="00DD1300">
      <w:pPr>
        <w:pStyle w:val="AERtablesource"/>
      </w:pPr>
      <w:r>
        <w:t>(a)</w:t>
      </w:r>
      <w:r>
        <w:tab/>
      </w:r>
      <w:r w:rsidRPr="00DD1300">
        <w:t>Regulatory depreciation is straight-line depreciation net of the inflation indexation on the opening RAB.</w:t>
      </w:r>
    </w:p>
    <w:p w:rsidR="00711D0E" w:rsidRDefault="00B408B4" w:rsidP="00DD1300">
      <w:pPr>
        <w:pStyle w:val="AERtablesource"/>
      </w:pPr>
      <w:r>
        <w:t>(b)</w:t>
      </w:r>
      <w:r>
        <w:tab/>
      </w:r>
      <w:r w:rsidR="00711D0E">
        <w:t>Operating expenditure includes debt raising costs.</w:t>
      </w:r>
    </w:p>
    <w:p w:rsidR="00B408B4" w:rsidRDefault="00711D0E" w:rsidP="00DD1300">
      <w:pPr>
        <w:pStyle w:val="AERtablesource"/>
      </w:pPr>
      <w:r>
        <w:t>(c)</w:t>
      </w:r>
      <w:r>
        <w:tab/>
      </w:r>
      <w:r w:rsidR="003512D7">
        <w:t>Revenue adjustments i</w:t>
      </w:r>
      <w:r w:rsidR="00B408B4">
        <w:t>nclude efficiency benefit sharing scheme and shared asset amounts.</w:t>
      </w:r>
    </w:p>
    <w:p w:rsidR="00DD1300" w:rsidRPr="00DD1300" w:rsidRDefault="00DD1300" w:rsidP="00DD1300">
      <w:pPr>
        <w:pStyle w:val="AERtablesource"/>
      </w:pPr>
      <w:r>
        <w:t>(</w:t>
      </w:r>
      <w:r w:rsidR="00711D0E">
        <w:t>d</w:t>
      </w:r>
      <w:r>
        <w:t>)</w:t>
      </w:r>
      <w:r>
        <w:tab/>
      </w:r>
      <w:r w:rsidRPr="00DD1300">
        <w:t>The estimated total revenue cap is equal to the total annual expected MAR.</w:t>
      </w:r>
    </w:p>
    <w:p w:rsidR="00DD1300" w:rsidRDefault="00B408B4" w:rsidP="00DD1300">
      <w:pPr>
        <w:pStyle w:val="AERtablesource"/>
      </w:pPr>
      <w:r>
        <w:t>(</w:t>
      </w:r>
      <w:r w:rsidR="00711D0E">
        <w:t>e</w:t>
      </w:r>
      <w:r w:rsidR="00DD1300">
        <w:t>)</w:t>
      </w:r>
      <w:r w:rsidR="00DD1300">
        <w:tab/>
      </w:r>
      <w:r w:rsidR="00DD1300" w:rsidRPr="00DD1300">
        <w:t>The X factor</w:t>
      </w:r>
      <w:r w:rsidR="00DD1300">
        <w:t>s</w:t>
      </w:r>
      <w:r w:rsidR="00DD1300" w:rsidRPr="00DD1300">
        <w:t xml:space="preserve"> </w:t>
      </w:r>
      <w:r w:rsidR="003512D7">
        <w:t xml:space="preserve">for 2018–19 to 2021–22 </w:t>
      </w:r>
      <w:r w:rsidR="00DD1300" w:rsidRPr="00DD1300">
        <w:t>will be revised to reflect the annual return on debt update.</w:t>
      </w:r>
      <w:r w:rsidR="003512D7" w:rsidRPr="003512D7">
        <w:t xml:space="preserve"> Under the CPI–X framework, the X factor measures the real rate of change in annual expected revenue from one year to the next. A negative X factor represents a real increase in revenue. Conversely, a positive X factor represents a real decrease in revenue.</w:t>
      </w:r>
    </w:p>
    <w:p w:rsidR="00821FFA" w:rsidRPr="00821FFA" w:rsidRDefault="00B408B4" w:rsidP="00821FFA">
      <w:pPr>
        <w:pStyle w:val="AERtablesource"/>
      </w:pPr>
      <w:r>
        <w:t>(</w:t>
      </w:r>
      <w:r w:rsidR="00711D0E">
        <w:t>f</w:t>
      </w:r>
      <w:r w:rsidR="00821FFA">
        <w:t>)</w:t>
      </w:r>
      <w:r w:rsidR="00821FFA">
        <w:tab/>
        <w:t>AusNet Services</w:t>
      </w:r>
      <w:r w:rsidR="00821FFA" w:rsidRPr="00C10597">
        <w:t xml:space="preserve"> is not required to apply </w:t>
      </w:r>
      <w:r w:rsidR="00821FFA" w:rsidRPr="00365B2E">
        <w:t>an X factor for 2017–18 because we set the</w:t>
      </w:r>
      <w:r w:rsidR="00821FFA">
        <w:t xml:space="preserve"> 2017–18 MAR</w:t>
      </w:r>
      <w:r w:rsidR="00821FFA" w:rsidRPr="006D43B4">
        <w:t xml:space="preserve"> in </w:t>
      </w:r>
      <w:r w:rsidR="00821FFA">
        <w:t>this</w:t>
      </w:r>
      <w:r w:rsidR="00821FFA" w:rsidRPr="006D43B4">
        <w:t xml:space="preserve"> </w:t>
      </w:r>
      <w:r w:rsidR="00821FFA">
        <w:t>decision</w:t>
      </w:r>
      <w:r w:rsidR="00821FFA" w:rsidRPr="00C10597">
        <w:t>. The</w:t>
      </w:r>
      <w:r w:rsidR="00821FFA">
        <w:t xml:space="preserve"> </w:t>
      </w:r>
      <w:r w:rsidR="00821FFA" w:rsidRPr="00C10597">
        <w:t>MAR for 201</w:t>
      </w:r>
      <w:r w:rsidR="00821FFA">
        <w:t>7</w:t>
      </w:r>
      <w:r w:rsidR="00821FFA" w:rsidRPr="0076460B">
        <w:t xml:space="preserve">–18 is around </w:t>
      </w:r>
      <w:r w:rsidR="00CA60B6">
        <w:t>1.1</w:t>
      </w:r>
      <w:r w:rsidR="00821FFA" w:rsidRPr="0076460B">
        <w:t xml:space="preserve"> per cent lower than the approved MAR for 2016–17 in real terms, or </w:t>
      </w:r>
      <w:r w:rsidR="00CA60B6">
        <w:t>around 1.</w:t>
      </w:r>
      <w:r w:rsidR="008404C7">
        <w:t>3</w:t>
      </w:r>
      <w:r w:rsidR="00CA60B6">
        <w:t xml:space="preserve"> per cent higher </w:t>
      </w:r>
      <w:r w:rsidR="00821FFA" w:rsidRPr="0076460B">
        <w:t>in nominal terms</w:t>
      </w:r>
      <w:r w:rsidR="00821FFA">
        <w:t>.</w:t>
      </w:r>
    </w:p>
    <w:p w:rsidR="00DE563D" w:rsidRPr="001754EE" w:rsidRDefault="000B321F" w:rsidP="009822FF">
      <w:pPr>
        <w:pStyle w:val="Heading2"/>
        <w:keepNext/>
      </w:pPr>
      <w:bookmarkStart w:id="15" w:name="_Toc480808196"/>
      <w:r>
        <w:t>AusNet Services</w:t>
      </w:r>
      <w:r w:rsidR="00415F31" w:rsidRPr="001754EE">
        <w:t>’</w:t>
      </w:r>
      <w:r w:rsidR="00DE563D" w:rsidRPr="001754EE">
        <w:t xml:space="preserve"> </w:t>
      </w:r>
      <w:r w:rsidR="001D38AB">
        <w:t xml:space="preserve">revised </w:t>
      </w:r>
      <w:r w:rsidR="00DE563D" w:rsidRPr="001754EE">
        <w:t>proposal</w:t>
      </w:r>
      <w:bookmarkEnd w:id="13"/>
      <w:bookmarkEnd w:id="15"/>
    </w:p>
    <w:p w:rsidR="00866A2D" w:rsidRDefault="00DD1300" w:rsidP="00DD1300">
      <w:r>
        <w:t>AusNet Services</w:t>
      </w:r>
      <w:r w:rsidR="00711D0E">
        <w:t>’</w:t>
      </w:r>
      <w:r>
        <w:t xml:space="preserve"> </w:t>
      </w:r>
      <w:r w:rsidR="00DB739C" w:rsidRPr="00365B2E">
        <w:t xml:space="preserve">revised </w:t>
      </w:r>
      <w:r w:rsidRPr="00365B2E">
        <w:t>propos</w:t>
      </w:r>
      <w:r w:rsidR="00711D0E">
        <w:t>al includ</w:t>
      </w:r>
      <w:r w:rsidRPr="00365B2E">
        <w:t>ed a total (smoothed) revenue cap of $</w:t>
      </w:r>
      <w:r w:rsidR="009A754D" w:rsidRPr="00365B2E">
        <w:t>2967</w:t>
      </w:r>
      <w:r w:rsidRPr="00365B2E">
        <w:t>.5 million</w:t>
      </w:r>
      <w:r>
        <w:t xml:space="preserve"> ($ nominal) for the 2017–22</w:t>
      </w:r>
      <w:r w:rsidR="00821FFA">
        <w:t xml:space="preserve"> regulatory control</w:t>
      </w:r>
      <w:r>
        <w:t xml:space="preserve"> period.</w:t>
      </w:r>
    </w:p>
    <w:p w:rsidR="00DD1300" w:rsidRDefault="00866A2D" w:rsidP="00DD1300">
      <w:r>
        <w:fldChar w:fldCharType="begin"/>
      </w:r>
      <w:r>
        <w:instrText xml:space="preserve"> REF _Ref437859178 \h </w:instrText>
      </w:r>
      <w:r>
        <w:fldChar w:fldCharType="separate"/>
      </w:r>
      <w:r w:rsidR="00B12DD8">
        <w:t xml:space="preserve">Table </w:t>
      </w:r>
      <w:r w:rsidR="00B12DD8">
        <w:rPr>
          <w:noProof/>
        </w:rPr>
        <w:t>1</w:t>
      </w:r>
      <w:r w:rsidR="00B12DD8">
        <w:t>.</w:t>
      </w:r>
      <w:r w:rsidR="00B12DD8">
        <w:rPr>
          <w:noProof/>
        </w:rPr>
        <w:t>2</w:t>
      </w:r>
      <w:r>
        <w:fldChar w:fldCharType="end"/>
      </w:r>
      <w:r w:rsidR="00DD1300">
        <w:t xml:space="preserve"> sets out AusNet Services’ </w:t>
      </w:r>
      <w:r w:rsidR="00DB739C">
        <w:t>revised proposed</w:t>
      </w:r>
      <w:r w:rsidR="00DD1300">
        <w:t xml:space="preserve"> annual building block revenue requirement, the X factor, the annual expected MAR and the estimated total revenue cap.</w:t>
      </w:r>
      <w:r w:rsidR="00893AB0">
        <w:t xml:space="preserve"> AusNet Services proposed a smoothing profile that results in a large increase in expected revenues in 2017–18 followed by a reduction (in real dollar terms) for the subsequent years of the regulatory control period.</w:t>
      </w:r>
    </w:p>
    <w:p w:rsidR="00866A2D" w:rsidRDefault="00866A2D" w:rsidP="00B12DD8">
      <w:pPr>
        <w:pStyle w:val="Caption"/>
      </w:pPr>
      <w:bookmarkStart w:id="16" w:name="_Ref437859178"/>
      <w:r>
        <w:lastRenderedPageBreak/>
        <w:t xml:space="preserve">Table </w:t>
      </w:r>
      <w:fldSimple w:instr=" STYLEREF 1 \s ">
        <w:r w:rsidR="00B12DD8">
          <w:rPr>
            <w:noProof/>
          </w:rPr>
          <w:t>1</w:t>
        </w:r>
      </w:fldSimple>
      <w:r w:rsidR="00AA72A6">
        <w:t>.</w:t>
      </w:r>
      <w:fldSimple w:instr=" SEQ Table \* ARABIC \s 1 ">
        <w:r w:rsidR="00B12DD8">
          <w:rPr>
            <w:noProof/>
          </w:rPr>
          <w:t>2</w:t>
        </w:r>
      </w:fldSimple>
      <w:bookmarkEnd w:id="16"/>
      <w:r>
        <w:tab/>
        <w:t xml:space="preserve">AusNet Services’ </w:t>
      </w:r>
      <w:r w:rsidR="00935379" w:rsidRPr="00365B2E">
        <w:t xml:space="preserve">revised </w:t>
      </w:r>
      <w:r w:rsidRPr="00365B2E">
        <w:t>proposed annual</w:t>
      </w:r>
      <w:r>
        <w:t xml:space="preserve"> building block revenue requirement, annual expected MAR, estimated total revenue cap and X factor ($ million, nominal)</w:t>
      </w:r>
    </w:p>
    <w:tbl>
      <w:tblPr>
        <w:tblStyle w:val="AERtable-numbers"/>
        <w:tblW w:w="8989" w:type="dxa"/>
        <w:tblLayout w:type="fixed"/>
        <w:tblLook w:val="04A0" w:firstRow="1" w:lastRow="0" w:firstColumn="1" w:lastColumn="0" w:noHBand="0" w:noVBand="1"/>
      </w:tblPr>
      <w:tblGrid>
        <w:gridCol w:w="3369"/>
        <w:gridCol w:w="936"/>
        <w:gridCol w:w="937"/>
        <w:gridCol w:w="937"/>
        <w:gridCol w:w="936"/>
        <w:gridCol w:w="937"/>
        <w:gridCol w:w="937"/>
      </w:tblGrid>
      <w:tr w:rsidR="00DD1300" w:rsidRPr="00AA72A6" w:rsidTr="00154C99">
        <w:trPr>
          <w:cnfStyle w:val="100000000000" w:firstRow="1" w:lastRow="0" w:firstColumn="0" w:lastColumn="0" w:oddVBand="0" w:evenVBand="0" w:oddHBand="0" w:evenHBand="0" w:firstRowFirstColumn="0" w:firstRowLastColumn="0" w:lastRowFirstColumn="0" w:lastRowLastColumn="0"/>
          <w:trHeight w:val="265"/>
          <w:tblHeader/>
        </w:trPr>
        <w:tc>
          <w:tcPr>
            <w:cnfStyle w:val="001000000000" w:firstRow="0" w:lastRow="0" w:firstColumn="1" w:lastColumn="0" w:oddVBand="0" w:evenVBand="0" w:oddHBand="0" w:evenHBand="0" w:firstRowFirstColumn="0" w:firstRowLastColumn="0" w:lastRowFirstColumn="0" w:lastRowLastColumn="0"/>
            <w:tcW w:w="3369" w:type="dxa"/>
            <w:noWrap/>
            <w:hideMark/>
          </w:tcPr>
          <w:p w:rsidR="00DD1300" w:rsidRPr="00AA72A6" w:rsidRDefault="00DD1300" w:rsidP="00D2038C">
            <w:pPr>
              <w:keepNext/>
              <w:rPr>
                <w:rFonts w:eastAsiaTheme="minorHAnsi" w:cstheme="minorBidi"/>
                <w:b w:val="0"/>
                <w:color w:val="auto"/>
                <w:sz w:val="22"/>
                <w:szCs w:val="22"/>
                <w:lang w:eastAsia="en-US"/>
              </w:rPr>
            </w:pPr>
            <w:r w:rsidRPr="00AA72A6">
              <w:t> </w:t>
            </w:r>
          </w:p>
        </w:tc>
        <w:tc>
          <w:tcPr>
            <w:tcW w:w="936" w:type="dxa"/>
            <w:noWrap/>
            <w:hideMark/>
          </w:tcPr>
          <w:p w:rsidR="00DD1300" w:rsidRPr="00AA72A6" w:rsidRDefault="00DD1300" w:rsidP="00D2038C">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AA72A6">
              <w:t>2017–18</w:t>
            </w:r>
          </w:p>
        </w:tc>
        <w:tc>
          <w:tcPr>
            <w:tcW w:w="937" w:type="dxa"/>
            <w:noWrap/>
            <w:hideMark/>
          </w:tcPr>
          <w:p w:rsidR="00DD1300" w:rsidRPr="00AA72A6" w:rsidRDefault="00DD1300" w:rsidP="00D2038C">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AA72A6">
              <w:t>2018–19</w:t>
            </w:r>
          </w:p>
        </w:tc>
        <w:tc>
          <w:tcPr>
            <w:tcW w:w="937" w:type="dxa"/>
            <w:noWrap/>
            <w:hideMark/>
          </w:tcPr>
          <w:p w:rsidR="00DD1300" w:rsidRPr="00AA72A6" w:rsidRDefault="00DD1300" w:rsidP="00D2038C">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AA72A6">
              <w:t>2019–20</w:t>
            </w:r>
          </w:p>
        </w:tc>
        <w:tc>
          <w:tcPr>
            <w:tcW w:w="936" w:type="dxa"/>
            <w:noWrap/>
            <w:hideMark/>
          </w:tcPr>
          <w:p w:rsidR="00DD1300" w:rsidRPr="00AA72A6" w:rsidRDefault="00DD1300" w:rsidP="00D2038C">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AA72A6">
              <w:t>2020–21</w:t>
            </w:r>
          </w:p>
        </w:tc>
        <w:tc>
          <w:tcPr>
            <w:tcW w:w="937" w:type="dxa"/>
            <w:noWrap/>
            <w:hideMark/>
          </w:tcPr>
          <w:p w:rsidR="00DD1300" w:rsidRPr="00AA72A6" w:rsidRDefault="00DD1300" w:rsidP="00D2038C">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AA72A6">
              <w:t>2021–22</w:t>
            </w:r>
          </w:p>
        </w:tc>
        <w:tc>
          <w:tcPr>
            <w:tcW w:w="937" w:type="dxa"/>
            <w:noWrap/>
            <w:hideMark/>
          </w:tcPr>
          <w:p w:rsidR="00DD1300" w:rsidRPr="00AA72A6" w:rsidRDefault="00DD1300" w:rsidP="00D2038C">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AA72A6">
              <w:t>Total</w:t>
            </w:r>
          </w:p>
        </w:tc>
      </w:tr>
      <w:tr w:rsidR="00935379" w:rsidRPr="00AA72A6" w:rsidTr="003C0311">
        <w:trPr>
          <w:trHeight w:val="265"/>
        </w:trPr>
        <w:tc>
          <w:tcPr>
            <w:cnfStyle w:val="001000000000" w:firstRow="0" w:lastRow="0" w:firstColumn="1" w:lastColumn="0" w:oddVBand="0" w:evenVBand="0" w:oddHBand="0" w:evenHBand="0" w:firstRowFirstColumn="0" w:firstRowLastColumn="0" w:lastRowFirstColumn="0" w:lastRowLastColumn="0"/>
            <w:tcW w:w="3369" w:type="dxa"/>
            <w:noWrap/>
            <w:hideMark/>
          </w:tcPr>
          <w:p w:rsidR="00935379" w:rsidRPr="00AA72A6" w:rsidRDefault="00935379" w:rsidP="00D2038C">
            <w:pPr>
              <w:keepNext/>
              <w:rPr>
                <w:rFonts w:eastAsiaTheme="minorHAnsi" w:cstheme="minorBidi"/>
                <w:sz w:val="22"/>
                <w:szCs w:val="22"/>
                <w:lang w:eastAsia="en-US"/>
              </w:rPr>
            </w:pPr>
            <w:r w:rsidRPr="00AA72A6">
              <w:t>Return on capital</w:t>
            </w:r>
          </w:p>
        </w:tc>
        <w:tc>
          <w:tcPr>
            <w:tcW w:w="936" w:type="dxa"/>
            <w:noWrap/>
            <w:hideMark/>
          </w:tcPr>
          <w:p w:rsidR="00935379" w:rsidRPr="00365B2E" w:rsidRDefault="00935379" w:rsidP="00D2038C">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365B2E">
              <w:t>235.9</w:t>
            </w:r>
          </w:p>
        </w:tc>
        <w:tc>
          <w:tcPr>
            <w:tcW w:w="937" w:type="dxa"/>
            <w:noWrap/>
            <w:hideMark/>
          </w:tcPr>
          <w:p w:rsidR="00935379" w:rsidRPr="00365B2E" w:rsidRDefault="00935379" w:rsidP="00D2038C">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365B2E">
              <w:t>233.9</w:t>
            </w:r>
          </w:p>
        </w:tc>
        <w:tc>
          <w:tcPr>
            <w:tcW w:w="937" w:type="dxa"/>
            <w:noWrap/>
            <w:hideMark/>
          </w:tcPr>
          <w:p w:rsidR="00935379" w:rsidRPr="00365B2E" w:rsidRDefault="00935379" w:rsidP="00D2038C">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365B2E">
              <w:t>225.1</w:t>
            </w:r>
          </w:p>
        </w:tc>
        <w:tc>
          <w:tcPr>
            <w:tcW w:w="936" w:type="dxa"/>
            <w:noWrap/>
            <w:hideMark/>
          </w:tcPr>
          <w:p w:rsidR="00935379" w:rsidRPr="00365B2E" w:rsidRDefault="00935379" w:rsidP="00D2038C">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365B2E">
              <w:t>218.5</w:t>
            </w:r>
          </w:p>
        </w:tc>
        <w:tc>
          <w:tcPr>
            <w:tcW w:w="937" w:type="dxa"/>
            <w:noWrap/>
            <w:hideMark/>
          </w:tcPr>
          <w:p w:rsidR="00935379" w:rsidRPr="00365B2E" w:rsidRDefault="00935379" w:rsidP="00D2038C">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365B2E">
              <w:t>213.2</w:t>
            </w:r>
          </w:p>
        </w:tc>
        <w:tc>
          <w:tcPr>
            <w:tcW w:w="937" w:type="dxa"/>
            <w:noWrap/>
            <w:hideMark/>
          </w:tcPr>
          <w:p w:rsidR="00935379" w:rsidRPr="00365B2E" w:rsidRDefault="00935379" w:rsidP="00D2038C">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365B2E">
              <w:t>1126.5</w:t>
            </w:r>
          </w:p>
        </w:tc>
      </w:tr>
      <w:tr w:rsidR="00935379" w:rsidRPr="00AA72A6" w:rsidTr="003C0311">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369" w:type="dxa"/>
            <w:noWrap/>
            <w:hideMark/>
          </w:tcPr>
          <w:p w:rsidR="00935379" w:rsidRPr="00AA72A6" w:rsidRDefault="00935379" w:rsidP="00D2038C">
            <w:pPr>
              <w:keepNext/>
              <w:rPr>
                <w:rFonts w:eastAsiaTheme="minorHAnsi" w:cstheme="minorBidi"/>
                <w:b/>
                <w:bCs/>
                <w:sz w:val="22"/>
                <w:szCs w:val="22"/>
                <w:lang w:eastAsia="en-US"/>
              </w:rPr>
            </w:pPr>
            <w:r w:rsidRPr="00AA72A6">
              <w:t>Regulatory depreciation</w:t>
            </w:r>
            <w:r w:rsidRPr="00CA51BD">
              <w:rPr>
                <w:rStyle w:val="AERsuperscript"/>
              </w:rPr>
              <w:t>a</w:t>
            </w:r>
          </w:p>
        </w:tc>
        <w:tc>
          <w:tcPr>
            <w:tcW w:w="936" w:type="dxa"/>
            <w:noWrap/>
            <w:hideMark/>
          </w:tcPr>
          <w:p w:rsidR="00935379" w:rsidRPr="00365B2E" w:rsidRDefault="00935379" w:rsidP="00D2038C">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365B2E">
              <w:t>120.8</w:t>
            </w:r>
          </w:p>
        </w:tc>
        <w:tc>
          <w:tcPr>
            <w:tcW w:w="937" w:type="dxa"/>
            <w:noWrap/>
            <w:hideMark/>
          </w:tcPr>
          <w:p w:rsidR="00935379" w:rsidRPr="00365B2E" w:rsidRDefault="00935379" w:rsidP="00D2038C">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365B2E">
              <w:t>123.0</w:t>
            </w:r>
          </w:p>
        </w:tc>
        <w:tc>
          <w:tcPr>
            <w:tcW w:w="937" w:type="dxa"/>
            <w:noWrap/>
            <w:hideMark/>
          </w:tcPr>
          <w:p w:rsidR="00935379" w:rsidRPr="00365B2E" w:rsidRDefault="00935379" w:rsidP="00D2038C">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365B2E">
              <w:t>130.3</w:t>
            </w:r>
          </w:p>
        </w:tc>
        <w:tc>
          <w:tcPr>
            <w:tcW w:w="936" w:type="dxa"/>
            <w:noWrap/>
            <w:hideMark/>
          </w:tcPr>
          <w:p w:rsidR="00935379" w:rsidRPr="00365B2E" w:rsidRDefault="00935379" w:rsidP="00D2038C">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365B2E">
              <w:t>133.5</w:t>
            </w:r>
          </w:p>
        </w:tc>
        <w:tc>
          <w:tcPr>
            <w:tcW w:w="937" w:type="dxa"/>
            <w:noWrap/>
            <w:hideMark/>
          </w:tcPr>
          <w:p w:rsidR="00935379" w:rsidRPr="00365B2E" w:rsidRDefault="00935379" w:rsidP="00D2038C">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365B2E">
              <w:t>116.7</w:t>
            </w:r>
          </w:p>
        </w:tc>
        <w:tc>
          <w:tcPr>
            <w:tcW w:w="937" w:type="dxa"/>
            <w:noWrap/>
            <w:hideMark/>
          </w:tcPr>
          <w:p w:rsidR="00935379" w:rsidRPr="00365B2E" w:rsidRDefault="00935379" w:rsidP="00D2038C">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365B2E">
              <w:t>624.2</w:t>
            </w:r>
          </w:p>
        </w:tc>
      </w:tr>
      <w:tr w:rsidR="00935379" w:rsidRPr="00AA72A6" w:rsidTr="003C0311">
        <w:trPr>
          <w:trHeight w:val="265"/>
        </w:trPr>
        <w:tc>
          <w:tcPr>
            <w:cnfStyle w:val="001000000000" w:firstRow="0" w:lastRow="0" w:firstColumn="1" w:lastColumn="0" w:oddVBand="0" w:evenVBand="0" w:oddHBand="0" w:evenHBand="0" w:firstRowFirstColumn="0" w:firstRowLastColumn="0" w:lastRowFirstColumn="0" w:lastRowLastColumn="0"/>
            <w:tcW w:w="3369" w:type="dxa"/>
            <w:noWrap/>
            <w:hideMark/>
          </w:tcPr>
          <w:p w:rsidR="00935379" w:rsidRPr="00EC1655" w:rsidRDefault="00935379" w:rsidP="00D2038C">
            <w:pPr>
              <w:keepNext/>
              <w:rPr>
                <w:rStyle w:val="AERsuperscript"/>
              </w:rPr>
            </w:pPr>
            <w:r w:rsidRPr="00AA72A6">
              <w:t>Operating expenditure</w:t>
            </w:r>
            <w:r w:rsidR="00146489">
              <w:rPr>
                <w:rStyle w:val="AERsuperscript"/>
              </w:rPr>
              <w:t>b</w:t>
            </w:r>
          </w:p>
        </w:tc>
        <w:tc>
          <w:tcPr>
            <w:tcW w:w="936" w:type="dxa"/>
            <w:noWrap/>
            <w:hideMark/>
          </w:tcPr>
          <w:p w:rsidR="00935379" w:rsidRPr="00365B2E" w:rsidRDefault="00935379" w:rsidP="00D2038C">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365B2E">
              <w:t>219.2</w:t>
            </w:r>
          </w:p>
        </w:tc>
        <w:tc>
          <w:tcPr>
            <w:tcW w:w="937" w:type="dxa"/>
            <w:noWrap/>
            <w:hideMark/>
          </w:tcPr>
          <w:p w:rsidR="00935379" w:rsidRPr="00365B2E" w:rsidRDefault="00935379" w:rsidP="00D2038C">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365B2E">
              <w:t>216.6</w:t>
            </w:r>
          </w:p>
        </w:tc>
        <w:tc>
          <w:tcPr>
            <w:tcW w:w="937" w:type="dxa"/>
            <w:noWrap/>
            <w:hideMark/>
          </w:tcPr>
          <w:p w:rsidR="00935379" w:rsidRPr="00365B2E" w:rsidRDefault="00935379" w:rsidP="00D2038C">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365B2E">
              <w:t>220.6</w:t>
            </w:r>
          </w:p>
        </w:tc>
        <w:tc>
          <w:tcPr>
            <w:tcW w:w="936" w:type="dxa"/>
            <w:noWrap/>
            <w:hideMark/>
          </w:tcPr>
          <w:p w:rsidR="00935379" w:rsidRPr="00365B2E" w:rsidRDefault="00935379" w:rsidP="00D2038C">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365B2E">
              <w:t>225.4</w:t>
            </w:r>
          </w:p>
        </w:tc>
        <w:tc>
          <w:tcPr>
            <w:tcW w:w="937" w:type="dxa"/>
            <w:noWrap/>
            <w:hideMark/>
          </w:tcPr>
          <w:p w:rsidR="00935379" w:rsidRPr="00365B2E" w:rsidRDefault="00935379" w:rsidP="00D2038C">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365B2E">
              <w:t>229.2</w:t>
            </w:r>
          </w:p>
        </w:tc>
        <w:tc>
          <w:tcPr>
            <w:tcW w:w="937" w:type="dxa"/>
            <w:noWrap/>
            <w:hideMark/>
          </w:tcPr>
          <w:p w:rsidR="00935379" w:rsidRPr="00365B2E" w:rsidRDefault="00935379" w:rsidP="00D2038C">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365B2E">
              <w:t>1111.0</w:t>
            </w:r>
          </w:p>
        </w:tc>
      </w:tr>
      <w:tr w:rsidR="00935379" w:rsidRPr="00AA72A6" w:rsidTr="003C0311">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369" w:type="dxa"/>
            <w:noWrap/>
            <w:hideMark/>
          </w:tcPr>
          <w:p w:rsidR="00935379" w:rsidRPr="00AA72A6" w:rsidRDefault="00935379" w:rsidP="00D2038C">
            <w:pPr>
              <w:keepNext/>
              <w:rPr>
                <w:rFonts w:eastAsiaTheme="minorHAnsi" w:cstheme="minorBidi"/>
                <w:b/>
                <w:bCs/>
                <w:sz w:val="22"/>
                <w:szCs w:val="22"/>
                <w:lang w:eastAsia="en-US"/>
              </w:rPr>
            </w:pPr>
            <w:r w:rsidRPr="00AA72A6">
              <w:t>Revenue adjustments</w:t>
            </w:r>
            <w:r w:rsidR="00146489">
              <w:rPr>
                <w:rStyle w:val="AERsuperscript"/>
              </w:rPr>
              <w:t>c</w:t>
            </w:r>
          </w:p>
        </w:tc>
        <w:tc>
          <w:tcPr>
            <w:tcW w:w="936" w:type="dxa"/>
            <w:noWrap/>
            <w:hideMark/>
          </w:tcPr>
          <w:p w:rsidR="00935379" w:rsidRPr="00365B2E" w:rsidRDefault="00935379" w:rsidP="00D2038C">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365B2E">
              <w:t>–0.2</w:t>
            </w:r>
          </w:p>
        </w:tc>
        <w:tc>
          <w:tcPr>
            <w:tcW w:w="937" w:type="dxa"/>
            <w:noWrap/>
            <w:hideMark/>
          </w:tcPr>
          <w:p w:rsidR="00935379" w:rsidRPr="00365B2E" w:rsidRDefault="00935379" w:rsidP="00D2038C">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365B2E">
              <w:t>–0.2</w:t>
            </w:r>
          </w:p>
        </w:tc>
        <w:tc>
          <w:tcPr>
            <w:tcW w:w="937" w:type="dxa"/>
            <w:noWrap/>
            <w:hideMark/>
          </w:tcPr>
          <w:p w:rsidR="00935379" w:rsidRPr="00365B2E" w:rsidRDefault="00935379" w:rsidP="00D2038C">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365B2E">
              <w:t>–0.3</w:t>
            </w:r>
          </w:p>
        </w:tc>
        <w:tc>
          <w:tcPr>
            <w:tcW w:w="936" w:type="dxa"/>
            <w:noWrap/>
            <w:hideMark/>
          </w:tcPr>
          <w:p w:rsidR="00935379" w:rsidRPr="00365B2E" w:rsidRDefault="00935379" w:rsidP="00D2038C">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365B2E">
              <w:t>–1.8</w:t>
            </w:r>
          </w:p>
        </w:tc>
        <w:tc>
          <w:tcPr>
            <w:tcW w:w="937" w:type="dxa"/>
            <w:noWrap/>
            <w:hideMark/>
          </w:tcPr>
          <w:p w:rsidR="00935379" w:rsidRPr="00365B2E" w:rsidRDefault="00935379" w:rsidP="00D2038C">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365B2E">
              <w:t>–5.2</w:t>
            </w:r>
          </w:p>
        </w:tc>
        <w:tc>
          <w:tcPr>
            <w:tcW w:w="937" w:type="dxa"/>
            <w:noWrap/>
            <w:hideMark/>
          </w:tcPr>
          <w:p w:rsidR="00935379" w:rsidRPr="00365B2E" w:rsidRDefault="00935379" w:rsidP="00D2038C">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365B2E">
              <w:t>–7.7</w:t>
            </w:r>
          </w:p>
        </w:tc>
      </w:tr>
      <w:tr w:rsidR="00935379" w:rsidRPr="00AA72A6" w:rsidTr="003C0311">
        <w:trPr>
          <w:trHeight w:val="265"/>
        </w:trPr>
        <w:tc>
          <w:tcPr>
            <w:cnfStyle w:val="001000000000" w:firstRow="0" w:lastRow="0" w:firstColumn="1" w:lastColumn="0" w:oddVBand="0" w:evenVBand="0" w:oddHBand="0" w:evenHBand="0" w:firstRowFirstColumn="0" w:firstRowLastColumn="0" w:lastRowFirstColumn="0" w:lastRowLastColumn="0"/>
            <w:tcW w:w="3369" w:type="dxa"/>
            <w:noWrap/>
            <w:hideMark/>
          </w:tcPr>
          <w:p w:rsidR="00935379" w:rsidRPr="00AA72A6" w:rsidRDefault="00935379" w:rsidP="00D2038C">
            <w:pPr>
              <w:keepNext/>
              <w:rPr>
                <w:rFonts w:eastAsiaTheme="minorHAnsi" w:cstheme="minorBidi"/>
                <w:b/>
                <w:bCs/>
                <w:sz w:val="22"/>
                <w:szCs w:val="22"/>
                <w:lang w:eastAsia="en-US"/>
              </w:rPr>
            </w:pPr>
            <w:r w:rsidRPr="00AA72A6">
              <w:t>Net tax allowance</w:t>
            </w:r>
          </w:p>
        </w:tc>
        <w:tc>
          <w:tcPr>
            <w:tcW w:w="936" w:type="dxa"/>
            <w:noWrap/>
            <w:hideMark/>
          </w:tcPr>
          <w:p w:rsidR="00935379" w:rsidRPr="00365B2E" w:rsidRDefault="00935379" w:rsidP="00D2038C">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365B2E">
              <w:t>24.7</w:t>
            </w:r>
          </w:p>
        </w:tc>
        <w:tc>
          <w:tcPr>
            <w:tcW w:w="937" w:type="dxa"/>
            <w:noWrap/>
            <w:hideMark/>
          </w:tcPr>
          <w:p w:rsidR="00935379" w:rsidRPr="00365B2E" w:rsidRDefault="00935379" w:rsidP="00D2038C">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365B2E">
              <w:t>21.1</w:t>
            </w:r>
          </w:p>
        </w:tc>
        <w:tc>
          <w:tcPr>
            <w:tcW w:w="937" w:type="dxa"/>
            <w:noWrap/>
            <w:hideMark/>
          </w:tcPr>
          <w:p w:rsidR="00935379" w:rsidRPr="00365B2E" w:rsidRDefault="00935379" w:rsidP="00D2038C">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365B2E">
              <w:t>23.1</w:t>
            </w:r>
          </w:p>
        </w:tc>
        <w:tc>
          <w:tcPr>
            <w:tcW w:w="936" w:type="dxa"/>
            <w:noWrap/>
            <w:hideMark/>
          </w:tcPr>
          <w:p w:rsidR="00935379" w:rsidRPr="00365B2E" w:rsidRDefault="00935379" w:rsidP="00D2038C">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365B2E">
              <w:t>25.1</w:t>
            </w:r>
          </w:p>
        </w:tc>
        <w:tc>
          <w:tcPr>
            <w:tcW w:w="937" w:type="dxa"/>
            <w:noWrap/>
            <w:hideMark/>
          </w:tcPr>
          <w:p w:rsidR="00935379" w:rsidRPr="00365B2E" w:rsidRDefault="00935379" w:rsidP="00D2038C">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365B2E">
              <w:t>18.6</w:t>
            </w:r>
          </w:p>
        </w:tc>
        <w:tc>
          <w:tcPr>
            <w:tcW w:w="937" w:type="dxa"/>
            <w:noWrap/>
            <w:hideMark/>
          </w:tcPr>
          <w:p w:rsidR="00935379" w:rsidRPr="00365B2E" w:rsidRDefault="00935379" w:rsidP="00D2038C">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365B2E">
              <w:t>112.6</w:t>
            </w:r>
          </w:p>
        </w:tc>
      </w:tr>
      <w:tr w:rsidR="00935379" w:rsidRPr="00AA72A6" w:rsidTr="003C0311">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369" w:type="dxa"/>
            <w:noWrap/>
            <w:vAlign w:val="bottom"/>
            <w:hideMark/>
          </w:tcPr>
          <w:p w:rsidR="00935379" w:rsidRPr="00AA72A6" w:rsidRDefault="00935379" w:rsidP="00D2038C">
            <w:pPr>
              <w:keepNext/>
              <w:rPr>
                <w:rFonts w:eastAsiaTheme="minorHAnsi" w:cstheme="minorBidi"/>
                <w:b/>
                <w:bCs/>
                <w:sz w:val="22"/>
                <w:szCs w:val="22"/>
                <w:lang w:eastAsia="en-US"/>
              </w:rPr>
            </w:pPr>
            <w:r w:rsidRPr="00AA72A6">
              <w:t>Annual building block revenue requirement</w:t>
            </w:r>
            <w:r w:rsidRPr="00AA72A6">
              <w:br/>
              <w:t>(unsmoothed)</w:t>
            </w:r>
          </w:p>
        </w:tc>
        <w:tc>
          <w:tcPr>
            <w:tcW w:w="936" w:type="dxa"/>
            <w:noWrap/>
            <w:hideMark/>
          </w:tcPr>
          <w:p w:rsidR="00935379" w:rsidRPr="00365B2E" w:rsidRDefault="00935379" w:rsidP="00D2038C">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365B2E">
              <w:t>600.4</w:t>
            </w:r>
          </w:p>
        </w:tc>
        <w:tc>
          <w:tcPr>
            <w:tcW w:w="937" w:type="dxa"/>
            <w:noWrap/>
            <w:hideMark/>
          </w:tcPr>
          <w:p w:rsidR="00935379" w:rsidRPr="00365B2E" w:rsidRDefault="00935379" w:rsidP="00D2038C">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365B2E">
              <w:t>594.3</w:t>
            </w:r>
          </w:p>
        </w:tc>
        <w:tc>
          <w:tcPr>
            <w:tcW w:w="937" w:type="dxa"/>
            <w:noWrap/>
            <w:hideMark/>
          </w:tcPr>
          <w:p w:rsidR="00935379" w:rsidRPr="00365B2E" w:rsidRDefault="00935379" w:rsidP="00D2038C">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365B2E">
              <w:t>598.8</w:t>
            </w:r>
          </w:p>
        </w:tc>
        <w:tc>
          <w:tcPr>
            <w:tcW w:w="936" w:type="dxa"/>
            <w:noWrap/>
            <w:hideMark/>
          </w:tcPr>
          <w:p w:rsidR="00935379" w:rsidRPr="00365B2E" w:rsidRDefault="00935379" w:rsidP="00D2038C">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365B2E">
              <w:t>600.7</w:t>
            </w:r>
          </w:p>
        </w:tc>
        <w:tc>
          <w:tcPr>
            <w:tcW w:w="937" w:type="dxa"/>
            <w:noWrap/>
            <w:hideMark/>
          </w:tcPr>
          <w:p w:rsidR="00935379" w:rsidRPr="00365B2E" w:rsidRDefault="00935379" w:rsidP="00D2038C">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365B2E">
              <w:t>572.5</w:t>
            </w:r>
          </w:p>
        </w:tc>
        <w:tc>
          <w:tcPr>
            <w:tcW w:w="937" w:type="dxa"/>
            <w:noWrap/>
            <w:hideMark/>
          </w:tcPr>
          <w:p w:rsidR="00935379" w:rsidRPr="00365B2E" w:rsidRDefault="00935379" w:rsidP="00D2038C">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365B2E">
              <w:t>2966.7</w:t>
            </w:r>
          </w:p>
        </w:tc>
      </w:tr>
      <w:tr w:rsidR="00935379" w:rsidRPr="003512D7" w:rsidTr="003C0311">
        <w:trPr>
          <w:trHeight w:val="265"/>
        </w:trPr>
        <w:tc>
          <w:tcPr>
            <w:cnfStyle w:val="001000000000" w:firstRow="0" w:lastRow="0" w:firstColumn="1" w:lastColumn="0" w:oddVBand="0" w:evenVBand="0" w:oddHBand="0" w:evenHBand="0" w:firstRowFirstColumn="0" w:firstRowLastColumn="0" w:lastRowFirstColumn="0" w:lastRowLastColumn="0"/>
            <w:tcW w:w="3369" w:type="dxa"/>
            <w:noWrap/>
            <w:vAlign w:val="bottom"/>
            <w:hideMark/>
          </w:tcPr>
          <w:p w:rsidR="00935379" w:rsidRPr="00076800" w:rsidRDefault="00935379" w:rsidP="00D2038C">
            <w:pPr>
              <w:keepNext/>
              <w:rPr>
                <w:rStyle w:val="Strong"/>
              </w:rPr>
            </w:pPr>
            <w:r w:rsidRPr="00076800">
              <w:rPr>
                <w:rStyle w:val="Strong"/>
              </w:rPr>
              <w:t>Annual expected MAR (smoothed)</w:t>
            </w:r>
            <w:r w:rsidR="00154C99" w:rsidRPr="00076800">
              <w:rPr>
                <w:rStyle w:val="Strong"/>
              </w:rPr>
              <w:t xml:space="preserve"> </w:t>
            </w:r>
          </w:p>
        </w:tc>
        <w:tc>
          <w:tcPr>
            <w:tcW w:w="936" w:type="dxa"/>
            <w:noWrap/>
            <w:hideMark/>
          </w:tcPr>
          <w:p w:rsidR="00935379" w:rsidRPr="00076800" w:rsidRDefault="00935379" w:rsidP="00D2038C">
            <w:pPr>
              <w:keepNext/>
              <w:cnfStyle w:val="000000000000" w:firstRow="0" w:lastRow="0" w:firstColumn="0" w:lastColumn="0" w:oddVBand="0" w:evenVBand="0" w:oddHBand="0" w:evenHBand="0" w:firstRowFirstColumn="0" w:firstRowLastColumn="0" w:lastRowFirstColumn="0" w:lastRowLastColumn="0"/>
              <w:rPr>
                <w:rStyle w:val="Strong"/>
              </w:rPr>
            </w:pPr>
            <w:r w:rsidRPr="00076800">
              <w:rPr>
                <w:rStyle w:val="Strong"/>
              </w:rPr>
              <w:t>600.4</w:t>
            </w:r>
          </w:p>
        </w:tc>
        <w:tc>
          <w:tcPr>
            <w:tcW w:w="937" w:type="dxa"/>
            <w:noWrap/>
            <w:hideMark/>
          </w:tcPr>
          <w:p w:rsidR="00935379" w:rsidRPr="00076800" w:rsidRDefault="00935379" w:rsidP="00D2038C">
            <w:pPr>
              <w:keepNext/>
              <w:cnfStyle w:val="000000000000" w:firstRow="0" w:lastRow="0" w:firstColumn="0" w:lastColumn="0" w:oddVBand="0" w:evenVBand="0" w:oddHBand="0" w:evenHBand="0" w:firstRowFirstColumn="0" w:firstRowLastColumn="0" w:lastRowFirstColumn="0" w:lastRowLastColumn="0"/>
              <w:rPr>
                <w:rStyle w:val="Strong"/>
              </w:rPr>
            </w:pPr>
            <w:r w:rsidRPr="00076800">
              <w:rPr>
                <w:rStyle w:val="Strong"/>
              </w:rPr>
              <w:t>596.9</w:t>
            </w:r>
          </w:p>
        </w:tc>
        <w:tc>
          <w:tcPr>
            <w:tcW w:w="937" w:type="dxa"/>
            <w:noWrap/>
            <w:hideMark/>
          </w:tcPr>
          <w:p w:rsidR="00935379" w:rsidRPr="00076800" w:rsidRDefault="00935379" w:rsidP="00D2038C">
            <w:pPr>
              <w:keepNext/>
              <w:cnfStyle w:val="000000000000" w:firstRow="0" w:lastRow="0" w:firstColumn="0" w:lastColumn="0" w:oddVBand="0" w:evenVBand="0" w:oddHBand="0" w:evenHBand="0" w:firstRowFirstColumn="0" w:firstRowLastColumn="0" w:lastRowFirstColumn="0" w:lastRowLastColumn="0"/>
              <w:rPr>
                <w:rStyle w:val="Strong"/>
              </w:rPr>
            </w:pPr>
            <w:r w:rsidRPr="00076800">
              <w:rPr>
                <w:rStyle w:val="Strong"/>
              </w:rPr>
              <w:t>593.5</w:t>
            </w:r>
          </w:p>
        </w:tc>
        <w:tc>
          <w:tcPr>
            <w:tcW w:w="936" w:type="dxa"/>
            <w:noWrap/>
            <w:hideMark/>
          </w:tcPr>
          <w:p w:rsidR="00935379" w:rsidRPr="00076800" w:rsidRDefault="00935379" w:rsidP="00D2038C">
            <w:pPr>
              <w:keepNext/>
              <w:cnfStyle w:val="000000000000" w:firstRow="0" w:lastRow="0" w:firstColumn="0" w:lastColumn="0" w:oddVBand="0" w:evenVBand="0" w:oddHBand="0" w:evenHBand="0" w:firstRowFirstColumn="0" w:firstRowLastColumn="0" w:lastRowFirstColumn="0" w:lastRowLastColumn="0"/>
              <w:rPr>
                <w:rStyle w:val="Strong"/>
              </w:rPr>
            </w:pPr>
            <w:r w:rsidRPr="00076800">
              <w:rPr>
                <w:rStyle w:val="Strong"/>
              </w:rPr>
              <w:t>590.1</w:t>
            </w:r>
          </w:p>
        </w:tc>
        <w:tc>
          <w:tcPr>
            <w:tcW w:w="937" w:type="dxa"/>
            <w:noWrap/>
            <w:hideMark/>
          </w:tcPr>
          <w:p w:rsidR="00935379" w:rsidRPr="00076800" w:rsidRDefault="00935379" w:rsidP="00D2038C">
            <w:pPr>
              <w:keepNext/>
              <w:cnfStyle w:val="000000000000" w:firstRow="0" w:lastRow="0" w:firstColumn="0" w:lastColumn="0" w:oddVBand="0" w:evenVBand="0" w:oddHBand="0" w:evenHBand="0" w:firstRowFirstColumn="0" w:firstRowLastColumn="0" w:lastRowFirstColumn="0" w:lastRowLastColumn="0"/>
              <w:rPr>
                <w:rStyle w:val="Strong"/>
              </w:rPr>
            </w:pPr>
            <w:r w:rsidRPr="00076800">
              <w:rPr>
                <w:rStyle w:val="Strong"/>
              </w:rPr>
              <w:t>586.7</w:t>
            </w:r>
          </w:p>
        </w:tc>
        <w:tc>
          <w:tcPr>
            <w:tcW w:w="937" w:type="dxa"/>
            <w:noWrap/>
            <w:hideMark/>
          </w:tcPr>
          <w:p w:rsidR="00935379" w:rsidRPr="00076800" w:rsidRDefault="00935379" w:rsidP="00D2038C">
            <w:pPr>
              <w:keepNext/>
              <w:cnfStyle w:val="000000000000" w:firstRow="0" w:lastRow="0" w:firstColumn="0" w:lastColumn="0" w:oddVBand="0" w:evenVBand="0" w:oddHBand="0" w:evenHBand="0" w:firstRowFirstColumn="0" w:firstRowLastColumn="0" w:lastRowFirstColumn="0" w:lastRowLastColumn="0"/>
              <w:rPr>
                <w:rStyle w:val="Strong"/>
              </w:rPr>
            </w:pPr>
            <w:r w:rsidRPr="00076800">
              <w:rPr>
                <w:rStyle w:val="Strong"/>
              </w:rPr>
              <w:t>2967.5</w:t>
            </w:r>
            <w:r w:rsidR="00146489">
              <w:rPr>
                <w:rStyle w:val="AERsuperscript"/>
              </w:rPr>
              <w:t>d</w:t>
            </w:r>
          </w:p>
        </w:tc>
      </w:tr>
      <w:tr w:rsidR="00935379" w:rsidRPr="00AA72A6" w:rsidTr="003C0311">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369" w:type="dxa"/>
            <w:noWrap/>
            <w:hideMark/>
          </w:tcPr>
          <w:p w:rsidR="00935379" w:rsidRPr="00AA72A6" w:rsidRDefault="00935379" w:rsidP="00D2038C">
            <w:pPr>
              <w:keepNext/>
              <w:rPr>
                <w:rFonts w:eastAsiaTheme="minorHAnsi" w:cstheme="minorBidi"/>
                <w:b/>
                <w:bCs/>
                <w:sz w:val="22"/>
                <w:szCs w:val="22"/>
                <w:lang w:eastAsia="en-US"/>
              </w:rPr>
            </w:pPr>
            <w:r w:rsidRPr="00AA72A6">
              <w:t>X factor (%)</w:t>
            </w:r>
          </w:p>
        </w:tc>
        <w:tc>
          <w:tcPr>
            <w:tcW w:w="936" w:type="dxa"/>
            <w:noWrap/>
            <w:hideMark/>
          </w:tcPr>
          <w:p w:rsidR="00935379" w:rsidRPr="00365B2E" w:rsidRDefault="00935379" w:rsidP="00D2038C">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365B2E">
              <w:t>–11.84%</w:t>
            </w:r>
          </w:p>
        </w:tc>
        <w:tc>
          <w:tcPr>
            <w:tcW w:w="937" w:type="dxa"/>
            <w:noWrap/>
            <w:hideMark/>
          </w:tcPr>
          <w:p w:rsidR="00935379" w:rsidRPr="00365B2E" w:rsidRDefault="00935379" w:rsidP="00D2038C">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365B2E">
              <w:t>2.19%</w:t>
            </w:r>
          </w:p>
        </w:tc>
        <w:tc>
          <w:tcPr>
            <w:tcW w:w="937" w:type="dxa"/>
            <w:noWrap/>
            <w:hideMark/>
          </w:tcPr>
          <w:p w:rsidR="00935379" w:rsidRPr="00365B2E" w:rsidRDefault="00935379" w:rsidP="00D2038C">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365B2E">
              <w:t>2.19%</w:t>
            </w:r>
          </w:p>
        </w:tc>
        <w:tc>
          <w:tcPr>
            <w:tcW w:w="936" w:type="dxa"/>
            <w:noWrap/>
            <w:hideMark/>
          </w:tcPr>
          <w:p w:rsidR="00935379" w:rsidRPr="00365B2E" w:rsidRDefault="00935379" w:rsidP="00D2038C">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365B2E">
              <w:t>2.19%</w:t>
            </w:r>
          </w:p>
        </w:tc>
        <w:tc>
          <w:tcPr>
            <w:tcW w:w="937" w:type="dxa"/>
            <w:noWrap/>
            <w:hideMark/>
          </w:tcPr>
          <w:p w:rsidR="00935379" w:rsidRPr="00365B2E" w:rsidRDefault="00935379" w:rsidP="00D2038C">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365B2E">
              <w:t>2.19%</w:t>
            </w:r>
          </w:p>
        </w:tc>
        <w:tc>
          <w:tcPr>
            <w:tcW w:w="937" w:type="dxa"/>
            <w:noWrap/>
            <w:hideMark/>
          </w:tcPr>
          <w:p w:rsidR="00935379" w:rsidRPr="00365B2E" w:rsidRDefault="00935379" w:rsidP="00D2038C">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365B2E">
              <w:t>n/a</w:t>
            </w:r>
          </w:p>
        </w:tc>
      </w:tr>
    </w:tbl>
    <w:p w:rsidR="00DD1300" w:rsidRDefault="00866A2D" w:rsidP="00B12DD8">
      <w:pPr>
        <w:pStyle w:val="AERtablesource"/>
        <w:keepNext/>
        <w:rPr>
          <w:rStyle w:val="AERsuperscript"/>
          <w:vertAlign w:val="baseline"/>
        </w:rPr>
      </w:pPr>
      <w:r w:rsidRPr="00866A2D">
        <w:rPr>
          <w:rStyle w:val="AERsuperscript"/>
          <w:vertAlign w:val="baseline"/>
        </w:rPr>
        <w:t>Source:</w:t>
      </w:r>
      <w:r w:rsidRPr="00866A2D">
        <w:rPr>
          <w:rStyle w:val="AERsuperscript"/>
          <w:vertAlign w:val="baseline"/>
        </w:rPr>
        <w:tab/>
      </w:r>
      <w:r w:rsidR="00B408B4">
        <w:rPr>
          <w:rStyle w:val="AERsuperscript"/>
          <w:vertAlign w:val="baseline"/>
        </w:rPr>
        <w:t xml:space="preserve">AusNet Services, </w:t>
      </w:r>
      <w:r w:rsidR="00935379" w:rsidRPr="00365B2E">
        <w:rPr>
          <w:rStyle w:val="AERsuperscript"/>
          <w:i/>
          <w:vertAlign w:val="baseline"/>
        </w:rPr>
        <w:t>Revised</w:t>
      </w:r>
      <w:r w:rsidR="00935379" w:rsidRPr="00365B2E">
        <w:rPr>
          <w:rStyle w:val="AERsuperscript"/>
          <w:vertAlign w:val="baseline"/>
        </w:rPr>
        <w:t xml:space="preserve"> </w:t>
      </w:r>
      <w:r w:rsidR="003546AE">
        <w:rPr>
          <w:rStyle w:val="AERtextitalic"/>
        </w:rPr>
        <w:t>r</w:t>
      </w:r>
      <w:r w:rsidR="00B408B4" w:rsidRPr="00365B2E">
        <w:rPr>
          <w:rStyle w:val="AERtextitalic"/>
        </w:rPr>
        <w:t>evenue proposal</w:t>
      </w:r>
      <w:r w:rsidR="00B408B4" w:rsidRPr="00365B2E">
        <w:rPr>
          <w:rStyle w:val="AERsuperscript"/>
          <w:vertAlign w:val="baseline"/>
        </w:rPr>
        <w:t xml:space="preserve">, pp. </w:t>
      </w:r>
      <w:r w:rsidR="009A754D" w:rsidRPr="00365B2E">
        <w:rPr>
          <w:rStyle w:val="AERsuperscript"/>
          <w:vertAlign w:val="baseline"/>
        </w:rPr>
        <w:t>17</w:t>
      </w:r>
      <w:r w:rsidR="00B408B4" w:rsidRPr="00365B2E">
        <w:rPr>
          <w:rStyle w:val="AERsuperscript"/>
          <w:vertAlign w:val="baseline"/>
        </w:rPr>
        <w:t>–</w:t>
      </w:r>
      <w:r w:rsidR="009A754D" w:rsidRPr="00365B2E">
        <w:rPr>
          <w:rStyle w:val="AERsuperscript"/>
          <w:vertAlign w:val="baseline"/>
        </w:rPr>
        <w:t>20</w:t>
      </w:r>
      <w:r w:rsidRPr="00365B2E">
        <w:rPr>
          <w:rStyle w:val="AERsuperscript"/>
          <w:vertAlign w:val="baseline"/>
        </w:rPr>
        <w:t>.</w:t>
      </w:r>
    </w:p>
    <w:p w:rsidR="00866A2D" w:rsidRDefault="00866A2D" w:rsidP="00B12DD8">
      <w:pPr>
        <w:pStyle w:val="AERtablesource"/>
        <w:keepNext/>
      </w:pPr>
      <w:r>
        <w:t>(a)</w:t>
      </w:r>
      <w:r>
        <w:tab/>
      </w:r>
      <w:r w:rsidRPr="00DD1300">
        <w:t>Regulatory depreciation is straight-line depreciation net of the inflation indexation on the opening RAB.</w:t>
      </w:r>
    </w:p>
    <w:p w:rsidR="00146489" w:rsidRDefault="00B408B4" w:rsidP="00D2038C">
      <w:pPr>
        <w:pStyle w:val="AERtablesource"/>
        <w:keepNext/>
      </w:pPr>
      <w:r>
        <w:t>(b)</w:t>
      </w:r>
      <w:r>
        <w:tab/>
      </w:r>
      <w:r w:rsidR="00146489">
        <w:t>Operating expenditure includes debt raising costs.</w:t>
      </w:r>
    </w:p>
    <w:p w:rsidR="00B408B4" w:rsidRPr="00B408B4" w:rsidRDefault="00146489" w:rsidP="00D2038C">
      <w:pPr>
        <w:pStyle w:val="AERtablesource"/>
        <w:keepNext/>
      </w:pPr>
      <w:r>
        <w:t>(c)</w:t>
      </w:r>
      <w:r>
        <w:tab/>
      </w:r>
      <w:r w:rsidR="003546AE">
        <w:t>Revenue adjustments i</w:t>
      </w:r>
      <w:r w:rsidR="00B408B4">
        <w:t>nclude efficiency benefit sharing scheme and shared asset amounts.</w:t>
      </w:r>
    </w:p>
    <w:p w:rsidR="00866A2D" w:rsidRPr="00866A2D" w:rsidRDefault="00B408B4" w:rsidP="00D2038C">
      <w:pPr>
        <w:pStyle w:val="AERtablesource"/>
        <w:keepNext/>
      </w:pPr>
      <w:r>
        <w:t>(</w:t>
      </w:r>
      <w:r w:rsidR="00146489">
        <w:t>d</w:t>
      </w:r>
      <w:r w:rsidR="00866A2D">
        <w:t>)</w:t>
      </w:r>
      <w:r w:rsidR="00866A2D">
        <w:tab/>
      </w:r>
      <w:r w:rsidR="00866A2D" w:rsidRPr="00DD1300">
        <w:t>The estimated total revenue cap is equal to the total annual expected MAR.</w:t>
      </w:r>
    </w:p>
    <w:p w:rsidR="00DE563D" w:rsidRDefault="00DE563D" w:rsidP="009822FF">
      <w:pPr>
        <w:pStyle w:val="Heading2"/>
        <w:keepNext/>
      </w:pPr>
      <w:bookmarkStart w:id="17" w:name="_Toc403144138"/>
      <w:bookmarkStart w:id="18" w:name="_Toc480808197"/>
      <w:r w:rsidRPr="001754EE">
        <w:t>AER’s</w:t>
      </w:r>
      <w:r>
        <w:t xml:space="preserve"> assessment approach</w:t>
      </w:r>
      <w:bookmarkEnd w:id="17"/>
      <w:bookmarkEnd w:id="18"/>
    </w:p>
    <w:p w:rsidR="005873B4" w:rsidRDefault="005873B4" w:rsidP="009E4C22">
      <w:r w:rsidRPr="00365B2E">
        <w:t>We did not change our assessment approach for the MAR from our draft decision. Section 1.3 of our draft decision details that approach.</w:t>
      </w:r>
    </w:p>
    <w:p w:rsidR="00DE563D" w:rsidRDefault="00DE563D" w:rsidP="009822FF">
      <w:pPr>
        <w:pStyle w:val="Heading2"/>
        <w:keepNext/>
      </w:pPr>
      <w:bookmarkStart w:id="19" w:name="_Toc403144140"/>
      <w:bookmarkStart w:id="20" w:name="_Toc480808198"/>
      <w:r w:rsidRPr="001754EE">
        <w:t>Reasons</w:t>
      </w:r>
      <w:r>
        <w:t xml:space="preserve"> for </w:t>
      </w:r>
      <w:r w:rsidR="001D38AB">
        <w:t>final</w:t>
      </w:r>
      <w:r>
        <w:t xml:space="preserve"> decision</w:t>
      </w:r>
      <w:bookmarkEnd w:id="19"/>
      <w:bookmarkEnd w:id="20"/>
      <w:r>
        <w:t xml:space="preserve"> </w:t>
      </w:r>
    </w:p>
    <w:p w:rsidR="003366A6" w:rsidRDefault="005D0D8D" w:rsidP="00167E3A">
      <w:pPr>
        <w:rPr>
          <w:rStyle w:val="AERbody"/>
        </w:rPr>
      </w:pPr>
      <w:r>
        <w:rPr>
          <w:rStyle w:val="AERbody"/>
        </w:rPr>
        <w:t>For this final decision, w</w:t>
      </w:r>
      <w:r w:rsidR="00167E3A" w:rsidRPr="00167E3A">
        <w:rPr>
          <w:rStyle w:val="AERbody"/>
        </w:rPr>
        <w:t>e determine a total annual building block revenue requirement of $</w:t>
      </w:r>
      <w:r w:rsidR="0076460B">
        <w:rPr>
          <w:rStyle w:val="AERbody"/>
        </w:rPr>
        <w:t>2742.</w:t>
      </w:r>
      <w:r w:rsidR="008404C7">
        <w:rPr>
          <w:rStyle w:val="AERbody"/>
        </w:rPr>
        <w:t>8</w:t>
      </w:r>
      <w:r w:rsidR="0076460B">
        <w:rPr>
          <w:rStyle w:val="AERbody"/>
        </w:rPr>
        <w:t> </w:t>
      </w:r>
      <w:r w:rsidR="00167E3A" w:rsidRPr="00167E3A">
        <w:rPr>
          <w:rStyle w:val="AERbody"/>
        </w:rPr>
        <w:t>million ($</w:t>
      </w:r>
      <w:r w:rsidR="00167E3A">
        <w:rPr>
          <w:rStyle w:val="AERbody"/>
        </w:rPr>
        <w:t> </w:t>
      </w:r>
      <w:r w:rsidR="00167E3A" w:rsidRPr="00167E3A">
        <w:rPr>
          <w:rStyle w:val="AERbody"/>
        </w:rPr>
        <w:t>nominal) for</w:t>
      </w:r>
      <w:r w:rsidR="00167E3A">
        <w:rPr>
          <w:rStyle w:val="AERbody"/>
        </w:rPr>
        <w:t xml:space="preserve"> AusNet Services</w:t>
      </w:r>
      <w:r w:rsidR="00167E3A" w:rsidRPr="00167E3A">
        <w:rPr>
          <w:rStyle w:val="AERbody"/>
        </w:rPr>
        <w:t xml:space="preserve"> for the 201</w:t>
      </w:r>
      <w:r w:rsidR="00167E3A">
        <w:rPr>
          <w:rStyle w:val="AERbody"/>
        </w:rPr>
        <w:t>7</w:t>
      </w:r>
      <w:r w:rsidR="00167E3A" w:rsidRPr="00167E3A">
        <w:rPr>
          <w:rStyle w:val="AERbody"/>
        </w:rPr>
        <w:t>–</w:t>
      </w:r>
      <w:r w:rsidR="00167E3A">
        <w:rPr>
          <w:rStyle w:val="AERbody"/>
        </w:rPr>
        <w:t>22</w:t>
      </w:r>
      <w:r w:rsidR="00167E3A" w:rsidRPr="00167E3A">
        <w:rPr>
          <w:rStyle w:val="AERbody"/>
        </w:rPr>
        <w:t xml:space="preserve"> </w:t>
      </w:r>
      <w:r w:rsidR="003366A6">
        <w:rPr>
          <w:rStyle w:val="AERbody"/>
        </w:rPr>
        <w:t xml:space="preserve">regulatory control </w:t>
      </w:r>
      <w:r w:rsidR="00167E3A" w:rsidRPr="00167E3A">
        <w:rPr>
          <w:rStyle w:val="AERbody"/>
        </w:rPr>
        <w:t xml:space="preserve">period. This compares to </w:t>
      </w:r>
      <w:r w:rsidR="00167E3A">
        <w:rPr>
          <w:rStyle w:val="AERbody"/>
        </w:rPr>
        <w:t>AusNet Services</w:t>
      </w:r>
      <w:r w:rsidR="00167E3A" w:rsidRPr="00365B2E">
        <w:rPr>
          <w:rStyle w:val="AERbody"/>
        </w:rPr>
        <w:t xml:space="preserve">’ </w:t>
      </w:r>
      <w:r w:rsidR="00760DED" w:rsidRPr="00365B2E">
        <w:rPr>
          <w:rStyle w:val="AERbody"/>
        </w:rPr>
        <w:t xml:space="preserve">revised </w:t>
      </w:r>
      <w:r w:rsidR="00167E3A" w:rsidRPr="00365B2E">
        <w:rPr>
          <w:rStyle w:val="AERbody"/>
        </w:rPr>
        <w:t>proposed total annual building block revenue requirement of $</w:t>
      </w:r>
      <w:r w:rsidR="002E5317" w:rsidRPr="00365B2E">
        <w:rPr>
          <w:rStyle w:val="AERbody"/>
        </w:rPr>
        <w:t>2966.7</w:t>
      </w:r>
      <w:r w:rsidR="00167E3A" w:rsidRPr="00365B2E">
        <w:rPr>
          <w:rStyle w:val="AERbody"/>
        </w:rPr>
        <w:t> million</w:t>
      </w:r>
      <w:r w:rsidR="00167E3A" w:rsidRPr="00167E3A">
        <w:rPr>
          <w:rStyle w:val="AERbody"/>
        </w:rPr>
        <w:t xml:space="preserve"> ($</w:t>
      </w:r>
      <w:r w:rsidR="00167E3A">
        <w:rPr>
          <w:rStyle w:val="AERbody"/>
        </w:rPr>
        <w:t> </w:t>
      </w:r>
      <w:r w:rsidR="00167E3A" w:rsidRPr="00167E3A">
        <w:rPr>
          <w:rStyle w:val="AERbody"/>
        </w:rPr>
        <w:t>nominal) for this period.</w:t>
      </w:r>
      <w:r w:rsidR="0017507C">
        <w:rPr>
          <w:rStyle w:val="AERbody"/>
        </w:rPr>
        <w:t xml:space="preserve"> </w:t>
      </w:r>
    </w:p>
    <w:p w:rsidR="00167E3A" w:rsidRDefault="00167E3A" w:rsidP="00167E3A">
      <w:pPr>
        <w:rPr>
          <w:rStyle w:val="AERbody"/>
        </w:rPr>
      </w:pPr>
      <w:r>
        <w:rPr>
          <w:rStyle w:val="AERbody"/>
        </w:rPr>
        <w:fldChar w:fldCharType="begin"/>
      </w:r>
      <w:r>
        <w:rPr>
          <w:rStyle w:val="AERbody"/>
        </w:rPr>
        <w:instrText xml:space="preserve"> REF _Ref437935040 \h </w:instrText>
      </w:r>
      <w:r>
        <w:rPr>
          <w:rStyle w:val="AERbody"/>
        </w:rPr>
      </w:r>
      <w:r>
        <w:rPr>
          <w:rStyle w:val="AERbody"/>
        </w:rPr>
        <w:fldChar w:fldCharType="separate"/>
      </w:r>
      <w:r w:rsidR="00B12DD8">
        <w:t xml:space="preserve">Figure </w:t>
      </w:r>
      <w:r w:rsidR="00B12DD8">
        <w:rPr>
          <w:noProof/>
        </w:rPr>
        <w:t>1</w:t>
      </w:r>
      <w:r w:rsidR="00B12DD8">
        <w:t>.</w:t>
      </w:r>
      <w:r w:rsidR="00B12DD8">
        <w:rPr>
          <w:noProof/>
        </w:rPr>
        <w:t>1</w:t>
      </w:r>
      <w:r>
        <w:rPr>
          <w:rStyle w:val="AERbody"/>
        </w:rPr>
        <w:fldChar w:fldCharType="end"/>
      </w:r>
      <w:r>
        <w:rPr>
          <w:rStyle w:val="AERbody"/>
        </w:rPr>
        <w:t xml:space="preserve"> </w:t>
      </w:r>
      <w:r w:rsidRPr="00167E3A">
        <w:rPr>
          <w:rStyle w:val="AERbody"/>
        </w:rPr>
        <w:t>shows the building block components from our</w:t>
      </w:r>
      <w:r w:rsidR="00146489">
        <w:rPr>
          <w:rStyle w:val="AERbody"/>
        </w:rPr>
        <w:t xml:space="preserve"> final</w:t>
      </w:r>
      <w:r w:rsidRPr="00167E3A">
        <w:rPr>
          <w:rStyle w:val="AERbody"/>
        </w:rPr>
        <w:t xml:space="preserve"> determination that make up the annual</w:t>
      </w:r>
      <w:r>
        <w:rPr>
          <w:rStyle w:val="AERbody"/>
        </w:rPr>
        <w:t xml:space="preserve"> </w:t>
      </w:r>
      <w:r w:rsidRPr="00167E3A">
        <w:rPr>
          <w:rStyle w:val="AERbody"/>
        </w:rPr>
        <w:t xml:space="preserve">building block revenue requirement for </w:t>
      </w:r>
      <w:r>
        <w:rPr>
          <w:rStyle w:val="AERbody"/>
        </w:rPr>
        <w:t>AusNet Service</w:t>
      </w:r>
      <w:r w:rsidR="003366A6">
        <w:rPr>
          <w:rStyle w:val="AERbody"/>
        </w:rPr>
        <w:t>s</w:t>
      </w:r>
      <w:r w:rsidRPr="00167E3A">
        <w:rPr>
          <w:rStyle w:val="AERbody"/>
        </w:rPr>
        <w:t>, and the corresponding components from its</w:t>
      </w:r>
      <w:r w:rsidR="005D0D8D">
        <w:rPr>
          <w:rStyle w:val="AERbody"/>
        </w:rPr>
        <w:t xml:space="preserve"> revised</w:t>
      </w:r>
      <w:r>
        <w:rPr>
          <w:rStyle w:val="AERbody"/>
        </w:rPr>
        <w:t xml:space="preserve"> </w:t>
      </w:r>
      <w:r w:rsidRPr="00167E3A">
        <w:rPr>
          <w:rStyle w:val="AERbody"/>
        </w:rPr>
        <w:t>proposal</w:t>
      </w:r>
      <w:r w:rsidR="00146489">
        <w:rPr>
          <w:rStyle w:val="AERbody"/>
        </w:rPr>
        <w:t xml:space="preserve"> and our draft decision</w:t>
      </w:r>
      <w:r w:rsidRPr="00167E3A">
        <w:rPr>
          <w:rStyle w:val="AERbody"/>
        </w:rPr>
        <w:t>.</w:t>
      </w:r>
    </w:p>
    <w:p w:rsidR="00154C99" w:rsidRPr="00365B2E" w:rsidRDefault="00154C99" w:rsidP="00154C99">
      <w:r w:rsidRPr="005D0D8D">
        <w:t xml:space="preserve">We have calculated the annual building block revenue requirement for </w:t>
      </w:r>
      <w:r>
        <w:t>AusNet Services</w:t>
      </w:r>
      <w:r w:rsidRPr="005D0D8D">
        <w:t xml:space="preserve"> based on our final decision on each of these building block components. The revenues are affected by our changes to </w:t>
      </w:r>
      <w:r>
        <w:t>AusNet Services’</w:t>
      </w:r>
      <w:r w:rsidRPr="005D0D8D">
        <w:t xml:space="preserve"> revised proposed building blocks</w:t>
      </w:r>
      <w:r w:rsidRPr="00365B2E">
        <w:t>:</w:t>
      </w:r>
    </w:p>
    <w:p w:rsidR="00154C99" w:rsidRPr="0076460B" w:rsidRDefault="00154C99" w:rsidP="00154C99">
      <w:pPr>
        <w:pStyle w:val="AERbulletlistfirststyle"/>
      </w:pPr>
      <w:r w:rsidRPr="0076460B">
        <w:t xml:space="preserve">a reduction in the return on capital allowance of </w:t>
      </w:r>
      <w:r w:rsidR="0076460B">
        <w:t>15 </w:t>
      </w:r>
      <w:r w:rsidRPr="0076460B">
        <w:t>per cent (attachments 2 and 3)</w:t>
      </w:r>
    </w:p>
    <w:p w:rsidR="00154C99" w:rsidRPr="0076460B" w:rsidRDefault="00154C99" w:rsidP="00154C99">
      <w:pPr>
        <w:pStyle w:val="AERbulletlistfirststyle"/>
      </w:pPr>
      <w:r w:rsidRPr="0076460B">
        <w:t xml:space="preserve">a reduction in the regulatory depreciation allowance of </w:t>
      </w:r>
      <w:r w:rsidR="0076460B">
        <w:t>19</w:t>
      </w:r>
      <w:r w:rsidRPr="0076460B">
        <w:t xml:space="preserve"> per cent (attachment 5)</w:t>
      </w:r>
    </w:p>
    <w:p w:rsidR="00154C99" w:rsidRPr="0076460B" w:rsidRDefault="00154C99" w:rsidP="00154C99">
      <w:pPr>
        <w:pStyle w:val="AERbulletlistfirststyle"/>
      </w:pPr>
      <w:r w:rsidRPr="0076460B">
        <w:t xml:space="preserve">a reduction in the capex allowance of </w:t>
      </w:r>
      <w:r w:rsidR="0076460B">
        <w:t>3</w:t>
      </w:r>
      <w:r w:rsidRPr="0076460B">
        <w:t xml:space="preserve"> per cent (attachment 6)</w:t>
      </w:r>
    </w:p>
    <w:p w:rsidR="00154C99" w:rsidRPr="0076460B" w:rsidRDefault="00154C99" w:rsidP="00154C99">
      <w:pPr>
        <w:pStyle w:val="AERbulletlistfirststyle"/>
      </w:pPr>
      <w:r w:rsidRPr="0076460B">
        <w:lastRenderedPageBreak/>
        <w:t xml:space="preserve">a reduction in the opex allowance of </w:t>
      </w:r>
      <w:r w:rsidR="0076460B">
        <w:t>10</w:t>
      </w:r>
      <w:r w:rsidRPr="0076460B">
        <w:t xml:space="preserve"> per cent (attachment 7)</w:t>
      </w:r>
    </w:p>
    <w:p w:rsidR="00154C99" w:rsidRPr="0076460B" w:rsidRDefault="00154C99" w:rsidP="00154C99">
      <w:pPr>
        <w:pStyle w:val="AERbulletlistfirststyle"/>
      </w:pPr>
      <w:r w:rsidRPr="0076460B">
        <w:t xml:space="preserve">a reduction in the cost of corporate income tax allowance of </w:t>
      </w:r>
      <w:r w:rsidR="0076460B">
        <w:t>47</w:t>
      </w:r>
      <w:r w:rsidRPr="0076460B">
        <w:t xml:space="preserve"> per cent (attachment 8).</w:t>
      </w:r>
    </w:p>
    <w:p w:rsidR="00167E3A" w:rsidRDefault="00167E3A" w:rsidP="00167E3A">
      <w:pPr>
        <w:pStyle w:val="Caption"/>
      </w:pPr>
      <w:bookmarkStart w:id="21" w:name="_Ref437935040"/>
      <w:r>
        <w:t xml:space="preserve">Figure </w:t>
      </w:r>
      <w:fldSimple w:instr=" STYLEREF 1 \s ">
        <w:r w:rsidR="00B12DD8">
          <w:rPr>
            <w:noProof/>
          </w:rPr>
          <w:t>1</w:t>
        </w:r>
      </w:fldSimple>
      <w:r w:rsidR="00211DCF">
        <w:t>.</w:t>
      </w:r>
      <w:fldSimple w:instr=" SEQ Figure \* ARABIC \s 1 ">
        <w:r w:rsidR="00B12DD8">
          <w:rPr>
            <w:noProof/>
          </w:rPr>
          <w:t>1</w:t>
        </w:r>
      </w:fldSimple>
      <w:bookmarkEnd w:id="21"/>
      <w:r>
        <w:tab/>
      </w:r>
      <w:r w:rsidRPr="00173FDA">
        <w:t xml:space="preserve">AER's </w:t>
      </w:r>
      <w:r w:rsidR="00B310D5" w:rsidRPr="00173FDA">
        <w:t>final</w:t>
      </w:r>
      <w:r w:rsidRPr="00173FDA">
        <w:t xml:space="preserve"> decision and AusNet Services’ </w:t>
      </w:r>
      <w:r w:rsidR="002E5317" w:rsidRPr="00173FDA">
        <w:t xml:space="preserve">revised </w:t>
      </w:r>
      <w:r w:rsidRPr="00173FDA">
        <w:t>proposed annual building block revenue requirement ($ million, nominal)</w:t>
      </w:r>
    </w:p>
    <w:p w:rsidR="00076800" w:rsidRPr="00076800" w:rsidRDefault="001F4B6B" w:rsidP="00076800">
      <w:r w:rsidRPr="001F4B6B">
        <w:rPr>
          <w:noProof/>
          <w:lang w:eastAsia="en-AU"/>
        </w:rPr>
        <w:drawing>
          <wp:inline distT="0" distB="0" distL="0" distR="0" wp14:anchorId="3C172D00" wp14:editId="60263217">
            <wp:extent cx="5382895" cy="3474059"/>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2895" cy="3474059"/>
                    </a:xfrm>
                    <a:prstGeom prst="rect">
                      <a:avLst/>
                    </a:prstGeom>
                    <a:noFill/>
                    <a:ln>
                      <a:noFill/>
                    </a:ln>
                  </pic:spPr>
                </pic:pic>
              </a:graphicData>
            </a:graphic>
          </wp:inline>
        </w:drawing>
      </w:r>
    </w:p>
    <w:p w:rsidR="00167E3A" w:rsidRDefault="00167E3A" w:rsidP="00167E3A">
      <w:pPr>
        <w:pStyle w:val="AERtablesource"/>
        <w:rPr>
          <w:rStyle w:val="AERsuperscript"/>
          <w:vertAlign w:val="baseline"/>
        </w:rPr>
      </w:pPr>
      <w:r w:rsidRPr="00167E3A">
        <w:rPr>
          <w:rStyle w:val="AERsuperscript"/>
          <w:vertAlign w:val="baseline"/>
        </w:rPr>
        <w:t>Source:</w:t>
      </w:r>
      <w:r w:rsidRPr="00167E3A">
        <w:rPr>
          <w:rStyle w:val="AERsuperscript"/>
          <w:vertAlign w:val="baseline"/>
        </w:rPr>
        <w:tab/>
        <w:t>AER analysis.</w:t>
      </w:r>
    </w:p>
    <w:p w:rsidR="00CB51D7" w:rsidRPr="00CB51D7" w:rsidRDefault="00CB51D7" w:rsidP="00167E3A">
      <w:pPr>
        <w:pStyle w:val="Heading3"/>
        <w:keepNext/>
        <w:rPr>
          <w:rStyle w:val="AERbody"/>
          <w:color w:val="70635A" w:themeColor="text2"/>
          <w:sz w:val="28"/>
        </w:rPr>
      </w:pPr>
      <w:bookmarkStart w:id="22" w:name="_Toc480808199"/>
      <w:r w:rsidRPr="00CB51D7">
        <w:rPr>
          <w:rStyle w:val="AERbody"/>
          <w:color w:val="70635A" w:themeColor="text2"/>
          <w:sz w:val="28"/>
        </w:rPr>
        <w:t>X factor, annual expected MAR and estimated total revenue cap</w:t>
      </w:r>
      <w:bookmarkEnd w:id="22"/>
    </w:p>
    <w:p w:rsidR="00CB51D7" w:rsidRDefault="0017507C" w:rsidP="0017507C">
      <w:pPr>
        <w:rPr>
          <w:rStyle w:val="AERbody"/>
        </w:rPr>
      </w:pPr>
      <w:r w:rsidRPr="00365B2E">
        <w:rPr>
          <w:rStyle w:val="AERbody"/>
        </w:rPr>
        <w:t>For this</w:t>
      </w:r>
      <w:r w:rsidR="00F05F77" w:rsidRPr="00365B2E">
        <w:rPr>
          <w:rStyle w:val="AERbody"/>
        </w:rPr>
        <w:t xml:space="preserve"> </w:t>
      </w:r>
      <w:r w:rsidR="009A754D" w:rsidRPr="00365B2E">
        <w:rPr>
          <w:rStyle w:val="AERbody"/>
        </w:rPr>
        <w:t>final</w:t>
      </w:r>
      <w:r w:rsidR="00F05F77" w:rsidRPr="00365B2E">
        <w:rPr>
          <w:rStyle w:val="AERbody"/>
        </w:rPr>
        <w:t xml:space="preserve"> decision, we determine </w:t>
      </w:r>
      <w:r w:rsidR="002D23DF" w:rsidRPr="00365B2E">
        <w:rPr>
          <w:rStyle w:val="AERbody"/>
        </w:rPr>
        <w:t xml:space="preserve">an </w:t>
      </w:r>
      <w:r w:rsidRPr="00365B2E">
        <w:rPr>
          <w:rStyle w:val="AERbody"/>
        </w:rPr>
        <w:t>X factor</w:t>
      </w:r>
      <w:r w:rsidR="002D23DF" w:rsidRPr="00365B2E">
        <w:rPr>
          <w:rStyle w:val="AERbody"/>
        </w:rPr>
        <w:t xml:space="preserve"> for AusNet Services of </w:t>
      </w:r>
      <w:r w:rsidR="00CA60B6">
        <w:rPr>
          <w:rStyle w:val="AERbody"/>
        </w:rPr>
        <w:t>1.12</w:t>
      </w:r>
      <w:r w:rsidR="002D23DF" w:rsidRPr="00365B2E">
        <w:rPr>
          <w:rStyle w:val="AERbody"/>
        </w:rPr>
        <w:t xml:space="preserve"> per cent per annum</w:t>
      </w:r>
      <w:r w:rsidR="00014B8C" w:rsidRPr="00365B2E">
        <w:rPr>
          <w:rStyle w:val="AERbody"/>
        </w:rPr>
        <w:t xml:space="preserve"> </w:t>
      </w:r>
      <w:r w:rsidR="002D23DF" w:rsidRPr="00365B2E">
        <w:rPr>
          <w:rStyle w:val="AERbody"/>
        </w:rPr>
        <w:t>for the four years of the regulatory control period from 2018</w:t>
      </w:r>
      <w:r w:rsidR="00164EC7">
        <w:rPr>
          <w:rStyle w:val="AERbody"/>
        </w:rPr>
        <w:t>–</w:t>
      </w:r>
      <w:r w:rsidR="002D23DF" w:rsidRPr="00365B2E">
        <w:rPr>
          <w:rStyle w:val="AERbody"/>
        </w:rPr>
        <w:t>19 to 2021</w:t>
      </w:r>
      <w:r w:rsidR="00CA60B6">
        <w:rPr>
          <w:rStyle w:val="AERbody"/>
          <w:rFonts w:cs="Arial"/>
        </w:rPr>
        <w:t>─</w:t>
      </w:r>
      <w:r w:rsidR="002D23DF" w:rsidRPr="00365B2E">
        <w:rPr>
          <w:rStyle w:val="AERbody"/>
        </w:rPr>
        <w:t>22.</w:t>
      </w:r>
      <w:r w:rsidR="00BB7FF1" w:rsidRPr="00365B2E">
        <w:rPr>
          <w:rStyle w:val="FootnoteReference"/>
        </w:rPr>
        <w:footnoteReference w:id="3"/>
      </w:r>
      <w:r w:rsidR="00435A84">
        <w:rPr>
          <w:rStyle w:val="AERbody"/>
        </w:rPr>
        <w:t xml:space="preserve"> </w:t>
      </w:r>
      <w:r w:rsidRPr="0017507C">
        <w:rPr>
          <w:rStyle w:val="AERbody"/>
        </w:rPr>
        <w:t xml:space="preserve">The </w:t>
      </w:r>
      <w:r w:rsidR="003546AE">
        <w:rPr>
          <w:rStyle w:val="AERbody"/>
        </w:rPr>
        <w:t>net present value (</w:t>
      </w:r>
      <w:r w:rsidRPr="0017507C">
        <w:rPr>
          <w:rStyle w:val="AERbody"/>
        </w:rPr>
        <w:t>NPV</w:t>
      </w:r>
      <w:r w:rsidR="003546AE">
        <w:rPr>
          <w:rStyle w:val="AERbody"/>
        </w:rPr>
        <w:t>)</w:t>
      </w:r>
      <w:r w:rsidRPr="0017507C">
        <w:rPr>
          <w:rStyle w:val="AERbody"/>
        </w:rPr>
        <w:t xml:space="preserve"> of the annual building block revenue requirement is</w:t>
      </w:r>
      <w:r>
        <w:rPr>
          <w:rStyle w:val="AERbody"/>
        </w:rPr>
        <w:t xml:space="preserve"> </w:t>
      </w:r>
      <w:r w:rsidRPr="0017507C">
        <w:rPr>
          <w:rStyle w:val="AERbody"/>
        </w:rPr>
        <w:t>$</w:t>
      </w:r>
      <w:r w:rsidR="007F054F">
        <w:rPr>
          <w:rStyle w:val="AERbody"/>
        </w:rPr>
        <w:t>231</w:t>
      </w:r>
      <w:r w:rsidR="008404C7">
        <w:rPr>
          <w:rStyle w:val="AERbody"/>
        </w:rPr>
        <w:t>9.1</w:t>
      </w:r>
      <w:r w:rsidR="007F054F">
        <w:rPr>
          <w:rStyle w:val="AERbody"/>
        </w:rPr>
        <w:t> </w:t>
      </w:r>
      <w:r w:rsidRPr="0017507C">
        <w:rPr>
          <w:rStyle w:val="AERbody"/>
        </w:rPr>
        <w:t>million ($</w:t>
      </w:r>
      <w:r>
        <w:rPr>
          <w:rStyle w:val="AERbody"/>
        </w:rPr>
        <w:t> </w:t>
      </w:r>
      <w:r w:rsidRPr="0017507C">
        <w:rPr>
          <w:rStyle w:val="AERbody"/>
        </w:rPr>
        <w:t xml:space="preserve">nominal) as at 1 </w:t>
      </w:r>
      <w:r>
        <w:rPr>
          <w:rStyle w:val="AERbody"/>
        </w:rPr>
        <w:t>April</w:t>
      </w:r>
      <w:r w:rsidRPr="0017507C">
        <w:rPr>
          <w:rStyle w:val="AERbody"/>
        </w:rPr>
        <w:t xml:space="preserve"> 201</w:t>
      </w:r>
      <w:r>
        <w:rPr>
          <w:rStyle w:val="AERbody"/>
        </w:rPr>
        <w:t>7</w:t>
      </w:r>
      <w:r w:rsidRPr="0017507C">
        <w:rPr>
          <w:rStyle w:val="AERbody"/>
        </w:rPr>
        <w:t>. Based on this NPV and applying the CPI–X method, we determine that the</w:t>
      </w:r>
      <w:r>
        <w:rPr>
          <w:rStyle w:val="AERbody"/>
        </w:rPr>
        <w:t xml:space="preserve"> </w:t>
      </w:r>
      <w:r w:rsidRPr="0017507C">
        <w:rPr>
          <w:rStyle w:val="AERbody"/>
        </w:rPr>
        <w:t xml:space="preserve">annual expected MAR (smoothed) for </w:t>
      </w:r>
      <w:r>
        <w:rPr>
          <w:rStyle w:val="AERbody"/>
        </w:rPr>
        <w:t xml:space="preserve">AusNet </w:t>
      </w:r>
      <w:r w:rsidRPr="007F054F">
        <w:rPr>
          <w:rStyle w:val="AERbody"/>
        </w:rPr>
        <w:t xml:space="preserve">Services </w:t>
      </w:r>
      <w:r w:rsidR="007F054F" w:rsidRPr="007F054F">
        <w:rPr>
          <w:rStyle w:val="AERbody"/>
        </w:rPr>
        <w:t>increases</w:t>
      </w:r>
      <w:r w:rsidRPr="007F054F">
        <w:rPr>
          <w:rStyle w:val="AERbody"/>
        </w:rPr>
        <w:t xml:space="preserve"> from $</w:t>
      </w:r>
      <w:r w:rsidR="007F054F" w:rsidRPr="007F054F">
        <w:rPr>
          <w:rStyle w:val="AERbody"/>
        </w:rPr>
        <w:t>5</w:t>
      </w:r>
      <w:r w:rsidR="00CA60B6">
        <w:rPr>
          <w:rStyle w:val="AERbody"/>
        </w:rPr>
        <w:t>34.</w:t>
      </w:r>
      <w:r w:rsidR="008404C7">
        <w:rPr>
          <w:rStyle w:val="AERbody"/>
        </w:rPr>
        <w:t>8</w:t>
      </w:r>
      <w:r w:rsidR="007F054F" w:rsidRPr="007F054F">
        <w:rPr>
          <w:rStyle w:val="AERbody"/>
        </w:rPr>
        <w:t> </w:t>
      </w:r>
      <w:r w:rsidRPr="007F054F">
        <w:rPr>
          <w:rStyle w:val="AERbody"/>
        </w:rPr>
        <w:t>million in 2017–18 to $</w:t>
      </w:r>
      <w:r w:rsidR="007F054F" w:rsidRPr="007F054F">
        <w:rPr>
          <w:rStyle w:val="AERbody"/>
        </w:rPr>
        <w:t>56</w:t>
      </w:r>
      <w:r w:rsidR="00CA60B6">
        <w:rPr>
          <w:rStyle w:val="AERbody"/>
        </w:rPr>
        <w:t>2.</w:t>
      </w:r>
      <w:r w:rsidR="008404C7">
        <w:rPr>
          <w:rStyle w:val="AERbody"/>
        </w:rPr>
        <w:t>1</w:t>
      </w:r>
      <w:r w:rsidR="007F054F" w:rsidRPr="007F054F">
        <w:rPr>
          <w:rStyle w:val="AERbody"/>
        </w:rPr>
        <w:t> </w:t>
      </w:r>
      <w:r w:rsidRPr="007F054F">
        <w:rPr>
          <w:rStyle w:val="AERbody"/>
        </w:rPr>
        <w:t>million in 2021–22 ($ nominal). The resulting</w:t>
      </w:r>
      <w:r w:rsidRPr="0017507C">
        <w:rPr>
          <w:rStyle w:val="AERbody"/>
        </w:rPr>
        <w:t xml:space="preserve"> estimated total revenue cap for </w:t>
      </w:r>
      <w:r>
        <w:rPr>
          <w:rStyle w:val="AERbody"/>
        </w:rPr>
        <w:t>AusNet Services</w:t>
      </w:r>
      <w:r w:rsidRPr="0017507C">
        <w:rPr>
          <w:rStyle w:val="AERbody"/>
        </w:rPr>
        <w:t xml:space="preserve"> is</w:t>
      </w:r>
      <w:r>
        <w:rPr>
          <w:rStyle w:val="AERbody"/>
        </w:rPr>
        <w:t xml:space="preserve"> </w:t>
      </w:r>
      <w:r w:rsidRPr="0017507C">
        <w:rPr>
          <w:rStyle w:val="AERbody"/>
        </w:rPr>
        <w:t>$</w:t>
      </w:r>
      <w:r w:rsidR="007F054F">
        <w:rPr>
          <w:rStyle w:val="AERbody"/>
        </w:rPr>
        <w:t>274</w:t>
      </w:r>
      <w:r w:rsidR="00CA60B6">
        <w:rPr>
          <w:rStyle w:val="AERbody"/>
        </w:rPr>
        <w:t>1</w:t>
      </w:r>
      <w:r w:rsidR="007F054F">
        <w:rPr>
          <w:rStyle w:val="AERbody"/>
        </w:rPr>
        <w:t>.</w:t>
      </w:r>
      <w:r w:rsidR="008404C7">
        <w:rPr>
          <w:rStyle w:val="AERbody"/>
        </w:rPr>
        <w:t>7</w:t>
      </w:r>
      <w:r>
        <w:rPr>
          <w:rStyle w:val="AERbody"/>
        </w:rPr>
        <w:t> </w:t>
      </w:r>
      <w:r w:rsidRPr="0017507C">
        <w:rPr>
          <w:rStyle w:val="AERbody"/>
        </w:rPr>
        <w:t xml:space="preserve">million </w:t>
      </w:r>
      <w:r w:rsidR="003546AE">
        <w:rPr>
          <w:rStyle w:val="AERbody"/>
        </w:rPr>
        <w:t xml:space="preserve">($ nominal) </w:t>
      </w:r>
      <w:r w:rsidRPr="0017507C">
        <w:rPr>
          <w:rStyle w:val="AERbody"/>
        </w:rPr>
        <w:t>for the 201</w:t>
      </w:r>
      <w:r w:rsidR="00752872">
        <w:rPr>
          <w:rStyle w:val="AERbody"/>
        </w:rPr>
        <w:t>7–</w:t>
      </w:r>
      <w:r>
        <w:rPr>
          <w:rStyle w:val="AERbody"/>
        </w:rPr>
        <w:t>22</w:t>
      </w:r>
      <w:r w:rsidRPr="0017507C">
        <w:rPr>
          <w:rStyle w:val="AERbody"/>
        </w:rPr>
        <w:t xml:space="preserve"> </w:t>
      </w:r>
      <w:r>
        <w:rPr>
          <w:rStyle w:val="AERbody"/>
        </w:rPr>
        <w:t xml:space="preserve">regulatory control </w:t>
      </w:r>
      <w:r w:rsidRPr="0017507C">
        <w:rPr>
          <w:rStyle w:val="AERbody"/>
        </w:rPr>
        <w:t>period.</w:t>
      </w:r>
    </w:p>
    <w:p w:rsidR="00014B8C" w:rsidRDefault="003366A6" w:rsidP="00014B8C">
      <w:pPr>
        <w:rPr>
          <w:rStyle w:val="AERbody"/>
        </w:rPr>
      </w:pPr>
      <w:r>
        <w:rPr>
          <w:rStyle w:val="AERbody"/>
        </w:rPr>
        <w:lastRenderedPageBreak/>
        <w:fldChar w:fldCharType="begin"/>
      </w:r>
      <w:r>
        <w:rPr>
          <w:rStyle w:val="AERbody"/>
        </w:rPr>
        <w:instrText xml:space="preserve"> REF _Ref441235635 \h </w:instrText>
      </w:r>
      <w:r>
        <w:rPr>
          <w:rStyle w:val="AERbody"/>
        </w:rPr>
      </w:r>
      <w:r>
        <w:rPr>
          <w:rStyle w:val="AERbody"/>
        </w:rPr>
        <w:fldChar w:fldCharType="separate"/>
      </w:r>
      <w:r w:rsidR="00B12DD8">
        <w:t xml:space="preserve">Figure </w:t>
      </w:r>
      <w:r w:rsidR="00B12DD8">
        <w:rPr>
          <w:noProof/>
        </w:rPr>
        <w:t>1</w:t>
      </w:r>
      <w:r w:rsidR="00B12DD8">
        <w:t>.</w:t>
      </w:r>
      <w:r w:rsidR="00B12DD8">
        <w:rPr>
          <w:noProof/>
        </w:rPr>
        <w:t>2</w:t>
      </w:r>
      <w:r>
        <w:rPr>
          <w:rStyle w:val="AERbody"/>
        </w:rPr>
        <w:fldChar w:fldCharType="end"/>
      </w:r>
      <w:r>
        <w:rPr>
          <w:rStyle w:val="AERbody"/>
        </w:rPr>
        <w:t xml:space="preserve"> </w:t>
      </w:r>
      <w:r w:rsidR="00014B8C" w:rsidRPr="00365B2E">
        <w:rPr>
          <w:rStyle w:val="AERbody"/>
        </w:rPr>
        <w:t xml:space="preserve">shows our </w:t>
      </w:r>
      <w:r w:rsidR="00776C7E" w:rsidRPr="00365B2E">
        <w:rPr>
          <w:rStyle w:val="AERbody"/>
        </w:rPr>
        <w:t>final</w:t>
      </w:r>
      <w:r w:rsidR="00014B8C" w:rsidRPr="00365B2E">
        <w:rPr>
          <w:rStyle w:val="AERbody"/>
        </w:rPr>
        <w:t xml:space="preserve"> decision</w:t>
      </w:r>
      <w:r w:rsidR="00014B8C" w:rsidRPr="00014B8C">
        <w:rPr>
          <w:rStyle w:val="AERbody"/>
        </w:rPr>
        <w:t xml:space="preserve"> on </w:t>
      </w:r>
      <w:r w:rsidR="00014B8C">
        <w:rPr>
          <w:rStyle w:val="AERbody"/>
        </w:rPr>
        <w:t>AusNet Services’</w:t>
      </w:r>
      <w:r w:rsidR="00014B8C" w:rsidRPr="00014B8C">
        <w:rPr>
          <w:rStyle w:val="AERbody"/>
        </w:rPr>
        <w:t xml:space="preserve"> annual expected MAR (smoothed revenue) and</w:t>
      </w:r>
      <w:r w:rsidR="00014B8C">
        <w:rPr>
          <w:rStyle w:val="AERbody"/>
        </w:rPr>
        <w:t xml:space="preserve"> </w:t>
      </w:r>
      <w:r w:rsidR="00014B8C" w:rsidRPr="00014B8C">
        <w:rPr>
          <w:rStyle w:val="AERbody"/>
        </w:rPr>
        <w:t>the annual building block revenue requirement (unsmoothed revenue) for the 201</w:t>
      </w:r>
      <w:r w:rsidR="00BB3456">
        <w:rPr>
          <w:rStyle w:val="AERbody"/>
        </w:rPr>
        <w:t>7</w:t>
      </w:r>
      <w:r w:rsidR="00014B8C" w:rsidRPr="00014B8C">
        <w:rPr>
          <w:rStyle w:val="AERbody"/>
        </w:rPr>
        <w:t>–</w:t>
      </w:r>
      <w:r w:rsidR="00BB3456">
        <w:rPr>
          <w:rStyle w:val="AERbody"/>
        </w:rPr>
        <w:t>22</w:t>
      </w:r>
      <w:r w:rsidR="00014B8C" w:rsidRPr="00014B8C">
        <w:rPr>
          <w:rStyle w:val="AERbody"/>
        </w:rPr>
        <w:t xml:space="preserve"> </w:t>
      </w:r>
      <w:r w:rsidR="00BB3456">
        <w:rPr>
          <w:rStyle w:val="AERbody"/>
        </w:rPr>
        <w:t xml:space="preserve">regulatory control </w:t>
      </w:r>
      <w:r w:rsidR="00014B8C" w:rsidRPr="00014B8C">
        <w:rPr>
          <w:rStyle w:val="AERbody"/>
        </w:rPr>
        <w:t>period.</w:t>
      </w:r>
    </w:p>
    <w:p w:rsidR="00BB3456" w:rsidRDefault="00BB3456" w:rsidP="00BB3456">
      <w:pPr>
        <w:pStyle w:val="Caption"/>
      </w:pPr>
      <w:bookmarkStart w:id="23" w:name="_Ref441235635"/>
      <w:r>
        <w:t xml:space="preserve">Figure </w:t>
      </w:r>
      <w:fldSimple w:instr=" STYLEREF 1 \s ">
        <w:r w:rsidR="00B12DD8">
          <w:rPr>
            <w:noProof/>
          </w:rPr>
          <w:t>1</w:t>
        </w:r>
      </w:fldSimple>
      <w:r w:rsidR="00211DCF">
        <w:t>.</w:t>
      </w:r>
      <w:fldSimple w:instr=" SEQ Figure \* ARABIC \s 1 ">
        <w:r w:rsidR="00B12DD8">
          <w:rPr>
            <w:noProof/>
          </w:rPr>
          <w:t>2</w:t>
        </w:r>
      </w:fldSimple>
      <w:bookmarkEnd w:id="23"/>
      <w:r>
        <w:tab/>
      </w:r>
      <w:r w:rsidRPr="00365B2E">
        <w:t xml:space="preserve">AER's </w:t>
      </w:r>
      <w:r w:rsidR="009A754D" w:rsidRPr="00365B2E">
        <w:t>final</w:t>
      </w:r>
      <w:r w:rsidRPr="00365B2E">
        <w:t xml:space="preserve"> decision</w:t>
      </w:r>
      <w:r>
        <w:t xml:space="preserve"> on AusNet Services’ annual expected MAR (smoothed) and annual building block revenue requirement (unsmoothed) ($ million, nominal)</w:t>
      </w:r>
    </w:p>
    <w:p w:rsidR="00365B2E" w:rsidRPr="00365B2E" w:rsidRDefault="008404C7" w:rsidP="00365B2E">
      <w:r w:rsidRPr="008404C7">
        <w:rPr>
          <w:noProof/>
          <w:lang w:eastAsia="en-AU"/>
        </w:rPr>
        <w:drawing>
          <wp:inline distT="0" distB="0" distL="0" distR="0" wp14:anchorId="408E90C3" wp14:editId="38544E00">
            <wp:extent cx="5382895" cy="3474186"/>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2895" cy="3474186"/>
                    </a:xfrm>
                    <a:prstGeom prst="rect">
                      <a:avLst/>
                    </a:prstGeom>
                    <a:noFill/>
                    <a:ln>
                      <a:noFill/>
                    </a:ln>
                  </pic:spPr>
                </pic:pic>
              </a:graphicData>
            </a:graphic>
          </wp:inline>
        </w:drawing>
      </w:r>
    </w:p>
    <w:p w:rsidR="00BB3456" w:rsidRPr="00BB3456" w:rsidRDefault="00BB3456" w:rsidP="00BB3456">
      <w:pPr>
        <w:pStyle w:val="AERtablesource"/>
        <w:rPr>
          <w:rStyle w:val="AERsuperscript"/>
          <w:vertAlign w:val="baseline"/>
        </w:rPr>
      </w:pPr>
      <w:r w:rsidRPr="00BB3456">
        <w:rPr>
          <w:rStyle w:val="AERsuperscript"/>
          <w:vertAlign w:val="baseline"/>
        </w:rPr>
        <w:t>Source:</w:t>
      </w:r>
      <w:r w:rsidRPr="00BB3456">
        <w:rPr>
          <w:rStyle w:val="AERsuperscript"/>
          <w:vertAlign w:val="baseline"/>
        </w:rPr>
        <w:tab/>
        <w:t>AER analysis.</w:t>
      </w:r>
    </w:p>
    <w:p w:rsidR="003366A6" w:rsidRPr="00C729DC" w:rsidRDefault="003366A6" w:rsidP="003366A6">
      <w:r w:rsidRPr="00C729DC">
        <w:t>To determine t</w:t>
      </w:r>
      <w:r>
        <w:t>he expected MAR for AusNet Services</w:t>
      </w:r>
      <w:r w:rsidRPr="00C729DC">
        <w:t xml:space="preserve">, </w:t>
      </w:r>
      <w:r>
        <w:t>we have set the MAR for the first regulatory year at $</w:t>
      </w:r>
      <w:r w:rsidR="007F054F">
        <w:t>5</w:t>
      </w:r>
      <w:r w:rsidR="008404C7">
        <w:t>34.8</w:t>
      </w:r>
      <w:r w:rsidR="00CA60B6">
        <w:t> </w:t>
      </w:r>
      <w:r>
        <w:t>million ($ nominal) which is $</w:t>
      </w:r>
      <w:r w:rsidR="00CA60B6">
        <w:t>8.7 </w:t>
      </w:r>
      <w:r>
        <w:t xml:space="preserve">million </w:t>
      </w:r>
      <w:r w:rsidR="007F054F">
        <w:t>higher</w:t>
      </w:r>
      <w:r>
        <w:t xml:space="preserve"> than the annual building block revenue requirement.</w:t>
      </w:r>
      <w:r w:rsidR="007F054F">
        <w:t xml:space="preserve"> This result</w:t>
      </w:r>
      <w:r w:rsidR="005A38D4">
        <w:t>s in</w:t>
      </w:r>
      <w:r w:rsidR="007F054F">
        <w:t xml:space="preserve"> </w:t>
      </w:r>
      <w:r w:rsidR="005A38D4">
        <w:t>the</w:t>
      </w:r>
      <w:r w:rsidR="007F054F">
        <w:t xml:space="preserve"> </w:t>
      </w:r>
      <w:r w:rsidR="005A38D4">
        <w:t xml:space="preserve">first </w:t>
      </w:r>
      <w:r w:rsidR="007F054F">
        <w:t xml:space="preserve">year </w:t>
      </w:r>
      <w:r w:rsidR="005A38D4">
        <w:t>MAR being</w:t>
      </w:r>
      <w:r w:rsidR="007F054F">
        <w:t xml:space="preserve"> </w:t>
      </w:r>
      <w:r w:rsidR="00CA60B6">
        <w:t>1.</w:t>
      </w:r>
      <w:r w:rsidR="005A38D4">
        <w:t>3</w:t>
      </w:r>
      <w:r w:rsidR="00CA60B6">
        <w:t> </w:t>
      </w:r>
      <w:r w:rsidR="007F054F">
        <w:t>per cent</w:t>
      </w:r>
      <w:r w:rsidR="000B4F56">
        <w:t xml:space="preserve"> (P-naught) higher than the 2016–17 MAR in nominal terms</w:t>
      </w:r>
      <w:r w:rsidR="007F054F">
        <w:t>.</w:t>
      </w:r>
      <w:r>
        <w:t xml:space="preserve"> W</w:t>
      </w:r>
      <w:r w:rsidRPr="00C729DC">
        <w:t xml:space="preserve">e </w:t>
      </w:r>
      <w:r>
        <w:t xml:space="preserve">then </w:t>
      </w:r>
      <w:r w:rsidRPr="00C729DC">
        <w:t xml:space="preserve">applied </w:t>
      </w:r>
      <w:r w:rsidR="00752872">
        <w:t xml:space="preserve">expected inflation of </w:t>
      </w:r>
      <w:r w:rsidR="007F054F">
        <w:t>2.40 </w:t>
      </w:r>
      <w:r w:rsidR="00752872">
        <w:t xml:space="preserve">per cent per annum and </w:t>
      </w:r>
      <w:r w:rsidRPr="00C729DC">
        <w:t xml:space="preserve">an X factor of </w:t>
      </w:r>
      <w:r w:rsidR="00CA60B6">
        <w:t>1.12 </w:t>
      </w:r>
      <w:r w:rsidRPr="00C729DC">
        <w:t>per cent per annum</w:t>
      </w:r>
      <w:r>
        <w:t xml:space="preserve"> t</w:t>
      </w:r>
      <w:r w:rsidRPr="00C729DC">
        <w:t>o determine the expected MAR in subsequent years.</w:t>
      </w:r>
      <w:r w:rsidRPr="00C729DC">
        <w:rPr>
          <w:rStyle w:val="FootnoteReference"/>
        </w:rPr>
        <w:footnoteReference w:id="4"/>
      </w:r>
      <w:r w:rsidRPr="00C729DC">
        <w:t xml:space="preserve"> We consider that </w:t>
      </w:r>
      <w:r>
        <w:t xml:space="preserve">our </w:t>
      </w:r>
      <w:r w:rsidRPr="00C729DC">
        <w:t>profile of X factors</w:t>
      </w:r>
      <w:r>
        <w:t xml:space="preserve"> </w:t>
      </w:r>
      <w:r w:rsidRPr="00C729DC">
        <w:t>result</w:t>
      </w:r>
      <w:r>
        <w:t>s</w:t>
      </w:r>
      <w:r w:rsidRPr="00C729DC">
        <w:t xml:space="preserve"> in an expected MAR in the last year of the regulatory control period that is as close as reasonably possible to the annual building block revenue requirement for that year</w:t>
      </w:r>
      <w:r>
        <w:t>.</w:t>
      </w:r>
      <w:r>
        <w:rPr>
          <w:rStyle w:val="FootnoteReference"/>
        </w:rPr>
        <w:footnoteReference w:id="5"/>
      </w:r>
      <w:r>
        <w:t xml:space="preserve"> </w:t>
      </w:r>
    </w:p>
    <w:p w:rsidR="00BB3456" w:rsidRDefault="00BB3456" w:rsidP="00BB3456">
      <w:pPr>
        <w:rPr>
          <w:rStyle w:val="AERbody"/>
        </w:rPr>
      </w:pPr>
      <w:r w:rsidRPr="00BB3456">
        <w:rPr>
          <w:rStyle w:val="AERbody"/>
        </w:rPr>
        <w:lastRenderedPageBreak/>
        <w:t xml:space="preserve">The average </w:t>
      </w:r>
      <w:r w:rsidR="003B62B7" w:rsidRPr="007F054F">
        <w:rPr>
          <w:rStyle w:val="AERbody"/>
        </w:rPr>
        <w:t>in</w:t>
      </w:r>
      <w:r w:rsidRPr="007F054F">
        <w:rPr>
          <w:rStyle w:val="AERbody"/>
        </w:rPr>
        <w:t>crease</w:t>
      </w:r>
      <w:r w:rsidRPr="00BB3456">
        <w:rPr>
          <w:rStyle w:val="AERbody"/>
        </w:rPr>
        <w:t xml:space="preserve"> in our approved expected MAR is </w:t>
      </w:r>
      <w:r w:rsidR="00CA60B6">
        <w:rPr>
          <w:rStyle w:val="AERbody"/>
        </w:rPr>
        <w:t>1.3</w:t>
      </w:r>
      <w:r w:rsidR="007F054F">
        <w:rPr>
          <w:rStyle w:val="AERbody"/>
        </w:rPr>
        <w:t> </w:t>
      </w:r>
      <w:r w:rsidRPr="00BB3456">
        <w:rPr>
          <w:rStyle w:val="AERbody"/>
        </w:rPr>
        <w:t>per cent per annum ($</w:t>
      </w:r>
      <w:r>
        <w:rPr>
          <w:rStyle w:val="AERbody"/>
        </w:rPr>
        <w:t> </w:t>
      </w:r>
      <w:r w:rsidRPr="00BB3456">
        <w:rPr>
          <w:rStyle w:val="AERbody"/>
        </w:rPr>
        <w:t>nominal) over the</w:t>
      </w:r>
      <w:r>
        <w:rPr>
          <w:rStyle w:val="AERbody"/>
        </w:rPr>
        <w:t xml:space="preserve"> 2017</w:t>
      </w:r>
      <w:r w:rsidRPr="00BB3456">
        <w:rPr>
          <w:rStyle w:val="AERbody"/>
        </w:rPr>
        <w:t>–</w:t>
      </w:r>
      <w:r>
        <w:rPr>
          <w:rStyle w:val="AERbody"/>
        </w:rPr>
        <w:t>22</w:t>
      </w:r>
      <w:r w:rsidR="00571B3F">
        <w:rPr>
          <w:rStyle w:val="AERbody"/>
        </w:rPr>
        <w:t xml:space="preserve"> regulatory control</w:t>
      </w:r>
      <w:r w:rsidRPr="00BB3456">
        <w:rPr>
          <w:rStyle w:val="AERbody"/>
        </w:rPr>
        <w:t xml:space="preserve"> period.</w:t>
      </w:r>
      <w:r>
        <w:rPr>
          <w:rStyle w:val="FootnoteReference"/>
        </w:rPr>
        <w:footnoteReference w:id="6"/>
      </w:r>
      <w:r w:rsidRPr="00BB3456">
        <w:rPr>
          <w:rStyle w:val="AERbody"/>
        </w:rPr>
        <w:t xml:space="preserve"> This </w:t>
      </w:r>
      <w:r w:rsidR="00CA60B6">
        <w:rPr>
          <w:rStyle w:val="AERbody"/>
        </w:rPr>
        <w:t xml:space="preserve">change is spread evenly across each year of the </w:t>
      </w:r>
      <w:r w:rsidR="009B1601">
        <w:rPr>
          <w:rStyle w:val="AERbody"/>
        </w:rPr>
        <w:t xml:space="preserve">regulatory control </w:t>
      </w:r>
      <w:r w:rsidRPr="00BB3456">
        <w:rPr>
          <w:rStyle w:val="AERbody"/>
        </w:rPr>
        <w:t xml:space="preserve">period. Our </w:t>
      </w:r>
      <w:r w:rsidR="00693645" w:rsidRPr="008860C7">
        <w:rPr>
          <w:rStyle w:val="AERbody"/>
        </w:rPr>
        <w:t>final</w:t>
      </w:r>
      <w:r w:rsidRPr="008860C7">
        <w:rPr>
          <w:rStyle w:val="AERbody"/>
        </w:rPr>
        <w:t xml:space="preserve"> decision</w:t>
      </w:r>
      <w:r w:rsidRPr="00BB3456">
        <w:rPr>
          <w:rStyle w:val="AERbody"/>
        </w:rPr>
        <w:t xml:space="preserve"> results in a</w:t>
      </w:r>
      <w:r>
        <w:rPr>
          <w:rStyle w:val="AERbody"/>
        </w:rPr>
        <w:t xml:space="preserve"> </w:t>
      </w:r>
      <w:r w:rsidRPr="00BB3456">
        <w:rPr>
          <w:rStyle w:val="AERbody"/>
        </w:rPr>
        <w:t xml:space="preserve">decrease of </w:t>
      </w:r>
      <w:r w:rsidR="009D1D9E">
        <w:rPr>
          <w:rStyle w:val="AERbody"/>
        </w:rPr>
        <w:t>6.1 </w:t>
      </w:r>
      <w:r w:rsidRPr="00BB3456">
        <w:rPr>
          <w:rStyle w:val="AERbody"/>
        </w:rPr>
        <w:t>per cent in real terms ($201</w:t>
      </w:r>
      <w:r w:rsidR="009B1601">
        <w:rPr>
          <w:rStyle w:val="AERbody"/>
        </w:rPr>
        <w:t>6</w:t>
      </w:r>
      <w:r w:rsidRPr="00BB3456">
        <w:rPr>
          <w:rStyle w:val="AERbody"/>
        </w:rPr>
        <w:t>–1</w:t>
      </w:r>
      <w:r w:rsidR="009B1601">
        <w:rPr>
          <w:rStyle w:val="AERbody"/>
        </w:rPr>
        <w:t>7</w:t>
      </w:r>
      <w:r w:rsidRPr="00BB3456">
        <w:rPr>
          <w:rStyle w:val="AERbody"/>
        </w:rPr>
        <w:t xml:space="preserve">) to </w:t>
      </w:r>
      <w:r w:rsidR="009B1601">
        <w:rPr>
          <w:rStyle w:val="AERbody"/>
        </w:rPr>
        <w:t>AusNet Services’</w:t>
      </w:r>
      <w:r w:rsidRPr="00BB3456">
        <w:rPr>
          <w:rStyle w:val="AERbody"/>
        </w:rPr>
        <w:t xml:space="preserve"> </w:t>
      </w:r>
      <w:r w:rsidR="009B1601">
        <w:rPr>
          <w:rStyle w:val="AERbody"/>
        </w:rPr>
        <w:t xml:space="preserve">average annual </w:t>
      </w:r>
      <w:r w:rsidRPr="00BB3456">
        <w:rPr>
          <w:rStyle w:val="AERbody"/>
        </w:rPr>
        <w:t>revenue relative to that in the</w:t>
      </w:r>
      <w:r>
        <w:rPr>
          <w:rStyle w:val="AERbody"/>
        </w:rPr>
        <w:t xml:space="preserve"> </w:t>
      </w:r>
      <w:r w:rsidRPr="00BB3456">
        <w:rPr>
          <w:rStyle w:val="AERbody"/>
        </w:rPr>
        <w:t>20</w:t>
      </w:r>
      <w:r w:rsidR="009B1601">
        <w:rPr>
          <w:rStyle w:val="AERbody"/>
        </w:rPr>
        <w:t>14</w:t>
      </w:r>
      <w:r w:rsidRPr="00BB3456">
        <w:rPr>
          <w:rStyle w:val="AERbody"/>
        </w:rPr>
        <w:t>–</w:t>
      </w:r>
      <w:r w:rsidR="009B1601">
        <w:rPr>
          <w:rStyle w:val="AERbody"/>
        </w:rPr>
        <w:t>17</w:t>
      </w:r>
      <w:r w:rsidRPr="00BB3456">
        <w:rPr>
          <w:rStyle w:val="AERbody"/>
        </w:rPr>
        <w:t xml:space="preserve"> regulatory control period. </w:t>
      </w:r>
      <w:r w:rsidRPr="00372CBE">
        <w:rPr>
          <w:rStyle w:val="AERbody"/>
        </w:rPr>
        <w:t>This decrease is primarily because of a lower rate of return</w:t>
      </w:r>
      <w:r w:rsidRPr="00BB3456">
        <w:rPr>
          <w:rStyle w:val="AERbody"/>
        </w:rPr>
        <w:t xml:space="preserve"> in this </w:t>
      </w:r>
      <w:r w:rsidR="007267B9" w:rsidRPr="008860C7">
        <w:t xml:space="preserve">final </w:t>
      </w:r>
      <w:r w:rsidRPr="008860C7">
        <w:rPr>
          <w:rStyle w:val="AERbody"/>
        </w:rPr>
        <w:t>decision for the 201</w:t>
      </w:r>
      <w:r w:rsidR="009B1601" w:rsidRPr="008860C7">
        <w:rPr>
          <w:rStyle w:val="AERbody"/>
        </w:rPr>
        <w:t>7</w:t>
      </w:r>
      <w:r w:rsidRPr="008860C7">
        <w:rPr>
          <w:rStyle w:val="AERbody"/>
        </w:rPr>
        <w:t>–</w:t>
      </w:r>
      <w:r w:rsidR="009B1601" w:rsidRPr="008860C7">
        <w:rPr>
          <w:rStyle w:val="AERbody"/>
        </w:rPr>
        <w:t>22 regulatory control</w:t>
      </w:r>
      <w:r w:rsidRPr="008860C7">
        <w:rPr>
          <w:rStyle w:val="AERbody"/>
        </w:rPr>
        <w:t xml:space="preserve"> period than were approved in the 20</w:t>
      </w:r>
      <w:r w:rsidR="009B1601" w:rsidRPr="008860C7">
        <w:rPr>
          <w:rStyle w:val="AERbody"/>
        </w:rPr>
        <w:t>14</w:t>
      </w:r>
      <w:r w:rsidRPr="008860C7">
        <w:rPr>
          <w:rStyle w:val="AERbody"/>
        </w:rPr>
        <w:t>–1</w:t>
      </w:r>
      <w:r w:rsidR="009B1601" w:rsidRPr="008860C7">
        <w:rPr>
          <w:rStyle w:val="AERbody"/>
        </w:rPr>
        <w:t>7</w:t>
      </w:r>
      <w:r w:rsidRPr="008860C7">
        <w:rPr>
          <w:rStyle w:val="AERbody"/>
        </w:rPr>
        <w:t xml:space="preserve"> </w:t>
      </w:r>
      <w:r w:rsidR="009B1601" w:rsidRPr="008860C7">
        <w:rPr>
          <w:rStyle w:val="AERbody"/>
        </w:rPr>
        <w:t>determination</w:t>
      </w:r>
      <w:r w:rsidRPr="008860C7">
        <w:rPr>
          <w:rStyle w:val="AERbody"/>
        </w:rPr>
        <w:t>.</w:t>
      </w:r>
      <w:r w:rsidR="00CA60B6">
        <w:rPr>
          <w:rStyle w:val="FootnoteReference"/>
        </w:rPr>
        <w:footnoteReference w:id="7"/>
      </w:r>
      <w:r w:rsidR="00571B3F" w:rsidRPr="008860C7">
        <w:rPr>
          <w:rStyle w:val="AERbody"/>
        </w:rPr>
        <w:t xml:space="preserve"> </w:t>
      </w:r>
    </w:p>
    <w:p w:rsidR="009B1601" w:rsidRDefault="00157EA3" w:rsidP="009B1601">
      <w:pPr>
        <w:rPr>
          <w:rStyle w:val="AERbody"/>
        </w:rPr>
      </w:pPr>
      <w:r>
        <w:rPr>
          <w:rStyle w:val="AERbody"/>
        </w:rPr>
        <w:fldChar w:fldCharType="begin"/>
      </w:r>
      <w:r>
        <w:rPr>
          <w:rStyle w:val="AERbody"/>
        </w:rPr>
        <w:instrText xml:space="preserve"> REF _Ref438112640 \h </w:instrText>
      </w:r>
      <w:r>
        <w:rPr>
          <w:rStyle w:val="AERbody"/>
        </w:rPr>
      </w:r>
      <w:r>
        <w:rPr>
          <w:rStyle w:val="AERbody"/>
        </w:rPr>
        <w:fldChar w:fldCharType="separate"/>
      </w:r>
      <w:r w:rsidR="00B12DD8">
        <w:t xml:space="preserve">Figure </w:t>
      </w:r>
      <w:r w:rsidR="00B12DD8">
        <w:rPr>
          <w:noProof/>
        </w:rPr>
        <w:t>1</w:t>
      </w:r>
      <w:r w:rsidR="00B12DD8">
        <w:t>.</w:t>
      </w:r>
      <w:r w:rsidR="00B12DD8">
        <w:rPr>
          <w:noProof/>
        </w:rPr>
        <w:t>3</w:t>
      </w:r>
      <w:r>
        <w:rPr>
          <w:rStyle w:val="AERbody"/>
        </w:rPr>
        <w:fldChar w:fldCharType="end"/>
      </w:r>
      <w:r>
        <w:rPr>
          <w:rStyle w:val="AERbody"/>
        </w:rPr>
        <w:t xml:space="preserve"> </w:t>
      </w:r>
      <w:r w:rsidR="009B1601" w:rsidRPr="009B1601">
        <w:rPr>
          <w:rStyle w:val="AERbody"/>
        </w:rPr>
        <w:t xml:space="preserve">compares </w:t>
      </w:r>
      <w:r w:rsidR="009B1601" w:rsidRPr="008860C7">
        <w:rPr>
          <w:rStyle w:val="AERbody"/>
        </w:rPr>
        <w:t xml:space="preserve">our </w:t>
      </w:r>
      <w:r w:rsidR="001A1C41" w:rsidRPr="008860C7">
        <w:rPr>
          <w:rStyle w:val="AERbody"/>
        </w:rPr>
        <w:t>final</w:t>
      </w:r>
      <w:r w:rsidR="009B1601" w:rsidRPr="008860C7">
        <w:rPr>
          <w:rStyle w:val="AERbody"/>
        </w:rPr>
        <w:t xml:space="preserve"> decision building blocks for AusNet Services’ 2017–22 regulatory control period with AusNet Services’ </w:t>
      </w:r>
      <w:r w:rsidR="001A1C41" w:rsidRPr="008860C7">
        <w:rPr>
          <w:rStyle w:val="AERbody"/>
        </w:rPr>
        <w:t xml:space="preserve">revised </w:t>
      </w:r>
      <w:r w:rsidR="009B1601" w:rsidRPr="008860C7">
        <w:rPr>
          <w:rStyle w:val="AERbody"/>
        </w:rPr>
        <w:t>proposed revenue</w:t>
      </w:r>
      <w:r w:rsidR="009B1601" w:rsidRPr="009B1601">
        <w:rPr>
          <w:rStyle w:val="AERbody"/>
        </w:rPr>
        <w:t xml:space="preserve"> requirement for </w:t>
      </w:r>
      <w:r w:rsidR="009B1601">
        <w:rPr>
          <w:rStyle w:val="AERbody"/>
        </w:rPr>
        <w:t>the</w:t>
      </w:r>
      <w:r w:rsidR="009B1601" w:rsidRPr="009B1601">
        <w:rPr>
          <w:rStyle w:val="AERbody"/>
        </w:rPr>
        <w:t xml:space="preserve"> same period, and the approved revenue for the</w:t>
      </w:r>
      <w:r w:rsidR="009B1601">
        <w:rPr>
          <w:rStyle w:val="AERbody"/>
        </w:rPr>
        <w:t xml:space="preserve"> </w:t>
      </w:r>
      <w:r w:rsidR="009B1601" w:rsidRPr="009B1601">
        <w:rPr>
          <w:rStyle w:val="AERbody"/>
        </w:rPr>
        <w:t>20</w:t>
      </w:r>
      <w:r w:rsidR="009B1601">
        <w:rPr>
          <w:rStyle w:val="AERbody"/>
        </w:rPr>
        <w:t>14</w:t>
      </w:r>
      <w:r w:rsidR="009B1601" w:rsidRPr="009B1601">
        <w:rPr>
          <w:rStyle w:val="AERbody"/>
        </w:rPr>
        <w:t>–1</w:t>
      </w:r>
      <w:r w:rsidR="009B1601">
        <w:rPr>
          <w:rStyle w:val="AERbody"/>
        </w:rPr>
        <w:t>7</w:t>
      </w:r>
      <w:r w:rsidR="009B1601" w:rsidRPr="009B1601">
        <w:rPr>
          <w:rStyle w:val="AERbody"/>
        </w:rPr>
        <w:t xml:space="preserve"> regulatory control period.</w:t>
      </w:r>
    </w:p>
    <w:p w:rsidR="009B1601" w:rsidRDefault="009B1601" w:rsidP="009B1601">
      <w:pPr>
        <w:pStyle w:val="Caption"/>
      </w:pPr>
      <w:bookmarkStart w:id="24" w:name="_Ref438112640"/>
      <w:r>
        <w:t xml:space="preserve">Figure </w:t>
      </w:r>
      <w:fldSimple w:instr=" STYLEREF 1 \s ">
        <w:r w:rsidR="00B12DD8">
          <w:rPr>
            <w:noProof/>
          </w:rPr>
          <w:t>1</w:t>
        </w:r>
      </w:fldSimple>
      <w:r w:rsidR="00211DCF">
        <w:t>.</w:t>
      </w:r>
      <w:fldSimple w:instr=" SEQ Figure \* ARABIC \s 1 ">
        <w:r w:rsidR="00B12DD8">
          <w:rPr>
            <w:noProof/>
          </w:rPr>
          <w:t>3</w:t>
        </w:r>
      </w:fldSimple>
      <w:bookmarkEnd w:id="24"/>
      <w:r>
        <w:tab/>
        <w:t xml:space="preserve">Annual average of </w:t>
      </w:r>
      <w:r w:rsidRPr="008860C7">
        <w:t xml:space="preserve">AER's </w:t>
      </w:r>
      <w:r w:rsidR="001A1C41" w:rsidRPr="008860C7">
        <w:t>final</w:t>
      </w:r>
      <w:r w:rsidRPr="008860C7">
        <w:t xml:space="preserve"> decision building blocks compared to AusNet Services’ </w:t>
      </w:r>
      <w:r w:rsidR="001A1C41" w:rsidRPr="008860C7">
        <w:t xml:space="preserve">revised </w:t>
      </w:r>
      <w:r w:rsidRPr="008860C7">
        <w:t>proposed revenue</w:t>
      </w:r>
      <w:r>
        <w:t xml:space="preserve"> requirement and approved revenue for 2014–17 ($ million, 2016–17)</w:t>
      </w:r>
    </w:p>
    <w:p w:rsidR="00693645" w:rsidRDefault="009D1D9E" w:rsidP="00693645">
      <w:r w:rsidRPr="009D1D9E">
        <w:rPr>
          <w:noProof/>
          <w:lang w:eastAsia="en-AU"/>
        </w:rPr>
        <w:drawing>
          <wp:inline distT="0" distB="0" distL="0" distR="0" wp14:anchorId="3AEBF886" wp14:editId="09AA0553">
            <wp:extent cx="5382895" cy="3156068"/>
            <wp:effectExtent l="0" t="0" r="825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82895" cy="3156068"/>
                    </a:xfrm>
                    <a:prstGeom prst="rect">
                      <a:avLst/>
                    </a:prstGeom>
                    <a:noFill/>
                    <a:ln>
                      <a:noFill/>
                    </a:ln>
                  </pic:spPr>
                </pic:pic>
              </a:graphicData>
            </a:graphic>
          </wp:inline>
        </w:drawing>
      </w:r>
    </w:p>
    <w:p w:rsidR="009B1601" w:rsidRPr="009B1601" w:rsidRDefault="009B1601" w:rsidP="009B1601">
      <w:pPr>
        <w:pStyle w:val="AERtablesource"/>
        <w:rPr>
          <w:rStyle w:val="AERsuperscript"/>
          <w:vertAlign w:val="baseline"/>
        </w:rPr>
      </w:pPr>
      <w:r w:rsidRPr="009B1601">
        <w:rPr>
          <w:rStyle w:val="AERsuperscript"/>
          <w:vertAlign w:val="baseline"/>
        </w:rPr>
        <w:t>Source:</w:t>
      </w:r>
      <w:r w:rsidRPr="009B1601">
        <w:rPr>
          <w:rStyle w:val="AERsuperscript"/>
          <w:vertAlign w:val="baseline"/>
        </w:rPr>
        <w:tab/>
        <w:t>AER analysis.</w:t>
      </w:r>
    </w:p>
    <w:p w:rsidR="00CB51D7" w:rsidRPr="00CB51D7" w:rsidRDefault="00CB51D7" w:rsidP="00B12DD8">
      <w:pPr>
        <w:pStyle w:val="Heading3"/>
        <w:keepNext/>
        <w:rPr>
          <w:rStyle w:val="AERbody"/>
          <w:color w:val="70635A" w:themeColor="text2"/>
          <w:sz w:val="28"/>
        </w:rPr>
      </w:pPr>
      <w:bookmarkStart w:id="25" w:name="_Toc480808200"/>
      <w:r w:rsidRPr="00CB51D7">
        <w:rPr>
          <w:rStyle w:val="AERbody"/>
          <w:color w:val="70635A" w:themeColor="text2"/>
          <w:sz w:val="28"/>
        </w:rPr>
        <w:lastRenderedPageBreak/>
        <w:t>Shared assets</w:t>
      </w:r>
      <w:bookmarkEnd w:id="25"/>
    </w:p>
    <w:p w:rsidR="007B1B6E" w:rsidRDefault="007B1B6E" w:rsidP="00D2038C">
      <w:pPr>
        <w:keepNext/>
        <w:rPr>
          <w:rStyle w:val="AERbody"/>
        </w:rPr>
      </w:pPr>
      <w:r w:rsidRPr="00173FDA">
        <w:rPr>
          <w:rStyle w:val="AERbody"/>
        </w:rPr>
        <w:t xml:space="preserve">Our final decision is to </w:t>
      </w:r>
      <w:r w:rsidR="000176E9" w:rsidRPr="00173FDA">
        <w:rPr>
          <w:rStyle w:val="AERbody"/>
        </w:rPr>
        <w:t xml:space="preserve">maintain our position set out in the </w:t>
      </w:r>
      <w:r w:rsidR="00FD09DD" w:rsidRPr="00173FDA">
        <w:rPr>
          <w:rStyle w:val="AERbody"/>
        </w:rPr>
        <w:t>draft</w:t>
      </w:r>
      <w:r w:rsidR="000176E9" w:rsidRPr="000176E9">
        <w:rPr>
          <w:rStyle w:val="AERbody"/>
        </w:rPr>
        <w:t xml:space="preserve"> decision on the shared asset adjustments for </w:t>
      </w:r>
      <w:r w:rsidR="000176E9">
        <w:rPr>
          <w:rStyle w:val="AERbody"/>
        </w:rPr>
        <w:t>AusNet Services</w:t>
      </w:r>
      <w:r w:rsidR="000176E9" w:rsidRPr="000176E9">
        <w:rPr>
          <w:rStyle w:val="AERbody"/>
        </w:rPr>
        <w:t>.</w:t>
      </w:r>
    </w:p>
    <w:p w:rsidR="006F7DFD" w:rsidRDefault="009610A4" w:rsidP="00D2038C">
      <w:pPr>
        <w:keepNext/>
        <w:rPr>
          <w:rStyle w:val="AERbody"/>
        </w:rPr>
      </w:pPr>
      <w:r w:rsidRPr="009610A4">
        <w:rPr>
          <w:rStyle w:val="AERbody"/>
        </w:rPr>
        <w:t xml:space="preserve">Service providers such as </w:t>
      </w:r>
      <w:r w:rsidR="006F7DFD">
        <w:rPr>
          <w:rStyle w:val="AERbody"/>
        </w:rPr>
        <w:t>AusNet Services</w:t>
      </w:r>
      <w:r w:rsidRPr="009610A4">
        <w:rPr>
          <w:rStyle w:val="AERbody"/>
        </w:rPr>
        <w:t xml:space="preserve"> may use assets to provide both prescribed transmission</w:t>
      </w:r>
      <w:r>
        <w:rPr>
          <w:rStyle w:val="AERbody"/>
        </w:rPr>
        <w:t xml:space="preserve"> </w:t>
      </w:r>
      <w:r w:rsidRPr="009610A4">
        <w:rPr>
          <w:rStyle w:val="AERbody"/>
        </w:rPr>
        <w:t>services we regulate and unregulated services. These assets are called 'shared assets'.</w:t>
      </w:r>
      <w:r>
        <w:rPr>
          <w:rStyle w:val="FootnoteReference"/>
        </w:rPr>
        <w:footnoteReference w:id="8"/>
      </w:r>
      <w:r w:rsidRPr="009610A4">
        <w:rPr>
          <w:rStyle w:val="AERbody"/>
        </w:rPr>
        <w:t xml:space="preserve"> Of the</w:t>
      </w:r>
      <w:r>
        <w:rPr>
          <w:rStyle w:val="AERbody"/>
        </w:rPr>
        <w:t xml:space="preserve"> </w:t>
      </w:r>
      <w:r w:rsidRPr="009610A4">
        <w:rPr>
          <w:rStyle w:val="AERbody"/>
        </w:rPr>
        <w:t>unregulated revenues a service provider earns from shared assets, 10 per cent will be used to reduce</w:t>
      </w:r>
      <w:r>
        <w:rPr>
          <w:rStyle w:val="AERbody"/>
        </w:rPr>
        <w:t xml:space="preserve"> </w:t>
      </w:r>
      <w:r w:rsidRPr="009610A4">
        <w:rPr>
          <w:rStyle w:val="AERbody"/>
        </w:rPr>
        <w:t>the service provider's prices for prescribed transmission services.</w:t>
      </w:r>
      <w:r>
        <w:rPr>
          <w:rStyle w:val="FootnoteReference"/>
        </w:rPr>
        <w:footnoteReference w:id="9"/>
      </w:r>
      <w:r w:rsidRPr="009610A4">
        <w:rPr>
          <w:rStyle w:val="AERbody"/>
        </w:rPr>
        <w:t xml:space="preserve"> </w:t>
      </w:r>
    </w:p>
    <w:p w:rsidR="00CB51D7" w:rsidRDefault="006F7DFD" w:rsidP="009610A4">
      <w:pPr>
        <w:rPr>
          <w:rStyle w:val="AERbody"/>
        </w:rPr>
      </w:pPr>
      <w:r>
        <w:rPr>
          <w:rStyle w:val="AERbody"/>
        </w:rPr>
        <w:t>Shared asset revenue</w:t>
      </w:r>
      <w:r w:rsidR="009610A4" w:rsidRPr="009610A4">
        <w:rPr>
          <w:rStyle w:val="AERbody"/>
        </w:rPr>
        <w:t xml:space="preserve"> r</w:t>
      </w:r>
      <w:r w:rsidR="009610A4">
        <w:rPr>
          <w:rStyle w:val="AERbody"/>
        </w:rPr>
        <w:t>e</w:t>
      </w:r>
      <w:r w:rsidR="009610A4" w:rsidRPr="009610A4">
        <w:rPr>
          <w:rStyle w:val="AERbody"/>
        </w:rPr>
        <w:t>ductions are</w:t>
      </w:r>
      <w:r w:rsidR="009610A4">
        <w:rPr>
          <w:rStyle w:val="AERbody"/>
        </w:rPr>
        <w:t xml:space="preserve"> </w:t>
      </w:r>
      <w:r w:rsidR="009610A4" w:rsidRPr="009610A4">
        <w:rPr>
          <w:rStyle w:val="AERbody"/>
        </w:rPr>
        <w:t>subject to a materiality threshold. Unregulated use of shared assets is material when a service</w:t>
      </w:r>
      <w:r w:rsidR="009610A4">
        <w:rPr>
          <w:rStyle w:val="AERbody"/>
        </w:rPr>
        <w:t xml:space="preserve"> </w:t>
      </w:r>
      <w:r w:rsidR="009610A4" w:rsidRPr="009610A4">
        <w:rPr>
          <w:rStyle w:val="AERbody"/>
        </w:rPr>
        <w:t>provider's unregulated revenues from shared assets in a specific regulatory year are expected to be</w:t>
      </w:r>
      <w:r w:rsidR="009610A4">
        <w:rPr>
          <w:rStyle w:val="AERbody"/>
        </w:rPr>
        <w:t xml:space="preserve"> </w:t>
      </w:r>
      <w:r w:rsidR="009610A4" w:rsidRPr="009610A4">
        <w:rPr>
          <w:rStyle w:val="AERbody"/>
        </w:rPr>
        <w:t>greater than 1 per cent of its</w:t>
      </w:r>
      <w:r w:rsidR="009610A4">
        <w:rPr>
          <w:rStyle w:val="AERbody"/>
        </w:rPr>
        <w:t xml:space="preserve"> MAR for that regulatory year.</w:t>
      </w:r>
      <w:r w:rsidR="009610A4">
        <w:rPr>
          <w:rStyle w:val="FootnoteReference"/>
        </w:rPr>
        <w:footnoteReference w:id="10"/>
      </w:r>
    </w:p>
    <w:p w:rsidR="00367D0F" w:rsidRPr="00E81401" w:rsidRDefault="006F7DFD" w:rsidP="00C21CF4">
      <w:pPr>
        <w:rPr>
          <w:highlight w:val="green"/>
        </w:rPr>
      </w:pPr>
      <w:r>
        <w:rPr>
          <w:rStyle w:val="AERbody"/>
        </w:rPr>
        <w:t>AusNet Services</w:t>
      </w:r>
      <w:r w:rsidRPr="006F7DFD">
        <w:rPr>
          <w:rStyle w:val="AERbody"/>
        </w:rPr>
        <w:t xml:space="preserve"> </w:t>
      </w:r>
      <w:r w:rsidR="00CB5742">
        <w:rPr>
          <w:rStyle w:val="AERbody"/>
        </w:rPr>
        <w:t>submitted</w:t>
      </w:r>
      <w:r w:rsidRPr="006F7DFD">
        <w:rPr>
          <w:rStyle w:val="AERbody"/>
        </w:rPr>
        <w:t xml:space="preserve"> </w:t>
      </w:r>
      <w:r w:rsidR="00CB5742" w:rsidRPr="008860C7">
        <w:rPr>
          <w:rStyle w:val="AERbody"/>
        </w:rPr>
        <w:t xml:space="preserve">its </w:t>
      </w:r>
      <w:r w:rsidRPr="008860C7">
        <w:rPr>
          <w:rStyle w:val="AERbody"/>
        </w:rPr>
        <w:t xml:space="preserve">shared asset unregulated revenues are forecast to be </w:t>
      </w:r>
      <w:r w:rsidR="00CB5742" w:rsidRPr="008860C7">
        <w:rPr>
          <w:rStyle w:val="AERbody"/>
        </w:rPr>
        <w:t xml:space="preserve">between </w:t>
      </w:r>
      <w:r w:rsidRPr="008860C7">
        <w:rPr>
          <w:rStyle w:val="AERbody"/>
        </w:rPr>
        <w:t xml:space="preserve">2.5 to 3 per cent of its </w:t>
      </w:r>
      <w:r w:rsidR="00DB739C" w:rsidRPr="008860C7">
        <w:rPr>
          <w:rStyle w:val="AERbody"/>
        </w:rPr>
        <w:t xml:space="preserve">revised </w:t>
      </w:r>
      <w:r w:rsidR="00CB5742" w:rsidRPr="008860C7">
        <w:rPr>
          <w:rStyle w:val="AERbody"/>
        </w:rPr>
        <w:t xml:space="preserve">proposed </w:t>
      </w:r>
      <w:r w:rsidRPr="008860C7">
        <w:rPr>
          <w:rStyle w:val="AERbody"/>
        </w:rPr>
        <w:t>total revenues</w:t>
      </w:r>
      <w:r w:rsidRPr="006F7DFD">
        <w:rPr>
          <w:rStyle w:val="AERbody"/>
        </w:rPr>
        <w:t xml:space="preserve"> in each year of the 201</w:t>
      </w:r>
      <w:r>
        <w:rPr>
          <w:rStyle w:val="AERbody"/>
        </w:rPr>
        <w:t>7</w:t>
      </w:r>
      <w:r w:rsidRPr="006F7DFD">
        <w:rPr>
          <w:rStyle w:val="AERbody"/>
        </w:rPr>
        <w:t>–</w:t>
      </w:r>
      <w:r>
        <w:rPr>
          <w:rStyle w:val="AERbody"/>
        </w:rPr>
        <w:t>22</w:t>
      </w:r>
      <w:r w:rsidRPr="006F7DFD">
        <w:rPr>
          <w:rStyle w:val="AERbody"/>
        </w:rPr>
        <w:t xml:space="preserve"> regulatory </w:t>
      </w:r>
      <w:r w:rsidR="00CB5742">
        <w:rPr>
          <w:rStyle w:val="AERbody"/>
        </w:rPr>
        <w:t xml:space="preserve">control </w:t>
      </w:r>
      <w:r w:rsidRPr="006F7DFD">
        <w:rPr>
          <w:rStyle w:val="AERbody"/>
        </w:rPr>
        <w:t>period.</w:t>
      </w:r>
      <w:r>
        <w:rPr>
          <w:rStyle w:val="FootnoteReference"/>
        </w:rPr>
        <w:footnoteReference w:id="11"/>
      </w:r>
      <w:r w:rsidRPr="006F7DFD">
        <w:rPr>
          <w:rStyle w:val="AERbody"/>
        </w:rPr>
        <w:t xml:space="preserve"> </w:t>
      </w:r>
      <w:r>
        <w:rPr>
          <w:rStyle w:val="AERbody"/>
        </w:rPr>
        <w:t>AusNet Services</w:t>
      </w:r>
      <w:r w:rsidRPr="006F7DFD">
        <w:rPr>
          <w:rStyle w:val="AERbody"/>
        </w:rPr>
        <w:t xml:space="preserve"> therefore proposed reductions in its total revenues</w:t>
      </w:r>
      <w:r>
        <w:rPr>
          <w:rStyle w:val="AERbody"/>
        </w:rPr>
        <w:t xml:space="preserve"> for each year of that period.</w:t>
      </w:r>
      <w:r w:rsidR="00D13060">
        <w:rPr>
          <w:rStyle w:val="AERbody"/>
        </w:rPr>
        <w:t xml:space="preserve"> </w:t>
      </w:r>
    </w:p>
    <w:p w:rsidR="006F7DFD" w:rsidRDefault="006D0C9E" w:rsidP="006F7DFD">
      <w:pPr>
        <w:rPr>
          <w:rStyle w:val="AERbody"/>
        </w:rPr>
      </w:pPr>
      <w:r>
        <w:t>In the draft decision, we accepted AusNet Services’ proposed shared asset revenue adjustments using an updated assessment of the materiality threshold based on the draft decision revenues.</w:t>
      </w:r>
      <w:r>
        <w:rPr>
          <w:rStyle w:val="FootnoteReference"/>
        </w:rPr>
        <w:footnoteReference w:id="12"/>
      </w:r>
      <w:r>
        <w:t xml:space="preserve"> </w:t>
      </w:r>
      <w:r w:rsidR="00611659">
        <w:t>AusNet Service</w:t>
      </w:r>
      <w:r>
        <w:t>s</w:t>
      </w:r>
      <w:r w:rsidR="00611659">
        <w:t>’</w:t>
      </w:r>
      <w:r>
        <w:t xml:space="preserve"> revised proposal </w:t>
      </w:r>
      <w:r w:rsidR="00611659">
        <w:t>adopted</w:t>
      </w:r>
      <w:r>
        <w:t xml:space="preserve"> the shared asset revenue adjustments </w:t>
      </w:r>
      <w:r w:rsidR="00611659">
        <w:t>in our draft decision</w:t>
      </w:r>
      <w:r>
        <w:t>.</w:t>
      </w:r>
      <w:r w:rsidRPr="00A0199C">
        <w:t xml:space="preserve"> </w:t>
      </w:r>
      <w:r w:rsidR="00611659">
        <w:t xml:space="preserve">AusNet Services </w:t>
      </w:r>
      <w:r w:rsidRPr="00A0199C">
        <w:t xml:space="preserve">submitted that its shared asset unregulated revenues will meet the shared asset threshold in </w:t>
      </w:r>
      <w:r w:rsidR="00611659">
        <w:t>each year of the 2017</w:t>
      </w:r>
      <w:r>
        <w:t>–2</w:t>
      </w:r>
      <w:r w:rsidR="00611659">
        <w:t>2</w:t>
      </w:r>
      <w:r w:rsidRPr="00A0199C">
        <w:t xml:space="preserve"> regulatory </w:t>
      </w:r>
      <w:r>
        <w:t xml:space="preserve">control </w:t>
      </w:r>
      <w:r w:rsidRPr="00A0199C">
        <w:t>period</w:t>
      </w:r>
      <w:r>
        <w:t>.</w:t>
      </w:r>
      <w:r w:rsidRPr="00A0199C">
        <w:t xml:space="preserve"> </w:t>
      </w:r>
      <w:r w:rsidR="006F7DFD" w:rsidRPr="006F7DFD">
        <w:rPr>
          <w:rStyle w:val="AERbody"/>
        </w:rPr>
        <w:t xml:space="preserve">However, </w:t>
      </w:r>
      <w:r w:rsidR="00611659">
        <w:rPr>
          <w:rStyle w:val="AERbody"/>
        </w:rPr>
        <w:t xml:space="preserve">as noted in the draft decision, </w:t>
      </w:r>
      <w:r w:rsidR="006F7DFD">
        <w:rPr>
          <w:rStyle w:val="AERbody"/>
        </w:rPr>
        <w:t>AusNet Services’</w:t>
      </w:r>
      <w:r w:rsidR="006F7DFD" w:rsidRPr="006F7DFD">
        <w:rPr>
          <w:rStyle w:val="AERbody"/>
        </w:rPr>
        <w:t xml:space="preserve"> forecast unregulated revenues must be </w:t>
      </w:r>
      <w:r w:rsidR="006F7DFD" w:rsidRPr="008860C7">
        <w:rPr>
          <w:rStyle w:val="AERbody"/>
        </w:rPr>
        <w:t xml:space="preserve">compared to the regulated revenues we determine, rather than those proposed by AusNet Services. Our </w:t>
      </w:r>
      <w:r w:rsidR="00DB739C" w:rsidRPr="008860C7">
        <w:rPr>
          <w:rStyle w:val="AERbody"/>
        </w:rPr>
        <w:t>final</w:t>
      </w:r>
      <w:r w:rsidR="006F7DFD" w:rsidRPr="008860C7">
        <w:rPr>
          <w:rStyle w:val="AERbody"/>
        </w:rPr>
        <w:t xml:space="preserve"> decision</w:t>
      </w:r>
      <w:r w:rsidR="006F7DFD" w:rsidRPr="006F7DFD">
        <w:rPr>
          <w:rStyle w:val="AERbody"/>
        </w:rPr>
        <w:t xml:space="preserve"> sets </w:t>
      </w:r>
      <w:r w:rsidR="006F7DFD" w:rsidRPr="00372CBE">
        <w:rPr>
          <w:rStyle w:val="AERbody"/>
        </w:rPr>
        <w:t>lower</w:t>
      </w:r>
      <w:r w:rsidR="006F7DFD" w:rsidRPr="006F7DFD">
        <w:rPr>
          <w:rStyle w:val="AERbody"/>
        </w:rPr>
        <w:t xml:space="preserve"> expected </w:t>
      </w:r>
      <w:r w:rsidR="00611659">
        <w:rPr>
          <w:rStyle w:val="AERbody"/>
        </w:rPr>
        <w:t>MARs</w:t>
      </w:r>
      <w:r w:rsidR="00611659" w:rsidRPr="006F7DFD">
        <w:rPr>
          <w:rStyle w:val="AERbody"/>
        </w:rPr>
        <w:t xml:space="preserve"> </w:t>
      </w:r>
      <w:r w:rsidR="006F7DFD" w:rsidRPr="006F7DFD">
        <w:rPr>
          <w:rStyle w:val="AERbody"/>
        </w:rPr>
        <w:t xml:space="preserve">than </w:t>
      </w:r>
      <w:r w:rsidR="006F7DFD">
        <w:rPr>
          <w:rStyle w:val="AERbody"/>
        </w:rPr>
        <w:t xml:space="preserve">AusNet Services’ </w:t>
      </w:r>
      <w:r w:rsidR="00DB739C" w:rsidRPr="00372CBE">
        <w:rPr>
          <w:rStyle w:val="AERbody"/>
        </w:rPr>
        <w:t xml:space="preserve">revised </w:t>
      </w:r>
      <w:r w:rsidR="006F7DFD" w:rsidRPr="00372CBE">
        <w:rPr>
          <w:rStyle w:val="AERbody"/>
        </w:rPr>
        <w:t xml:space="preserve">proposal, so we estimate that the unregulated revenues will be between </w:t>
      </w:r>
      <w:r w:rsidR="00372CBE" w:rsidRPr="00372CBE">
        <w:rPr>
          <w:rStyle w:val="AERbody"/>
        </w:rPr>
        <w:t>3.0</w:t>
      </w:r>
      <w:r w:rsidR="006F7DFD" w:rsidRPr="00372CBE">
        <w:rPr>
          <w:rStyle w:val="AERbody"/>
        </w:rPr>
        <w:t xml:space="preserve"> and </w:t>
      </w:r>
      <w:r w:rsidR="00372CBE" w:rsidRPr="00372CBE">
        <w:rPr>
          <w:rStyle w:val="AERbody"/>
        </w:rPr>
        <w:t>3.2</w:t>
      </w:r>
      <w:r w:rsidR="006F7DFD" w:rsidRPr="00372CBE">
        <w:rPr>
          <w:rStyle w:val="AERbody"/>
        </w:rPr>
        <w:t> per cent</w:t>
      </w:r>
      <w:r w:rsidR="006F7DFD" w:rsidRPr="006F7DFD">
        <w:rPr>
          <w:rStyle w:val="AERbody"/>
        </w:rPr>
        <w:t xml:space="preserve"> of its expected </w:t>
      </w:r>
      <w:r w:rsidR="00611659">
        <w:rPr>
          <w:rStyle w:val="AERbody"/>
        </w:rPr>
        <w:t>MARs</w:t>
      </w:r>
      <w:r w:rsidR="006F7DFD">
        <w:rPr>
          <w:rStyle w:val="AERbody"/>
        </w:rPr>
        <w:t xml:space="preserve"> in each year of the 2017</w:t>
      </w:r>
      <w:r w:rsidR="006F7DFD" w:rsidRPr="006F7DFD">
        <w:rPr>
          <w:rStyle w:val="AERbody"/>
        </w:rPr>
        <w:t>–</w:t>
      </w:r>
      <w:r w:rsidR="006F7DFD">
        <w:rPr>
          <w:rStyle w:val="AERbody"/>
        </w:rPr>
        <w:t>22</w:t>
      </w:r>
      <w:r w:rsidR="006F7DFD" w:rsidRPr="006F7DFD">
        <w:rPr>
          <w:rStyle w:val="AERbody"/>
        </w:rPr>
        <w:t xml:space="preserve"> regulatory control period. We are satisfied that </w:t>
      </w:r>
      <w:r w:rsidR="0034421C">
        <w:rPr>
          <w:rStyle w:val="AERbody"/>
        </w:rPr>
        <w:t>AusNet Services’</w:t>
      </w:r>
      <w:r w:rsidR="006F7DFD" w:rsidRPr="006F7DFD">
        <w:rPr>
          <w:rStyle w:val="AERbody"/>
        </w:rPr>
        <w:t xml:space="preserve"> shared asset unregulated</w:t>
      </w:r>
      <w:r w:rsidR="006F7DFD">
        <w:rPr>
          <w:rStyle w:val="AERbody"/>
        </w:rPr>
        <w:t xml:space="preserve"> </w:t>
      </w:r>
      <w:r w:rsidR="006F7DFD" w:rsidRPr="006F7DFD">
        <w:rPr>
          <w:rStyle w:val="AERbody"/>
        </w:rPr>
        <w:t>revenues meet the materiality threshold in each year of the 20</w:t>
      </w:r>
      <w:r w:rsidR="006F7DFD">
        <w:rPr>
          <w:rStyle w:val="AERbody"/>
        </w:rPr>
        <w:t>17</w:t>
      </w:r>
      <w:r w:rsidR="006F7DFD" w:rsidRPr="006F7DFD">
        <w:rPr>
          <w:rStyle w:val="AERbody"/>
        </w:rPr>
        <w:t>–2</w:t>
      </w:r>
      <w:r w:rsidR="006F7DFD">
        <w:rPr>
          <w:rStyle w:val="AERbody"/>
        </w:rPr>
        <w:t>2</w:t>
      </w:r>
      <w:r w:rsidR="006F7DFD" w:rsidRPr="006F7DFD">
        <w:rPr>
          <w:rStyle w:val="AERbody"/>
        </w:rPr>
        <w:t xml:space="preserve"> regulatory control period.</w:t>
      </w:r>
    </w:p>
    <w:p w:rsidR="006F7DFD" w:rsidRDefault="00CB5742" w:rsidP="006F7DFD">
      <w:pPr>
        <w:rPr>
          <w:rStyle w:val="AERbody"/>
        </w:rPr>
      </w:pPr>
      <w:r w:rsidRPr="008860C7">
        <w:rPr>
          <w:rStyle w:val="AERbody"/>
        </w:rPr>
        <w:t xml:space="preserve">For this </w:t>
      </w:r>
      <w:r w:rsidR="00E07412" w:rsidRPr="008860C7">
        <w:rPr>
          <w:rStyle w:val="AERbody"/>
        </w:rPr>
        <w:t>final</w:t>
      </w:r>
      <w:r w:rsidR="006F7DFD" w:rsidRPr="008860C7">
        <w:rPr>
          <w:rStyle w:val="AERbody"/>
        </w:rPr>
        <w:t xml:space="preserve"> decision</w:t>
      </w:r>
      <w:r w:rsidRPr="008860C7">
        <w:rPr>
          <w:rStyle w:val="AERbody"/>
        </w:rPr>
        <w:t xml:space="preserve">, we </w:t>
      </w:r>
      <w:r w:rsidR="006F7DFD" w:rsidRPr="008860C7">
        <w:rPr>
          <w:rStyle w:val="AERbody"/>
        </w:rPr>
        <w:t xml:space="preserve">therefore apply a shared asset revenue adjustment as shown in </w:t>
      </w:r>
      <w:r w:rsidR="0034421C" w:rsidRPr="008860C7">
        <w:rPr>
          <w:rStyle w:val="AERbody"/>
        </w:rPr>
        <w:fldChar w:fldCharType="begin"/>
      </w:r>
      <w:r w:rsidR="0034421C" w:rsidRPr="008860C7">
        <w:rPr>
          <w:rStyle w:val="AERbody"/>
        </w:rPr>
        <w:instrText xml:space="preserve"> REF _Ref437940438 \h </w:instrText>
      </w:r>
      <w:r w:rsidR="008860C7">
        <w:rPr>
          <w:rStyle w:val="AERbody"/>
        </w:rPr>
        <w:instrText xml:space="preserve"> \* MERGEFORMAT </w:instrText>
      </w:r>
      <w:r w:rsidR="0034421C" w:rsidRPr="008860C7">
        <w:rPr>
          <w:rStyle w:val="AERbody"/>
        </w:rPr>
      </w:r>
      <w:r w:rsidR="0034421C" w:rsidRPr="008860C7">
        <w:rPr>
          <w:rStyle w:val="AERbody"/>
        </w:rPr>
        <w:fldChar w:fldCharType="separate"/>
      </w:r>
      <w:r w:rsidR="00B12DD8" w:rsidRPr="0047186F">
        <w:t xml:space="preserve">Table </w:t>
      </w:r>
      <w:r w:rsidR="00B12DD8">
        <w:rPr>
          <w:noProof/>
        </w:rPr>
        <w:t>1</w:t>
      </w:r>
      <w:r w:rsidR="00B12DD8" w:rsidRPr="0047186F">
        <w:rPr>
          <w:noProof/>
        </w:rPr>
        <w:t>.</w:t>
      </w:r>
      <w:r w:rsidR="00B12DD8">
        <w:rPr>
          <w:noProof/>
        </w:rPr>
        <w:t>3</w:t>
      </w:r>
      <w:r w:rsidR="0034421C" w:rsidRPr="008860C7">
        <w:rPr>
          <w:rStyle w:val="AERbody"/>
        </w:rPr>
        <w:fldChar w:fldCharType="end"/>
      </w:r>
      <w:r w:rsidR="006F7DFD" w:rsidRPr="008860C7">
        <w:rPr>
          <w:rStyle w:val="AERbody"/>
        </w:rPr>
        <w:t xml:space="preserve">, consistent with the </w:t>
      </w:r>
      <w:r w:rsidR="00E07412" w:rsidRPr="008860C7">
        <w:rPr>
          <w:rStyle w:val="AERbody"/>
        </w:rPr>
        <w:t xml:space="preserve">revised </w:t>
      </w:r>
      <w:r w:rsidR="006F7DFD" w:rsidRPr="00372CBE">
        <w:rPr>
          <w:rStyle w:val="AERbody"/>
        </w:rPr>
        <w:t>proposal from AusNet Services. The shared asset revenue adjustment is a total reduction of $8.</w:t>
      </w:r>
      <w:r w:rsidR="00EF0C44" w:rsidRPr="00372CBE">
        <w:rPr>
          <w:rStyle w:val="AERbody"/>
        </w:rPr>
        <w:t>1</w:t>
      </w:r>
      <w:r w:rsidR="006F7DFD" w:rsidRPr="00372CBE">
        <w:rPr>
          <w:rStyle w:val="AERbody"/>
        </w:rPr>
        <w:t> million</w:t>
      </w:r>
      <w:r w:rsidR="006F7DFD">
        <w:rPr>
          <w:rStyle w:val="AERbody"/>
        </w:rPr>
        <w:t xml:space="preserve"> </w:t>
      </w:r>
      <w:r w:rsidR="000954D1">
        <w:rPr>
          <w:rStyle w:val="AERbody"/>
        </w:rPr>
        <w:t>($ </w:t>
      </w:r>
      <w:r w:rsidR="00611659">
        <w:rPr>
          <w:rStyle w:val="AERbody"/>
        </w:rPr>
        <w:t>2016–17</w:t>
      </w:r>
      <w:r w:rsidR="006F7DFD">
        <w:rPr>
          <w:rStyle w:val="AERbody"/>
        </w:rPr>
        <w:t>) across the 2017</w:t>
      </w:r>
      <w:r w:rsidR="006F7DFD" w:rsidRPr="006F7DFD">
        <w:rPr>
          <w:rStyle w:val="AERbody"/>
        </w:rPr>
        <w:t>–2</w:t>
      </w:r>
      <w:r w:rsidR="006F7DFD">
        <w:rPr>
          <w:rStyle w:val="AERbody"/>
        </w:rPr>
        <w:t>2</w:t>
      </w:r>
      <w:r w:rsidR="006F7DFD" w:rsidRPr="006F7DFD">
        <w:rPr>
          <w:rStyle w:val="AERbody"/>
        </w:rPr>
        <w:t xml:space="preserve"> regulatory control period.</w:t>
      </w:r>
      <w:r w:rsidR="00E07412">
        <w:rPr>
          <w:rStyle w:val="AERbody"/>
        </w:rPr>
        <w:t xml:space="preserve"> </w:t>
      </w:r>
    </w:p>
    <w:p w:rsidR="0034421C" w:rsidRPr="0047186F" w:rsidRDefault="0034421C" w:rsidP="0034421C">
      <w:pPr>
        <w:pStyle w:val="Caption"/>
      </w:pPr>
      <w:bookmarkStart w:id="26" w:name="_Ref437940438"/>
      <w:r w:rsidRPr="0047186F">
        <w:lastRenderedPageBreak/>
        <w:t xml:space="preserve">Table </w:t>
      </w:r>
      <w:fldSimple w:instr=" STYLEREF 1 \s ">
        <w:r w:rsidR="00B12DD8">
          <w:rPr>
            <w:noProof/>
          </w:rPr>
          <w:t>1</w:t>
        </w:r>
      </w:fldSimple>
      <w:r w:rsidR="00AA72A6" w:rsidRPr="0047186F">
        <w:t>.</w:t>
      </w:r>
      <w:fldSimple w:instr=" SEQ Table \* ARABIC \s 1 ">
        <w:r w:rsidR="00B12DD8">
          <w:rPr>
            <w:noProof/>
          </w:rPr>
          <w:t>3</w:t>
        </w:r>
      </w:fldSimple>
      <w:bookmarkEnd w:id="26"/>
      <w:r w:rsidRPr="0047186F">
        <w:tab/>
        <w:t xml:space="preserve">AER's </w:t>
      </w:r>
      <w:r w:rsidR="001A1C41" w:rsidRPr="0047186F">
        <w:t>final</w:t>
      </w:r>
      <w:r w:rsidRPr="0047186F">
        <w:t xml:space="preserve"> decision on AusNet Services’ shared asset revenue adjustment ($million, </w:t>
      </w:r>
      <w:r w:rsidR="00611659" w:rsidRPr="0047186F">
        <w:t>2016–17</w:t>
      </w:r>
      <w:r w:rsidRPr="0047186F">
        <w:t>)</w:t>
      </w:r>
    </w:p>
    <w:tbl>
      <w:tblPr>
        <w:tblStyle w:val="AERtable-numbers"/>
        <w:tblW w:w="8596" w:type="dxa"/>
        <w:tblLayout w:type="fixed"/>
        <w:tblLook w:val="04A0" w:firstRow="1" w:lastRow="0" w:firstColumn="1" w:lastColumn="0" w:noHBand="0" w:noVBand="1"/>
      </w:tblPr>
      <w:tblGrid>
        <w:gridCol w:w="3227"/>
        <w:gridCol w:w="894"/>
        <w:gridCol w:w="895"/>
        <w:gridCol w:w="895"/>
        <w:gridCol w:w="895"/>
        <w:gridCol w:w="895"/>
        <w:gridCol w:w="895"/>
      </w:tblGrid>
      <w:tr w:rsidR="006F7DFD" w:rsidRPr="0047186F" w:rsidTr="006F7DFD">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227" w:type="dxa"/>
            <w:noWrap/>
            <w:hideMark/>
          </w:tcPr>
          <w:p w:rsidR="006F7DFD" w:rsidRPr="0047186F" w:rsidRDefault="006F7DFD" w:rsidP="00AA72A6">
            <w:r w:rsidRPr="0047186F">
              <w:t> </w:t>
            </w:r>
          </w:p>
        </w:tc>
        <w:tc>
          <w:tcPr>
            <w:tcW w:w="894" w:type="dxa"/>
            <w:noWrap/>
            <w:hideMark/>
          </w:tcPr>
          <w:p w:rsidR="006F7DFD" w:rsidRPr="0047186F" w:rsidRDefault="006F7DFD" w:rsidP="00AA72A6">
            <w:pPr>
              <w:cnfStyle w:val="100000000000" w:firstRow="1" w:lastRow="0" w:firstColumn="0" w:lastColumn="0" w:oddVBand="0" w:evenVBand="0" w:oddHBand="0" w:evenHBand="0" w:firstRowFirstColumn="0" w:firstRowLastColumn="0" w:lastRowFirstColumn="0" w:lastRowLastColumn="0"/>
            </w:pPr>
            <w:r w:rsidRPr="0047186F">
              <w:t>2017–18</w:t>
            </w:r>
          </w:p>
        </w:tc>
        <w:tc>
          <w:tcPr>
            <w:tcW w:w="895" w:type="dxa"/>
            <w:noWrap/>
            <w:hideMark/>
          </w:tcPr>
          <w:p w:rsidR="006F7DFD" w:rsidRPr="0047186F" w:rsidRDefault="006F7DFD" w:rsidP="00AA72A6">
            <w:pPr>
              <w:cnfStyle w:val="100000000000" w:firstRow="1" w:lastRow="0" w:firstColumn="0" w:lastColumn="0" w:oddVBand="0" w:evenVBand="0" w:oddHBand="0" w:evenHBand="0" w:firstRowFirstColumn="0" w:firstRowLastColumn="0" w:lastRowFirstColumn="0" w:lastRowLastColumn="0"/>
            </w:pPr>
            <w:r w:rsidRPr="0047186F">
              <w:t>2018–19</w:t>
            </w:r>
          </w:p>
        </w:tc>
        <w:tc>
          <w:tcPr>
            <w:tcW w:w="895" w:type="dxa"/>
            <w:noWrap/>
            <w:hideMark/>
          </w:tcPr>
          <w:p w:rsidR="006F7DFD" w:rsidRPr="0047186F" w:rsidRDefault="006F7DFD" w:rsidP="00AA72A6">
            <w:pPr>
              <w:cnfStyle w:val="100000000000" w:firstRow="1" w:lastRow="0" w:firstColumn="0" w:lastColumn="0" w:oddVBand="0" w:evenVBand="0" w:oddHBand="0" w:evenHBand="0" w:firstRowFirstColumn="0" w:firstRowLastColumn="0" w:lastRowFirstColumn="0" w:lastRowLastColumn="0"/>
            </w:pPr>
            <w:r w:rsidRPr="0047186F">
              <w:t>2019–20</w:t>
            </w:r>
          </w:p>
        </w:tc>
        <w:tc>
          <w:tcPr>
            <w:tcW w:w="895" w:type="dxa"/>
            <w:noWrap/>
            <w:hideMark/>
          </w:tcPr>
          <w:p w:rsidR="006F7DFD" w:rsidRPr="0047186F" w:rsidRDefault="006F7DFD" w:rsidP="00AA72A6">
            <w:pPr>
              <w:cnfStyle w:val="100000000000" w:firstRow="1" w:lastRow="0" w:firstColumn="0" w:lastColumn="0" w:oddVBand="0" w:evenVBand="0" w:oddHBand="0" w:evenHBand="0" w:firstRowFirstColumn="0" w:firstRowLastColumn="0" w:lastRowFirstColumn="0" w:lastRowLastColumn="0"/>
            </w:pPr>
            <w:r w:rsidRPr="0047186F">
              <w:t>2020–21</w:t>
            </w:r>
          </w:p>
        </w:tc>
        <w:tc>
          <w:tcPr>
            <w:tcW w:w="895" w:type="dxa"/>
            <w:noWrap/>
            <w:hideMark/>
          </w:tcPr>
          <w:p w:rsidR="006F7DFD" w:rsidRPr="0047186F" w:rsidRDefault="006F7DFD" w:rsidP="00AA72A6">
            <w:pPr>
              <w:cnfStyle w:val="100000000000" w:firstRow="1" w:lastRow="0" w:firstColumn="0" w:lastColumn="0" w:oddVBand="0" w:evenVBand="0" w:oddHBand="0" w:evenHBand="0" w:firstRowFirstColumn="0" w:firstRowLastColumn="0" w:lastRowFirstColumn="0" w:lastRowLastColumn="0"/>
            </w:pPr>
            <w:r w:rsidRPr="0047186F">
              <w:t>2021–22</w:t>
            </w:r>
          </w:p>
        </w:tc>
        <w:tc>
          <w:tcPr>
            <w:tcW w:w="895" w:type="dxa"/>
            <w:noWrap/>
            <w:hideMark/>
          </w:tcPr>
          <w:p w:rsidR="006F7DFD" w:rsidRPr="0047186F" w:rsidRDefault="006F7DFD" w:rsidP="00AA72A6">
            <w:pPr>
              <w:cnfStyle w:val="100000000000" w:firstRow="1" w:lastRow="0" w:firstColumn="0" w:lastColumn="0" w:oddVBand="0" w:evenVBand="0" w:oddHBand="0" w:evenHBand="0" w:firstRowFirstColumn="0" w:firstRowLastColumn="0" w:lastRowFirstColumn="0" w:lastRowLastColumn="0"/>
            </w:pPr>
            <w:r w:rsidRPr="0047186F">
              <w:t>Total</w:t>
            </w:r>
          </w:p>
        </w:tc>
      </w:tr>
      <w:tr w:rsidR="003D3E5C" w:rsidRPr="0047186F" w:rsidTr="006F7DFD">
        <w:trPr>
          <w:trHeight w:val="263"/>
        </w:trPr>
        <w:tc>
          <w:tcPr>
            <w:cnfStyle w:val="001000000000" w:firstRow="0" w:lastRow="0" w:firstColumn="1" w:lastColumn="0" w:oddVBand="0" w:evenVBand="0" w:oddHBand="0" w:evenHBand="0" w:firstRowFirstColumn="0" w:firstRowLastColumn="0" w:lastRowFirstColumn="0" w:lastRowLastColumn="0"/>
            <w:tcW w:w="3227" w:type="dxa"/>
            <w:noWrap/>
            <w:hideMark/>
          </w:tcPr>
          <w:p w:rsidR="003D3E5C" w:rsidRPr="0047186F" w:rsidRDefault="003D3E5C" w:rsidP="00AA72A6">
            <w:r w:rsidRPr="0047186F">
              <w:t>AusNet Services revised proposed shared asset revenue adjustment</w:t>
            </w:r>
          </w:p>
        </w:tc>
        <w:tc>
          <w:tcPr>
            <w:tcW w:w="894" w:type="dxa"/>
            <w:noWrap/>
            <w:hideMark/>
          </w:tcPr>
          <w:p w:rsidR="003D3E5C" w:rsidRPr="0047186F" w:rsidRDefault="003D3E5C" w:rsidP="00AA72A6">
            <w:pPr>
              <w:cnfStyle w:val="000000000000" w:firstRow="0" w:lastRow="0" w:firstColumn="0" w:lastColumn="0" w:oddVBand="0" w:evenVBand="0" w:oddHBand="0" w:evenHBand="0" w:firstRowFirstColumn="0" w:firstRowLastColumn="0" w:lastRowFirstColumn="0" w:lastRowLastColumn="0"/>
            </w:pPr>
            <w:r w:rsidRPr="0047186F">
              <w:t>–1.5</w:t>
            </w:r>
          </w:p>
        </w:tc>
        <w:tc>
          <w:tcPr>
            <w:tcW w:w="895" w:type="dxa"/>
            <w:noWrap/>
            <w:hideMark/>
          </w:tcPr>
          <w:p w:rsidR="003D3E5C" w:rsidRPr="0047186F" w:rsidRDefault="003D3E5C">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sidRPr="0047186F">
              <w:t>–</w:t>
            </w:r>
            <w:r w:rsidRPr="0047186F">
              <w:rPr>
                <w:rFonts w:cs="Arial"/>
                <w:color w:val="000000"/>
                <w:szCs w:val="16"/>
              </w:rPr>
              <w:t>1.6</w:t>
            </w:r>
          </w:p>
        </w:tc>
        <w:tc>
          <w:tcPr>
            <w:tcW w:w="895" w:type="dxa"/>
            <w:noWrap/>
            <w:hideMark/>
          </w:tcPr>
          <w:p w:rsidR="003D3E5C" w:rsidRPr="0047186F" w:rsidRDefault="003D3E5C">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sidRPr="0047186F">
              <w:t>–</w:t>
            </w:r>
            <w:r w:rsidRPr="0047186F">
              <w:rPr>
                <w:rFonts w:cs="Arial"/>
                <w:color w:val="000000"/>
                <w:szCs w:val="16"/>
              </w:rPr>
              <w:t>1.6</w:t>
            </w:r>
          </w:p>
        </w:tc>
        <w:tc>
          <w:tcPr>
            <w:tcW w:w="895" w:type="dxa"/>
            <w:noWrap/>
            <w:hideMark/>
          </w:tcPr>
          <w:p w:rsidR="003D3E5C" w:rsidRPr="0047186F" w:rsidRDefault="003D3E5C">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sidRPr="0047186F">
              <w:t>–</w:t>
            </w:r>
            <w:r w:rsidRPr="0047186F">
              <w:rPr>
                <w:rFonts w:cs="Arial"/>
                <w:color w:val="000000"/>
                <w:szCs w:val="16"/>
              </w:rPr>
              <w:t>1.7</w:t>
            </w:r>
          </w:p>
        </w:tc>
        <w:tc>
          <w:tcPr>
            <w:tcW w:w="895" w:type="dxa"/>
            <w:noWrap/>
            <w:hideMark/>
          </w:tcPr>
          <w:p w:rsidR="003D3E5C" w:rsidRPr="0047186F" w:rsidRDefault="003D3E5C">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sidRPr="0047186F">
              <w:t>–</w:t>
            </w:r>
            <w:r w:rsidRPr="0047186F">
              <w:rPr>
                <w:rFonts w:cs="Arial"/>
                <w:color w:val="000000"/>
                <w:szCs w:val="16"/>
              </w:rPr>
              <w:t>1.7</w:t>
            </w:r>
          </w:p>
        </w:tc>
        <w:tc>
          <w:tcPr>
            <w:tcW w:w="895" w:type="dxa"/>
            <w:noWrap/>
            <w:hideMark/>
          </w:tcPr>
          <w:p w:rsidR="003D3E5C" w:rsidRPr="0047186F" w:rsidRDefault="003D3E5C">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sidRPr="0047186F">
              <w:t>–</w:t>
            </w:r>
            <w:r w:rsidRPr="0047186F">
              <w:rPr>
                <w:rFonts w:cs="Arial"/>
                <w:color w:val="000000"/>
                <w:szCs w:val="16"/>
              </w:rPr>
              <w:t>8.1</w:t>
            </w:r>
          </w:p>
        </w:tc>
      </w:tr>
      <w:tr w:rsidR="003D3E5C" w:rsidRPr="00AA72A6" w:rsidTr="006F7DFD">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227" w:type="dxa"/>
            <w:noWrap/>
          </w:tcPr>
          <w:p w:rsidR="003D3E5C" w:rsidRPr="0047186F" w:rsidRDefault="003D3E5C" w:rsidP="00AA72A6">
            <w:r w:rsidRPr="0047186F">
              <w:t>AER final decision shared asset revenue adjustment</w:t>
            </w:r>
          </w:p>
        </w:tc>
        <w:tc>
          <w:tcPr>
            <w:tcW w:w="894" w:type="dxa"/>
            <w:noWrap/>
          </w:tcPr>
          <w:p w:rsidR="003D3E5C" w:rsidRPr="0047186F" w:rsidRDefault="003D3E5C" w:rsidP="00AA72A6">
            <w:pPr>
              <w:cnfStyle w:val="000000010000" w:firstRow="0" w:lastRow="0" w:firstColumn="0" w:lastColumn="0" w:oddVBand="0" w:evenVBand="0" w:oddHBand="0" w:evenHBand="1" w:firstRowFirstColumn="0" w:firstRowLastColumn="0" w:lastRowFirstColumn="0" w:lastRowLastColumn="0"/>
            </w:pPr>
            <w:r w:rsidRPr="0047186F">
              <w:t>–1.5</w:t>
            </w:r>
          </w:p>
        </w:tc>
        <w:tc>
          <w:tcPr>
            <w:tcW w:w="895" w:type="dxa"/>
            <w:noWrap/>
          </w:tcPr>
          <w:p w:rsidR="003D3E5C" w:rsidRPr="0047186F" w:rsidRDefault="003D3E5C">
            <w:pPr>
              <w:outlineLvl w:val="0"/>
              <w:cnfStyle w:val="000000010000" w:firstRow="0" w:lastRow="0" w:firstColumn="0" w:lastColumn="0" w:oddVBand="0" w:evenVBand="0" w:oddHBand="0" w:evenHBand="1" w:firstRowFirstColumn="0" w:firstRowLastColumn="0" w:lastRowFirstColumn="0" w:lastRowLastColumn="0"/>
              <w:rPr>
                <w:rFonts w:cs="Arial"/>
                <w:bCs/>
                <w:color w:val="000000"/>
                <w:szCs w:val="16"/>
              </w:rPr>
            </w:pPr>
            <w:r w:rsidRPr="0047186F">
              <w:t>–</w:t>
            </w:r>
            <w:r w:rsidRPr="0047186F">
              <w:rPr>
                <w:rFonts w:cs="Arial"/>
                <w:bCs/>
                <w:color w:val="000000"/>
                <w:szCs w:val="16"/>
              </w:rPr>
              <w:t>1.6</w:t>
            </w:r>
          </w:p>
        </w:tc>
        <w:tc>
          <w:tcPr>
            <w:tcW w:w="895" w:type="dxa"/>
            <w:noWrap/>
          </w:tcPr>
          <w:p w:rsidR="003D3E5C" w:rsidRPr="0047186F" w:rsidRDefault="003D3E5C">
            <w:pPr>
              <w:outlineLvl w:val="0"/>
              <w:cnfStyle w:val="000000010000" w:firstRow="0" w:lastRow="0" w:firstColumn="0" w:lastColumn="0" w:oddVBand="0" w:evenVBand="0" w:oddHBand="0" w:evenHBand="1" w:firstRowFirstColumn="0" w:firstRowLastColumn="0" w:lastRowFirstColumn="0" w:lastRowLastColumn="0"/>
              <w:rPr>
                <w:rFonts w:cs="Arial"/>
                <w:bCs/>
                <w:color w:val="000000"/>
                <w:szCs w:val="16"/>
              </w:rPr>
            </w:pPr>
            <w:r w:rsidRPr="0047186F">
              <w:t>–</w:t>
            </w:r>
            <w:r w:rsidRPr="0047186F">
              <w:rPr>
                <w:rFonts w:cs="Arial"/>
                <w:bCs/>
                <w:color w:val="000000"/>
                <w:szCs w:val="16"/>
              </w:rPr>
              <w:t>1.6</w:t>
            </w:r>
          </w:p>
        </w:tc>
        <w:tc>
          <w:tcPr>
            <w:tcW w:w="895" w:type="dxa"/>
            <w:noWrap/>
          </w:tcPr>
          <w:p w:rsidR="003D3E5C" w:rsidRPr="0047186F" w:rsidRDefault="003D3E5C">
            <w:pPr>
              <w:outlineLvl w:val="0"/>
              <w:cnfStyle w:val="000000010000" w:firstRow="0" w:lastRow="0" w:firstColumn="0" w:lastColumn="0" w:oddVBand="0" w:evenVBand="0" w:oddHBand="0" w:evenHBand="1" w:firstRowFirstColumn="0" w:firstRowLastColumn="0" w:lastRowFirstColumn="0" w:lastRowLastColumn="0"/>
              <w:rPr>
                <w:rFonts w:cs="Arial"/>
                <w:bCs/>
                <w:color w:val="000000"/>
                <w:szCs w:val="16"/>
              </w:rPr>
            </w:pPr>
            <w:r w:rsidRPr="0047186F">
              <w:t>–</w:t>
            </w:r>
            <w:r w:rsidRPr="0047186F">
              <w:rPr>
                <w:rFonts w:cs="Arial"/>
                <w:bCs/>
                <w:color w:val="000000"/>
                <w:szCs w:val="16"/>
              </w:rPr>
              <w:t>1.7</w:t>
            </w:r>
          </w:p>
        </w:tc>
        <w:tc>
          <w:tcPr>
            <w:tcW w:w="895" w:type="dxa"/>
            <w:noWrap/>
          </w:tcPr>
          <w:p w:rsidR="003D3E5C" w:rsidRPr="0047186F" w:rsidRDefault="003D3E5C">
            <w:pPr>
              <w:outlineLvl w:val="0"/>
              <w:cnfStyle w:val="000000010000" w:firstRow="0" w:lastRow="0" w:firstColumn="0" w:lastColumn="0" w:oddVBand="0" w:evenVBand="0" w:oddHBand="0" w:evenHBand="1" w:firstRowFirstColumn="0" w:firstRowLastColumn="0" w:lastRowFirstColumn="0" w:lastRowLastColumn="0"/>
              <w:rPr>
                <w:rFonts w:cs="Arial"/>
                <w:bCs/>
                <w:color w:val="000000"/>
                <w:szCs w:val="16"/>
              </w:rPr>
            </w:pPr>
            <w:r w:rsidRPr="0047186F">
              <w:t>–</w:t>
            </w:r>
            <w:r w:rsidRPr="0047186F">
              <w:rPr>
                <w:rFonts w:cs="Arial"/>
                <w:bCs/>
                <w:color w:val="000000"/>
                <w:szCs w:val="16"/>
              </w:rPr>
              <w:t>1.7</w:t>
            </w:r>
          </w:p>
        </w:tc>
        <w:tc>
          <w:tcPr>
            <w:tcW w:w="895" w:type="dxa"/>
            <w:noWrap/>
          </w:tcPr>
          <w:p w:rsidR="003D3E5C" w:rsidRPr="003D3E5C" w:rsidRDefault="003D3E5C">
            <w:pPr>
              <w:outlineLvl w:val="0"/>
              <w:cnfStyle w:val="000000010000" w:firstRow="0" w:lastRow="0" w:firstColumn="0" w:lastColumn="0" w:oddVBand="0" w:evenVBand="0" w:oddHBand="0" w:evenHBand="1" w:firstRowFirstColumn="0" w:firstRowLastColumn="0" w:lastRowFirstColumn="0" w:lastRowLastColumn="0"/>
              <w:rPr>
                <w:rFonts w:cs="Arial"/>
                <w:bCs/>
                <w:color w:val="000000"/>
                <w:szCs w:val="16"/>
              </w:rPr>
            </w:pPr>
            <w:r w:rsidRPr="0047186F">
              <w:t>–</w:t>
            </w:r>
            <w:r w:rsidRPr="0047186F">
              <w:rPr>
                <w:rFonts w:cs="Arial"/>
                <w:bCs/>
                <w:color w:val="000000"/>
                <w:szCs w:val="16"/>
              </w:rPr>
              <w:t>8.1</w:t>
            </w:r>
          </w:p>
        </w:tc>
      </w:tr>
    </w:tbl>
    <w:p w:rsidR="006F7DFD" w:rsidRPr="006F7DFD" w:rsidRDefault="006F7DFD" w:rsidP="006F7DFD">
      <w:pPr>
        <w:pStyle w:val="AERtablesource"/>
        <w:rPr>
          <w:rStyle w:val="AERbody"/>
          <w:sz w:val="16"/>
        </w:rPr>
      </w:pPr>
      <w:r w:rsidRPr="006F7DFD">
        <w:rPr>
          <w:rStyle w:val="AERbody"/>
          <w:sz w:val="16"/>
        </w:rPr>
        <w:t>Source:</w:t>
      </w:r>
      <w:r w:rsidRPr="006F7DFD">
        <w:rPr>
          <w:rStyle w:val="AERbody"/>
          <w:sz w:val="16"/>
        </w:rPr>
        <w:tab/>
      </w:r>
      <w:r w:rsidR="0088272F">
        <w:t xml:space="preserve">AusNet Services, </w:t>
      </w:r>
      <w:r w:rsidR="0080018F" w:rsidRPr="0047186F">
        <w:rPr>
          <w:i/>
        </w:rPr>
        <w:t xml:space="preserve">Revised </w:t>
      </w:r>
      <w:r w:rsidR="008A623C" w:rsidRPr="0047186F">
        <w:rPr>
          <w:rStyle w:val="AERtextitalic"/>
        </w:rPr>
        <w:t>r</w:t>
      </w:r>
      <w:r w:rsidR="0088272F" w:rsidRPr="0047186F">
        <w:rPr>
          <w:rStyle w:val="AERtextitalic"/>
        </w:rPr>
        <w:t>evenue proposal</w:t>
      </w:r>
      <w:r w:rsidR="0088272F" w:rsidRPr="0047186F">
        <w:t xml:space="preserve">, p. </w:t>
      </w:r>
      <w:r w:rsidR="005E7A91" w:rsidRPr="0047186F">
        <w:t>21</w:t>
      </w:r>
      <w:r w:rsidRPr="0047186F">
        <w:rPr>
          <w:rStyle w:val="AERbody"/>
          <w:sz w:val="16"/>
        </w:rPr>
        <w:t>.</w:t>
      </w:r>
    </w:p>
    <w:p w:rsidR="00CB51D7" w:rsidRPr="00CB51D7" w:rsidRDefault="00CB51D7" w:rsidP="00167E3A">
      <w:pPr>
        <w:pStyle w:val="Heading3"/>
        <w:keepNext/>
        <w:rPr>
          <w:rStyle w:val="AERbody"/>
          <w:color w:val="70635A" w:themeColor="text2"/>
          <w:sz w:val="28"/>
        </w:rPr>
      </w:pPr>
      <w:bookmarkStart w:id="27" w:name="_Ref437867027"/>
      <w:bookmarkStart w:id="28" w:name="_Toc480808201"/>
      <w:r w:rsidRPr="00CB51D7">
        <w:rPr>
          <w:rStyle w:val="AERbody"/>
          <w:color w:val="70635A" w:themeColor="text2"/>
          <w:sz w:val="28"/>
        </w:rPr>
        <w:t>Indicative transmission charges and impact on electricity bills</w:t>
      </w:r>
      <w:bookmarkEnd w:id="27"/>
      <w:bookmarkEnd w:id="28"/>
    </w:p>
    <w:p w:rsidR="00211DCF" w:rsidRPr="008860C7" w:rsidRDefault="00211DCF" w:rsidP="00211DCF">
      <w:r w:rsidRPr="008860C7">
        <w:t xml:space="preserve">Our </w:t>
      </w:r>
      <w:r w:rsidR="006D50D3" w:rsidRPr="008860C7">
        <w:t xml:space="preserve">final </w:t>
      </w:r>
      <w:r w:rsidRPr="008860C7">
        <w:t xml:space="preserve">decision on AusNet Services' expected MAR ultimately affects the annual electricity bills paid by customers in Victoria. There are several steps required to translate our revenue decision into indicative transmission charges, and then to estimate </w:t>
      </w:r>
      <w:r w:rsidR="00351F2F" w:rsidRPr="008860C7">
        <w:t xml:space="preserve">the </w:t>
      </w:r>
      <w:r w:rsidRPr="008860C7">
        <w:t>impact</w:t>
      </w:r>
      <w:r w:rsidR="00351F2F" w:rsidRPr="008860C7">
        <w:t xml:space="preserve"> on bills</w:t>
      </w:r>
      <w:r w:rsidRPr="008860C7">
        <w:t>.</w:t>
      </w:r>
    </w:p>
    <w:p w:rsidR="00211DCF" w:rsidRPr="00C729DC" w:rsidRDefault="00EC37E5" w:rsidP="00211DCF">
      <w:r>
        <w:t>Since w</w:t>
      </w:r>
      <w:r w:rsidR="00211DCF" w:rsidRPr="008860C7">
        <w:t>e regulate AusNet Services' prescribed transmission services under a revenue cap</w:t>
      </w:r>
      <w:r>
        <w:t xml:space="preserve">, </w:t>
      </w:r>
      <w:r w:rsidR="00211DCF" w:rsidRPr="008860C7">
        <w:t xml:space="preserve">changes in the consumption of electricity will affect the </w:t>
      </w:r>
      <w:r>
        <w:t>transmission charges</w:t>
      </w:r>
      <w:r w:rsidR="00BD5AA2" w:rsidRPr="008860C7">
        <w:t xml:space="preserve"> </w:t>
      </w:r>
      <w:r w:rsidR="00211DCF" w:rsidRPr="008860C7">
        <w:t xml:space="preserve">ultimately paid by consumers. </w:t>
      </w:r>
      <w:r w:rsidR="00374F20" w:rsidRPr="008860C7">
        <w:t xml:space="preserve">We </w:t>
      </w:r>
      <w:r w:rsidR="00211DCF" w:rsidRPr="008860C7">
        <w:t xml:space="preserve">estimate the indicative effect of our </w:t>
      </w:r>
      <w:r w:rsidR="00AD62C3" w:rsidRPr="008860C7">
        <w:t>final</w:t>
      </w:r>
      <w:r w:rsidR="00211DCF" w:rsidRPr="008860C7">
        <w:t xml:space="preserve"> decision on forecast average transmission charges in Victoria by:</w:t>
      </w:r>
      <w:r w:rsidR="00211DCF">
        <w:t xml:space="preserve"> </w:t>
      </w:r>
    </w:p>
    <w:p w:rsidR="00211DCF" w:rsidRPr="00211DCF" w:rsidRDefault="00211DCF" w:rsidP="00211DCF">
      <w:pPr>
        <w:pStyle w:val="AERbulletlistfirststyle"/>
      </w:pPr>
      <w:r w:rsidRPr="00211DCF">
        <w:t xml:space="preserve">taking </w:t>
      </w:r>
      <w:r>
        <w:t>AusNet Service</w:t>
      </w:r>
      <w:r w:rsidRPr="00211DCF">
        <w:t xml:space="preserve">s' annual expected MAR </w:t>
      </w:r>
      <w:r w:rsidRPr="008860C7">
        <w:t xml:space="preserve">determined in this </w:t>
      </w:r>
      <w:r w:rsidR="00AD62C3" w:rsidRPr="008860C7">
        <w:t>final</w:t>
      </w:r>
      <w:r w:rsidRPr="008860C7">
        <w:t xml:space="preserve"> decision</w:t>
      </w:r>
      <w:r w:rsidRPr="00211DCF">
        <w:t>,</w:t>
      </w:r>
      <w:r w:rsidR="001F66FD">
        <w:rPr>
          <w:rStyle w:val="FootnoteReference"/>
        </w:rPr>
        <w:footnoteReference w:id="13"/>
      </w:r>
      <w:r w:rsidRPr="00211DCF">
        <w:t xml:space="preserve"> and </w:t>
      </w:r>
    </w:p>
    <w:p w:rsidR="00211DCF" w:rsidRPr="00211DCF" w:rsidRDefault="00211DCF" w:rsidP="00211DCF">
      <w:pPr>
        <w:pStyle w:val="AERbulletlistfirststyle"/>
      </w:pPr>
      <w:r w:rsidRPr="00211DCF">
        <w:t>dividing it by the forecast annual energy delivered in</w:t>
      </w:r>
      <w:r>
        <w:t xml:space="preserve"> Victoria.</w:t>
      </w:r>
      <w:r>
        <w:rPr>
          <w:rStyle w:val="FootnoteReference"/>
        </w:rPr>
        <w:footnoteReference w:id="14"/>
      </w:r>
    </w:p>
    <w:p w:rsidR="00211DCF" w:rsidRPr="00C729DC" w:rsidRDefault="00211DCF" w:rsidP="00211DCF">
      <w:r w:rsidRPr="00C729DC">
        <w:t xml:space="preserve">Based on this approach, we estimate that this </w:t>
      </w:r>
      <w:r w:rsidR="00936B18" w:rsidRPr="008860C7">
        <w:t>final</w:t>
      </w:r>
      <w:r w:rsidRPr="008860C7">
        <w:t xml:space="preserve"> decision will</w:t>
      </w:r>
      <w:r w:rsidRPr="00C729DC">
        <w:t xml:space="preserve"> </w:t>
      </w:r>
      <w:r w:rsidRPr="00023D89">
        <w:t>result in a</w:t>
      </w:r>
      <w:r w:rsidR="006B70FC">
        <w:t xml:space="preserve"> small</w:t>
      </w:r>
      <w:r w:rsidRPr="00023D89">
        <w:t xml:space="preserve"> </w:t>
      </w:r>
      <w:r w:rsidR="0080742E">
        <w:t>in</w:t>
      </w:r>
      <w:r w:rsidRPr="0080742E">
        <w:t>crease</w:t>
      </w:r>
      <w:r w:rsidRPr="00023D89">
        <w:t xml:space="preserve"> in annual average transmission charges from 2016–17 to 2021–22.</w:t>
      </w:r>
      <w:r w:rsidRPr="00023D89">
        <w:rPr>
          <w:rStyle w:val="FootnoteReference"/>
        </w:rPr>
        <w:footnoteReference w:id="15"/>
      </w:r>
      <w:r w:rsidRPr="00C729DC">
        <w:t xml:space="preserve"> </w:t>
      </w:r>
      <w:r w:rsidRPr="00C729DC">
        <w:fldChar w:fldCharType="begin"/>
      </w:r>
      <w:r w:rsidRPr="00C729DC">
        <w:instrText xml:space="preserve"> REF _Ref363816331 \h </w:instrText>
      </w:r>
      <w:r>
        <w:instrText xml:space="preserve"> \* MERGEFORMAT </w:instrText>
      </w:r>
      <w:r w:rsidRPr="00C729DC">
        <w:fldChar w:fldCharType="separate"/>
      </w:r>
      <w:r w:rsidR="00B12DD8" w:rsidRPr="00211DCF">
        <w:t xml:space="preserve">Figure </w:t>
      </w:r>
      <w:r w:rsidR="00B12DD8">
        <w:rPr>
          <w:noProof/>
        </w:rPr>
        <w:t>1.4</w:t>
      </w:r>
      <w:r w:rsidRPr="00C729DC">
        <w:fldChar w:fldCharType="end"/>
      </w:r>
      <w:r w:rsidRPr="00C729DC">
        <w:t xml:space="preserve"> shows the indicative average transmission charges resulting </w:t>
      </w:r>
      <w:r w:rsidRPr="008860C7">
        <w:t xml:space="preserve">from this </w:t>
      </w:r>
      <w:r w:rsidR="0080018F" w:rsidRPr="008860C7">
        <w:t xml:space="preserve">final </w:t>
      </w:r>
      <w:r w:rsidRPr="008860C7">
        <w:t>decision</w:t>
      </w:r>
      <w:r w:rsidRPr="00C729DC">
        <w:t xml:space="preserve"> compared with the average transmission charges from 20</w:t>
      </w:r>
      <w:r>
        <w:t>14</w:t>
      </w:r>
      <w:r w:rsidR="00374F20">
        <w:t>–15</w:t>
      </w:r>
      <w:r w:rsidRPr="00C729DC">
        <w:t xml:space="preserve"> to 20</w:t>
      </w:r>
      <w:r w:rsidR="00374F20">
        <w:t>16–</w:t>
      </w:r>
      <w:r w:rsidRPr="00C729DC">
        <w:t>1</w:t>
      </w:r>
      <w:r>
        <w:t>7</w:t>
      </w:r>
      <w:r w:rsidRPr="00C729DC">
        <w:t xml:space="preserve"> in </w:t>
      </w:r>
      <w:r>
        <w:t>nominal</w:t>
      </w:r>
      <w:r w:rsidRPr="00C729DC">
        <w:t xml:space="preserve"> dollar terms. The average transmission charges are forecast to </w:t>
      </w:r>
      <w:r w:rsidR="0080742E" w:rsidRPr="0080742E">
        <w:t>in</w:t>
      </w:r>
      <w:r w:rsidRPr="0080742E">
        <w:t>crease</w:t>
      </w:r>
      <w:r w:rsidRPr="00C729DC">
        <w:t xml:space="preserve"> from around $</w:t>
      </w:r>
      <w:r w:rsidR="0080742E">
        <w:t>12.2 </w:t>
      </w:r>
      <w:r w:rsidRPr="00C729DC">
        <w:t>per MWh in 201</w:t>
      </w:r>
      <w:r>
        <w:t>6</w:t>
      </w:r>
      <w:r w:rsidRPr="00C729DC">
        <w:t>–1</w:t>
      </w:r>
      <w:r>
        <w:t>7</w:t>
      </w:r>
      <w:r w:rsidRPr="00C729DC">
        <w:t xml:space="preserve"> to $</w:t>
      </w:r>
      <w:r w:rsidR="0080742E">
        <w:t>12.9</w:t>
      </w:r>
      <w:r w:rsidRPr="00C729DC">
        <w:t> per MWh in 20</w:t>
      </w:r>
      <w:r>
        <w:t>2</w:t>
      </w:r>
      <w:r w:rsidRPr="00C729DC">
        <w:t>1–</w:t>
      </w:r>
      <w:r>
        <w:t>22</w:t>
      </w:r>
      <w:r w:rsidRPr="00C729DC">
        <w:t xml:space="preserve">. </w:t>
      </w:r>
    </w:p>
    <w:p w:rsidR="00211DCF" w:rsidRDefault="00211DCF" w:rsidP="00211DCF">
      <w:pPr>
        <w:pStyle w:val="Caption"/>
      </w:pPr>
      <w:bookmarkStart w:id="29" w:name="_Ref363816331"/>
      <w:r w:rsidRPr="00211DCF">
        <w:lastRenderedPageBreak/>
        <w:t xml:space="preserve">Figure </w:t>
      </w:r>
      <w:fldSimple w:instr=" STYLEREF 1 \s ">
        <w:r w:rsidR="00B12DD8">
          <w:rPr>
            <w:noProof/>
          </w:rPr>
          <w:t>1</w:t>
        </w:r>
      </w:fldSimple>
      <w:r>
        <w:t>.</w:t>
      </w:r>
      <w:fldSimple w:instr=" SEQ Figure \* ARABIC \s 1 ">
        <w:r w:rsidR="00B12DD8">
          <w:rPr>
            <w:noProof/>
          </w:rPr>
          <w:t>4</w:t>
        </w:r>
      </w:fldSimple>
      <w:bookmarkEnd w:id="29"/>
      <w:r w:rsidRPr="00211DCF">
        <w:tab/>
        <w:t>Indicative transmission price path from 20</w:t>
      </w:r>
      <w:r>
        <w:t>14</w:t>
      </w:r>
      <w:r w:rsidRPr="00211DCF">
        <w:t>–</w:t>
      </w:r>
      <w:r>
        <w:t>15 to 2021</w:t>
      </w:r>
      <w:r w:rsidRPr="00211DCF">
        <w:t>–</w:t>
      </w:r>
      <w:r>
        <w:t>22</w:t>
      </w:r>
      <w:r w:rsidRPr="00211DCF">
        <w:t xml:space="preserve"> for </w:t>
      </w:r>
      <w:r>
        <w:t xml:space="preserve">Victoria </w:t>
      </w:r>
      <w:r w:rsidRPr="00211DCF">
        <w:t>($/MWh, nominal)</w:t>
      </w:r>
    </w:p>
    <w:p w:rsidR="005B1917" w:rsidRDefault="00C8681F" w:rsidP="005B1917">
      <w:r w:rsidRPr="00C8681F">
        <w:rPr>
          <w:noProof/>
          <w:lang w:eastAsia="en-AU"/>
        </w:rPr>
        <w:drawing>
          <wp:inline distT="0" distB="0" distL="0" distR="0" wp14:anchorId="6208C235" wp14:editId="050F5009">
            <wp:extent cx="5382895" cy="3227838"/>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82895" cy="3227838"/>
                    </a:xfrm>
                    <a:prstGeom prst="rect">
                      <a:avLst/>
                    </a:prstGeom>
                    <a:noFill/>
                    <a:ln>
                      <a:noFill/>
                    </a:ln>
                  </pic:spPr>
                </pic:pic>
              </a:graphicData>
            </a:graphic>
          </wp:inline>
        </w:drawing>
      </w:r>
    </w:p>
    <w:p w:rsidR="00447987" w:rsidRPr="00C729DC" w:rsidRDefault="00447987" w:rsidP="005B1917">
      <w:pPr>
        <w:pStyle w:val="AERtablesource"/>
        <w:ind w:left="0" w:firstLine="0"/>
      </w:pPr>
      <w:r w:rsidRPr="00C729DC">
        <w:t xml:space="preserve">Source: </w:t>
      </w:r>
      <w:r w:rsidRPr="00C729DC">
        <w:tab/>
        <w:t>AER analysis.</w:t>
      </w:r>
    </w:p>
    <w:p w:rsidR="008B66A7" w:rsidRPr="00023D89" w:rsidRDefault="008B66A7" w:rsidP="008B66A7">
      <w:r w:rsidRPr="00023D89">
        <w:t>We estimate the expected bill impact by varying the transmission charges in accordance with our final decision, while holding all other components constant. This approach isolates the effect of our final decision on the core transmission charges</w:t>
      </w:r>
      <w:r w:rsidR="006B70FC">
        <w:t xml:space="preserve"> that </w:t>
      </w:r>
      <w:r w:rsidR="006B70FC" w:rsidRPr="00023D89">
        <w:t>represent approximately 5 per cent on average of a typical customer's annual electricity bill</w:t>
      </w:r>
      <w:r w:rsidR="006B70FC">
        <w:t xml:space="preserve"> in Victoria</w:t>
      </w:r>
      <w:r w:rsidR="006B70FC" w:rsidRPr="00023D89">
        <w:t>.</w:t>
      </w:r>
      <w:r w:rsidR="006B70FC" w:rsidRPr="00023D89">
        <w:rPr>
          <w:rStyle w:val="FootnoteReference"/>
        </w:rPr>
        <w:footnoteReference w:id="16"/>
      </w:r>
      <w:r w:rsidR="00225D03" w:rsidRPr="00225D03">
        <w:t xml:space="preserve"> </w:t>
      </w:r>
      <w:r w:rsidR="00225D03">
        <w:t>This small percentage largely explains the relatively modest impact this final decision is likely to have on average annual electricity bills. However, our approach</w:t>
      </w:r>
      <w:r w:rsidRPr="00023D89">
        <w:t xml:space="preserve"> does not imply that other components will remain unchanged across the regulatory control period.</w:t>
      </w:r>
      <w:r w:rsidR="002D6DAD">
        <w:rPr>
          <w:rStyle w:val="FootnoteReference"/>
        </w:rPr>
        <w:footnoteReference w:id="17"/>
      </w:r>
      <w:r w:rsidR="00AB2210" w:rsidRPr="00023D89">
        <w:t xml:space="preserve"> </w:t>
      </w:r>
      <w:r w:rsidR="006B70FC" w:rsidRPr="006B70FC">
        <w:t>We note that in its recent electricity price trends report for Victoria, the AEMC has indicated that wholesale costs are expected to rise following the closure of the Hazelwood power station.</w:t>
      </w:r>
      <w:r w:rsidR="006B70FC">
        <w:rPr>
          <w:rStyle w:val="FootnoteReference"/>
        </w:rPr>
        <w:footnoteReference w:id="18"/>
      </w:r>
      <w:r w:rsidR="006B70FC" w:rsidRPr="006B70FC">
        <w:t xml:space="preserve"> However, </w:t>
      </w:r>
      <w:r w:rsidR="006B70FC">
        <w:t xml:space="preserve">as discussed below </w:t>
      </w:r>
      <w:r w:rsidR="006B70FC" w:rsidRPr="006B70FC">
        <w:t xml:space="preserve">we do not expect </w:t>
      </w:r>
      <w:r w:rsidR="006B70FC">
        <w:t xml:space="preserve">the </w:t>
      </w:r>
      <w:r w:rsidR="006B70FC" w:rsidRPr="006B70FC">
        <w:t xml:space="preserve">transmission charges flowing from this final decision </w:t>
      </w:r>
      <w:r w:rsidR="006B70FC">
        <w:t>will</w:t>
      </w:r>
      <w:r w:rsidR="006B70FC" w:rsidRPr="006B70FC">
        <w:t xml:space="preserve"> be a contributor to the overall bill changes</w:t>
      </w:r>
      <w:r w:rsidR="006B70FC">
        <w:t>.</w:t>
      </w:r>
    </w:p>
    <w:p w:rsidR="008B66A7" w:rsidRPr="00023D89" w:rsidRDefault="008B66A7" w:rsidP="007627BD">
      <w:r w:rsidRPr="00023D89">
        <w:t xml:space="preserve">Based on this approach </w:t>
      </w:r>
      <w:r w:rsidR="00AB2210" w:rsidRPr="00023D89">
        <w:t>i</w:t>
      </w:r>
      <w:r w:rsidRPr="00023D89">
        <w:t xml:space="preserve">n our final </w:t>
      </w:r>
      <w:r w:rsidRPr="000D0C3C">
        <w:t xml:space="preserve">decision, </w:t>
      </w:r>
      <w:r w:rsidR="002D6DAD" w:rsidRPr="000D0C3C">
        <w:t xml:space="preserve">we expect that the transmission component of the average annual residential electricity bills in Victoria to remain generally constant over the 2017–22 regulatory control period. </w:t>
      </w:r>
      <w:r w:rsidR="00ED4ACD" w:rsidRPr="000D0C3C">
        <w:t>T</w:t>
      </w:r>
      <w:r w:rsidR="007627BD" w:rsidRPr="000D0C3C">
        <w:t>he</w:t>
      </w:r>
      <w:r w:rsidR="007627BD" w:rsidRPr="00023D89">
        <w:t xml:space="preserve"> transmission component of the average residential customer's annual electricity bill in 2021–22 is </w:t>
      </w:r>
      <w:r w:rsidR="007627BD" w:rsidRPr="00023D89">
        <w:lastRenderedPageBreak/>
        <w:t>expected to be about $</w:t>
      </w:r>
      <w:r w:rsidR="0080742E">
        <w:t>4</w:t>
      </w:r>
      <w:r w:rsidR="007627BD" w:rsidRPr="00023D89">
        <w:t xml:space="preserve"> </w:t>
      </w:r>
      <w:r w:rsidR="00037D82">
        <w:t xml:space="preserve">($ nominal) </w:t>
      </w:r>
      <w:r w:rsidR="007627BD" w:rsidRPr="00023D89">
        <w:t xml:space="preserve">above </w:t>
      </w:r>
      <w:r w:rsidR="00D71CFB" w:rsidRPr="00023D89">
        <w:t>the 2016–17 level.</w:t>
      </w:r>
      <w:r w:rsidRPr="00023D89">
        <w:t xml:space="preserve"> This equates to a </w:t>
      </w:r>
      <w:r w:rsidR="00F165F0">
        <w:t>0.3</w:t>
      </w:r>
      <w:r w:rsidR="0080742E">
        <w:t> </w:t>
      </w:r>
      <w:r w:rsidR="00DF51F9">
        <w:t>per cent</w:t>
      </w:r>
      <w:r w:rsidRPr="00023D89">
        <w:t xml:space="preserve"> increase in the average residential customer's </w:t>
      </w:r>
      <w:r w:rsidR="00037D82">
        <w:t xml:space="preserve">total </w:t>
      </w:r>
      <w:r w:rsidRPr="00023D89">
        <w:t>bill</w:t>
      </w:r>
      <w:r w:rsidR="00DF51F9">
        <w:t xml:space="preserve"> over 5 years</w:t>
      </w:r>
      <w:r w:rsidR="00037D82" w:rsidRPr="00023D89">
        <w:t>.</w:t>
      </w:r>
    </w:p>
    <w:p w:rsidR="007627BD" w:rsidRDefault="007627BD" w:rsidP="007627BD">
      <w:r w:rsidRPr="00023D89">
        <w:t xml:space="preserve">By comparison, had we accepted AusNet Services’ </w:t>
      </w:r>
      <w:r w:rsidR="000F1D1C" w:rsidRPr="00023D89">
        <w:t xml:space="preserve">revised </w:t>
      </w:r>
      <w:r w:rsidRPr="00023D89">
        <w:t xml:space="preserve">proposal, the transmission component of the average annual residential electricity bill in 2021–22 </w:t>
      </w:r>
      <w:r w:rsidR="008B66A7" w:rsidRPr="00023D89">
        <w:t>would be expected to</w:t>
      </w:r>
      <w:r w:rsidRPr="00023D89">
        <w:t xml:space="preserve"> increase approximately $</w:t>
      </w:r>
      <w:r w:rsidR="007A78AD">
        <w:t>7</w:t>
      </w:r>
      <w:r w:rsidRPr="00023D89">
        <w:t xml:space="preserve"> ($ nominal)</w:t>
      </w:r>
      <w:r w:rsidR="008B66A7" w:rsidRPr="00023D89">
        <w:t xml:space="preserve"> above the 2016</w:t>
      </w:r>
      <w:r w:rsidR="00BB0D44">
        <w:t>–</w:t>
      </w:r>
      <w:r w:rsidR="008B66A7" w:rsidRPr="00023D89">
        <w:t xml:space="preserve">17 level. This </w:t>
      </w:r>
      <w:r w:rsidR="00AB2210" w:rsidRPr="00023D89">
        <w:t>equate</w:t>
      </w:r>
      <w:r w:rsidR="0097754A" w:rsidRPr="00023D89">
        <w:t>s</w:t>
      </w:r>
      <w:r w:rsidR="00AB2210" w:rsidRPr="00023D89">
        <w:t xml:space="preserve"> to a </w:t>
      </w:r>
      <w:r w:rsidR="00F165F0">
        <w:t>0.5</w:t>
      </w:r>
      <w:r w:rsidR="00DF51F9" w:rsidRPr="00023D89">
        <w:t xml:space="preserve"> per cent </w:t>
      </w:r>
      <w:r w:rsidR="00AB2210" w:rsidRPr="00023D89">
        <w:t>increase in the</w:t>
      </w:r>
      <w:r w:rsidR="002D6DAD">
        <w:t xml:space="preserve"> average residential customer’s</w:t>
      </w:r>
      <w:r w:rsidR="00AB2210" w:rsidRPr="00023D89">
        <w:t xml:space="preserve"> </w:t>
      </w:r>
      <w:r w:rsidR="00946D56" w:rsidRPr="00023D89">
        <w:t xml:space="preserve">total </w:t>
      </w:r>
      <w:r w:rsidR="00AB2210" w:rsidRPr="00023D89">
        <w:t>bill</w:t>
      </w:r>
      <w:r w:rsidR="00DF51F9">
        <w:t xml:space="preserve"> over 5 years</w:t>
      </w:r>
      <w:r w:rsidR="00AB2210" w:rsidRPr="00023D89">
        <w:t>.</w:t>
      </w:r>
    </w:p>
    <w:p w:rsidR="00211DCF" w:rsidRPr="00147651" w:rsidRDefault="00211DCF" w:rsidP="00211DCF">
      <w:r>
        <w:t>O</w:t>
      </w:r>
      <w:r w:rsidRPr="00147651">
        <w:t xml:space="preserve">ur </w:t>
      </w:r>
      <w:r w:rsidRPr="00023D89">
        <w:t>estimated potential impact is based on the typic</w:t>
      </w:r>
      <w:r w:rsidR="00C95806" w:rsidRPr="00023D89">
        <w:t xml:space="preserve">al annual electricity usage of </w:t>
      </w:r>
      <w:r w:rsidR="00241883" w:rsidRPr="00023D89">
        <w:t>4000</w:t>
      </w:r>
      <w:r w:rsidRPr="00023D89">
        <w:t> kWh per annum for a residential customer in Victoria.</w:t>
      </w:r>
      <w:r w:rsidRPr="00023D89">
        <w:rPr>
          <w:rStyle w:val="FootnoteReference"/>
        </w:rPr>
        <w:footnoteReference w:id="19"/>
      </w:r>
      <w:r w:rsidRPr="00023D89">
        <w:t xml:space="preserve"> Customers</w:t>
      </w:r>
      <w:r w:rsidRPr="00147651">
        <w:t xml:space="preserve"> with different usage will experience different changes in their </w:t>
      </w:r>
      <w:r>
        <w:t>bills</w:t>
      </w:r>
      <w:r w:rsidRPr="00147651">
        <w:t xml:space="preserve">. We </w:t>
      </w:r>
      <w:r>
        <w:t xml:space="preserve">also </w:t>
      </w:r>
      <w:r w:rsidRPr="00147651">
        <w:t xml:space="preserve">note that there are other factors, such as distribution network costs, wholesale and retail costs, which affect electricity </w:t>
      </w:r>
      <w:r>
        <w:t>bills</w:t>
      </w:r>
      <w:r w:rsidRPr="00147651">
        <w:t xml:space="preserve">. </w:t>
      </w:r>
    </w:p>
    <w:p w:rsidR="00180784" w:rsidRPr="00023D89" w:rsidRDefault="00180784" w:rsidP="00180784">
      <w:pPr>
        <w:rPr>
          <w:sz w:val="13"/>
          <w:szCs w:val="13"/>
        </w:rPr>
      </w:pPr>
      <w:r w:rsidRPr="00023D89">
        <w:t xml:space="preserve">Similarly, for small business customers in Victoria—for which transmission charges represent approximately 4 per cent of a typical annual electricity bill—we have estimated the impact of our </w:t>
      </w:r>
      <w:r w:rsidR="00F8207D" w:rsidRPr="00023D89">
        <w:t>final</w:t>
      </w:r>
      <w:r w:rsidRPr="00023D89">
        <w:t xml:space="preserve"> decision for two customer categories:</w:t>
      </w:r>
    </w:p>
    <w:p w:rsidR="00180784" w:rsidRPr="00023D89" w:rsidRDefault="00180784" w:rsidP="00EF0C44">
      <w:pPr>
        <w:pStyle w:val="AERbulletlistfirststyle"/>
      </w:pPr>
      <w:r w:rsidRPr="00023D89">
        <w:t>Small business (flat)—representing small business customers on a flat tariff using 12</w:t>
      </w:r>
      <w:r w:rsidR="001045F9" w:rsidRPr="00023D89">
        <w:t> </w:t>
      </w:r>
      <w:r w:rsidRPr="00023D89">
        <w:t>000 kWh per annum</w:t>
      </w:r>
    </w:p>
    <w:p w:rsidR="00180784" w:rsidRPr="00023D89" w:rsidRDefault="00180784" w:rsidP="00EF0C44">
      <w:pPr>
        <w:pStyle w:val="AERbulletlistfirststyle"/>
      </w:pPr>
      <w:r w:rsidRPr="00023D89">
        <w:t>Small business (TOU)—representing small business customers on a time-of-use tariff using 40</w:t>
      </w:r>
      <w:r w:rsidR="001045F9" w:rsidRPr="00023D89">
        <w:t> </w:t>
      </w:r>
      <w:r w:rsidRPr="00023D89">
        <w:t>000 kWh per annum.</w:t>
      </w:r>
    </w:p>
    <w:p w:rsidR="001045F9" w:rsidRPr="00023D89" w:rsidRDefault="00180784" w:rsidP="00180784">
      <w:r w:rsidRPr="00023D89">
        <w:t xml:space="preserve">We expect our </w:t>
      </w:r>
      <w:r w:rsidR="009E59AC" w:rsidRPr="00023D89">
        <w:t>final</w:t>
      </w:r>
      <w:r w:rsidRPr="00023D89">
        <w:t xml:space="preserve"> decision will result in the transmission component of the average small business (flat) customer's annual electricity bill in 2021–22 to be </w:t>
      </w:r>
      <w:r w:rsidRPr="00F165F0">
        <w:t>about $</w:t>
      </w:r>
      <w:r w:rsidR="0016798A">
        <w:t>7</w:t>
      </w:r>
      <w:r w:rsidRPr="00F165F0">
        <w:t xml:space="preserve"> </w:t>
      </w:r>
      <w:r w:rsidR="00037D82" w:rsidRPr="00F165F0">
        <w:t>($ </w:t>
      </w:r>
      <w:r w:rsidRPr="00F165F0">
        <w:t xml:space="preserve">nominal) above the 2016–17 level. </w:t>
      </w:r>
      <w:r w:rsidR="0097754A" w:rsidRPr="00F165F0">
        <w:t xml:space="preserve">This </w:t>
      </w:r>
      <w:r w:rsidR="00413318" w:rsidRPr="00F165F0">
        <w:t xml:space="preserve">equates to a </w:t>
      </w:r>
      <w:r w:rsidR="00F165F0">
        <w:t>0.2 </w:t>
      </w:r>
      <w:r w:rsidR="00413318" w:rsidRPr="00F165F0">
        <w:t>per cent increase in the</w:t>
      </w:r>
      <w:r w:rsidR="00413318" w:rsidRPr="00023D89">
        <w:t xml:space="preserve"> </w:t>
      </w:r>
      <w:r w:rsidR="00413318">
        <w:t>average customer’s</w:t>
      </w:r>
      <w:r w:rsidR="00413318" w:rsidRPr="00023D89">
        <w:t xml:space="preserve"> total bill</w:t>
      </w:r>
      <w:r w:rsidR="00413318">
        <w:t xml:space="preserve"> over 5 years</w:t>
      </w:r>
      <w:r w:rsidR="0097754A" w:rsidRPr="00023D89">
        <w:t xml:space="preserve">. </w:t>
      </w:r>
      <w:r w:rsidRPr="00023D89">
        <w:t xml:space="preserve">By comparison, had we accepted AusNet Services' </w:t>
      </w:r>
      <w:r w:rsidR="001045F9" w:rsidRPr="00023D89">
        <w:t xml:space="preserve">revised </w:t>
      </w:r>
      <w:r w:rsidRPr="00023D89">
        <w:t>proposal, the expected transmission component of the average annual small business (flat) electricity bill in 2021–22 would increase approximately $</w:t>
      </w:r>
      <w:r w:rsidR="00F165F0">
        <w:t>12</w:t>
      </w:r>
      <w:r w:rsidRPr="00023D89">
        <w:t xml:space="preserve"> ($ nominal)</w:t>
      </w:r>
      <w:r w:rsidR="00F40512" w:rsidRPr="00023D89">
        <w:t xml:space="preserve"> above the 2016–17 level. This equates to a </w:t>
      </w:r>
      <w:r w:rsidR="00DF51F9" w:rsidRPr="00023D89">
        <w:t>0.</w:t>
      </w:r>
      <w:r w:rsidR="00F165F0">
        <w:t>4</w:t>
      </w:r>
      <w:r w:rsidR="00DF51F9" w:rsidRPr="00023D89">
        <w:t xml:space="preserve"> per cent </w:t>
      </w:r>
      <w:r w:rsidR="00F40512" w:rsidRPr="00023D89">
        <w:t xml:space="preserve">increase in the </w:t>
      </w:r>
      <w:r w:rsidR="00413318">
        <w:t>average customer’s</w:t>
      </w:r>
      <w:r w:rsidR="00413318" w:rsidRPr="00023D89">
        <w:t xml:space="preserve"> </w:t>
      </w:r>
      <w:r w:rsidR="00946D56" w:rsidRPr="00023D89">
        <w:t xml:space="preserve">total </w:t>
      </w:r>
      <w:r w:rsidR="00F40512" w:rsidRPr="00023D89">
        <w:t>bill</w:t>
      </w:r>
      <w:r w:rsidR="00DF51F9">
        <w:t xml:space="preserve"> over 5 years</w:t>
      </w:r>
      <w:r w:rsidR="001045F9" w:rsidRPr="00023D89">
        <w:t>.</w:t>
      </w:r>
    </w:p>
    <w:p w:rsidR="00946D56" w:rsidRDefault="00180784" w:rsidP="00211DCF">
      <w:r w:rsidRPr="00023D89">
        <w:t xml:space="preserve">Likewise, the transmission component of the average small business (TOU) customer's annual electricity bill in 2021–22 is expected to be </w:t>
      </w:r>
      <w:r w:rsidR="00946D56" w:rsidRPr="00023D89">
        <w:t xml:space="preserve">about </w:t>
      </w:r>
      <w:r w:rsidR="00946D56" w:rsidRPr="00C8681F">
        <w:t>$</w:t>
      </w:r>
      <w:r w:rsidR="00F165F0" w:rsidRPr="00C8681F">
        <w:t>17</w:t>
      </w:r>
      <w:r w:rsidR="00946D56" w:rsidRPr="00C8681F">
        <w:t xml:space="preserve"> ($</w:t>
      </w:r>
      <w:r w:rsidR="00946D56" w:rsidRPr="00023D89">
        <w:t xml:space="preserve"> nominal) above the 2016–17 level. </w:t>
      </w:r>
      <w:r w:rsidR="00413318" w:rsidRPr="00023D89">
        <w:t xml:space="preserve">This equates to a </w:t>
      </w:r>
      <w:r w:rsidR="00F165F0">
        <w:t>0.2 </w:t>
      </w:r>
      <w:r w:rsidR="00413318" w:rsidRPr="00023D89">
        <w:t xml:space="preserve">per cent increase in the </w:t>
      </w:r>
      <w:r w:rsidR="00413318">
        <w:t>average customer’s</w:t>
      </w:r>
      <w:r w:rsidR="00413318" w:rsidRPr="00023D89">
        <w:t xml:space="preserve"> total bill</w:t>
      </w:r>
      <w:r w:rsidR="00413318">
        <w:t xml:space="preserve"> over 5 years</w:t>
      </w:r>
      <w:r w:rsidR="00946D56" w:rsidRPr="00023D89">
        <w:t xml:space="preserve">. </w:t>
      </w:r>
      <w:r w:rsidRPr="00023D89">
        <w:t xml:space="preserve">By comparison, had we accepted AusNet Services' </w:t>
      </w:r>
      <w:r w:rsidR="001045F9" w:rsidRPr="00023D89">
        <w:t xml:space="preserve">revised </w:t>
      </w:r>
      <w:r w:rsidRPr="00023D89">
        <w:t xml:space="preserve">proposal, the expected transmission component of the average annual small business (TOU) electricity bill in 2021–22 would increase </w:t>
      </w:r>
      <w:r w:rsidR="00946D56" w:rsidRPr="00023D89">
        <w:t>approximately $</w:t>
      </w:r>
      <w:r w:rsidR="00F165F0">
        <w:t>32</w:t>
      </w:r>
      <w:r w:rsidR="00946D56" w:rsidRPr="00023D89">
        <w:t xml:space="preserve"> ($</w:t>
      </w:r>
      <w:r w:rsidR="00F165F0">
        <w:t> </w:t>
      </w:r>
      <w:r w:rsidR="00946D56" w:rsidRPr="00023D89">
        <w:t xml:space="preserve">nominal) above the 2016–17 level. This equates to a </w:t>
      </w:r>
      <w:r w:rsidR="00DF51F9" w:rsidRPr="00023D89">
        <w:t>0.</w:t>
      </w:r>
      <w:r w:rsidR="00F165F0">
        <w:t>4</w:t>
      </w:r>
      <w:r w:rsidR="00DF51F9" w:rsidRPr="00023D89">
        <w:t>% per cent</w:t>
      </w:r>
      <w:r w:rsidR="00946D56" w:rsidRPr="00023D89">
        <w:t xml:space="preserve"> increase in the </w:t>
      </w:r>
      <w:r w:rsidR="00413318">
        <w:t>average customer’s</w:t>
      </w:r>
      <w:r w:rsidR="00413318" w:rsidRPr="00023D89">
        <w:t xml:space="preserve"> </w:t>
      </w:r>
      <w:r w:rsidR="00946D56" w:rsidRPr="00023D89">
        <w:t>total bill</w:t>
      </w:r>
      <w:r w:rsidR="00DF51F9">
        <w:t xml:space="preserve"> over 5 years</w:t>
      </w:r>
      <w:r w:rsidR="00946D56" w:rsidRPr="00023D89">
        <w:t>.</w:t>
      </w:r>
    </w:p>
    <w:p w:rsidR="00211DCF" w:rsidRPr="00023D89" w:rsidRDefault="003A7EEB" w:rsidP="00211DCF">
      <w:r>
        <w:fldChar w:fldCharType="begin"/>
      </w:r>
      <w:r>
        <w:instrText xml:space="preserve"> REF _Ref441242075 \h </w:instrText>
      </w:r>
      <w:r>
        <w:fldChar w:fldCharType="separate"/>
      </w:r>
      <w:r w:rsidR="00B12DD8" w:rsidRPr="00023D89">
        <w:t xml:space="preserve">Table </w:t>
      </w:r>
      <w:r w:rsidR="00B12DD8">
        <w:rPr>
          <w:noProof/>
        </w:rPr>
        <w:t>1</w:t>
      </w:r>
      <w:r w:rsidR="00B12DD8" w:rsidRPr="00023D89">
        <w:t>.</w:t>
      </w:r>
      <w:r w:rsidR="00B12DD8">
        <w:rPr>
          <w:noProof/>
        </w:rPr>
        <w:t>4</w:t>
      </w:r>
      <w:r>
        <w:fldChar w:fldCharType="end"/>
      </w:r>
      <w:r w:rsidR="00194B25">
        <w:t xml:space="preserve"> </w:t>
      </w:r>
      <w:r w:rsidR="00211DCF" w:rsidRPr="00C729DC">
        <w:t xml:space="preserve">shows our estimated </w:t>
      </w:r>
      <w:r w:rsidR="00211DCF" w:rsidRPr="00023D89">
        <w:t xml:space="preserve">impact of this </w:t>
      </w:r>
      <w:r w:rsidR="00936B18" w:rsidRPr="00023D89">
        <w:t>final</w:t>
      </w:r>
      <w:r w:rsidR="00211DCF" w:rsidRPr="00023D89">
        <w:t xml:space="preserve"> decision over the 201</w:t>
      </w:r>
      <w:r w:rsidR="00194B25" w:rsidRPr="00023D89">
        <w:t>7</w:t>
      </w:r>
      <w:r w:rsidR="00211DCF" w:rsidRPr="00023D89">
        <w:t>–</w:t>
      </w:r>
      <w:r w:rsidR="00194B25" w:rsidRPr="00023D89">
        <w:t>22 regulatory control</w:t>
      </w:r>
      <w:r w:rsidR="00211DCF" w:rsidRPr="00023D89">
        <w:t xml:space="preserve"> period compared with </w:t>
      </w:r>
      <w:r w:rsidR="00194B25" w:rsidRPr="00023D89">
        <w:t>AusNet Services</w:t>
      </w:r>
      <w:r w:rsidR="00211DCF" w:rsidRPr="00023D89">
        <w:t xml:space="preserve">' </w:t>
      </w:r>
      <w:r w:rsidR="00936B18" w:rsidRPr="00023D89">
        <w:t xml:space="preserve">revised </w:t>
      </w:r>
      <w:r w:rsidR="00211DCF" w:rsidRPr="00023D89">
        <w:t xml:space="preserve">proposal on the average annual electricity bills for residential and small business customers in </w:t>
      </w:r>
      <w:r w:rsidR="00194B25" w:rsidRPr="00023D89">
        <w:t>Victoria</w:t>
      </w:r>
      <w:r w:rsidR="00211DCF" w:rsidRPr="00023D89">
        <w:t>.</w:t>
      </w:r>
    </w:p>
    <w:p w:rsidR="00194B25" w:rsidRPr="00C729DC" w:rsidRDefault="003A7EEB" w:rsidP="003A7EEB">
      <w:pPr>
        <w:pStyle w:val="Caption"/>
      </w:pPr>
      <w:bookmarkStart w:id="30" w:name="_Ref441242075"/>
      <w:r w:rsidRPr="00023D89">
        <w:lastRenderedPageBreak/>
        <w:t xml:space="preserve">Table </w:t>
      </w:r>
      <w:fldSimple w:instr=" STYLEREF 1 \s ">
        <w:r w:rsidR="00B12DD8">
          <w:rPr>
            <w:noProof/>
          </w:rPr>
          <w:t>1</w:t>
        </w:r>
      </w:fldSimple>
      <w:r w:rsidR="00AA72A6" w:rsidRPr="00023D89">
        <w:t>.</w:t>
      </w:r>
      <w:fldSimple w:instr=" SEQ Table \* ARABIC \s 1 ">
        <w:r w:rsidR="00B12DD8">
          <w:rPr>
            <w:noProof/>
          </w:rPr>
          <w:t>4</w:t>
        </w:r>
      </w:fldSimple>
      <w:bookmarkEnd w:id="30"/>
      <w:r w:rsidR="00194B25" w:rsidRPr="00023D89">
        <w:tab/>
        <w:t>AER's estimated impact of our final</w:t>
      </w:r>
      <w:r w:rsidR="00194B25" w:rsidRPr="00023D89">
        <w:tab/>
        <w:t>decision</w:t>
      </w:r>
      <w:r w:rsidR="00194B25">
        <w:t xml:space="preserve"> and AusNet Services’ </w:t>
      </w:r>
      <w:r w:rsidR="001429A1">
        <w:t xml:space="preserve">revised </w:t>
      </w:r>
      <w:r w:rsidR="00194B25">
        <w:t>proposal</w:t>
      </w:r>
      <w:r w:rsidR="00194B25" w:rsidRPr="00C729DC">
        <w:t xml:space="preserve"> on the average </w:t>
      </w:r>
      <w:r w:rsidR="00194B25">
        <w:t>annual electricity bills for the</w:t>
      </w:r>
      <w:r w:rsidR="00194B25" w:rsidRPr="00C729DC">
        <w:t xml:space="preserve"> 201</w:t>
      </w:r>
      <w:r w:rsidR="00194B25">
        <w:t>7</w:t>
      </w:r>
      <w:r w:rsidR="00194B25" w:rsidRPr="00C729DC">
        <w:t>–</w:t>
      </w:r>
      <w:r w:rsidR="00194B25">
        <w:t>22 regulatory control period ($ nominal)</w:t>
      </w:r>
    </w:p>
    <w:tbl>
      <w:tblPr>
        <w:tblStyle w:val="AERtable-numbers"/>
        <w:tblW w:w="9039" w:type="dxa"/>
        <w:tblLook w:val="04A0" w:firstRow="1" w:lastRow="0" w:firstColumn="1" w:lastColumn="0" w:noHBand="0" w:noVBand="1"/>
      </w:tblPr>
      <w:tblGrid>
        <w:gridCol w:w="2660"/>
        <w:gridCol w:w="850"/>
        <w:gridCol w:w="993"/>
        <w:gridCol w:w="1134"/>
        <w:gridCol w:w="1134"/>
        <w:gridCol w:w="1134"/>
        <w:gridCol w:w="1134"/>
      </w:tblGrid>
      <w:tr w:rsidR="00276066" w:rsidRPr="00AA72A6" w:rsidTr="000B4F56">
        <w:trPr>
          <w:cnfStyle w:val="100000000000" w:firstRow="1" w:lastRow="0" w:firstColumn="0" w:lastColumn="0" w:oddVBand="0" w:evenVBand="0" w:oddHBand="0" w:evenHBand="0" w:firstRowFirstColumn="0" w:firstRowLastColumn="0" w:lastRowFirstColumn="0" w:lastRowLastColumn="0"/>
          <w:trHeight w:val="464"/>
          <w:tblHeader/>
        </w:trPr>
        <w:tc>
          <w:tcPr>
            <w:cnfStyle w:val="001000000000" w:firstRow="0" w:lastRow="0" w:firstColumn="1" w:lastColumn="0" w:oddVBand="0" w:evenVBand="0" w:oddHBand="0" w:evenHBand="0" w:firstRowFirstColumn="0" w:firstRowLastColumn="0" w:lastRowFirstColumn="0" w:lastRowLastColumn="0"/>
            <w:tcW w:w="2660" w:type="dxa"/>
          </w:tcPr>
          <w:p w:rsidR="00276066" w:rsidRPr="00AA72A6" w:rsidRDefault="00276066" w:rsidP="00AA72A6"/>
        </w:tc>
        <w:tc>
          <w:tcPr>
            <w:tcW w:w="850" w:type="dxa"/>
          </w:tcPr>
          <w:p w:rsidR="00276066" w:rsidRPr="00AA72A6" w:rsidRDefault="00276066" w:rsidP="00AA72A6">
            <w:pPr>
              <w:cnfStyle w:val="100000000000" w:firstRow="1" w:lastRow="0" w:firstColumn="0" w:lastColumn="0" w:oddVBand="0" w:evenVBand="0" w:oddHBand="0" w:evenHBand="0" w:firstRowFirstColumn="0" w:firstRowLastColumn="0" w:lastRowFirstColumn="0" w:lastRowLastColumn="0"/>
            </w:pPr>
            <w:r w:rsidRPr="00AA72A6">
              <w:t>2016–17</w:t>
            </w:r>
          </w:p>
        </w:tc>
        <w:tc>
          <w:tcPr>
            <w:tcW w:w="993" w:type="dxa"/>
          </w:tcPr>
          <w:p w:rsidR="00276066" w:rsidRPr="00AA72A6" w:rsidRDefault="00276066" w:rsidP="00AA72A6">
            <w:pPr>
              <w:cnfStyle w:val="100000000000" w:firstRow="1" w:lastRow="0" w:firstColumn="0" w:lastColumn="0" w:oddVBand="0" w:evenVBand="0" w:oddHBand="0" w:evenHBand="0" w:firstRowFirstColumn="0" w:firstRowLastColumn="0" w:lastRowFirstColumn="0" w:lastRowLastColumn="0"/>
            </w:pPr>
            <w:r w:rsidRPr="00AA72A6">
              <w:t>2017–18</w:t>
            </w:r>
          </w:p>
        </w:tc>
        <w:tc>
          <w:tcPr>
            <w:tcW w:w="1134" w:type="dxa"/>
          </w:tcPr>
          <w:p w:rsidR="00276066" w:rsidRPr="00AA72A6" w:rsidRDefault="00276066" w:rsidP="00AA72A6">
            <w:pPr>
              <w:cnfStyle w:val="100000000000" w:firstRow="1" w:lastRow="0" w:firstColumn="0" w:lastColumn="0" w:oddVBand="0" w:evenVBand="0" w:oddHBand="0" w:evenHBand="0" w:firstRowFirstColumn="0" w:firstRowLastColumn="0" w:lastRowFirstColumn="0" w:lastRowLastColumn="0"/>
            </w:pPr>
            <w:r w:rsidRPr="00AA72A6">
              <w:t>2018–19</w:t>
            </w:r>
          </w:p>
        </w:tc>
        <w:tc>
          <w:tcPr>
            <w:tcW w:w="1134" w:type="dxa"/>
          </w:tcPr>
          <w:p w:rsidR="00276066" w:rsidRPr="00AA72A6" w:rsidRDefault="00276066" w:rsidP="00AA72A6">
            <w:pPr>
              <w:cnfStyle w:val="100000000000" w:firstRow="1" w:lastRow="0" w:firstColumn="0" w:lastColumn="0" w:oddVBand="0" w:evenVBand="0" w:oddHBand="0" w:evenHBand="0" w:firstRowFirstColumn="0" w:firstRowLastColumn="0" w:lastRowFirstColumn="0" w:lastRowLastColumn="0"/>
            </w:pPr>
            <w:r w:rsidRPr="00AA72A6">
              <w:t>2019–20</w:t>
            </w:r>
          </w:p>
        </w:tc>
        <w:tc>
          <w:tcPr>
            <w:tcW w:w="1134" w:type="dxa"/>
          </w:tcPr>
          <w:p w:rsidR="00276066" w:rsidRPr="00AA72A6" w:rsidRDefault="00276066" w:rsidP="00AA72A6">
            <w:pPr>
              <w:cnfStyle w:val="100000000000" w:firstRow="1" w:lastRow="0" w:firstColumn="0" w:lastColumn="0" w:oddVBand="0" w:evenVBand="0" w:oddHBand="0" w:evenHBand="0" w:firstRowFirstColumn="0" w:firstRowLastColumn="0" w:lastRowFirstColumn="0" w:lastRowLastColumn="0"/>
            </w:pPr>
            <w:r>
              <w:t>2020</w:t>
            </w:r>
            <w:r w:rsidRPr="00AA72A6">
              <w:t>–</w:t>
            </w:r>
            <w:r>
              <w:t>21</w:t>
            </w:r>
          </w:p>
        </w:tc>
        <w:tc>
          <w:tcPr>
            <w:tcW w:w="1134" w:type="dxa"/>
          </w:tcPr>
          <w:p w:rsidR="00276066" w:rsidRPr="00AA72A6" w:rsidRDefault="00276066" w:rsidP="00AA72A6">
            <w:pPr>
              <w:cnfStyle w:val="100000000000" w:firstRow="1" w:lastRow="0" w:firstColumn="0" w:lastColumn="0" w:oddVBand="0" w:evenVBand="0" w:oddHBand="0" w:evenHBand="0" w:firstRowFirstColumn="0" w:firstRowLastColumn="0" w:lastRowFirstColumn="0" w:lastRowLastColumn="0"/>
            </w:pPr>
            <w:r w:rsidRPr="00AA72A6">
              <w:t>2021–22</w:t>
            </w:r>
          </w:p>
        </w:tc>
      </w:tr>
      <w:tr w:rsidR="00276066" w:rsidRPr="00AA72A6" w:rsidTr="000B4F56">
        <w:trPr>
          <w:trHeight w:val="394"/>
        </w:trPr>
        <w:tc>
          <w:tcPr>
            <w:cnfStyle w:val="001000000000" w:firstRow="0" w:lastRow="0" w:firstColumn="1" w:lastColumn="0" w:oddVBand="0" w:evenVBand="0" w:oddHBand="0" w:evenHBand="0" w:firstRowFirstColumn="0" w:firstRowLastColumn="0" w:lastRowFirstColumn="0" w:lastRowLastColumn="0"/>
            <w:tcW w:w="2660" w:type="dxa"/>
          </w:tcPr>
          <w:p w:rsidR="00276066" w:rsidRPr="001077FA" w:rsidRDefault="00276066" w:rsidP="00AA72A6">
            <w:pPr>
              <w:rPr>
                <w:b/>
              </w:rPr>
            </w:pPr>
            <w:r w:rsidRPr="001077FA">
              <w:rPr>
                <w:b/>
              </w:rPr>
              <w:t>AER final decision</w:t>
            </w:r>
          </w:p>
        </w:tc>
        <w:tc>
          <w:tcPr>
            <w:tcW w:w="850" w:type="dxa"/>
          </w:tcPr>
          <w:p w:rsidR="00276066" w:rsidRPr="001077FA" w:rsidRDefault="00276066" w:rsidP="00AA72A6">
            <w:pPr>
              <w:cnfStyle w:val="000000000000" w:firstRow="0" w:lastRow="0" w:firstColumn="0" w:lastColumn="0" w:oddVBand="0" w:evenVBand="0" w:oddHBand="0" w:evenHBand="0" w:firstRowFirstColumn="0" w:firstRowLastColumn="0" w:lastRowFirstColumn="0" w:lastRowLastColumn="0"/>
            </w:pPr>
          </w:p>
        </w:tc>
        <w:tc>
          <w:tcPr>
            <w:tcW w:w="993" w:type="dxa"/>
          </w:tcPr>
          <w:p w:rsidR="00276066" w:rsidRPr="001077FA" w:rsidRDefault="00276066" w:rsidP="00AA72A6">
            <w:pPr>
              <w:cnfStyle w:val="000000000000" w:firstRow="0" w:lastRow="0" w:firstColumn="0" w:lastColumn="0" w:oddVBand="0" w:evenVBand="0" w:oddHBand="0" w:evenHBand="0" w:firstRowFirstColumn="0" w:firstRowLastColumn="0" w:lastRowFirstColumn="0" w:lastRowLastColumn="0"/>
            </w:pPr>
          </w:p>
        </w:tc>
        <w:tc>
          <w:tcPr>
            <w:tcW w:w="1134" w:type="dxa"/>
            <w:vAlign w:val="top"/>
          </w:tcPr>
          <w:p w:rsidR="00276066" w:rsidRPr="001077FA" w:rsidRDefault="00276066" w:rsidP="00AA72A6">
            <w:pPr>
              <w:cnfStyle w:val="000000000000" w:firstRow="0" w:lastRow="0" w:firstColumn="0" w:lastColumn="0" w:oddVBand="0" w:evenVBand="0" w:oddHBand="0" w:evenHBand="0" w:firstRowFirstColumn="0" w:firstRowLastColumn="0" w:lastRowFirstColumn="0" w:lastRowLastColumn="0"/>
            </w:pPr>
          </w:p>
        </w:tc>
        <w:tc>
          <w:tcPr>
            <w:tcW w:w="1134" w:type="dxa"/>
            <w:vAlign w:val="top"/>
          </w:tcPr>
          <w:p w:rsidR="00276066" w:rsidRPr="001077FA" w:rsidRDefault="00276066" w:rsidP="00AA72A6">
            <w:pPr>
              <w:cnfStyle w:val="000000000000" w:firstRow="0" w:lastRow="0" w:firstColumn="0" w:lastColumn="0" w:oddVBand="0" w:evenVBand="0" w:oddHBand="0" w:evenHBand="0" w:firstRowFirstColumn="0" w:firstRowLastColumn="0" w:lastRowFirstColumn="0" w:lastRowLastColumn="0"/>
            </w:pPr>
          </w:p>
        </w:tc>
        <w:tc>
          <w:tcPr>
            <w:tcW w:w="1134" w:type="dxa"/>
          </w:tcPr>
          <w:p w:rsidR="00276066" w:rsidRPr="001077FA" w:rsidRDefault="00276066" w:rsidP="00AA72A6">
            <w:pPr>
              <w:cnfStyle w:val="000000000000" w:firstRow="0" w:lastRow="0" w:firstColumn="0" w:lastColumn="0" w:oddVBand="0" w:evenVBand="0" w:oddHBand="0" w:evenHBand="0" w:firstRowFirstColumn="0" w:firstRowLastColumn="0" w:lastRowFirstColumn="0" w:lastRowLastColumn="0"/>
            </w:pPr>
          </w:p>
        </w:tc>
        <w:tc>
          <w:tcPr>
            <w:tcW w:w="1134" w:type="dxa"/>
            <w:vAlign w:val="top"/>
          </w:tcPr>
          <w:p w:rsidR="00276066" w:rsidRPr="001077FA" w:rsidRDefault="00276066" w:rsidP="00AA72A6">
            <w:pPr>
              <w:cnfStyle w:val="000000000000" w:firstRow="0" w:lastRow="0" w:firstColumn="0" w:lastColumn="0" w:oddVBand="0" w:evenVBand="0" w:oddHBand="0" w:evenHBand="0" w:firstRowFirstColumn="0" w:firstRowLastColumn="0" w:lastRowFirstColumn="0" w:lastRowLastColumn="0"/>
            </w:pPr>
          </w:p>
        </w:tc>
      </w:tr>
      <w:tr w:rsidR="00DE20AB" w:rsidRPr="00AA72A6" w:rsidTr="000B4F56">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660" w:type="dxa"/>
          </w:tcPr>
          <w:p w:rsidR="00DE20AB" w:rsidRPr="001077FA" w:rsidRDefault="00DE20AB" w:rsidP="00EC1655">
            <w:r w:rsidRPr="001077FA">
              <w:t>Residential annual electricity bill</w:t>
            </w:r>
          </w:p>
        </w:tc>
        <w:tc>
          <w:tcPr>
            <w:tcW w:w="850" w:type="dxa"/>
            <w:vAlign w:val="bottom"/>
          </w:tcPr>
          <w:p w:rsidR="00DE20AB" w:rsidRPr="001077FA" w:rsidRDefault="00DE20AB" w:rsidP="00AA72A6">
            <w:pPr>
              <w:cnfStyle w:val="000000010000" w:firstRow="0" w:lastRow="0" w:firstColumn="0" w:lastColumn="0" w:oddVBand="0" w:evenVBand="0" w:oddHBand="0" w:evenHBand="1" w:firstRowFirstColumn="0" w:firstRowLastColumn="0" w:lastRowFirstColumn="0" w:lastRowLastColumn="0"/>
            </w:pPr>
            <w:r>
              <w:t>1514</w:t>
            </w:r>
            <w:r w:rsidRPr="001077FA">
              <w:rPr>
                <w:rStyle w:val="AERsuperscript"/>
              </w:rPr>
              <w:t>a</w:t>
            </w:r>
          </w:p>
        </w:tc>
        <w:tc>
          <w:tcPr>
            <w:tcW w:w="993" w:type="dxa"/>
            <w:vAlign w:val="bottom"/>
          </w:tcPr>
          <w:p w:rsidR="00DE20AB" w:rsidRDefault="00DE20AB">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1515</w:t>
            </w:r>
          </w:p>
        </w:tc>
        <w:tc>
          <w:tcPr>
            <w:tcW w:w="1134" w:type="dxa"/>
            <w:vAlign w:val="bottom"/>
          </w:tcPr>
          <w:p w:rsidR="00DE20AB" w:rsidRDefault="00DE20AB">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1515</w:t>
            </w:r>
          </w:p>
        </w:tc>
        <w:tc>
          <w:tcPr>
            <w:tcW w:w="1134" w:type="dxa"/>
            <w:vAlign w:val="bottom"/>
          </w:tcPr>
          <w:p w:rsidR="00DE20AB" w:rsidRDefault="00DE20AB">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1517</w:t>
            </w:r>
          </w:p>
        </w:tc>
        <w:tc>
          <w:tcPr>
            <w:tcW w:w="1134" w:type="dxa"/>
            <w:vAlign w:val="bottom"/>
          </w:tcPr>
          <w:p w:rsidR="00DE20AB" w:rsidRDefault="00DE20AB">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1518</w:t>
            </w:r>
          </w:p>
        </w:tc>
        <w:tc>
          <w:tcPr>
            <w:tcW w:w="1134" w:type="dxa"/>
            <w:vAlign w:val="bottom"/>
          </w:tcPr>
          <w:p w:rsidR="00DE20AB" w:rsidRDefault="00DE20AB">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1518</w:t>
            </w:r>
          </w:p>
        </w:tc>
      </w:tr>
      <w:tr w:rsidR="00DE20AB" w:rsidRPr="00AA72A6" w:rsidTr="000B4F56">
        <w:trPr>
          <w:trHeight w:val="394"/>
        </w:trPr>
        <w:tc>
          <w:tcPr>
            <w:cnfStyle w:val="001000000000" w:firstRow="0" w:lastRow="0" w:firstColumn="1" w:lastColumn="0" w:oddVBand="0" w:evenVBand="0" w:oddHBand="0" w:evenHBand="0" w:firstRowFirstColumn="0" w:firstRowLastColumn="0" w:lastRowFirstColumn="0" w:lastRowLastColumn="0"/>
            <w:tcW w:w="2660" w:type="dxa"/>
          </w:tcPr>
          <w:p w:rsidR="00DE20AB" w:rsidRPr="00EC1655" w:rsidRDefault="00DE20AB" w:rsidP="00AA72A6">
            <w:pPr>
              <w:rPr>
                <w:rStyle w:val="AERsuperscript"/>
              </w:rPr>
            </w:pPr>
            <w:r w:rsidRPr="001077FA">
              <w:t>Annual change</w:t>
            </w:r>
            <w:r>
              <w:rPr>
                <w:rStyle w:val="AERsuperscript"/>
              </w:rPr>
              <w:t>d</w:t>
            </w:r>
          </w:p>
        </w:tc>
        <w:tc>
          <w:tcPr>
            <w:tcW w:w="850" w:type="dxa"/>
            <w:vAlign w:val="bottom"/>
          </w:tcPr>
          <w:p w:rsidR="00DE20AB" w:rsidRPr="001077FA" w:rsidRDefault="00DE20AB" w:rsidP="00AA72A6">
            <w:pPr>
              <w:cnfStyle w:val="000000000000" w:firstRow="0" w:lastRow="0" w:firstColumn="0" w:lastColumn="0" w:oddVBand="0" w:evenVBand="0" w:oddHBand="0" w:evenHBand="0" w:firstRowFirstColumn="0" w:firstRowLastColumn="0" w:lastRowFirstColumn="0" w:lastRowLastColumn="0"/>
            </w:pPr>
          </w:p>
        </w:tc>
        <w:tc>
          <w:tcPr>
            <w:tcW w:w="993" w:type="dxa"/>
            <w:vAlign w:val="bottom"/>
          </w:tcPr>
          <w:p w:rsidR="00DE20AB" w:rsidRDefault="00DE20AB">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1 (0.0%)</w:t>
            </w:r>
          </w:p>
        </w:tc>
        <w:tc>
          <w:tcPr>
            <w:tcW w:w="1134" w:type="dxa"/>
            <w:vAlign w:val="bottom"/>
          </w:tcPr>
          <w:p w:rsidR="00DE20AB" w:rsidRDefault="00DE20AB">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0 (0.0%)</w:t>
            </w:r>
          </w:p>
        </w:tc>
        <w:tc>
          <w:tcPr>
            <w:tcW w:w="1134" w:type="dxa"/>
            <w:vAlign w:val="bottom"/>
          </w:tcPr>
          <w:p w:rsidR="00DE20AB" w:rsidRDefault="00DE20AB">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2 (0.1%)</w:t>
            </w:r>
          </w:p>
        </w:tc>
        <w:tc>
          <w:tcPr>
            <w:tcW w:w="1134" w:type="dxa"/>
            <w:vAlign w:val="bottom"/>
          </w:tcPr>
          <w:p w:rsidR="00DE20AB" w:rsidRDefault="00DE20AB">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1 (0.1%)</w:t>
            </w:r>
          </w:p>
        </w:tc>
        <w:tc>
          <w:tcPr>
            <w:tcW w:w="1134" w:type="dxa"/>
            <w:vAlign w:val="bottom"/>
          </w:tcPr>
          <w:p w:rsidR="00DE20AB" w:rsidRDefault="00DE20AB">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0 (0.0%)</w:t>
            </w:r>
          </w:p>
        </w:tc>
      </w:tr>
      <w:tr w:rsidR="00DE20AB" w:rsidRPr="00AA72A6" w:rsidTr="000B4F56">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660" w:type="dxa"/>
          </w:tcPr>
          <w:p w:rsidR="00DE20AB" w:rsidRPr="001077FA" w:rsidRDefault="00DE20AB" w:rsidP="00EC1655">
            <w:r w:rsidRPr="001077FA">
              <w:t>Small business (flat) annual bill</w:t>
            </w:r>
          </w:p>
        </w:tc>
        <w:tc>
          <w:tcPr>
            <w:tcW w:w="850" w:type="dxa"/>
            <w:vAlign w:val="bottom"/>
          </w:tcPr>
          <w:p w:rsidR="00DE20AB" w:rsidRPr="001077FA" w:rsidRDefault="00DE20AB" w:rsidP="00AA72A6">
            <w:pPr>
              <w:cnfStyle w:val="000000010000" w:firstRow="0" w:lastRow="0" w:firstColumn="0" w:lastColumn="0" w:oddVBand="0" w:evenVBand="0" w:oddHBand="0" w:evenHBand="1" w:firstRowFirstColumn="0" w:firstRowLastColumn="0" w:lastRowFirstColumn="0" w:lastRowLastColumn="0"/>
            </w:pPr>
            <w:r>
              <w:t>3129</w:t>
            </w:r>
            <w:r w:rsidRPr="001077FA">
              <w:rPr>
                <w:rStyle w:val="AERsuperscript"/>
              </w:rPr>
              <w:t>b</w:t>
            </w:r>
          </w:p>
        </w:tc>
        <w:tc>
          <w:tcPr>
            <w:tcW w:w="993" w:type="dxa"/>
            <w:vAlign w:val="bottom"/>
          </w:tcPr>
          <w:p w:rsidR="00DE20AB" w:rsidRDefault="00DE20AB">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3130</w:t>
            </w:r>
          </w:p>
        </w:tc>
        <w:tc>
          <w:tcPr>
            <w:tcW w:w="1134" w:type="dxa"/>
            <w:vAlign w:val="bottom"/>
          </w:tcPr>
          <w:p w:rsidR="00DE20AB" w:rsidRDefault="00DE20AB">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3131</w:t>
            </w:r>
          </w:p>
        </w:tc>
        <w:tc>
          <w:tcPr>
            <w:tcW w:w="1134" w:type="dxa"/>
            <w:vAlign w:val="bottom"/>
          </w:tcPr>
          <w:p w:rsidR="00DE20AB" w:rsidRDefault="00DE20AB">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3133</w:t>
            </w:r>
          </w:p>
        </w:tc>
        <w:tc>
          <w:tcPr>
            <w:tcW w:w="1134" w:type="dxa"/>
            <w:vAlign w:val="bottom"/>
          </w:tcPr>
          <w:p w:rsidR="00DE20AB" w:rsidRDefault="00DE20AB">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3134</w:t>
            </w:r>
          </w:p>
        </w:tc>
        <w:tc>
          <w:tcPr>
            <w:tcW w:w="1134" w:type="dxa"/>
            <w:vAlign w:val="bottom"/>
          </w:tcPr>
          <w:p w:rsidR="00DE20AB" w:rsidRDefault="00DE20AB">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3136</w:t>
            </w:r>
          </w:p>
        </w:tc>
      </w:tr>
      <w:tr w:rsidR="00DE20AB" w:rsidRPr="00AA72A6" w:rsidTr="000B4F56">
        <w:trPr>
          <w:trHeight w:val="394"/>
        </w:trPr>
        <w:tc>
          <w:tcPr>
            <w:cnfStyle w:val="001000000000" w:firstRow="0" w:lastRow="0" w:firstColumn="1" w:lastColumn="0" w:oddVBand="0" w:evenVBand="0" w:oddHBand="0" w:evenHBand="0" w:firstRowFirstColumn="0" w:firstRowLastColumn="0" w:lastRowFirstColumn="0" w:lastRowLastColumn="0"/>
            <w:tcW w:w="2660" w:type="dxa"/>
          </w:tcPr>
          <w:p w:rsidR="00DE20AB" w:rsidRPr="00EC1655" w:rsidRDefault="00DE20AB" w:rsidP="00AA72A6">
            <w:pPr>
              <w:rPr>
                <w:rStyle w:val="AERsuperscript"/>
              </w:rPr>
            </w:pPr>
            <w:r w:rsidRPr="001077FA">
              <w:t>Annual change</w:t>
            </w:r>
            <w:r>
              <w:rPr>
                <w:rStyle w:val="AERsuperscript"/>
              </w:rPr>
              <w:t>d</w:t>
            </w:r>
          </w:p>
        </w:tc>
        <w:tc>
          <w:tcPr>
            <w:tcW w:w="850" w:type="dxa"/>
            <w:vAlign w:val="bottom"/>
          </w:tcPr>
          <w:p w:rsidR="00DE20AB" w:rsidRPr="001077FA" w:rsidRDefault="00DE20AB" w:rsidP="00AA72A6">
            <w:pPr>
              <w:cnfStyle w:val="000000000000" w:firstRow="0" w:lastRow="0" w:firstColumn="0" w:lastColumn="0" w:oddVBand="0" w:evenVBand="0" w:oddHBand="0" w:evenHBand="0" w:firstRowFirstColumn="0" w:firstRowLastColumn="0" w:lastRowFirstColumn="0" w:lastRowLastColumn="0"/>
            </w:pPr>
          </w:p>
        </w:tc>
        <w:tc>
          <w:tcPr>
            <w:tcW w:w="993" w:type="dxa"/>
            <w:vAlign w:val="bottom"/>
          </w:tcPr>
          <w:p w:rsidR="00DE20AB" w:rsidRDefault="00DE20AB">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1 (0.0%)</w:t>
            </w:r>
          </w:p>
        </w:tc>
        <w:tc>
          <w:tcPr>
            <w:tcW w:w="1134" w:type="dxa"/>
            <w:vAlign w:val="bottom"/>
          </w:tcPr>
          <w:p w:rsidR="00DE20AB" w:rsidRDefault="00DE20AB">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1 (0.0%)</w:t>
            </w:r>
          </w:p>
        </w:tc>
        <w:tc>
          <w:tcPr>
            <w:tcW w:w="1134" w:type="dxa"/>
            <w:vAlign w:val="bottom"/>
          </w:tcPr>
          <w:p w:rsidR="00DE20AB" w:rsidRDefault="00DE20AB">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2 (0.1%)</w:t>
            </w:r>
          </w:p>
        </w:tc>
        <w:tc>
          <w:tcPr>
            <w:tcW w:w="1134" w:type="dxa"/>
            <w:vAlign w:val="bottom"/>
          </w:tcPr>
          <w:p w:rsidR="00DE20AB" w:rsidRDefault="00DE20AB">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1 (0.1%)</w:t>
            </w:r>
          </w:p>
        </w:tc>
        <w:tc>
          <w:tcPr>
            <w:tcW w:w="1134" w:type="dxa"/>
            <w:vAlign w:val="bottom"/>
          </w:tcPr>
          <w:p w:rsidR="00DE20AB" w:rsidRDefault="00DE20AB">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2 (0.0%)</w:t>
            </w:r>
          </w:p>
        </w:tc>
      </w:tr>
      <w:tr w:rsidR="00DE20AB" w:rsidRPr="00AA72A6" w:rsidTr="000B4F56">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660" w:type="dxa"/>
            <w:vAlign w:val="bottom"/>
          </w:tcPr>
          <w:p w:rsidR="00DE20AB" w:rsidRPr="001077FA" w:rsidRDefault="00DE20AB" w:rsidP="00EC1655">
            <w:r w:rsidRPr="001077FA">
              <w:t>Small business (TOU) annual bill</w:t>
            </w:r>
          </w:p>
        </w:tc>
        <w:tc>
          <w:tcPr>
            <w:tcW w:w="850" w:type="dxa"/>
            <w:vAlign w:val="bottom"/>
          </w:tcPr>
          <w:p w:rsidR="00DE20AB" w:rsidRPr="001077FA" w:rsidRDefault="00DE20AB" w:rsidP="00AA72A6">
            <w:pPr>
              <w:cnfStyle w:val="000000010000" w:firstRow="0" w:lastRow="0" w:firstColumn="0" w:lastColumn="0" w:oddVBand="0" w:evenVBand="0" w:oddHBand="0" w:evenHBand="1" w:firstRowFirstColumn="0" w:firstRowLastColumn="0" w:lastRowFirstColumn="0" w:lastRowLastColumn="0"/>
            </w:pPr>
            <w:r>
              <w:t>8147</w:t>
            </w:r>
            <w:r w:rsidRPr="001077FA">
              <w:rPr>
                <w:rStyle w:val="AERsuperscript"/>
              </w:rPr>
              <w:t>c</w:t>
            </w:r>
          </w:p>
        </w:tc>
        <w:tc>
          <w:tcPr>
            <w:tcW w:w="993" w:type="dxa"/>
            <w:vAlign w:val="bottom"/>
          </w:tcPr>
          <w:p w:rsidR="00DE20AB" w:rsidRDefault="00DE20AB">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8148</w:t>
            </w:r>
          </w:p>
        </w:tc>
        <w:tc>
          <w:tcPr>
            <w:tcW w:w="1134" w:type="dxa"/>
            <w:vAlign w:val="bottom"/>
          </w:tcPr>
          <w:p w:rsidR="00DE20AB" w:rsidRDefault="00DE20AB">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8151</w:t>
            </w:r>
          </w:p>
        </w:tc>
        <w:tc>
          <w:tcPr>
            <w:tcW w:w="1134" w:type="dxa"/>
            <w:vAlign w:val="bottom"/>
          </w:tcPr>
          <w:p w:rsidR="00DE20AB" w:rsidRDefault="00DE20AB">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8156</w:t>
            </w:r>
          </w:p>
        </w:tc>
        <w:tc>
          <w:tcPr>
            <w:tcW w:w="1134" w:type="dxa"/>
            <w:vAlign w:val="bottom"/>
          </w:tcPr>
          <w:p w:rsidR="00DE20AB" w:rsidRDefault="00DE20AB">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8161</w:t>
            </w:r>
          </w:p>
        </w:tc>
        <w:tc>
          <w:tcPr>
            <w:tcW w:w="1134" w:type="dxa"/>
            <w:vAlign w:val="bottom"/>
          </w:tcPr>
          <w:p w:rsidR="00DE20AB" w:rsidRDefault="00DE20AB">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8164</w:t>
            </w:r>
          </w:p>
        </w:tc>
      </w:tr>
      <w:tr w:rsidR="00DE20AB" w:rsidRPr="00AA72A6" w:rsidTr="000B4F56">
        <w:trPr>
          <w:trHeight w:val="394"/>
        </w:trPr>
        <w:tc>
          <w:tcPr>
            <w:cnfStyle w:val="001000000000" w:firstRow="0" w:lastRow="0" w:firstColumn="1" w:lastColumn="0" w:oddVBand="0" w:evenVBand="0" w:oddHBand="0" w:evenHBand="0" w:firstRowFirstColumn="0" w:firstRowLastColumn="0" w:lastRowFirstColumn="0" w:lastRowLastColumn="0"/>
            <w:tcW w:w="2660" w:type="dxa"/>
            <w:vAlign w:val="bottom"/>
          </w:tcPr>
          <w:p w:rsidR="00DE20AB" w:rsidRPr="00EC1655" w:rsidRDefault="00DE20AB" w:rsidP="00AA72A6">
            <w:pPr>
              <w:rPr>
                <w:rStyle w:val="AERsuperscript"/>
              </w:rPr>
            </w:pPr>
            <w:r w:rsidRPr="001077FA">
              <w:t>Annual change</w:t>
            </w:r>
            <w:r>
              <w:rPr>
                <w:rStyle w:val="AERsuperscript"/>
              </w:rPr>
              <w:t>d</w:t>
            </w:r>
          </w:p>
        </w:tc>
        <w:tc>
          <w:tcPr>
            <w:tcW w:w="850" w:type="dxa"/>
            <w:vAlign w:val="bottom"/>
          </w:tcPr>
          <w:p w:rsidR="00DE20AB" w:rsidRPr="001077FA" w:rsidRDefault="00DE20AB" w:rsidP="00AA72A6">
            <w:pPr>
              <w:cnfStyle w:val="000000000000" w:firstRow="0" w:lastRow="0" w:firstColumn="0" w:lastColumn="0" w:oddVBand="0" w:evenVBand="0" w:oddHBand="0" w:evenHBand="0" w:firstRowFirstColumn="0" w:firstRowLastColumn="0" w:lastRowFirstColumn="0" w:lastRowLastColumn="0"/>
            </w:pPr>
          </w:p>
        </w:tc>
        <w:tc>
          <w:tcPr>
            <w:tcW w:w="993" w:type="dxa"/>
            <w:vAlign w:val="bottom"/>
          </w:tcPr>
          <w:p w:rsidR="00DE20AB" w:rsidRDefault="00DE20AB">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1 (0.0%)</w:t>
            </w:r>
          </w:p>
        </w:tc>
        <w:tc>
          <w:tcPr>
            <w:tcW w:w="1134" w:type="dxa"/>
            <w:vAlign w:val="bottom"/>
          </w:tcPr>
          <w:p w:rsidR="00DE20AB" w:rsidRDefault="00DE20AB">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3 (0.0%)</w:t>
            </w:r>
          </w:p>
        </w:tc>
        <w:tc>
          <w:tcPr>
            <w:tcW w:w="1134" w:type="dxa"/>
            <w:vAlign w:val="bottom"/>
          </w:tcPr>
          <w:p w:rsidR="00DE20AB" w:rsidRDefault="00DE20AB">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5 (0.1%)</w:t>
            </w:r>
          </w:p>
        </w:tc>
        <w:tc>
          <w:tcPr>
            <w:tcW w:w="1134" w:type="dxa"/>
            <w:vAlign w:val="bottom"/>
          </w:tcPr>
          <w:p w:rsidR="00DE20AB" w:rsidRDefault="00DE20AB">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5 (0.1%)</w:t>
            </w:r>
          </w:p>
        </w:tc>
        <w:tc>
          <w:tcPr>
            <w:tcW w:w="1134" w:type="dxa"/>
            <w:vAlign w:val="bottom"/>
          </w:tcPr>
          <w:p w:rsidR="00DE20AB" w:rsidRDefault="00DE20AB">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3 (0.0%)</w:t>
            </w:r>
          </w:p>
        </w:tc>
      </w:tr>
      <w:tr w:rsidR="00DE20AB" w:rsidRPr="00AA72A6" w:rsidTr="000B4F56">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660" w:type="dxa"/>
          </w:tcPr>
          <w:p w:rsidR="00DE20AB" w:rsidRPr="001077FA" w:rsidRDefault="00DE20AB" w:rsidP="00AA72A6">
            <w:pPr>
              <w:rPr>
                <w:b/>
              </w:rPr>
            </w:pPr>
            <w:r w:rsidRPr="001077FA">
              <w:rPr>
                <w:b/>
              </w:rPr>
              <w:t>AusNet Services revised proposal</w:t>
            </w:r>
          </w:p>
        </w:tc>
        <w:tc>
          <w:tcPr>
            <w:tcW w:w="850" w:type="dxa"/>
            <w:vAlign w:val="bottom"/>
          </w:tcPr>
          <w:p w:rsidR="00DE20AB" w:rsidRPr="001077FA" w:rsidRDefault="00DE20AB" w:rsidP="00AA72A6">
            <w:pPr>
              <w:cnfStyle w:val="000000010000" w:firstRow="0" w:lastRow="0" w:firstColumn="0" w:lastColumn="0" w:oddVBand="0" w:evenVBand="0" w:oddHBand="0" w:evenHBand="1" w:firstRowFirstColumn="0" w:firstRowLastColumn="0" w:lastRowFirstColumn="0" w:lastRowLastColumn="0"/>
              <w:rPr>
                <w:b/>
              </w:rPr>
            </w:pPr>
            <w:r w:rsidRPr="001077FA">
              <w:rPr>
                <w:b/>
              </w:rPr>
              <w:t> </w:t>
            </w:r>
          </w:p>
        </w:tc>
        <w:tc>
          <w:tcPr>
            <w:tcW w:w="993" w:type="dxa"/>
            <w:vAlign w:val="bottom"/>
          </w:tcPr>
          <w:p w:rsidR="00DE20AB" w:rsidRDefault="00DE20AB">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 </w:t>
            </w:r>
          </w:p>
        </w:tc>
        <w:tc>
          <w:tcPr>
            <w:tcW w:w="1134" w:type="dxa"/>
            <w:vAlign w:val="bottom"/>
          </w:tcPr>
          <w:p w:rsidR="00DE20AB" w:rsidRDefault="00DE20AB">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 </w:t>
            </w:r>
          </w:p>
        </w:tc>
        <w:tc>
          <w:tcPr>
            <w:tcW w:w="1134" w:type="dxa"/>
            <w:vAlign w:val="bottom"/>
          </w:tcPr>
          <w:p w:rsidR="00DE20AB" w:rsidRDefault="00DE20AB">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 </w:t>
            </w:r>
          </w:p>
        </w:tc>
        <w:tc>
          <w:tcPr>
            <w:tcW w:w="1134" w:type="dxa"/>
            <w:vAlign w:val="bottom"/>
          </w:tcPr>
          <w:p w:rsidR="00DE20AB" w:rsidRDefault="00DE20AB">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 </w:t>
            </w:r>
          </w:p>
        </w:tc>
        <w:tc>
          <w:tcPr>
            <w:tcW w:w="1134" w:type="dxa"/>
            <w:vAlign w:val="bottom"/>
          </w:tcPr>
          <w:p w:rsidR="00DE20AB" w:rsidRDefault="00DE20AB">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 </w:t>
            </w:r>
          </w:p>
        </w:tc>
      </w:tr>
      <w:tr w:rsidR="00DE20AB" w:rsidRPr="00AA72A6" w:rsidTr="000B4F56">
        <w:trPr>
          <w:trHeight w:val="394"/>
        </w:trPr>
        <w:tc>
          <w:tcPr>
            <w:cnfStyle w:val="001000000000" w:firstRow="0" w:lastRow="0" w:firstColumn="1" w:lastColumn="0" w:oddVBand="0" w:evenVBand="0" w:oddHBand="0" w:evenHBand="0" w:firstRowFirstColumn="0" w:firstRowLastColumn="0" w:lastRowFirstColumn="0" w:lastRowLastColumn="0"/>
            <w:tcW w:w="2660" w:type="dxa"/>
          </w:tcPr>
          <w:p w:rsidR="00DE20AB" w:rsidRPr="001077FA" w:rsidRDefault="00DE20AB" w:rsidP="00EC1655">
            <w:r w:rsidRPr="001077FA">
              <w:t>Residential annual electricity bill</w:t>
            </w:r>
          </w:p>
        </w:tc>
        <w:tc>
          <w:tcPr>
            <w:tcW w:w="850" w:type="dxa"/>
            <w:vAlign w:val="bottom"/>
          </w:tcPr>
          <w:p w:rsidR="00DE20AB" w:rsidRPr="001077FA" w:rsidRDefault="00DE20AB" w:rsidP="00AA72A6">
            <w:pPr>
              <w:cnfStyle w:val="000000000000" w:firstRow="0" w:lastRow="0" w:firstColumn="0" w:lastColumn="0" w:oddVBand="0" w:evenVBand="0" w:oddHBand="0" w:evenHBand="0" w:firstRowFirstColumn="0" w:firstRowLastColumn="0" w:lastRowFirstColumn="0" w:lastRowLastColumn="0"/>
            </w:pPr>
            <w:r>
              <w:t>1514</w:t>
            </w:r>
            <w:r w:rsidRPr="001077FA">
              <w:rPr>
                <w:rStyle w:val="AERsuperscript"/>
              </w:rPr>
              <w:t>a</w:t>
            </w:r>
          </w:p>
        </w:tc>
        <w:tc>
          <w:tcPr>
            <w:tcW w:w="993" w:type="dxa"/>
            <w:vAlign w:val="bottom"/>
          </w:tcPr>
          <w:p w:rsidR="00DE20AB" w:rsidRDefault="00DE20AB">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1524</w:t>
            </w:r>
          </w:p>
        </w:tc>
        <w:tc>
          <w:tcPr>
            <w:tcW w:w="1134" w:type="dxa"/>
            <w:vAlign w:val="bottom"/>
          </w:tcPr>
          <w:p w:rsidR="00DE20AB" w:rsidRDefault="00DE20AB">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1523</w:t>
            </w:r>
          </w:p>
        </w:tc>
        <w:tc>
          <w:tcPr>
            <w:tcW w:w="1134" w:type="dxa"/>
            <w:vAlign w:val="bottom"/>
          </w:tcPr>
          <w:p w:rsidR="00DE20AB" w:rsidRDefault="00DE20AB">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1523</w:t>
            </w:r>
          </w:p>
        </w:tc>
        <w:tc>
          <w:tcPr>
            <w:tcW w:w="1134" w:type="dxa"/>
            <w:vAlign w:val="bottom"/>
          </w:tcPr>
          <w:p w:rsidR="00DE20AB" w:rsidRDefault="00DE20AB">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1523</w:t>
            </w:r>
          </w:p>
        </w:tc>
        <w:tc>
          <w:tcPr>
            <w:tcW w:w="1134" w:type="dxa"/>
            <w:vAlign w:val="bottom"/>
          </w:tcPr>
          <w:p w:rsidR="00DE20AB" w:rsidRDefault="00DE20AB">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1522</w:t>
            </w:r>
          </w:p>
        </w:tc>
      </w:tr>
      <w:tr w:rsidR="00DE20AB" w:rsidRPr="00AA72A6" w:rsidTr="000B4F56">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660" w:type="dxa"/>
          </w:tcPr>
          <w:p w:rsidR="00DE20AB" w:rsidRPr="00EC1655" w:rsidRDefault="00DE20AB" w:rsidP="00AA72A6">
            <w:pPr>
              <w:rPr>
                <w:rStyle w:val="AERsuperscript"/>
              </w:rPr>
            </w:pPr>
            <w:r w:rsidRPr="001077FA">
              <w:t>Annual change</w:t>
            </w:r>
            <w:r>
              <w:rPr>
                <w:rStyle w:val="AERsuperscript"/>
              </w:rPr>
              <w:t>d</w:t>
            </w:r>
          </w:p>
        </w:tc>
        <w:tc>
          <w:tcPr>
            <w:tcW w:w="850" w:type="dxa"/>
            <w:vAlign w:val="bottom"/>
          </w:tcPr>
          <w:p w:rsidR="00DE20AB" w:rsidRPr="001077FA" w:rsidRDefault="00DE20AB" w:rsidP="00AA72A6">
            <w:pPr>
              <w:cnfStyle w:val="000000010000" w:firstRow="0" w:lastRow="0" w:firstColumn="0" w:lastColumn="0" w:oddVBand="0" w:evenVBand="0" w:oddHBand="0" w:evenHBand="1" w:firstRowFirstColumn="0" w:firstRowLastColumn="0" w:lastRowFirstColumn="0" w:lastRowLastColumn="0"/>
            </w:pPr>
            <w:r w:rsidRPr="001077FA">
              <w:t> </w:t>
            </w:r>
          </w:p>
        </w:tc>
        <w:tc>
          <w:tcPr>
            <w:tcW w:w="993" w:type="dxa"/>
            <w:vAlign w:val="bottom"/>
          </w:tcPr>
          <w:p w:rsidR="00DE20AB" w:rsidRDefault="00DE20AB">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10 (0.6%)</w:t>
            </w:r>
          </w:p>
        </w:tc>
        <w:tc>
          <w:tcPr>
            <w:tcW w:w="1134" w:type="dxa"/>
            <w:vAlign w:val="bottom"/>
          </w:tcPr>
          <w:p w:rsidR="00DE20AB" w:rsidRDefault="00DE20AB">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–1 (–0.1%)</w:t>
            </w:r>
          </w:p>
        </w:tc>
        <w:tc>
          <w:tcPr>
            <w:tcW w:w="1134" w:type="dxa"/>
            <w:vAlign w:val="bottom"/>
          </w:tcPr>
          <w:p w:rsidR="00DE20AB" w:rsidRDefault="00DE20AB">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–0 (–0%)</w:t>
            </w:r>
          </w:p>
        </w:tc>
        <w:tc>
          <w:tcPr>
            <w:tcW w:w="1134" w:type="dxa"/>
            <w:vAlign w:val="bottom"/>
          </w:tcPr>
          <w:p w:rsidR="00DE20AB" w:rsidRDefault="00DE20AB">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–0 (–0%)</w:t>
            </w:r>
          </w:p>
        </w:tc>
        <w:tc>
          <w:tcPr>
            <w:tcW w:w="1134" w:type="dxa"/>
            <w:vAlign w:val="bottom"/>
          </w:tcPr>
          <w:p w:rsidR="00DE20AB" w:rsidRDefault="00DE20AB">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–1 (–0.1%)</w:t>
            </w:r>
          </w:p>
        </w:tc>
      </w:tr>
      <w:tr w:rsidR="00DE20AB" w:rsidRPr="00AA72A6" w:rsidTr="000B4F56">
        <w:trPr>
          <w:trHeight w:val="394"/>
        </w:trPr>
        <w:tc>
          <w:tcPr>
            <w:cnfStyle w:val="001000000000" w:firstRow="0" w:lastRow="0" w:firstColumn="1" w:lastColumn="0" w:oddVBand="0" w:evenVBand="0" w:oddHBand="0" w:evenHBand="0" w:firstRowFirstColumn="0" w:firstRowLastColumn="0" w:lastRowFirstColumn="0" w:lastRowLastColumn="0"/>
            <w:tcW w:w="2660" w:type="dxa"/>
          </w:tcPr>
          <w:p w:rsidR="00DE20AB" w:rsidRPr="001077FA" w:rsidRDefault="00DE20AB" w:rsidP="00EC1655">
            <w:r w:rsidRPr="001077FA">
              <w:t>Small business (flat) annual bill</w:t>
            </w:r>
          </w:p>
        </w:tc>
        <w:tc>
          <w:tcPr>
            <w:tcW w:w="850" w:type="dxa"/>
            <w:vAlign w:val="bottom"/>
          </w:tcPr>
          <w:p w:rsidR="00DE20AB" w:rsidRPr="001077FA" w:rsidRDefault="00DE20AB" w:rsidP="00AA72A6">
            <w:pPr>
              <w:cnfStyle w:val="000000000000" w:firstRow="0" w:lastRow="0" w:firstColumn="0" w:lastColumn="0" w:oddVBand="0" w:evenVBand="0" w:oddHBand="0" w:evenHBand="0" w:firstRowFirstColumn="0" w:firstRowLastColumn="0" w:lastRowFirstColumn="0" w:lastRowLastColumn="0"/>
            </w:pPr>
            <w:r>
              <w:t>3129</w:t>
            </w:r>
            <w:r w:rsidRPr="001077FA">
              <w:rPr>
                <w:rStyle w:val="AERsuperscript"/>
              </w:rPr>
              <w:t>b</w:t>
            </w:r>
          </w:p>
        </w:tc>
        <w:tc>
          <w:tcPr>
            <w:tcW w:w="993" w:type="dxa"/>
            <w:vAlign w:val="bottom"/>
          </w:tcPr>
          <w:p w:rsidR="00DE20AB" w:rsidRDefault="00DE20AB">
            <w:pPr>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3145</w:t>
            </w:r>
          </w:p>
        </w:tc>
        <w:tc>
          <w:tcPr>
            <w:tcW w:w="1134" w:type="dxa"/>
            <w:vAlign w:val="bottom"/>
          </w:tcPr>
          <w:p w:rsidR="00DE20AB" w:rsidRDefault="00DE20AB">
            <w:pPr>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3144</w:t>
            </w:r>
          </w:p>
        </w:tc>
        <w:tc>
          <w:tcPr>
            <w:tcW w:w="1134" w:type="dxa"/>
            <w:vAlign w:val="bottom"/>
          </w:tcPr>
          <w:p w:rsidR="00DE20AB" w:rsidRDefault="00DE20AB">
            <w:pPr>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3143</w:t>
            </w:r>
          </w:p>
        </w:tc>
        <w:tc>
          <w:tcPr>
            <w:tcW w:w="1134" w:type="dxa"/>
            <w:vAlign w:val="bottom"/>
          </w:tcPr>
          <w:p w:rsidR="00DE20AB" w:rsidRDefault="00DE20AB">
            <w:pPr>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3143</w:t>
            </w:r>
          </w:p>
        </w:tc>
        <w:tc>
          <w:tcPr>
            <w:tcW w:w="1134" w:type="dxa"/>
            <w:vAlign w:val="bottom"/>
          </w:tcPr>
          <w:p w:rsidR="00DE20AB" w:rsidRDefault="00DE20AB">
            <w:pPr>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3141</w:t>
            </w:r>
          </w:p>
        </w:tc>
      </w:tr>
      <w:tr w:rsidR="00DE20AB" w:rsidRPr="00AA72A6" w:rsidTr="000B4F56">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660" w:type="dxa"/>
          </w:tcPr>
          <w:p w:rsidR="00DE20AB" w:rsidRPr="00EC1655" w:rsidRDefault="00DE20AB" w:rsidP="00AA72A6">
            <w:pPr>
              <w:rPr>
                <w:rStyle w:val="AERsuperscript"/>
              </w:rPr>
            </w:pPr>
            <w:r w:rsidRPr="001077FA">
              <w:t>Annual change</w:t>
            </w:r>
            <w:r>
              <w:rPr>
                <w:rStyle w:val="AERsuperscript"/>
              </w:rPr>
              <w:t>d</w:t>
            </w:r>
          </w:p>
        </w:tc>
        <w:tc>
          <w:tcPr>
            <w:tcW w:w="850" w:type="dxa"/>
            <w:vAlign w:val="bottom"/>
          </w:tcPr>
          <w:p w:rsidR="00DE20AB" w:rsidRPr="001077FA" w:rsidRDefault="00DE20AB" w:rsidP="00AA72A6">
            <w:pPr>
              <w:cnfStyle w:val="000000010000" w:firstRow="0" w:lastRow="0" w:firstColumn="0" w:lastColumn="0" w:oddVBand="0" w:evenVBand="0" w:oddHBand="0" w:evenHBand="1" w:firstRowFirstColumn="0" w:firstRowLastColumn="0" w:lastRowFirstColumn="0" w:lastRowLastColumn="0"/>
            </w:pPr>
            <w:r w:rsidRPr="001077FA">
              <w:t> </w:t>
            </w:r>
          </w:p>
        </w:tc>
        <w:tc>
          <w:tcPr>
            <w:tcW w:w="993" w:type="dxa"/>
            <w:vAlign w:val="bottom"/>
          </w:tcPr>
          <w:p w:rsidR="00DE20AB" w:rsidRDefault="00DE20AB">
            <w:pPr>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16 (0.5%)</w:t>
            </w:r>
          </w:p>
        </w:tc>
        <w:tc>
          <w:tcPr>
            <w:tcW w:w="1134" w:type="dxa"/>
            <w:vAlign w:val="bottom"/>
          </w:tcPr>
          <w:p w:rsidR="00DE20AB" w:rsidRDefault="00DE20AB">
            <w:pPr>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–1 (–0.0%)</w:t>
            </w:r>
          </w:p>
        </w:tc>
        <w:tc>
          <w:tcPr>
            <w:tcW w:w="1134" w:type="dxa"/>
            <w:vAlign w:val="bottom"/>
          </w:tcPr>
          <w:p w:rsidR="00DE20AB" w:rsidRDefault="00DE20AB">
            <w:pPr>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–1 (–0.0%)</w:t>
            </w:r>
          </w:p>
        </w:tc>
        <w:tc>
          <w:tcPr>
            <w:tcW w:w="1134" w:type="dxa"/>
            <w:vAlign w:val="bottom"/>
          </w:tcPr>
          <w:p w:rsidR="00DE20AB" w:rsidRDefault="00DE20AB">
            <w:pPr>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–0 (–0.0%)</w:t>
            </w:r>
          </w:p>
        </w:tc>
        <w:tc>
          <w:tcPr>
            <w:tcW w:w="1134" w:type="dxa"/>
            <w:vAlign w:val="bottom"/>
          </w:tcPr>
          <w:p w:rsidR="00DE20AB" w:rsidRDefault="00DE20AB">
            <w:pPr>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–2 (–0.0%)</w:t>
            </w:r>
          </w:p>
        </w:tc>
      </w:tr>
      <w:tr w:rsidR="00DE20AB" w:rsidRPr="00AA72A6" w:rsidTr="000B4F56">
        <w:trPr>
          <w:trHeight w:val="394"/>
        </w:trPr>
        <w:tc>
          <w:tcPr>
            <w:cnfStyle w:val="001000000000" w:firstRow="0" w:lastRow="0" w:firstColumn="1" w:lastColumn="0" w:oddVBand="0" w:evenVBand="0" w:oddHBand="0" w:evenHBand="0" w:firstRowFirstColumn="0" w:firstRowLastColumn="0" w:lastRowFirstColumn="0" w:lastRowLastColumn="0"/>
            <w:tcW w:w="2660" w:type="dxa"/>
            <w:vAlign w:val="bottom"/>
          </w:tcPr>
          <w:p w:rsidR="00DE20AB" w:rsidRPr="001077FA" w:rsidRDefault="00DE20AB" w:rsidP="00EC1655">
            <w:r w:rsidRPr="001077FA">
              <w:t>Small business (TOU) annual bill</w:t>
            </w:r>
          </w:p>
        </w:tc>
        <w:tc>
          <w:tcPr>
            <w:tcW w:w="850" w:type="dxa"/>
            <w:vAlign w:val="bottom"/>
          </w:tcPr>
          <w:p w:rsidR="00DE20AB" w:rsidRPr="001077FA" w:rsidRDefault="00DE20AB" w:rsidP="00AA72A6">
            <w:pPr>
              <w:cnfStyle w:val="000000000000" w:firstRow="0" w:lastRow="0" w:firstColumn="0" w:lastColumn="0" w:oddVBand="0" w:evenVBand="0" w:oddHBand="0" w:evenHBand="0" w:firstRowFirstColumn="0" w:firstRowLastColumn="0" w:lastRowFirstColumn="0" w:lastRowLastColumn="0"/>
            </w:pPr>
            <w:r>
              <w:t>8147</w:t>
            </w:r>
            <w:r w:rsidRPr="001077FA">
              <w:rPr>
                <w:rStyle w:val="AERsuperscript"/>
              </w:rPr>
              <w:t>c</w:t>
            </w:r>
          </w:p>
        </w:tc>
        <w:tc>
          <w:tcPr>
            <w:tcW w:w="993" w:type="dxa"/>
            <w:vAlign w:val="bottom"/>
          </w:tcPr>
          <w:p w:rsidR="00DE20AB" w:rsidRDefault="00DE20AB">
            <w:pPr>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8189</w:t>
            </w:r>
          </w:p>
        </w:tc>
        <w:tc>
          <w:tcPr>
            <w:tcW w:w="1134" w:type="dxa"/>
            <w:vAlign w:val="bottom"/>
          </w:tcPr>
          <w:p w:rsidR="00DE20AB" w:rsidRDefault="00DE20AB">
            <w:pPr>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8185</w:t>
            </w:r>
          </w:p>
        </w:tc>
        <w:tc>
          <w:tcPr>
            <w:tcW w:w="1134" w:type="dxa"/>
            <w:vAlign w:val="bottom"/>
          </w:tcPr>
          <w:p w:rsidR="00DE20AB" w:rsidRDefault="00DE20AB">
            <w:pPr>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8184</w:t>
            </w:r>
          </w:p>
        </w:tc>
        <w:tc>
          <w:tcPr>
            <w:tcW w:w="1134" w:type="dxa"/>
            <w:vAlign w:val="bottom"/>
          </w:tcPr>
          <w:p w:rsidR="00DE20AB" w:rsidRDefault="00DE20AB">
            <w:pPr>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8182</w:t>
            </w:r>
          </w:p>
        </w:tc>
        <w:tc>
          <w:tcPr>
            <w:tcW w:w="1134" w:type="dxa"/>
            <w:vAlign w:val="bottom"/>
          </w:tcPr>
          <w:p w:rsidR="00DE20AB" w:rsidRDefault="00DE20AB">
            <w:pPr>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8179</w:t>
            </w:r>
          </w:p>
        </w:tc>
      </w:tr>
      <w:tr w:rsidR="00DE20AB" w:rsidRPr="00AA72A6" w:rsidTr="000B4F56">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660" w:type="dxa"/>
            <w:vAlign w:val="bottom"/>
          </w:tcPr>
          <w:p w:rsidR="00DE20AB" w:rsidRPr="00EC1655" w:rsidRDefault="00DE20AB" w:rsidP="00AA72A6">
            <w:pPr>
              <w:rPr>
                <w:rStyle w:val="AERsuperscript"/>
              </w:rPr>
            </w:pPr>
            <w:r w:rsidRPr="001077FA">
              <w:t>Annual change</w:t>
            </w:r>
            <w:r>
              <w:rPr>
                <w:rStyle w:val="AERsuperscript"/>
              </w:rPr>
              <w:t>d</w:t>
            </w:r>
          </w:p>
        </w:tc>
        <w:tc>
          <w:tcPr>
            <w:tcW w:w="850" w:type="dxa"/>
            <w:vAlign w:val="bottom"/>
          </w:tcPr>
          <w:p w:rsidR="00DE20AB" w:rsidRPr="001077FA" w:rsidRDefault="00DE20AB" w:rsidP="00AA72A6">
            <w:pPr>
              <w:cnfStyle w:val="000000010000" w:firstRow="0" w:lastRow="0" w:firstColumn="0" w:lastColumn="0" w:oddVBand="0" w:evenVBand="0" w:oddHBand="0" w:evenHBand="1" w:firstRowFirstColumn="0" w:firstRowLastColumn="0" w:lastRowFirstColumn="0" w:lastRowLastColumn="0"/>
            </w:pPr>
            <w:r w:rsidRPr="001077FA">
              <w:t> </w:t>
            </w:r>
          </w:p>
        </w:tc>
        <w:tc>
          <w:tcPr>
            <w:tcW w:w="993" w:type="dxa"/>
            <w:vAlign w:val="bottom"/>
          </w:tcPr>
          <w:p w:rsidR="00DE20AB" w:rsidRDefault="00DE20AB">
            <w:pPr>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42 (0.5%)</w:t>
            </w:r>
          </w:p>
        </w:tc>
        <w:tc>
          <w:tcPr>
            <w:tcW w:w="1134" w:type="dxa"/>
            <w:vAlign w:val="bottom"/>
          </w:tcPr>
          <w:p w:rsidR="00DE20AB" w:rsidRDefault="00DE20AB">
            <w:pPr>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–4 (–0.0%)</w:t>
            </w:r>
          </w:p>
        </w:tc>
        <w:tc>
          <w:tcPr>
            <w:tcW w:w="1134" w:type="dxa"/>
            <w:vAlign w:val="bottom"/>
          </w:tcPr>
          <w:p w:rsidR="00DE20AB" w:rsidRDefault="00DE20AB">
            <w:pPr>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–1 (–0.0%)</w:t>
            </w:r>
          </w:p>
        </w:tc>
        <w:tc>
          <w:tcPr>
            <w:tcW w:w="1134" w:type="dxa"/>
            <w:vAlign w:val="bottom"/>
          </w:tcPr>
          <w:p w:rsidR="00DE20AB" w:rsidRDefault="00DE20AB">
            <w:pPr>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–2 (–0.0%)</w:t>
            </w:r>
          </w:p>
        </w:tc>
        <w:tc>
          <w:tcPr>
            <w:tcW w:w="1134" w:type="dxa"/>
            <w:vAlign w:val="bottom"/>
          </w:tcPr>
          <w:p w:rsidR="00DE20AB" w:rsidRDefault="00DE20AB">
            <w:pPr>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–3 (–0.0%)</w:t>
            </w:r>
          </w:p>
        </w:tc>
      </w:tr>
    </w:tbl>
    <w:p w:rsidR="00194B25" w:rsidRPr="001077FA" w:rsidRDefault="00194B25" w:rsidP="00194B25">
      <w:pPr>
        <w:pStyle w:val="AERtablesource"/>
      </w:pPr>
      <w:r w:rsidRPr="00C729DC">
        <w:t>Source:</w:t>
      </w:r>
      <w:r w:rsidRPr="00C729DC">
        <w:tab/>
      </w:r>
      <w:r w:rsidR="00164EB5" w:rsidRPr="001077FA">
        <w:t xml:space="preserve">AER analysis; ESCV, </w:t>
      </w:r>
      <w:r w:rsidR="00A24F56" w:rsidRPr="00C42AAA">
        <w:rPr>
          <w:rStyle w:val="AERtextitalic"/>
        </w:rPr>
        <w:t>Vict</w:t>
      </w:r>
      <w:r w:rsidR="00A24F56">
        <w:rPr>
          <w:rStyle w:val="AERtextitalic"/>
        </w:rPr>
        <w:t>orian Energy Market Report 2015–</w:t>
      </w:r>
      <w:r w:rsidR="00A24F56" w:rsidRPr="00C42AAA">
        <w:rPr>
          <w:rStyle w:val="AERtextitalic"/>
        </w:rPr>
        <w:t>16</w:t>
      </w:r>
      <w:r w:rsidR="00A24F56" w:rsidRPr="00C42AAA">
        <w:rPr>
          <w:rStyle w:val="AERtextitalic"/>
          <w:i w:val="0"/>
        </w:rPr>
        <w:t xml:space="preserve">, </w:t>
      </w:r>
      <w:r w:rsidR="00A24F56" w:rsidRPr="00A24F56">
        <w:rPr>
          <w:rStyle w:val="AERtextitalic"/>
          <w:i w:val="0"/>
        </w:rPr>
        <w:t>D</w:t>
      </w:r>
      <w:r w:rsidR="00A24F56" w:rsidRPr="00C42AAA">
        <w:rPr>
          <w:rStyle w:val="AERtextitalic"/>
          <w:i w:val="0"/>
        </w:rPr>
        <w:t>ecember 2016</w:t>
      </w:r>
      <w:r w:rsidR="00A24F56" w:rsidRPr="00A24F56">
        <w:rPr>
          <w:rStyle w:val="AERtextitalic"/>
          <w:i w:val="0"/>
        </w:rPr>
        <w:t>, Part 2.3</w:t>
      </w:r>
      <w:r w:rsidR="00164EB5" w:rsidRPr="001077FA">
        <w:t xml:space="preserve">; </w:t>
      </w:r>
      <w:r w:rsidR="00276066" w:rsidRPr="008860C7">
        <w:t xml:space="preserve">AEMO, </w:t>
      </w:r>
      <w:r w:rsidR="00276066" w:rsidRPr="00EC1655">
        <w:rPr>
          <w:rStyle w:val="Emphasis"/>
        </w:rPr>
        <w:t>Electricity Annual Consumption Operational</w:t>
      </w:r>
      <w:r w:rsidR="00C65EA3">
        <w:rPr>
          <w:rStyle w:val="Emphasis"/>
        </w:rPr>
        <w:t xml:space="preserve"> (Victoria)</w:t>
      </w:r>
      <w:r w:rsidR="00276066" w:rsidRPr="008860C7">
        <w:t xml:space="preserve">, available at: </w:t>
      </w:r>
      <w:hyperlink r:id="rId19" w:history="1">
        <w:r w:rsidR="00A24F56" w:rsidRPr="00A24F56">
          <w:rPr>
            <w:rStyle w:val="Hyperlink"/>
            <w:sz w:val="16"/>
          </w:rPr>
          <w:t>http://forecasting.aemo.com.au/Electricity/-</w:t>
        </w:r>
        <w:r w:rsidR="00A24F56" w:rsidRPr="007F12E0">
          <w:rPr>
            <w:rStyle w:val="Hyperlink"/>
            <w:sz w:val="16"/>
          </w:rPr>
          <w:t>AnnualConsumption/Operational</w:t>
        </w:r>
      </w:hyperlink>
      <w:r w:rsidR="00276066">
        <w:t xml:space="preserve"> </w:t>
      </w:r>
      <w:r w:rsidR="007A008F">
        <w:t xml:space="preserve">2016 NEFR Revised Publication </w:t>
      </w:r>
      <w:r w:rsidR="00276066">
        <w:t>Neutral scenario, data revision 19 July 2016, accessed 2 December 2016</w:t>
      </w:r>
    </w:p>
    <w:p w:rsidR="00194B25" w:rsidRPr="001077FA" w:rsidRDefault="00194B25" w:rsidP="00194B25">
      <w:pPr>
        <w:pStyle w:val="AERtablesource"/>
      </w:pPr>
      <w:r w:rsidRPr="001077FA">
        <w:t xml:space="preserve">(a) </w:t>
      </w:r>
      <w:r w:rsidRPr="001077FA">
        <w:tab/>
      </w:r>
      <w:r w:rsidR="001C4502" w:rsidRPr="001077FA">
        <w:t xml:space="preserve">Based on weighted average standing offers at </w:t>
      </w:r>
      <w:r w:rsidR="00C42AAA">
        <w:t>March</w:t>
      </w:r>
      <w:r w:rsidR="00C42AAA" w:rsidRPr="001077FA">
        <w:t xml:space="preserve"> </w:t>
      </w:r>
      <w:r w:rsidR="001C4502" w:rsidRPr="001077FA">
        <w:t>201</w:t>
      </w:r>
      <w:r w:rsidR="00C42AAA">
        <w:t>7</w:t>
      </w:r>
      <w:r w:rsidR="001C4502" w:rsidRPr="001077FA">
        <w:t xml:space="preserve"> from SwitchOn comparison tool for DNSP service areas (postcodes: 3000, 3047, 3134, 3199, 3550) using consumption of 4000 kWh per annum</w:t>
      </w:r>
      <w:r w:rsidRPr="001077FA">
        <w:t>.</w:t>
      </w:r>
    </w:p>
    <w:p w:rsidR="00164EB5" w:rsidRPr="001077FA" w:rsidRDefault="00194B25" w:rsidP="00194B25">
      <w:pPr>
        <w:pStyle w:val="AERtablesource"/>
      </w:pPr>
      <w:r w:rsidRPr="001077FA">
        <w:t>(b)</w:t>
      </w:r>
      <w:r w:rsidRPr="001077FA">
        <w:tab/>
      </w:r>
      <w:r w:rsidR="001C4502" w:rsidRPr="001077FA">
        <w:t xml:space="preserve">Based on weighted average of Victorian bills in ESCV, </w:t>
      </w:r>
      <w:r w:rsidR="00C42AAA" w:rsidRPr="00C42AAA">
        <w:rPr>
          <w:rStyle w:val="AERtextitalic"/>
        </w:rPr>
        <w:t>Vict</w:t>
      </w:r>
      <w:r w:rsidR="00A24F56">
        <w:rPr>
          <w:rStyle w:val="AERtextitalic"/>
        </w:rPr>
        <w:t>orian Energy Market Report 2015–</w:t>
      </w:r>
      <w:r w:rsidR="00C42AAA" w:rsidRPr="00C42AAA">
        <w:rPr>
          <w:rStyle w:val="AERtextitalic"/>
        </w:rPr>
        <w:t>16, Part 2.3</w:t>
      </w:r>
      <w:r w:rsidR="00C42AAA" w:rsidRPr="00C42AAA">
        <w:rPr>
          <w:rStyle w:val="AERtextitalic"/>
          <w:i w:val="0"/>
        </w:rPr>
        <w:t xml:space="preserve">, </w:t>
      </w:r>
      <w:r w:rsidR="00C42AAA" w:rsidRPr="00A24F56">
        <w:rPr>
          <w:rStyle w:val="AERtextitalic"/>
          <w:i w:val="0"/>
        </w:rPr>
        <w:t>D</w:t>
      </w:r>
      <w:r w:rsidR="00C42AAA" w:rsidRPr="00C42AAA">
        <w:rPr>
          <w:rStyle w:val="AERtextitalic"/>
          <w:i w:val="0"/>
        </w:rPr>
        <w:t>ecember 2016</w:t>
      </w:r>
      <w:r w:rsidR="001C4502" w:rsidRPr="001077FA">
        <w:t>, converted to middle of year 2016–17 dollar terms</w:t>
      </w:r>
      <w:r w:rsidRPr="001077FA">
        <w:t>.</w:t>
      </w:r>
    </w:p>
    <w:p w:rsidR="00ED4ACD" w:rsidRDefault="00164EB5" w:rsidP="00194B25">
      <w:pPr>
        <w:pStyle w:val="AERtablesource"/>
      </w:pPr>
      <w:r w:rsidRPr="001077FA">
        <w:t>(c)</w:t>
      </w:r>
      <w:r w:rsidRPr="001077FA">
        <w:tab/>
        <w:t>Based on weighted average of Victorian bills in ESCV</w:t>
      </w:r>
      <w:r w:rsidRPr="001077FA">
        <w:rPr>
          <w:rStyle w:val="AERtextitalic"/>
        </w:rPr>
        <w:t xml:space="preserve">, </w:t>
      </w:r>
      <w:r w:rsidR="00A24F56" w:rsidRPr="00C42AAA">
        <w:rPr>
          <w:rStyle w:val="AERtextitalic"/>
        </w:rPr>
        <w:t>Vict</w:t>
      </w:r>
      <w:r w:rsidR="00A24F56">
        <w:rPr>
          <w:rStyle w:val="AERtextitalic"/>
        </w:rPr>
        <w:t>orian Energy Market Report 2015–</w:t>
      </w:r>
      <w:r w:rsidR="00A24F56" w:rsidRPr="00C42AAA">
        <w:rPr>
          <w:rStyle w:val="AERtextitalic"/>
        </w:rPr>
        <w:t>16, Part 2.3</w:t>
      </w:r>
      <w:r w:rsidR="00A24F56" w:rsidRPr="00C42AAA">
        <w:rPr>
          <w:rStyle w:val="AERtextitalic"/>
          <w:i w:val="0"/>
        </w:rPr>
        <w:t xml:space="preserve">, </w:t>
      </w:r>
      <w:r w:rsidR="00A24F56" w:rsidRPr="00A24F56">
        <w:rPr>
          <w:rStyle w:val="AERtextitalic"/>
          <w:i w:val="0"/>
        </w:rPr>
        <w:t>D</w:t>
      </w:r>
      <w:r w:rsidR="00A24F56" w:rsidRPr="00C42AAA">
        <w:rPr>
          <w:rStyle w:val="AERtextitalic"/>
          <w:i w:val="0"/>
        </w:rPr>
        <w:t>ecember 2016</w:t>
      </w:r>
      <w:r w:rsidRPr="001077FA">
        <w:t>, converted to middle of year 2016–17 dollar terms.</w:t>
      </w:r>
    </w:p>
    <w:p w:rsidR="00194B25" w:rsidRDefault="00ED4ACD" w:rsidP="00194B25">
      <w:pPr>
        <w:pStyle w:val="AERtablesource"/>
      </w:pPr>
      <w:r>
        <w:t>(d)</w:t>
      </w:r>
      <w:r>
        <w:tab/>
      </w:r>
      <w:r w:rsidRPr="00045228">
        <w:t xml:space="preserve">Annual change amounts and percentages are indicative. They are derived by varying the </w:t>
      </w:r>
      <w:r>
        <w:t>transmission</w:t>
      </w:r>
      <w:r w:rsidRPr="00045228">
        <w:t xml:space="preserve"> component of 201</w:t>
      </w:r>
      <w:r>
        <w:t>6–17</w:t>
      </w:r>
      <w:r w:rsidRPr="00045228">
        <w:t xml:space="preserve"> bill amounts in proportion to yearly expected revenue divided by </w:t>
      </w:r>
      <w:r>
        <w:t xml:space="preserve">AEMO </w:t>
      </w:r>
      <w:r w:rsidRPr="00045228">
        <w:t xml:space="preserve">forecast </w:t>
      </w:r>
      <w:r>
        <w:t xml:space="preserve">energy </w:t>
      </w:r>
      <w:r w:rsidRPr="00045228">
        <w:t>demand</w:t>
      </w:r>
      <w:r>
        <w:t xml:space="preserve"> (Victoria)</w:t>
      </w:r>
      <w:r w:rsidRPr="00045228">
        <w:t>. Actual bill impacts will vary depending on electricity consumption and tariff class.</w:t>
      </w:r>
      <w:r w:rsidR="00184479">
        <w:t xml:space="preserve"> </w:t>
      </w:r>
    </w:p>
    <w:sectPr w:rsidR="00194B25"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8D4" w:rsidRPr="00290C63" w:rsidRDefault="005A38D4" w:rsidP="00290C63">
      <w:r>
        <w:separator/>
      </w:r>
    </w:p>
    <w:p w:rsidR="005A38D4" w:rsidRDefault="005A38D4"/>
  </w:endnote>
  <w:endnote w:type="continuationSeparator" w:id="0">
    <w:p w:rsidR="005A38D4" w:rsidRPr="00290C63" w:rsidRDefault="005A38D4" w:rsidP="00290C63">
      <w:r>
        <w:continuationSeparator/>
      </w:r>
    </w:p>
    <w:p w:rsidR="005A38D4" w:rsidRDefault="005A3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8D4" w:rsidRPr="00290C63" w:rsidRDefault="005A38D4"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5A38D4" w:rsidRDefault="005A38D4"/>
  <w:p w:rsidR="005A38D4" w:rsidRDefault="005A38D4"/>
  <w:p w:rsidR="005A38D4" w:rsidRDefault="005A38D4"/>
  <w:p w:rsidR="005A38D4" w:rsidRDefault="005A38D4"/>
  <w:p w:rsidR="005A38D4" w:rsidRDefault="005A38D4"/>
  <w:p w:rsidR="005A38D4" w:rsidRDefault="005A38D4"/>
  <w:p w:rsidR="005A38D4" w:rsidRDefault="005A38D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1960171"/>
      <w:docPartObj>
        <w:docPartGallery w:val="Page Numbers (Bottom of Page)"/>
        <w:docPartUnique/>
      </w:docPartObj>
    </w:sdtPr>
    <w:sdtEndPr>
      <w:rPr>
        <w:noProof/>
        <w:sz w:val="16"/>
        <w:szCs w:val="16"/>
      </w:rPr>
    </w:sdtEndPr>
    <w:sdtContent>
      <w:p w:rsidR="005A38D4" w:rsidRDefault="005A38D4">
        <w:pPr>
          <w:pStyle w:val="Footer"/>
        </w:pPr>
        <w:r>
          <w:fldChar w:fldCharType="begin"/>
        </w:r>
        <w:r>
          <w:instrText xml:space="preserve"> PAGE   \* MERGEFORMAT </w:instrText>
        </w:r>
        <w:r>
          <w:fldChar w:fldCharType="separate"/>
        </w:r>
        <w:r w:rsidR="001B1513">
          <w:rPr>
            <w:noProof/>
          </w:rPr>
          <w:t>1-1</w:t>
        </w:r>
        <w:r>
          <w:rPr>
            <w:noProof/>
          </w:rPr>
          <w:fldChar w:fldCharType="end"/>
        </w:r>
        <w:r>
          <w:rPr>
            <w:noProof/>
          </w:rPr>
          <w:t xml:space="preserve">          </w:t>
        </w:r>
        <w:r w:rsidRPr="00FD5E78">
          <w:rPr>
            <w:noProof/>
            <w:sz w:val="16"/>
            <w:szCs w:val="16"/>
          </w:rPr>
          <w:t xml:space="preserve">Attachment 1 </w:t>
        </w:r>
        <w:r w:rsidRPr="00FD5E78">
          <w:rPr>
            <w:rFonts w:cs="Gautami"/>
            <w:noProof/>
            <w:sz w:val="16"/>
            <w:szCs w:val="16"/>
          </w:rPr>
          <w:t xml:space="preserve">– </w:t>
        </w:r>
        <w:r w:rsidRPr="00FD5E78">
          <w:rPr>
            <w:sz w:val="16"/>
            <w:szCs w:val="16"/>
          </w:rPr>
          <w:t>Maximum allowed revenue</w:t>
        </w:r>
        <w:r w:rsidRPr="00FD5E78">
          <w:rPr>
            <w:rFonts w:cs="Gautami"/>
            <w:noProof/>
            <w:sz w:val="16"/>
            <w:szCs w:val="16"/>
          </w:rPr>
          <w:t xml:space="preserve"> | </w:t>
        </w:r>
        <w:r>
          <w:rPr>
            <w:rFonts w:cs="Gautami"/>
            <w:noProof/>
            <w:sz w:val="16"/>
            <w:szCs w:val="16"/>
          </w:rPr>
          <w:t>Final</w:t>
        </w:r>
        <w:r w:rsidRPr="00FD5E78">
          <w:rPr>
            <w:rFonts w:cs="Gautami"/>
            <w:noProof/>
            <w:sz w:val="16"/>
            <w:szCs w:val="16"/>
          </w:rPr>
          <w:t xml:space="preserve"> decision</w:t>
        </w:r>
        <w:r>
          <w:rPr>
            <w:rFonts w:cs="Gautami"/>
            <w:noProof/>
            <w:sz w:val="16"/>
            <w:szCs w:val="16"/>
          </w:rPr>
          <w:t>:</w:t>
        </w:r>
        <w:r w:rsidRPr="00FD5E78">
          <w:rPr>
            <w:rFonts w:cs="Gautami"/>
            <w:noProof/>
            <w:sz w:val="16"/>
            <w:szCs w:val="16"/>
          </w:rPr>
          <w:t xml:space="preserve"> </w:t>
        </w:r>
        <w:r>
          <w:rPr>
            <w:rFonts w:cs="Gautami"/>
            <w:noProof/>
            <w:sz w:val="16"/>
            <w:szCs w:val="16"/>
          </w:rPr>
          <w:t>AusNet Services</w:t>
        </w:r>
        <w:r w:rsidRPr="00FD5E78">
          <w:rPr>
            <w:sz w:val="16"/>
            <w:szCs w:val="16"/>
          </w:rPr>
          <w:t xml:space="preserve"> transmission</w:t>
        </w:r>
        <w:r w:rsidRPr="00FD5E78">
          <w:rPr>
            <w:rFonts w:cs="Gautami"/>
            <w:noProof/>
            <w:sz w:val="16"/>
            <w:szCs w:val="16"/>
          </w:rPr>
          <w:t xml:space="preserve"> determination 201</w:t>
        </w:r>
        <w:r>
          <w:rPr>
            <w:rFonts w:cs="Gautami"/>
            <w:noProof/>
            <w:sz w:val="16"/>
            <w:szCs w:val="16"/>
          </w:rPr>
          <w:t>7</w:t>
        </w:r>
        <w:r w:rsidRPr="00FD5E78">
          <w:rPr>
            <w:rFonts w:cs="Gautami"/>
            <w:noProof/>
            <w:sz w:val="16"/>
            <w:szCs w:val="16"/>
          </w:rPr>
          <w:t>–</w:t>
        </w:r>
        <w:r>
          <w:rPr>
            <w:rFonts w:cs="Gautami"/>
            <w:noProof/>
            <w:sz w:val="16"/>
            <w:szCs w:val="16"/>
          </w:rPr>
          <w:t>22</w:t>
        </w:r>
      </w:p>
    </w:sdtContent>
  </w:sdt>
  <w:p w:rsidR="005A38D4" w:rsidRDefault="005A38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8D4" w:rsidRPr="00290C63" w:rsidRDefault="005A38D4"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5A38D4" w:rsidRDefault="005A38D4">
    <w:pPr>
      <w:pStyle w:val="Footer"/>
    </w:pPr>
  </w:p>
  <w:p w:rsidR="005A38D4" w:rsidRDefault="005A38D4"/>
  <w:p w:rsidR="005A38D4" w:rsidRDefault="005A38D4"/>
  <w:p w:rsidR="005A38D4" w:rsidRDefault="005A38D4"/>
  <w:p w:rsidR="005A38D4" w:rsidRDefault="005A38D4"/>
  <w:p w:rsidR="005A38D4" w:rsidRDefault="005A38D4"/>
  <w:p w:rsidR="005A38D4" w:rsidRDefault="005A38D4"/>
  <w:p w:rsidR="005A38D4" w:rsidRDefault="005A38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8D4" w:rsidRPr="00290C63" w:rsidRDefault="005A38D4" w:rsidP="00290C63">
      <w:r>
        <w:separator/>
      </w:r>
    </w:p>
    <w:p w:rsidR="005A38D4" w:rsidRDefault="005A38D4"/>
  </w:footnote>
  <w:footnote w:type="continuationSeparator" w:id="0">
    <w:p w:rsidR="005A38D4" w:rsidRPr="00290C63" w:rsidRDefault="005A38D4" w:rsidP="00290C63">
      <w:r>
        <w:continuationSeparator/>
      </w:r>
    </w:p>
    <w:p w:rsidR="005A38D4" w:rsidRDefault="005A38D4"/>
  </w:footnote>
  <w:footnote w:id="1">
    <w:p w:rsidR="005A38D4" w:rsidRDefault="005A38D4" w:rsidP="00C26737">
      <w:pPr>
        <w:pStyle w:val="FootnoteText"/>
      </w:pPr>
      <w:r>
        <w:rPr>
          <w:rStyle w:val="FootnoteReference"/>
        </w:rPr>
        <w:footnoteRef/>
      </w:r>
      <w:r>
        <w:t xml:space="preserve"> </w:t>
      </w:r>
      <w:r>
        <w:tab/>
      </w:r>
      <w:r w:rsidRPr="000F0122">
        <w:t>NER, c</w:t>
      </w:r>
      <w:r>
        <w:t>l.</w:t>
      </w:r>
      <w:r w:rsidRPr="000F0122">
        <w:t xml:space="preserve"> 6A.4.2(a)(1)–(3)</w:t>
      </w:r>
      <w:r>
        <w:t>, 6A.5.3(c)</w:t>
      </w:r>
      <w:r w:rsidRPr="000F0122">
        <w:t xml:space="preserve"> and 6A.6.8.</w:t>
      </w:r>
    </w:p>
  </w:footnote>
  <w:footnote w:id="2">
    <w:p w:rsidR="005A38D4" w:rsidRDefault="005A38D4">
      <w:pPr>
        <w:pStyle w:val="FootnoteText"/>
      </w:pPr>
      <w:r>
        <w:rPr>
          <w:rStyle w:val="FootnoteReference"/>
        </w:rPr>
        <w:footnoteRef/>
      </w:r>
      <w:r>
        <w:t xml:space="preserve"> </w:t>
      </w:r>
      <w:r>
        <w:tab/>
      </w:r>
      <w:r w:rsidRPr="00365B2E">
        <w:t>AusNet Services is not required to apply an X factor for 2017–18 because we set the 2017–18 MAR in this decision</w:t>
      </w:r>
    </w:p>
  </w:footnote>
  <w:footnote w:id="3">
    <w:p w:rsidR="005A38D4" w:rsidRDefault="005A38D4">
      <w:pPr>
        <w:pStyle w:val="FootnoteText"/>
      </w:pPr>
      <w:r>
        <w:rPr>
          <w:rStyle w:val="FootnoteReference"/>
        </w:rPr>
        <w:footnoteRef/>
      </w:r>
      <w:r>
        <w:t xml:space="preserve"> </w:t>
      </w:r>
      <w:r>
        <w:tab/>
      </w:r>
      <w:r>
        <w:rPr>
          <w:szCs w:val="16"/>
        </w:rPr>
        <w:t xml:space="preserve">The X factors represent the rate of change in the real revenue path over the 2017–22 regulatory control period under the CPI–X framework. They must equalise (in net present value terms) the total expected MAR to be earned by the service provider with the total building block revenue requirement for that period. </w:t>
      </w:r>
      <w:r>
        <w:t xml:space="preserve"> </w:t>
      </w:r>
    </w:p>
  </w:footnote>
  <w:footnote w:id="4">
    <w:p w:rsidR="005A38D4" w:rsidRDefault="005A38D4" w:rsidP="003366A6">
      <w:pPr>
        <w:pStyle w:val="FootnoteText"/>
      </w:pPr>
      <w:r>
        <w:rPr>
          <w:rStyle w:val="FootnoteReference"/>
        </w:rPr>
        <w:footnoteRef/>
      </w:r>
      <w:r>
        <w:t xml:space="preserve"> </w:t>
      </w:r>
      <w:r>
        <w:tab/>
        <w:t>NER, clause 6A.5.3(c)(3).</w:t>
      </w:r>
    </w:p>
  </w:footnote>
  <w:footnote w:id="5">
    <w:p w:rsidR="005A38D4" w:rsidRDefault="005A38D4" w:rsidP="003366A6">
      <w:pPr>
        <w:pStyle w:val="FootnoteText"/>
      </w:pPr>
      <w:r>
        <w:rPr>
          <w:rStyle w:val="FootnoteReference"/>
        </w:rPr>
        <w:footnoteRef/>
      </w:r>
      <w:r>
        <w:t xml:space="preserve"> </w:t>
      </w:r>
      <w:r>
        <w:tab/>
        <w:t xml:space="preserve">NER, </w:t>
      </w:r>
      <w:r w:rsidRPr="00FC276A">
        <w:t>clause 6A.6.8(c)(2)</w:t>
      </w:r>
      <w:r>
        <w:t xml:space="preserve">. </w:t>
      </w:r>
      <w:r w:rsidRPr="00C729DC">
        <w:t>We consider a divergence of up to 3 per cent between the expected MAR and annual building block revenue requirement for the last year of the regulatory control period is appropriate, if this can achieve smoother price changes for users over the regulatory control period. In the present circumstances, based on the X factors we have determined</w:t>
      </w:r>
      <w:r w:rsidRPr="00000365">
        <w:t xml:space="preserve"> </w:t>
      </w:r>
      <w:r>
        <w:t>for AusNet Services</w:t>
      </w:r>
      <w:r w:rsidRPr="00C729DC">
        <w:t xml:space="preserve">, this divergence is </w:t>
      </w:r>
      <w:r>
        <w:t>around 1.6 </w:t>
      </w:r>
      <w:r w:rsidRPr="00C729DC">
        <w:t>per cent.</w:t>
      </w:r>
    </w:p>
  </w:footnote>
  <w:footnote w:id="6">
    <w:p w:rsidR="005A38D4" w:rsidRDefault="005A38D4">
      <w:pPr>
        <w:pStyle w:val="FootnoteText"/>
      </w:pPr>
      <w:r>
        <w:rPr>
          <w:rStyle w:val="FootnoteReference"/>
        </w:rPr>
        <w:footnoteRef/>
      </w:r>
      <w:r>
        <w:t xml:space="preserve"> </w:t>
      </w:r>
      <w:r>
        <w:tab/>
      </w:r>
      <w:r w:rsidRPr="00FC276A">
        <w:t xml:space="preserve">In </w:t>
      </w:r>
      <w:r>
        <w:t>real 2016–17 dollar terms</w:t>
      </w:r>
      <w:r w:rsidRPr="00FC276A">
        <w:t>, t</w:t>
      </w:r>
      <w:r>
        <w:t>he average change</w:t>
      </w:r>
      <w:r w:rsidRPr="00FC276A">
        <w:t xml:space="preserve"> </w:t>
      </w:r>
      <w:r>
        <w:t>in our approved expected MAR for AusNet Services</w:t>
      </w:r>
      <w:r w:rsidRPr="00FC276A">
        <w:t xml:space="preserve"> </w:t>
      </w:r>
      <w:r>
        <w:t>is</w:t>
      </w:r>
      <w:r w:rsidRPr="00FC276A">
        <w:t xml:space="preserve"> </w:t>
      </w:r>
      <w:r>
        <w:t>–1.2 </w:t>
      </w:r>
      <w:r w:rsidRPr="00FC276A">
        <w:t>per cent per annum over the</w:t>
      </w:r>
      <w:r>
        <w:t xml:space="preserve"> 2017–22</w:t>
      </w:r>
      <w:r w:rsidRPr="00FC276A">
        <w:t xml:space="preserve"> regulatory control period</w:t>
      </w:r>
      <w:r>
        <w:t>.</w:t>
      </w:r>
    </w:p>
  </w:footnote>
  <w:footnote w:id="7">
    <w:p w:rsidR="005A38D4" w:rsidRDefault="005A38D4">
      <w:pPr>
        <w:pStyle w:val="FootnoteText"/>
      </w:pPr>
      <w:r>
        <w:rPr>
          <w:rStyle w:val="FootnoteReference"/>
        </w:rPr>
        <w:footnoteRef/>
      </w:r>
      <w:r>
        <w:t xml:space="preserve"> </w:t>
      </w:r>
      <w:r>
        <w:tab/>
        <w:t>The allowed rate of return for the 2014–17 regulatory control period was 7.87 per cent, compared to 5.80 per cent in this final decision.</w:t>
      </w:r>
    </w:p>
  </w:footnote>
  <w:footnote w:id="8">
    <w:p w:rsidR="005A38D4" w:rsidRDefault="005A38D4">
      <w:pPr>
        <w:pStyle w:val="FootnoteText"/>
      </w:pPr>
      <w:r>
        <w:rPr>
          <w:rStyle w:val="FootnoteReference"/>
        </w:rPr>
        <w:footnoteRef/>
      </w:r>
      <w:r>
        <w:t xml:space="preserve"> </w:t>
      </w:r>
      <w:r>
        <w:tab/>
        <w:t>NER, cl. 6A.5.5.</w:t>
      </w:r>
    </w:p>
  </w:footnote>
  <w:footnote w:id="9">
    <w:p w:rsidR="005A38D4" w:rsidRDefault="005A38D4">
      <w:pPr>
        <w:pStyle w:val="FootnoteText"/>
      </w:pPr>
      <w:r>
        <w:rPr>
          <w:rStyle w:val="FootnoteReference"/>
        </w:rPr>
        <w:footnoteRef/>
      </w:r>
      <w:r>
        <w:t xml:space="preserve"> </w:t>
      </w:r>
      <w:r>
        <w:tab/>
        <w:t xml:space="preserve">AER, </w:t>
      </w:r>
      <w:r w:rsidRPr="006B7504">
        <w:rPr>
          <w:rStyle w:val="AERtextitalic"/>
        </w:rPr>
        <w:t>Shared asset guideline</w:t>
      </w:r>
      <w:r>
        <w:t>, November 2013.</w:t>
      </w:r>
    </w:p>
  </w:footnote>
  <w:footnote w:id="10">
    <w:p w:rsidR="005A38D4" w:rsidRDefault="005A38D4">
      <w:pPr>
        <w:pStyle w:val="FootnoteText"/>
      </w:pPr>
      <w:r>
        <w:rPr>
          <w:rStyle w:val="FootnoteReference"/>
        </w:rPr>
        <w:footnoteRef/>
      </w:r>
      <w:r>
        <w:t xml:space="preserve"> </w:t>
      </w:r>
      <w:r>
        <w:tab/>
        <w:t xml:space="preserve">AER, </w:t>
      </w:r>
      <w:r w:rsidRPr="00372EE1">
        <w:rPr>
          <w:rStyle w:val="AERtextitalic"/>
        </w:rPr>
        <w:t>Shared asset guideline</w:t>
      </w:r>
      <w:r>
        <w:t>, November 2013, p. 8.</w:t>
      </w:r>
    </w:p>
  </w:footnote>
  <w:footnote w:id="11">
    <w:p w:rsidR="005A38D4" w:rsidRDefault="005A38D4">
      <w:pPr>
        <w:pStyle w:val="FootnoteText"/>
      </w:pPr>
      <w:r>
        <w:rPr>
          <w:rStyle w:val="FootnoteReference"/>
        </w:rPr>
        <w:footnoteRef/>
      </w:r>
      <w:r>
        <w:t xml:space="preserve"> </w:t>
      </w:r>
      <w:r>
        <w:tab/>
      </w:r>
      <w:r w:rsidRPr="008860C7">
        <w:t>AusNet Services</w:t>
      </w:r>
      <w:r w:rsidRPr="008860C7">
        <w:rPr>
          <w:rStyle w:val="CommentReference"/>
          <w:rFonts w:asciiTheme="minorHAnsi" w:eastAsia="Calibri" w:hAnsiTheme="minorHAnsi"/>
        </w:rPr>
        <w:t/>
      </w:r>
      <w:r w:rsidRPr="008860C7">
        <w:t xml:space="preserve">, </w:t>
      </w:r>
      <w:r w:rsidRPr="008860C7">
        <w:rPr>
          <w:i/>
        </w:rPr>
        <w:t xml:space="preserve">Revised </w:t>
      </w:r>
      <w:r w:rsidRPr="008860C7">
        <w:rPr>
          <w:rStyle w:val="AERtextitalic"/>
        </w:rPr>
        <w:t>Revenue proposal</w:t>
      </w:r>
      <w:r w:rsidRPr="008860C7">
        <w:t>, p. 21</w:t>
      </w:r>
    </w:p>
  </w:footnote>
  <w:footnote w:id="12">
    <w:p w:rsidR="005A38D4" w:rsidRDefault="005A38D4" w:rsidP="006D0C9E">
      <w:pPr>
        <w:pStyle w:val="FootnoteText"/>
      </w:pPr>
      <w:r>
        <w:rPr>
          <w:rStyle w:val="FootnoteReference"/>
        </w:rPr>
        <w:footnoteRef/>
      </w:r>
      <w:r>
        <w:t xml:space="preserve"> </w:t>
      </w:r>
      <w:r>
        <w:tab/>
        <w:t>AER,</w:t>
      </w:r>
      <w:r w:rsidRPr="00175156">
        <w:t xml:space="preserve"> </w:t>
      </w:r>
      <w:r>
        <w:rPr>
          <w:rStyle w:val="AERtextitalic"/>
        </w:rPr>
        <w:t>Draft</w:t>
      </w:r>
      <w:r w:rsidRPr="00175156">
        <w:rPr>
          <w:rStyle w:val="AERtextitalic"/>
        </w:rPr>
        <w:t xml:space="preserve"> decision </w:t>
      </w:r>
      <w:r>
        <w:rPr>
          <w:rStyle w:val="AERtextitalic"/>
        </w:rPr>
        <w:t>AusNet Services transmission</w:t>
      </w:r>
      <w:r w:rsidRPr="00175156">
        <w:rPr>
          <w:rStyle w:val="AERtextitalic"/>
        </w:rPr>
        <w:t xml:space="preserve"> </w:t>
      </w:r>
      <w:r>
        <w:rPr>
          <w:rStyle w:val="AERtextitalic"/>
        </w:rPr>
        <w:t>determination - Attachment 1 - Maximum allowed revenue</w:t>
      </w:r>
      <w:r>
        <w:t>,</w:t>
      </w:r>
      <w:r w:rsidRPr="00175156">
        <w:t xml:space="preserve"> </w:t>
      </w:r>
      <w:r>
        <w:t xml:space="preserve">July </w:t>
      </w:r>
      <w:r w:rsidRPr="00175156">
        <w:t>201</w:t>
      </w:r>
      <w:r>
        <w:t>6, pp. 17–18.</w:t>
      </w:r>
    </w:p>
  </w:footnote>
  <w:footnote w:id="13">
    <w:p w:rsidR="005A38D4" w:rsidRDefault="005A38D4">
      <w:pPr>
        <w:pStyle w:val="FootnoteText"/>
      </w:pPr>
      <w:r>
        <w:rPr>
          <w:rStyle w:val="FootnoteReference"/>
        </w:rPr>
        <w:footnoteRef/>
      </w:r>
      <w:r>
        <w:t xml:space="preserve"> </w:t>
      </w:r>
      <w:r>
        <w:tab/>
      </w:r>
      <w:r w:rsidRPr="008860C7">
        <w:t>This excludes the Murraylink portion of MAR allocated to Victorian customers. Historically, Murraylink’s MAR is about 2.5 per cent of AusNet Service’s MAR. Murraylink’s reset for its next regulatory control period commences from 1 July 2018</w:t>
      </w:r>
    </w:p>
  </w:footnote>
  <w:footnote w:id="14">
    <w:p w:rsidR="005A38D4" w:rsidRDefault="005A38D4">
      <w:pPr>
        <w:pStyle w:val="FootnoteText"/>
      </w:pPr>
      <w:r>
        <w:rPr>
          <w:rStyle w:val="FootnoteReference"/>
        </w:rPr>
        <w:footnoteRef/>
      </w:r>
      <w:r>
        <w:t xml:space="preserve"> </w:t>
      </w:r>
      <w:r>
        <w:tab/>
      </w:r>
      <w:r w:rsidRPr="008860C7">
        <w:t xml:space="preserve">AEMO, </w:t>
      </w:r>
      <w:r w:rsidRPr="00EC1655">
        <w:rPr>
          <w:rStyle w:val="Emphasis"/>
        </w:rPr>
        <w:t>Electricity Annual Consumption Operational</w:t>
      </w:r>
      <w:r w:rsidRPr="008860C7">
        <w:t xml:space="preserve">, available at: </w:t>
      </w:r>
      <w:hyperlink r:id="rId1" w:history="1">
        <w:r w:rsidRPr="00A24F56">
          <w:rPr>
            <w:rStyle w:val="Hyperlink"/>
            <w:sz w:val="16"/>
          </w:rPr>
          <w:t>http://forecasting.aemo.com.au/Electricity/-</w:t>
        </w:r>
        <w:r w:rsidRPr="007F12E0">
          <w:rPr>
            <w:rStyle w:val="Hyperlink"/>
            <w:sz w:val="16"/>
          </w:rPr>
          <w:t>AnnualConsumption/Operational</w:t>
        </w:r>
      </w:hyperlink>
      <w:r>
        <w:t xml:space="preserve"> 2016 NEFR Revised Publication Neutral scenario, data revision 19 July 2016, accessed 2 December 2016</w:t>
      </w:r>
    </w:p>
  </w:footnote>
  <w:footnote w:id="15">
    <w:p w:rsidR="005A38D4" w:rsidRDefault="005A38D4" w:rsidP="00211DCF">
      <w:pPr>
        <w:pStyle w:val="FootnoteText"/>
      </w:pPr>
      <w:r>
        <w:rPr>
          <w:rStyle w:val="FootnoteReference"/>
        </w:rPr>
        <w:footnoteRef/>
      </w:r>
      <w:r>
        <w:t xml:space="preserve"> </w:t>
      </w:r>
      <w:r>
        <w:tab/>
        <w:t xml:space="preserve">On </w:t>
      </w:r>
      <w:r w:rsidRPr="008860C7">
        <w:t>average, the final decision</w:t>
      </w:r>
      <w:r w:rsidRPr="00724E58">
        <w:t xml:space="preserve"> </w:t>
      </w:r>
      <w:r>
        <w:t>transmission revenues will decrease by 1.3 </w:t>
      </w:r>
      <w:r w:rsidRPr="00724E58">
        <w:t xml:space="preserve">per cent </w:t>
      </w:r>
      <w:r>
        <w:t xml:space="preserve">($ nominal) </w:t>
      </w:r>
      <w:r w:rsidRPr="00724E58">
        <w:t xml:space="preserve">per </w:t>
      </w:r>
      <w:r w:rsidRPr="005E2807">
        <w:t>annum from 201</w:t>
      </w:r>
      <w:r>
        <w:t>6</w:t>
      </w:r>
      <w:r w:rsidRPr="005E2807">
        <w:t>–1</w:t>
      </w:r>
      <w:r>
        <w:t>7</w:t>
      </w:r>
      <w:r w:rsidRPr="005E2807">
        <w:t xml:space="preserve"> to 20</w:t>
      </w:r>
      <w:r>
        <w:t>21</w:t>
      </w:r>
      <w:r w:rsidRPr="005E2807">
        <w:t>–</w:t>
      </w:r>
      <w:r>
        <w:t>22</w:t>
      </w:r>
      <w:r w:rsidRPr="005E2807">
        <w:t xml:space="preserve">. The forecast energy delivered in </w:t>
      </w:r>
      <w:r>
        <w:t>Victoria</w:t>
      </w:r>
      <w:r w:rsidRPr="005E2807">
        <w:t xml:space="preserve"> will </w:t>
      </w:r>
      <w:r>
        <w:t>in</w:t>
      </w:r>
      <w:r w:rsidRPr="005E2807">
        <w:t>crease by an average of</w:t>
      </w:r>
      <w:r>
        <w:t xml:space="preserve"> 0.2 </w:t>
      </w:r>
      <w:r w:rsidRPr="005E2807">
        <w:t>per</w:t>
      </w:r>
      <w:r w:rsidRPr="00724E58">
        <w:t xml:space="preserve"> cent per</w:t>
      </w:r>
      <w:r>
        <w:t xml:space="preserve"> </w:t>
      </w:r>
      <w:r w:rsidRPr="00724E58">
        <w:t xml:space="preserve">annum </w:t>
      </w:r>
      <w:r>
        <w:t>across that period</w:t>
      </w:r>
      <w:r w:rsidRPr="00724E58">
        <w:t>.</w:t>
      </w:r>
      <w:r>
        <w:t xml:space="preserve"> As a result, the indicative transmission charge will decrease by 1.0 per cent ($ nominal) per annum from 2016–17 to 2021–22. </w:t>
      </w:r>
    </w:p>
  </w:footnote>
  <w:footnote w:id="16">
    <w:p w:rsidR="006B70FC" w:rsidRDefault="006B70FC" w:rsidP="006B70FC">
      <w:pPr>
        <w:pStyle w:val="FootnoteText"/>
      </w:pPr>
      <w:r>
        <w:rPr>
          <w:rStyle w:val="FootnoteReference"/>
        </w:rPr>
        <w:footnoteRef/>
      </w:r>
      <w:r>
        <w:t xml:space="preserve"> </w:t>
      </w:r>
      <w:r>
        <w:tab/>
      </w:r>
      <w:r w:rsidRPr="00814570">
        <w:t xml:space="preserve">AusNet Services, </w:t>
      </w:r>
      <w:r w:rsidRPr="00814570">
        <w:rPr>
          <w:rStyle w:val="AERtextitalic"/>
        </w:rPr>
        <w:t>Reset RIN – Table 7.6.1</w:t>
      </w:r>
      <w:r w:rsidRPr="00814570">
        <w:t>, October 2015.</w:t>
      </w:r>
    </w:p>
  </w:footnote>
  <w:footnote w:id="17">
    <w:p w:rsidR="005A38D4" w:rsidRDefault="005A38D4">
      <w:pPr>
        <w:pStyle w:val="FootnoteText"/>
      </w:pPr>
      <w:r>
        <w:rPr>
          <w:rStyle w:val="FootnoteReference"/>
        </w:rPr>
        <w:footnoteRef/>
      </w:r>
      <w:r>
        <w:t xml:space="preserve"> </w:t>
      </w:r>
      <w:r>
        <w:tab/>
        <w:t>I</w:t>
      </w:r>
      <w:r w:rsidRPr="00373109">
        <w:t xml:space="preserve">t also assumes that actual energy demand will equal the forecast </w:t>
      </w:r>
      <w:r>
        <w:t xml:space="preserve">adopted </w:t>
      </w:r>
      <w:r w:rsidRPr="00373109">
        <w:t>in our</w:t>
      </w:r>
      <w:r>
        <w:t xml:space="preserve"> final </w:t>
      </w:r>
      <w:r w:rsidRPr="00373109">
        <w:t xml:space="preserve">decision. Since </w:t>
      </w:r>
      <w:r>
        <w:t xml:space="preserve">AusNet Services operates under a revenue cap, </w:t>
      </w:r>
      <w:r w:rsidRPr="00373109">
        <w:t>changes in demand will also affect annual electricity bills across the 201</w:t>
      </w:r>
      <w:r>
        <w:t>7</w:t>
      </w:r>
      <w:r w:rsidRPr="00373109">
        <w:t>–2</w:t>
      </w:r>
      <w:r>
        <w:t>2</w:t>
      </w:r>
      <w:r w:rsidRPr="00373109">
        <w:t xml:space="preserve"> regulatory control period.</w:t>
      </w:r>
    </w:p>
  </w:footnote>
  <w:footnote w:id="18">
    <w:p w:rsidR="006B70FC" w:rsidRDefault="006B70FC">
      <w:pPr>
        <w:pStyle w:val="FootnoteText"/>
      </w:pPr>
      <w:r>
        <w:rPr>
          <w:rStyle w:val="FootnoteReference"/>
        </w:rPr>
        <w:footnoteRef/>
      </w:r>
      <w:r>
        <w:t xml:space="preserve"> </w:t>
      </w:r>
      <w:r>
        <w:tab/>
      </w:r>
      <w:r w:rsidRPr="006B70FC">
        <w:t xml:space="preserve">AEMC, </w:t>
      </w:r>
      <w:r w:rsidRPr="00931CE1">
        <w:rPr>
          <w:rStyle w:val="AERtextitalic"/>
        </w:rPr>
        <w:t>2016 Residential Electricity Price Trends: Final Report – Victoria</w:t>
      </w:r>
      <w:r w:rsidRPr="006B70FC">
        <w:t>, December 2016, p. 3.</w:t>
      </w:r>
    </w:p>
  </w:footnote>
  <w:footnote w:id="19">
    <w:p w:rsidR="005A38D4" w:rsidRDefault="005A38D4" w:rsidP="00211DCF">
      <w:pPr>
        <w:pStyle w:val="FootnoteText"/>
      </w:pPr>
      <w:r>
        <w:rPr>
          <w:rStyle w:val="FootnoteReference"/>
        </w:rPr>
        <w:footnoteRef/>
      </w:r>
      <w:r>
        <w:t xml:space="preserve"> </w:t>
      </w:r>
      <w:r>
        <w:tab/>
      </w:r>
      <w:r w:rsidRPr="001077FA">
        <w:rPr>
          <w:rFonts w:cs="Arial"/>
          <w:sz w:val="15"/>
          <w:szCs w:val="15"/>
        </w:rPr>
        <w:t xml:space="preserve">ESCV, </w:t>
      </w:r>
      <w:r w:rsidRPr="00C42AAA">
        <w:rPr>
          <w:rStyle w:val="AERtextitalic"/>
        </w:rPr>
        <w:t>Vict</w:t>
      </w:r>
      <w:r>
        <w:rPr>
          <w:rStyle w:val="AERtextitalic"/>
        </w:rPr>
        <w:t>orian Energy Market Report 2015–</w:t>
      </w:r>
      <w:r w:rsidRPr="00C42AAA">
        <w:rPr>
          <w:rStyle w:val="AERtextitalic"/>
        </w:rPr>
        <w:t>16</w:t>
      </w:r>
      <w:r w:rsidRPr="00C42AAA">
        <w:rPr>
          <w:rStyle w:val="AERtextitalic"/>
          <w:i w:val="0"/>
        </w:rPr>
        <w:t xml:space="preserve">, </w:t>
      </w:r>
      <w:r w:rsidRPr="00A24F56">
        <w:rPr>
          <w:rStyle w:val="AERtextitalic"/>
          <w:i w:val="0"/>
        </w:rPr>
        <w:t>D</w:t>
      </w:r>
      <w:r w:rsidRPr="00C42AAA">
        <w:rPr>
          <w:rStyle w:val="AERtextitalic"/>
          <w:i w:val="0"/>
        </w:rPr>
        <w:t>ecember 2016</w:t>
      </w:r>
      <w:r w:rsidRPr="00A24F56">
        <w:rPr>
          <w:rStyle w:val="AERtextitalic"/>
          <w:i w:val="0"/>
        </w:rPr>
        <w:t>, Part 2.3</w:t>
      </w:r>
      <w:r w:rsidRPr="001077FA">
        <w:rPr>
          <w:rFonts w:cs="Arial"/>
          <w:sz w:val="15"/>
          <w:szCs w:val="15"/>
        </w:rPr>
        <w:t>.</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3F44DE"/>
    <w:multiLevelType w:val="multilevel"/>
    <w:tmpl w:val="950A1C52"/>
    <w:numStyleLink w:val="AERHeadings"/>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592056E"/>
    <w:multiLevelType w:val="multilevel"/>
    <w:tmpl w:val="950A1C52"/>
    <w:numStyleLink w:val="AERHeadings"/>
  </w:abstractNum>
  <w:abstractNum w:abstractNumId="18">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2">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F5F4FFC"/>
    <w:multiLevelType w:val="multilevel"/>
    <w:tmpl w:val="950A1C52"/>
    <w:numStyleLink w:val="AERHeadings"/>
  </w:abstractNum>
  <w:abstractNum w:abstractNumId="26">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41A80E45"/>
    <w:multiLevelType w:val="multilevel"/>
    <w:tmpl w:val="950A1C52"/>
    <w:numStyleLink w:val="AERHeadings"/>
  </w:abstractNum>
  <w:abstractNum w:abstractNumId="28">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9">
    <w:nsid w:val="487C7731"/>
    <w:multiLevelType w:val="multilevel"/>
    <w:tmpl w:val="950A1C52"/>
    <w:numStyleLink w:val="AERHeadings"/>
  </w:abstractNum>
  <w:abstractNum w:abstractNumId="3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3">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5">
    <w:nsid w:val="5ECE4384"/>
    <w:multiLevelType w:val="multilevel"/>
    <w:tmpl w:val="70B2CAD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7">
    <w:nsid w:val="6DE36827"/>
    <w:multiLevelType w:val="multilevel"/>
    <w:tmpl w:val="950A1C52"/>
    <w:numStyleLink w:val="AERHeadings"/>
  </w:abstractNum>
  <w:abstractNum w:abstractNumId="3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D94619D"/>
    <w:multiLevelType w:val="hybridMultilevel"/>
    <w:tmpl w:val="0EFC4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4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6"/>
  </w:num>
  <w:num w:numId="13">
    <w:abstractNumId w:val="23"/>
  </w:num>
  <w:num w:numId="14">
    <w:abstractNumId w:val="11"/>
  </w:num>
  <w:num w:numId="15">
    <w:abstractNumId w:val="14"/>
  </w:num>
  <w:num w:numId="16">
    <w:abstractNumId w:val="30"/>
  </w:num>
  <w:num w:numId="17">
    <w:abstractNumId w:val="10"/>
  </w:num>
  <w:num w:numId="18">
    <w:abstractNumId w:val="19"/>
  </w:num>
  <w:num w:numId="19">
    <w:abstractNumId w:val="31"/>
  </w:num>
  <w:num w:numId="20">
    <w:abstractNumId w:val="38"/>
  </w:num>
  <w:num w:numId="21">
    <w:abstractNumId w:val="15"/>
  </w:num>
  <w:num w:numId="22">
    <w:abstractNumId w:val="34"/>
  </w:num>
  <w:num w:numId="23">
    <w:abstractNumId w:val="32"/>
  </w:num>
  <w:num w:numId="24">
    <w:abstractNumId w:val="21"/>
  </w:num>
  <w:num w:numId="25">
    <w:abstractNumId w:val="33"/>
  </w:num>
  <w:num w:numId="26">
    <w:abstractNumId w:val="35"/>
  </w:num>
  <w:num w:numId="27">
    <w:abstractNumId w:val="22"/>
  </w:num>
  <w:num w:numId="28">
    <w:abstractNumId w:val="20"/>
  </w:num>
  <w:num w:numId="29">
    <w:abstractNumId w:val="18"/>
  </w:num>
  <w:num w:numId="30">
    <w:abstractNumId w:val="39"/>
  </w:num>
  <w:num w:numId="31">
    <w:abstractNumId w:val="16"/>
  </w:num>
  <w:num w:numId="32">
    <w:abstractNumId w:val="26"/>
  </w:num>
  <w:num w:numId="33">
    <w:abstractNumId w:val="21"/>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7"/>
  </w:num>
  <w:num w:numId="37">
    <w:abstractNumId w:val="29"/>
  </w:num>
  <w:num w:numId="38">
    <w:abstractNumId w:val="25"/>
  </w:num>
  <w:num w:numId="39">
    <w:abstractNumId w:val="13"/>
  </w:num>
  <w:num w:numId="40">
    <w:abstractNumId w:val="35"/>
  </w:num>
  <w:num w:numId="41">
    <w:abstractNumId w:val="35"/>
  </w:num>
  <w:num w:numId="42">
    <w:abstractNumId w:val="27"/>
  </w:num>
  <w:num w:numId="43">
    <w:abstractNumId w:val="17"/>
  </w:num>
  <w:num w:numId="44">
    <w:abstractNumId w:val="28"/>
  </w:num>
  <w:num w:numId="45">
    <w:abstractNumId w:val="24"/>
  </w:num>
  <w:num w:numId="46">
    <w:abstractNumId w:val="9"/>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SrfN86wN+l1I1aPaXuDj12EYKn9uWPL6sMRwS9K60B0=" w:saltValue="jiVPWzCBYfjXUDCOptvB/g==" w:algorithmName="SHA-256"/>
  <w:defaultTabStop w:val="340"/>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er - final decision ausnet services 2017-22 transmission determination - attachment 1 - maximum allowed revenue - april (AER2016-000066).docx"/>
  </w:docVars>
  <w:rsids>
    <w:rsidRoot w:val="00961A4A"/>
    <w:rsid w:val="000035FC"/>
    <w:rsid w:val="00005540"/>
    <w:rsid w:val="000116D1"/>
    <w:rsid w:val="00014B8C"/>
    <w:rsid w:val="00015FBE"/>
    <w:rsid w:val="000176E9"/>
    <w:rsid w:val="00021202"/>
    <w:rsid w:val="00021C2B"/>
    <w:rsid w:val="00023D89"/>
    <w:rsid w:val="0002517F"/>
    <w:rsid w:val="0003578C"/>
    <w:rsid w:val="00037D82"/>
    <w:rsid w:val="00046194"/>
    <w:rsid w:val="00047AA6"/>
    <w:rsid w:val="00063247"/>
    <w:rsid w:val="00070F9F"/>
    <w:rsid w:val="0007137B"/>
    <w:rsid w:val="00076800"/>
    <w:rsid w:val="00077389"/>
    <w:rsid w:val="00085663"/>
    <w:rsid w:val="00085EBF"/>
    <w:rsid w:val="00086871"/>
    <w:rsid w:val="000954D1"/>
    <w:rsid w:val="000A3020"/>
    <w:rsid w:val="000A6C7B"/>
    <w:rsid w:val="000B321F"/>
    <w:rsid w:val="000B4F56"/>
    <w:rsid w:val="000C2B40"/>
    <w:rsid w:val="000C47B4"/>
    <w:rsid w:val="000D0C3C"/>
    <w:rsid w:val="000D122C"/>
    <w:rsid w:val="000E1819"/>
    <w:rsid w:val="000E4821"/>
    <w:rsid w:val="000E6C72"/>
    <w:rsid w:val="000F1530"/>
    <w:rsid w:val="000F1D1C"/>
    <w:rsid w:val="000F2B6A"/>
    <w:rsid w:val="000F2E07"/>
    <w:rsid w:val="001045F9"/>
    <w:rsid w:val="001077FA"/>
    <w:rsid w:val="001134DB"/>
    <w:rsid w:val="00116EB2"/>
    <w:rsid w:val="001203C4"/>
    <w:rsid w:val="00124609"/>
    <w:rsid w:val="00126A4C"/>
    <w:rsid w:val="001429A1"/>
    <w:rsid w:val="0014573B"/>
    <w:rsid w:val="00146489"/>
    <w:rsid w:val="00154C99"/>
    <w:rsid w:val="001573E4"/>
    <w:rsid w:val="00157EA3"/>
    <w:rsid w:val="00160756"/>
    <w:rsid w:val="00164EB5"/>
    <w:rsid w:val="00164EC7"/>
    <w:rsid w:val="0016798A"/>
    <w:rsid w:val="00167E3A"/>
    <w:rsid w:val="0017232E"/>
    <w:rsid w:val="00173FDA"/>
    <w:rsid w:val="00174102"/>
    <w:rsid w:val="0017507C"/>
    <w:rsid w:val="001754EE"/>
    <w:rsid w:val="00180157"/>
    <w:rsid w:val="00180784"/>
    <w:rsid w:val="00181BAC"/>
    <w:rsid w:val="00184479"/>
    <w:rsid w:val="00185C55"/>
    <w:rsid w:val="00185CB9"/>
    <w:rsid w:val="00186F77"/>
    <w:rsid w:val="001921F2"/>
    <w:rsid w:val="001926A4"/>
    <w:rsid w:val="00192AD5"/>
    <w:rsid w:val="00194B25"/>
    <w:rsid w:val="001A1C41"/>
    <w:rsid w:val="001B1513"/>
    <w:rsid w:val="001B45A0"/>
    <w:rsid w:val="001C4502"/>
    <w:rsid w:val="001D055E"/>
    <w:rsid w:val="001D38AB"/>
    <w:rsid w:val="001D7FB9"/>
    <w:rsid w:val="001F492E"/>
    <w:rsid w:val="001F4B6B"/>
    <w:rsid w:val="001F4FE8"/>
    <w:rsid w:val="001F66FD"/>
    <w:rsid w:val="001F6DA3"/>
    <w:rsid w:val="002010BC"/>
    <w:rsid w:val="002016E7"/>
    <w:rsid w:val="00202E03"/>
    <w:rsid w:val="0020492C"/>
    <w:rsid w:val="00211DCF"/>
    <w:rsid w:val="00224DB9"/>
    <w:rsid w:val="00225D03"/>
    <w:rsid w:val="00233775"/>
    <w:rsid w:val="00241883"/>
    <w:rsid w:val="00251745"/>
    <w:rsid w:val="002624C0"/>
    <w:rsid w:val="00263AC0"/>
    <w:rsid w:val="00264264"/>
    <w:rsid w:val="0026772D"/>
    <w:rsid w:val="00276066"/>
    <w:rsid w:val="00286874"/>
    <w:rsid w:val="002876B3"/>
    <w:rsid w:val="00290C63"/>
    <w:rsid w:val="002910D7"/>
    <w:rsid w:val="00296B65"/>
    <w:rsid w:val="00297C2E"/>
    <w:rsid w:val="002A0C23"/>
    <w:rsid w:val="002A7CA3"/>
    <w:rsid w:val="002A7DEF"/>
    <w:rsid w:val="002C233C"/>
    <w:rsid w:val="002D23DF"/>
    <w:rsid w:val="002D6DAD"/>
    <w:rsid w:val="002D72E8"/>
    <w:rsid w:val="002E5317"/>
    <w:rsid w:val="002E7B22"/>
    <w:rsid w:val="002F7986"/>
    <w:rsid w:val="00301B40"/>
    <w:rsid w:val="003029EE"/>
    <w:rsid w:val="00305CC8"/>
    <w:rsid w:val="00307F6D"/>
    <w:rsid w:val="003177A2"/>
    <w:rsid w:val="003271B5"/>
    <w:rsid w:val="00327A1E"/>
    <w:rsid w:val="00331264"/>
    <w:rsid w:val="00334C8D"/>
    <w:rsid w:val="003366A6"/>
    <w:rsid w:val="00343A18"/>
    <w:rsid w:val="0034421C"/>
    <w:rsid w:val="003453E8"/>
    <w:rsid w:val="003512D7"/>
    <w:rsid w:val="003518B3"/>
    <w:rsid w:val="00351F2F"/>
    <w:rsid w:val="003546AE"/>
    <w:rsid w:val="00357283"/>
    <w:rsid w:val="00361E04"/>
    <w:rsid w:val="00365B2E"/>
    <w:rsid w:val="00367D0F"/>
    <w:rsid w:val="00372CBE"/>
    <w:rsid w:val="00374C27"/>
    <w:rsid w:val="00374F20"/>
    <w:rsid w:val="003846F1"/>
    <w:rsid w:val="003903F6"/>
    <w:rsid w:val="003A7EEB"/>
    <w:rsid w:val="003B484F"/>
    <w:rsid w:val="003B62B7"/>
    <w:rsid w:val="003B7FBA"/>
    <w:rsid w:val="003C0311"/>
    <w:rsid w:val="003C187D"/>
    <w:rsid w:val="003C303F"/>
    <w:rsid w:val="003C36D2"/>
    <w:rsid w:val="003C3A9C"/>
    <w:rsid w:val="003C4CAF"/>
    <w:rsid w:val="003D3E5C"/>
    <w:rsid w:val="003E0A20"/>
    <w:rsid w:val="003F174D"/>
    <w:rsid w:val="003F3A6A"/>
    <w:rsid w:val="003F74D1"/>
    <w:rsid w:val="00400514"/>
    <w:rsid w:val="0040542D"/>
    <w:rsid w:val="00413318"/>
    <w:rsid w:val="00415F31"/>
    <w:rsid w:val="0042277A"/>
    <w:rsid w:val="00423A77"/>
    <w:rsid w:val="00435A84"/>
    <w:rsid w:val="00447987"/>
    <w:rsid w:val="00452F40"/>
    <w:rsid w:val="0045777E"/>
    <w:rsid w:val="00463B63"/>
    <w:rsid w:val="0047186F"/>
    <w:rsid w:val="00480B4B"/>
    <w:rsid w:val="00485DC4"/>
    <w:rsid w:val="00491349"/>
    <w:rsid w:val="00492389"/>
    <w:rsid w:val="00492C52"/>
    <w:rsid w:val="004A43D1"/>
    <w:rsid w:val="004A5E79"/>
    <w:rsid w:val="004B4412"/>
    <w:rsid w:val="004C0F6E"/>
    <w:rsid w:val="004C348C"/>
    <w:rsid w:val="004C6B5A"/>
    <w:rsid w:val="004D4888"/>
    <w:rsid w:val="004D55BA"/>
    <w:rsid w:val="004E22EC"/>
    <w:rsid w:val="004E74AC"/>
    <w:rsid w:val="004F6A0E"/>
    <w:rsid w:val="004F7D91"/>
    <w:rsid w:val="005078E8"/>
    <w:rsid w:val="00530128"/>
    <w:rsid w:val="00532467"/>
    <w:rsid w:val="00540418"/>
    <w:rsid w:val="00542699"/>
    <w:rsid w:val="00544C12"/>
    <w:rsid w:val="00547302"/>
    <w:rsid w:val="00553342"/>
    <w:rsid w:val="00564A4D"/>
    <w:rsid w:val="00567BA5"/>
    <w:rsid w:val="00571B35"/>
    <w:rsid w:val="00571B3F"/>
    <w:rsid w:val="00571D57"/>
    <w:rsid w:val="00574EC2"/>
    <w:rsid w:val="0057588D"/>
    <w:rsid w:val="00577A09"/>
    <w:rsid w:val="005829C2"/>
    <w:rsid w:val="00584D8F"/>
    <w:rsid w:val="005873B4"/>
    <w:rsid w:val="005A38D4"/>
    <w:rsid w:val="005A404D"/>
    <w:rsid w:val="005B1917"/>
    <w:rsid w:val="005B1E3C"/>
    <w:rsid w:val="005B704A"/>
    <w:rsid w:val="005C26CC"/>
    <w:rsid w:val="005D02F5"/>
    <w:rsid w:val="005D0D8D"/>
    <w:rsid w:val="005D7BA2"/>
    <w:rsid w:val="005E1C36"/>
    <w:rsid w:val="005E36C2"/>
    <w:rsid w:val="005E7A91"/>
    <w:rsid w:val="005F3CA6"/>
    <w:rsid w:val="00611659"/>
    <w:rsid w:val="00612F4F"/>
    <w:rsid w:val="00613641"/>
    <w:rsid w:val="00615C6B"/>
    <w:rsid w:val="00621DCE"/>
    <w:rsid w:val="00632D6D"/>
    <w:rsid w:val="00642C3E"/>
    <w:rsid w:val="006537AA"/>
    <w:rsid w:val="0065628B"/>
    <w:rsid w:val="0066104A"/>
    <w:rsid w:val="00663DAD"/>
    <w:rsid w:val="00675E20"/>
    <w:rsid w:val="00676679"/>
    <w:rsid w:val="00683C89"/>
    <w:rsid w:val="00687E4D"/>
    <w:rsid w:val="00693645"/>
    <w:rsid w:val="006A08A8"/>
    <w:rsid w:val="006B2395"/>
    <w:rsid w:val="006B4CF9"/>
    <w:rsid w:val="006B70FC"/>
    <w:rsid w:val="006B7AC8"/>
    <w:rsid w:val="006C1736"/>
    <w:rsid w:val="006D0C9E"/>
    <w:rsid w:val="006D0F5A"/>
    <w:rsid w:val="006D5008"/>
    <w:rsid w:val="006D50D3"/>
    <w:rsid w:val="006D550F"/>
    <w:rsid w:val="006D5E54"/>
    <w:rsid w:val="006E1886"/>
    <w:rsid w:val="006F7DFD"/>
    <w:rsid w:val="00701CAB"/>
    <w:rsid w:val="00707563"/>
    <w:rsid w:val="00711D0E"/>
    <w:rsid w:val="00713956"/>
    <w:rsid w:val="0072348C"/>
    <w:rsid w:val="00724A37"/>
    <w:rsid w:val="007267B9"/>
    <w:rsid w:val="007303C3"/>
    <w:rsid w:val="00731756"/>
    <w:rsid w:val="007429BE"/>
    <w:rsid w:val="00743223"/>
    <w:rsid w:val="00746513"/>
    <w:rsid w:val="00746E01"/>
    <w:rsid w:val="00752872"/>
    <w:rsid w:val="00757364"/>
    <w:rsid w:val="00757BDF"/>
    <w:rsid w:val="007609D0"/>
    <w:rsid w:val="00760DED"/>
    <w:rsid w:val="007627BD"/>
    <w:rsid w:val="00763E5D"/>
    <w:rsid w:val="0076460B"/>
    <w:rsid w:val="00767740"/>
    <w:rsid w:val="00776C7E"/>
    <w:rsid w:val="00777EE6"/>
    <w:rsid w:val="00782EEA"/>
    <w:rsid w:val="00792FA8"/>
    <w:rsid w:val="00796270"/>
    <w:rsid w:val="007A008F"/>
    <w:rsid w:val="007A78AD"/>
    <w:rsid w:val="007B186E"/>
    <w:rsid w:val="007B1B6E"/>
    <w:rsid w:val="007B2C72"/>
    <w:rsid w:val="007C1C53"/>
    <w:rsid w:val="007C438A"/>
    <w:rsid w:val="007C74BB"/>
    <w:rsid w:val="007D456E"/>
    <w:rsid w:val="007E3229"/>
    <w:rsid w:val="007E4904"/>
    <w:rsid w:val="007E4CB5"/>
    <w:rsid w:val="007F054F"/>
    <w:rsid w:val="007F066B"/>
    <w:rsid w:val="0080018F"/>
    <w:rsid w:val="00800A30"/>
    <w:rsid w:val="008014EF"/>
    <w:rsid w:val="008033C4"/>
    <w:rsid w:val="00806C88"/>
    <w:rsid w:val="0080742E"/>
    <w:rsid w:val="0081034E"/>
    <w:rsid w:val="008129F9"/>
    <w:rsid w:val="00814570"/>
    <w:rsid w:val="00816FFB"/>
    <w:rsid w:val="00821FFA"/>
    <w:rsid w:val="008344F6"/>
    <w:rsid w:val="008345A8"/>
    <w:rsid w:val="0083510F"/>
    <w:rsid w:val="008404C7"/>
    <w:rsid w:val="00842AFA"/>
    <w:rsid w:val="00851209"/>
    <w:rsid w:val="00862AC8"/>
    <w:rsid w:val="00862C41"/>
    <w:rsid w:val="008641AC"/>
    <w:rsid w:val="00866A2D"/>
    <w:rsid w:val="0088272F"/>
    <w:rsid w:val="008837AC"/>
    <w:rsid w:val="00883A77"/>
    <w:rsid w:val="008860C7"/>
    <w:rsid w:val="00893AB0"/>
    <w:rsid w:val="008A587D"/>
    <w:rsid w:val="008A623C"/>
    <w:rsid w:val="008B0B56"/>
    <w:rsid w:val="008B35CD"/>
    <w:rsid w:val="008B5FCC"/>
    <w:rsid w:val="008B66A7"/>
    <w:rsid w:val="008C5486"/>
    <w:rsid w:val="008D1661"/>
    <w:rsid w:val="008E7031"/>
    <w:rsid w:val="008E7158"/>
    <w:rsid w:val="008E77DE"/>
    <w:rsid w:val="008F07A3"/>
    <w:rsid w:val="009001B6"/>
    <w:rsid w:val="00900E1B"/>
    <w:rsid w:val="0090431C"/>
    <w:rsid w:val="009233EE"/>
    <w:rsid w:val="00931CE1"/>
    <w:rsid w:val="00935379"/>
    <w:rsid w:val="00936B18"/>
    <w:rsid w:val="00940A09"/>
    <w:rsid w:val="009460AA"/>
    <w:rsid w:val="00946D56"/>
    <w:rsid w:val="00951978"/>
    <w:rsid w:val="009610A4"/>
    <w:rsid w:val="00961A4A"/>
    <w:rsid w:val="009661DE"/>
    <w:rsid w:val="0097754A"/>
    <w:rsid w:val="009822FF"/>
    <w:rsid w:val="00983C25"/>
    <w:rsid w:val="009856B7"/>
    <w:rsid w:val="00985C86"/>
    <w:rsid w:val="00996349"/>
    <w:rsid w:val="00996A8E"/>
    <w:rsid w:val="009A2F0F"/>
    <w:rsid w:val="009A5FC3"/>
    <w:rsid w:val="009A754D"/>
    <w:rsid w:val="009A7D9D"/>
    <w:rsid w:val="009B090B"/>
    <w:rsid w:val="009B1601"/>
    <w:rsid w:val="009B40B4"/>
    <w:rsid w:val="009B74B0"/>
    <w:rsid w:val="009C02C2"/>
    <w:rsid w:val="009C0D47"/>
    <w:rsid w:val="009D1D9E"/>
    <w:rsid w:val="009D3906"/>
    <w:rsid w:val="009D6B46"/>
    <w:rsid w:val="009E4C22"/>
    <w:rsid w:val="009E59AC"/>
    <w:rsid w:val="009F4940"/>
    <w:rsid w:val="009F5BA1"/>
    <w:rsid w:val="00A02A88"/>
    <w:rsid w:val="00A0562E"/>
    <w:rsid w:val="00A061B2"/>
    <w:rsid w:val="00A0726D"/>
    <w:rsid w:val="00A13CAB"/>
    <w:rsid w:val="00A24F56"/>
    <w:rsid w:val="00A32FBB"/>
    <w:rsid w:val="00A344D3"/>
    <w:rsid w:val="00A421B3"/>
    <w:rsid w:val="00A428EE"/>
    <w:rsid w:val="00A4478A"/>
    <w:rsid w:val="00A44852"/>
    <w:rsid w:val="00A57D04"/>
    <w:rsid w:val="00A60A26"/>
    <w:rsid w:val="00A61598"/>
    <w:rsid w:val="00A63EDD"/>
    <w:rsid w:val="00A704B2"/>
    <w:rsid w:val="00A84A99"/>
    <w:rsid w:val="00A84F46"/>
    <w:rsid w:val="00A871F4"/>
    <w:rsid w:val="00A91EA9"/>
    <w:rsid w:val="00AA3B8E"/>
    <w:rsid w:val="00AA50BF"/>
    <w:rsid w:val="00AA72A6"/>
    <w:rsid w:val="00AB2210"/>
    <w:rsid w:val="00AB4B76"/>
    <w:rsid w:val="00AB4D90"/>
    <w:rsid w:val="00AC0C43"/>
    <w:rsid w:val="00AC1B2C"/>
    <w:rsid w:val="00AC3264"/>
    <w:rsid w:val="00AC3EB6"/>
    <w:rsid w:val="00AC4546"/>
    <w:rsid w:val="00AD02E1"/>
    <w:rsid w:val="00AD62C3"/>
    <w:rsid w:val="00AD6499"/>
    <w:rsid w:val="00AE1BF1"/>
    <w:rsid w:val="00AF0DD2"/>
    <w:rsid w:val="00B06C2F"/>
    <w:rsid w:val="00B10FB1"/>
    <w:rsid w:val="00B12DD8"/>
    <w:rsid w:val="00B13048"/>
    <w:rsid w:val="00B1716D"/>
    <w:rsid w:val="00B17A1D"/>
    <w:rsid w:val="00B207A0"/>
    <w:rsid w:val="00B217BD"/>
    <w:rsid w:val="00B2303F"/>
    <w:rsid w:val="00B310D5"/>
    <w:rsid w:val="00B31562"/>
    <w:rsid w:val="00B408B4"/>
    <w:rsid w:val="00B514DD"/>
    <w:rsid w:val="00B52AF0"/>
    <w:rsid w:val="00B561BD"/>
    <w:rsid w:val="00B565B6"/>
    <w:rsid w:val="00B56E03"/>
    <w:rsid w:val="00B66C02"/>
    <w:rsid w:val="00B8080B"/>
    <w:rsid w:val="00B82223"/>
    <w:rsid w:val="00B87BA5"/>
    <w:rsid w:val="00B87C39"/>
    <w:rsid w:val="00B9562D"/>
    <w:rsid w:val="00B9733D"/>
    <w:rsid w:val="00BA4665"/>
    <w:rsid w:val="00BB0289"/>
    <w:rsid w:val="00BB0D44"/>
    <w:rsid w:val="00BB2FB2"/>
    <w:rsid w:val="00BB3304"/>
    <w:rsid w:val="00BB3456"/>
    <w:rsid w:val="00BB7FF1"/>
    <w:rsid w:val="00BC1DDB"/>
    <w:rsid w:val="00BD3446"/>
    <w:rsid w:val="00BD5AA2"/>
    <w:rsid w:val="00BD5D87"/>
    <w:rsid w:val="00BE1F1B"/>
    <w:rsid w:val="00BE47B5"/>
    <w:rsid w:val="00C17C76"/>
    <w:rsid w:val="00C21CF4"/>
    <w:rsid w:val="00C25FA6"/>
    <w:rsid w:val="00C26737"/>
    <w:rsid w:val="00C27818"/>
    <w:rsid w:val="00C420BC"/>
    <w:rsid w:val="00C42AAA"/>
    <w:rsid w:val="00C538A9"/>
    <w:rsid w:val="00C53B5A"/>
    <w:rsid w:val="00C54F5A"/>
    <w:rsid w:val="00C569B4"/>
    <w:rsid w:val="00C65EA3"/>
    <w:rsid w:val="00C67A92"/>
    <w:rsid w:val="00C81758"/>
    <w:rsid w:val="00C84560"/>
    <w:rsid w:val="00C86679"/>
    <w:rsid w:val="00C8681F"/>
    <w:rsid w:val="00C8739E"/>
    <w:rsid w:val="00C95806"/>
    <w:rsid w:val="00CA489E"/>
    <w:rsid w:val="00CA51BD"/>
    <w:rsid w:val="00CA60B6"/>
    <w:rsid w:val="00CA67ED"/>
    <w:rsid w:val="00CA6FC2"/>
    <w:rsid w:val="00CA7CB2"/>
    <w:rsid w:val="00CB0279"/>
    <w:rsid w:val="00CB51D7"/>
    <w:rsid w:val="00CB5742"/>
    <w:rsid w:val="00CB666B"/>
    <w:rsid w:val="00CC7F1D"/>
    <w:rsid w:val="00CE484B"/>
    <w:rsid w:val="00CF6177"/>
    <w:rsid w:val="00CF7A0C"/>
    <w:rsid w:val="00D006AE"/>
    <w:rsid w:val="00D01CF0"/>
    <w:rsid w:val="00D0442A"/>
    <w:rsid w:val="00D13060"/>
    <w:rsid w:val="00D1563D"/>
    <w:rsid w:val="00D17061"/>
    <w:rsid w:val="00D2038C"/>
    <w:rsid w:val="00D2223B"/>
    <w:rsid w:val="00D27530"/>
    <w:rsid w:val="00D31821"/>
    <w:rsid w:val="00D325B8"/>
    <w:rsid w:val="00D44734"/>
    <w:rsid w:val="00D61388"/>
    <w:rsid w:val="00D61A54"/>
    <w:rsid w:val="00D61A66"/>
    <w:rsid w:val="00D64DEA"/>
    <w:rsid w:val="00D7168E"/>
    <w:rsid w:val="00D71CFB"/>
    <w:rsid w:val="00D71E57"/>
    <w:rsid w:val="00D80893"/>
    <w:rsid w:val="00D84854"/>
    <w:rsid w:val="00D905AD"/>
    <w:rsid w:val="00D928D5"/>
    <w:rsid w:val="00D92CF1"/>
    <w:rsid w:val="00D92D38"/>
    <w:rsid w:val="00D950F5"/>
    <w:rsid w:val="00DA3A42"/>
    <w:rsid w:val="00DA4752"/>
    <w:rsid w:val="00DA4C94"/>
    <w:rsid w:val="00DA61F3"/>
    <w:rsid w:val="00DA6A65"/>
    <w:rsid w:val="00DB0F93"/>
    <w:rsid w:val="00DB1A67"/>
    <w:rsid w:val="00DB1BEA"/>
    <w:rsid w:val="00DB48C6"/>
    <w:rsid w:val="00DB5074"/>
    <w:rsid w:val="00DB739C"/>
    <w:rsid w:val="00DC1609"/>
    <w:rsid w:val="00DC5D3C"/>
    <w:rsid w:val="00DC7981"/>
    <w:rsid w:val="00DD1300"/>
    <w:rsid w:val="00DD25CD"/>
    <w:rsid w:val="00DE1093"/>
    <w:rsid w:val="00DE20AB"/>
    <w:rsid w:val="00DE35DC"/>
    <w:rsid w:val="00DE3695"/>
    <w:rsid w:val="00DE4EFA"/>
    <w:rsid w:val="00DE5520"/>
    <w:rsid w:val="00DE563D"/>
    <w:rsid w:val="00DF51F9"/>
    <w:rsid w:val="00E04818"/>
    <w:rsid w:val="00E06442"/>
    <w:rsid w:val="00E07412"/>
    <w:rsid w:val="00E23993"/>
    <w:rsid w:val="00E25B8C"/>
    <w:rsid w:val="00E353F9"/>
    <w:rsid w:val="00E43C30"/>
    <w:rsid w:val="00E44BBC"/>
    <w:rsid w:val="00E45F9C"/>
    <w:rsid w:val="00E47B63"/>
    <w:rsid w:val="00E52EBC"/>
    <w:rsid w:val="00E61414"/>
    <w:rsid w:val="00E65C85"/>
    <w:rsid w:val="00E66199"/>
    <w:rsid w:val="00E755EC"/>
    <w:rsid w:val="00E7624D"/>
    <w:rsid w:val="00E81401"/>
    <w:rsid w:val="00E90181"/>
    <w:rsid w:val="00E92071"/>
    <w:rsid w:val="00E94779"/>
    <w:rsid w:val="00E97452"/>
    <w:rsid w:val="00EA3D42"/>
    <w:rsid w:val="00EA6B1B"/>
    <w:rsid w:val="00EB4EAD"/>
    <w:rsid w:val="00EB75C0"/>
    <w:rsid w:val="00EC04F1"/>
    <w:rsid w:val="00EC1655"/>
    <w:rsid w:val="00EC37E5"/>
    <w:rsid w:val="00ED2A57"/>
    <w:rsid w:val="00ED4ACD"/>
    <w:rsid w:val="00ED7323"/>
    <w:rsid w:val="00EE28F3"/>
    <w:rsid w:val="00EE50D1"/>
    <w:rsid w:val="00EF0C44"/>
    <w:rsid w:val="00EF5110"/>
    <w:rsid w:val="00EF6D51"/>
    <w:rsid w:val="00F05F77"/>
    <w:rsid w:val="00F0689C"/>
    <w:rsid w:val="00F10411"/>
    <w:rsid w:val="00F15882"/>
    <w:rsid w:val="00F165F0"/>
    <w:rsid w:val="00F171E0"/>
    <w:rsid w:val="00F20BD3"/>
    <w:rsid w:val="00F233D7"/>
    <w:rsid w:val="00F33D1C"/>
    <w:rsid w:val="00F373A5"/>
    <w:rsid w:val="00F40512"/>
    <w:rsid w:val="00F46655"/>
    <w:rsid w:val="00F47559"/>
    <w:rsid w:val="00F61ADC"/>
    <w:rsid w:val="00F64B0D"/>
    <w:rsid w:val="00F64C7B"/>
    <w:rsid w:val="00F676DD"/>
    <w:rsid w:val="00F73143"/>
    <w:rsid w:val="00F75A26"/>
    <w:rsid w:val="00F76706"/>
    <w:rsid w:val="00F8207D"/>
    <w:rsid w:val="00F83FAD"/>
    <w:rsid w:val="00F952A0"/>
    <w:rsid w:val="00FA3C7F"/>
    <w:rsid w:val="00FB60FE"/>
    <w:rsid w:val="00FB74E2"/>
    <w:rsid w:val="00FC4C18"/>
    <w:rsid w:val="00FC5CF0"/>
    <w:rsid w:val="00FD09DD"/>
    <w:rsid w:val="00FD4A44"/>
    <w:rsid w:val="00FD5614"/>
    <w:rsid w:val="00FD5E78"/>
    <w:rsid w:val="00FE0BE1"/>
    <w:rsid w:val="00FE1DE9"/>
    <w:rsid w:val="00FE36AF"/>
    <w:rsid w:val="00FE39C2"/>
    <w:rsid w:val="00FE3C32"/>
    <w:rsid w:val="00FE55BF"/>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ind w:left="1021" w:hanging="102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HeadingBoldBlueChar">
    <w:name w:val="Heading Bold Blue Char"/>
    <w:basedOn w:val="DefaultParagraphFont"/>
    <w:link w:val="HeadingBoldBlue"/>
    <w:rsid w:val="00211DCF"/>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ind w:left="1021" w:hanging="102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HeadingBoldBlueChar">
    <w:name w:val="Heading Bold Blue Char"/>
    <w:basedOn w:val="DefaultParagraphFont"/>
    <w:link w:val="HeadingBoldBlue"/>
    <w:rsid w:val="00211DCF"/>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72075">
      <w:bodyDiv w:val="1"/>
      <w:marLeft w:val="0"/>
      <w:marRight w:val="0"/>
      <w:marTop w:val="0"/>
      <w:marBottom w:val="0"/>
      <w:divBdr>
        <w:top w:val="none" w:sz="0" w:space="0" w:color="auto"/>
        <w:left w:val="none" w:sz="0" w:space="0" w:color="auto"/>
        <w:bottom w:val="none" w:sz="0" w:space="0" w:color="auto"/>
        <w:right w:val="none" w:sz="0" w:space="0" w:color="auto"/>
      </w:divBdr>
    </w:div>
    <w:div w:id="543250329">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693191222">
      <w:bodyDiv w:val="1"/>
      <w:marLeft w:val="0"/>
      <w:marRight w:val="0"/>
      <w:marTop w:val="0"/>
      <w:marBottom w:val="0"/>
      <w:divBdr>
        <w:top w:val="none" w:sz="0" w:space="0" w:color="auto"/>
        <w:left w:val="none" w:sz="0" w:space="0" w:color="auto"/>
        <w:bottom w:val="none" w:sz="0" w:space="0" w:color="auto"/>
        <w:right w:val="none" w:sz="0" w:space="0" w:color="auto"/>
      </w:divBdr>
    </w:div>
    <w:div w:id="867304331">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243642617">
      <w:bodyDiv w:val="1"/>
      <w:marLeft w:val="0"/>
      <w:marRight w:val="0"/>
      <w:marTop w:val="0"/>
      <w:marBottom w:val="0"/>
      <w:divBdr>
        <w:top w:val="none" w:sz="0" w:space="0" w:color="auto"/>
        <w:left w:val="none" w:sz="0" w:space="0" w:color="auto"/>
        <w:bottom w:val="none" w:sz="0" w:space="0" w:color="auto"/>
        <w:right w:val="none" w:sz="0" w:space="0" w:color="auto"/>
      </w:divBdr>
    </w:div>
    <w:div w:id="1368720458">
      <w:bodyDiv w:val="1"/>
      <w:marLeft w:val="0"/>
      <w:marRight w:val="0"/>
      <w:marTop w:val="0"/>
      <w:marBottom w:val="0"/>
      <w:divBdr>
        <w:top w:val="none" w:sz="0" w:space="0" w:color="auto"/>
        <w:left w:val="none" w:sz="0" w:space="0" w:color="auto"/>
        <w:bottom w:val="none" w:sz="0" w:space="0" w:color="auto"/>
        <w:right w:val="none" w:sz="0" w:space="0" w:color="auto"/>
      </w:divBdr>
    </w:div>
    <w:div w:id="1893348484">
      <w:bodyDiv w:val="1"/>
      <w:marLeft w:val="0"/>
      <w:marRight w:val="0"/>
      <w:marTop w:val="0"/>
      <w:marBottom w:val="0"/>
      <w:divBdr>
        <w:top w:val="none" w:sz="0" w:space="0" w:color="auto"/>
        <w:left w:val="none" w:sz="0" w:space="0" w:color="auto"/>
        <w:bottom w:val="none" w:sz="0" w:space="0" w:color="auto"/>
        <w:right w:val="none" w:sz="0" w:space="0" w:color="auto"/>
      </w:divBdr>
    </w:div>
    <w:div w:id="1915241710">
      <w:bodyDiv w:val="1"/>
      <w:marLeft w:val="0"/>
      <w:marRight w:val="0"/>
      <w:marTop w:val="0"/>
      <w:marBottom w:val="0"/>
      <w:divBdr>
        <w:top w:val="none" w:sz="0" w:space="0" w:color="auto"/>
        <w:left w:val="none" w:sz="0" w:space="0" w:color="auto"/>
        <w:bottom w:val="none" w:sz="0" w:space="0" w:color="auto"/>
        <w:right w:val="none" w:sz="0" w:space="0" w:color="auto"/>
      </w:divBdr>
    </w:div>
    <w:div w:id="203033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5.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image" Target="media/image2.emf"/><Relationship Id="rId10" Type="http://schemas.openxmlformats.org/officeDocument/2006/relationships/image" Target="media/image1.jpeg"/><Relationship Id="rId19" Type="http://schemas.openxmlformats.org/officeDocument/2006/relationships/hyperlink" Target="http://forecasting.aemo.com.au/Electricity/-AnnualConsumption/Operationa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forecasting.aemo.com.au/Electricity/-AnnualConsumption/Operational"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77CDC7-8BB9-42EF-9770-BCF7E0DEF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B4A8A61.dotm</Template>
  <TotalTime>1</TotalTime>
  <Pages>17</Pages>
  <Words>3853</Words>
  <Characters>21966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AER final decision - AusNet Services - maximum allowed revenue</vt:lpstr>
    </vt:vector>
  </TitlesOfParts>
  <Company>ACCC</Company>
  <LinksUpToDate>false</LinksUpToDate>
  <CharactersWithSpaces>25768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final decision - AusNet Services - maximum allowed revenue</dc:title>
  <dc:subject>[subtitle]</dc:subject>
  <dc:creator>AER</dc:creator>
  <cp:lastModifiedBy>Le Cornu, Matthew</cp:lastModifiedBy>
  <cp:revision>2</cp:revision>
  <cp:lastPrinted>2017-01-27T02:33:00Z</cp:lastPrinted>
  <dcterms:created xsi:type="dcterms:W3CDTF">2017-04-24T04:43:00Z</dcterms:created>
  <dcterms:modified xsi:type="dcterms:W3CDTF">2017-04-24T04:43:00Z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\\cdchnas-evs02\home$\mleco\aer - final decision ausnet services 2017-22 transmission determination - attachment 1 - maximum allowed revenue - april (AER2016-000066).docx</vt:lpwstr>
  </property>
</Properties>
</file>