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sdt>
      <w:sdtPr>
        <w:rPr>
          <w:rFonts w:eastAsiaTheme="majorEastAsia" w:cstheme="majorBidi"/>
          <w:noProof/>
          <w:sz w:val="36"/>
          <w:szCs w:val="36"/>
          <w:lang w:eastAsia="en-AU"/>
        </w:rPr>
        <w:id w:val="1021519724"/>
        <w:docPartObj>
          <w:docPartGallery w:val="Cover Pages"/>
          <w:docPartUnique/>
        </w:docPartObj>
      </w:sdtPr>
      <w:sdtEndPr/>
      <w:sdtContent>
        <w:p w:rsidR="000A6C7B" w:rsidRPr="00290C63" w:rsidRDefault="000A6C7B" w:rsidP="00290C63">
          <w:r w:rsidRPr="00290C63">
            <w:rPr>
              <w:noProof/>
              <w:lang w:eastAsia="en-AU"/>
            </w:rPr>
            <w:drawing>
              <wp:anchor distT="0" distB="0" distL="114300" distR="114300" simplePos="0" relativeHeight="251659264" behindDoc="1" locked="0" layoutInCell="1" allowOverlap="1" wp14:anchorId="76A90473" wp14:editId="4D1CA5CA">
                <wp:simplePos x="0" y="0"/>
                <wp:positionH relativeFrom="column">
                  <wp:posOffset>-1104900</wp:posOffset>
                </wp:positionH>
                <wp:positionV relativeFrom="paragraph">
                  <wp:posOffset>-927735</wp:posOffset>
                </wp:positionV>
                <wp:extent cx="7591425" cy="10728960"/>
                <wp:effectExtent l="0" t="0" r="9525" b="0"/>
                <wp:wrapNone/>
                <wp:docPr id="2" name="Picture 2" descr="Australian Energy Regulator Report Co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ER report front cover_D0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591425" cy="10728960"/>
                        </a:xfrm>
                        <a:prstGeom prst="rect">
                          <a:avLst/>
                        </a:prstGeom>
                        <a:noFill/>
                      </pic:spPr>
                    </pic:pic>
                  </a:graphicData>
                </a:graphic>
                <wp14:sizeRelH relativeFrom="page">
                  <wp14:pctWidth>0</wp14:pctWidth>
                </wp14:sizeRelH>
                <wp14:sizeRelV relativeFrom="page">
                  <wp14:pctHeight>0</wp14:pctHeight>
                </wp14:sizeRelV>
              </wp:anchor>
            </w:drawing>
          </w:r>
        </w:p>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327A1E" w:rsidRDefault="001754EE" w:rsidP="001754EE">
          <w:pPr>
            <w:pStyle w:val="ReportSubtitle"/>
            <w:tabs>
              <w:tab w:val="left" w:pos="1122"/>
              <w:tab w:val="center" w:pos="4238"/>
            </w:tabs>
            <w:jc w:val="left"/>
          </w:pPr>
          <w:r>
            <w:tab/>
          </w:r>
          <w:r>
            <w:tab/>
          </w:r>
          <w:r w:rsidR="00BB34EA">
            <w:t>FINAL</w:t>
          </w:r>
          <w:r w:rsidR="00DA4752">
            <w:t xml:space="preserve"> DECISION</w:t>
          </w:r>
        </w:p>
        <w:p w:rsidR="00415F31" w:rsidRDefault="00B9733D" w:rsidP="008F07A3">
          <w:pPr>
            <w:pStyle w:val="ReportSubtitle"/>
          </w:pPr>
          <w:r>
            <w:t>AusNet Services</w:t>
          </w:r>
          <w:r w:rsidR="00415F31">
            <w:t xml:space="preserve"> transmission </w:t>
          </w:r>
          <w:r w:rsidR="00DA4752">
            <w:t>determination</w:t>
          </w:r>
        </w:p>
        <w:p w:rsidR="000A6C7B" w:rsidRDefault="00DA4752" w:rsidP="008F07A3">
          <w:pPr>
            <w:pStyle w:val="ReportSubtitle"/>
          </w:pPr>
          <w:r>
            <w:t xml:space="preserve"> </w:t>
          </w:r>
          <w:r w:rsidR="00BB34EA">
            <w:t>2017-2022</w:t>
          </w:r>
        </w:p>
        <w:p w:rsidR="008F07A3" w:rsidRPr="000A6C7B" w:rsidRDefault="008F07A3" w:rsidP="008F07A3">
          <w:pPr>
            <w:pStyle w:val="ReportSubtitle"/>
          </w:pPr>
        </w:p>
        <w:p w:rsidR="000A6C7B" w:rsidRPr="000A6C7B" w:rsidRDefault="00DA4752" w:rsidP="008F07A3">
          <w:pPr>
            <w:pStyle w:val="ReportSubtitle"/>
          </w:pPr>
          <w:r>
            <w:t>Attachment 1</w:t>
          </w:r>
          <w:r w:rsidR="008157EF">
            <w:t>0</w:t>
          </w:r>
          <w:r>
            <w:t xml:space="preserve"> </w:t>
          </w:r>
          <w:r w:rsidR="00415F31">
            <w:rPr>
              <w:rFonts w:cs="Arial"/>
            </w:rPr>
            <w:t>–</w:t>
          </w:r>
          <w:r>
            <w:t xml:space="preserve"> </w:t>
          </w:r>
          <w:r w:rsidR="008157EF">
            <w:t>Capital expenditure sharing scheme</w:t>
          </w:r>
        </w:p>
        <w:p w:rsidR="00B9733D" w:rsidRDefault="00B9733D" w:rsidP="00327A1E">
          <w:pPr>
            <w:pStyle w:val="ReportDate"/>
          </w:pPr>
        </w:p>
        <w:p w:rsidR="000A6C7B" w:rsidRPr="00327A1E" w:rsidRDefault="00BB34EA" w:rsidP="00327A1E">
          <w:pPr>
            <w:pStyle w:val="ReportDate"/>
          </w:pPr>
          <w:r>
            <w:t>April 2017</w:t>
          </w:r>
        </w:p>
      </w:sdtContent>
    </w:sdt>
    <w:p w:rsidR="00327A1E" w:rsidRPr="00290C63" w:rsidRDefault="00327A1E" w:rsidP="00290C63">
      <w:r>
        <w:br w:type="page"/>
      </w:r>
    </w:p>
    <w:p w:rsidR="000A6C7B" w:rsidRDefault="008F07A3" w:rsidP="00961A4A">
      <w:pPr>
        <w:pStyle w:val="Copyright"/>
      </w:pPr>
      <w:r>
        <w:lastRenderedPageBreak/>
        <w:t>© Commonwealth of Australia 201</w:t>
      </w:r>
      <w:r w:rsidR="00203072">
        <w:t>7</w:t>
      </w:r>
    </w:p>
    <w:p w:rsidR="000A6C7B" w:rsidRDefault="000A6C7B" w:rsidP="000A6C7B">
      <w:pPr>
        <w:pStyle w:val="Copyright"/>
      </w:pPr>
      <w:r>
        <w:t>This work is copyright. In addition to any use permitted under the Copyright Act 1968, all material contained within this work is provided under a Creative Commons Attributions 3.0 Australia licence, with the exception of:</w:t>
      </w:r>
    </w:p>
    <w:p w:rsidR="000A6C7B" w:rsidRPr="00983C25" w:rsidRDefault="000A6C7B" w:rsidP="00983C25">
      <w:pPr>
        <w:pStyle w:val="AERbulletlistfirststyle"/>
        <w:rPr>
          <w:sz w:val="20"/>
          <w:szCs w:val="20"/>
        </w:rPr>
      </w:pPr>
      <w:r>
        <w:t xml:space="preserve">the </w:t>
      </w:r>
      <w:r w:rsidRPr="00983C25">
        <w:rPr>
          <w:sz w:val="20"/>
          <w:szCs w:val="20"/>
        </w:rPr>
        <w:t>Commonwealth Coat of Arms</w:t>
      </w:r>
    </w:p>
    <w:p w:rsidR="000A6C7B" w:rsidRPr="00983C25" w:rsidRDefault="000A6C7B" w:rsidP="00983C25">
      <w:pPr>
        <w:pStyle w:val="AERbulletlistfirststyle"/>
        <w:rPr>
          <w:sz w:val="20"/>
          <w:szCs w:val="20"/>
        </w:rPr>
      </w:pPr>
      <w:r w:rsidRPr="00983C25">
        <w:rPr>
          <w:sz w:val="20"/>
          <w:szCs w:val="20"/>
        </w:rPr>
        <w:t>the ACCC and AER logos</w:t>
      </w:r>
    </w:p>
    <w:p w:rsidR="000A6C7B" w:rsidRPr="00983C25" w:rsidRDefault="000A6C7B" w:rsidP="00983C25">
      <w:pPr>
        <w:pStyle w:val="AERbulletlistfirststyle"/>
        <w:rPr>
          <w:sz w:val="20"/>
        </w:rPr>
      </w:pPr>
      <w:r w:rsidRPr="00983C25">
        <w:rPr>
          <w:sz w:val="20"/>
        </w:rPr>
        <w:t>any illustration, diagram, photograph or graphic over which the Australian Competition and Consumer Commission does not hold copyright, but which may be part of or contained within this publication. The details of the relevant licence conditions are available on the Creative Commons website, as is the full legal code for the CC BY 3.0 AU licence.</w:t>
      </w:r>
    </w:p>
    <w:p w:rsidR="009D3906" w:rsidRDefault="000A6C7B" w:rsidP="000A6C7B">
      <w:pPr>
        <w:pStyle w:val="Copyright"/>
      </w:pPr>
      <w:r>
        <w:t>Requests and inquiries concerning reproduction and rights should be addressed to the</w:t>
      </w:r>
      <w:r w:rsidR="009D3906">
        <w:t>:</w:t>
      </w:r>
    </w:p>
    <w:p w:rsidR="009D3906" w:rsidRDefault="000A6C7B" w:rsidP="000A6C7B">
      <w:pPr>
        <w:pStyle w:val="Copyright"/>
      </w:pPr>
      <w:r>
        <w:t>Dir</w:t>
      </w:r>
      <w:r w:rsidR="009D3906">
        <w:t>ector, Corporate Communications</w:t>
      </w:r>
      <w:r w:rsidR="00983C25">
        <w:br/>
      </w:r>
      <w:r>
        <w:t>Australian Comp</w:t>
      </w:r>
      <w:r w:rsidR="009D3906">
        <w:t>etition and Consumer Commission</w:t>
      </w:r>
      <w:r>
        <w:t xml:space="preserve"> </w:t>
      </w:r>
      <w:r w:rsidR="00983C25">
        <w:br/>
      </w:r>
      <w:r>
        <w:t>GPO Box 4141, Canberra ACT 2601</w:t>
      </w:r>
    </w:p>
    <w:p w:rsidR="000A6C7B" w:rsidRDefault="000A6C7B" w:rsidP="000A6C7B">
      <w:pPr>
        <w:pStyle w:val="Copyright"/>
      </w:pPr>
      <w:r>
        <w:t>or publishing.unit@accc.gov.au.</w:t>
      </w:r>
    </w:p>
    <w:p w:rsidR="00951978" w:rsidRDefault="000A6C7B" w:rsidP="00961A4A">
      <w:pPr>
        <w:pStyle w:val="Copyright"/>
      </w:pPr>
      <w:r>
        <w:t>Inquiries about this publication should be addressed to:</w:t>
      </w:r>
    </w:p>
    <w:p w:rsidR="000A6C7B" w:rsidRDefault="000A6C7B" w:rsidP="000A6C7B">
      <w:pPr>
        <w:pStyle w:val="Copyright"/>
      </w:pPr>
      <w:r>
        <w:t xml:space="preserve">Australian Energy </w:t>
      </w:r>
      <w:r w:rsidRPr="00F171E0">
        <w:t>Regulator</w:t>
      </w:r>
      <w:r w:rsidR="00951978">
        <w:br/>
      </w:r>
      <w:r>
        <w:t>GPO Box 520</w:t>
      </w:r>
      <w:r w:rsidR="00951978">
        <w:br/>
      </w:r>
      <w:r>
        <w:t>Melbourne  Vic  3001</w:t>
      </w:r>
    </w:p>
    <w:p w:rsidR="000A6C7B" w:rsidRDefault="000A6C7B" w:rsidP="00961A4A">
      <w:pPr>
        <w:pStyle w:val="Copyright"/>
      </w:pPr>
      <w:r>
        <w:t xml:space="preserve">Tel: </w:t>
      </w:r>
      <w:r w:rsidR="00313F1C">
        <w:t xml:space="preserve"> 1300 585 165</w:t>
      </w:r>
    </w:p>
    <w:p w:rsidR="00B9562D" w:rsidRDefault="000A6C7B" w:rsidP="00B9562D">
      <w:pPr>
        <w:pStyle w:val="Copyright"/>
      </w:pPr>
      <w:r>
        <w:t xml:space="preserve">Email: </w:t>
      </w:r>
      <w:hyperlink r:id="rId11" w:history="1">
        <w:r w:rsidRPr="00D64888">
          <w:rPr>
            <w:rStyle w:val="Hyperlink"/>
          </w:rPr>
          <w:t>AERInquiry@aer.gov.au</w:t>
        </w:r>
      </w:hyperlink>
      <w:r w:rsidR="00951978">
        <w:rPr>
          <w:rStyle w:val="Hyperlink"/>
        </w:rPr>
        <w:br/>
      </w:r>
    </w:p>
    <w:p w:rsidR="008F07A3" w:rsidRPr="009D3906" w:rsidRDefault="00415F31" w:rsidP="00B9562D">
      <w:pPr>
        <w:pStyle w:val="Copyright"/>
      </w:pPr>
      <w:r w:rsidRPr="009D3906">
        <w:t>AER reference:</w:t>
      </w:r>
      <w:r w:rsidRPr="009D3906">
        <w:tab/>
        <w:t>53444</w:t>
      </w:r>
    </w:p>
    <w:p w:rsidR="009001B6" w:rsidRDefault="009001B6">
      <w:pPr>
        <w:spacing w:line="240" w:lineRule="auto"/>
      </w:pPr>
      <w:bookmarkStart w:id="0" w:name="_Toc404354899"/>
      <w:bookmarkStart w:id="1" w:name="_Toc404353070"/>
      <w:bookmarkStart w:id="2" w:name="_Toc404684201"/>
      <w:bookmarkStart w:id="3" w:name="_Toc404700923"/>
      <w:r>
        <w:br w:type="page"/>
      </w:r>
    </w:p>
    <w:p w:rsidR="008F07A3" w:rsidRDefault="00DA61F3" w:rsidP="008F07A3">
      <w:pPr>
        <w:pStyle w:val="UnnumberedHeading"/>
        <w:numPr>
          <w:ilvl w:val="0"/>
          <w:numId w:val="24"/>
        </w:numPr>
      </w:pPr>
      <w:bookmarkStart w:id="4" w:name="_Toc480810042"/>
      <w:r>
        <w:lastRenderedPageBreak/>
        <w:t>N</w:t>
      </w:r>
      <w:r w:rsidR="008F07A3">
        <w:t>ote</w:t>
      </w:r>
      <w:bookmarkEnd w:id="0"/>
      <w:bookmarkEnd w:id="1"/>
      <w:bookmarkEnd w:id="2"/>
      <w:bookmarkEnd w:id="3"/>
      <w:bookmarkEnd w:id="4"/>
    </w:p>
    <w:p w:rsidR="00415F31" w:rsidRDefault="00415F31" w:rsidP="00415F31">
      <w:pPr>
        <w:numPr>
          <w:ilvl w:val="0"/>
          <w:numId w:val="25"/>
        </w:numPr>
        <w:spacing w:before="0" w:after="240" w:line="288" w:lineRule="auto"/>
        <w:jc w:val="both"/>
      </w:pPr>
    </w:p>
    <w:p w:rsidR="00415F31" w:rsidRDefault="008F07A3" w:rsidP="00415F31">
      <w:pPr>
        <w:numPr>
          <w:ilvl w:val="0"/>
          <w:numId w:val="25"/>
        </w:numPr>
        <w:spacing w:before="0" w:after="240" w:line="288" w:lineRule="auto"/>
        <w:jc w:val="both"/>
      </w:pPr>
      <w:r>
        <w:t xml:space="preserve">This </w:t>
      </w:r>
      <w:r w:rsidR="00415F31">
        <w:t xml:space="preserve">attachment forms part of the AER's </w:t>
      </w:r>
      <w:r w:rsidR="00BB34EA">
        <w:t>final</w:t>
      </w:r>
      <w:r w:rsidR="00415F31">
        <w:t xml:space="preserve"> decision on </w:t>
      </w:r>
      <w:r w:rsidR="000B321F">
        <w:t>AusNet Services’</w:t>
      </w:r>
      <w:r w:rsidR="00415F31">
        <w:t xml:space="preserve"> revenue proposal 201</w:t>
      </w:r>
      <w:r w:rsidR="000B321F">
        <w:t>7</w:t>
      </w:r>
      <w:r w:rsidR="00415F31" w:rsidRPr="00D904FA">
        <w:t>–</w:t>
      </w:r>
      <w:r w:rsidR="000B321F">
        <w:t>22</w:t>
      </w:r>
      <w:r w:rsidR="00415F31">
        <w:t xml:space="preserve">. It should be read with other parts of the </w:t>
      </w:r>
      <w:r w:rsidR="00BB34EA">
        <w:t>final</w:t>
      </w:r>
      <w:r w:rsidR="00415F31">
        <w:t xml:space="preserve"> decision.</w:t>
      </w:r>
    </w:p>
    <w:p w:rsidR="00415F31" w:rsidRDefault="00415F31" w:rsidP="00415F31">
      <w:pPr>
        <w:numPr>
          <w:ilvl w:val="0"/>
          <w:numId w:val="25"/>
        </w:numPr>
        <w:spacing w:before="0" w:after="240" w:line="288" w:lineRule="auto"/>
        <w:jc w:val="both"/>
      </w:pPr>
      <w:r>
        <w:t xml:space="preserve">The </w:t>
      </w:r>
      <w:r w:rsidR="00BB34EA">
        <w:t>final</w:t>
      </w:r>
      <w:r>
        <w:t xml:space="preserve"> decision includes the following documents:</w:t>
      </w:r>
    </w:p>
    <w:p w:rsidR="00415F31" w:rsidRDefault="00415F31" w:rsidP="00415F31">
      <w:pPr>
        <w:numPr>
          <w:ilvl w:val="0"/>
          <w:numId w:val="25"/>
        </w:numPr>
        <w:spacing w:before="0" w:after="240" w:line="288" w:lineRule="auto"/>
        <w:jc w:val="both"/>
      </w:pPr>
      <w:r>
        <w:t>Overview</w:t>
      </w:r>
    </w:p>
    <w:p w:rsidR="00415F31" w:rsidRDefault="00415F31" w:rsidP="00415F31">
      <w:pPr>
        <w:numPr>
          <w:ilvl w:val="0"/>
          <w:numId w:val="25"/>
        </w:numPr>
        <w:spacing w:before="0" w:after="240" w:line="288" w:lineRule="auto"/>
        <w:jc w:val="both"/>
      </w:pPr>
      <w:r>
        <w:t>Attachment 1 – maximum allowed revenue</w:t>
      </w:r>
    </w:p>
    <w:p w:rsidR="00415F31" w:rsidRDefault="00415F31" w:rsidP="00415F31">
      <w:pPr>
        <w:numPr>
          <w:ilvl w:val="0"/>
          <w:numId w:val="25"/>
        </w:numPr>
        <w:spacing w:before="0" w:after="240" w:line="288" w:lineRule="auto"/>
        <w:jc w:val="both"/>
      </w:pPr>
      <w:r>
        <w:t>Attachment 2 – regulatory asset base</w:t>
      </w:r>
    </w:p>
    <w:p w:rsidR="00415F31" w:rsidRDefault="00415F31" w:rsidP="00415F31">
      <w:pPr>
        <w:numPr>
          <w:ilvl w:val="0"/>
          <w:numId w:val="25"/>
        </w:numPr>
        <w:spacing w:before="0" w:after="240" w:line="288" w:lineRule="auto"/>
        <w:jc w:val="both"/>
      </w:pPr>
      <w:r>
        <w:t>Attachment 3 – rate of return</w:t>
      </w:r>
    </w:p>
    <w:p w:rsidR="00415F31" w:rsidRDefault="00415F31" w:rsidP="00415F31">
      <w:pPr>
        <w:numPr>
          <w:ilvl w:val="0"/>
          <w:numId w:val="25"/>
        </w:numPr>
        <w:spacing w:before="0" w:after="240" w:line="288" w:lineRule="auto"/>
        <w:jc w:val="both"/>
      </w:pPr>
      <w:r>
        <w:t>Attachment 4 – value of imputation credits</w:t>
      </w:r>
    </w:p>
    <w:p w:rsidR="00415F31" w:rsidRDefault="00415F31" w:rsidP="00415F31">
      <w:pPr>
        <w:numPr>
          <w:ilvl w:val="0"/>
          <w:numId w:val="25"/>
        </w:numPr>
        <w:spacing w:before="0" w:after="240" w:line="288" w:lineRule="auto"/>
        <w:jc w:val="both"/>
      </w:pPr>
      <w:r>
        <w:t>Attachment 5 – regulatory depreciation</w:t>
      </w:r>
    </w:p>
    <w:p w:rsidR="00415F31" w:rsidRDefault="00415F31" w:rsidP="00415F31">
      <w:pPr>
        <w:numPr>
          <w:ilvl w:val="0"/>
          <w:numId w:val="25"/>
        </w:numPr>
        <w:spacing w:before="0" w:after="240" w:line="288" w:lineRule="auto"/>
        <w:jc w:val="both"/>
      </w:pPr>
      <w:r>
        <w:t xml:space="preserve">Attachment 6 – capital expenditure </w:t>
      </w:r>
    </w:p>
    <w:p w:rsidR="00415F31" w:rsidRDefault="00415F31" w:rsidP="00415F31">
      <w:pPr>
        <w:numPr>
          <w:ilvl w:val="0"/>
          <w:numId w:val="25"/>
        </w:numPr>
        <w:spacing w:before="0" w:after="240" w:line="288" w:lineRule="auto"/>
        <w:jc w:val="both"/>
      </w:pPr>
      <w:r>
        <w:t>Attachment 7 – operating expenditure</w:t>
      </w:r>
    </w:p>
    <w:p w:rsidR="00415F31" w:rsidRDefault="00415F31" w:rsidP="00415F31">
      <w:pPr>
        <w:numPr>
          <w:ilvl w:val="0"/>
          <w:numId w:val="25"/>
        </w:numPr>
        <w:spacing w:before="0" w:after="240" w:line="288" w:lineRule="auto"/>
        <w:jc w:val="both"/>
      </w:pPr>
      <w:r>
        <w:t>Attachment 8 – corporate income tax</w:t>
      </w:r>
    </w:p>
    <w:p w:rsidR="00415F31" w:rsidRDefault="00415F31" w:rsidP="00415F31">
      <w:pPr>
        <w:numPr>
          <w:ilvl w:val="0"/>
          <w:numId w:val="25"/>
        </w:numPr>
        <w:spacing w:before="0" w:after="240" w:line="288" w:lineRule="auto"/>
        <w:jc w:val="both"/>
      </w:pPr>
      <w:r>
        <w:t>Attachment 9 – efficiency benefit sharing scheme</w:t>
      </w:r>
    </w:p>
    <w:p w:rsidR="00415F31" w:rsidRDefault="00415F31" w:rsidP="00415F31">
      <w:pPr>
        <w:numPr>
          <w:ilvl w:val="0"/>
          <w:numId w:val="25"/>
        </w:numPr>
        <w:spacing w:before="0" w:after="240" w:line="288" w:lineRule="auto"/>
        <w:jc w:val="both"/>
      </w:pPr>
      <w:r>
        <w:t>Attachment 10 – capital expenditure sharing scheme</w:t>
      </w:r>
    </w:p>
    <w:p w:rsidR="00415F31" w:rsidRDefault="00415F31" w:rsidP="00415F31">
      <w:pPr>
        <w:numPr>
          <w:ilvl w:val="0"/>
          <w:numId w:val="25"/>
        </w:numPr>
        <w:spacing w:before="0" w:after="240" w:line="288" w:lineRule="auto"/>
        <w:jc w:val="both"/>
      </w:pPr>
      <w:r>
        <w:t>Attachment 11 – service target performance incentive scheme</w:t>
      </w:r>
    </w:p>
    <w:p w:rsidR="00415F31" w:rsidRPr="00D904FA" w:rsidRDefault="00415F31" w:rsidP="00415F31">
      <w:pPr>
        <w:numPr>
          <w:ilvl w:val="0"/>
          <w:numId w:val="25"/>
        </w:numPr>
        <w:spacing w:before="0" w:after="240" w:line="288" w:lineRule="auto"/>
        <w:jc w:val="both"/>
      </w:pPr>
      <w:r>
        <w:t xml:space="preserve">Attachment 12 – </w:t>
      </w:r>
      <w:r w:rsidRPr="00D904FA">
        <w:t>pricing methodology</w:t>
      </w:r>
    </w:p>
    <w:p w:rsidR="00415F31" w:rsidRPr="00D904FA" w:rsidRDefault="00415F31" w:rsidP="00415F31">
      <w:pPr>
        <w:numPr>
          <w:ilvl w:val="0"/>
          <w:numId w:val="25"/>
        </w:numPr>
        <w:spacing w:before="0" w:after="240" w:line="288" w:lineRule="auto"/>
        <w:jc w:val="both"/>
      </w:pPr>
      <w:r>
        <w:t xml:space="preserve">Attachment 13 </w:t>
      </w:r>
      <w:r w:rsidRPr="00D904FA">
        <w:t>– pass through events</w:t>
      </w:r>
    </w:p>
    <w:p w:rsidR="00415F31" w:rsidRDefault="00415F31" w:rsidP="00415F31">
      <w:r w:rsidRPr="00D904FA">
        <w:t>Attachment 14 – negotiated services</w:t>
      </w:r>
    </w:p>
    <w:p w:rsidR="008F07A3" w:rsidRPr="008F07A3" w:rsidRDefault="008F07A3" w:rsidP="00415F31">
      <w:pPr>
        <w:numPr>
          <w:ilvl w:val="0"/>
          <w:numId w:val="25"/>
        </w:numPr>
        <w:sectPr w:rsidR="008F07A3" w:rsidRPr="008F07A3" w:rsidSect="001754EE">
          <w:footerReference w:type="even" r:id="rId12"/>
          <w:footerReference w:type="default" r:id="rId13"/>
          <w:footerReference w:type="first" r:id="rId14"/>
          <w:pgSz w:w="11906" w:h="16838" w:code="9"/>
          <w:pgMar w:top="1440" w:right="1700" w:bottom="1582" w:left="1729" w:header="720" w:footer="0" w:gutter="0"/>
          <w:pgNumType w:start="0" w:chapStyle="1"/>
          <w:cols w:space="720"/>
          <w:docGrid w:linePitch="326"/>
        </w:sectPr>
      </w:pPr>
    </w:p>
    <w:p w:rsidR="00DE563D" w:rsidRPr="00A72B34" w:rsidRDefault="00DE563D" w:rsidP="00DE563D">
      <w:pPr>
        <w:pStyle w:val="UnnumberedHeading"/>
        <w:numPr>
          <w:ilvl w:val="0"/>
          <w:numId w:val="24"/>
        </w:numPr>
      </w:pPr>
      <w:bookmarkStart w:id="5" w:name="_Toc403144133"/>
      <w:bookmarkStart w:id="6" w:name="_Toc480810043"/>
      <w:r>
        <w:lastRenderedPageBreak/>
        <w:t>Contents</w:t>
      </w:r>
      <w:bookmarkEnd w:id="5"/>
      <w:bookmarkEnd w:id="6"/>
    </w:p>
    <w:p w:rsidR="005D7BA2" w:rsidRDefault="005D7BA2">
      <w:pPr>
        <w:spacing w:line="240" w:lineRule="auto"/>
      </w:pPr>
    </w:p>
    <w:sdt>
      <w:sdtPr>
        <w:rPr>
          <w:b w:val="0"/>
          <w:noProof w:val="0"/>
          <w:color w:val="auto"/>
          <w:sz w:val="22"/>
          <w:lang w:val="en-AU" w:eastAsia="en-US"/>
        </w:rPr>
        <w:id w:val="1269200322"/>
        <w:docPartObj>
          <w:docPartGallery w:val="Table of Contents"/>
          <w:docPartUnique/>
        </w:docPartObj>
      </w:sdtPr>
      <w:sdtEndPr/>
      <w:sdtContent>
        <w:bookmarkStart w:id="7" w:name="_GoBack" w:displacedByCustomXml="prev"/>
        <w:bookmarkEnd w:id="7" w:displacedByCustomXml="prev"/>
        <w:p w:rsidR="005C2C3B" w:rsidRDefault="00DE563D">
          <w:pPr>
            <w:pStyle w:val="TOC1"/>
            <w:rPr>
              <w:rFonts w:asciiTheme="minorHAnsi" w:eastAsiaTheme="minorEastAsia" w:hAnsiTheme="minorHAnsi"/>
              <w:b w:val="0"/>
              <w:color w:val="auto"/>
              <w:sz w:val="22"/>
              <w:lang w:val="en-AU" w:eastAsia="en-AU"/>
            </w:rPr>
          </w:pPr>
          <w:r>
            <w:rPr>
              <w:color w:val="auto"/>
              <w:sz w:val="22"/>
            </w:rPr>
            <w:fldChar w:fldCharType="begin"/>
          </w:r>
          <w:r>
            <w:instrText xml:space="preserve"> TOC \o \h \z \u </w:instrText>
          </w:r>
          <w:r>
            <w:rPr>
              <w:color w:val="auto"/>
              <w:sz w:val="22"/>
            </w:rPr>
            <w:fldChar w:fldCharType="separate"/>
          </w:r>
          <w:hyperlink w:anchor="_Toc480810042" w:history="1">
            <w:r w:rsidR="005C2C3B" w:rsidRPr="00C07D9C">
              <w:rPr>
                <w:rStyle w:val="Hyperlink"/>
              </w:rPr>
              <w:t>Note</w:t>
            </w:r>
            <w:r w:rsidR="005C2C3B">
              <w:rPr>
                <w:webHidden/>
              </w:rPr>
              <w:tab/>
            </w:r>
            <w:r w:rsidR="005C2C3B">
              <w:rPr>
                <w:webHidden/>
              </w:rPr>
              <w:fldChar w:fldCharType="begin"/>
            </w:r>
            <w:r w:rsidR="005C2C3B">
              <w:rPr>
                <w:webHidden/>
              </w:rPr>
              <w:instrText xml:space="preserve"> PAGEREF _Toc480810042 \h </w:instrText>
            </w:r>
            <w:r w:rsidR="005C2C3B">
              <w:rPr>
                <w:webHidden/>
              </w:rPr>
            </w:r>
            <w:r w:rsidR="005C2C3B">
              <w:rPr>
                <w:webHidden/>
              </w:rPr>
              <w:fldChar w:fldCharType="separate"/>
            </w:r>
            <w:r w:rsidR="005C2C3B">
              <w:rPr>
                <w:webHidden/>
              </w:rPr>
              <w:t>10-2</w:t>
            </w:r>
            <w:r w:rsidR="005C2C3B">
              <w:rPr>
                <w:webHidden/>
              </w:rPr>
              <w:fldChar w:fldCharType="end"/>
            </w:r>
          </w:hyperlink>
        </w:p>
        <w:p w:rsidR="005C2C3B" w:rsidRDefault="00903EE2">
          <w:pPr>
            <w:pStyle w:val="TOC1"/>
            <w:rPr>
              <w:rFonts w:asciiTheme="minorHAnsi" w:eastAsiaTheme="minorEastAsia" w:hAnsiTheme="minorHAnsi"/>
              <w:b w:val="0"/>
              <w:color w:val="auto"/>
              <w:sz w:val="22"/>
              <w:lang w:val="en-AU" w:eastAsia="en-AU"/>
            </w:rPr>
          </w:pPr>
          <w:hyperlink w:anchor="_Toc480810043" w:history="1">
            <w:r w:rsidR="005C2C3B" w:rsidRPr="00C07D9C">
              <w:rPr>
                <w:rStyle w:val="Hyperlink"/>
              </w:rPr>
              <w:t>Contents</w:t>
            </w:r>
            <w:r w:rsidR="005C2C3B">
              <w:rPr>
                <w:webHidden/>
              </w:rPr>
              <w:tab/>
            </w:r>
            <w:r w:rsidR="005C2C3B">
              <w:rPr>
                <w:webHidden/>
              </w:rPr>
              <w:fldChar w:fldCharType="begin"/>
            </w:r>
            <w:r w:rsidR="005C2C3B">
              <w:rPr>
                <w:webHidden/>
              </w:rPr>
              <w:instrText xml:space="preserve"> PAGEREF _Toc480810043 \h </w:instrText>
            </w:r>
            <w:r w:rsidR="005C2C3B">
              <w:rPr>
                <w:webHidden/>
              </w:rPr>
            </w:r>
            <w:r w:rsidR="005C2C3B">
              <w:rPr>
                <w:webHidden/>
              </w:rPr>
              <w:fldChar w:fldCharType="separate"/>
            </w:r>
            <w:r w:rsidR="005C2C3B">
              <w:rPr>
                <w:webHidden/>
              </w:rPr>
              <w:t>10-3</w:t>
            </w:r>
            <w:r w:rsidR="005C2C3B">
              <w:rPr>
                <w:webHidden/>
              </w:rPr>
              <w:fldChar w:fldCharType="end"/>
            </w:r>
          </w:hyperlink>
        </w:p>
        <w:p w:rsidR="005C2C3B" w:rsidRDefault="00903EE2">
          <w:pPr>
            <w:pStyle w:val="TOC1"/>
            <w:rPr>
              <w:rFonts w:asciiTheme="minorHAnsi" w:eastAsiaTheme="minorEastAsia" w:hAnsiTheme="minorHAnsi"/>
              <w:b w:val="0"/>
              <w:color w:val="auto"/>
              <w:sz w:val="22"/>
              <w:lang w:val="en-AU" w:eastAsia="en-AU"/>
            </w:rPr>
          </w:pPr>
          <w:hyperlink w:anchor="_Toc480810044" w:history="1">
            <w:r w:rsidR="005C2C3B" w:rsidRPr="00C07D9C">
              <w:rPr>
                <w:rStyle w:val="Hyperlink"/>
              </w:rPr>
              <w:t>Shortened forms</w:t>
            </w:r>
            <w:r w:rsidR="005C2C3B">
              <w:rPr>
                <w:webHidden/>
              </w:rPr>
              <w:tab/>
            </w:r>
            <w:r w:rsidR="005C2C3B">
              <w:rPr>
                <w:webHidden/>
              </w:rPr>
              <w:fldChar w:fldCharType="begin"/>
            </w:r>
            <w:r w:rsidR="005C2C3B">
              <w:rPr>
                <w:webHidden/>
              </w:rPr>
              <w:instrText xml:space="preserve"> PAGEREF _Toc480810044 \h </w:instrText>
            </w:r>
            <w:r w:rsidR="005C2C3B">
              <w:rPr>
                <w:webHidden/>
              </w:rPr>
            </w:r>
            <w:r w:rsidR="005C2C3B">
              <w:rPr>
                <w:webHidden/>
              </w:rPr>
              <w:fldChar w:fldCharType="separate"/>
            </w:r>
            <w:r w:rsidR="005C2C3B">
              <w:rPr>
                <w:webHidden/>
              </w:rPr>
              <w:t>10-4</w:t>
            </w:r>
            <w:r w:rsidR="005C2C3B">
              <w:rPr>
                <w:webHidden/>
              </w:rPr>
              <w:fldChar w:fldCharType="end"/>
            </w:r>
          </w:hyperlink>
        </w:p>
        <w:p w:rsidR="005C2C3B" w:rsidRDefault="00903EE2">
          <w:pPr>
            <w:pStyle w:val="TOC1"/>
            <w:rPr>
              <w:rFonts w:asciiTheme="minorHAnsi" w:eastAsiaTheme="minorEastAsia" w:hAnsiTheme="minorHAnsi"/>
              <w:b w:val="0"/>
              <w:color w:val="auto"/>
              <w:sz w:val="22"/>
              <w:lang w:val="en-AU" w:eastAsia="en-AU"/>
            </w:rPr>
          </w:pPr>
          <w:hyperlink w:anchor="_Toc480810045" w:history="1">
            <w:r w:rsidR="005C2C3B" w:rsidRPr="00C07D9C">
              <w:rPr>
                <w:rStyle w:val="Hyperlink"/>
              </w:rPr>
              <w:t>10</w:t>
            </w:r>
            <w:r w:rsidR="005C2C3B">
              <w:rPr>
                <w:rFonts w:asciiTheme="minorHAnsi" w:eastAsiaTheme="minorEastAsia" w:hAnsiTheme="minorHAnsi"/>
                <w:b w:val="0"/>
                <w:color w:val="auto"/>
                <w:sz w:val="22"/>
                <w:lang w:val="en-AU" w:eastAsia="en-AU"/>
              </w:rPr>
              <w:tab/>
            </w:r>
            <w:r w:rsidR="005C2C3B" w:rsidRPr="00C07D9C">
              <w:rPr>
                <w:rStyle w:val="Hyperlink"/>
              </w:rPr>
              <w:t>Capital expenditure sharing scheme</w:t>
            </w:r>
            <w:r w:rsidR="005C2C3B">
              <w:rPr>
                <w:webHidden/>
              </w:rPr>
              <w:tab/>
            </w:r>
            <w:r w:rsidR="005C2C3B">
              <w:rPr>
                <w:webHidden/>
              </w:rPr>
              <w:fldChar w:fldCharType="begin"/>
            </w:r>
            <w:r w:rsidR="005C2C3B">
              <w:rPr>
                <w:webHidden/>
              </w:rPr>
              <w:instrText xml:space="preserve"> PAGEREF _Toc480810045 \h </w:instrText>
            </w:r>
            <w:r w:rsidR="005C2C3B">
              <w:rPr>
                <w:webHidden/>
              </w:rPr>
            </w:r>
            <w:r w:rsidR="005C2C3B">
              <w:rPr>
                <w:webHidden/>
              </w:rPr>
              <w:fldChar w:fldCharType="separate"/>
            </w:r>
            <w:r w:rsidR="005C2C3B">
              <w:rPr>
                <w:webHidden/>
              </w:rPr>
              <w:t>10-6</w:t>
            </w:r>
            <w:r w:rsidR="005C2C3B">
              <w:rPr>
                <w:webHidden/>
              </w:rPr>
              <w:fldChar w:fldCharType="end"/>
            </w:r>
          </w:hyperlink>
        </w:p>
        <w:p w:rsidR="005C2C3B" w:rsidRDefault="00903EE2">
          <w:pPr>
            <w:pStyle w:val="TOC2"/>
            <w:tabs>
              <w:tab w:val="left" w:pos="1276"/>
            </w:tabs>
            <w:rPr>
              <w:rFonts w:asciiTheme="minorHAnsi" w:eastAsiaTheme="minorEastAsia" w:hAnsiTheme="minorHAnsi"/>
              <w:b w:val="0"/>
              <w:color w:val="auto"/>
              <w:sz w:val="22"/>
              <w:lang w:eastAsia="en-AU"/>
            </w:rPr>
          </w:pPr>
          <w:hyperlink w:anchor="_Toc480810046" w:history="1">
            <w:r w:rsidR="005C2C3B" w:rsidRPr="00C07D9C">
              <w:rPr>
                <w:rStyle w:val="Hyperlink"/>
              </w:rPr>
              <w:t>10.1</w:t>
            </w:r>
            <w:r w:rsidR="005C2C3B">
              <w:rPr>
                <w:rFonts w:asciiTheme="minorHAnsi" w:eastAsiaTheme="minorEastAsia" w:hAnsiTheme="minorHAnsi"/>
                <w:b w:val="0"/>
                <w:color w:val="auto"/>
                <w:sz w:val="22"/>
                <w:lang w:eastAsia="en-AU"/>
              </w:rPr>
              <w:tab/>
            </w:r>
            <w:r w:rsidR="005C2C3B" w:rsidRPr="00C07D9C">
              <w:rPr>
                <w:rStyle w:val="Hyperlink"/>
              </w:rPr>
              <w:t>Final decision</w:t>
            </w:r>
            <w:r w:rsidR="005C2C3B">
              <w:rPr>
                <w:webHidden/>
              </w:rPr>
              <w:tab/>
            </w:r>
            <w:r w:rsidR="005C2C3B">
              <w:rPr>
                <w:webHidden/>
              </w:rPr>
              <w:fldChar w:fldCharType="begin"/>
            </w:r>
            <w:r w:rsidR="005C2C3B">
              <w:rPr>
                <w:webHidden/>
              </w:rPr>
              <w:instrText xml:space="preserve"> PAGEREF _Toc480810046 \h </w:instrText>
            </w:r>
            <w:r w:rsidR="005C2C3B">
              <w:rPr>
                <w:webHidden/>
              </w:rPr>
            </w:r>
            <w:r w:rsidR="005C2C3B">
              <w:rPr>
                <w:webHidden/>
              </w:rPr>
              <w:fldChar w:fldCharType="separate"/>
            </w:r>
            <w:r w:rsidR="005C2C3B">
              <w:rPr>
                <w:webHidden/>
              </w:rPr>
              <w:t>10-7</w:t>
            </w:r>
            <w:r w:rsidR="005C2C3B">
              <w:rPr>
                <w:webHidden/>
              </w:rPr>
              <w:fldChar w:fldCharType="end"/>
            </w:r>
          </w:hyperlink>
        </w:p>
        <w:p w:rsidR="005C2C3B" w:rsidRDefault="00903EE2">
          <w:pPr>
            <w:pStyle w:val="TOC2"/>
            <w:tabs>
              <w:tab w:val="left" w:pos="1276"/>
            </w:tabs>
            <w:rPr>
              <w:rFonts w:asciiTheme="minorHAnsi" w:eastAsiaTheme="minorEastAsia" w:hAnsiTheme="minorHAnsi"/>
              <w:b w:val="0"/>
              <w:color w:val="auto"/>
              <w:sz w:val="22"/>
              <w:lang w:eastAsia="en-AU"/>
            </w:rPr>
          </w:pPr>
          <w:hyperlink w:anchor="_Toc480810047" w:history="1">
            <w:r w:rsidR="005C2C3B" w:rsidRPr="00C07D9C">
              <w:rPr>
                <w:rStyle w:val="Hyperlink"/>
              </w:rPr>
              <w:t>10.2</w:t>
            </w:r>
            <w:r w:rsidR="005C2C3B">
              <w:rPr>
                <w:rFonts w:asciiTheme="minorHAnsi" w:eastAsiaTheme="minorEastAsia" w:hAnsiTheme="minorHAnsi"/>
                <w:b w:val="0"/>
                <w:color w:val="auto"/>
                <w:sz w:val="22"/>
                <w:lang w:eastAsia="en-AU"/>
              </w:rPr>
              <w:tab/>
            </w:r>
            <w:r w:rsidR="005C2C3B" w:rsidRPr="00C07D9C">
              <w:rPr>
                <w:rStyle w:val="Hyperlink"/>
              </w:rPr>
              <w:t>AusNet Services’ revised proposal</w:t>
            </w:r>
            <w:r w:rsidR="005C2C3B">
              <w:rPr>
                <w:webHidden/>
              </w:rPr>
              <w:tab/>
            </w:r>
            <w:r w:rsidR="005C2C3B">
              <w:rPr>
                <w:webHidden/>
              </w:rPr>
              <w:fldChar w:fldCharType="begin"/>
            </w:r>
            <w:r w:rsidR="005C2C3B">
              <w:rPr>
                <w:webHidden/>
              </w:rPr>
              <w:instrText xml:space="preserve"> PAGEREF _Toc480810047 \h </w:instrText>
            </w:r>
            <w:r w:rsidR="005C2C3B">
              <w:rPr>
                <w:webHidden/>
              </w:rPr>
            </w:r>
            <w:r w:rsidR="005C2C3B">
              <w:rPr>
                <w:webHidden/>
              </w:rPr>
              <w:fldChar w:fldCharType="separate"/>
            </w:r>
            <w:r w:rsidR="005C2C3B">
              <w:rPr>
                <w:webHidden/>
              </w:rPr>
              <w:t>10-7</w:t>
            </w:r>
            <w:r w:rsidR="005C2C3B">
              <w:rPr>
                <w:webHidden/>
              </w:rPr>
              <w:fldChar w:fldCharType="end"/>
            </w:r>
          </w:hyperlink>
        </w:p>
        <w:p w:rsidR="005C2C3B" w:rsidRDefault="00903EE2">
          <w:pPr>
            <w:pStyle w:val="TOC2"/>
            <w:tabs>
              <w:tab w:val="left" w:pos="1276"/>
            </w:tabs>
            <w:rPr>
              <w:rFonts w:asciiTheme="minorHAnsi" w:eastAsiaTheme="minorEastAsia" w:hAnsiTheme="minorHAnsi"/>
              <w:b w:val="0"/>
              <w:color w:val="auto"/>
              <w:sz w:val="22"/>
              <w:lang w:eastAsia="en-AU"/>
            </w:rPr>
          </w:pPr>
          <w:hyperlink w:anchor="_Toc480810048" w:history="1">
            <w:r w:rsidR="005C2C3B" w:rsidRPr="00C07D9C">
              <w:rPr>
                <w:rStyle w:val="Hyperlink"/>
              </w:rPr>
              <w:t>10.3</w:t>
            </w:r>
            <w:r w:rsidR="005C2C3B">
              <w:rPr>
                <w:rFonts w:asciiTheme="minorHAnsi" w:eastAsiaTheme="minorEastAsia" w:hAnsiTheme="minorHAnsi"/>
                <w:b w:val="0"/>
                <w:color w:val="auto"/>
                <w:sz w:val="22"/>
                <w:lang w:eastAsia="en-AU"/>
              </w:rPr>
              <w:tab/>
            </w:r>
            <w:r w:rsidR="005C2C3B" w:rsidRPr="00C07D9C">
              <w:rPr>
                <w:rStyle w:val="Hyperlink"/>
              </w:rPr>
              <w:t>AER’s assessment approach</w:t>
            </w:r>
            <w:r w:rsidR="005C2C3B">
              <w:rPr>
                <w:webHidden/>
              </w:rPr>
              <w:tab/>
            </w:r>
            <w:r w:rsidR="005C2C3B">
              <w:rPr>
                <w:webHidden/>
              </w:rPr>
              <w:fldChar w:fldCharType="begin"/>
            </w:r>
            <w:r w:rsidR="005C2C3B">
              <w:rPr>
                <w:webHidden/>
              </w:rPr>
              <w:instrText xml:space="preserve"> PAGEREF _Toc480810048 \h </w:instrText>
            </w:r>
            <w:r w:rsidR="005C2C3B">
              <w:rPr>
                <w:webHidden/>
              </w:rPr>
            </w:r>
            <w:r w:rsidR="005C2C3B">
              <w:rPr>
                <w:webHidden/>
              </w:rPr>
              <w:fldChar w:fldCharType="separate"/>
            </w:r>
            <w:r w:rsidR="005C2C3B">
              <w:rPr>
                <w:webHidden/>
              </w:rPr>
              <w:t>10-7</w:t>
            </w:r>
            <w:r w:rsidR="005C2C3B">
              <w:rPr>
                <w:webHidden/>
              </w:rPr>
              <w:fldChar w:fldCharType="end"/>
            </w:r>
          </w:hyperlink>
        </w:p>
        <w:p w:rsidR="005C2C3B" w:rsidRDefault="00903EE2">
          <w:pPr>
            <w:pStyle w:val="TOC3"/>
            <w:rPr>
              <w:rFonts w:asciiTheme="minorHAnsi" w:eastAsiaTheme="minorEastAsia" w:hAnsiTheme="minorHAnsi"/>
              <w:lang w:eastAsia="en-AU"/>
            </w:rPr>
          </w:pPr>
          <w:hyperlink w:anchor="_Toc480810049" w:history="1">
            <w:r w:rsidR="005C2C3B" w:rsidRPr="00C07D9C">
              <w:rPr>
                <w:rStyle w:val="Hyperlink"/>
              </w:rPr>
              <w:t>10.3.1</w:t>
            </w:r>
            <w:r w:rsidR="005C2C3B">
              <w:rPr>
                <w:rFonts w:asciiTheme="minorHAnsi" w:eastAsiaTheme="minorEastAsia" w:hAnsiTheme="minorHAnsi"/>
                <w:lang w:eastAsia="en-AU"/>
              </w:rPr>
              <w:tab/>
            </w:r>
            <w:r w:rsidR="005C2C3B" w:rsidRPr="00C07D9C">
              <w:rPr>
                <w:rStyle w:val="Hyperlink"/>
              </w:rPr>
              <w:t>Interrelationships</w:t>
            </w:r>
            <w:r w:rsidR="005C2C3B">
              <w:rPr>
                <w:webHidden/>
              </w:rPr>
              <w:tab/>
            </w:r>
            <w:r w:rsidR="005C2C3B">
              <w:rPr>
                <w:webHidden/>
              </w:rPr>
              <w:fldChar w:fldCharType="begin"/>
            </w:r>
            <w:r w:rsidR="005C2C3B">
              <w:rPr>
                <w:webHidden/>
              </w:rPr>
              <w:instrText xml:space="preserve"> PAGEREF _Toc480810049 \h </w:instrText>
            </w:r>
            <w:r w:rsidR="005C2C3B">
              <w:rPr>
                <w:webHidden/>
              </w:rPr>
            </w:r>
            <w:r w:rsidR="005C2C3B">
              <w:rPr>
                <w:webHidden/>
              </w:rPr>
              <w:fldChar w:fldCharType="separate"/>
            </w:r>
            <w:r w:rsidR="005C2C3B">
              <w:rPr>
                <w:webHidden/>
              </w:rPr>
              <w:t>10-7</w:t>
            </w:r>
            <w:r w:rsidR="005C2C3B">
              <w:rPr>
                <w:webHidden/>
              </w:rPr>
              <w:fldChar w:fldCharType="end"/>
            </w:r>
          </w:hyperlink>
        </w:p>
        <w:p w:rsidR="005C2C3B" w:rsidRDefault="00903EE2">
          <w:pPr>
            <w:pStyle w:val="TOC2"/>
            <w:tabs>
              <w:tab w:val="left" w:pos="1276"/>
            </w:tabs>
            <w:rPr>
              <w:rFonts w:asciiTheme="minorHAnsi" w:eastAsiaTheme="minorEastAsia" w:hAnsiTheme="minorHAnsi"/>
              <w:b w:val="0"/>
              <w:color w:val="auto"/>
              <w:sz w:val="22"/>
              <w:lang w:eastAsia="en-AU"/>
            </w:rPr>
          </w:pPr>
          <w:hyperlink w:anchor="_Toc480810050" w:history="1">
            <w:r w:rsidR="005C2C3B" w:rsidRPr="00C07D9C">
              <w:rPr>
                <w:rStyle w:val="Hyperlink"/>
              </w:rPr>
              <w:t>10.4</w:t>
            </w:r>
            <w:r w:rsidR="005C2C3B">
              <w:rPr>
                <w:rFonts w:asciiTheme="minorHAnsi" w:eastAsiaTheme="minorEastAsia" w:hAnsiTheme="minorHAnsi"/>
                <w:b w:val="0"/>
                <w:color w:val="auto"/>
                <w:sz w:val="22"/>
                <w:lang w:eastAsia="en-AU"/>
              </w:rPr>
              <w:tab/>
            </w:r>
            <w:r w:rsidR="005C2C3B" w:rsidRPr="00C07D9C">
              <w:rPr>
                <w:rStyle w:val="Hyperlink"/>
              </w:rPr>
              <w:t>Reasons for final decision</w:t>
            </w:r>
            <w:r w:rsidR="005C2C3B">
              <w:rPr>
                <w:webHidden/>
              </w:rPr>
              <w:tab/>
            </w:r>
            <w:r w:rsidR="005C2C3B">
              <w:rPr>
                <w:webHidden/>
              </w:rPr>
              <w:fldChar w:fldCharType="begin"/>
            </w:r>
            <w:r w:rsidR="005C2C3B">
              <w:rPr>
                <w:webHidden/>
              </w:rPr>
              <w:instrText xml:space="preserve"> PAGEREF _Toc480810050 \h </w:instrText>
            </w:r>
            <w:r w:rsidR="005C2C3B">
              <w:rPr>
                <w:webHidden/>
              </w:rPr>
            </w:r>
            <w:r w:rsidR="005C2C3B">
              <w:rPr>
                <w:webHidden/>
              </w:rPr>
              <w:fldChar w:fldCharType="separate"/>
            </w:r>
            <w:r w:rsidR="005C2C3B">
              <w:rPr>
                <w:webHidden/>
              </w:rPr>
              <w:t>10-7</w:t>
            </w:r>
            <w:r w:rsidR="005C2C3B">
              <w:rPr>
                <w:webHidden/>
              </w:rPr>
              <w:fldChar w:fldCharType="end"/>
            </w:r>
          </w:hyperlink>
        </w:p>
        <w:p w:rsidR="00DE563D" w:rsidRDefault="00DE563D">
          <w:pPr>
            <w:spacing w:line="240" w:lineRule="auto"/>
          </w:pPr>
          <w:r>
            <w:fldChar w:fldCharType="end"/>
          </w:r>
        </w:p>
      </w:sdtContent>
    </w:sdt>
    <w:p w:rsidR="00DE563D" w:rsidRDefault="00C84560">
      <w:pPr>
        <w:spacing w:line="240" w:lineRule="auto"/>
      </w:pPr>
      <w:r>
        <w:t xml:space="preserve"> </w:t>
      </w:r>
    </w:p>
    <w:p w:rsidR="00DE563D" w:rsidRDefault="00DE563D" w:rsidP="00DE563D">
      <w:pPr>
        <w:pStyle w:val="UnnumberedHeading"/>
        <w:numPr>
          <w:ilvl w:val="0"/>
          <w:numId w:val="24"/>
        </w:numPr>
      </w:pPr>
      <w:bookmarkStart w:id="8" w:name="_Toc404700925"/>
      <w:bookmarkStart w:id="9" w:name="_Toc480810044"/>
      <w:r>
        <w:lastRenderedPageBreak/>
        <w:t>Shortened forms</w:t>
      </w:r>
      <w:bookmarkEnd w:id="8"/>
      <w:bookmarkEnd w:id="9"/>
    </w:p>
    <w:p w:rsidR="00DE563D" w:rsidRDefault="00DE563D" w:rsidP="00415F31"/>
    <w:tbl>
      <w:tblPr>
        <w:tblStyle w:val="AERtable-numbers"/>
        <w:tblW w:w="0" w:type="auto"/>
        <w:tblLook w:val="04A0" w:firstRow="1" w:lastRow="0" w:firstColumn="1" w:lastColumn="0" w:noHBand="0" w:noVBand="1"/>
      </w:tblPr>
      <w:tblGrid>
        <w:gridCol w:w="4340"/>
        <w:gridCol w:w="4353"/>
      </w:tblGrid>
      <w:tr w:rsidR="00415F31" w:rsidTr="00BD5D87">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Shortened form</w:t>
            </w:r>
          </w:p>
        </w:tc>
        <w:tc>
          <w:tcPr>
            <w:tcW w:w="4621" w:type="dxa"/>
          </w:tcPr>
          <w:p w:rsidR="00415F31" w:rsidRDefault="00415F31" w:rsidP="00415F31">
            <w:pPr>
              <w:numPr>
                <w:ilvl w:val="0"/>
                <w:numId w:val="25"/>
              </w:numPr>
              <w:spacing w:after="240" w:line="288" w:lineRule="auto"/>
              <w:jc w:val="both"/>
              <w:cnfStyle w:val="100000000000" w:firstRow="1" w:lastRow="0" w:firstColumn="0" w:lastColumn="0" w:oddVBand="0" w:evenVBand="0" w:oddHBand="0" w:evenHBand="0" w:firstRowFirstColumn="0" w:firstRowLastColumn="0" w:lastRowFirstColumn="0" w:lastRowLastColumn="0"/>
            </w:pPr>
            <w:r>
              <w:t>Extended form</w:t>
            </w:r>
          </w:p>
        </w:tc>
      </w:tr>
      <w:tr w:rsidR="00415F31" w:rsidTr="00BD5D87">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AARR</w:t>
            </w:r>
          </w:p>
        </w:tc>
        <w:tc>
          <w:tcPr>
            <w:tcW w:w="4621" w:type="dxa"/>
          </w:tcPr>
          <w:p w:rsidR="00415F31" w:rsidRDefault="00415F31" w:rsidP="00415F31">
            <w:pPr>
              <w:numPr>
                <w:ilvl w:val="0"/>
                <w:numId w:val="25"/>
              </w:numPr>
              <w:spacing w:after="240" w:line="288" w:lineRule="auto"/>
              <w:jc w:val="both"/>
              <w:cnfStyle w:val="000000000000" w:firstRow="0" w:lastRow="0" w:firstColumn="0" w:lastColumn="0" w:oddVBand="0" w:evenVBand="0" w:oddHBand="0" w:evenHBand="0" w:firstRowFirstColumn="0" w:firstRowLastColumn="0" w:lastRowFirstColumn="0" w:lastRowLastColumn="0"/>
            </w:pPr>
            <w:r>
              <w:t>aggregate annual revenue requirement</w:t>
            </w:r>
          </w:p>
        </w:tc>
      </w:tr>
      <w:tr w:rsidR="00415F31" w:rsidTr="00BD5D8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AEMC</w:t>
            </w:r>
          </w:p>
        </w:tc>
        <w:tc>
          <w:tcPr>
            <w:tcW w:w="4621" w:type="dxa"/>
          </w:tcPr>
          <w:p w:rsidR="00415F31" w:rsidRDefault="00415F31" w:rsidP="00415F31">
            <w:pPr>
              <w:numPr>
                <w:ilvl w:val="0"/>
                <w:numId w:val="25"/>
              </w:numPr>
              <w:spacing w:after="240" w:line="288" w:lineRule="auto"/>
              <w:jc w:val="both"/>
              <w:cnfStyle w:val="000000010000" w:firstRow="0" w:lastRow="0" w:firstColumn="0" w:lastColumn="0" w:oddVBand="0" w:evenVBand="0" w:oddHBand="0" w:evenHBand="1" w:firstRowFirstColumn="0" w:firstRowLastColumn="0" w:lastRowFirstColumn="0" w:lastRowLastColumn="0"/>
            </w:pPr>
            <w:r>
              <w:t>Australian Energy Market Commission</w:t>
            </w:r>
          </w:p>
        </w:tc>
      </w:tr>
      <w:tr w:rsidR="00415F31" w:rsidTr="00BD5D87">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AEMO</w:t>
            </w:r>
          </w:p>
        </w:tc>
        <w:tc>
          <w:tcPr>
            <w:tcW w:w="4621" w:type="dxa"/>
          </w:tcPr>
          <w:p w:rsidR="00415F31" w:rsidRDefault="00415F31" w:rsidP="00415F31">
            <w:pPr>
              <w:numPr>
                <w:ilvl w:val="0"/>
                <w:numId w:val="25"/>
              </w:numPr>
              <w:spacing w:after="240" w:line="288" w:lineRule="auto"/>
              <w:jc w:val="both"/>
              <w:cnfStyle w:val="000000000000" w:firstRow="0" w:lastRow="0" w:firstColumn="0" w:lastColumn="0" w:oddVBand="0" w:evenVBand="0" w:oddHBand="0" w:evenHBand="0" w:firstRowFirstColumn="0" w:firstRowLastColumn="0" w:lastRowFirstColumn="0" w:lastRowLastColumn="0"/>
            </w:pPr>
            <w:r>
              <w:t>Australian Energy Market Operator</w:t>
            </w:r>
          </w:p>
        </w:tc>
      </w:tr>
      <w:tr w:rsidR="00415F31" w:rsidTr="00BD5D8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AER</w:t>
            </w:r>
          </w:p>
        </w:tc>
        <w:tc>
          <w:tcPr>
            <w:tcW w:w="4621" w:type="dxa"/>
          </w:tcPr>
          <w:p w:rsidR="00415F31" w:rsidRDefault="00415F31" w:rsidP="00415F31">
            <w:pPr>
              <w:numPr>
                <w:ilvl w:val="0"/>
                <w:numId w:val="25"/>
              </w:numPr>
              <w:spacing w:after="240" w:line="288" w:lineRule="auto"/>
              <w:jc w:val="both"/>
              <w:cnfStyle w:val="000000010000" w:firstRow="0" w:lastRow="0" w:firstColumn="0" w:lastColumn="0" w:oddVBand="0" w:evenVBand="0" w:oddHBand="0" w:evenHBand="1" w:firstRowFirstColumn="0" w:firstRowLastColumn="0" w:lastRowFirstColumn="0" w:lastRowLastColumn="0"/>
            </w:pPr>
            <w:r>
              <w:t>Australian Energy Regulator</w:t>
            </w:r>
          </w:p>
        </w:tc>
      </w:tr>
      <w:tr w:rsidR="00415F31" w:rsidTr="00BD5D87">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ASRR</w:t>
            </w:r>
          </w:p>
        </w:tc>
        <w:tc>
          <w:tcPr>
            <w:tcW w:w="4621" w:type="dxa"/>
          </w:tcPr>
          <w:p w:rsidR="00415F31" w:rsidRDefault="009D3906" w:rsidP="00415F31">
            <w:pPr>
              <w:numPr>
                <w:ilvl w:val="0"/>
                <w:numId w:val="25"/>
              </w:numPr>
              <w:spacing w:after="240" w:line="288" w:lineRule="auto"/>
              <w:jc w:val="both"/>
              <w:cnfStyle w:val="000000000000" w:firstRow="0" w:lastRow="0" w:firstColumn="0" w:lastColumn="0" w:oddVBand="0" w:evenVBand="0" w:oddHBand="0" w:evenHBand="0" w:firstRowFirstColumn="0" w:firstRowLastColumn="0" w:lastRowFirstColumn="0" w:lastRowLastColumn="0"/>
            </w:pPr>
            <w:r>
              <w:t>annual</w:t>
            </w:r>
            <w:r w:rsidR="00415F31">
              <w:t xml:space="preserve"> service revenue requirement</w:t>
            </w:r>
          </w:p>
        </w:tc>
      </w:tr>
      <w:tr w:rsidR="00415F31" w:rsidTr="00BD5D8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augex</w:t>
            </w:r>
          </w:p>
        </w:tc>
        <w:tc>
          <w:tcPr>
            <w:tcW w:w="4621" w:type="dxa"/>
          </w:tcPr>
          <w:p w:rsidR="00415F31" w:rsidRDefault="00415F31" w:rsidP="00415F31">
            <w:pPr>
              <w:numPr>
                <w:ilvl w:val="0"/>
                <w:numId w:val="25"/>
              </w:numPr>
              <w:spacing w:after="240" w:line="288" w:lineRule="auto"/>
              <w:jc w:val="both"/>
              <w:cnfStyle w:val="000000010000" w:firstRow="0" w:lastRow="0" w:firstColumn="0" w:lastColumn="0" w:oddVBand="0" w:evenVBand="0" w:oddHBand="0" w:evenHBand="1" w:firstRowFirstColumn="0" w:firstRowLastColumn="0" w:lastRowFirstColumn="0" w:lastRowLastColumn="0"/>
            </w:pPr>
            <w:r>
              <w:t>augmentation expenditure</w:t>
            </w:r>
          </w:p>
        </w:tc>
      </w:tr>
      <w:tr w:rsidR="00415F31" w:rsidTr="00BD5D87">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capex</w:t>
            </w:r>
          </w:p>
        </w:tc>
        <w:tc>
          <w:tcPr>
            <w:tcW w:w="4621" w:type="dxa"/>
          </w:tcPr>
          <w:p w:rsidR="00415F31" w:rsidRDefault="00415F31" w:rsidP="00415F31">
            <w:pPr>
              <w:numPr>
                <w:ilvl w:val="0"/>
                <w:numId w:val="25"/>
              </w:numPr>
              <w:spacing w:after="240" w:line="288" w:lineRule="auto"/>
              <w:jc w:val="both"/>
              <w:cnfStyle w:val="000000000000" w:firstRow="0" w:lastRow="0" w:firstColumn="0" w:lastColumn="0" w:oddVBand="0" w:evenVBand="0" w:oddHBand="0" w:evenHBand="0" w:firstRowFirstColumn="0" w:firstRowLastColumn="0" w:lastRowFirstColumn="0" w:lastRowLastColumn="0"/>
            </w:pPr>
            <w:r>
              <w:t>capital expenditure</w:t>
            </w:r>
          </w:p>
        </w:tc>
      </w:tr>
      <w:tr w:rsidR="00415F31" w:rsidTr="00BD5D8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CCP</w:t>
            </w:r>
          </w:p>
        </w:tc>
        <w:tc>
          <w:tcPr>
            <w:tcW w:w="4621" w:type="dxa"/>
          </w:tcPr>
          <w:p w:rsidR="00415F31" w:rsidRDefault="00415F31" w:rsidP="00415F31">
            <w:pPr>
              <w:numPr>
                <w:ilvl w:val="0"/>
                <w:numId w:val="25"/>
              </w:numPr>
              <w:spacing w:after="240" w:line="288" w:lineRule="auto"/>
              <w:jc w:val="both"/>
              <w:cnfStyle w:val="000000010000" w:firstRow="0" w:lastRow="0" w:firstColumn="0" w:lastColumn="0" w:oddVBand="0" w:evenVBand="0" w:oddHBand="0" w:evenHBand="1" w:firstRowFirstColumn="0" w:firstRowLastColumn="0" w:lastRowFirstColumn="0" w:lastRowLastColumn="0"/>
            </w:pPr>
            <w:r>
              <w:t>Consumer Challenge Panel</w:t>
            </w:r>
          </w:p>
        </w:tc>
      </w:tr>
      <w:tr w:rsidR="00415F31" w:rsidTr="00BD5D87">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CESS</w:t>
            </w:r>
          </w:p>
        </w:tc>
        <w:tc>
          <w:tcPr>
            <w:tcW w:w="4621" w:type="dxa"/>
          </w:tcPr>
          <w:p w:rsidR="00415F31" w:rsidRDefault="00415F31" w:rsidP="00415F31">
            <w:pPr>
              <w:numPr>
                <w:ilvl w:val="0"/>
                <w:numId w:val="25"/>
              </w:numPr>
              <w:spacing w:after="240" w:line="288" w:lineRule="auto"/>
              <w:jc w:val="both"/>
              <w:cnfStyle w:val="000000000000" w:firstRow="0" w:lastRow="0" w:firstColumn="0" w:lastColumn="0" w:oddVBand="0" w:evenVBand="0" w:oddHBand="0" w:evenHBand="0" w:firstRowFirstColumn="0" w:firstRowLastColumn="0" w:lastRowFirstColumn="0" w:lastRowLastColumn="0"/>
            </w:pPr>
            <w:r>
              <w:t>capital expenditure sharing scheme</w:t>
            </w:r>
          </w:p>
        </w:tc>
      </w:tr>
      <w:tr w:rsidR="00415F31" w:rsidTr="00BD5D8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CPI</w:t>
            </w:r>
          </w:p>
        </w:tc>
        <w:tc>
          <w:tcPr>
            <w:tcW w:w="4621" w:type="dxa"/>
          </w:tcPr>
          <w:p w:rsidR="00415F31" w:rsidRDefault="00415F31" w:rsidP="00415F31">
            <w:pPr>
              <w:numPr>
                <w:ilvl w:val="0"/>
                <w:numId w:val="25"/>
              </w:numPr>
              <w:spacing w:after="240" w:line="288" w:lineRule="auto"/>
              <w:jc w:val="both"/>
              <w:cnfStyle w:val="000000010000" w:firstRow="0" w:lastRow="0" w:firstColumn="0" w:lastColumn="0" w:oddVBand="0" w:evenVBand="0" w:oddHBand="0" w:evenHBand="1" w:firstRowFirstColumn="0" w:firstRowLastColumn="0" w:lastRowFirstColumn="0" w:lastRowLastColumn="0"/>
            </w:pPr>
            <w:r>
              <w:t>consumer price index</w:t>
            </w:r>
          </w:p>
        </w:tc>
      </w:tr>
      <w:tr w:rsidR="00415F31" w:rsidTr="00BD5D87">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DRP</w:t>
            </w:r>
          </w:p>
        </w:tc>
        <w:tc>
          <w:tcPr>
            <w:tcW w:w="4621" w:type="dxa"/>
          </w:tcPr>
          <w:p w:rsidR="00415F31" w:rsidRDefault="00415F31" w:rsidP="00415F31">
            <w:pPr>
              <w:numPr>
                <w:ilvl w:val="0"/>
                <w:numId w:val="25"/>
              </w:numPr>
              <w:spacing w:after="240" w:line="288" w:lineRule="auto"/>
              <w:jc w:val="both"/>
              <w:cnfStyle w:val="000000000000" w:firstRow="0" w:lastRow="0" w:firstColumn="0" w:lastColumn="0" w:oddVBand="0" w:evenVBand="0" w:oddHBand="0" w:evenHBand="0" w:firstRowFirstColumn="0" w:firstRowLastColumn="0" w:lastRowFirstColumn="0" w:lastRowLastColumn="0"/>
            </w:pPr>
            <w:r>
              <w:t>debt risk premium</w:t>
            </w:r>
          </w:p>
        </w:tc>
      </w:tr>
      <w:tr w:rsidR="00313F1C" w:rsidTr="00BD5D8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313F1C" w:rsidRDefault="00313F1C" w:rsidP="00415F31">
            <w:pPr>
              <w:numPr>
                <w:ilvl w:val="0"/>
                <w:numId w:val="25"/>
              </w:numPr>
              <w:spacing w:after="240" w:line="288" w:lineRule="auto"/>
              <w:jc w:val="both"/>
            </w:pPr>
            <w:r>
              <w:t>DNSP</w:t>
            </w:r>
          </w:p>
        </w:tc>
        <w:tc>
          <w:tcPr>
            <w:tcW w:w="4621" w:type="dxa"/>
          </w:tcPr>
          <w:p w:rsidR="00313F1C" w:rsidRDefault="00313F1C" w:rsidP="00415F31">
            <w:pPr>
              <w:numPr>
                <w:ilvl w:val="0"/>
                <w:numId w:val="25"/>
              </w:numPr>
              <w:spacing w:after="240" w:line="288" w:lineRule="auto"/>
              <w:jc w:val="both"/>
              <w:cnfStyle w:val="000000010000" w:firstRow="0" w:lastRow="0" w:firstColumn="0" w:lastColumn="0" w:oddVBand="0" w:evenVBand="0" w:oddHBand="0" w:evenHBand="1" w:firstRowFirstColumn="0" w:firstRowLastColumn="0" w:lastRowFirstColumn="0" w:lastRowLastColumn="0"/>
            </w:pPr>
            <w:r>
              <w:t>distribution network service provider</w:t>
            </w:r>
          </w:p>
        </w:tc>
      </w:tr>
      <w:tr w:rsidR="00415F31" w:rsidTr="00BD5D87">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EBSS</w:t>
            </w:r>
          </w:p>
        </w:tc>
        <w:tc>
          <w:tcPr>
            <w:tcW w:w="4621" w:type="dxa"/>
          </w:tcPr>
          <w:p w:rsidR="00415F31" w:rsidRDefault="00415F31" w:rsidP="00415F31">
            <w:pPr>
              <w:numPr>
                <w:ilvl w:val="0"/>
                <w:numId w:val="25"/>
              </w:numPr>
              <w:spacing w:after="240" w:line="288" w:lineRule="auto"/>
              <w:jc w:val="both"/>
              <w:cnfStyle w:val="000000000000" w:firstRow="0" w:lastRow="0" w:firstColumn="0" w:lastColumn="0" w:oddVBand="0" w:evenVBand="0" w:oddHBand="0" w:evenHBand="0" w:firstRowFirstColumn="0" w:firstRowLastColumn="0" w:lastRowFirstColumn="0" w:lastRowLastColumn="0"/>
            </w:pPr>
            <w:r>
              <w:t>efficiency benefit sharing scheme</w:t>
            </w:r>
          </w:p>
        </w:tc>
      </w:tr>
      <w:tr w:rsidR="00415F31" w:rsidTr="00BD5D8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ERP</w:t>
            </w:r>
          </w:p>
        </w:tc>
        <w:tc>
          <w:tcPr>
            <w:tcW w:w="4621" w:type="dxa"/>
          </w:tcPr>
          <w:p w:rsidR="00415F31" w:rsidRDefault="00415F31" w:rsidP="00415F31">
            <w:pPr>
              <w:numPr>
                <w:ilvl w:val="0"/>
                <w:numId w:val="25"/>
              </w:numPr>
              <w:spacing w:after="240" w:line="288" w:lineRule="auto"/>
              <w:jc w:val="both"/>
              <w:cnfStyle w:val="000000010000" w:firstRow="0" w:lastRow="0" w:firstColumn="0" w:lastColumn="0" w:oddVBand="0" w:evenVBand="0" w:oddHBand="0" w:evenHBand="1" w:firstRowFirstColumn="0" w:firstRowLastColumn="0" w:lastRowFirstColumn="0" w:lastRowLastColumn="0"/>
            </w:pPr>
            <w:r>
              <w:t>equity risk premium</w:t>
            </w:r>
          </w:p>
        </w:tc>
      </w:tr>
      <w:tr w:rsidR="00415F31" w:rsidTr="00BD5D87">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MAR</w:t>
            </w:r>
          </w:p>
        </w:tc>
        <w:tc>
          <w:tcPr>
            <w:tcW w:w="4621" w:type="dxa"/>
          </w:tcPr>
          <w:p w:rsidR="00415F31" w:rsidRDefault="00415F31" w:rsidP="00415F31">
            <w:pPr>
              <w:numPr>
                <w:ilvl w:val="0"/>
                <w:numId w:val="25"/>
              </w:numPr>
              <w:spacing w:after="240" w:line="288" w:lineRule="auto"/>
              <w:jc w:val="both"/>
              <w:cnfStyle w:val="000000000000" w:firstRow="0" w:lastRow="0" w:firstColumn="0" w:lastColumn="0" w:oddVBand="0" w:evenVBand="0" w:oddHBand="0" w:evenHBand="0" w:firstRowFirstColumn="0" w:firstRowLastColumn="0" w:lastRowFirstColumn="0" w:lastRowLastColumn="0"/>
            </w:pPr>
            <w:r>
              <w:t>maximum allowed revenue</w:t>
            </w:r>
          </w:p>
        </w:tc>
      </w:tr>
      <w:tr w:rsidR="00415F31" w:rsidTr="00BD5D8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MRP</w:t>
            </w:r>
          </w:p>
        </w:tc>
        <w:tc>
          <w:tcPr>
            <w:tcW w:w="4621" w:type="dxa"/>
          </w:tcPr>
          <w:p w:rsidR="00415F31" w:rsidRDefault="00415F31" w:rsidP="00415F31">
            <w:pPr>
              <w:numPr>
                <w:ilvl w:val="0"/>
                <w:numId w:val="25"/>
              </w:numPr>
              <w:spacing w:after="240" w:line="288" w:lineRule="auto"/>
              <w:jc w:val="both"/>
              <w:cnfStyle w:val="000000010000" w:firstRow="0" w:lastRow="0" w:firstColumn="0" w:lastColumn="0" w:oddVBand="0" w:evenVBand="0" w:oddHBand="0" w:evenHBand="1" w:firstRowFirstColumn="0" w:firstRowLastColumn="0" w:lastRowFirstColumn="0" w:lastRowLastColumn="0"/>
            </w:pPr>
            <w:r>
              <w:t>market risk premium</w:t>
            </w:r>
          </w:p>
        </w:tc>
      </w:tr>
      <w:tr w:rsidR="00415F31" w:rsidTr="00BD5D87">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NEL</w:t>
            </w:r>
          </w:p>
        </w:tc>
        <w:tc>
          <w:tcPr>
            <w:tcW w:w="4621" w:type="dxa"/>
          </w:tcPr>
          <w:p w:rsidR="00415F31" w:rsidRDefault="00415F31" w:rsidP="00415F31">
            <w:pPr>
              <w:numPr>
                <w:ilvl w:val="0"/>
                <w:numId w:val="25"/>
              </w:numPr>
              <w:spacing w:after="240" w:line="288" w:lineRule="auto"/>
              <w:jc w:val="both"/>
              <w:cnfStyle w:val="000000000000" w:firstRow="0" w:lastRow="0" w:firstColumn="0" w:lastColumn="0" w:oddVBand="0" w:evenVBand="0" w:oddHBand="0" w:evenHBand="0" w:firstRowFirstColumn="0" w:firstRowLastColumn="0" w:lastRowFirstColumn="0" w:lastRowLastColumn="0"/>
            </w:pPr>
            <w:r>
              <w:t>national electricity law</w:t>
            </w:r>
          </w:p>
        </w:tc>
      </w:tr>
      <w:tr w:rsidR="00415F31" w:rsidTr="00BD5D8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NEM</w:t>
            </w:r>
          </w:p>
        </w:tc>
        <w:tc>
          <w:tcPr>
            <w:tcW w:w="4621" w:type="dxa"/>
          </w:tcPr>
          <w:p w:rsidR="00415F31" w:rsidRDefault="00415F31" w:rsidP="00415F31">
            <w:pPr>
              <w:numPr>
                <w:ilvl w:val="0"/>
                <w:numId w:val="25"/>
              </w:numPr>
              <w:spacing w:after="240" w:line="288" w:lineRule="auto"/>
              <w:jc w:val="both"/>
              <w:cnfStyle w:val="000000010000" w:firstRow="0" w:lastRow="0" w:firstColumn="0" w:lastColumn="0" w:oddVBand="0" w:evenVBand="0" w:oddHBand="0" w:evenHBand="1" w:firstRowFirstColumn="0" w:firstRowLastColumn="0" w:lastRowFirstColumn="0" w:lastRowLastColumn="0"/>
            </w:pPr>
            <w:r>
              <w:t>national electricity market</w:t>
            </w:r>
          </w:p>
        </w:tc>
      </w:tr>
      <w:tr w:rsidR="00415F31" w:rsidTr="00BD5D87">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NEO</w:t>
            </w:r>
          </w:p>
        </w:tc>
        <w:tc>
          <w:tcPr>
            <w:tcW w:w="4621" w:type="dxa"/>
          </w:tcPr>
          <w:p w:rsidR="00415F31" w:rsidRDefault="00415F31" w:rsidP="00415F31">
            <w:pPr>
              <w:numPr>
                <w:ilvl w:val="0"/>
                <w:numId w:val="25"/>
              </w:numPr>
              <w:spacing w:after="240" w:line="288" w:lineRule="auto"/>
              <w:jc w:val="both"/>
              <w:cnfStyle w:val="000000000000" w:firstRow="0" w:lastRow="0" w:firstColumn="0" w:lastColumn="0" w:oddVBand="0" w:evenVBand="0" w:oddHBand="0" w:evenHBand="0" w:firstRowFirstColumn="0" w:firstRowLastColumn="0" w:lastRowFirstColumn="0" w:lastRowLastColumn="0"/>
            </w:pPr>
            <w:r>
              <w:t>national electricity objective</w:t>
            </w:r>
          </w:p>
        </w:tc>
      </w:tr>
      <w:tr w:rsidR="00415F31" w:rsidTr="00BD5D8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NER</w:t>
            </w:r>
          </w:p>
        </w:tc>
        <w:tc>
          <w:tcPr>
            <w:tcW w:w="4621" w:type="dxa"/>
          </w:tcPr>
          <w:p w:rsidR="00415F31" w:rsidRDefault="00415F31" w:rsidP="00415F31">
            <w:pPr>
              <w:numPr>
                <w:ilvl w:val="0"/>
                <w:numId w:val="25"/>
              </w:numPr>
              <w:spacing w:after="240" w:line="288" w:lineRule="auto"/>
              <w:jc w:val="both"/>
              <w:cnfStyle w:val="000000010000" w:firstRow="0" w:lastRow="0" w:firstColumn="0" w:lastColumn="0" w:oddVBand="0" w:evenVBand="0" w:oddHBand="0" w:evenHBand="1" w:firstRowFirstColumn="0" w:firstRowLastColumn="0" w:lastRowFirstColumn="0" w:lastRowLastColumn="0"/>
            </w:pPr>
            <w:r>
              <w:t>national electricity rules</w:t>
            </w:r>
          </w:p>
        </w:tc>
      </w:tr>
      <w:tr w:rsidR="00415F31" w:rsidTr="00BD5D87">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lastRenderedPageBreak/>
              <w:t>NSP</w:t>
            </w:r>
          </w:p>
        </w:tc>
        <w:tc>
          <w:tcPr>
            <w:tcW w:w="4621" w:type="dxa"/>
          </w:tcPr>
          <w:p w:rsidR="00415F31" w:rsidRDefault="00415F31" w:rsidP="00415F31">
            <w:pPr>
              <w:numPr>
                <w:ilvl w:val="0"/>
                <w:numId w:val="25"/>
              </w:numPr>
              <w:spacing w:after="240" w:line="288" w:lineRule="auto"/>
              <w:jc w:val="both"/>
              <w:cnfStyle w:val="000000000000" w:firstRow="0" w:lastRow="0" w:firstColumn="0" w:lastColumn="0" w:oddVBand="0" w:evenVBand="0" w:oddHBand="0" w:evenHBand="0" w:firstRowFirstColumn="0" w:firstRowLastColumn="0" w:lastRowFirstColumn="0" w:lastRowLastColumn="0"/>
            </w:pPr>
            <w:r>
              <w:t>network service provider</w:t>
            </w:r>
          </w:p>
        </w:tc>
      </w:tr>
      <w:tr w:rsidR="00415F31" w:rsidTr="00BD5D8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NTSC</w:t>
            </w:r>
          </w:p>
        </w:tc>
        <w:tc>
          <w:tcPr>
            <w:tcW w:w="4621" w:type="dxa"/>
          </w:tcPr>
          <w:p w:rsidR="00415F31" w:rsidRDefault="00415F31" w:rsidP="00415F31">
            <w:pPr>
              <w:numPr>
                <w:ilvl w:val="0"/>
                <w:numId w:val="25"/>
              </w:numPr>
              <w:spacing w:after="240" w:line="288" w:lineRule="auto"/>
              <w:jc w:val="both"/>
              <w:cnfStyle w:val="000000010000" w:firstRow="0" w:lastRow="0" w:firstColumn="0" w:lastColumn="0" w:oddVBand="0" w:evenVBand="0" w:oddHBand="0" w:evenHBand="1" w:firstRowFirstColumn="0" w:firstRowLastColumn="0" w:lastRowFirstColumn="0" w:lastRowLastColumn="0"/>
            </w:pPr>
            <w:r>
              <w:t>negotiated transmission service criteria</w:t>
            </w:r>
          </w:p>
        </w:tc>
      </w:tr>
      <w:tr w:rsidR="00415F31" w:rsidTr="00BD5D87">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opex</w:t>
            </w:r>
          </w:p>
        </w:tc>
        <w:tc>
          <w:tcPr>
            <w:tcW w:w="4621" w:type="dxa"/>
          </w:tcPr>
          <w:p w:rsidR="00415F31" w:rsidRDefault="00415F31" w:rsidP="00415F31">
            <w:pPr>
              <w:numPr>
                <w:ilvl w:val="0"/>
                <w:numId w:val="25"/>
              </w:numPr>
              <w:spacing w:after="240" w:line="288" w:lineRule="auto"/>
              <w:jc w:val="both"/>
              <w:cnfStyle w:val="000000000000" w:firstRow="0" w:lastRow="0" w:firstColumn="0" w:lastColumn="0" w:oddVBand="0" w:evenVBand="0" w:oddHBand="0" w:evenHBand="0" w:firstRowFirstColumn="0" w:firstRowLastColumn="0" w:lastRowFirstColumn="0" w:lastRowLastColumn="0"/>
            </w:pPr>
            <w:r>
              <w:t>operating expenditure</w:t>
            </w:r>
          </w:p>
        </w:tc>
      </w:tr>
      <w:tr w:rsidR="00415F31" w:rsidTr="00BD5D8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PPI</w:t>
            </w:r>
          </w:p>
        </w:tc>
        <w:tc>
          <w:tcPr>
            <w:tcW w:w="4621" w:type="dxa"/>
          </w:tcPr>
          <w:p w:rsidR="00415F31" w:rsidRDefault="00415F31" w:rsidP="00415F31">
            <w:pPr>
              <w:numPr>
                <w:ilvl w:val="0"/>
                <w:numId w:val="25"/>
              </w:numPr>
              <w:spacing w:after="240" w:line="288" w:lineRule="auto"/>
              <w:jc w:val="both"/>
              <w:cnfStyle w:val="000000010000" w:firstRow="0" w:lastRow="0" w:firstColumn="0" w:lastColumn="0" w:oddVBand="0" w:evenVBand="0" w:oddHBand="0" w:evenHBand="1" w:firstRowFirstColumn="0" w:firstRowLastColumn="0" w:lastRowFirstColumn="0" w:lastRowLastColumn="0"/>
            </w:pPr>
            <w:r>
              <w:t>partial performance indicators</w:t>
            </w:r>
          </w:p>
        </w:tc>
      </w:tr>
      <w:tr w:rsidR="00415F31" w:rsidTr="00BD5D87">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PTRM</w:t>
            </w:r>
          </w:p>
        </w:tc>
        <w:tc>
          <w:tcPr>
            <w:tcW w:w="4621" w:type="dxa"/>
          </w:tcPr>
          <w:p w:rsidR="00415F31" w:rsidRDefault="00415F31" w:rsidP="00415F31">
            <w:pPr>
              <w:numPr>
                <w:ilvl w:val="0"/>
                <w:numId w:val="25"/>
              </w:numPr>
              <w:spacing w:after="240" w:line="288" w:lineRule="auto"/>
              <w:jc w:val="both"/>
              <w:cnfStyle w:val="000000000000" w:firstRow="0" w:lastRow="0" w:firstColumn="0" w:lastColumn="0" w:oddVBand="0" w:evenVBand="0" w:oddHBand="0" w:evenHBand="0" w:firstRowFirstColumn="0" w:firstRowLastColumn="0" w:lastRowFirstColumn="0" w:lastRowLastColumn="0"/>
            </w:pPr>
            <w:r>
              <w:t>post-tax revenue model</w:t>
            </w:r>
          </w:p>
        </w:tc>
      </w:tr>
      <w:tr w:rsidR="00415F31" w:rsidTr="00BD5D8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RAB</w:t>
            </w:r>
          </w:p>
        </w:tc>
        <w:tc>
          <w:tcPr>
            <w:tcW w:w="4621" w:type="dxa"/>
          </w:tcPr>
          <w:p w:rsidR="00415F31" w:rsidRDefault="00415F31" w:rsidP="00415F31">
            <w:pPr>
              <w:numPr>
                <w:ilvl w:val="0"/>
                <w:numId w:val="25"/>
              </w:numPr>
              <w:spacing w:after="240" w:line="288" w:lineRule="auto"/>
              <w:jc w:val="both"/>
              <w:cnfStyle w:val="000000010000" w:firstRow="0" w:lastRow="0" w:firstColumn="0" w:lastColumn="0" w:oddVBand="0" w:evenVBand="0" w:oddHBand="0" w:evenHBand="1" w:firstRowFirstColumn="0" w:firstRowLastColumn="0" w:lastRowFirstColumn="0" w:lastRowLastColumn="0"/>
            </w:pPr>
            <w:r>
              <w:t>regulatory asset base</w:t>
            </w:r>
          </w:p>
        </w:tc>
      </w:tr>
      <w:tr w:rsidR="00415F31" w:rsidTr="00BD5D87">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RBA</w:t>
            </w:r>
          </w:p>
        </w:tc>
        <w:tc>
          <w:tcPr>
            <w:tcW w:w="4621" w:type="dxa"/>
          </w:tcPr>
          <w:p w:rsidR="00415F31" w:rsidRDefault="00415F31" w:rsidP="00415F31">
            <w:pPr>
              <w:numPr>
                <w:ilvl w:val="0"/>
                <w:numId w:val="25"/>
              </w:numPr>
              <w:spacing w:after="240" w:line="288" w:lineRule="auto"/>
              <w:jc w:val="both"/>
              <w:cnfStyle w:val="000000000000" w:firstRow="0" w:lastRow="0" w:firstColumn="0" w:lastColumn="0" w:oddVBand="0" w:evenVBand="0" w:oddHBand="0" w:evenHBand="0" w:firstRowFirstColumn="0" w:firstRowLastColumn="0" w:lastRowFirstColumn="0" w:lastRowLastColumn="0"/>
            </w:pPr>
            <w:r>
              <w:t>Reserve Bank of Australia</w:t>
            </w:r>
          </w:p>
        </w:tc>
      </w:tr>
      <w:tr w:rsidR="00415F31" w:rsidTr="00BD5D8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repex</w:t>
            </w:r>
          </w:p>
        </w:tc>
        <w:tc>
          <w:tcPr>
            <w:tcW w:w="4621" w:type="dxa"/>
          </w:tcPr>
          <w:p w:rsidR="00415F31" w:rsidRDefault="00415F31" w:rsidP="00415F31">
            <w:pPr>
              <w:numPr>
                <w:ilvl w:val="0"/>
                <w:numId w:val="25"/>
              </w:numPr>
              <w:spacing w:after="240" w:line="288" w:lineRule="auto"/>
              <w:jc w:val="both"/>
              <w:cnfStyle w:val="000000010000" w:firstRow="0" w:lastRow="0" w:firstColumn="0" w:lastColumn="0" w:oddVBand="0" w:evenVBand="0" w:oddHBand="0" w:evenHBand="1" w:firstRowFirstColumn="0" w:firstRowLastColumn="0" w:lastRowFirstColumn="0" w:lastRowLastColumn="0"/>
            </w:pPr>
            <w:r>
              <w:t>replacement expenditure</w:t>
            </w:r>
          </w:p>
        </w:tc>
      </w:tr>
      <w:tr w:rsidR="00415F31" w:rsidTr="00BD5D87">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RFM</w:t>
            </w:r>
          </w:p>
        </w:tc>
        <w:tc>
          <w:tcPr>
            <w:tcW w:w="4621" w:type="dxa"/>
          </w:tcPr>
          <w:p w:rsidR="00415F31" w:rsidRDefault="00415F31" w:rsidP="00415F31">
            <w:pPr>
              <w:numPr>
                <w:ilvl w:val="0"/>
                <w:numId w:val="25"/>
              </w:numPr>
              <w:spacing w:after="240" w:line="288" w:lineRule="auto"/>
              <w:jc w:val="both"/>
              <w:cnfStyle w:val="000000000000" w:firstRow="0" w:lastRow="0" w:firstColumn="0" w:lastColumn="0" w:oddVBand="0" w:evenVBand="0" w:oddHBand="0" w:evenHBand="0" w:firstRowFirstColumn="0" w:firstRowLastColumn="0" w:lastRowFirstColumn="0" w:lastRowLastColumn="0"/>
            </w:pPr>
            <w:r>
              <w:t>roll forward model</w:t>
            </w:r>
          </w:p>
        </w:tc>
      </w:tr>
      <w:tr w:rsidR="00415F31" w:rsidTr="00BD5D8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RIN</w:t>
            </w:r>
          </w:p>
        </w:tc>
        <w:tc>
          <w:tcPr>
            <w:tcW w:w="4621" w:type="dxa"/>
          </w:tcPr>
          <w:p w:rsidR="00415F31" w:rsidRDefault="00415F31" w:rsidP="00415F31">
            <w:pPr>
              <w:numPr>
                <w:ilvl w:val="0"/>
                <w:numId w:val="25"/>
              </w:numPr>
              <w:spacing w:after="240" w:line="288" w:lineRule="auto"/>
              <w:jc w:val="both"/>
              <w:cnfStyle w:val="000000010000" w:firstRow="0" w:lastRow="0" w:firstColumn="0" w:lastColumn="0" w:oddVBand="0" w:evenVBand="0" w:oddHBand="0" w:evenHBand="1" w:firstRowFirstColumn="0" w:firstRowLastColumn="0" w:lastRowFirstColumn="0" w:lastRowLastColumn="0"/>
            </w:pPr>
            <w:r>
              <w:t>regulatory information notice</w:t>
            </w:r>
          </w:p>
        </w:tc>
      </w:tr>
      <w:tr w:rsidR="00415F31" w:rsidTr="00BD5D87">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RPP</w:t>
            </w:r>
          </w:p>
        </w:tc>
        <w:tc>
          <w:tcPr>
            <w:tcW w:w="4621" w:type="dxa"/>
          </w:tcPr>
          <w:p w:rsidR="00415F31" w:rsidRDefault="00415F31" w:rsidP="00415F31">
            <w:pPr>
              <w:numPr>
                <w:ilvl w:val="0"/>
                <w:numId w:val="25"/>
              </w:numPr>
              <w:spacing w:after="240" w:line="288" w:lineRule="auto"/>
              <w:jc w:val="both"/>
              <w:cnfStyle w:val="000000000000" w:firstRow="0" w:lastRow="0" w:firstColumn="0" w:lastColumn="0" w:oddVBand="0" w:evenVBand="0" w:oddHBand="0" w:evenHBand="0" w:firstRowFirstColumn="0" w:firstRowLastColumn="0" w:lastRowFirstColumn="0" w:lastRowLastColumn="0"/>
            </w:pPr>
            <w:r>
              <w:t xml:space="preserve">revenue </w:t>
            </w:r>
            <w:r w:rsidR="002D72E8">
              <w:t xml:space="preserve">and </w:t>
            </w:r>
            <w:r>
              <w:t>pricing principles</w:t>
            </w:r>
          </w:p>
        </w:tc>
      </w:tr>
      <w:tr w:rsidR="00415F31" w:rsidTr="00BD5D8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SLCAPM</w:t>
            </w:r>
          </w:p>
        </w:tc>
        <w:tc>
          <w:tcPr>
            <w:tcW w:w="4621" w:type="dxa"/>
          </w:tcPr>
          <w:p w:rsidR="00415F31" w:rsidRDefault="00415F31" w:rsidP="00415F31">
            <w:pPr>
              <w:numPr>
                <w:ilvl w:val="0"/>
                <w:numId w:val="25"/>
              </w:numPr>
              <w:spacing w:after="240" w:line="288" w:lineRule="auto"/>
              <w:jc w:val="both"/>
              <w:cnfStyle w:val="000000010000" w:firstRow="0" w:lastRow="0" w:firstColumn="0" w:lastColumn="0" w:oddVBand="0" w:evenVBand="0" w:oddHBand="0" w:evenHBand="1" w:firstRowFirstColumn="0" w:firstRowLastColumn="0" w:lastRowFirstColumn="0" w:lastRowLastColumn="0"/>
            </w:pPr>
            <w:r>
              <w:t>Sharpe-Lintner capital asset pricing model</w:t>
            </w:r>
          </w:p>
        </w:tc>
      </w:tr>
      <w:tr w:rsidR="00415F31" w:rsidTr="00BD5D87">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STPIS</w:t>
            </w:r>
          </w:p>
        </w:tc>
        <w:tc>
          <w:tcPr>
            <w:tcW w:w="4621" w:type="dxa"/>
          </w:tcPr>
          <w:p w:rsidR="00415F31" w:rsidRDefault="00415F31" w:rsidP="00415F31">
            <w:pPr>
              <w:numPr>
                <w:ilvl w:val="0"/>
                <w:numId w:val="25"/>
              </w:numPr>
              <w:spacing w:after="240" w:line="288" w:lineRule="auto"/>
              <w:jc w:val="both"/>
              <w:cnfStyle w:val="000000000000" w:firstRow="0" w:lastRow="0" w:firstColumn="0" w:lastColumn="0" w:oddVBand="0" w:evenVBand="0" w:oddHBand="0" w:evenHBand="0" w:firstRowFirstColumn="0" w:firstRowLastColumn="0" w:lastRowFirstColumn="0" w:lastRowLastColumn="0"/>
            </w:pPr>
            <w:r>
              <w:t>service target performance incentive scheme</w:t>
            </w:r>
          </w:p>
        </w:tc>
      </w:tr>
      <w:tr w:rsidR="00415F31" w:rsidTr="00BD5D8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TNSP</w:t>
            </w:r>
          </w:p>
        </w:tc>
        <w:tc>
          <w:tcPr>
            <w:tcW w:w="4621" w:type="dxa"/>
          </w:tcPr>
          <w:p w:rsidR="00415F31" w:rsidRDefault="00415F31" w:rsidP="00415F31">
            <w:pPr>
              <w:numPr>
                <w:ilvl w:val="0"/>
                <w:numId w:val="25"/>
              </w:numPr>
              <w:spacing w:after="240" w:line="288" w:lineRule="auto"/>
              <w:jc w:val="both"/>
              <w:cnfStyle w:val="000000010000" w:firstRow="0" w:lastRow="0" w:firstColumn="0" w:lastColumn="0" w:oddVBand="0" w:evenVBand="0" w:oddHBand="0" w:evenHBand="1" w:firstRowFirstColumn="0" w:firstRowLastColumn="0" w:lastRowFirstColumn="0" w:lastRowLastColumn="0"/>
            </w:pPr>
            <w:r>
              <w:t>transmission network service provider</w:t>
            </w:r>
          </w:p>
        </w:tc>
      </w:tr>
      <w:tr w:rsidR="00415F31" w:rsidTr="00BD5D87">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TUoS</w:t>
            </w:r>
          </w:p>
        </w:tc>
        <w:tc>
          <w:tcPr>
            <w:tcW w:w="4621" w:type="dxa"/>
          </w:tcPr>
          <w:p w:rsidR="00415F31" w:rsidRDefault="00415F31" w:rsidP="00415F31">
            <w:pPr>
              <w:numPr>
                <w:ilvl w:val="0"/>
                <w:numId w:val="25"/>
              </w:numPr>
              <w:spacing w:after="240" w:line="288" w:lineRule="auto"/>
              <w:jc w:val="both"/>
              <w:cnfStyle w:val="000000000000" w:firstRow="0" w:lastRow="0" w:firstColumn="0" w:lastColumn="0" w:oddVBand="0" w:evenVBand="0" w:oddHBand="0" w:evenHBand="0" w:firstRowFirstColumn="0" w:firstRowLastColumn="0" w:lastRowFirstColumn="0" w:lastRowLastColumn="0"/>
            </w:pPr>
            <w:r>
              <w:t>transmission use of system</w:t>
            </w:r>
          </w:p>
        </w:tc>
      </w:tr>
      <w:tr w:rsidR="00415F31" w:rsidTr="00BD5D8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415F31">
            <w:pPr>
              <w:numPr>
                <w:ilvl w:val="0"/>
                <w:numId w:val="25"/>
              </w:numPr>
              <w:spacing w:after="240" w:line="288" w:lineRule="auto"/>
              <w:jc w:val="both"/>
            </w:pPr>
            <w:r>
              <w:t>WACC</w:t>
            </w:r>
          </w:p>
        </w:tc>
        <w:tc>
          <w:tcPr>
            <w:tcW w:w="4621" w:type="dxa"/>
          </w:tcPr>
          <w:p w:rsidR="00415F31" w:rsidRDefault="00415F31" w:rsidP="00415F31">
            <w:pPr>
              <w:numPr>
                <w:ilvl w:val="0"/>
                <w:numId w:val="25"/>
              </w:numPr>
              <w:spacing w:after="240" w:line="288" w:lineRule="auto"/>
              <w:jc w:val="both"/>
              <w:cnfStyle w:val="000000010000" w:firstRow="0" w:lastRow="0" w:firstColumn="0" w:lastColumn="0" w:oddVBand="0" w:evenVBand="0" w:oddHBand="0" w:evenHBand="1" w:firstRowFirstColumn="0" w:firstRowLastColumn="0" w:lastRowFirstColumn="0" w:lastRowLastColumn="0"/>
            </w:pPr>
            <w:r>
              <w:t>weighted average cost of capital</w:t>
            </w:r>
          </w:p>
        </w:tc>
      </w:tr>
    </w:tbl>
    <w:p w:rsidR="00415F31" w:rsidRPr="00271F7C" w:rsidRDefault="00415F31" w:rsidP="00415F31"/>
    <w:p w:rsidR="00DE563D" w:rsidRPr="00436A39" w:rsidRDefault="00DE563D" w:rsidP="00DE563D">
      <w:pPr>
        <w:numPr>
          <w:ilvl w:val="0"/>
          <w:numId w:val="25"/>
        </w:numPr>
      </w:pPr>
    </w:p>
    <w:p w:rsidR="00DE563D" w:rsidRDefault="00DE563D" w:rsidP="00DE563D"/>
    <w:p w:rsidR="00DE563D" w:rsidRDefault="008157EF" w:rsidP="008157EF">
      <w:pPr>
        <w:pStyle w:val="Heading1"/>
      </w:pPr>
      <w:bookmarkStart w:id="10" w:name="_Toc480810045"/>
      <w:r>
        <w:lastRenderedPageBreak/>
        <w:t>Capital expenditure sharing scheme</w:t>
      </w:r>
      <w:bookmarkEnd w:id="10"/>
    </w:p>
    <w:p w:rsidR="002A399F" w:rsidRDefault="00C243A1" w:rsidP="00C243A1">
      <w:bookmarkStart w:id="11" w:name="_Toc403144136"/>
      <w:r>
        <w:t xml:space="preserve">The capital expenditure sharing scheme (CESS) provides financial rewards for network service providers whose capex becomes more efficient and financial penalties for those that become less efficient. </w:t>
      </w:r>
      <w:r w:rsidR="002A399F">
        <w:t>It achieves this by rewarding service providers that outperform their capex allowance and penalises service providers that spend more than their capex allowance. The CESS also provides a mechanism to share efficiency gains and losses between service providers and network users</w:t>
      </w:r>
      <w:r w:rsidR="00D54094">
        <w:t>.</w:t>
      </w:r>
    </w:p>
    <w:p w:rsidR="00C243A1" w:rsidRDefault="00C243A1" w:rsidP="00C243A1">
      <w:r>
        <w:t xml:space="preserve">Consumers benefit from improved efficiency through </w:t>
      </w:r>
      <w:r w:rsidRPr="006F7FBD">
        <w:t xml:space="preserve">lower regulated prices. This attachment sets out how we will apply the CESS to </w:t>
      </w:r>
      <w:r w:rsidR="002F0931">
        <w:t>AusNet Services</w:t>
      </w:r>
      <w:r w:rsidRPr="006F7FBD">
        <w:t xml:space="preserve"> in the 201</w:t>
      </w:r>
      <w:r w:rsidR="002F0931">
        <w:t>7</w:t>
      </w:r>
      <w:r w:rsidRPr="006F7FBD">
        <w:t>–</w:t>
      </w:r>
      <w:r w:rsidR="002F0931">
        <w:t>22</w:t>
      </w:r>
      <w:r w:rsidRPr="006F7FBD">
        <w:t xml:space="preserve"> regulatory control period.</w:t>
      </w:r>
      <w:r>
        <w:t xml:space="preserve"> </w:t>
      </w:r>
    </w:p>
    <w:p w:rsidR="00C243A1" w:rsidRDefault="00C243A1" w:rsidP="00C243A1">
      <w:pPr>
        <w:numPr>
          <w:ilvl w:val="0"/>
          <w:numId w:val="25"/>
        </w:numPr>
      </w:pPr>
      <w:r>
        <w:t xml:space="preserve">As part of the </w:t>
      </w:r>
      <w:r w:rsidRPr="0037766C">
        <w:t xml:space="preserve">Better Regulation program we consulted on and published version 1 of the </w:t>
      </w:r>
      <w:r>
        <w:t xml:space="preserve">capital expenditure </w:t>
      </w:r>
      <w:r w:rsidRPr="0037766C">
        <w:t xml:space="preserve">incentive guideline </w:t>
      </w:r>
      <w:r>
        <w:t xml:space="preserve">(capex incentive guideline), </w:t>
      </w:r>
      <w:r w:rsidRPr="0037766C">
        <w:t>which sets out the CESS.</w:t>
      </w:r>
      <w:r w:rsidRPr="0037766C">
        <w:rPr>
          <w:rStyle w:val="FootnoteReference"/>
        </w:rPr>
        <w:footnoteReference w:id="1"/>
      </w:r>
      <w:r>
        <w:t xml:space="preserve"> T</w:t>
      </w:r>
      <w:r w:rsidRPr="00D62AE7">
        <w:t xml:space="preserve">he </w:t>
      </w:r>
      <w:r>
        <w:t>CE</w:t>
      </w:r>
      <w:r w:rsidRPr="00D62AE7">
        <w:t xml:space="preserve">SS </w:t>
      </w:r>
      <w:r>
        <w:t>approximates</w:t>
      </w:r>
      <w:r w:rsidRPr="00D62AE7">
        <w:t xml:space="preserve"> efficiency gains </w:t>
      </w:r>
      <w:r>
        <w:t xml:space="preserve">and </w:t>
      </w:r>
      <w:r w:rsidRPr="00D62AE7">
        <w:t>efficiency losses</w:t>
      </w:r>
      <w:r>
        <w:t xml:space="preserve"> by calculating the difference between forecast and actual capex. It shares these </w:t>
      </w:r>
      <w:r w:rsidRPr="00D62AE7">
        <w:t>gains or losses between</w:t>
      </w:r>
      <w:r>
        <w:t xml:space="preserve"> service providers and consumers. </w:t>
      </w:r>
    </w:p>
    <w:p w:rsidR="00C243A1" w:rsidRDefault="00C243A1" w:rsidP="00C243A1">
      <w:pPr>
        <w:numPr>
          <w:ilvl w:val="0"/>
          <w:numId w:val="25"/>
        </w:numPr>
      </w:pPr>
      <w:r>
        <w:t xml:space="preserve">The CESS works as follows: </w:t>
      </w:r>
    </w:p>
    <w:p w:rsidR="00C243A1" w:rsidRPr="004547DC" w:rsidRDefault="00C243A1" w:rsidP="00C243A1">
      <w:pPr>
        <w:pStyle w:val="AERbulletlistfirststyle"/>
      </w:pPr>
      <w:r>
        <w:t xml:space="preserve">We calculate the cumulative underspend or overspend for the current regulatory control period in net present value terms. </w:t>
      </w:r>
    </w:p>
    <w:p w:rsidR="00C243A1" w:rsidRPr="004547DC" w:rsidRDefault="00C243A1" w:rsidP="00C243A1">
      <w:pPr>
        <w:pStyle w:val="AERbulletlistfirststyle"/>
      </w:pPr>
      <w:r>
        <w:t xml:space="preserve">We apply the sharing ratio of 30 per cent to the cumulative underspend or overspend to work out what the </w:t>
      </w:r>
      <w:r w:rsidRPr="004547DC">
        <w:t>service provider's share of the underspend or overspend should be.</w:t>
      </w:r>
    </w:p>
    <w:p w:rsidR="00C243A1" w:rsidRPr="004547DC" w:rsidRDefault="00C243A1" w:rsidP="00C243A1">
      <w:pPr>
        <w:pStyle w:val="AERbulletlistfirststyle"/>
      </w:pPr>
      <w:r>
        <w:t xml:space="preserve">We calculate the CESS payments taking into account the financing benefit or cost to the </w:t>
      </w:r>
      <w:r w:rsidRPr="004547DC">
        <w:t>service provider of the underspends or overspends.</w:t>
      </w:r>
      <w:r w:rsidRPr="004547DC">
        <w:rPr>
          <w:rStyle w:val="FootnoteReference"/>
        </w:rPr>
        <w:footnoteReference w:id="2"/>
      </w:r>
      <w:r w:rsidRPr="004547DC">
        <w:t xml:space="preserve"> We can also make further adjustments to account for deferral of capex and ex post exclusions of capex from the RAB.</w:t>
      </w:r>
      <w:r w:rsidRPr="004547DC">
        <w:rPr>
          <w:rStyle w:val="FootnoteReference"/>
        </w:rPr>
        <w:footnoteReference w:id="3"/>
      </w:r>
      <w:r w:rsidRPr="004547DC">
        <w:t xml:space="preserve"> </w:t>
      </w:r>
    </w:p>
    <w:p w:rsidR="00C243A1" w:rsidRPr="004547DC" w:rsidRDefault="00C243A1" w:rsidP="00C243A1">
      <w:pPr>
        <w:pStyle w:val="AERbulletlistfirststyle"/>
      </w:pPr>
      <w:r>
        <w:t xml:space="preserve">The CESS payments will be added or subtracted to the </w:t>
      </w:r>
      <w:r w:rsidRPr="004547DC">
        <w:t>service provider's regulated revenue as a separate building block in the next regulatory control period.</w:t>
      </w:r>
    </w:p>
    <w:p w:rsidR="00C243A1" w:rsidRDefault="00C243A1" w:rsidP="00C243A1">
      <w:pPr>
        <w:numPr>
          <w:ilvl w:val="0"/>
          <w:numId w:val="25"/>
        </w:numPr>
      </w:pPr>
      <w:r>
        <w:t>Under the CESS a service provider retains 30 per cent of an</w:t>
      </w:r>
      <w:r w:rsidR="00C5501A">
        <w:t xml:space="preserve"> </w:t>
      </w:r>
      <w:r>
        <w:t>underspend or overspend, while consumers retain 70 per cent of the underspend on overspend. This means that for a one dollar saving in capex the service provider</w:t>
      </w:r>
      <w:r w:rsidRPr="004903FE" w:rsidDel="001F2206">
        <w:t xml:space="preserve"> </w:t>
      </w:r>
      <w:r>
        <w:t xml:space="preserve">keeps 30 cents of the benefit while consumers keep 70 cents of the benefit. </w:t>
      </w:r>
    </w:p>
    <w:p w:rsidR="00DE563D" w:rsidRDefault="00BB34EA" w:rsidP="001754EE">
      <w:pPr>
        <w:pStyle w:val="Heading2"/>
      </w:pPr>
      <w:bookmarkStart w:id="12" w:name="_Toc480810046"/>
      <w:r>
        <w:lastRenderedPageBreak/>
        <w:t>Final</w:t>
      </w:r>
      <w:r w:rsidR="00DE563D" w:rsidRPr="001754EE">
        <w:t xml:space="preserve"> decision</w:t>
      </w:r>
      <w:bookmarkEnd w:id="11"/>
      <w:bookmarkEnd w:id="12"/>
    </w:p>
    <w:p w:rsidR="00492389" w:rsidRDefault="00C243A1" w:rsidP="00245821">
      <w:r>
        <w:t xml:space="preserve">We will apply </w:t>
      </w:r>
      <w:r w:rsidRPr="006F7FBD">
        <w:t>the</w:t>
      </w:r>
      <w:r>
        <w:t xml:space="preserve"> CESS </w:t>
      </w:r>
      <w:r w:rsidRPr="004547DC">
        <w:t xml:space="preserve">as set out in version 1 of the capital expenditure incentives guideline </w:t>
      </w:r>
      <w:r w:rsidRPr="006F7FBD">
        <w:t xml:space="preserve">to </w:t>
      </w:r>
      <w:r w:rsidR="002F0931">
        <w:t>AusNet Services</w:t>
      </w:r>
      <w:r w:rsidR="002F0931" w:rsidRPr="006F7FBD">
        <w:t xml:space="preserve"> in the 201</w:t>
      </w:r>
      <w:r w:rsidR="002F0931">
        <w:t>7</w:t>
      </w:r>
      <w:r w:rsidR="002F0931" w:rsidRPr="006F7FBD">
        <w:t>–</w:t>
      </w:r>
      <w:r w:rsidR="002F0931">
        <w:t>22</w:t>
      </w:r>
      <w:r w:rsidR="00141948">
        <w:t xml:space="preserve"> regulatory control period</w:t>
      </w:r>
      <w:r w:rsidRPr="004547DC">
        <w:t>.</w:t>
      </w:r>
      <w:r w:rsidRPr="004547DC">
        <w:rPr>
          <w:rStyle w:val="FootnoteReference"/>
        </w:rPr>
        <w:footnoteReference w:id="4"/>
      </w:r>
      <w:r w:rsidRPr="004547DC">
        <w:t xml:space="preserve"> </w:t>
      </w:r>
      <w:r>
        <w:t>This is consistent with the proposed approach we set out in our framework and approach paper.</w:t>
      </w:r>
      <w:r>
        <w:rPr>
          <w:rStyle w:val="FootnoteReference"/>
        </w:rPr>
        <w:footnoteReference w:id="5"/>
      </w:r>
      <w:r>
        <w:t xml:space="preserve"> We will apply </w:t>
      </w:r>
      <w:r w:rsidRPr="004547DC">
        <w:t>the exclusion from the CESS of capex the service provider incurs in delivering a priority project approved under the network capability component of the Service Target Performance Incentive Scheme (STPIS) for transmission network service providers.</w:t>
      </w:r>
      <w:r w:rsidRPr="004547DC">
        <w:rPr>
          <w:rStyle w:val="FootnoteReference"/>
        </w:rPr>
        <w:footnoteReference w:id="6"/>
      </w:r>
      <w:bookmarkStart w:id="13" w:name="_Toc403144137"/>
      <w:r w:rsidR="00492389" w:rsidRPr="00C10597">
        <w:t xml:space="preserve"> </w:t>
      </w:r>
    </w:p>
    <w:p w:rsidR="00DE563D" w:rsidRPr="001754EE" w:rsidRDefault="000B321F" w:rsidP="001754EE">
      <w:pPr>
        <w:pStyle w:val="Heading2"/>
      </w:pPr>
      <w:bookmarkStart w:id="14" w:name="_Toc480810047"/>
      <w:r>
        <w:t>AusNet Services</w:t>
      </w:r>
      <w:r w:rsidR="00415F31" w:rsidRPr="001754EE">
        <w:t>’</w:t>
      </w:r>
      <w:r w:rsidR="00DE563D" w:rsidRPr="001754EE">
        <w:t xml:space="preserve"> </w:t>
      </w:r>
      <w:r w:rsidR="00BB34EA">
        <w:t xml:space="preserve">revised </w:t>
      </w:r>
      <w:r w:rsidR="00DE563D" w:rsidRPr="001754EE">
        <w:t>proposal</w:t>
      </w:r>
      <w:bookmarkEnd w:id="13"/>
      <w:bookmarkEnd w:id="14"/>
    </w:p>
    <w:p w:rsidR="000B321F" w:rsidRDefault="00C243A1" w:rsidP="00FE55BF">
      <w:r>
        <w:t>AusNet Services accepted our draft decision to apply a CESS consistent with our capital expenditure incentive guidelines.</w:t>
      </w:r>
      <w:r>
        <w:rPr>
          <w:rStyle w:val="FootnoteReference"/>
        </w:rPr>
        <w:footnoteReference w:id="7"/>
      </w:r>
    </w:p>
    <w:p w:rsidR="00DE563D" w:rsidRDefault="00DE563D" w:rsidP="001754EE">
      <w:pPr>
        <w:pStyle w:val="Heading2"/>
      </w:pPr>
      <w:bookmarkStart w:id="15" w:name="_Toc403144138"/>
      <w:bookmarkStart w:id="16" w:name="_Toc480810048"/>
      <w:r w:rsidRPr="001754EE">
        <w:t>AER’s</w:t>
      </w:r>
      <w:r>
        <w:t xml:space="preserve"> assessment approach</w:t>
      </w:r>
      <w:bookmarkEnd w:id="15"/>
      <w:bookmarkEnd w:id="16"/>
    </w:p>
    <w:p w:rsidR="000B321F" w:rsidRDefault="00C243A1" w:rsidP="002C233C">
      <w:r>
        <w:t>Our approach on the CESS was detailed in our draft decision for AusNet Services, attachment 10.</w:t>
      </w:r>
      <w:r w:rsidR="007F4075">
        <w:t xml:space="preserve"> This sets out our reasons for deciding to apply the CESS (Version 1) to AusNet Services for the forthcoming regulatory control period and the details for how this scheme will apply.</w:t>
      </w:r>
      <w:r w:rsidR="007F4075">
        <w:rPr>
          <w:rStyle w:val="FootnoteReference"/>
        </w:rPr>
        <w:footnoteReference w:id="8"/>
      </w:r>
    </w:p>
    <w:p w:rsidR="00C243A1" w:rsidRPr="004547DC" w:rsidRDefault="00C243A1" w:rsidP="00C243A1">
      <w:pPr>
        <w:pStyle w:val="Heading3"/>
      </w:pPr>
      <w:bookmarkStart w:id="17" w:name="_Toc390936446"/>
      <w:bookmarkStart w:id="18" w:name="_Toc404179454"/>
      <w:bookmarkStart w:id="19" w:name="_Toc417319842"/>
      <w:bookmarkStart w:id="20" w:name="_Toc480810049"/>
      <w:r w:rsidRPr="00E94C06">
        <w:t>Interrelationships</w:t>
      </w:r>
      <w:bookmarkEnd w:id="17"/>
      <w:bookmarkEnd w:id="18"/>
      <w:bookmarkEnd w:id="19"/>
      <w:bookmarkEnd w:id="20"/>
      <w:r w:rsidRPr="00E94C06">
        <w:t xml:space="preserve"> </w:t>
      </w:r>
    </w:p>
    <w:p w:rsidR="00C243A1" w:rsidRPr="00B449B8" w:rsidRDefault="00C243A1" w:rsidP="00C243A1">
      <w:pPr>
        <w:numPr>
          <w:ilvl w:val="0"/>
          <w:numId w:val="25"/>
        </w:numPr>
      </w:pPr>
      <w:r>
        <w:t xml:space="preserve">The CESS relates to other incentives </w:t>
      </w:r>
      <w:r w:rsidR="00BB67C0">
        <w:t xml:space="preserve">AusNet Services </w:t>
      </w:r>
      <w:r>
        <w:t>faces to incur efficient opex, conduct demand management and maintain or improve service levels.</w:t>
      </w:r>
      <w:r>
        <w:rPr>
          <w:rStyle w:val="FootnoteReference"/>
        </w:rPr>
        <w:footnoteReference w:id="9"/>
      </w:r>
      <w:r>
        <w:t xml:space="preserve"> We aim to incentivise network service providers </w:t>
      </w:r>
      <w:r w:rsidRPr="00F9085C">
        <w:t>to make efficient decisions on when and what type of expenditure to incur and to balance expenditure efficiencies with service quality.</w:t>
      </w:r>
      <w:r>
        <w:t xml:space="preserve"> We discuss these interrelationships where relevant as part of our reasons below and in our capex attachment. </w:t>
      </w:r>
    </w:p>
    <w:p w:rsidR="00DE563D" w:rsidRDefault="00DE563D" w:rsidP="001754EE">
      <w:pPr>
        <w:pStyle w:val="Heading2"/>
      </w:pPr>
      <w:bookmarkStart w:id="21" w:name="_Toc403144140"/>
      <w:bookmarkStart w:id="22" w:name="_Toc480810050"/>
      <w:r w:rsidRPr="001754EE">
        <w:t>Reasons</w:t>
      </w:r>
      <w:r>
        <w:t xml:space="preserve"> for </w:t>
      </w:r>
      <w:r w:rsidR="00BB34EA">
        <w:t>final</w:t>
      </w:r>
      <w:r>
        <w:t xml:space="preserve"> decision</w:t>
      </w:r>
      <w:bookmarkEnd w:id="21"/>
      <w:bookmarkEnd w:id="22"/>
      <w:r>
        <w:t xml:space="preserve"> </w:t>
      </w:r>
    </w:p>
    <w:p w:rsidR="000B321F" w:rsidRDefault="00C243A1" w:rsidP="00540418">
      <w:pPr>
        <w:rPr>
          <w:rStyle w:val="AERbody"/>
        </w:rPr>
      </w:pPr>
      <w:r>
        <w:rPr>
          <w:rStyle w:val="AERbody"/>
        </w:rPr>
        <w:t xml:space="preserve">We </w:t>
      </w:r>
      <w:r w:rsidR="00303F75">
        <w:rPr>
          <w:rStyle w:val="AERbody"/>
        </w:rPr>
        <w:t>accept</w:t>
      </w:r>
      <w:r>
        <w:rPr>
          <w:rStyle w:val="AERbody"/>
        </w:rPr>
        <w:t xml:space="preserve"> AusNet Services' proposal to apply the CESS as set out in the capex incentive guideline. This includes the exclusion provided for under the CESS of capex the service provider incurs in delivering a priority project approved under the network capability component of the transmission STPIS.</w:t>
      </w:r>
      <w:r w:rsidR="00EF058A">
        <w:rPr>
          <w:rStyle w:val="FootnoteReference"/>
        </w:rPr>
        <w:footnoteReference w:id="10"/>
      </w:r>
      <w:r>
        <w:rPr>
          <w:rStyle w:val="AERbody"/>
        </w:rPr>
        <w:t xml:space="preserve"> </w:t>
      </w:r>
    </w:p>
    <w:p w:rsidR="00C243A1" w:rsidRDefault="00C243A1" w:rsidP="00540418">
      <w:pPr>
        <w:rPr>
          <w:rStyle w:val="AERbody"/>
        </w:rPr>
      </w:pPr>
      <w:r>
        <w:rPr>
          <w:rStyle w:val="AERbody"/>
        </w:rPr>
        <w:lastRenderedPageBreak/>
        <w:t>The reasons for our preference for a CESS are set out in our capital expenditure incentive guideline.</w:t>
      </w:r>
      <w:r>
        <w:rPr>
          <w:rStyle w:val="FootnoteReference"/>
        </w:rPr>
        <w:footnoteReference w:id="11"/>
      </w:r>
      <w:r>
        <w:rPr>
          <w:rStyle w:val="AERbody"/>
        </w:rPr>
        <w:t xml:space="preserve"> In developing the guideline we too</w:t>
      </w:r>
      <w:r w:rsidR="008E7101">
        <w:rPr>
          <w:rStyle w:val="AERbody"/>
        </w:rPr>
        <w:t>k</w:t>
      </w:r>
      <w:r>
        <w:rPr>
          <w:rStyle w:val="AERbody"/>
        </w:rPr>
        <w:t xml:space="preserve"> into account the capex incentive objective, capex criteria, capex objectives and the NEO. </w:t>
      </w:r>
      <w:r w:rsidR="008C2261">
        <w:rPr>
          <w:rStyle w:val="AERbody"/>
        </w:rPr>
        <w:t>As noted above, our detailed consideration and reasons for this decision are set out in attachment 10 of our draft decision.</w:t>
      </w:r>
    </w:p>
    <w:p w:rsidR="00853CAA" w:rsidRDefault="00853CAA" w:rsidP="00540418">
      <w:pPr>
        <w:rPr>
          <w:rStyle w:val="AERbody"/>
        </w:rPr>
      </w:pPr>
    </w:p>
    <w:sectPr w:rsidR="00853CAA" w:rsidSect="00EE50D1">
      <w:pgSz w:w="11906" w:h="16838" w:code="9"/>
      <w:pgMar w:top="1440" w:right="1700" w:bottom="1582" w:left="1729" w:header="720" w:footer="0" w:gutter="0"/>
      <w:pgNumType w:chapStyle="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9733D" w:rsidRPr="00290C63" w:rsidRDefault="00B9733D" w:rsidP="00290C63">
      <w:r>
        <w:separator/>
      </w:r>
    </w:p>
    <w:p w:rsidR="00B9733D" w:rsidRDefault="00B9733D"/>
  </w:endnote>
  <w:endnote w:type="continuationSeparator" w:id="0">
    <w:p w:rsidR="00B9733D" w:rsidRPr="00290C63" w:rsidRDefault="00B9733D" w:rsidP="00290C63">
      <w:r>
        <w:continuationSeparator/>
      </w:r>
    </w:p>
    <w:p w:rsidR="00B9733D" w:rsidRDefault="00B9733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Gautami">
    <w:panose1 w:val="020B0502040204020203"/>
    <w:charset w:val="01"/>
    <w:family w:val="roman"/>
    <w:notTrueType/>
    <w:pitch w:val="variable"/>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733D" w:rsidRPr="00290C63" w:rsidRDefault="00B9733D" w:rsidP="00290C63">
    <w:pPr>
      <w:rPr>
        <w:rStyle w:val="PageNumber"/>
      </w:rPr>
    </w:pPr>
    <w:r w:rsidRPr="00290C63">
      <w:rPr>
        <w:rStyle w:val="PageNumber"/>
      </w:rPr>
      <w:fldChar w:fldCharType="begin"/>
    </w:r>
    <w:r w:rsidRPr="00290C63">
      <w:rPr>
        <w:rStyle w:val="PageNumber"/>
      </w:rPr>
      <w:instrText xml:space="preserve"> PAGE   \* MERGEFORMAT </w:instrText>
    </w:r>
    <w:r w:rsidRPr="00290C63">
      <w:rPr>
        <w:rStyle w:val="PageNumber"/>
      </w:rPr>
      <w:fldChar w:fldCharType="separate"/>
    </w:r>
    <w:r w:rsidRPr="00290C63">
      <w:rPr>
        <w:rStyle w:val="PageNumber"/>
      </w:rPr>
      <w:t>2</w:t>
    </w:r>
    <w:r w:rsidRPr="00290C63">
      <w:rPr>
        <w:rStyle w:val="PageNumber"/>
      </w:rPr>
      <w:fldChar w:fldCharType="end"/>
    </w:r>
    <w:r w:rsidRPr="00290C63">
      <w:rPr>
        <w:rStyle w:val="PageNumber"/>
      </w:rPr>
      <w:tab/>
      <w:t>Xxx report—month/year</w:t>
    </w:r>
  </w:p>
  <w:p w:rsidR="00B9733D" w:rsidRDefault="00B9733D"/>
  <w:p w:rsidR="00B9733D" w:rsidRDefault="00B9733D"/>
  <w:p w:rsidR="00B9733D" w:rsidRDefault="00B9733D"/>
  <w:p w:rsidR="00B9733D" w:rsidRDefault="00B9733D"/>
  <w:p w:rsidR="00B9733D" w:rsidRDefault="00B9733D"/>
  <w:p w:rsidR="00B9733D" w:rsidRDefault="00B9733D"/>
  <w:p w:rsidR="00B9733D" w:rsidRDefault="00B9733D"/>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53655474"/>
      <w:docPartObj>
        <w:docPartGallery w:val="Page Numbers (Bottom of Page)"/>
        <w:docPartUnique/>
      </w:docPartObj>
    </w:sdtPr>
    <w:sdtEndPr>
      <w:rPr>
        <w:noProof/>
      </w:rPr>
    </w:sdtEndPr>
    <w:sdtContent>
      <w:p w:rsidR="00B9733D" w:rsidRDefault="00B9733D" w:rsidP="00BB34EA">
        <w:pPr>
          <w:pStyle w:val="Footer"/>
        </w:pPr>
        <w:r>
          <w:fldChar w:fldCharType="begin"/>
        </w:r>
        <w:r>
          <w:instrText xml:space="preserve"> PAGE   \* MERGEFORMAT </w:instrText>
        </w:r>
        <w:r>
          <w:fldChar w:fldCharType="separate"/>
        </w:r>
        <w:r w:rsidR="00903EE2">
          <w:rPr>
            <w:noProof/>
          </w:rPr>
          <w:t>10-3</w:t>
        </w:r>
        <w:r>
          <w:rPr>
            <w:noProof/>
          </w:rPr>
          <w:fldChar w:fldCharType="end"/>
        </w:r>
        <w:r>
          <w:rPr>
            <w:noProof/>
          </w:rPr>
          <w:t xml:space="preserve">          </w:t>
        </w:r>
        <w:r w:rsidRPr="00FD5E78">
          <w:rPr>
            <w:noProof/>
          </w:rPr>
          <w:t>Attachment 1</w:t>
        </w:r>
        <w:r w:rsidR="008157EF">
          <w:rPr>
            <w:noProof/>
          </w:rPr>
          <w:t>0</w:t>
        </w:r>
        <w:r w:rsidRPr="00FD5E78">
          <w:rPr>
            <w:noProof/>
          </w:rPr>
          <w:t xml:space="preserve"> </w:t>
        </w:r>
        <w:r w:rsidRPr="00FD5E78">
          <w:rPr>
            <w:rFonts w:cs="Gautami"/>
            <w:noProof/>
          </w:rPr>
          <w:t xml:space="preserve">– </w:t>
        </w:r>
        <w:r w:rsidR="008157EF">
          <w:t>Capital expenditure sharing scheme</w:t>
        </w:r>
        <w:r w:rsidRPr="00FD5E78">
          <w:rPr>
            <w:rFonts w:cs="Gautami"/>
            <w:noProof/>
          </w:rPr>
          <w:t xml:space="preserve"> | </w:t>
        </w:r>
        <w:r w:rsidR="00BB34EA">
          <w:t>Final</w:t>
        </w:r>
        <w:r w:rsidRPr="00FD5E78">
          <w:rPr>
            <w:rFonts w:cs="Gautami"/>
            <w:noProof/>
          </w:rPr>
          <w:t xml:space="preserve"> decision</w:t>
        </w:r>
        <w:r>
          <w:rPr>
            <w:rFonts w:cs="Gautami"/>
            <w:noProof/>
          </w:rPr>
          <w:t>:</w:t>
        </w:r>
        <w:r w:rsidRPr="00FD5E78">
          <w:rPr>
            <w:rFonts w:cs="Gautami"/>
            <w:noProof/>
          </w:rPr>
          <w:t xml:space="preserve"> </w:t>
        </w:r>
        <w:r>
          <w:rPr>
            <w:rFonts w:cs="Gautami"/>
            <w:noProof/>
          </w:rPr>
          <w:t>AusNet Ser</w:t>
        </w:r>
        <w:r w:rsidR="00F95752">
          <w:t>v</w:t>
        </w:r>
        <w:r>
          <w:rPr>
            <w:rFonts w:cs="Gautami"/>
            <w:noProof/>
          </w:rPr>
          <w:t>ices</w:t>
        </w:r>
        <w:r w:rsidRPr="00FD5E78">
          <w:t xml:space="preserve"> transmission</w:t>
        </w:r>
        <w:r w:rsidRPr="00FD5E78">
          <w:rPr>
            <w:rFonts w:cs="Gautami"/>
            <w:noProof/>
          </w:rPr>
          <w:t xml:space="preserve"> determination 201</w:t>
        </w:r>
        <w:r w:rsidR="000B321F">
          <w:rPr>
            <w:rFonts w:cs="Gautami"/>
            <w:noProof/>
          </w:rPr>
          <w:t>7</w:t>
        </w:r>
        <w:r w:rsidRPr="00FD5E78">
          <w:rPr>
            <w:rFonts w:cs="Gautami"/>
            <w:noProof/>
          </w:rPr>
          <w:t>–</w:t>
        </w:r>
        <w:r w:rsidR="000B321F">
          <w:rPr>
            <w:rFonts w:cs="Gautami"/>
            <w:noProof/>
          </w:rPr>
          <w:t>22</w:t>
        </w:r>
      </w:p>
    </w:sdtContent>
  </w:sdt>
  <w:p w:rsidR="00B9733D" w:rsidRDefault="00B9733D">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733D" w:rsidRPr="00290C63" w:rsidRDefault="00B9733D" w:rsidP="00290C63">
    <w:pPr>
      <w:pStyle w:val="Footer"/>
    </w:pPr>
    <w:r>
      <w:t>Name of Report</w:t>
    </w:r>
    <w:r>
      <w:tab/>
    </w:r>
    <w:r>
      <w:tab/>
    </w:r>
    <w:r w:rsidRPr="00290C63">
      <w:fldChar w:fldCharType="begin"/>
    </w:r>
    <w:r w:rsidRPr="00290C63">
      <w:instrText xml:space="preserve"> PAGE   \* MERGEFORMAT </w:instrText>
    </w:r>
    <w:r w:rsidRPr="00290C63">
      <w:fldChar w:fldCharType="separate"/>
    </w:r>
    <w:r w:rsidRPr="00290C63">
      <w:t>1</w:t>
    </w:r>
    <w:r w:rsidRPr="00290C63">
      <w:fldChar w:fldCharType="end"/>
    </w:r>
  </w:p>
  <w:p w:rsidR="00B9733D" w:rsidRDefault="00B9733D">
    <w:pPr>
      <w:pStyle w:val="Footer"/>
    </w:pPr>
  </w:p>
  <w:p w:rsidR="00B9733D" w:rsidRDefault="00B9733D"/>
  <w:p w:rsidR="00B9733D" w:rsidRDefault="00B9733D"/>
  <w:p w:rsidR="00B9733D" w:rsidRDefault="00B9733D"/>
  <w:p w:rsidR="00B9733D" w:rsidRDefault="00B9733D"/>
  <w:p w:rsidR="00B9733D" w:rsidRDefault="00B9733D"/>
  <w:p w:rsidR="00B9733D" w:rsidRDefault="00B9733D"/>
  <w:p w:rsidR="00B9733D" w:rsidRDefault="00B9733D"/>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9733D" w:rsidRPr="00290C63" w:rsidRDefault="00B9733D" w:rsidP="00290C63">
      <w:r>
        <w:separator/>
      </w:r>
    </w:p>
    <w:p w:rsidR="00B9733D" w:rsidRDefault="00B9733D"/>
  </w:footnote>
  <w:footnote w:type="continuationSeparator" w:id="0">
    <w:p w:rsidR="00B9733D" w:rsidRPr="00290C63" w:rsidRDefault="00B9733D" w:rsidP="00290C63">
      <w:r>
        <w:continuationSeparator/>
      </w:r>
    </w:p>
    <w:p w:rsidR="00B9733D" w:rsidRDefault="00B9733D"/>
  </w:footnote>
  <w:footnote w:id="1">
    <w:p w:rsidR="00C243A1" w:rsidRDefault="00C243A1" w:rsidP="00C243A1">
      <w:pPr>
        <w:pStyle w:val="FootnoteText"/>
      </w:pPr>
      <w:r>
        <w:rPr>
          <w:rStyle w:val="FootnoteReference"/>
        </w:rPr>
        <w:footnoteRef/>
      </w:r>
      <w:r>
        <w:t xml:space="preserve"> </w:t>
      </w:r>
      <w:r>
        <w:tab/>
      </w:r>
      <w:r w:rsidRPr="00F007E7">
        <w:t xml:space="preserve">AER, </w:t>
      </w:r>
      <w:r w:rsidRPr="004A7AE9">
        <w:rPr>
          <w:rStyle w:val="AERtextitalic"/>
        </w:rPr>
        <w:t>Capital Expenditure Incentive Guideline for Electricity Network Service Providers</w:t>
      </w:r>
      <w:r w:rsidRPr="00F007E7">
        <w:t>, November 2013, pp. 5–9. (AER,</w:t>
      </w:r>
      <w:r>
        <w:t xml:space="preserve"> </w:t>
      </w:r>
      <w:r w:rsidRPr="004A7AE9">
        <w:rPr>
          <w:rStyle w:val="AERtextitalic"/>
        </w:rPr>
        <w:t>Capex incentive guideline</w:t>
      </w:r>
      <w:r w:rsidRPr="00F007E7">
        <w:t>, November 2013).</w:t>
      </w:r>
    </w:p>
  </w:footnote>
  <w:footnote w:id="2">
    <w:p w:rsidR="00C243A1" w:rsidRDefault="00C243A1" w:rsidP="00C243A1">
      <w:pPr>
        <w:pStyle w:val="FootnoteText"/>
      </w:pPr>
      <w:r>
        <w:rPr>
          <w:rStyle w:val="FootnoteReference"/>
        </w:rPr>
        <w:footnoteRef/>
      </w:r>
      <w:r>
        <w:t xml:space="preserve"> </w:t>
      </w:r>
      <w:r>
        <w:tab/>
      </w:r>
      <w:r w:rsidRPr="00F34E0F">
        <w:t xml:space="preserve">We calculate benefits as the benefits </w:t>
      </w:r>
      <w:r>
        <w:t xml:space="preserve">to the service provider </w:t>
      </w:r>
      <w:r w:rsidRPr="00F34E0F">
        <w:t>of financing the underspend since the amount of the underspend can be put to s</w:t>
      </w:r>
      <w:r>
        <w:t>ome other income generating use during the period.</w:t>
      </w:r>
      <w:r w:rsidRPr="00F34E0F">
        <w:t xml:space="preserve"> Losses are similarly calculated as the financing cost </w:t>
      </w:r>
      <w:r>
        <w:t xml:space="preserve">to the service provider </w:t>
      </w:r>
      <w:r w:rsidRPr="00F34E0F">
        <w:t>of the overspend.</w:t>
      </w:r>
    </w:p>
  </w:footnote>
  <w:footnote w:id="3">
    <w:p w:rsidR="00C243A1" w:rsidRDefault="00C243A1" w:rsidP="00C243A1">
      <w:pPr>
        <w:pStyle w:val="FootnoteText"/>
      </w:pPr>
      <w:r>
        <w:rPr>
          <w:rStyle w:val="FootnoteReference"/>
        </w:rPr>
        <w:footnoteRef/>
      </w:r>
      <w:r>
        <w:t xml:space="preserve"> </w:t>
      </w:r>
      <w:r>
        <w:tab/>
        <w:t xml:space="preserve">The capex incentive guideline outlines how we may exclude capex from the RAB. AER, </w:t>
      </w:r>
      <w:r>
        <w:rPr>
          <w:rStyle w:val="AERtextitalic"/>
        </w:rPr>
        <w:t>Capex incentive guideline</w:t>
      </w:r>
      <w:r>
        <w:t>, November 2013, pp. 13</w:t>
      </w:r>
      <w:r w:rsidRPr="0095438A">
        <w:t>–</w:t>
      </w:r>
      <w:r>
        <w:t>20.</w:t>
      </w:r>
    </w:p>
  </w:footnote>
  <w:footnote w:id="4">
    <w:p w:rsidR="00C243A1" w:rsidRDefault="00C243A1" w:rsidP="00C243A1">
      <w:pPr>
        <w:pStyle w:val="FootnoteText"/>
      </w:pPr>
      <w:r>
        <w:rPr>
          <w:rStyle w:val="FootnoteReference"/>
        </w:rPr>
        <w:footnoteRef/>
      </w:r>
      <w:r>
        <w:t xml:space="preserve"> </w:t>
      </w:r>
      <w:r>
        <w:tab/>
        <w:t xml:space="preserve">AER, </w:t>
      </w:r>
      <w:r>
        <w:rPr>
          <w:rStyle w:val="AERtextitalic"/>
        </w:rPr>
        <w:t>Capex incentive guideline</w:t>
      </w:r>
      <w:r>
        <w:t>, November 2013, pp. 5</w:t>
      </w:r>
      <w:r>
        <w:rPr>
          <w:rFonts w:cs="Gautami"/>
        </w:rPr>
        <w:t>–</w:t>
      </w:r>
      <w:r>
        <w:t>9.</w:t>
      </w:r>
    </w:p>
  </w:footnote>
  <w:footnote w:id="5">
    <w:p w:rsidR="00C243A1" w:rsidRDefault="00C243A1" w:rsidP="00C243A1">
      <w:pPr>
        <w:pStyle w:val="FootnoteText"/>
      </w:pPr>
      <w:r>
        <w:rPr>
          <w:rStyle w:val="FootnoteReference"/>
        </w:rPr>
        <w:footnoteRef/>
      </w:r>
      <w:r>
        <w:t xml:space="preserve"> </w:t>
      </w:r>
      <w:r>
        <w:tab/>
        <w:t xml:space="preserve">AER, </w:t>
      </w:r>
      <w:r w:rsidRPr="00CD7A30">
        <w:rPr>
          <w:rStyle w:val="AERtextitalic"/>
        </w:rPr>
        <w:t>Framework and approach paper</w:t>
      </w:r>
      <w:r>
        <w:rPr>
          <w:rStyle w:val="AERtextitalic"/>
        </w:rPr>
        <w:t xml:space="preserve">, </w:t>
      </w:r>
      <w:r w:rsidR="002F0931">
        <w:rPr>
          <w:rStyle w:val="AERtextitalic"/>
        </w:rPr>
        <w:t>AusNet Services</w:t>
      </w:r>
      <w:r>
        <w:t>,</w:t>
      </w:r>
      <w:r w:rsidR="002F0931">
        <w:t xml:space="preserve"> April 2015, p. 23</w:t>
      </w:r>
      <w:r>
        <w:t>.</w:t>
      </w:r>
    </w:p>
  </w:footnote>
  <w:footnote w:id="6">
    <w:p w:rsidR="00C243A1" w:rsidRDefault="00C243A1" w:rsidP="00C243A1">
      <w:pPr>
        <w:pStyle w:val="FootnoteText"/>
      </w:pPr>
      <w:r>
        <w:rPr>
          <w:rStyle w:val="FootnoteReference"/>
        </w:rPr>
        <w:footnoteRef/>
      </w:r>
      <w:r>
        <w:t xml:space="preserve"> </w:t>
      </w:r>
      <w:r>
        <w:tab/>
        <w:t xml:space="preserve">AER, </w:t>
      </w:r>
      <w:r>
        <w:rPr>
          <w:rStyle w:val="AERtextitalic"/>
        </w:rPr>
        <w:t>Capex incentive guideline</w:t>
      </w:r>
      <w:r>
        <w:t>, November 2013, p. 6.</w:t>
      </w:r>
    </w:p>
  </w:footnote>
  <w:footnote w:id="7">
    <w:p w:rsidR="00C243A1" w:rsidRDefault="00C243A1">
      <w:pPr>
        <w:pStyle w:val="FootnoteText"/>
      </w:pPr>
      <w:r>
        <w:rPr>
          <w:rStyle w:val="FootnoteReference"/>
        </w:rPr>
        <w:footnoteRef/>
      </w:r>
      <w:r>
        <w:t xml:space="preserve"> </w:t>
      </w:r>
      <w:r>
        <w:tab/>
        <w:t xml:space="preserve">AusNet Services, </w:t>
      </w:r>
      <w:r w:rsidRPr="00C243A1">
        <w:rPr>
          <w:rStyle w:val="AERtextitalic"/>
        </w:rPr>
        <w:t>Revised Regulatory Proposal  2017-22</w:t>
      </w:r>
      <w:r>
        <w:t>, 21 September 2016, p. 215.</w:t>
      </w:r>
    </w:p>
  </w:footnote>
  <w:footnote w:id="8">
    <w:p w:rsidR="007F4075" w:rsidRDefault="007F4075">
      <w:pPr>
        <w:pStyle w:val="FootnoteText"/>
      </w:pPr>
      <w:r>
        <w:rPr>
          <w:rStyle w:val="FootnoteReference"/>
        </w:rPr>
        <w:footnoteRef/>
      </w:r>
      <w:r>
        <w:t xml:space="preserve"> </w:t>
      </w:r>
      <w:r>
        <w:tab/>
        <w:t>NER, cl 6A.6.5A(e)</w:t>
      </w:r>
    </w:p>
  </w:footnote>
  <w:footnote w:id="9">
    <w:p w:rsidR="00C243A1" w:rsidRDefault="00C243A1" w:rsidP="00C243A1">
      <w:pPr>
        <w:pStyle w:val="FootnoteText"/>
      </w:pPr>
      <w:r>
        <w:rPr>
          <w:rStyle w:val="FootnoteReference"/>
        </w:rPr>
        <w:footnoteRef/>
      </w:r>
      <w:r>
        <w:t xml:space="preserve"> </w:t>
      </w:r>
      <w:r>
        <w:tab/>
        <w:t xml:space="preserve">Related schemes are the efficiency benefit sharing scheme (EBSS) for opex, and the service target performance incentive scheme (STPIS) for service levels. </w:t>
      </w:r>
    </w:p>
  </w:footnote>
  <w:footnote w:id="10">
    <w:p w:rsidR="00EF058A" w:rsidRDefault="00EF058A">
      <w:pPr>
        <w:pStyle w:val="FootnoteText"/>
      </w:pPr>
      <w:r>
        <w:rPr>
          <w:rStyle w:val="FootnoteReference"/>
        </w:rPr>
        <w:footnoteRef/>
      </w:r>
      <w:r>
        <w:t xml:space="preserve"> </w:t>
      </w:r>
      <w:r>
        <w:tab/>
        <w:t>NER, cl 6A.14.1(5A).</w:t>
      </w:r>
    </w:p>
  </w:footnote>
  <w:footnote w:id="11">
    <w:p w:rsidR="00C243A1" w:rsidRDefault="00C243A1">
      <w:pPr>
        <w:pStyle w:val="FootnoteText"/>
      </w:pPr>
      <w:r>
        <w:rPr>
          <w:rStyle w:val="FootnoteReference"/>
        </w:rPr>
        <w:footnoteRef/>
      </w:r>
      <w:r>
        <w:t xml:space="preserve"> </w:t>
      </w:r>
      <w:r>
        <w:tab/>
        <w:t xml:space="preserve">AER, </w:t>
      </w:r>
      <w:r w:rsidRPr="00C243A1">
        <w:rPr>
          <w:rStyle w:val="AERtextitalic"/>
        </w:rPr>
        <w:t>Capex incentive guideline</w:t>
      </w:r>
      <w:r>
        <w:t>, November 2013.</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80E8D0B0"/>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756075BE"/>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7D84C18C"/>
    <w:lvl w:ilvl="0">
      <w:start w:val="1"/>
      <w:numFmt w:val="decimal"/>
      <w:pStyle w:val="ListNumber3"/>
      <w:lvlText w:val="%1."/>
      <w:lvlJc w:val="left"/>
      <w:pPr>
        <w:tabs>
          <w:tab w:val="num" w:pos="1021"/>
        </w:tabs>
        <w:ind w:left="1021" w:hanging="341"/>
      </w:pPr>
      <w:rPr>
        <w:rFonts w:hint="default"/>
      </w:rPr>
    </w:lvl>
  </w:abstractNum>
  <w:abstractNum w:abstractNumId="3">
    <w:nsid w:val="FFFFFF7F"/>
    <w:multiLevelType w:val="singleLevel"/>
    <w:tmpl w:val="C9043968"/>
    <w:lvl w:ilvl="0">
      <w:start w:val="1"/>
      <w:numFmt w:val="decimal"/>
      <w:pStyle w:val="ListNumber2"/>
      <w:lvlText w:val="%1."/>
      <w:lvlJc w:val="left"/>
      <w:pPr>
        <w:ind w:left="700" w:hanging="360"/>
      </w:pPr>
    </w:lvl>
  </w:abstractNum>
  <w:abstractNum w:abstractNumId="4">
    <w:nsid w:val="FFFFFF80"/>
    <w:multiLevelType w:val="singleLevel"/>
    <w:tmpl w:val="E38619F2"/>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93BE8B6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C6AE9A80"/>
    <w:lvl w:ilvl="0">
      <w:start w:val="1"/>
      <w:numFmt w:val="upperLetter"/>
      <w:pStyle w:val="ListBullet3"/>
      <w:lvlText w:val="(%1)"/>
      <w:lvlJc w:val="left"/>
      <w:pPr>
        <w:ind w:left="720" w:hanging="360"/>
      </w:pPr>
      <w:rPr>
        <w:rFonts w:hint="default"/>
      </w:rPr>
    </w:lvl>
  </w:abstractNum>
  <w:abstractNum w:abstractNumId="7">
    <w:nsid w:val="FFFFFF83"/>
    <w:multiLevelType w:val="singleLevel"/>
    <w:tmpl w:val="72802F94"/>
    <w:lvl w:ilvl="0">
      <w:start w:val="1"/>
      <w:numFmt w:val="lowerLetter"/>
      <w:pStyle w:val="ListBullet2"/>
      <w:lvlText w:val="(%1)"/>
      <w:lvlJc w:val="left"/>
      <w:pPr>
        <w:ind w:left="700" w:hanging="360"/>
      </w:pPr>
      <w:rPr>
        <w:rFonts w:hint="default"/>
      </w:rPr>
    </w:lvl>
  </w:abstractNum>
  <w:abstractNum w:abstractNumId="8">
    <w:nsid w:val="FFFFFF88"/>
    <w:multiLevelType w:val="singleLevel"/>
    <w:tmpl w:val="F0E083E8"/>
    <w:lvl w:ilvl="0">
      <w:start w:val="1"/>
      <w:numFmt w:val="decimal"/>
      <w:pStyle w:val="ListNumber"/>
      <w:lvlText w:val="%1."/>
      <w:lvlJc w:val="left"/>
      <w:pPr>
        <w:tabs>
          <w:tab w:val="num" w:pos="360"/>
        </w:tabs>
        <w:ind w:left="360" w:hanging="360"/>
      </w:pPr>
    </w:lvl>
  </w:abstractNum>
  <w:abstractNum w:abstractNumId="9">
    <w:nsid w:val="031C7FA6"/>
    <w:multiLevelType w:val="hybridMultilevel"/>
    <w:tmpl w:val="1A7E9E04"/>
    <w:lvl w:ilvl="0" w:tplc="A356B254">
      <w:start w:val="1"/>
      <w:numFmt w:val="bullet"/>
      <w:lvlText w:val=""/>
      <w:lvlJc w:val="left"/>
      <w:pPr>
        <w:ind w:left="1077" w:hanging="360"/>
      </w:pPr>
      <w:rPr>
        <w:rFonts w:ascii="Wingdings" w:hAnsi="Wingdings"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10">
    <w:nsid w:val="0C4312B0"/>
    <w:multiLevelType w:val="hybridMultilevel"/>
    <w:tmpl w:val="C1266B52"/>
    <w:lvl w:ilvl="0" w:tplc="990A9FAA">
      <w:start w:val="1"/>
      <w:numFmt w:val="lowerLetter"/>
      <w:pStyle w:val="Listalphabet"/>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1">
    <w:nsid w:val="0DD2542B"/>
    <w:multiLevelType w:val="hybridMultilevel"/>
    <w:tmpl w:val="60FAC388"/>
    <w:lvl w:ilvl="0" w:tplc="50264BE2">
      <w:start w:val="1"/>
      <w:numFmt w:val="decimal"/>
      <w:pStyle w:val="ListParagraph"/>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nsid w:val="133E73B6"/>
    <w:multiLevelType w:val="hybridMultilevel"/>
    <w:tmpl w:val="80220B84"/>
    <w:lvl w:ilvl="0" w:tplc="F5987420">
      <w:start w:val="1"/>
      <w:numFmt w:val="decimal"/>
      <w:pStyle w:val="Numberedparagraph"/>
      <w:lvlText w:val="%1."/>
      <w:lvlJc w:val="left"/>
      <w:pPr>
        <w:ind w:left="360" w:hanging="360"/>
      </w:pPr>
      <w:rPr>
        <w:rFonts w:hint="default"/>
      </w:rPr>
    </w:lvl>
    <w:lvl w:ilvl="1" w:tplc="A5728FDE" w:tentative="1">
      <w:start w:val="1"/>
      <w:numFmt w:val="bullet"/>
      <w:lvlText w:val="o"/>
      <w:lvlJc w:val="left"/>
      <w:pPr>
        <w:ind w:left="2520" w:hanging="360"/>
      </w:pPr>
      <w:rPr>
        <w:rFonts w:ascii="Courier New" w:hAnsi="Courier New" w:cs="Courier New" w:hint="default"/>
      </w:rPr>
    </w:lvl>
    <w:lvl w:ilvl="2" w:tplc="B6B8266A" w:tentative="1">
      <w:start w:val="1"/>
      <w:numFmt w:val="bullet"/>
      <w:lvlText w:val=""/>
      <w:lvlJc w:val="left"/>
      <w:pPr>
        <w:ind w:left="3240" w:hanging="360"/>
      </w:pPr>
      <w:rPr>
        <w:rFonts w:ascii="Wingdings" w:hAnsi="Wingdings" w:hint="default"/>
      </w:rPr>
    </w:lvl>
    <w:lvl w:ilvl="3" w:tplc="0E067E3E" w:tentative="1">
      <w:start w:val="1"/>
      <w:numFmt w:val="bullet"/>
      <w:lvlText w:val=""/>
      <w:lvlJc w:val="left"/>
      <w:pPr>
        <w:ind w:left="3960" w:hanging="360"/>
      </w:pPr>
      <w:rPr>
        <w:rFonts w:ascii="Symbol" w:hAnsi="Symbol" w:hint="default"/>
      </w:rPr>
    </w:lvl>
    <w:lvl w:ilvl="4" w:tplc="9D8444DE" w:tentative="1">
      <w:start w:val="1"/>
      <w:numFmt w:val="bullet"/>
      <w:lvlText w:val="o"/>
      <w:lvlJc w:val="left"/>
      <w:pPr>
        <w:ind w:left="4680" w:hanging="360"/>
      </w:pPr>
      <w:rPr>
        <w:rFonts w:ascii="Courier New" w:hAnsi="Courier New" w:cs="Courier New" w:hint="default"/>
      </w:rPr>
    </w:lvl>
    <w:lvl w:ilvl="5" w:tplc="47DE7D34" w:tentative="1">
      <w:start w:val="1"/>
      <w:numFmt w:val="bullet"/>
      <w:lvlText w:val=""/>
      <w:lvlJc w:val="left"/>
      <w:pPr>
        <w:ind w:left="5400" w:hanging="360"/>
      </w:pPr>
      <w:rPr>
        <w:rFonts w:ascii="Wingdings" w:hAnsi="Wingdings" w:hint="default"/>
      </w:rPr>
    </w:lvl>
    <w:lvl w:ilvl="6" w:tplc="9D0AFFEA" w:tentative="1">
      <w:start w:val="1"/>
      <w:numFmt w:val="bullet"/>
      <w:lvlText w:val=""/>
      <w:lvlJc w:val="left"/>
      <w:pPr>
        <w:ind w:left="6120" w:hanging="360"/>
      </w:pPr>
      <w:rPr>
        <w:rFonts w:ascii="Symbol" w:hAnsi="Symbol" w:hint="default"/>
      </w:rPr>
    </w:lvl>
    <w:lvl w:ilvl="7" w:tplc="663EE25A" w:tentative="1">
      <w:start w:val="1"/>
      <w:numFmt w:val="bullet"/>
      <w:lvlText w:val="o"/>
      <w:lvlJc w:val="left"/>
      <w:pPr>
        <w:ind w:left="6840" w:hanging="360"/>
      </w:pPr>
      <w:rPr>
        <w:rFonts w:ascii="Courier New" w:hAnsi="Courier New" w:cs="Courier New" w:hint="default"/>
      </w:rPr>
    </w:lvl>
    <w:lvl w:ilvl="8" w:tplc="2DD24F62" w:tentative="1">
      <w:start w:val="1"/>
      <w:numFmt w:val="bullet"/>
      <w:lvlText w:val=""/>
      <w:lvlJc w:val="left"/>
      <w:pPr>
        <w:ind w:left="7560" w:hanging="360"/>
      </w:pPr>
      <w:rPr>
        <w:rFonts w:ascii="Wingdings" w:hAnsi="Wingdings" w:hint="default"/>
      </w:rPr>
    </w:lvl>
  </w:abstractNum>
  <w:abstractNum w:abstractNumId="13">
    <w:nsid w:val="1C3F44DE"/>
    <w:multiLevelType w:val="multilevel"/>
    <w:tmpl w:val="950A1C52"/>
    <w:numStyleLink w:val="AERHeadings"/>
  </w:abstractNum>
  <w:abstractNum w:abstractNumId="14">
    <w:nsid w:val="1CF519CE"/>
    <w:multiLevelType w:val="multilevel"/>
    <w:tmpl w:val="FDC07CAE"/>
    <w:lvl w:ilvl="0">
      <w:start w:val="1"/>
      <w:numFmt w:val="decimal"/>
      <w:pStyle w:val="Numbered1111111"/>
      <w:lvlText w:val="%1."/>
      <w:lvlJc w:val="left"/>
      <w:pPr>
        <w:ind w:left="360" w:hanging="360"/>
      </w:pPr>
    </w:lvl>
    <w:lvl w:ilvl="1">
      <w:start w:val="1"/>
      <w:numFmt w:val="decimal"/>
      <w:pStyle w:val="Numberedparagraph11"/>
      <w:lvlText w:val="%1.%2."/>
      <w:lvlJc w:val="left"/>
      <w:pPr>
        <w:ind w:left="792" w:hanging="432"/>
      </w:pPr>
    </w:lvl>
    <w:lvl w:ilvl="2">
      <w:start w:val="1"/>
      <w:numFmt w:val="decimal"/>
      <w:pStyle w:val="Numbered111111111"/>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pStyle w:val="Numbered1111111"/>
      <w:lvlText w:val="%1.%2.%3.%4.%5.%6.%7."/>
      <w:lvlJc w:val="left"/>
      <w:pPr>
        <w:ind w:left="3240" w:hanging="1080"/>
      </w:pPr>
    </w:lvl>
    <w:lvl w:ilvl="7">
      <w:start w:val="1"/>
      <w:numFmt w:val="decimal"/>
      <w:lvlText w:val="%1.%2.%3.%4.%5.%6.%7.%8."/>
      <w:lvlJc w:val="left"/>
      <w:pPr>
        <w:ind w:left="3744" w:hanging="1224"/>
      </w:pPr>
    </w:lvl>
    <w:lvl w:ilvl="8">
      <w:start w:val="1"/>
      <w:numFmt w:val="decimal"/>
      <w:pStyle w:val="Numbered111111111"/>
      <w:lvlText w:val="%1.%2.%3.%4.%5.%6.%7.%8.%9."/>
      <w:lvlJc w:val="left"/>
      <w:pPr>
        <w:ind w:left="4320" w:hanging="1440"/>
      </w:pPr>
    </w:lvl>
  </w:abstractNum>
  <w:abstractNum w:abstractNumId="15">
    <w:nsid w:val="1F6066C2"/>
    <w:multiLevelType w:val="hybridMultilevel"/>
    <w:tmpl w:val="2F5E7F54"/>
    <w:lvl w:ilvl="0" w:tplc="C5FCFD8A">
      <w:start w:val="1"/>
      <w:numFmt w:val="decimal"/>
      <w:lvlText w:val="1.%1"/>
      <w:lvlJc w:val="left"/>
      <w:pPr>
        <w:ind w:left="36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nsid w:val="241317C6"/>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7">
    <w:nsid w:val="2592056E"/>
    <w:multiLevelType w:val="multilevel"/>
    <w:tmpl w:val="950A1C52"/>
    <w:numStyleLink w:val="AERHeadings"/>
  </w:abstractNum>
  <w:abstractNum w:abstractNumId="18">
    <w:nsid w:val="26AA0DA7"/>
    <w:multiLevelType w:val="multilevel"/>
    <w:tmpl w:val="F49485A8"/>
    <w:lvl w:ilvl="0">
      <w:start w:val="1"/>
      <w:numFmt w:val="upperLetter"/>
      <w:pStyle w:val="Heading7"/>
      <w:lvlText w:val="%1"/>
      <w:lvlJc w:val="left"/>
      <w:pPr>
        <w:ind w:left="340" w:hanging="340"/>
      </w:pPr>
      <w:rPr>
        <w:rFonts w:hint="default"/>
      </w:rPr>
    </w:lvl>
    <w:lvl w:ilvl="1">
      <w:start w:val="1"/>
      <w:numFmt w:val="decimal"/>
      <w:lvlRestart w:val="0"/>
      <w:pStyle w:val="Heading8"/>
      <w:lvlText w:val="%1.%2"/>
      <w:lvlJc w:val="left"/>
      <w:pPr>
        <w:tabs>
          <w:tab w:val="num" w:pos="1021"/>
        </w:tabs>
        <w:ind w:left="1021" w:hanging="1021"/>
      </w:pPr>
      <w:rPr>
        <w:rFonts w:hint="default"/>
      </w:rPr>
    </w:lvl>
    <w:lvl w:ilvl="2">
      <w:start w:val="1"/>
      <w:numFmt w:val="decimal"/>
      <w:pStyle w:val="Heading9"/>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9">
    <w:nsid w:val="28865DF8"/>
    <w:multiLevelType w:val="hybridMultilevel"/>
    <w:tmpl w:val="EC0E5568"/>
    <w:lvl w:ilvl="0" w:tplc="D90E7D7A">
      <w:start w:val="1"/>
      <w:numFmt w:val="lowerLetter"/>
      <w:pStyle w:val="AERnumberedlistsecondstyle"/>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20">
    <w:nsid w:val="2A7A4051"/>
    <w:multiLevelType w:val="multilevel"/>
    <w:tmpl w:val="C04EFA60"/>
    <w:lvl w:ilvl="0">
      <w:start w:val="1"/>
      <w:numFmt w:val="upperLetter"/>
      <w:lvlText w:val="%1"/>
      <w:lvlJc w:val="left"/>
      <w:pPr>
        <w:ind w:left="340" w:hanging="340"/>
      </w:pPr>
      <w:rPr>
        <w:rFonts w:hint="default"/>
      </w:rPr>
    </w:lvl>
    <w:lvl w:ilvl="1">
      <w:start w:val="1"/>
      <w:numFmt w:val="decimal"/>
      <w:lvlRestart w:val="0"/>
      <w:lvlText w:val="%1.%2"/>
      <w:lvlJc w:val="left"/>
      <w:pPr>
        <w:tabs>
          <w:tab w:val="num" w:pos="1021"/>
        </w:tabs>
        <w:ind w:left="1021" w:hanging="1021"/>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1">
    <w:nsid w:val="2FB612CC"/>
    <w:multiLevelType w:val="multilevel"/>
    <w:tmpl w:val="950A1C52"/>
    <w:styleLink w:val="AERHeadings"/>
    <w:lvl w:ilvl="0">
      <w:start w:val="1"/>
      <w:numFmt w:val="none"/>
      <w:lvlText w:val="%1"/>
      <w:lvlJc w:val="left"/>
      <w:pPr>
        <w:tabs>
          <w:tab w:val="num" w:pos="0"/>
        </w:tabs>
        <w:ind w:left="0" w:firstLine="0"/>
      </w:pPr>
      <w:rPr>
        <w:rFonts w:hint="default"/>
      </w:rPr>
    </w:lvl>
    <w:lvl w:ilvl="1">
      <w:start w:val="1"/>
      <w:numFmt w:val="decimal"/>
      <w:lvlText w:val="%1%2"/>
      <w:lvlJc w:val="left"/>
      <w:pPr>
        <w:tabs>
          <w:tab w:val="num" w:pos="0"/>
        </w:tabs>
        <w:ind w:left="0" w:hanging="851"/>
      </w:pPr>
      <w:rPr>
        <w:rFonts w:hint="default"/>
      </w:rPr>
    </w:lvl>
    <w:lvl w:ilvl="2">
      <w:start w:val="1"/>
      <w:numFmt w:val="decimal"/>
      <w:lvlText w:val="%1%2.%3"/>
      <w:lvlJc w:val="left"/>
      <w:pPr>
        <w:tabs>
          <w:tab w:val="num" w:pos="0"/>
        </w:tabs>
        <w:ind w:left="0" w:hanging="851"/>
      </w:pPr>
      <w:rPr>
        <w:rFonts w:hint="default"/>
      </w:rPr>
    </w:lvl>
    <w:lvl w:ilvl="3">
      <w:start w:val="1"/>
      <w:numFmt w:val="decimal"/>
      <w:lvlText w:val="%2.%3.%4"/>
      <w:lvlJc w:val="left"/>
      <w:pPr>
        <w:tabs>
          <w:tab w:val="num" w:pos="0"/>
        </w:tabs>
        <w:ind w:left="0" w:hanging="851"/>
      </w:pPr>
      <w:rPr>
        <w:rFonts w:hint="default"/>
      </w:rPr>
    </w:lvl>
    <w:lvl w:ilvl="4">
      <w:start w:val="1"/>
      <w:numFmt w:val="upperLetter"/>
      <w:lvlRestart w:val="1"/>
      <w:lvlText w:val="%5"/>
      <w:lvlJc w:val="left"/>
      <w:pPr>
        <w:tabs>
          <w:tab w:val="num" w:pos="0"/>
        </w:tabs>
        <w:ind w:left="0" w:hanging="851"/>
      </w:pPr>
      <w:rPr>
        <w:rFonts w:hint="default"/>
      </w:rPr>
    </w:lvl>
    <w:lvl w:ilvl="5">
      <w:start w:val="1"/>
      <w:numFmt w:val="decimal"/>
      <w:lvlText w:val="%5.%6"/>
      <w:lvlJc w:val="left"/>
      <w:pPr>
        <w:tabs>
          <w:tab w:val="num" w:pos="0"/>
        </w:tabs>
        <w:ind w:left="0" w:hanging="851"/>
      </w:pPr>
      <w:rPr>
        <w:rFonts w:hint="default"/>
      </w:rPr>
    </w:lvl>
    <w:lvl w:ilvl="6">
      <w:start w:val="1"/>
      <w:numFmt w:val="decimal"/>
      <w:lvlText w:val="%5.%6.%7"/>
      <w:lvlJc w:val="left"/>
      <w:pPr>
        <w:tabs>
          <w:tab w:val="num" w:pos="0"/>
        </w:tabs>
        <w:ind w:left="0" w:hanging="851"/>
      </w:pPr>
      <w:rPr>
        <w:rFonts w:hint="default"/>
      </w:rPr>
    </w:lvl>
    <w:lvl w:ilvl="7">
      <w:start w:val="1"/>
      <w:numFmt w:val="none"/>
      <w:lvlRestart w:val="0"/>
      <w:lvlText w:val=""/>
      <w:lvlJc w:val="left"/>
      <w:pPr>
        <w:tabs>
          <w:tab w:val="num" w:pos="0"/>
        </w:tabs>
        <w:ind w:left="0" w:firstLine="0"/>
      </w:pPr>
      <w:rPr>
        <w:rFonts w:hint="default"/>
      </w:rPr>
    </w:lvl>
    <w:lvl w:ilvl="8">
      <w:start w:val="1"/>
      <w:numFmt w:val="none"/>
      <w:lvlRestart w:val="0"/>
      <w:lvlText w:val=""/>
      <w:lvlJc w:val="left"/>
      <w:pPr>
        <w:ind w:left="0" w:firstLine="0"/>
      </w:pPr>
      <w:rPr>
        <w:rFonts w:hint="default"/>
      </w:rPr>
    </w:lvl>
  </w:abstractNum>
  <w:abstractNum w:abstractNumId="22">
    <w:nsid w:val="34AC7051"/>
    <w:multiLevelType w:val="multilevel"/>
    <w:tmpl w:val="265C1DE2"/>
    <w:styleLink w:val="OldAERheading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none"/>
      <w:lvlText w:val=""/>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3">
    <w:nsid w:val="3923347D"/>
    <w:multiLevelType w:val="hybridMultilevel"/>
    <w:tmpl w:val="8E96A9EE"/>
    <w:lvl w:ilvl="0" w:tplc="5E568C86">
      <w:start w:val="1"/>
      <w:numFmt w:val="decimal"/>
      <w:pStyle w:val="ListBullet"/>
      <w:lvlText w:val="(%1)"/>
      <w:lvlJc w:val="left"/>
      <w:pPr>
        <w:ind w:left="360" w:hanging="360"/>
      </w:pPr>
      <w:rPr>
        <w:rFonts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nsid w:val="3AF336BC"/>
    <w:multiLevelType w:val="hybridMultilevel"/>
    <w:tmpl w:val="955A02CC"/>
    <w:lvl w:ilvl="0" w:tplc="C90C7928">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nsid w:val="3F5F4FFC"/>
    <w:multiLevelType w:val="multilevel"/>
    <w:tmpl w:val="950A1C52"/>
    <w:numStyleLink w:val="AERHeadings"/>
  </w:abstractNum>
  <w:abstractNum w:abstractNumId="26">
    <w:nsid w:val="41412A8D"/>
    <w:multiLevelType w:val="multilevel"/>
    <w:tmpl w:val="0C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7">
    <w:nsid w:val="41A80E45"/>
    <w:multiLevelType w:val="multilevel"/>
    <w:tmpl w:val="950A1C52"/>
    <w:numStyleLink w:val="AERHeadings"/>
  </w:abstractNum>
  <w:abstractNum w:abstractNumId="28">
    <w:nsid w:val="443F74CB"/>
    <w:multiLevelType w:val="hybridMultilevel"/>
    <w:tmpl w:val="5FB40038"/>
    <w:lvl w:ilvl="0" w:tplc="921A7DDA">
      <w:start w:val="1"/>
      <w:numFmt w:val="decimal"/>
      <w:lvlText w:val="%1."/>
      <w:lvlJc w:val="left"/>
      <w:pPr>
        <w:tabs>
          <w:tab w:val="num" w:pos="357"/>
        </w:tabs>
        <w:ind w:left="357" w:hanging="357"/>
      </w:pPr>
      <w:rPr>
        <w:rFonts w:ascii="Gautami" w:hAnsi="Gautami" w:hint="default"/>
        <w:b w:val="0"/>
        <w:i w:val="0"/>
        <w:sz w:val="22"/>
      </w:rPr>
    </w:lvl>
    <w:lvl w:ilvl="1" w:tplc="6A7A61AE">
      <w:start w:val="1"/>
      <w:numFmt w:val="bullet"/>
      <w:lvlText w:val=""/>
      <w:lvlJc w:val="left"/>
      <w:pPr>
        <w:tabs>
          <w:tab w:val="num" w:pos="4498"/>
        </w:tabs>
        <w:ind w:left="4498" w:hanging="358"/>
      </w:pPr>
      <w:rPr>
        <w:rFonts w:ascii="Wingdings" w:hAnsi="Wingdings" w:hint="default"/>
        <w:b w:val="0"/>
        <w:i w:val="0"/>
        <w:sz w:val="22"/>
      </w:rPr>
    </w:lvl>
    <w:lvl w:ilvl="2" w:tplc="0C090005" w:tentative="1">
      <w:start w:val="1"/>
      <w:numFmt w:val="lowerRoman"/>
      <w:lvlText w:val="%3."/>
      <w:lvlJc w:val="right"/>
      <w:pPr>
        <w:tabs>
          <w:tab w:val="num" w:pos="5220"/>
        </w:tabs>
        <w:ind w:left="5220" w:hanging="180"/>
      </w:pPr>
    </w:lvl>
    <w:lvl w:ilvl="3" w:tplc="0C090001" w:tentative="1">
      <w:start w:val="1"/>
      <w:numFmt w:val="decimal"/>
      <w:lvlText w:val="%4."/>
      <w:lvlJc w:val="left"/>
      <w:pPr>
        <w:tabs>
          <w:tab w:val="num" w:pos="5940"/>
        </w:tabs>
        <w:ind w:left="5940" w:hanging="360"/>
      </w:pPr>
    </w:lvl>
    <w:lvl w:ilvl="4" w:tplc="0C090003">
      <w:start w:val="1"/>
      <w:numFmt w:val="lowerLetter"/>
      <w:lvlText w:val="%5."/>
      <w:lvlJc w:val="left"/>
      <w:pPr>
        <w:tabs>
          <w:tab w:val="num" w:pos="6660"/>
        </w:tabs>
        <w:ind w:left="6660" w:hanging="360"/>
      </w:pPr>
    </w:lvl>
    <w:lvl w:ilvl="5" w:tplc="0C090005">
      <w:start w:val="1"/>
      <w:numFmt w:val="lowerRoman"/>
      <w:lvlText w:val="%6."/>
      <w:lvlJc w:val="right"/>
      <w:pPr>
        <w:tabs>
          <w:tab w:val="num" w:pos="7380"/>
        </w:tabs>
        <w:ind w:left="7380" w:hanging="180"/>
      </w:pPr>
    </w:lvl>
    <w:lvl w:ilvl="6" w:tplc="0C090001" w:tentative="1">
      <w:start w:val="1"/>
      <w:numFmt w:val="decimal"/>
      <w:lvlText w:val="%7."/>
      <w:lvlJc w:val="left"/>
      <w:pPr>
        <w:tabs>
          <w:tab w:val="num" w:pos="8100"/>
        </w:tabs>
        <w:ind w:left="8100" w:hanging="360"/>
      </w:pPr>
    </w:lvl>
    <w:lvl w:ilvl="7" w:tplc="0C090003" w:tentative="1">
      <w:start w:val="1"/>
      <w:numFmt w:val="lowerLetter"/>
      <w:lvlText w:val="%8."/>
      <w:lvlJc w:val="left"/>
      <w:pPr>
        <w:tabs>
          <w:tab w:val="num" w:pos="8820"/>
        </w:tabs>
        <w:ind w:left="8820" w:hanging="360"/>
      </w:pPr>
    </w:lvl>
    <w:lvl w:ilvl="8" w:tplc="0C090005" w:tentative="1">
      <w:start w:val="1"/>
      <w:numFmt w:val="lowerRoman"/>
      <w:lvlText w:val="%9."/>
      <w:lvlJc w:val="right"/>
      <w:pPr>
        <w:tabs>
          <w:tab w:val="num" w:pos="9540"/>
        </w:tabs>
        <w:ind w:left="9540" w:hanging="180"/>
      </w:pPr>
    </w:lvl>
  </w:abstractNum>
  <w:abstractNum w:abstractNumId="29">
    <w:nsid w:val="487C7731"/>
    <w:multiLevelType w:val="multilevel"/>
    <w:tmpl w:val="950A1C52"/>
    <w:numStyleLink w:val="AERHeadings"/>
  </w:abstractNum>
  <w:abstractNum w:abstractNumId="30">
    <w:nsid w:val="499F124F"/>
    <w:multiLevelType w:val="multilevel"/>
    <w:tmpl w:val="5666D91E"/>
    <w:styleLink w:val="AlphanumericList"/>
    <w:lvl w:ilvl="0">
      <w:start w:val="1"/>
      <w:numFmt w:val="decimal"/>
      <w:lvlText w:val="A.%1"/>
      <w:lvlJc w:val="left"/>
      <w:pPr>
        <w:ind w:left="360" w:hanging="360"/>
      </w:pPr>
      <w:rPr>
        <w:rFonts w:ascii="Arial" w:hAnsi="Arial" w:hint="default"/>
        <w:sz w:val="22"/>
      </w:rPr>
    </w:lvl>
    <w:lvl w:ilvl="1">
      <w:start w:val="1"/>
      <w:numFmt w:val="decimal"/>
      <w:lvlRestart w:val="0"/>
      <w:lvlText w:val="A.%1.%2"/>
      <w:lvlJc w:val="left"/>
      <w:pPr>
        <w:ind w:left="3621" w:hanging="360"/>
      </w:pPr>
      <w:rPr>
        <w:rFonts w:hint="default"/>
      </w:rPr>
    </w:lvl>
    <w:lvl w:ilvl="2">
      <w:start w:val="1"/>
      <w:numFmt w:val="decimal"/>
      <w:lvlRestart w:val="0"/>
      <w:lvlText w:val="A.%1.%2.%3"/>
      <w:lvlJc w:val="left"/>
      <w:pPr>
        <w:ind w:left="1080" w:hanging="360"/>
      </w:pPr>
      <w:rPr>
        <w:rFonts w:hint="default"/>
      </w:rPr>
    </w:lvl>
    <w:lvl w:ilvl="3">
      <w:start w:val="1"/>
      <w:numFmt w:val="none"/>
      <w:lvlText w:val="(1)"/>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1">
    <w:nsid w:val="49E52C90"/>
    <w:multiLevelType w:val="hybridMultilevel"/>
    <w:tmpl w:val="8C0ACE80"/>
    <w:lvl w:ilvl="0" w:tplc="9D00B0D8">
      <w:start w:val="1"/>
      <w:numFmt w:val="lowerRoman"/>
      <w:pStyle w:val="ListLegal"/>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nsid w:val="4C6A3DDE"/>
    <w:multiLevelType w:val="hybridMultilevel"/>
    <w:tmpl w:val="F51A789C"/>
    <w:lvl w:ilvl="0" w:tplc="92E84616">
      <w:start w:val="1"/>
      <w:numFmt w:val="bullet"/>
      <w:pStyle w:val="AERquotebullet1"/>
      <w:lvlText w:val=""/>
      <w:lvlJc w:val="left"/>
      <w:pPr>
        <w:ind w:left="1040" w:hanging="360"/>
      </w:pPr>
      <w:rPr>
        <w:rFonts w:ascii="Symbol" w:hAnsi="Symbol" w:hint="default"/>
      </w:rPr>
    </w:lvl>
    <w:lvl w:ilvl="1" w:tplc="0C090003" w:tentative="1">
      <w:start w:val="1"/>
      <w:numFmt w:val="bullet"/>
      <w:lvlText w:val="o"/>
      <w:lvlJc w:val="left"/>
      <w:pPr>
        <w:ind w:left="1760" w:hanging="360"/>
      </w:pPr>
      <w:rPr>
        <w:rFonts w:ascii="Courier New" w:hAnsi="Courier New" w:cs="Courier New" w:hint="default"/>
      </w:rPr>
    </w:lvl>
    <w:lvl w:ilvl="2" w:tplc="0C090005" w:tentative="1">
      <w:start w:val="1"/>
      <w:numFmt w:val="bullet"/>
      <w:lvlText w:val=""/>
      <w:lvlJc w:val="left"/>
      <w:pPr>
        <w:ind w:left="2480" w:hanging="360"/>
      </w:pPr>
      <w:rPr>
        <w:rFonts w:ascii="Wingdings" w:hAnsi="Wingdings" w:hint="default"/>
      </w:rPr>
    </w:lvl>
    <w:lvl w:ilvl="3" w:tplc="0C090001" w:tentative="1">
      <w:start w:val="1"/>
      <w:numFmt w:val="bullet"/>
      <w:lvlText w:val=""/>
      <w:lvlJc w:val="left"/>
      <w:pPr>
        <w:ind w:left="3200" w:hanging="360"/>
      </w:pPr>
      <w:rPr>
        <w:rFonts w:ascii="Symbol" w:hAnsi="Symbol" w:hint="default"/>
      </w:rPr>
    </w:lvl>
    <w:lvl w:ilvl="4" w:tplc="0C090003" w:tentative="1">
      <w:start w:val="1"/>
      <w:numFmt w:val="bullet"/>
      <w:lvlText w:val="o"/>
      <w:lvlJc w:val="left"/>
      <w:pPr>
        <w:ind w:left="3920" w:hanging="360"/>
      </w:pPr>
      <w:rPr>
        <w:rFonts w:ascii="Courier New" w:hAnsi="Courier New" w:cs="Courier New" w:hint="default"/>
      </w:rPr>
    </w:lvl>
    <w:lvl w:ilvl="5" w:tplc="0C090005" w:tentative="1">
      <w:start w:val="1"/>
      <w:numFmt w:val="bullet"/>
      <w:lvlText w:val=""/>
      <w:lvlJc w:val="left"/>
      <w:pPr>
        <w:ind w:left="4640" w:hanging="360"/>
      </w:pPr>
      <w:rPr>
        <w:rFonts w:ascii="Wingdings" w:hAnsi="Wingdings" w:hint="default"/>
      </w:rPr>
    </w:lvl>
    <w:lvl w:ilvl="6" w:tplc="0C090001" w:tentative="1">
      <w:start w:val="1"/>
      <w:numFmt w:val="bullet"/>
      <w:lvlText w:val=""/>
      <w:lvlJc w:val="left"/>
      <w:pPr>
        <w:ind w:left="5360" w:hanging="360"/>
      </w:pPr>
      <w:rPr>
        <w:rFonts w:ascii="Symbol" w:hAnsi="Symbol" w:hint="default"/>
      </w:rPr>
    </w:lvl>
    <w:lvl w:ilvl="7" w:tplc="0C090003" w:tentative="1">
      <w:start w:val="1"/>
      <w:numFmt w:val="bullet"/>
      <w:lvlText w:val="o"/>
      <w:lvlJc w:val="left"/>
      <w:pPr>
        <w:ind w:left="6080" w:hanging="360"/>
      </w:pPr>
      <w:rPr>
        <w:rFonts w:ascii="Courier New" w:hAnsi="Courier New" w:cs="Courier New" w:hint="default"/>
      </w:rPr>
    </w:lvl>
    <w:lvl w:ilvl="8" w:tplc="0C090005" w:tentative="1">
      <w:start w:val="1"/>
      <w:numFmt w:val="bullet"/>
      <w:lvlText w:val=""/>
      <w:lvlJc w:val="left"/>
      <w:pPr>
        <w:ind w:left="6800" w:hanging="360"/>
      </w:pPr>
      <w:rPr>
        <w:rFonts w:ascii="Wingdings" w:hAnsi="Wingdings" w:hint="default"/>
      </w:rPr>
    </w:lvl>
  </w:abstractNum>
  <w:abstractNum w:abstractNumId="33">
    <w:nsid w:val="51487971"/>
    <w:multiLevelType w:val="multilevel"/>
    <w:tmpl w:val="39D4CB02"/>
    <w:styleLink w:val="AERnumberedlist"/>
    <w:lvl w:ilvl="0">
      <w:start w:val="1"/>
      <w:numFmt w:val="none"/>
      <w:lvlText w:val="%1"/>
      <w:lvlJc w:val="left"/>
      <w:pPr>
        <w:tabs>
          <w:tab w:val="num" w:pos="0"/>
        </w:tabs>
        <w:ind w:left="0" w:firstLine="0"/>
      </w:pPr>
      <w:rPr>
        <w:rFonts w:hint="default"/>
      </w:rPr>
    </w:lvl>
    <w:lvl w:ilvl="1">
      <w:start w:val="1"/>
      <w:numFmt w:val="decimal"/>
      <w:lvlText w:val="%2."/>
      <w:lvlJc w:val="left"/>
      <w:pPr>
        <w:tabs>
          <w:tab w:val="num" w:pos="357"/>
        </w:tabs>
        <w:ind w:left="357" w:hanging="357"/>
      </w:pPr>
      <w:rPr>
        <w:rFonts w:hint="default"/>
      </w:rPr>
    </w:lvl>
    <w:lvl w:ilvl="2">
      <w:start w:val="1"/>
      <w:numFmt w:val="lowerLetter"/>
      <w:lvlText w:val="%3."/>
      <w:lvlJc w:val="left"/>
      <w:pPr>
        <w:tabs>
          <w:tab w:val="num" w:pos="720"/>
        </w:tabs>
        <w:ind w:left="720" w:hanging="363"/>
      </w:pPr>
      <w:rPr>
        <w:rFonts w:hint="default"/>
      </w:rPr>
    </w:lvl>
    <w:lvl w:ilvl="3">
      <w:start w:val="1"/>
      <w:numFmt w:val="lowerRoman"/>
      <w:lvlText w:val="%4."/>
      <w:lvlJc w:val="left"/>
      <w:pPr>
        <w:tabs>
          <w:tab w:val="num" w:pos="1077"/>
        </w:tabs>
        <w:ind w:left="1077" w:hanging="357"/>
      </w:pPr>
      <w:rPr>
        <w:rFonts w:hint="default"/>
      </w:rPr>
    </w:lvl>
    <w:lvl w:ilvl="4">
      <w:start w:val="1"/>
      <w:numFmt w:val="decimal"/>
      <w:lvlRestart w:val="1"/>
      <w:lvlText w:val="(%5)"/>
      <w:lvlJc w:val="left"/>
      <w:pPr>
        <w:tabs>
          <w:tab w:val="num" w:pos="454"/>
        </w:tabs>
        <w:ind w:left="454" w:hanging="454"/>
      </w:pPr>
      <w:rPr>
        <w:rFonts w:hint="default"/>
      </w:rPr>
    </w:lvl>
    <w:lvl w:ilvl="5">
      <w:start w:val="1"/>
      <w:numFmt w:val="lowerLetter"/>
      <w:lvlText w:val="(%6)"/>
      <w:lvlJc w:val="left"/>
      <w:pPr>
        <w:tabs>
          <w:tab w:val="num" w:pos="811"/>
        </w:tabs>
        <w:ind w:left="811" w:hanging="357"/>
      </w:pPr>
      <w:rPr>
        <w:rFonts w:hint="default"/>
      </w:rPr>
    </w:lvl>
    <w:lvl w:ilvl="6">
      <w:start w:val="1"/>
      <w:numFmt w:val="lowerRoman"/>
      <w:lvlText w:val="(%7)"/>
      <w:lvlJc w:val="left"/>
      <w:pPr>
        <w:tabs>
          <w:tab w:val="num" w:pos="1446"/>
        </w:tabs>
        <w:ind w:left="1446" w:hanging="635"/>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4">
    <w:nsid w:val="59474DF1"/>
    <w:multiLevelType w:val="multilevel"/>
    <w:tmpl w:val="5BC065FC"/>
    <w:lvl w:ilvl="0">
      <w:start w:val="1"/>
      <w:numFmt w:val="decimal"/>
      <w:pStyle w:val="LegalNumbering"/>
      <w:isLgl/>
      <w:lvlText w:val="%1)"/>
      <w:lvlJc w:val="left"/>
      <w:pPr>
        <w:ind w:left="340" w:hanging="340"/>
      </w:pPr>
      <w:rPr>
        <w:rFonts w:hint="default"/>
      </w:rPr>
    </w:lvl>
    <w:lvl w:ilvl="1">
      <w:start w:val="1"/>
      <w:numFmt w:val="lowerLetter"/>
      <w:lvlText w:val="%2) "/>
      <w:lvlJc w:val="left"/>
      <w:pPr>
        <w:ind w:left="680" w:hanging="340"/>
      </w:pPr>
      <w:rPr>
        <w:rFonts w:hint="default"/>
      </w:rPr>
    </w:lvl>
    <w:lvl w:ilvl="2">
      <w:start w:val="1"/>
      <w:numFmt w:val="lowerRoman"/>
      <w:lvlText w:val="%3)"/>
      <w:lvlJc w:val="left"/>
      <w:pPr>
        <w:tabs>
          <w:tab w:val="num" w:pos="1701"/>
        </w:tabs>
        <w:ind w:left="1021" w:hanging="341"/>
      </w:pPr>
      <w:rPr>
        <w:rFonts w:hint="default"/>
      </w:rPr>
    </w:lvl>
    <w:lvl w:ilvl="3">
      <w:start w:val="1"/>
      <w:numFmt w:val="decimal"/>
      <w:lvlText w:val="(%4) "/>
      <w:lvlJc w:val="left"/>
      <w:pPr>
        <w:tabs>
          <w:tab w:val="num" w:pos="1758"/>
        </w:tabs>
        <w:ind w:left="1361" w:hanging="340"/>
      </w:pPr>
      <w:rPr>
        <w:rFonts w:hint="default"/>
      </w:rPr>
    </w:lvl>
    <w:lvl w:ilvl="4">
      <w:start w:val="1"/>
      <w:numFmt w:val="lowerLetter"/>
      <w:lvlText w:val="(%5)"/>
      <w:lvlJc w:val="left"/>
      <w:pPr>
        <w:ind w:left="1701" w:hanging="340"/>
      </w:pPr>
      <w:rPr>
        <w:rFonts w:hint="default"/>
      </w:rPr>
    </w:lvl>
    <w:lvl w:ilvl="5">
      <w:start w:val="1"/>
      <w:numFmt w:val="lowerRoman"/>
      <w:lvlText w:val="(%6)"/>
      <w:lvlJc w:val="left"/>
      <w:pPr>
        <w:tabs>
          <w:tab w:val="num" w:pos="2608"/>
        </w:tabs>
        <w:ind w:left="2041" w:hanging="340"/>
      </w:pPr>
      <w:rPr>
        <w:rFonts w:hint="default"/>
      </w:rPr>
    </w:lvl>
    <w:lvl w:ilvl="6">
      <w:start w:val="1"/>
      <w:numFmt w:val="decimal"/>
      <w:lvlText w:val="%7."/>
      <w:lvlJc w:val="left"/>
      <w:pPr>
        <w:tabs>
          <w:tab w:val="num" w:pos="3175"/>
        </w:tabs>
        <w:ind w:left="2381" w:hanging="340"/>
      </w:pPr>
      <w:rPr>
        <w:rFonts w:hint="default"/>
      </w:rPr>
    </w:lvl>
    <w:lvl w:ilvl="7">
      <w:start w:val="1"/>
      <w:numFmt w:val="lowerLetter"/>
      <w:lvlText w:val="%8."/>
      <w:lvlJc w:val="left"/>
      <w:pPr>
        <w:tabs>
          <w:tab w:val="num" w:pos="3799"/>
        </w:tabs>
        <w:ind w:left="2722" w:hanging="341"/>
      </w:pPr>
      <w:rPr>
        <w:rFonts w:hint="default"/>
      </w:rPr>
    </w:lvl>
    <w:lvl w:ilvl="8">
      <w:start w:val="1"/>
      <w:numFmt w:val="lowerRoman"/>
      <w:lvlText w:val="%9."/>
      <w:lvlJc w:val="left"/>
      <w:pPr>
        <w:ind w:left="3062" w:hanging="340"/>
      </w:pPr>
      <w:rPr>
        <w:rFonts w:hint="default"/>
      </w:rPr>
    </w:lvl>
  </w:abstractNum>
  <w:abstractNum w:abstractNumId="35">
    <w:nsid w:val="5ECE4384"/>
    <w:multiLevelType w:val="multilevel"/>
    <w:tmpl w:val="340AF524"/>
    <w:lvl w:ilvl="0">
      <w:start w:val="10"/>
      <w:numFmt w:val="decimal"/>
      <w:pStyle w:val="Heading1"/>
      <w:lvlText w:val="%1"/>
      <w:lvlJc w:val="left"/>
      <w:pPr>
        <w:ind w:left="432" w:hanging="432"/>
      </w:pPr>
      <w:rPr>
        <w:rFonts w:hint="default"/>
      </w:rPr>
    </w:lvl>
    <w:lvl w:ilvl="1">
      <w:start w:val="1"/>
      <w:numFmt w:val="decimal"/>
      <w:pStyle w:val="Heading2"/>
      <w:lvlText w:val="%1.%2"/>
      <w:lvlJc w:val="left"/>
      <w:pPr>
        <w:ind w:left="576" w:hanging="576"/>
      </w:pPr>
      <w:rPr>
        <w:rFonts w:hint="default"/>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6">
    <w:nsid w:val="6726588A"/>
    <w:multiLevelType w:val="hybridMultilevel"/>
    <w:tmpl w:val="6568C8B8"/>
    <w:lvl w:ilvl="0" w:tplc="0C09000F">
      <w:start w:val="1"/>
      <w:numFmt w:val="bullet"/>
      <w:pStyle w:val="AERbulletlistsecondstyle"/>
      <w:lvlText w:val="o"/>
      <w:lvlJc w:val="left"/>
      <w:pPr>
        <w:ind w:left="1081" w:hanging="360"/>
      </w:pPr>
      <w:rPr>
        <w:rFonts w:ascii="Courier New" w:hAnsi="Courier New" w:cs="Courier New" w:hint="default"/>
      </w:rPr>
    </w:lvl>
    <w:lvl w:ilvl="1" w:tplc="0C090019" w:tentative="1">
      <w:start w:val="1"/>
      <w:numFmt w:val="bullet"/>
      <w:lvlText w:val="o"/>
      <w:lvlJc w:val="left"/>
      <w:pPr>
        <w:ind w:left="1801" w:hanging="360"/>
      </w:pPr>
      <w:rPr>
        <w:rFonts w:ascii="Courier New" w:hAnsi="Courier New" w:cs="Courier New" w:hint="default"/>
      </w:rPr>
    </w:lvl>
    <w:lvl w:ilvl="2" w:tplc="C38EC922">
      <w:start w:val="1"/>
      <w:numFmt w:val="bullet"/>
      <w:pStyle w:val="AERbulletlistthirdstyle"/>
      <w:lvlText w:val=""/>
      <w:lvlJc w:val="left"/>
      <w:pPr>
        <w:ind w:left="2521" w:hanging="360"/>
      </w:pPr>
      <w:rPr>
        <w:rFonts w:ascii="Wingdings" w:hAnsi="Wingdings" w:hint="default"/>
      </w:rPr>
    </w:lvl>
    <w:lvl w:ilvl="3" w:tplc="0C09000F" w:tentative="1">
      <w:start w:val="1"/>
      <w:numFmt w:val="bullet"/>
      <w:lvlText w:val=""/>
      <w:lvlJc w:val="left"/>
      <w:pPr>
        <w:ind w:left="3241" w:hanging="360"/>
      </w:pPr>
      <w:rPr>
        <w:rFonts w:ascii="Symbol" w:hAnsi="Symbol" w:hint="default"/>
      </w:rPr>
    </w:lvl>
    <w:lvl w:ilvl="4" w:tplc="0C090019" w:tentative="1">
      <w:start w:val="1"/>
      <w:numFmt w:val="bullet"/>
      <w:lvlText w:val="o"/>
      <w:lvlJc w:val="left"/>
      <w:pPr>
        <w:ind w:left="3961" w:hanging="360"/>
      </w:pPr>
      <w:rPr>
        <w:rFonts w:ascii="Courier New" w:hAnsi="Courier New" w:cs="Courier New" w:hint="default"/>
      </w:rPr>
    </w:lvl>
    <w:lvl w:ilvl="5" w:tplc="0C09001B" w:tentative="1">
      <w:start w:val="1"/>
      <w:numFmt w:val="bullet"/>
      <w:lvlText w:val=""/>
      <w:lvlJc w:val="left"/>
      <w:pPr>
        <w:ind w:left="4681" w:hanging="360"/>
      </w:pPr>
      <w:rPr>
        <w:rFonts w:ascii="Wingdings" w:hAnsi="Wingdings" w:hint="default"/>
      </w:rPr>
    </w:lvl>
    <w:lvl w:ilvl="6" w:tplc="0C09000F" w:tentative="1">
      <w:start w:val="1"/>
      <w:numFmt w:val="bullet"/>
      <w:lvlText w:val=""/>
      <w:lvlJc w:val="left"/>
      <w:pPr>
        <w:ind w:left="5401" w:hanging="360"/>
      </w:pPr>
      <w:rPr>
        <w:rFonts w:ascii="Symbol" w:hAnsi="Symbol" w:hint="default"/>
      </w:rPr>
    </w:lvl>
    <w:lvl w:ilvl="7" w:tplc="0C090019" w:tentative="1">
      <w:start w:val="1"/>
      <w:numFmt w:val="bullet"/>
      <w:lvlText w:val="o"/>
      <w:lvlJc w:val="left"/>
      <w:pPr>
        <w:ind w:left="6121" w:hanging="360"/>
      </w:pPr>
      <w:rPr>
        <w:rFonts w:ascii="Courier New" w:hAnsi="Courier New" w:cs="Courier New" w:hint="default"/>
      </w:rPr>
    </w:lvl>
    <w:lvl w:ilvl="8" w:tplc="0C09001B" w:tentative="1">
      <w:start w:val="1"/>
      <w:numFmt w:val="bullet"/>
      <w:lvlText w:val=""/>
      <w:lvlJc w:val="left"/>
      <w:pPr>
        <w:ind w:left="6841" w:hanging="360"/>
      </w:pPr>
      <w:rPr>
        <w:rFonts w:ascii="Wingdings" w:hAnsi="Wingdings" w:hint="default"/>
      </w:rPr>
    </w:lvl>
  </w:abstractNum>
  <w:abstractNum w:abstractNumId="37">
    <w:nsid w:val="6DE36827"/>
    <w:multiLevelType w:val="multilevel"/>
    <w:tmpl w:val="950A1C52"/>
    <w:numStyleLink w:val="AERHeadings"/>
  </w:abstractNum>
  <w:abstractNum w:abstractNumId="38">
    <w:nsid w:val="71052EFE"/>
    <w:multiLevelType w:val="hybridMultilevel"/>
    <w:tmpl w:val="52FCFAA8"/>
    <w:lvl w:ilvl="0" w:tplc="C846CA5C">
      <w:start w:val="1"/>
      <w:numFmt w:val="lowerRoman"/>
      <w:pStyle w:val="AERnumberedlistthirdstyle"/>
      <w:lvlText w:val="%1."/>
      <w:lvlJc w:val="righ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nsid w:val="71964B06"/>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nsid w:val="7E2819EC"/>
    <w:multiLevelType w:val="multilevel"/>
    <w:tmpl w:val="1250F310"/>
    <w:lvl w:ilvl="0">
      <w:start w:val="1"/>
      <w:numFmt w:val="bullet"/>
      <w:pStyle w:val="AERbulletlistfirststyle"/>
      <w:lvlText w:val=""/>
      <w:lvlJc w:val="left"/>
      <w:pPr>
        <w:ind w:left="360" w:hanging="360"/>
      </w:pPr>
      <w:rPr>
        <w:rFonts w:ascii="Symbol" w:hAnsi="Symbol"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12"/>
  </w:num>
  <w:num w:numId="2">
    <w:abstractNumId w:val="40"/>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36"/>
  </w:num>
  <w:num w:numId="13">
    <w:abstractNumId w:val="23"/>
  </w:num>
  <w:num w:numId="14">
    <w:abstractNumId w:val="11"/>
  </w:num>
  <w:num w:numId="15">
    <w:abstractNumId w:val="14"/>
  </w:num>
  <w:num w:numId="16">
    <w:abstractNumId w:val="30"/>
  </w:num>
  <w:num w:numId="17">
    <w:abstractNumId w:val="10"/>
  </w:num>
  <w:num w:numId="18">
    <w:abstractNumId w:val="19"/>
  </w:num>
  <w:num w:numId="19">
    <w:abstractNumId w:val="31"/>
  </w:num>
  <w:num w:numId="20">
    <w:abstractNumId w:val="38"/>
  </w:num>
  <w:num w:numId="21">
    <w:abstractNumId w:val="15"/>
  </w:num>
  <w:num w:numId="22">
    <w:abstractNumId w:val="34"/>
  </w:num>
  <w:num w:numId="23">
    <w:abstractNumId w:val="32"/>
  </w:num>
  <w:num w:numId="24">
    <w:abstractNumId w:val="21"/>
  </w:num>
  <w:num w:numId="25">
    <w:abstractNumId w:val="33"/>
  </w:num>
  <w:num w:numId="26">
    <w:abstractNumId w:val="35"/>
  </w:num>
  <w:num w:numId="27">
    <w:abstractNumId w:val="22"/>
  </w:num>
  <w:num w:numId="28">
    <w:abstractNumId w:val="20"/>
  </w:num>
  <w:num w:numId="29">
    <w:abstractNumId w:val="18"/>
  </w:num>
  <w:num w:numId="30">
    <w:abstractNumId w:val="39"/>
  </w:num>
  <w:num w:numId="31">
    <w:abstractNumId w:val="16"/>
  </w:num>
  <w:num w:numId="32">
    <w:abstractNumId w:val="26"/>
  </w:num>
  <w:num w:numId="33">
    <w:abstractNumId w:val="21"/>
    <w:lvlOverride w:ilvl="0">
      <w:lvl w:ilvl="0">
        <w:start w:val="1"/>
        <w:numFmt w:val="none"/>
        <w:lvlText w:val="%1"/>
        <w:lvlJc w:val="left"/>
        <w:pPr>
          <w:tabs>
            <w:tab w:val="num" w:pos="0"/>
          </w:tabs>
          <w:ind w:left="0" w:firstLine="0"/>
        </w:pPr>
        <w:rPr>
          <w:rFonts w:hint="default"/>
        </w:rPr>
      </w:lvl>
    </w:lvlOverride>
    <w:lvlOverride w:ilvl="1">
      <w:lvl w:ilvl="1">
        <w:start w:val="7"/>
        <w:numFmt w:val="decimal"/>
        <w:lvlText w:val="%2"/>
        <w:lvlJc w:val="left"/>
        <w:pPr>
          <w:tabs>
            <w:tab w:val="num" w:pos="0"/>
          </w:tabs>
          <w:ind w:left="0" w:hanging="851"/>
        </w:pPr>
        <w:rPr>
          <w:rFonts w:ascii="Gautami" w:eastAsia="Times New Roman" w:hAnsi="Gautami" w:cs="Times New Roman"/>
        </w:rPr>
      </w:lvl>
    </w:lvlOverride>
    <w:lvlOverride w:ilvl="2">
      <w:lvl w:ilvl="2">
        <w:start w:val="1"/>
        <w:numFmt w:val="decimal"/>
        <w:lvlText w:val="%1%2.%3"/>
        <w:lvlJc w:val="left"/>
        <w:pPr>
          <w:tabs>
            <w:tab w:val="num" w:pos="0"/>
          </w:tabs>
          <w:ind w:left="0" w:hanging="851"/>
        </w:pPr>
        <w:rPr>
          <w:rFonts w:hint="default"/>
        </w:rPr>
      </w:lvl>
    </w:lvlOverride>
    <w:lvlOverride w:ilvl="3">
      <w:lvl w:ilvl="3">
        <w:start w:val="1"/>
        <w:numFmt w:val="decimal"/>
        <w:lvlText w:val="%2.%3.%4"/>
        <w:lvlJc w:val="left"/>
        <w:pPr>
          <w:tabs>
            <w:tab w:val="num" w:pos="0"/>
          </w:tabs>
          <w:ind w:left="0" w:hanging="851"/>
        </w:pPr>
        <w:rPr>
          <w:rFonts w:hint="default"/>
        </w:rPr>
      </w:lvl>
    </w:lvlOverride>
    <w:lvlOverride w:ilvl="4">
      <w:lvl w:ilvl="4">
        <w:start w:val="1"/>
        <w:numFmt w:val="upperLetter"/>
        <w:lvlRestart w:val="1"/>
        <w:lvlText w:val="%5"/>
        <w:lvlJc w:val="left"/>
        <w:pPr>
          <w:tabs>
            <w:tab w:val="num" w:pos="0"/>
          </w:tabs>
          <w:ind w:left="0" w:hanging="851"/>
        </w:pPr>
        <w:rPr>
          <w:rFonts w:hint="default"/>
        </w:rPr>
      </w:lvl>
    </w:lvlOverride>
    <w:lvlOverride w:ilvl="5">
      <w:lvl w:ilvl="5">
        <w:start w:val="1"/>
        <w:numFmt w:val="decimal"/>
        <w:lvlText w:val="%5.%6"/>
        <w:lvlJc w:val="left"/>
        <w:pPr>
          <w:tabs>
            <w:tab w:val="num" w:pos="0"/>
          </w:tabs>
          <w:ind w:left="0" w:hanging="851"/>
        </w:pPr>
        <w:rPr>
          <w:rFonts w:hint="default"/>
        </w:rPr>
      </w:lvl>
    </w:lvlOverride>
    <w:lvlOverride w:ilvl="6">
      <w:lvl w:ilvl="6">
        <w:start w:val="1"/>
        <w:numFmt w:val="decimal"/>
        <w:lvlText w:val="%5.%6.%7"/>
        <w:lvlJc w:val="left"/>
        <w:pPr>
          <w:tabs>
            <w:tab w:val="num" w:pos="0"/>
          </w:tabs>
          <w:ind w:left="0" w:hanging="851"/>
        </w:pPr>
        <w:rPr>
          <w:rFonts w:hint="default"/>
        </w:rPr>
      </w:lvl>
    </w:lvlOverride>
    <w:lvlOverride w:ilvl="7">
      <w:lvl w:ilvl="7">
        <w:start w:val="1"/>
        <w:numFmt w:val="none"/>
        <w:lvlRestart w:val="0"/>
        <w:lvlText w:val=""/>
        <w:lvlJc w:val="left"/>
        <w:pPr>
          <w:tabs>
            <w:tab w:val="num" w:pos="0"/>
          </w:tabs>
          <w:ind w:left="0" w:firstLine="0"/>
        </w:pPr>
        <w:rPr>
          <w:rFonts w:hint="default"/>
        </w:rPr>
      </w:lvl>
    </w:lvlOverride>
    <w:lvlOverride w:ilvl="8">
      <w:lvl w:ilvl="8">
        <w:start w:val="1"/>
        <w:numFmt w:val="none"/>
        <w:lvlRestart w:val="0"/>
        <w:lvlText w:val=""/>
        <w:lvlJc w:val="left"/>
        <w:pPr>
          <w:ind w:left="0" w:firstLine="0"/>
        </w:pPr>
        <w:rPr>
          <w:rFonts w:hint="default"/>
        </w:rPr>
      </w:lvl>
    </w:lvlOverride>
  </w:num>
  <w:num w:numId="34">
    <w:abstractNumId w:val="21"/>
    <w:lvlOverride w:ilvl="0">
      <w:startOverride w:val="1"/>
      <w:lvl w:ilvl="0">
        <w:start w:val="1"/>
        <w:numFmt w:val="none"/>
        <w:lvlText w:val="%1"/>
        <w:lvlJc w:val="left"/>
        <w:pPr>
          <w:tabs>
            <w:tab w:val="num" w:pos="0"/>
          </w:tabs>
          <w:ind w:left="0" w:firstLine="0"/>
        </w:pPr>
        <w:rPr>
          <w:rFonts w:hint="default"/>
        </w:rPr>
      </w:lvl>
    </w:lvlOverride>
    <w:lvlOverride w:ilvl="1">
      <w:startOverride w:val="16"/>
      <w:lvl w:ilvl="1">
        <w:start w:val="16"/>
        <w:numFmt w:val="decimal"/>
        <w:lvlText w:val="%2"/>
        <w:lvlJc w:val="left"/>
        <w:pPr>
          <w:tabs>
            <w:tab w:val="num" w:pos="0"/>
          </w:tabs>
          <w:ind w:left="0" w:hanging="851"/>
        </w:pPr>
        <w:rPr>
          <w:rFonts w:ascii="Gautami" w:eastAsia="Times New Roman" w:hAnsi="Gautami" w:cs="Times New Roman"/>
        </w:rPr>
      </w:lvl>
    </w:lvlOverride>
  </w:num>
  <w:num w:numId="35">
    <w:abstractNumId w:val="21"/>
    <w:lvlOverride w:ilvl="0">
      <w:startOverride w:val="1"/>
      <w:lvl w:ilvl="0">
        <w:start w:val="1"/>
        <w:numFmt w:val="none"/>
        <w:lvlText w:val="%1"/>
        <w:lvlJc w:val="left"/>
        <w:pPr>
          <w:tabs>
            <w:tab w:val="num" w:pos="0"/>
          </w:tabs>
          <w:ind w:left="0" w:firstLine="0"/>
        </w:pPr>
        <w:rPr>
          <w:rFonts w:hint="default"/>
        </w:rPr>
      </w:lvl>
    </w:lvlOverride>
    <w:lvlOverride w:ilvl="1">
      <w:startOverride w:val="18"/>
      <w:lvl w:ilvl="1">
        <w:start w:val="18"/>
        <w:numFmt w:val="decimal"/>
        <w:lvlText w:val="%2"/>
        <w:lvlJc w:val="left"/>
        <w:pPr>
          <w:tabs>
            <w:tab w:val="num" w:pos="0"/>
          </w:tabs>
          <w:ind w:left="0" w:hanging="851"/>
        </w:pPr>
        <w:rPr>
          <w:rFonts w:ascii="Gautami" w:eastAsia="Times New Roman" w:hAnsi="Gautami" w:cs="Times New Roman"/>
        </w:rPr>
      </w:lvl>
    </w:lvlOverride>
  </w:num>
  <w:num w:numId="36">
    <w:abstractNumId w:val="37"/>
  </w:num>
  <w:num w:numId="37">
    <w:abstractNumId w:val="29"/>
  </w:num>
  <w:num w:numId="38">
    <w:abstractNumId w:val="25"/>
  </w:num>
  <w:num w:numId="39">
    <w:abstractNumId w:val="13"/>
  </w:num>
  <w:num w:numId="40">
    <w:abstractNumId w:val="35"/>
  </w:num>
  <w:num w:numId="41">
    <w:abstractNumId w:val="35"/>
  </w:num>
  <w:num w:numId="42">
    <w:abstractNumId w:val="27"/>
  </w:num>
  <w:num w:numId="43">
    <w:abstractNumId w:val="17"/>
  </w:num>
  <w:num w:numId="44">
    <w:abstractNumId w:val="28"/>
  </w:num>
  <w:num w:numId="45">
    <w:abstractNumId w:val="24"/>
  </w:num>
  <w:num w:numId="46">
    <w:abstractNumId w:val="9"/>
  </w:num>
  <w:num w:numId="47">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6"/>
  <w:stylePaneFormatFilter w:val="9724" w:allStyles="0" w:customStyles="0" w:latentStyles="1" w:stylesInUse="0" w:headingStyles="1" w:numberingStyles="0" w:tableStyles="0" w:directFormattingOnRuns="1" w:directFormattingOnParagraphs="1" w:directFormattingOnNumbering="1" w:directFormattingOnTables="0" w:clearFormatting="1" w:top3HeadingStyles="0" w:visibleStyles="0" w:alternateStyleNames="1"/>
  <w:stylePaneSortMethod w:val="0000"/>
  <w:documentProtection w:formatting="1" w:enforcement="1" w:spinCount="100000" w:hashValue="2RFmDGvcmymX+RMcjPvMxsQTxXjDFM4bmJ088BW0HI8=" w:saltValue="EE6n70Dsm8jBY9tX5Cx95g==" w:algorithmName="SHA-256"/>
  <w:defaultTabStop w:val="340"/>
  <w:characterSpacingControl w:val="doNotCompress"/>
  <w:hdrShapeDefaults>
    <o:shapedefaults v:ext="edit" spidmax="11468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urrentname" w:val="\\cdchnas-evs02\home$\mleco\aer - final decision ausnet services 2017-22 transmission determination - attachment 10 - cess - april 2017 (AER2016-000057).docx"/>
  </w:docVars>
  <w:rsids>
    <w:rsidRoot w:val="00961A4A"/>
    <w:rsid w:val="000035FC"/>
    <w:rsid w:val="00005540"/>
    <w:rsid w:val="00021202"/>
    <w:rsid w:val="00021C2B"/>
    <w:rsid w:val="0002517F"/>
    <w:rsid w:val="0003578C"/>
    <w:rsid w:val="00063247"/>
    <w:rsid w:val="00070F9F"/>
    <w:rsid w:val="0007137B"/>
    <w:rsid w:val="00077389"/>
    <w:rsid w:val="00085663"/>
    <w:rsid w:val="00085EBF"/>
    <w:rsid w:val="00086871"/>
    <w:rsid w:val="000A3020"/>
    <w:rsid w:val="000A6C7B"/>
    <w:rsid w:val="000B321F"/>
    <w:rsid w:val="000C2B40"/>
    <w:rsid w:val="000D122C"/>
    <w:rsid w:val="000E1819"/>
    <w:rsid w:val="000E4821"/>
    <w:rsid w:val="000E6C72"/>
    <w:rsid w:val="00116EB2"/>
    <w:rsid w:val="001203C4"/>
    <w:rsid w:val="00124609"/>
    <w:rsid w:val="00126A4C"/>
    <w:rsid w:val="00141948"/>
    <w:rsid w:val="0014573B"/>
    <w:rsid w:val="00150704"/>
    <w:rsid w:val="001573E4"/>
    <w:rsid w:val="00160756"/>
    <w:rsid w:val="0017232E"/>
    <w:rsid w:val="00174102"/>
    <w:rsid w:val="001754EE"/>
    <w:rsid w:val="00180157"/>
    <w:rsid w:val="00185C55"/>
    <w:rsid w:val="00185CB9"/>
    <w:rsid w:val="00186F77"/>
    <w:rsid w:val="001921F2"/>
    <w:rsid w:val="001926A4"/>
    <w:rsid w:val="00192AD5"/>
    <w:rsid w:val="001B45A0"/>
    <w:rsid w:val="001D055E"/>
    <w:rsid w:val="001F492E"/>
    <w:rsid w:val="001F6DA3"/>
    <w:rsid w:val="002010BC"/>
    <w:rsid w:val="002016E7"/>
    <w:rsid w:val="00202E03"/>
    <w:rsid w:val="00203072"/>
    <w:rsid w:val="0020492C"/>
    <w:rsid w:val="00224DB9"/>
    <w:rsid w:val="00233775"/>
    <w:rsid w:val="00245821"/>
    <w:rsid w:val="00251745"/>
    <w:rsid w:val="00263AC0"/>
    <w:rsid w:val="00264264"/>
    <w:rsid w:val="0026772D"/>
    <w:rsid w:val="00286874"/>
    <w:rsid w:val="002876B3"/>
    <w:rsid w:val="00290C63"/>
    <w:rsid w:val="00296B65"/>
    <w:rsid w:val="00297C2E"/>
    <w:rsid w:val="002A0C23"/>
    <w:rsid w:val="002A399F"/>
    <w:rsid w:val="002A7DEF"/>
    <w:rsid w:val="002C233C"/>
    <w:rsid w:val="002D72E8"/>
    <w:rsid w:val="002E7B22"/>
    <w:rsid w:val="002F0931"/>
    <w:rsid w:val="002F7986"/>
    <w:rsid w:val="00301B40"/>
    <w:rsid w:val="003029EE"/>
    <w:rsid w:val="00303F75"/>
    <w:rsid w:val="00305CC8"/>
    <w:rsid w:val="00307F6D"/>
    <w:rsid w:val="00313F1C"/>
    <w:rsid w:val="003177A2"/>
    <w:rsid w:val="003271B5"/>
    <w:rsid w:val="00327A1E"/>
    <w:rsid w:val="00331264"/>
    <w:rsid w:val="00333A54"/>
    <w:rsid w:val="00334C8D"/>
    <w:rsid w:val="00343A18"/>
    <w:rsid w:val="003518B3"/>
    <w:rsid w:val="003846F1"/>
    <w:rsid w:val="003903F6"/>
    <w:rsid w:val="003B484F"/>
    <w:rsid w:val="003B7FBA"/>
    <w:rsid w:val="003C303F"/>
    <w:rsid w:val="003C3A9C"/>
    <w:rsid w:val="003F174D"/>
    <w:rsid w:val="00400514"/>
    <w:rsid w:val="00415F31"/>
    <w:rsid w:val="00422097"/>
    <w:rsid w:val="00423A77"/>
    <w:rsid w:val="0045777E"/>
    <w:rsid w:val="00480B4B"/>
    <w:rsid w:val="00485DC4"/>
    <w:rsid w:val="00491349"/>
    <w:rsid w:val="00492389"/>
    <w:rsid w:val="004A43D1"/>
    <w:rsid w:val="004B4412"/>
    <w:rsid w:val="004C348C"/>
    <w:rsid w:val="004D4888"/>
    <w:rsid w:val="004D55BA"/>
    <w:rsid w:val="004E22EC"/>
    <w:rsid w:val="004F6A0E"/>
    <w:rsid w:val="00530128"/>
    <w:rsid w:val="00532467"/>
    <w:rsid w:val="00540418"/>
    <w:rsid w:val="00544C12"/>
    <w:rsid w:val="00553342"/>
    <w:rsid w:val="00562468"/>
    <w:rsid w:val="00564A4D"/>
    <w:rsid w:val="00567BA5"/>
    <w:rsid w:val="00571B35"/>
    <w:rsid w:val="00571D57"/>
    <w:rsid w:val="00577A09"/>
    <w:rsid w:val="005829C2"/>
    <w:rsid w:val="00584D8F"/>
    <w:rsid w:val="005A404D"/>
    <w:rsid w:val="005B1E3C"/>
    <w:rsid w:val="005B704A"/>
    <w:rsid w:val="005C26CC"/>
    <w:rsid w:val="005C2C3B"/>
    <w:rsid w:val="005D7BA2"/>
    <w:rsid w:val="005E1C36"/>
    <w:rsid w:val="005E36C2"/>
    <w:rsid w:val="005F3CA6"/>
    <w:rsid w:val="00612F4F"/>
    <w:rsid w:val="00615C6B"/>
    <w:rsid w:val="00621DCE"/>
    <w:rsid w:val="00632D6D"/>
    <w:rsid w:val="00642C3E"/>
    <w:rsid w:val="006537AA"/>
    <w:rsid w:val="0066104A"/>
    <w:rsid w:val="00663DAD"/>
    <w:rsid w:val="00675E20"/>
    <w:rsid w:val="00676679"/>
    <w:rsid w:val="00683C89"/>
    <w:rsid w:val="006A08A8"/>
    <w:rsid w:val="006B2395"/>
    <w:rsid w:val="006B4CF9"/>
    <w:rsid w:val="006B7AC8"/>
    <w:rsid w:val="006C1736"/>
    <w:rsid w:val="006D5008"/>
    <w:rsid w:val="006D550F"/>
    <w:rsid w:val="00701CAB"/>
    <w:rsid w:val="00707563"/>
    <w:rsid w:val="00713956"/>
    <w:rsid w:val="0072348C"/>
    <w:rsid w:val="00724A37"/>
    <w:rsid w:val="007303C3"/>
    <w:rsid w:val="00731756"/>
    <w:rsid w:val="007429BE"/>
    <w:rsid w:val="00743223"/>
    <w:rsid w:val="00746513"/>
    <w:rsid w:val="00746E01"/>
    <w:rsid w:val="00757364"/>
    <w:rsid w:val="00757BDF"/>
    <w:rsid w:val="007609D0"/>
    <w:rsid w:val="00763E5D"/>
    <w:rsid w:val="00765364"/>
    <w:rsid w:val="00767740"/>
    <w:rsid w:val="00777EE6"/>
    <w:rsid w:val="00780870"/>
    <w:rsid w:val="00782EEA"/>
    <w:rsid w:val="00796270"/>
    <w:rsid w:val="007B186E"/>
    <w:rsid w:val="007B2C72"/>
    <w:rsid w:val="007C1C53"/>
    <w:rsid w:val="007C74BB"/>
    <w:rsid w:val="007D456E"/>
    <w:rsid w:val="007E4904"/>
    <w:rsid w:val="007E4CB5"/>
    <w:rsid w:val="007F066B"/>
    <w:rsid w:val="007F4075"/>
    <w:rsid w:val="00800A30"/>
    <w:rsid w:val="008033C4"/>
    <w:rsid w:val="00806C88"/>
    <w:rsid w:val="0081034E"/>
    <w:rsid w:val="008157EF"/>
    <w:rsid w:val="008344F6"/>
    <w:rsid w:val="0083510F"/>
    <w:rsid w:val="00842AFA"/>
    <w:rsid w:val="00851209"/>
    <w:rsid w:val="00853CAA"/>
    <w:rsid w:val="008837AC"/>
    <w:rsid w:val="008A587D"/>
    <w:rsid w:val="008B35CD"/>
    <w:rsid w:val="008B5FCC"/>
    <w:rsid w:val="008C2261"/>
    <w:rsid w:val="008C5486"/>
    <w:rsid w:val="008D1661"/>
    <w:rsid w:val="008E7031"/>
    <w:rsid w:val="008E7101"/>
    <w:rsid w:val="008E77DE"/>
    <w:rsid w:val="008F07A3"/>
    <w:rsid w:val="009001B6"/>
    <w:rsid w:val="00900E1B"/>
    <w:rsid w:val="009030B6"/>
    <w:rsid w:val="00903EE2"/>
    <w:rsid w:val="0090431C"/>
    <w:rsid w:val="009233EE"/>
    <w:rsid w:val="009460AA"/>
    <w:rsid w:val="00951978"/>
    <w:rsid w:val="00961A4A"/>
    <w:rsid w:val="009661DE"/>
    <w:rsid w:val="00983C25"/>
    <w:rsid w:val="009856B7"/>
    <w:rsid w:val="00985C86"/>
    <w:rsid w:val="00996349"/>
    <w:rsid w:val="00996A8E"/>
    <w:rsid w:val="009A5FC3"/>
    <w:rsid w:val="009A7D9D"/>
    <w:rsid w:val="009B090B"/>
    <w:rsid w:val="009B74B0"/>
    <w:rsid w:val="009C0D47"/>
    <w:rsid w:val="009D3906"/>
    <w:rsid w:val="009D6B46"/>
    <w:rsid w:val="009F4940"/>
    <w:rsid w:val="009F5BA1"/>
    <w:rsid w:val="00A02A88"/>
    <w:rsid w:val="00A0562E"/>
    <w:rsid w:val="00A0726D"/>
    <w:rsid w:val="00A32FBB"/>
    <w:rsid w:val="00A344D3"/>
    <w:rsid w:val="00A428EE"/>
    <w:rsid w:val="00A4478A"/>
    <w:rsid w:val="00A44852"/>
    <w:rsid w:val="00A57D04"/>
    <w:rsid w:val="00A60A26"/>
    <w:rsid w:val="00A61598"/>
    <w:rsid w:val="00A63EDD"/>
    <w:rsid w:val="00A704B2"/>
    <w:rsid w:val="00A84A99"/>
    <w:rsid w:val="00A84F46"/>
    <w:rsid w:val="00A871F4"/>
    <w:rsid w:val="00AA1473"/>
    <w:rsid w:val="00AA3B8E"/>
    <w:rsid w:val="00AB4D90"/>
    <w:rsid w:val="00AC0C43"/>
    <w:rsid w:val="00AC1B2C"/>
    <w:rsid w:val="00AC3264"/>
    <w:rsid w:val="00AC4546"/>
    <w:rsid w:val="00AE1BF1"/>
    <w:rsid w:val="00AF0DD2"/>
    <w:rsid w:val="00B06C2F"/>
    <w:rsid w:val="00B13048"/>
    <w:rsid w:val="00B1716D"/>
    <w:rsid w:val="00B17A1D"/>
    <w:rsid w:val="00B207A0"/>
    <w:rsid w:val="00B217BD"/>
    <w:rsid w:val="00B2303F"/>
    <w:rsid w:val="00B514DD"/>
    <w:rsid w:val="00B52AF0"/>
    <w:rsid w:val="00B561BD"/>
    <w:rsid w:val="00B56E03"/>
    <w:rsid w:val="00B8080B"/>
    <w:rsid w:val="00B82223"/>
    <w:rsid w:val="00B87BA5"/>
    <w:rsid w:val="00B87C39"/>
    <w:rsid w:val="00B9562D"/>
    <w:rsid w:val="00B9733D"/>
    <w:rsid w:val="00BA4665"/>
    <w:rsid w:val="00BB2FB2"/>
    <w:rsid w:val="00BB3304"/>
    <w:rsid w:val="00BB34EA"/>
    <w:rsid w:val="00BB67C0"/>
    <w:rsid w:val="00BD3446"/>
    <w:rsid w:val="00BD5D87"/>
    <w:rsid w:val="00BE1F1B"/>
    <w:rsid w:val="00BE47B5"/>
    <w:rsid w:val="00C243A1"/>
    <w:rsid w:val="00C25FA6"/>
    <w:rsid w:val="00C26737"/>
    <w:rsid w:val="00C420BC"/>
    <w:rsid w:val="00C538A9"/>
    <w:rsid w:val="00C53B5A"/>
    <w:rsid w:val="00C54F5A"/>
    <w:rsid w:val="00C5501A"/>
    <w:rsid w:val="00C569B4"/>
    <w:rsid w:val="00C67A92"/>
    <w:rsid w:val="00C81758"/>
    <w:rsid w:val="00C84560"/>
    <w:rsid w:val="00C86679"/>
    <w:rsid w:val="00C8739E"/>
    <w:rsid w:val="00CA489E"/>
    <w:rsid w:val="00CA67ED"/>
    <w:rsid w:val="00CB0279"/>
    <w:rsid w:val="00CB666B"/>
    <w:rsid w:val="00CC7F1D"/>
    <w:rsid w:val="00CE484B"/>
    <w:rsid w:val="00CF6177"/>
    <w:rsid w:val="00D006AE"/>
    <w:rsid w:val="00D01CF0"/>
    <w:rsid w:val="00D0442A"/>
    <w:rsid w:val="00D1563D"/>
    <w:rsid w:val="00D17061"/>
    <w:rsid w:val="00D27530"/>
    <w:rsid w:val="00D325B8"/>
    <w:rsid w:val="00D54094"/>
    <w:rsid w:val="00D61388"/>
    <w:rsid w:val="00D61A54"/>
    <w:rsid w:val="00D64DEA"/>
    <w:rsid w:val="00D7168E"/>
    <w:rsid w:val="00D71E57"/>
    <w:rsid w:val="00D80893"/>
    <w:rsid w:val="00D84854"/>
    <w:rsid w:val="00D92CF1"/>
    <w:rsid w:val="00D92D38"/>
    <w:rsid w:val="00D950F5"/>
    <w:rsid w:val="00DA4752"/>
    <w:rsid w:val="00DA61F3"/>
    <w:rsid w:val="00DA6A65"/>
    <w:rsid w:val="00DB0F93"/>
    <w:rsid w:val="00DB1A67"/>
    <w:rsid w:val="00DB48C6"/>
    <w:rsid w:val="00DB5074"/>
    <w:rsid w:val="00DC5D3C"/>
    <w:rsid w:val="00DC7981"/>
    <w:rsid w:val="00DE1093"/>
    <w:rsid w:val="00DE3695"/>
    <w:rsid w:val="00DE4EFA"/>
    <w:rsid w:val="00DE5520"/>
    <w:rsid w:val="00DE563D"/>
    <w:rsid w:val="00E04818"/>
    <w:rsid w:val="00E06442"/>
    <w:rsid w:val="00E23993"/>
    <w:rsid w:val="00E25B8C"/>
    <w:rsid w:val="00E43C30"/>
    <w:rsid w:val="00E65C85"/>
    <w:rsid w:val="00E66199"/>
    <w:rsid w:val="00E755EC"/>
    <w:rsid w:val="00E7624D"/>
    <w:rsid w:val="00E97452"/>
    <w:rsid w:val="00EA3D42"/>
    <w:rsid w:val="00EA6B1B"/>
    <w:rsid w:val="00EC04F1"/>
    <w:rsid w:val="00ED2A57"/>
    <w:rsid w:val="00ED7323"/>
    <w:rsid w:val="00EE28F3"/>
    <w:rsid w:val="00EE50D1"/>
    <w:rsid w:val="00EF058A"/>
    <w:rsid w:val="00EF5110"/>
    <w:rsid w:val="00EF6D51"/>
    <w:rsid w:val="00F05CF2"/>
    <w:rsid w:val="00F0689C"/>
    <w:rsid w:val="00F10411"/>
    <w:rsid w:val="00F15882"/>
    <w:rsid w:val="00F171E0"/>
    <w:rsid w:val="00F20BD3"/>
    <w:rsid w:val="00F33D1C"/>
    <w:rsid w:val="00F373A5"/>
    <w:rsid w:val="00F47559"/>
    <w:rsid w:val="00F579C7"/>
    <w:rsid w:val="00F64C7B"/>
    <w:rsid w:val="00F676DD"/>
    <w:rsid w:val="00F73143"/>
    <w:rsid w:val="00F75A26"/>
    <w:rsid w:val="00F76706"/>
    <w:rsid w:val="00F83FAD"/>
    <w:rsid w:val="00F952A0"/>
    <w:rsid w:val="00F95752"/>
    <w:rsid w:val="00FA3C7F"/>
    <w:rsid w:val="00FB60FE"/>
    <w:rsid w:val="00FB74E2"/>
    <w:rsid w:val="00FD5614"/>
    <w:rsid w:val="00FD5E78"/>
    <w:rsid w:val="00FE0BE1"/>
    <w:rsid w:val="00FE1DE9"/>
    <w:rsid w:val="00FE36AF"/>
    <w:rsid w:val="00FE39C2"/>
    <w:rsid w:val="00FE3C32"/>
    <w:rsid w:val="00FE55BF"/>
    <w:rsid w:val="00FE64A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1468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nhideWhenUsed="0"/>
    <w:lsdException w:name="footnote text" w:qFormat="1"/>
    <w:lsdException w:name="header" w:qFormat="1"/>
    <w:lsdException w:name="footer" w:qFormat="1"/>
    <w:lsdException w:name="caption" w:uiPriority="35" w:qFormat="1"/>
    <w:lsdException w:name="footnote reference" w:qFormat="1"/>
    <w:lsdException w:name="page number" w:uiPriority="0"/>
    <w:lsdException w:name="List" w:qFormat="1"/>
    <w:lsdException w:name="List Number" w:uiPriority="0" w:qFormat="1"/>
    <w:lsdException w:name="List Bullet 2" w:uiPriority="0" w:qFormat="1"/>
    <w:lsdException w:name="List Bullet 3" w:uiPriority="0" w:qFormat="1"/>
    <w:lsdException w:name="Title" w:semiHidden="0" w:uiPriority="10" w:unhideWhenUsed="0" w:qFormat="1"/>
    <w:lsdException w:name="Default Paragraph Font" w:uiPriority="1"/>
    <w:lsdException w:name="List Continue" w:qFormat="1"/>
    <w:lsdException w:name="Subtitle" w:semiHidden="0" w:uiPriority="11" w:unhideWhenUsed="0"/>
    <w:lsdException w:name="Hyperlink"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0A3020"/>
    <w:pPr>
      <w:spacing w:line="276" w:lineRule="auto"/>
    </w:pPr>
    <w:rPr>
      <w:rFonts w:ascii="Arial" w:hAnsi="Arial"/>
    </w:rPr>
  </w:style>
  <w:style w:type="paragraph" w:styleId="Heading1">
    <w:name w:val="heading 1"/>
    <w:basedOn w:val="Normal"/>
    <w:next w:val="Normal"/>
    <w:link w:val="Heading1Char"/>
    <w:uiPriority w:val="9"/>
    <w:qFormat/>
    <w:rsid w:val="00DE1093"/>
    <w:pPr>
      <w:pageBreakBefore/>
      <w:numPr>
        <w:numId w:val="26"/>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uiPriority w:val="9"/>
    <w:qFormat/>
    <w:rsid w:val="00126A4C"/>
    <w:pPr>
      <w:numPr>
        <w:ilvl w:val="1"/>
        <w:numId w:val="26"/>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uiPriority w:val="9"/>
    <w:qFormat/>
    <w:rsid w:val="00126A4C"/>
    <w:pPr>
      <w:numPr>
        <w:ilvl w:val="2"/>
        <w:numId w:val="26"/>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uiPriority w:val="9"/>
    <w:qFormat/>
    <w:rsid w:val="00126A4C"/>
    <w:pPr>
      <w:numPr>
        <w:ilvl w:val="3"/>
        <w:numId w:val="26"/>
      </w:numPr>
      <w:tabs>
        <w:tab w:val="left" w:pos="1021"/>
      </w:tabs>
      <w:spacing w:before="240"/>
      <w:outlineLvl w:val="3"/>
    </w:pPr>
    <w:rPr>
      <w:rFonts w:eastAsiaTheme="majorEastAsia" w:cstheme="majorBidi"/>
      <w:b/>
      <w:bCs/>
      <w:iCs/>
      <w:color w:val="51626F"/>
      <w:sz w:val="24"/>
    </w:rPr>
  </w:style>
  <w:style w:type="paragraph" w:styleId="Heading5">
    <w:name w:val="heading 5"/>
    <w:next w:val="Normal"/>
    <w:link w:val="Heading5Char"/>
    <w:uiPriority w:val="9"/>
    <w:qFormat/>
    <w:rsid w:val="00126A4C"/>
    <w:pPr>
      <w:numPr>
        <w:ilvl w:val="4"/>
        <w:numId w:val="26"/>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basedOn w:val="Normal"/>
    <w:next w:val="Normal"/>
    <w:link w:val="Heading6Char"/>
    <w:uiPriority w:val="9"/>
    <w:qFormat/>
    <w:rsid w:val="00126A4C"/>
    <w:pPr>
      <w:numPr>
        <w:ilvl w:val="5"/>
        <w:numId w:val="26"/>
      </w:numPr>
      <w:tabs>
        <w:tab w:val="left" w:pos="1361"/>
      </w:tabs>
      <w:spacing w:before="240"/>
      <w:outlineLvl w:val="5"/>
    </w:pPr>
    <w:rPr>
      <w:rFonts w:eastAsiaTheme="majorEastAsia" w:cstheme="majorBidi"/>
      <w:b/>
      <w:i/>
      <w:iCs/>
      <w:color w:val="076A92" w:themeColor="text1"/>
    </w:rPr>
  </w:style>
  <w:style w:type="paragraph" w:styleId="Heading7">
    <w:name w:val="heading 7"/>
    <w:basedOn w:val="Heading1"/>
    <w:next w:val="Normal"/>
    <w:link w:val="Heading7Char"/>
    <w:uiPriority w:val="9"/>
    <w:qFormat/>
    <w:rsid w:val="00CB0279"/>
    <w:pPr>
      <w:numPr>
        <w:numId w:val="29"/>
      </w:numPr>
      <w:tabs>
        <w:tab w:val="clear" w:pos="680"/>
        <w:tab w:val="left" w:pos="1021"/>
      </w:tabs>
      <w:ind w:left="1021" w:hanging="1021"/>
      <w:outlineLvl w:val="6"/>
    </w:pPr>
  </w:style>
  <w:style w:type="paragraph" w:styleId="Heading8">
    <w:name w:val="heading 8"/>
    <w:basedOn w:val="Heading2"/>
    <w:next w:val="Normal"/>
    <w:link w:val="Heading8Char"/>
    <w:uiPriority w:val="9"/>
    <w:qFormat/>
    <w:rsid w:val="00CB0279"/>
    <w:pPr>
      <w:numPr>
        <w:numId w:val="29"/>
      </w:numPr>
      <w:tabs>
        <w:tab w:val="clear" w:pos="680"/>
        <w:tab w:val="left" w:pos="1021"/>
      </w:tabs>
      <w:outlineLvl w:val="7"/>
    </w:pPr>
  </w:style>
  <w:style w:type="paragraph" w:styleId="Heading9">
    <w:name w:val="heading 9"/>
    <w:basedOn w:val="Heading3"/>
    <w:next w:val="Normal"/>
    <w:link w:val="Heading9Char"/>
    <w:uiPriority w:val="9"/>
    <w:qFormat/>
    <w:rsid w:val="00CB0279"/>
    <w:pPr>
      <w:numPr>
        <w:numId w:val="29"/>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uiPriority w:val="9"/>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uiPriority w:val="9"/>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uiPriority w:val="9"/>
    <w:rsid w:val="00126A4C"/>
    <w:rPr>
      <w:rFonts w:ascii="Arial" w:eastAsiaTheme="majorEastAsia" w:hAnsi="Arial" w:cstheme="majorBidi"/>
      <w:b/>
      <w:bCs/>
      <w:iCs/>
      <w:color w:val="51626F"/>
      <w:sz w:val="24"/>
    </w:rPr>
  </w:style>
  <w:style w:type="character" w:customStyle="1" w:styleId="Heading5Char">
    <w:name w:val="Heading 5 Char"/>
    <w:basedOn w:val="DefaultParagraphFont"/>
    <w:link w:val="Heading5"/>
    <w:uiPriority w:val="9"/>
    <w:rsid w:val="00126A4C"/>
    <w:rPr>
      <w:rFonts w:ascii="Arial" w:eastAsiaTheme="majorEastAsia" w:hAnsi="Arial" w:cstheme="majorBidi"/>
      <w:b/>
      <w:color w:val="170017" w:themeColor="accent1" w:themeShade="7F"/>
    </w:rPr>
  </w:style>
  <w:style w:type="character" w:customStyle="1" w:styleId="Heading6Char">
    <w:name w:val="Heading 6 Char"/>
    <w:basedOn w:val="DefaultParagraphFont"/>
    <w:link w:val="Heading6"/>
    <w:uiPriority w:val="9"/>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uiPriority w:val="39"/>
    <w:rsid w:val="005D7BA2"/>
    <w:pPr>
      <w:tabs>
        <w:tab w:val="right" w:leader="dot" w:pos="8363"/>
      </w:tabs>
      <w:spacing w:after="100"/>
      <w:ind w:left="2977"/>
    </w:pPr>
    <w:rPr>
      <w:noProof/>
    </w:rPr>
  </w:style>
  <w:style w:type="paragraph" w:styleId="TOC9">
    <w:name w:val="toc 9"/>
    <w:basedOn w:val="Normal"/>
    <w:next w:val="Normal"/>
    <w:uiPriority w:val="39"/>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iPriority w:val="99"/>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qFormat/>
    <w:rsid w:val="00FE64AE"/>
    <w:pPr>
      <w:numPr>
        <w:numId w:val="2"/>
      </w:numPr>
      <w:ind w:left="357" w:hanging="357"/>
    </w:pPr>
    <w:rPr>
      <w:rFonts w:cs="Times New Roman"/>
    </w:rPr>
  </w:style>
  <w:style w:type="paragraph" w:styleId="ListBullet">
    <w:name w:val="List Bullet"/>
    <w:aliases w:val="AER List number 2 first"/>
    <w:basedOn w:val="Normal"/>
    <w:uiPriority w:val="99"/>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qFormat/>
    <w:rsid w:val="00CA489E"/>
    <w:pPr>
      <w:numPr>
        <w:numId w:val="7"/>
      </w:numPr>
      <w:tabs>
        <w:tab w:val="clear" w:pos="360"/>
        <w:tab w:val="num" w:pos="340"/>
      </w:tabs>
      <w:spacing w:before="120"/>
      <w:ind w:left="340" w:hanging="340"/>
    </w:pPr>
  </w:style>
  <w:style w:type="paragraph" w:styleId="ListBullet2">
    <w:name w:val="List Bullet 2"/>
    <w:aliases w:val="AER numbered list 2 second"/>
    <w:basedOn w:val="Normal"/>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iPriority w:val="99"/>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basedOn w:val="DefaultParagraphFont"/>
    <w:link w:val="Heading7"/>
    <w:uiPriority w:val="9"/>
    <w:rsid w:val="00CB0279"/>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uiPriority w:val="9"/>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uiPriority w:val="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uiPriority w:val="59"/>
    <w:rsid w:val="00C53B5A"/>
    <w:pPr>
      <w:spacing w:before="60" w:after="60"/>
    </w:pPr>
    <w:rPr>
      <w:rFonts w:ascii="Arial" w:hAnsi="Arial"/>
      <w:sz w:val="20"/>
    </w:rPr>
    <w:tblPr>
      <w:tblInd w:w="0" w:type="dxa"/>
      <w:tblBorders>
        <w:top w:val="single" w:sz="4" w:space="0" w:color="BFBFBF" w:themeColor="background1" w:themeShade="BF"/>
        <w:bottom w:val="single" w:sz="4" w:space="0" w:color="BFBFBF" w:themeColor="background1" w:themeShade="BF"/>
      </w:tblBorders>
      <w:tblCellMar>
        <w:top w:w="0" w:type="dxa"/>
        <w:left w:w="108" w:type="dxa"/>
        <w:bottom w:w="0" w:type="dxa"/>
        <w:right w:w="108" w:type="dxa"/>
      </w:tblCellMar>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Ind w:w="0" w:type="dxa"/>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CellMar>
        <w:top w:w="0" w:type="dxa"/>
        <w:left w:w="108" w:type="dxa"/>
        <w:bottom w:w="0" w:type="dxa"/>
        <w:right w:w="108" w:type="dxa"/>
      </w:tblCellMar>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Ind w:w="0" w:type="dxa"/>
      <w:tblBorders>
        <w:top w:val="single" w:sz="8" w:space="0" w:color="2F002F" w:themeColor="accent1"/>
        <w:bottom w:val="single" w:sz="8" w:space="0" w:color="2F002F"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Ind w:w="0" w:type="dxa"/>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CellMar>
        <w:top w:w="0" w:type="dxa"/>
        <w:left w:w="108" w:type="dxa"/>
        <w:bottom w:w="0" w:type="dxa"/>
        <w:right w:w="108" w:type="dxa"/>
      </w:tblCellMar>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Ind w:w="0" w:type="dxa"/>
      <w:tblBorders>
        <w:top w:val="single" w:sz="8" w:space="0" w:color="002060" w:themeColor="accent3"/>
        <w:bottom w:val="single" w:sz="8" w:space="0" w:color="002060"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Ind w:w="0" w:type="dxa"/>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Ind w:w="0" w:type="dxa"/>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Ind w:w="0" w:type="dxa"/>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Ind w:w="0" w:type="dxa"/>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Ind w:w="0" w:type="dxa"/>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Ind w:w="0" w:type="dxa"/>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Ind w:w="0" w:type="dxa"/>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Ind w:w="0" w:type="dxa"/>
      <w:tblBorders>
        <w:top w:val="single" w:sz="8" w:space="0" w:color="076A92" w:themeColor="text1"/>
        <w:left w:val="single" w:sz="8" w:space="0" w:color="076A92" w:themeColor="text1"/>
        <w:bottom w:val="single" w:sz="8" w:space="0" w:color="076A92" w:themeColor="text1"/>
        <w:right w:val="single" w:sz="8" w:space="0" w:color="076A92"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Ind w:w="0" w:type="dxa"/>
      <w:tblBorders>
        <w:top w:val="single" w:sz="8" w:space="0" w:color="000000" w:themeColor="accent5"/>
        <w:bottom w:val="single" w:sz="8" w:space="0" w:color="000000"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Ind w:w="0" w:type="dxa"/>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iPriority w:val="99"/>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5B704A"/>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uiPriority w:val="10"/>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Ind w:w="0" w:type="dxa"/>
      <w:tblBorders>
        <w:top w:val="single" w:sz="8" w:space="0" w:color="2F002F" w:themeColor="accent1"/>
        <w:left w:val="single" w:sz="8" w:space="0" w:color="2F002F" w:themeColor="accent1"/>
        <w:bottom w:val="single" w:sz="8" w:space="0" w:color="2F002F" w:themeColor="accent1"/>
        <w:right w:val="single" w:sz="8" w:space="0" w:color="2F002F"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Ind w:w="0" w:type="dxa"/>
      <w:tblBorders>
        <w:top w:val="single" w:sz="8" w:space="0" w:color="002060" w:themeColor="accent3"/>
        <w:left w:val="single" w:sz="8" w:space="0" w:color="002060" w:themeColor="accent3"/>
        <w:bottom w:val="single" w:sz="8" w:space="0" w:color="002060" w:themeColor="accent3"/>
        <w:right w:val="single" w:sz="8" w:space="0" w:color="002060"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Ind w:w="0" w:type="dxa"/>
      <w:tblBorders>
        <w:top w:val="single" w:sz="8" w:space="0" w:color="000000" w:themeColor="accent5"/>
        <w:left w:val="single" w:sz="8" w:space="0" w:color="000000" w:themeColor="accent5"/>
        <w:bottom w:val="single" w:sz="8" w:space="0" w:color="000000" w:themeColor="accent5"/>
        <w:right w:val="single" w:sz="8" w:space="0" w:color="000000" w:themeColor="accent5"/>
      </w:tblBorders>
      <w:tblCellMar>
        <w:top w:w="0" w:type="dxa"/>
        <w:left w:w="108" w:type="dxa"/>
        <w:bottom w:w="0" w:type="dxa"/>
        <w:right w:w="108" w:type="dxa"/>
      </w:tblCellMar>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99"/>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qFormat/>
    <w:rsid w:val="00701CAB"/>
    <w:rPr>
      <w:vertAlign w:val="superscript"/>
    </w:rPr>
  </w:style>
  <w:style w:type="character" w:styleId="Strong">
    <w:name w:val="Strong"/>
    <w:aliases w:val="AER text bold"/>
    <w:basedOn w:val="DefaultParagraphFont"/>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Ind w:w="0" w:type="dxa"/>
      <w:tblBorders>
        <w:top w:val="single" w:sz="8" w:space="0" w:color="C00000" w:themeColor="accent4"/>
        <w:bottom w:val="single" w:sz="8" w:space="0" w:color="C00000"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Ind w:w="0" w:type="dxa"/>
      <w:tblBorders>
        <w:top w:val="single" w:sz="8" w:space="0" w:color="70303C" w:themeColor="accent6"/>
        <w:bottom w:val="single" w:sz="8" w:space="0" w:color="70303C"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uiPriority w:val="39"/>
    <w:rsid w:val="005D7BA2"/>
    <w:pPr>
      <w:tabs>
        <w:tab w:val="right" w:leader="dot" w:pos="8363"/>
      </w:tabs>
      <w:spacing w:after="100"/>
      <w:ind w:left="1276"/>
    </w:pPr>
    <w:rPr>
      <w:noProof/>
    </w:rPr>
  </w:style>
  <w:style w:type="paragraph" w:styleId="TOC5">
    <w:name w:val="toc 5"/>
    <w:basedOn w:val="Normal"/>
    <w:next w:val="Normal"/>
    <w:uiPriority w:val="39"/>
    <w:rsid w:val="005D7BA2"/>
    <w:pPr>
      <w:tabs>
        <w:tab w:val="right" w:leader="dot" w:pos="8363"/>
      </w:tabs>
      <w:spacing w:after="100"/>
      <w:ind w:left="1701"/>
    </w:pPr>
    <w:rPr>
      <w:noProof/>
    </w:rPr>
  </w:style>
  <w:style w:type="paragraph" w:styleId="TOC6">
    <w:name w:val="toc 6"/>
    <w:basedOn w:val="Normal"/>
    <w:next w:val="Normal"/>
    <w:uiPriority w:val="39"/>
    <w:rsid w:val="005D7BA2"/>
    <w:pPr>
      <w:tabs>
        <w:tab w:val="right" w:leader="dot" w:pos="8363"/>
      </w:tabs>
      <w:spacing w:after="100"/>
      <w:ind w:left="2126"/>
    </w:pPr>
    <w:rPr>
      <w:noProof/>
    </w:rPr>
  </w:style>
  <w:style w:type="paragraph" w:styleId="TOC7">
    <w:name w:val="toc 7"/>
    <w:basedOn w:val="Normal"/>
    <w:next w:val="Normal"/>
    <w:uiPriority w:val="39"/>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Ind w:w="0" w:type="dxa"/>
      <w:tblBorders>
        <w:top w:val="single" w:sz="4" w:space="0" w:color="FFFFFF" w:themeColor="background2"/>
        <w:bottom w:val="single" w:sz="4" w:space="0" w:color="FFFFFF" w:themeColor="background2"/>
        <w:insideH w:val="single" w:sz="4" w:space="0" w:color="FFFFFF" w:themeColor="background2"/>
      </w:tblBorders>
      <w:tblCellMar>
        <w:top w:w="0" w:type="dxa"/>
        <w:left w:w="108" w:type="dxa"/>
        <w:bottom w:w="0" w:type="dxa"/>
        <w:right w:w="108" w:type="dxa"/>
      </w:tblCellMar>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Ind w:w="0" w:type="dxa"/>
      <w:tblBorders>
        <w:top w:val="single" w:sz="8" w:space="0" w:color="C14E00" w:themeColor="accent2"/>
        <w:left w:val="single" w:sz="8" w:space="0" w:color="C14E00" w:themeColor="accent2"/>
        <w:bottom w:val="single" w:sz="8" w:space="0" w:color="C14E00" w:themeColor="accent2"/>
        <w:right w:val="single" w:sz="8" w:space="0" w:color="C14E00"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Ind w:w="0" w:type="dxa"/>
      <w:tblBorders>
        <w:top w:val="single" w:sz="8" w:space="0" w:color="C00000" w:themeColor="accent4"/>
        <w:left w:val="single" w:sz="8" w:space="0" w:color="C00000" w:themeColor="accent4"/>
        <w:bottom w:val="single" w:sz="8" w:space="0" w:color="C00000" w:themeColor="accent4"/>
        <w:right w:val="single" w:sz="8" w:space="0" w:color="C00000"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Ind w:w="0" w:type="dxa"/>
      <w:tblBorders>
        <w:top w:val="single" w:sz="8" w:space="0" w:color="70303C" w:themeColor="accent6"/>
        <w:left w:val="single" w:sz="8" w:space="0" w:color="70303C" w:themeColor="accent6"/>
        <w:bottom w:val="single" w:sz="8" w:space="0" w:color="70303C" w:themeColor="accent6"/>
        <w:right w:val="single" w:sz="8" w:space="0" w:color="70303C"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Ind w:w="0" w:type="dxa"/>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Ind w:w="0" w:type="dxa"/>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Ind w:w="0" w:type="dxa"/>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Ind w:w="0" w:type="dxa"/>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Ind w:w="0" w:type="dxa"/>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iPriority w:val="35"/>
    <w:unhideWhenUsed/>
    <w:qFormat/>
    <w:rsid w:val="0066104A"/>
    <w:pPr>
      <w:keepNext/>
      <w:spacing w:before="240" w:after="120"/>
    </w:pPr>
    <w:rPr>
      <w:b/>
      <w:bCs/>
      <w:color w:val="076A92" w:themeColor="text1"/>
      <w:sz w:val="24"/>
      <w:szCs w:val="18"/>
    </w:rPr>
  </w:style>
  <w:style w:type="paragraph" w:styleId="List">
    <w:name w:val="List"/>
    <w:basedOn w:val="Normal"/>
    <w:uiPriority w:val="99"/>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iPriority w:val="99"/>
    <w:unhideWhenUsed/>
    <w:qFormat/>
    <w:rsid w:val="00DB5074"/>
    <w:pPr>
      <w:tabs>
        <w:tab w:val="left" w:pos="340"/>
      </w:tabs>
      <w:spacing w:before="120"/>
      <w:ind w:left="340"/>
    </w:pPr>
  </w:style>
  <w:style w:type="paragraph" w:styleId="ListContinue2">
    <w:name w:val="List Continue 2"/>
    <w:aliases w:val="AER body text (indent 2)"/>
    <w:basedOn w:val="Normal"/>
    <w:uiPriority w:val="99"/>
    <w:unhideWhenUsed/>
    <w:rsid w:val="00567BA5"/>
    <w:pPr>
      <w:tabs>
        <w:tab w:val="left" w:pos="680"/>
      </w:tabs>
      <w:spacing w:before="120"/>
      <w:ind w:left="680"/>
    </w:pPr>
  </w:style>
  <w:style w:type="paragraph" w:styleId="ListContinue3">
    <w:name w:val="List Continue 3"/>
    <w:aliases w:val="AER body text (indent 3)"/>
    <w:basedOn w:val="Normal"/>
    <w:uiPriority w:val="99"/>
    <w:unhideWhenUsed/>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Ind w:w="0" w:type="dxa"/>
      <w:tblBorders>
        <w:insideV w:val="single" w:sz="4" w:space="0" w:color="FFFFFF" w:themeColor="background2"/>
      </w:tblBorders>
      <w:tblCellMar>
        <w:top w:w="0" w:type="dxa"/>
        <w:left w:w="108" w:type="dxa"/>
        <w:bottom w:w="0" w:type="dxa"/>
        <w:right w:w="108" w:type="dxa"/>
      </w:tblCellMar>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Ind w:w="0" w:type="dxa"/>
      <w:tblBorders>
        <w:bottom w:val="single" w:sz="4" w:space="0" w:color="auto"/>
      </w:tblBorders>
      <w:tblCellMar>
        <w:top w:w="0" w:type="dxa"/>
        <w:left w:w="108" w:type="dxa"/>
        <w:bottom w:w="0" w:type="dxa"/>
        <w:right w:w="108" w:type="dxa"/>
      </w:tblCellMar>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iPriority w:val="99"/>
    <w:semiHidden/>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iPriority w:val="99"/>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iPriority w:val="99"/>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iPriority w:val="99"/>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semiHidden/>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2"/>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3"/>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4"/>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5"/>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Ind w:w="0" w:type="dxa"/>
      <w:tblBorders>
        <w:bottom w:val="single" w:sz="4" w:space="0" w:color="365F91"/>
      </w:tblBorders>
      <w:tblCellMar>
        <w:top w:w="0" w:type="dxa"/>
        <w:left w:w="108" w:type="dxa"/>
        <w:bottom w:w="0" w:type="dxa"/>
        <w:right w:w="108" w:type="dxa"/>
      </w:tblCellMar>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7"/>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Ind w:w="0" w:type="dxa"/>
      <w:tblBorders>
        <w:bottom w:val="single" w:sz="4" w:space="0" w:color="365F91"/>
      </w:tblBorders>
      <w:tblCellMar>
        <w:top w:w="0" w:type="dxa"/>
        <w:left w:w="108" w:type="dxa"/>
        <w:bottom w:w="0" w:type="dxa"/>
        <w:right w:w="108" w:type="dxa"/>
      </w:tblCellMar>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uiPriority w:val="99"/>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dxa"/>
      <w:tblBorders>
        <w:bottom w:val="single" w:sz="4" w:space="0" w:color="365F91"/>
      </w:tblBorders>
      <w:tblCellMar>
        <w:top w:w="0" w:type="dxa"/>
        <w:left w:w="108" w:type="dxa"/>
        <w:bottom w:w="0" w:type="dxa"/>
        <w:right w:w="108" w:type="dxa"/>
      </w:tblCellMar>
    </w:tblPr>
    <w:tcPr>
      <w:vAlign w:val="center"/>
    </w:tcPr>
    <w:tblStylePr w:type="firstRow">
      <w:rPr>
        <w:b/>
        <w:color w:val="FFFFFF"/>
      </w:rPr>
      <w:tblPr/>
      <w:tcPr>
        <w:shd w:val="clear" w:color="auto" w:fill="365F91"/>
      </w:tcPr>
    </w:tblStylePr>
    <w:tblStylePr w:type="band2Horz">
      <w:tblPr/>
      <w:tcPr>
        <w:shd w:val="clear" w:color="auto" w:fill="DBE5F1"/>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nhideWhenUsed="0"/>
    <w:lsdException w:name="footnote text" w:qFormat="1"/>
    <w:lsdException w:name="header" w:qFormat="1"/>
    <w:lsdException w:name="footer" w:qFormat="1"/>
    <w:lsdException w:name="caption" w:uiPriority="35" w:qFormat="1"/>
    <w:lsdException w:name="footnote reference" w:qFormat="1"/>
    <w:lsdException w:name="page number" w:uiPriority="0"/>
    <w:lsdException w:name="List" w:qFormat="1"/>
    <w:lsdException w:name="List Number" w:uiPriority="0" w:qFormat="1"/>
    <w:lsdException w:name="List Bullet 2" w:uiPriority="0" w:qFormat="1"/>
    <w:lsdException w:name="List Bullet 3" w:uiPriority="0" w:qFormat="1"/>
    <w:lsdException w:name="Title" w:semiHidden="0" w:uiPriority="10" w:unhideWhenUsed="0" w:qFormat="1"/>
    <w:lsdException w:name="Default Paragraph Font" w:uiPriority="1"/>
    <w:lsdException w:name="List Continue" w:qFormat="1"/>
    <w:lsdException w:name="Subtitle" w:semiHidden="0" w:uiPriority="11" w:unhideWhenUsed="0"/>
    <w:lsdException w:name="Hyperlink"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0A3020"/>
    <w:pPr>
      <w:spacing w:line="276" w:lineRule="auto"/>
    </w:pPr>
    <w:rPr>
      <w:rFonts w:ascii="Arial" w:hAnsi="Arial"/>
    </w:rPr>
  </w:style>
  <w:style w:type="paragraph" w:styleId="Heading1">
    <w:name w:val="heading 1"/>
    <w:basedOn w:val="Normal"/>
    <w:next w:val="Normal"/>
    <w:link w:val="Heading1Char"/>
    <w:uiPriority w:val="9"/>
    <w:qFormat/>
    <w:rsid w:val="00DE1093"/>
    <w:pPr>
      <w:pageBreakBefore/>
      <w:numPr>
        <w:numId w:val="26"/>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uiPriority w:val="9"/>
    <w:qFormat/>
    <w:rsid w:val="00126A4C"/>
    <w:pPr>
      <w:numPr>
        <w:ilvl w:val="1"/>
        <w:numId w:val="26"/>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uiPriority w:val="9"/>
    <w:qFormat/>
    <w:rsid w:val="00126A4C"/>
    <w:pPr>
      <w:numPr>
        <w:ilvl w:val="2"/>
        <w:numId w:val="26"/>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uiPriority w:val="9"/>
    <w:qFormat/>
    <w:rsid w:val="00126A4C"/>
    <w:pPr>
      <w:numPr>
        <w:ilvl w:val="3"/>
        <w:numId w:val="26"/>
      </w:numPr>
      <w:tabs>
        <w:tab w:val="left" w:pos="1021"/>
      </w:tabs>
      <w:spacing w:before="240"/>
      <w:outlineLvl w:val="3"/>
    </w:pPr>
    <w:rPr>
      <w:rFonts w:eastAsiaTheme="majorEastAsia" w:cstheme="majorBidi"/>
      <w:b/>
      <w:bCs/>
      <w:iCs/>
      <w:color w:val="51626F"/>
      <w:sz w:val="24"/>
    </w:rPr>
  </w:style>
  <w:style w:type="paragraph" w:styleId="Heading5">
    <w:name w:val="heading 5"/>
    <w:next w:val="Normal"/>
    <w:link w:val="Heading5Char"/>
    <w:uiPriority w:val="9"/>
    <w:qFormat/>
    <w:rsid w:val="00126A4C"/>
    <w:pPr>
      <w:numPr>
        <w:ilvl w:val="4"/>
        <w:numId w:val="26"/>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basedOn w:val="Normal"/>
    <w:next w:val="Normal"/>
    <w:link w:val="Heading6Char"/>
    <w:uiPriority w:val="9"/>
    <w:qFormat/>
    <w:rsid w:val="00126A4C"/>
    <w:pPr>
      <w:numPr>
        <w:ilvl w:val="5"/>
        <w:numId w:val="26"/>
      </w:numPr>
      <w:tabs>
        <w:tab w:val="left" w:pos="1361"/>
      </w:tabs>
      <w:spacing w:before="240"/>
      <w:outlineLvl w:val="5"/>
    </w:pPr>
    <w:rPr>
      <w:rFonts w:eastAsiaTheme="majorEastAsia" w:cstheme="majorBidi"/>
      <w:b/>
      <w:i/>
      <w:iCs/>
      <w:color w:val="076A92" w:themeColor="text1"/>
    </w:rPr>
  </w:style>
  <w:style w:type="paragraph" w:styleId="Heading7">
    <w:name w:val="heading 7"/>
    <w:basedOn w:val="Heading1"/>
    <w:next w:val="Normal"/>
    <w:link w:val="Heading7Char"/>
    <w:uiPriority w:val="9"/>
    <w:qFormat/>
    <w:rsid w:val="00CB0279"/>
    <w:pPr>
      <w:numPr>
        <w:numId w:val="29"/>
      </w:numPr>
      <w:tabs>
        <w:tab w:val="clear" w:pos="680"/>
        <w:tab w:val="left" w:pos="1021"/>
      </w:tabs>
      <w:ind w:left="1021" w:hanging="1021"/>
      <w:outlineLvl w:val="6"/>
    </w:pPr>
  </w:style>
  <w:style w:type="paragraph" w:styleId="Heading8">
    <w:name w:val="heading 8"/>
    <w:basedOn w:val="Heading2"/>
    <w:next w:val="Normal"/>
    <w:link w:val="Heading8Char"/>
    <w:uiPriority w:val="9"/>
    <w:qFormat/>
    <w:rsid w:val="00CB0279"/>
    <w:pPr>
      <w:numPr>
        <w:numId w:val="29"/>
      </w:numPr>
      <w:tabs>
        <w:tab w:val="clear" w:pos="680"/>
        <w:tab w:val="left" w:pos="1021"/>
      </w:tabs>
      <w:outlineLvl w:val="7"/>
    </w:pPr>
  </w:style>
  <w:style w:type="paragraph" w:styleId="Heading9">
    <w:name w:val="heading 9"/>
    <w:basedOn w:val="Heading3"/>
    <w:next w:val="Normal"/>
    <w:link w:val="Heading9Char"/>
    <w:uiPriority w:val="9"/>
    <w:qFormat/>
    <w:rsid w:val="00CB0279"/>
    <w:pPr>
      <w:numPr>
        <w:numId w:val="29"/>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uiPriority w:val="9"/>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uiPriority w:val="9"/>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uiPriority w:val="9"/>
    <w:rsid w:val="00126A4C"/>
    <w:rPr>
      <w:rFonts w:ascii="Arial" w:eastAsiaTheme="majorEastAsia" w:hAnsi="Arial" w:cstheme="majorBidi"/>
      <w:b/>
      <w:bCs/>
      <w:iCs/>
      <w:color w:val="51626F"/>
      <w:sz w:val="24"/>
    </w:rPr>
  </w:style>
  <w:style w:type="character" w:customStyle="1" w:styleId="Heading5Char">
    <w:name w:val="Heading 5 Char"/>
    <w:basedOn w:val="DefaultParagraphFont"/>
    <w:link w:val="Heading5"/>
    <w:uiPriority w:val="9"/>
    <w:rsid w:val="00126A4C"/>
    <w:rPr>
      <w:rFonts w:ascii="Arial" w:eastAsiaTheme="majorEastAsia" w:hAnsi="Arial" w:cstheme="majorBidi"/>
      <w:b/>
      <w:color w:val="170017" w:themeColor="accent1" w:themeShade="7F"/>
    </w:rPr>
  </w:style>
  <w:style w:type="character" w:customStyle="1" w:styleId="Heading6Char">
    <w:name w:val="Heading 6 Char"/>
    <w:basedOn w:val="DefaultParagraphFont"/>
    <w:link w:val="Heading6"/>
    <w:uiPriority w:val="9"/>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uiPriority w:val="39"/>
    <w:rsid w:val="005D7BA2"/>
    <w:pPr>
      <w:tabs>
        <w:tab w:val="right" w:leader="dot" w:pos="8363"/>
      </w:tabs>
      <w:spacing w:after="100"/>
      <w:ind w:left="2977"/>
    </w:pPr>
    <w:rPr>
      <w:noProof/>
    </w:rPr>
  </w:style>
  <w:style w:type="paragraph" w:styleId="TOC9">
    <w:name w:val="toc 9"/>
    <w:basedOn w:val="Normal"/>
    <w:next w:val="Normal"/>
    <w:uiPriority w:val="39"/>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iPriority w:val="99"/>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qFormat/>
    <w:rsid w:val="00FE64AE"/>
    <w:pPr>
      <w:numPr>
        <w:numId w:val="2"/>
      </w:numPr>
      <w:ind w:left="357" w:hanging="357"/>
    </w:pPr>
    <w:rPr>
      <w:rFonts w:cs="Times New Roman"/>
    </w:rPr>
  </w:style>
  <w:style w:type="paragraph" w:styleId="ListBullet">
    <w:name w:val="List Bullet"/>
    <w:aliases w:val="AER List number 2 first"/>
    <w:basedOn w:val="Normal"/>
    <w:uiPriority w:val="99"/>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qFormat/>
    <w:rsid w:val="00CA489E"/>
    <w:pPr>
      <w:numPr>
        <w:numId w:val="7"/>
      </w:numPr>
      <w:tabs>
        <w:tab w:val="clear" w:pos="360"/>
        <w:tab w:val="num" w:pos="340"/>
      </w:tabs>
      <w:spacing w:before="120"/>
      <w:ind w:left="340" w:hanging="340"/>
    </w:pPr>
  </w:style>
  <w:style w:type="paragraph" w:styleId="ListBullet2">
    <w:name w:val="List Bullet 2"/>
    <w:aliases w:val="AER numbered list 2 second"/>
    <w:basedOn w:val="Normal"/>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iPriority w:val="99"/>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basedOn w:val="DefaultParagraphFont"/>
    <w:link w:val="Heading7"/>
    <w:uiPriority w:val="9"/>
    <w:rsid w:val="00CB0279"/>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uiPriority w:val="9"/>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uiPriority w:val="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uiPriority w:val="59"/>
    <w:rsid w:val="00C53B5A"/>
    <w:pPr>
      <w:spacing w:before="60" w:after="60"/>
    </w:pPr>
    <w:rPr>
      <w:rFonts w:ascii="Arial" w:hAnsi="Arial"/>
      <w:sz w:val="20"/>
    </w:rPr>
    <w:tblPr>
      <w:tblInd w:w="0" w:type="dxa"/>
      <w:tblBorders>
        <w:top w:val="single" w:sz="4" w:space="0" w:color="BFBFBF" w:themeColor="background1" w:themeShade="BF"/>
        <w:bottom w:val="single" w:sz="4" w:space="0" w:color="BFBFBF" w:themeColor="background1" w:themeShade="BF"/>
      </w:tblBorders>
      <w:tblCellMar>
        <w:top w:w="0" w:type="dxa"/>
        <w:left w:w="108" w:type="dxa"/>
        <w:bottom w:w="0" w:type="dxa"/>
        <w:right w:w="108" w:type="dxa"/>
      </w:tblCellMar>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Ind w:w="0" w:type="dxa"/>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CellMar>
        <w:top w:w="0" w:type="dxa"/>
        <w:left w:w="108" w:type="dxa"/>
        <w:bottom w:w="0" w:type="dxa"/>
        <w:right w:w="108" w:type="dxa"/>
      </w:tblCellMar>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Ind w:w="0" w:type="dxa"/>
      <w:tblBorders>
        <w:top w:val="single" w:sz="8" w:space="0" w:color="2F002F" w:themeColor="accent1"/>
        <w:bottom w:val="single" w:sz="8" w:space="0" w:color="2F002F"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Ind w:w="0" w:type="dxa"/>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CellMar>
        <w:top w:w="0" w:type="dxa"/>
        <w:left w:w="108" w:type="dxa"/>
        <w:bottom w:w="0" w:type="dxa"/>
        <w:right w:w="108" w:type="dxa"/>
      </w:tblCellMar>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Ind w:w="0" w:type="dxa"/>
      <w:tblBorders>
        <w:top w:val="single" w:sz="8" w:space="0" w:color="002060" w:themeColor="accent3"/>
        <w:bottom w:val="single" w:sz="8" w:space="0" w:color="002060"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Ind w:w="0" w:type="dxa"/>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Ind w:w="0" w:type="dxa"/>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Ind w:w="0" w:type="dxa"/>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Ind w:w="0" w:type="dxa"/>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Ind w:w="0" w:type="dxa"/>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Ind w:w="0" w:type="dxa"/>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Ind w:w="0" w:type="dxa"/>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Ind w:w="0" w:type="dxa"/>
      <w:tblBorders>
        <w:top w:val="single" w:sz="8" w:space="0" w:color="076A92" w:themeColor="text1"/>
        <w:left w:val="single" w:sz="8" w:space="0" w:color="076A92" w:themeColor="text1"/>
        <w:bottom w:val="single" w:sz="8" w:space="0" w:color="076A92" w:themeColor="text1"/>
        <w:right w:val="single" w:sz="8" w:space="0" w:color="076A92"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Ind w:w="0" w:type="dxa"/>
      <w:tblBorders>
        <w:top w:val="single" w:sz="8" w:space="0" w:color="000000" w:themeColor="accent5"/>
        <w:bottom w:val="single" w:sz="8" w:space="0" w:color="000000"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Ind w:w="0" w:type="dxa"/>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iPriority w:val="99"/>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5B704A"/>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uiPriority w:val="10"/>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Ind w:w="0" w:type="dxa"/>
      <w:tblBorders>
        <w:top w:val="single" w:sz="8" w:space="0" w:color="2F002F" w:themeColor="accent1"/>
        <w:left w:val="single" w:sz="8" w:space="0" w:color="2F002F" w:themeColor="accent1"/>
        <w:bottom w:val="single" w:sz="8" w:space="0" w:color="2F002F" w:themeColor="accent1"/>
        <w:right w:val="single" w:sz="8" w:space="0" w:color="2F002F"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Ind w:w="0" w:type="dxa"/>
      <w:tblBorders>
        <w:top w:val="single" w:sz="8" w:space="0" w:color="002060" w:themeColor="accent3"/>
        <w:left w:val="single" w:sz="8" w:space="0" w:color="002060" w:themeColor="accent3"/>
        <w:bottom w:val="single" w:sz="8" w:space="0" w:color="002060" w:themeColor="accent3"/>
        <w:right w:val="single" w:sz="8" w:space="0" w:color="002060"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Ind w:w="0" w:type="dxa"/>
      <w:tblBorders>
        <w:top w:val="single" w:sz="8" w:space="0" w:color="000000" w:themeColor="accent5"/>
        <w:left w:val="single" w:sz="8" w:space="0" w:color="000000" w:themeColor="accent5"/>
        <w:bottom w:val="single" w:sz="8" w:space="0" w:color="000000" w:themeColor="accent5"/>
        <w:right w:val="single" w:sz="8" w:space="0" w:color="000000" w:themeColor="accent5"/>
      </w:tblBorders>
      <w:tblCellMar>
        <w:top w:w="0" w:type="dxa"/>
        <w:left w:w="108" w:type="dxa"/>
        <w:bottom w:w="0" w:type="dxa"/>
        <w:right w:w="108" w:type="dxa"/>
      </w:tblCellMar>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99"/>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qFormat/>
    <w:rsid w:val="00701CAB"/>
    <w:rPr>
      <w:vertAlign w:val="superscript"/>
    </w:rPr>
  </w:style>
  <w:style w:type="character" w:styleId="Strong">
    <w:name w:val="Strong"/>
    <w:aliases w:val="AER text bold"/>
    <w:basedOn w:val="DefaultParagraphFont"/>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Ind w:w="0" w:type="dxa"/>
      <w:tblBorders>
        <w:top w:val="single" w:sz="8" w:space="0" w:color="C00000" w:themeColor="accent4"/>
        <w:bottom w:val="single" w:sz="8" w:space="0" w:color="C00000"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Ind w:w="0" w:type="dxa"/>
      <w:tblBorders>
        <w:top w:val="single" w:sz="8" w:space="0" w:color="70303C" w:themeColor="accent6"/>
        <w:bottom w:val="single" w:sz="8" w:space="0" w:color="70303C"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uiPriority w:val="39"/>
    <w:rsid w:val="005D7BA2"/>
    <w:pPr>
      <w:tabs>
        <w:tab w:val="right" w:leader="dot" w:pos="8363"/>
      </w:tabs>
      <w:spacing w:after="100"/>
      <w:ind w:left="1276"/>
    </w:pPr>
    <w:rPr>
      <w:noProof/>
    </w:rPr>
  </w:style>
  <w:style w:type="paragraph" w:styleId="TOC5">
    <w:name w:val="toc 5"/>
    <w:basedOn w:val="Normal"/>
    <w:next w:val="Normal"/>
    <w:uiPriority w:val="39"/>
    <w:rsid w:val="005D7BA2"/>
    <w:pPr>
      <w:tabs>
        <w:tab w:val="right" w:leader="dot" w:pos="8363"/>
      </w:tabs>
      <w:spacing w:after="100"/>
      <w:ind w:left="1701"/>
    </w:pPr>
    <w:rPr>
      <w:noProof/>
    </w:rPr>
  </w:style>
  <w:style w:type="paragraph" w:styleId="TOC6">
    <w:name w:val="toc 6"/>
    <w:basedOn w:val="Normal"/>
    <w:next w:val="Normal"/>
    <w:uiPriority w:val="39"/>
    <w:rsid w:val="005D7BA2"/>
    <w:pPr>
      <w:tabs>
        <w:tab w:val="right" w:leader="dot" w:pos="8363"/>
      </w:tabs>
      <w:spacing w:after="100"/>
      <w:ind w:left="2126"/>
    </w:pPr>
    <w:rPr>
      <w:noProof/>
    </w:rPr>
  </w:style>
  <w:style w:type="paragraph" w:styleId="TOC7">
    <w:name w:val="toc 7"/>
    <w:basedOn w:val="Normal"/>
    <w:next w:val="Normal"/>
    <w:uiPriority w:val="39"/>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Ind w:w="0" w:type="dxa"/>
      <w:tblBorders>
        <w:top w:val="single" w:sz="4" w:space="0" w:color="FFFFFF" w:themeColor="background2"/>
        <w:bottom w:val="single" w:sz="4" w:space="0" w:color="FFFFFF" w:themeColor="background2"/>
        <w:insideH w:val="single" w:sz="4" w:space="0" w:color="FFFFFF" w:themeColor="background2"/>
      </w:tblBorders>
      <w:tblCellMar>
        <w:top w:w="0" w:type="dxa"/>
        <w:left w:w="108" w:type="dxa"/>
        <w:bottom w:w="0" w:type="dxa"/>
        <w:right w:w="108" w:type="dxa"/>
      </w:tblCellMar>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Ind w:w="0" w:type="dxa"/>
      <w:tblBorders>
        <w:top w:val="single" w:sz="8" w:space="0" w:color="C14E00" w:themeColor="accent2"/>
        <w:left w:val="single" w:sz="8" w:space="0" w:color="C14E00" w:themeColor="accent2"/>
        <w:bottom w:val="single" w:sz="8" w:space="0" w:color="C14E00" w:themeColor="accent2"/>
        <w:right w:val="single" w:sz="8" w:space="0" w:color="C14E00"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Ind w:w="0" w:type="dxa"/>
      <w:tblBorders>
        <w:top w:val="single" w:sz="8" w:space="0" w:color="C00000" w:themeColor="accent4"/>
        <w:left w:val="single" w:sz="8" w:space="0" w:color="C00000" w:themeColor="accent4"/>
        <w:bottom w:val="single" w:sz="8" w:space="0" w:color="C00000" w:themeColor="accent4"/>
        <w:right w:val="single" w:sz="8" w:space="0" w:color="C00000"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Ind w:w="0" w:type="dxa"/>
      <w:tblBorders>
        <w:top w:val="single" w:sz="8" w:space="0" w:color="70303C" w:themeColor="accent6"/>
        <w:left w:val="single" w:sz="8" w:space="0" w:color="70303C" w:themeColor="accent6"/>
        <w:bottom w:val="single" w:sz="8" w:space="0" w:color="70303C" w:themeColor="accent6"/>
        <w:right w:val="single" w:sz="8" w:space="0" w:color="70303C"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Ind w:w="0" w:type="dxa"/>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Ind w:w="0" w:type="dxa"/>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Ind w:w="0" w:type="dxa"/>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Ind w:w="0" w:type="dxa"/>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Ind w:w="0" w:type="dxa"/>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iPriority w:val="35"/>
    <w:unhideWhenUsed/>
    <w:qFormat/>
    <w:rsid w:val="0066104A"/>
    <w:pPr>
      <w:keepNext/>
      <w:spacing w:before="240" w:after="120"/>
    </w:pPr>
    <w:rPr>
      <w:b/>
      <w:bCs/>
      <w:color w:val="076A92" w:themeColor="text1"/>
      <w:sz w:val="24"/>
      <w:szCs w:val="18"/>
    </w:rPr>
  </w:style>
  <w:style w:type="paragraph" w:styleId="List">
    <w:name w:val="List"/>
    <w:basedOn w:val="Normal"/>
    <w:uiPriority w:val="99"/>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iPriority w:val="99"/>
    <w:unhideWhenUsed/>
    <w:qFormat/>
    <w:rsid w:val="00DB5074"/>
    <w:pPr>
      <w:tabs>
        <w:tab w:val="left" w:pos="340"/>
      </w:tabs>
      <w:spacing w:before="120"/>
      <w:ind w:left="340"/>
    </w:pPr>
  </w:style>
  <w:style w:type="paragraph" w:styleId="ListContinue2">
    <w:name w:val="List Continue 2"/>
    <w:aliases w:val="AER body text (indent 2)"/>
    <w:basedOn w:val="Normal"/>
    <w:uiPriority w:val="99"/>
    <w:unhideWhenUsed/>
    <w:rsid w:val="00567BA5"/>
    <w:pPr>
      <w:tabs>
        <w:tab w:val="left" w:pos="680"/>
      </w:tabs>
      <w:spacing w:before="120"/>
      <w:ind w:left="680"/>
    </w:pPr>
  </w:style>
  <w:style w:type="paragraph" w:styleId="ListContinue3">
    <w:name w:val="List Continue 3"/>
    <w:aliases w:val="AER body text (indent 3)"/>
    <w:basedOn w:val="Normal"/>
    <w:uiPriority w:val="99"/>
    <w:unhideWhenUsed/>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Ind w:w="0" w:type="dxa"/>
      <w:tblBorders>
        <w:insideV w:val="single" w:sz="4" w:space="0" w:color="FFFFFF" w:themeColor="background2"/>
      </w:tblBorders>
      <w:tblCellMar>
        <w:top w:w="0" w:type="dxa"/>
        <w:left w:w="108" w:type="dxa"/>
        <w:bottom w:w="0" w:type="dxa"/>
        <w:right w:w="108" w:type="dxa"/>
      </w:tblCellMar>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Ind w:w="0" w:type="dxa"/>
      <w:tblBorders>
        <w:bottom w:val="single" w:sz="4" w:space="0" w:color="auto"/>
      </w:tblBorders>
      <w:tblCellMar>
        <w:top w:w="0" w:type="dxa"/>
        <w:left w:w="108" w:type="dxa"/>
        <w:bottom w:w="0" w:type="dxa"/>
        <w:right w:w="108" w:type="dxa"/>
      </w:tblCellMar>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iPriority w:val="99"/>
    <w:semiHidden/>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iPriority w:val="99"/>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iPriority w:val="99"/>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iPriority w:val="99"/>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semiHidden/>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2"/>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3"/>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4"/>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5"/>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Ind w:w="0" w:type="dxa"/>
      <w:tblBorders>
        <w:bottom w:val="single" w:sz="4" w:space="0" w:color="365F91"/>
      </w:tblBorders>
      <w:tblCellMar>
        <w:top w:w="0" w:type="dxa"/>
        <w:left w:w="108" w:type="dxa"/>
        <w:bottom w:w="0" w:type="dxa"/>
        <w:right w:w="108" w:type="dxa"/>
      </w:tblCellMar>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7"/>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Ind w:w="0" w:type="dxa"/>
      <w:tblBorders>
        <w:bottom w:val="single" w:sz="4" w:space="0" w:color="365F91"/>
      </w:tblBorders>
      <w:tblCellMar>
        <w:top w:w="0" w:type="dxa"/>
        <w:left w:w="108" w:type="dxa"/>
        <w:bottom w:w="0" w:type="dxa"/>
        <w:right w:w="108" w:type="dxa"/>
      </w:tblCellMar>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uiPriority w:val="99"/>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dxa"/>
      <w:tblBorders>
        <w:bottom w:val="single" w:sz="4" w:space="0" w:color="365F91"/>
      </w:tblBorders>
      <w:tblCellMar>
        <w:top w:w="0" w:type="dxa"/>
        <w:left w:w="108" w:type="dxa"/>
        <w:bottom w:w="0" w:type="dxa"/>
        <w:right w:w="108" w:type="dxa"/>
      </w:tblCellMar>
    </w:tblPr>
    <w:tcPr>
      <w:vAlign w:val="center"/>
    </w:tcPr>
    <w:tblStylePr w:type="firstRow">
      <w:rPr>
        <w:b/>
        <w:color w:val="FFFFFF"/>
      </w:rPr>
      <w:tblPr/>
      <w:tcPr>
        <w:shd w:val="clear" w:color="auto" w:fill="365F91"/>
      </w:tcPr>
    </w:tblStylePr>
    <w:tblStylePr w:type="band2Horz">
      <w:tblPr/>
      <w:tcPr>
        <w:shd w:val="clear" w:color="auto" w:fill="DBE5F1"/>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4472075">
      <w:bodyDiv w:val="1"/>
      <w:marLeft w:val="0"/>
      <w:marRight w:val="0"/>
      <w:marTop w:val="0"/>
      <w:marBottom w:val="0"/>
      <w:divBdr>
        <w:top w:val="none" w:sz="0" w:space="0" w:color="auto"/>
        <w:left w:val="none" w:sz="0" w:space="0" w:color="auto"/>
        <w:bottom w:val="none" w:sz="0" w:space="0" w:color="auto"/>
        <w:right w:val="none" w:sz="0" w:space="0" w:color="auto"/>
      </w:divBdr>
    </w:div>
    <w:div w:id="552425704">
      <w:bodyDiv w:val="1"/>
      <w:marLeft w:val="0"/>
      <w:marRight w:val="0"/>
      <w:marTop w:val="0"/>
      <w:marBottom w:val="0"/>
      <w:divBdr>
        <w:top w:val="none" w:sz="0" w:space="0" w:color="auto"/>
        <w:left w:val="none" w:sz="0" w:space="0" w:color="auto"/>
        <w:bottom w:val="none" w:sz="0" w:space="0" w:color="auto"/>
        <w:right w:val="none" w:sz="0" w:space="0" w:color="auto"/>
      </w:divBdr>
    </w:div>
    <w:div w:id="635840213">
      <w:bodyDiv w:val="1"/>
      <w:marLeft w:val="0"/>
      <w:marRight w:val="0"/>
      <w:marTop w:val="0"/>
      <w:marBottom w:val="0"/>
      <w:divBdr>
        <w:top w:val="none" w:sz="0" w:space="0" w:color="auto"/>
        <w:left w:val="none" w:sz="0" w:space="0" w:color="auto"/>
        <w:bottom w:val="none" w:sz="0" w:space="0" w:color="auto"/>
        <w:right w:val="none" w:sz="0" w:space="0" w:color="auto"/>
      </w:divBdr>
    </w:div>
    <w:div w:id="10458345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AERInquiry@aer.gov.au" TargetMode="External"/><Relationship Id="rId5" Type="http://schemas.microsoft.com/office/2007/relationships/stylesWithEffects" Target="stylesWithEffects.xml"/><Relationship Id="rId15" Type="http://schemas.openxmlformats.org/officeDocument/2006/relationships/fontTable" Target="fontTable.xml"/><Relationship Id="rId10" Type="http://schemas.openxmlformats.org/officeDocument/2006/relationships/image" Target="media/image1.jpeg"/><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footer" Target="footer3.xml"/></Relationships>
</file>

<file path=word/theme/theme1.xml><?xml version="1.0" encoding="utf-8"?>
<a:theme xmlns:a="http://schemas.openxmlformats.org/drawingml/2006/main" name="AER">
  <a:themeElements>
    <a:clrScheme name="AER Colour theme">
      <a:dk1>
        <a:srgbClr val="076A92"/>
      </a:dk1>
      <a:lt1>
        <a:sysClr val="window" lastClr="FFFFFF"/>
      </a:lt1>
      <a:dk2>
        <a:srgbClr val="70635A"/>
      </a:dk2>
      <a:lt2>
        <a:srgbClr val="FFFFFF"/>
      </a:lt2>
      <a:accent1>
        <a:srgbClr val="2F002F"/>
      </a:accent1>
      <a:accent2>
        <a:srgbClr val="C14E00"/>
      </a:accent2>
      <a:accent3>
        <a:srgbClr val="002060"/>
      </a:accent3>
      <a:accent4>
        <a:srgbClr val="C00000"/>
      </a:accent4>
      <a:accent5>
        <a:srgbClr val="000000"/>
      </a:accent5>
      <a:accent6>
        <a:srgbClr val="70303C"/>
      </a:accent6>
      <a:hlink>
        <a:srgbClr val="0000FF"/>
      </a:hlink>
      <a:folHlink>
        <a:srgbClr val="800080"/>
      </a:folHlink>
    </a:clrScheme>
    <a:fontScheme name="Custom 1">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[pick the date]</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E6F5BEE6-649B-4A89-BFA3-C1FAC33061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9F6C4EC7.dotm</Template>
  <TotalTime>0</TotalTime>
  <Pages>9</Pages>
  <Words>1267</Words>
  <Characters>7226</Characters>
  <Application>Microsoft Office Word</Application>
  <DocSecurity>0</DocSecurity>
  <Lines>60</Lines>
  <Paragraphs>16</Paragraphs>
  <ScaleCrop>false</ScaleCrop>
  <HeadingPairs>
    <vt:vector size="2" baseType="variant">
      <vt:variant>
        <vt:lpstr>Title</vt:lpstr>
      </vt:variant>
      <vt:variant>
        <vt:i4>1</vt:i4>
      </vt:variant>
    </vt:vector>
  </HeadingPairs>
  <TitlesOfParts>
    <vt:vector size="1" baseType="lpstr">
      <vt:lpstr>AER final decision - AusNet Services - CESS</vt:lpstr>
    </vt:vector>
  </TitlesOfParts>
  <Company>ACCC</Company>
  <LinksUpToDate>false</LinksUpToDate>
  <CharactersWithSpaces>8477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AER final decision - AusNet Services - CESS</dc:title>
  <dc:subject>[subtitle]</dc:subject>
  <dc:creator>AER</dc:creator>
  <cp:lastModifiedBy>Le Cornu, Matthew</cp:lastModifiedBy>
  <cp:revision>2</cp:revision>
  <cp:lastPrinted>2016-11-02T01:34:00Z</cp:lastPrinted>
  <dcterms:created xsi:type="dcterms:W3CDTF">2017-04-24T05:12:00Z</dcterms:created>
  <dcterms:modified xsi:type="dcterms:W3CDTF">2017-04-24T05:12:00Z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urrfile">
    <vt:lpwstr>\\cdchnas-evs02\home$\mleco\aer - final decision ausnet services 2017-22 transmission determination - attachment 10 - cess - april 2017 (AER2016-000057).docx</vt:lpwstr>
  </property>
</Properties>
</file>