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126A5FF" wp14:editId="42BACD2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53178">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453178" w:rsidP="008F07A3">
          <w:pPr>
            <w:pStyle w:val="ReportSubtitle"/>
          </w:pPr>
          <w:r>
            <w:t>2017-2022</w:t>
          </w:r>
        </w:p>
        <w:p w:rsidR="008F07A3" w:rsidRPr="000A6C7B" w:rsidRDefault="008F07A3" w:rsidP="008F07A3">
          <w:pPr>
            <w:pStyle w:val="ReportSubtitle"/>
          </w:pPr>
        </w:p>
        <w:p w:rsidR="000A6C7B" w:rsidRPr="000A6C7B" w:rsidRDefault="00DA4752" w:rsidP="008F07A3">
          <w:pPr>
            <w:pStyle w:val="ReportSubtitle"/>
          </w:pPr>
          <w:r>
            <w:t>Attachment 1</w:t>
          </w:r>
          <w:r w:rsidR="006D3F5D">
            <w:t>2</w:t>
          </w:r>
          <w:r>
            <w:t xml:space="preserve"> </w:t>
          </w:r>
          <w:r w:rsidR="00415F31">
            <w:rPr>
              <w:rFonts w:cs="Arial"/>
            </w:rPr>
            <w:t>–</w:t>
          </w:r>
          <w:r>
            <w:t xml:space="preserve"> </w:t>
          </w:r>
          <w:r w:rsidR="006D3F5D">
            <w:t>Pricing methodology</w:t>
          </w:r>
        </w:p>
        <w:p w:rsidR="00B9733D" w:rsidRDefault="00B9733D" w:rsidP="00327A1E">
          <w:pPr>
            <w:pStyle w:val="ReportDate"/>
          </w:pPr>
        </w:p>
        <w:p w:rsidR="000A6C7B" w:rsidRPr="00327A1E" w:rsidRDefault="00453178" w:rsidP="00327A1E">
          <w:pPr>
            <w:pStyle w:val="ReportDate"/>
          </w:pPr>
          <w:r>
            <w:t>April 2017</w:t>
          </w:r>
        </w:p>
      </w:sdtContent>
    </w:sdt>
    <w:p w:rsidR="00327A1E" w:rsidRPr="00290C63" w:rsidRDefault="00327A1E" w:rsidP="00290C63">
      <w:r>
        <w:br w:type="page"/>
      </w:r>
    </w:p>
    <w:p w:rsidR="000A6C7B" w:rsidRDefault="00F16455"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756618">
        <w:tab/>
        <w:t>1300 585 165</w:t>
      </w:r>
    </w:p>
    <w:p w:rsidR="00B9562D" w:rsidRDefault="000A6C7B" w:rsidP="00B9562D">
      <w:pPr>
        <w:pStyle w:val="Copyright"/>
      </w:pPr>
      <w:r>
        <w:t>Email:</w:t>
      </w:r>
      <w:r w:rsidR="00756618">
        <w:tab/>
      </w:r>
      <w:hyperlink r:id="rId11" w:history="1">
        <w:r w:rsidRPr="008F2204">
          <w:rPr>
            <w:rStyle w:val="Hyperlink"/>
            <w:sz w:val="20"/>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756618">
        <w:t>56417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10283"/>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453178">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453178">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453178">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8F07A3" w:rsidRPr="008F07A3" w:rsidRDefault="00415F31" w:rsidP="0032250A">
      <w:p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r w:rsidRPr="00D904FA">
        <w:t>Attachment 14 – negotiated services</w:t>
      </w:r>
    </w:p>
    <w:p w:rsidR="00DE563D" w:rsidRPr="00A72B34" w:rsidRDefault="00DE563D" w:rsidP="00DE563D">
      <w:pPr>
        <w:pStyle w:val="UnnumberedHeading"/>
        <w:numPr>
          <w:ilvl w:val="0"/>
          <w:numId w:val="24"/>
        </w:numPr>
      </w:pPr>
      <w:bookmarkStart w:id="5" w:name="_Toc403144133"/>
      <w:bookmarkStart w:id="6" w:name="_Toc48081028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8F2204"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810283" w:history="1">
            <w:r w:rsidR="008F2204" w:rsidRPr="004929E5">
              <w:rPr>
                <w:rStyle w:val="Hyperlink"/>
              </w:rPr>
              <w:t>Note</w:t>
            </w:r>
            <w:r w:rsidR="008F2204">
              <w:rPr>
                <w:webHidden/>
              </w:rPr>
              <w:tab/>
            </w:r>
            <w:r w:rsidR="008F2204">
              <w:rPr>
                <w:webHidden/>
              </w:rPr>
              <w:fldChar w:fldCharType="begin"/>
            </w:r>
            <w:r w:rsidR="008F2204">
              <w:rPr>
                <w:webHidden/>
              </w:rPr>
              <w:instrText xml:space="preserve"> PAGEREF _Toc480810283 \h </w:instrText>
            </w:r>
            <w:r w:rsidR="008F2204">
              <w:rPr>
                <w:webHidden/>
              </w:rPr>
            </w:r>
            <w:r w:rsidR="008F2204">
              <w:rPr>
                <w:webHidden/>
              </w:rPr>
              <w:fldChar w:fldCharType="separate"/>
            </w:r>
            <w:r w:rsidR="008F2204">
              <w:rPr>
                <w:webHidden/>
              </w:rPr>
              <w:t>12-2</w:t>
            </w:r>
            <w:r w:rsidR="008F2204">
              <w:rPr>
                <w:webHidden/>
              </w:rPr>
              <w:fldChar w:fldCharType="end"/>
            </w:r>
          </w:hyperlink>
        </w:p>
        <w:p w:rsidR="008F2204" w:rsidRDefault="008259BD">
          <w:pPr>
            <w:pStyle w:val="TOC1"/>
            <w:rPr>
              <w:rFonts w:asciiTheme="minorHAnsi" w:eastAsiaTheme="minorEastAsia" w:hAnsiTheme="minorHAnsi"/>
              <w:b w:val="0"/>
              <w:color w:val="auto"/>
              <w:sz w:val="22"/>
              <w:lang w:val="en-AU" w:eastAsia="en-AU"/>
            </w:rPr>
          </w:pPr>
          <w:hyperlink w:anchor="_Toc480810284" w:history="1">
            <w:r w:rsidR="008F2204" w:rsidRPr="004929E5">
              <w:rPr>
                <w:rStyle w:val="Hyperlink"/>
              </w:rPr>
              <w:t>Contents</w:t>
            </w:r>
            <w:r w:rsidR="008F2204">
              <w:rPr>
                <w:webHidden/>
              </w:rPr>
              <w:tab/>
            </w:r>
            <w:r w:rsidR="008F2204">
              <w:rPr>
                <w:webHidden/>
              </w:rPr>
              <w:fldChar w:fldCharType="begin"/>
            </w:r>
            <w:r w:rsidR="008F2204">
              <w:rPr>
                <w:webHidden/>
              </w:rPr>
              <w:instrText xml:space="preserve"> PAGEREF _Toc480810284 \h </w:instrText>
            </w:r>
            <w:r w:rsidR="008F2204">
              <w:rPr>
                <w:webHidden/>
              </w:rPr>
            </w:r>
            <w:r w:rsidR="008F2204">
              <w:rPr>
                <w:webHidden/>
              </w:rPr>
              <w:fldChar w:fldCharType="separate"/>
            </w:r>
            <w:r w:rsidR="008F2204">
              <w:rPr>
                <w:webHidden/>
              </w:rPr>
              <w:t>12-3</w:t>
            </w:r>
            <w:r w:rsidR="008F2204">
              <w:rPr>
                <w:webHidden/>
              </w:rPr>
              <w:fldChar w:fldCharType="end"/>
            </w:r>
          </w:hyperlink>
        </w:p>
        <w:p w:rsidR="008F2204" w:rsidRDefault="008259BD">
          <w:pPr>
            <w:pStyle w:val="TOC1"/>
            <w:rPr>
              <w:rFonts w:asciiTheme="minorHAnsi" w:eastAsiaTheme="minorEastAsia" w:hAnsiTheme="minorHAnsi"/>
              <w:b w:val="0"/>
              <w:color w:val="auto"/>
              <w:sz w:val="22"/>
              <w:lang w:val="en-AU" w:eastAsia="en-AU"/>
            </w:rPr>
          </w:pPr>
          <w:hyperlink w:anchor="_Toc480810285" w:history="1">
            <w:r w:rsidR="008F2204" w:rsidRPr="004929E5">
              <w:rPr>
                <w:rStyle w:val="Hyperlink"/>
              </w:rPr>
              <w:t>Shortened forms</w:t>
            </w:r>
            <w:r w:rsidR="008F2204">
              <w:rPr>
                <w:webHidden/>
              </w:rPr>
              <w:tab/>
            </w:r>
            <w:r w:rsidR="008F2204">
              <w:rPr>
                <w:webHidden/>
              </w:rPr>
              <w:fldChar w:fldCharType="begin"/>
            </w:r>
            <w:r w:rsidR="008F2204">
              <w:rPr>
                <w:webHidden/>
              </w:rPr>
              <w:instrText xml:space="preserve"> PAGEREF _Toc480810285 \h </w:instrText>
            </w:r>
            <w:r w:rsidR="008F2204">
              <w:rPr>
                <w:webHidden/>
              </w:rPr>
            </w:r>
            <w:r w:rsidR="008F2204">
              <w:rPr>
                <w:webHidden/>
              </w:rPr>
              <w:fldChar w:fldCharType="separate"/>
            </w:r>
            <w:r w:rsidR="008F2204">
              <w:rPr>
                <w:webHidden/>
              </w:rPr>
              <w:t>12-4</w:t>
            </w:r>
            <w:r w:rsidR="008F2204">
              <w:rPr>
                <w:webHidden/>
              </w:rPr>
              <w:fldChar w:fldCharType="end"/>
            </w:r>
          </w:hyperlink>
        </w:p>
        <w:p w:rsidR="008F2204" w:rsidRDefault="008259BD">
          <w:pPr>
            <w:pStyle w:val="TOC1"/>
            <w:rPr>
              <w:rFonts w:asciiTheme="minorHAnsi" w:eastAsiaTheme="minorEastAsia" w:hAnsiTheme="minorHAnsi"/>
              <w:b w:val="0"/>
              <w:color w:val="auto"/>
              <w:sz w:val="22"/>
              <w:lang w:val="en-AU" w:eastAsia="en-AU"/>
            </w:rPr>
          </w:pPr>
          <w:hyperlink w:anchor="_Toc480810286" w:history="1">
            <w:r w:rsidR="008F2204" w:rsidRPr="004929E5">
              <w:rPr>
                <w:rStyle w:val="Hyperlink"/>
              </w:rPr>
              <w:t>12</w:t>
            </w:r>
            <w:r w:rsidR="008F2204">
              <w:rPr>
                <w:rFonts w:asciiTheme="minorHAnsi" w:eastAsiaTheme="minorEastAsia" w:hAnsiTheme="minorHAnsi"/>
                <w:b w:val="0"/>
                <w:color w:val="auto"/>
                <w:sz w:val="22"/>
                <w:lang w:val="en-AU" w:eastAsia="en-AU"/>
              </w:rPr>
              <w:tab/>
            </w:r>
            <w:r w:rsidR="008F2204" w:rsidRPr="004929E5">
              <w:rPr>
                <w:rStyle w:val="Hyperlink"/>
              </w:rPr>
              <w:t>Pricing methodology</w:t>
            </w:r>
            <w:r w:rsidR="008F2204">
              <w:rPr>
                <w:webHidden/>
              </w:rPr>
              <w:tab/>
            </w:r>
            <w:r w:rsidR="008F2204">
              <w:rPr>
                <w:webHidden/>
              </w:rPr>
              <w:fldChar w:fldCharType="begin"/>
            </w:r>
            <w:r w:rsidR="008F2204">
              <w:rPr>
                <w:webHidden/>
              </w:rPr>
              <w:instrText xml:space="preserve"> PAGEREF _Toc480810286 \h </w:instrText>
            </w:r>
            <w:r w:rsidR="008F2204">
              <w:rPr>
                <w:webHidden/>
              </w:rPr>
            </w:r>
            <w:r w:rsidR="008F2204">
              <w:rPr>
                <w:webHidden/>
              </w:rPr>
              <w:fldChar w:fldCharType="separate"/>
            </w:r>
            <w:r w:rsidR="008F2204">
              <w:rPr>
                <w:webHidden/>
              </w:rPr>
              <w:t>12-6</w:t>
            </w:r>
            <w:r w:rsidR="008F2204">
              <w:rPr>
                <w:webHidden/>
              </w:rPr>
              <w:fldChar w:fldCharType="end"/>
            </w:r>
          </w:hyperlink>
        </w:p>
        <w:p w:rsidR="008F2204" w:rsidRDefault="008259BD">
          <w:pPr>
            <w:pStyle w:val="TOC2"/>
            <w:tabs>
              <w:tab w:val="left" w:pos="1276"/>
            </w:tabs>
            <w:rPr>
              <w:rFonts w:asciiTheme="minorHAnsi" w:eastAsiaTheme="minorEastAsia" w:hAnsiTheme="minorHAnsi"/>
              <w:b w:val="0"/>
              <w:color w:val="auto"/>
              <w:sz w:val="22"/>
              <w:lang w:eastAsia="en-AU"/>
            </w:rPr>
          </w:pPr>
          <w:hyperlink w:anchor="_Toc480810287" w:history="1">
            <w:r w:rsidR="008F2204" w:rsidRPr="004929E5">
              <w:rPr>
                <w:rStyle w:val="Hyperlink"/>
              </w:rPr>
              <w:t>12.1</w:t>
            </w:r>
            <w:r w:rsidR="008F2204">
              <w:rPr>
                <w:rFonts w:asciiTheme="minorHAnsi" w:eastAsiaTheme="minorEastAsia" w:hAnsiTheme="minorHAnsi"/>
                <w:b w:val="0"/>
                <w:color w:val="auto"/>
                <w:sz w:val="22"/>
                <w:lang w:eastAsia="en-AU"/>
              </w:rPr>
              <w:tab/>
            </w:r>
            <w:r w:rsidR="008F2204" w:rsidRPr="004929E5">
              <w:rPr>
                <w:rStyle w:val="Hyperlink"/>
              </w:rPr>
              <w:t>Final decision</w:t>
            </w:r>
            <w:r w:rsidR="008F2204">
              <w:rPr>
                <w:webHidden/>
              </w:rPr>
              <w:tab/>
            </w:r>
            <w:r w:rsidR="008F2204">
              <w:rPr>
                <w:webHidden/>
              </w:rPr>
              <w:fldChar w:fldCharType="begin"/>
            </w:r>
            <w:r w:rsidR="008F2204">
              <w:rPr>
                <w:webHidden/>
              </w:rPr>
              <w:instrText xml:space="preserve"> PAGEREF _Toc480810287 \h </w:instrText>
            </w:r>
            <w:r w:rsidR="008F2204">
              <w:rPr>
                <w:webHidden/>
              </w:rPr>
            </w:r>
            <w:r w:rsidR="008F2204">
              <w:rPr>
                <w:webHidden/>
              </w:rPr>
              <w:fldChar w:fldCharType="separate"/>
            </w:r>
            <w:r w:rsidR="008F2204">
              <w:rPr>
                <w:webHidden/>
              </w:rPr>
              <w:t>12-6</w:t>
            </w:r>
            <w:r w:rsidR="008F2204">
              <w:rPr>
                <w:webHidden/>
              </w:rPr>
              <w:fldChar w:fldCharType="end"/>
            </w:r>
          </w:hyperlink>
        </w:p>
        <w:p w:rsidR="008F2204" w:rsidRDefault="008259BD">
          <w:pPr>
            <w:pStyle w:val="TOC2"/>
            <w:tabs>
              <w:tab w:val="left" w:pos="1276"/>
            </w:tabs>
            <w:rPr>
              <w:rFonts w:asciiTheme="minorHAnsi" w:eastAsiaTheme="minorEastAsia" w:hAnsiTheme="minorHAnsi"/>
              <w:b w:val="0"/>
              <w:color w:val="auto"/>
              <w:sz w:val="22"/>
              <w:lang w:eastAsia="en-AU"/>
            </w:rPr>
          </w:pPr>
          <w:hyperlink w:anchor="_Toc480810288" w:history="1">
            <w:r w:rsidR="008F2204" w:rsidRPr="004929E5">
              <w:rPr>
                <w:rStyle w:val="Hyperlink"/>
              </w:rPr>
              <w:t>12.2</w:t>
            </w:r>
            <w:r w:rsidR="008F2204">
              <w:rPr>
                <w:rFonts w:asciiTheme="minorHAnsi" w:eastAsiaTheme="minorEastAsia" w:hAnsiTheme="minorHAnsi"/>
                <w:b w:val="0"/>
                <w:color w:val="auto"/>
                <w:sz w:val="22"/>
                <w:lang w:eastAsia="en-AU"/>
              </w:rPr>
              <w:tab/>
            </w:r>
            <w:r w:rsidR="008F2204" w:rsidRPr="004929E5">
              <w:rPr>
                <w:rStyle w:val="Hyperlink"/>
              </w:rPr>
              <w:t>AusNet Services’ revised proposal</w:t>
            </w:r>
            <w:r w:rsidR="008F2204">
              <w:rPr>
                <w:webHidden/>
              </w:rPr>
              <w:tab/>
            </w:r>
            <w:r w:rsidR="008F2204">
              <w:rPr>
                <w:webHidden/>
              </w:rPr>
              <w:fldChar w:fldCharType="begin"/>
            </w:r>
            <w:r w:rsidR="008F2204">
              <w:rPr>
                <w:webHidden/>
              </w:rPr>
              <w:instrText xml:space="preserve"> PAGEREF _Toc480810288 \h </w:instrText>
            </w:r>
            <w:r w:rsidR="008F2204">
              <w:rPr>
                <w:webHidden/>
              </w:rPr>
            </w:r>
            <w:r w:rsidR="008F2204">
              <w:rPr>
                <w:webHidden/>
              </w:rPr>
              <w:fldChar w:fldCharType="separate"/>
            </w:r>
            <w:r w:rsidR="008F2204">
              <w:rPr>
                <w:webHidden/>
              </w:rPr>
              <w:t>12-7</w:t>
            </w:r>
            <w:r w:rsidR="008F2204">
              <w:rPr>
                <w:webHidden/>
              </w:rPr>
              <w:fldChar w:fldCharType="end"/>
            </w:r>
          </w:hyperlink>
        </w:p>
        <w:p w:rsidR="008F2204" w:rsidRDefault="008259BD">
          <w:pPr>
            <w:pStyle w:val="TOC2"/>
            <w:tabs>
              <w:tab w:val="left" w:pos="1276"/>
            </w:tabs>
            <w:rPr>
              <w:rFonts w:asciiTheme="minorHAnsi" w:eastAsiaTheme="minorEastAsia" w:hAnsiTheme="minorHAnsi"/>
              <w:b w:val="0"/>
              <w:color w:val="auto"/>
              <w:sz w:val="22"/>
              <w:lang w:eastAsia="en-AU"/>
            </w:rPr>
          </w:pPr>
          <w:hyperlink w:anchor="_Toc480810289" w:history="1">
            <w:r w:rsidR="008F2204" w:rsidRPr="004929E5">
              <w:rPr>
                <w:rStyle w:val="Hyperlink"/>
              </w:rPr>
              <w:t>12.3</w:t>
            </w:r>
            <w:r w:rsidR="008F2204">
              <w:rPr>
                <w:rFonts w:asciiTheme="minorHAnsi" w:eastAsiaTheme="minorEastAsia" w:hAnsiTheme="minorHAnsi"/>
                <w:b w:val="0"/>
                <w:color w:val="auto"/>
                <w:sz w:val="22"/>
                <w:lang w:eastAsia="en-AU"/>
              </w:rPr>
              <w:tab/>
            </w:r>
            <w:r w:rsidR="008F2204" w:rsidRPr="004929E5">
              <w:rPr>
                <w:rStyle w:val="Hyperlink"/>
              </w:rPr>
              <w:t>AER’s assessment approach</w:t>
            </w:r>
            <w:r w:rsidR="008F2204">
              <w:rPr>
                <w:webHidden/>
              </w:rPr>
              <w:tab/>
            </w:r>
            <w:r w:rsidR="008F2204">
              <w:rPr>
                <w:webHidden/>
              </w:rPr>
              <w:fldChar w:fldCharType="begin"/>
            </w:r>
            <w:r w:rsidR="008F2204">
              <w:rPr>
                <w:webHidden/>
              </w:rPr>
              <w:instrText xml:space="preserve"> PAGEREF _Toc480810289 \h </w:instrText>
            </w:r>
            <w:r w:rsidR="008F2204">
              <w:rPr>
                <w:webHidden/>
              </w:rPr>
            </w:r>
            <w:r w:rsidR="008F2204">
              <w:rPr>
                <w:webHidden/>
              </w:rPr>
              <w:fldChar w:fldCharType="separate"/>
            </w:r>
            <w:r w:rsidR="008F2204">
              <w:rPr>
                <w:webHidden/>
              </w:rPr>
              <w:t>12-7</w:t>
            </w:r>
            <w:r w:rsidR="008F2204">
              <w:rPr>
                <w:webHidden/>
              </w:rPr>
              <w:fldChar w:fldCharType="end"/>
            </w:r>
          </w:hyperlink>
        </w:p>
        <w:p w:rsidR="008F2204" w:rsidRDefault="008259BD">
          <w:pPr>
            <w:pStyle w:val="TOC2"/>
            <w:tabs>
              <w:tab w:val="left" w:pos="1276"/>
            </w:tabs>
            <w:rPr>
              <w:rFonts w:asciiTheme="minorHAnsi" w:eastAsiaTheme="minorEastAsia" w:hAnsiTheme="minorHAnsi"/>
              <w:b w:val="0"/>
              <w:color w:val="auto"/>
              <w:sz w:val="22"/>
              <w:lang w:eastAsia="en-AU"/>
            </w:rPr>
          </w:pPr>
          <w:hyperlink w:anchor="_Toc480810290" w:history="1">
            <w:r w:rsidR="008F2204" w:rsidRPr="004929E5">
              <w:rPr>
                <w:rStyle w:val="Hyperlink"/>
              </w:rPr>
              <w:t>12.4</w:t>
            </w:r>
            <w:r w:rsidR="008F2204">
              <w:rPr>
                <w:rFonts w:asciiTheme="minorHAnsi" w:eastAsiaTheme="minorEastAsia" w:hAnsiTheme="minorHAnsi"/>
                <w:b w:val="0"/>
                <w:color w:val="auto"/>
                <w:sz w:val="22"/>
                <w:lang w:eastAsia="en-AU"/>
              </w:rPr>
              <w:tab/>
            </w:r>
            <w:r w:rsidR="008F2204" w:rsidRPr="004929E5">
              <w:rPr>
                <w:rStyle w:val="Hyperlink"/>
              </w:rPr>
              <w:t>Reasons for final decision</w:t>
            </w:r>
            <w:r w:rsidR="008F2204">
              <w:rPr>
                <w:webHidden/>
              </w:rPr>
              <w:tab/>
            </w:r>
            <w:r w:rsidR="008F2204">
              <w:rPr>
                <w:webHidden/>
              </w:rPr>
              <w:fldChar w:fldCharType="begin"/>
            </w:r>
            <w:r w:rsidR="008F2204">
              <w:rPr>
                <w:webHidden/>
              </w:rPr>
              <w:instrText xml:space="preserve"> PAGEREF _Toc480810290 \h </w:instrText>
            </w:r>
            <w:r w:rsidR="008F2204">
              <w:rPr>
                <w:webHidden/>
              </w:rPr>
            </w:r>
            <w:r w:rsidR="008F2204">
              <w:rPr>
                <w:webHidden/>
              </w:rPr>
              <w:fldChar w:fldCharType="separate"/>
            </w:r>
            <w:r w:rsidR="008F2204">
              <w:rPr>
                <w:webHidden/>
              </w:rPr>
              <w:t>12-8</w:t>
            </w:r>
            <w:r w:rsidR="008F2204">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10285"/>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6D3F5D" w:rsidP="006D3F5D">
      <w:pPr>
        <w:pStyle w:val="Heading1"/>
      </w:pPr>
      <w:bookmarkStart w:id="10" w:name="_Toc480810286"/>
      <w:r>
        <w:lastRenderedPageBreak/>
        <w:t>Pricing methodology</w:t>
      </w:r>
      <w:bookmarkEnd w:id="10"/>
    </w:p>
    <w:p w:rsidR="00073C7B" w:rsidRPr="00073C7B" w:rsidRDefault="00073C7B" w:rsidP="00073C7B">
      <w:bookmarkStart w:id="11" w:name="_Toc403144136"/>
      <w:r w:rsidRPr="00073C7B">
        <w:t xml:space="preserve">This attachment </w:t>
      </w:r>
      <w:r w:rsidR="00756618">
        <w:t>sets out</w:t>
      </w:r>
      <w:r w:rsidR="00756618" w:rsidRPr="00073C7B">
        <w:t xml:space="preserve"> </w:t>
      </w:r>
      <w:r w:rsidRPr="00073C7B">
        <w:t xml:space="preserve">our </w:t>
      </w:r>
      <w:r w:rsidR="00795A25">
        <w:t>final</w:t>
      </w:r>
      <w:r w:rsidRPr="00073C7B">
        <w:t xml:space="preserve"> </w:t>
      </w:r>
      <w:r>
        <w:t>decision</w:t>
      </w:r>
      <w:r w:rsidRPr="00073C7B">
        <w:t xml:space="preserve"> on </w:t>
      </w:r>
      <w:r>
        <w:t>AusNet Services'</w:t>
      </w:r>
      <w:r w:rsidRPr="00073C7B">
        <w:t xml:space="preserve"> </w:t>
      </w:r>
      <w:r>
        <w:t>proposed</w:t>
      </w:r>
      <w:r w:rsidRPr="00073C7B">
        <w:t xml:space="preserve"> </w:t>
      </w:r>
      <w:r w:rsidR="00D841B8">
        <w:t>pricing methodology for the 2017–22</w:t>
      </w:r>
      <w:r w:rsidRPr="00073C7B">
        <w:t xml:space="preserve"> regulatory control </w:t>
      </w:r>
      <w:proofErr w:type="gramStart"/>
      <w:r w:rsidRPr="00073C7B">
        <w:t>period</w:t>
      </w:r>
      <w:proofErr w:type="gramEnd"/>
      <w:r w:rsidRPr="00073C7B">
        <w:t xml:space="preserve">. </w:t>
      </w:r>
    </w:p>
    <w:p w:rsidR="00073C7B" w:rsidRPr="00073C7B" w:rsidRDefault="00073C7B" w:rsidP="00073C7B">
      <w:r w:rsidRPr="00073C7B">
        <w:t>A pricing methodology must be specified as part of our transmission determination</w:t>
      </w:r>
      <w:r w:rsidRPr="00DE5D6D">
        <w:rPr>
          <w:rStyle w:val="FootnoteReference"/>
        </w:rPr>
        <w:footnoteReference w:id="1"/>
      </w:r>
      <w:r w:rsidRPr="00DE5D6D">
        <w:rPr>
          <w:rStyle w:val="FootnoteReference"/>
        </w:rPr>
        <w:t xml:space="preserve"> </w:t>
      </w:r>
      <w:r w:rsidRPr="00073C7B">
        <w:t>and answers the question ‘who should pay how much'</w:t>
      </w:r>
      <w:r w:rsidRPr="00DE5D6D">
        <w:rPr>
          <w:rStyle w:val="FootnoteReference"/>
        </w:rPr>
        <w:footnoteReference w:id="2"/>
      </w:r>
      <w:r w:rsidRPr="00DE5D6D">
        <w:rPr>
          <w:rStyle w:val="FootnoteReference"/>
        </w:rPr>
        <w:t xml:space="preserve"> </w:t>
      </w:r>
      <w:r w:rsidRPr="00073C7B">
        <w:t xml:space="preserve">in order for a transmission business to recover its </w:t>
      </w:r>
      <w:r w:rsidR="00D629CB">
        <w:t xml:space="preserve">efficient </w:t>
      </w:r>
      <w:r w:rsidRPr="00073C7B">
        <w:t>costs. To do this,</w:t>
      </w:r>
      <w:r w:rsidR="00D629CB">
        <w:t xml:space="preserve"> the National Electricity Rules (NER) set out that</w:t>
      </w:r>
      <w:r w:rsidRPr="00073C7B">
        <w:t xml:space="preserve"> it must provide a 'methodology, formula, process or approach'</w:t>
      </w:r>
      <w:r w:rsidRPr="00DE5D6D">
        <w:rPr>
          <w:rStyle w:val="FootnoteReference"/>
        </w:rPr>
        <w:footnoteReference w:id="3"/>
      </w:r>
      <w:r w:rsidRPr="00DE5D6D">
        <w:rPr>
          <w:rStyle w:val="FootnoteReference"/>
        </w:rPr>
        <w:t xml:space="preserve"> </w:t>
      </w:r>
      <w:r w:rsidRPr="00073C7B">
        <w:t>that when applied:</w:t>
      </w:r>
    </w:p>
    <w:p w:rsidR="00C04BF7" w:rsidRDefault="00073C7B" w:rsidP="00DE5D6D">
      <w:pPr>
        <w:pStyle w:val="AERbulletlistfirststyle"/>
      </w:pPr>
      <w:r w:rsidRPr="00073C7B">
        <w:t>allocates the aggregate annual revenue requirement to the categories of prescribed transmission services</w:t>
      </w:r>
      <w:r w:rsidR="004410C7">
        <w:t xml:space="preserve"> provided by the transmission business</w:t>
      </w:r>
      <w:r w:rsidRPr="00DE5D6D">
        <w:rPr>
          <w:rStyle w:val="FootnoteReference"/>
        </w:rPr>
        <w:footnoteReference w:id="4"/>
      </w:r>
    </w:p>
    <w:p w:rsidR="00073C7B" w:rsidRPr="00073C7B" w:rsidRDefault="00C04BF7" w:rsidP="004410C7">
      <w:pPr>
        <w:pStyle w:val="AERbulletlistfirststyle"/>
      </w:pPr>
      <w:r>
        <w:t>provides the manner and sequence of adjustments to the annual service revenue requirement</w:t>
      </w:r>
      <w:r>
        <w:rPr>
          <w:rStyle w:val="FootnoteReference"/>
        </w:rPr>
        <w:footnoteReference w:id="5"/>
      </w:r>
      <w:r w:rsidR="004410C7">
        <w:t xml:space="preserve"> and </w:t>
      </w:r>
      <w:r>
        <w:t xml:space="preserve">allocates </w:t>
      </w:r>
      <w:r w:rsidR="004410C7">
        <w:t xml:space="preserve">that requirement to transmission </w:t>
      </w:r>
      <w:r>
        <w:t>connection points</w:t>
      </w:r>
      <w:r>
        <w:rPr>
          <w:rStyle w:val="FootnoteReference"/>
        </w:rPr>
        <w:footnoteReference w:id="6"/>
      </w:r>
      <w:r w:rsidR="00073C7B" w:rsidRPr="00DE5D6D">
        <w:rPr>
          <w:rStyle w:val="FootnoteReference"/>
        </w:rPr>
        <w:t xml:space="preserve"> </w:t>
      </w:r>
    </w:p>
    <w:p w:rsidR="00073C7B" w:rsidRPr="00073C7B" w:rsidRDefault="00073C7B" w:rsidP="00DE5D6D">
      <w:pPr>
        <w:pStyle w:val="AERbulletlistfirststyle"/>
      </w:pPr>
      <w:r w:rsidRPr="00073C7B">
        <w:t>determines the structure of prices that a transmission business may charge for each category of prescribed transmission services.</w:t>
      </w:r>
      <w:r w:rsidRPr="00DE5D6D">
        <w:rPr>
          <w:rStyle w:val="FootnoteReference"/>
        </w:rPr>
        <w:footnoteReference w:id="7"/>
      </w:r>
      <w:r w:rsidRPr="00DE5D6D">
        <w:rPr>
          <w:rStyle w:val="FootnoteReference"/>
        </w:rPr>
        <w:t xml:space="preserve">  </w:t>
      </w:r>
    </w:p>
    <w:p w:rsidR="00D841B8" w:rsidRDefault="00D841B8" w:rsidP="00D841B8">
      <w:pPr>
        <w:pStyle w:val="AERbulletlistfirststyle"/>
        <w:numPr>
          <w:ilvl w:val="0"/>
          <w:numId w:val="0"/>
        </w:numPr>
      </w:pPr>
      <w:r>
        <w:t>AusNet Services</w:t>
      </w:r>
      <w:r w:rsidR="00D629CB">
        <w:t>'</w:t>
      </w:r>
      <w:r w:rsidRPr="00D841B8">
        <w:t xml:space="preserve"> proposed pricing methodology</w:t>
      </w:r>
      <w:r>
        <w:t xml:space="preserve"> </w:t>
      </w:r>
      <w:r w:rsidRPr="00D841B8">
        <w:t>addresses only the pricing matters for which it has responsibility</w:t>
      </w:r>
      <w:r>
        <w:t>.</w:t>
      </w:r>
      <w:r w:rsidR="00495509">
        <w:rPr>
          <w:rStyle w:val="FootnoteReference"/>
        </w:rPr>
        <w:footnoteReference w:id="8"/>
      </w:r>
      <w:r>
        <w:t xml:space="preserve"> These are</w:t>
      </w:r>
      <w:r w:rsidRPr="00D841B8">
        <w:t xml:space="preserve"> prescribed entry and exit</w:t>
      </w:r>
      <w:r>
        <w:t xml:space="preserve"> </w:t>
      </w:r>
      <w:r w:rsidRPr="00D841B8">
        <w:t>services. In Victoria, the pricing of all other prescribed transmission services is the responsibility of the</w:t>
      </w:r>
      <w:r>
        <w:t xml:space="preserve"> </w:t>
      </w:r>
      <w:r w:rsidRPr="00D841B8">
        <w:t>Australian Energy Market Operator (AEMO).</w:t>
      </w:r>
      <w:r w:rsidR="00495509">
        <w:rPr>
          <w:rStyle w:val="FootnoteReference"/>
        </w:rPr>
        <w:footnoteReference w:id="9"/>
      </w:r>
      <w:r w:rsidRPr="00D841B8">
        <w:t xml:space="preserve"> AEMO is also the co-ordinating network service</w:t>
      </w:r>
      <w:r>
        <w:t xml:space="preserve"> </w:t>
      </w:r>
      <w:r w:rsidRPr="00D841B8">
        <w:t>provider in Victoria. It is therefore responsible for allocating the aggregate annual revenue</w:t>
      </w:r>
      <w:r>
        <w:t xml:space="preserve"> </w:t>
      </w:r>
      <w:r w:rsidRPr="00D841B8">
        <w:t xml:space="preserve">requirement (AARR) for all </w:t>
      </w:r>
      <w:r w:rsidR="00495509">
        <w:t>transmission businesses</w:t>
      </w:r>
      <w:r w:rsidRPr="00D841B8">
        <w:t xml:space="preserve"> in the region including </w:t>
      </w:r>
      <w:r>
        <w:t>AusNet Services</w:t>
      </w:r>
      <w:r w:rsidRPr="00D841B8">
        <w:t>.</w:t>
      </w:r>
      <w:r w:rsidR="00495509">
        <w:rPr>
          <w:rStyle w:val="FootnoteReference"/>
        </w:rPr>
        <w:footnoteReference w:id="10"/>
      </w:r>
    </w:p>
    <w:p w:rsidR="00DE563D" w:rsidRPr="001754EE" w:rsidRDefault="00453178" w:rsidP="001754EE">
      <w:pPr>
        <w:pStyle w:val="Heading2"/>
      </w:pPr>
      <w:bookmarkStart w:id="12" w:name="_Toc480810287"/>
      <w:r>
        <w:t>Final</w:t>
      </w:r>
      <w:r w:rsidR="00DE563D" w:rsidRPr="001754EE">
        <w:t xml:space="preserve"> decision</w:t>
      </w:r>
      <w:bookmarkEnd w:id="11"/>
      <w:bookmarkEnd w:id="12"/>
    </w:p>
    <w:p w:rsidR="00816349" w:rsidRDefault="007A4620" w:rsidP="00816349">
      <w:bookmarkStart w:id="13" w:name="_Toc403144137"/>
      <w:r>
        <w:t xml:space="preserve">Our final decision is to </w:t>
      </w:r>
      <w:r w:rsidR="00816349" w:rsidRPr="00816349">
        <w:rPr>
          <w:lang w:val="en-US"/>
        </w:rPr>
        <w:t xml:space="preserve">approve </w:t>
      </w:r>
      <w:r w:rsidR="00495509">
        <w:t>AusNet Services' proposed</w:t>
      </w:r>
      <w:r w:rsidR="00F44788">
        <w:rPr>
          <w:lang w:val="en-US"/>
        </w:rPr>
        <w:t xml:space="preserve"> pricing methodology </w:t>
      </w:r>
      <w:r w:rsidR="00495509">
        <w:rPr>
          <w:lang w:val="en-US"/>
        </w:rPr>
        <w:t>for the 201</w:t>
      </w:r>
      <w:r w:rsidR="00495509">
        <w:t>7</w:t>
      </w:r>
      <w:r w:rsidR="00495509">
        <w:rPr>
          <w:lang w:val="en-US"/>
        </w:rPr>
        <w:t>–</w:t>
      </w:r>
      <w:r w:rsidR="00495509">
        <w:t>22</w:t>
      </w:r>
      <w:r w:rsidR="00816349" w:rsidRPr="00816349">
        <w:rPr>
          <w:lang w:val="en-US"/>
        </w:rPr>
        <w:t xml:space="preserve"> regulatory control</w:t>
      </w:r>
      <w:r w:rsidR="00816349">
        <w:t xml:space="preserve"> </w:t>
      </w:r>
      <w:r w:rsidR="00816349" w:rsidRPr="00816349">
        <w:rPr>
          <w:lang w:val="en-US"/>
        </w:rPr>
        <w:t xml:space="preserve">period. </w:t>
      </w:r>
      <w:r w:rsidR="004B30FC">
        <w:t>We consider</w:t>
      </w:r>
      <w:r w:rsidR="00816349" w:rsidRPr="00816349">
        <w:rPr>
          <w:lang w:val="en-US"/>
        </w:rPr>
        <w:t xml:space="preserve"> the proposed methodology gives effect to the pricing principles in the NER and complies with the requirements of the pricing methodology</w:t>
      </w:r>
      <w:r w:rsidR="00816349">
        <w:t xml:space="preserve"> </w:t>
      </w:r>
      <w:r w:rsidR="00816349" w:rsidRPr="00816349">
        <w:rPr>
          <w:lang w:val="en-US"/>
        </w:rPr>
        <w:t>guidelines</w:t>
      </w:r>
      <w:r w:rsidR="004B30FC">
        <w:t xml:space="preserve">, as is required </w:t>
      </w:r>
      <w:r w:rsidR="0047771C">
        <w:t>by clause</w:t>
      </w:r>
      <w:r w:rsidR="00AA0343">
        <w:t xml:space="preserve"> 6A.24.1(c)</w:t>
      </w:r>
      <w:r w:rsidR="00816349" w:rsidRPr="00816349">
        <w:rPr>
          <w:lang w:val="en-US"/>
        </w:rPr>
        <w:t>.</w:t>
      </w:r>
      <w:r w:rsidR="00495509">
        <w:rPr>
          <w:rStyle w:val="FootnoteReference"/>
          <w:lang w:val="en-US"/>
        </w:rPr>
        <w:footnoteReference w:id="11"/>
      </w:r>
    </w:p>
    <w:p w:rsidR="002D1501" w:rsidRDefault="002D1501" w:rsidP="00816349">
      <w:r>
        <w:lastRenderedPageBreak/>
        <w:t xml:space="preserve">The approved pricing methodology is set out in attachment B of our final </w:t>
      </w:r>
      <w:r w:rsidR="00756618">
        <w:t>transmission determination</w:t>
      </w:r>
      <w:r>
        <w:t>.</w:t>
      </w:r>
    </w:p>
    <w:p w:rsidR="00DE563D" w:rsidRDefault="000B321F" w:rsidP="001754EE">
      <w:pPr>
        <w:pStyle w:val="Heading2"/>
      </w:pPr>
      <w:bookmarkStart w:id="14" w:name="_Toc480360695"/>
      <w:bookmarkStart w:id="15" w:name="_Toc480810288"/>
      <w:bookmarkEnd w:id="14"/>
      <w:r>
        <w:t>AusNet Services</w:t>
      </w:r>
      <w:r w:rsidR="00415F31" w:rsidRPr="001754EE">
        <w:t>’</w:t>
      </w:r>
      <w:r w:rsidR="00DE563D" w:rsidRPr="001754EE">
        <w:t xml:space="preserve"> </w:t>
      </w:r>
      <w:r w:rsidR="00453178">
        <w:t xml:space="preserve">revised </w:t>
      </w:r>
      <w:r w:rsidR="00DE563D" w:rsidRPr="001754EE">
        <w:t>proposal</w:t>
      </w:r>
      <w:bookmarkEnd w:id="13"/>
      <w:bookmarkEnd w:id="15"/>
    </w:p>
    <w:p w:rsidR="00795A25" w:rsidRPr="00795A25" w:rsidRDefault="00795A25" w:rsidP="00795A25">
      <w:r>
        <w:t>On 30 October 2015, AusNet Services submitted its proposed pricing methodology, which we approved in our draft decision</w:t>
      </w:r>
      <w:r w:rsidR="007D3B7E">
        <w:t>.</w:t>
      </w:r>
      <w:r>
        <w:rPr>
          <w:rStyle w:val="FootnoteReference"/>
        </w:rPr>
        <w:footnoteReference w:id="12"/>
      </w:r>
      <w:r w:rsidR="00756BF3">
        <w:t xml:space="preserve"> AusNet</w:t>
      </w:r>
      <w:r w:rsidR="00D629CB">
        <w:t xml:space="preserve"> Services</w:t>
      </w:r>
      <w:r w:rsidR="00756BF3">
        <w:t xml:space="preserve"> did not </w:t>
      </w:r>
      <w:r w:rsidR="007D3B7E">
        <w:t xml:space="preserve">alter </w:t>
      </w:r>
      <w:r w:rsidR="00756618">
        <w:t xml:space="preserve">its </w:t>
      </w:r>
      <w:r w:rsidR="007D3B7E">
        <w:t>proposed pricing methodology in their revised proposal.</w:t>
      </w:r>
      <w:r w:rsidR="00D629CB">
        <w:rPr>
          <w:rStyle w:val="FootnoteReference"/>
        </w:rPr>
        <w:footnoteReference w:id="13"/>
      </w:r>
    </w:p>
    <w:p w:rsidR="00423DB9" w:rsidRDefault="007D3B7E" w:rsidP="00423DB9">
      <w:r>
        <w:t>AusNet</w:t>
      </w:r>
      <w:r w:rsidR="0077792E">
        <w:t xml:space="preserve"> Services</w:t>
      </w:r>
      <w:r>
        <w:t xml:space="preserve">' initial </w:t>
      </w:r>
      <w:r w:rsidR="0077792E">
        <w:t>proposal no</w:t>
      </w:r>
      <w:r>
        <w:t xml:space="preserve">ted </w:t>
      </w:r>
      <w:r w:rsidR="00423DB9">
        <w:t xml:space="preserve">its </w:t>
      </w:r>
      <w:r w:rsidR="0077792E">
        <w:t xml:space="preserve">proposed pricing methodology </w:t>
      </w:r>
      <w:r w:rsidR="00423DB9">
        <w:t>was 'identical to that approved for the current regulatory control period'.</w:t>
      </w:r>
      <w:r w:rsidR="00423DB9">
        <w:rPr>
          <w:rStyle w:val="FootnoteReference"/>
        </w:rPr>
        <w:footnoteReference w:id="14"/>
      </w:r>
      <w:r w:rsidR="00423DB9">
        <w:t xml:space="preserve"> That is, AusNet Services was not proposing to introduce any new or amended pricing arrangements in the 2017–22 regulatory control period.</w:t>
      </w:r>
    </w:p>
    <w:p w:rsidR="000B321F" w:rsidRDefault="00423DB9" w:rsidP="00FE55BF">
      <w:r>
        <w:t>When considering its proposed pricing methodology, AusNet Services stated it is important to note the transmission arrangements in Victoria differ from those in other states.</w:t>
      </w:r>
      <w:r>
        <w:rPr>
          <w:rStyle w:val="FootnoteReference"/>
        </w:rPr>
        <w:footnoteReference w:id="15"/>
      </w:r>
      <w:r>
        <w:t xml:space="preserve"> </w:t>
      </w:r>
      <w:r w:rsidRPr="00D83FC7">
        <w:t xml:space="preserve">Under these arrangements, </w:t>
      </w:r>
      <w:r>
        <w:t>AusNet Services</w:t>
      </w:r>
      <w:r w:rsidRPr="00D83FC7">
        <w:t xml:space="preserve"> owns and operates the majority of the declared shared transmission network. But, unlike other similar network operators in the</w:t>
      </w:r>
      <w:r>
        <w:t xml:space="preserve"> National Electricity Market</w:t>
      </w:r>
      <w:r w:rsidRPr="00D83FC7">
        <w:t xml:space="preserve"> </w:t>
      </w:r>
      <w:r>
        <w:t>(</w:t>
      </w:r>
      <w:r w:rsidRPr="00D83FC7">
        <w:t>NEM</w:t>
      </w:r>
      <w:r>
        <w:t>), AusNet Services</w:t>
      </w:r>
      <w:r w:rsidRPr="00D83FC7">
        <w:t xml:space="preserve"> does not have pricing responsibility for all transmission services in the region. Given this, </w:t>
      </w:r>
      <w:r>
        <w:t>AusNet Services</w:t>
      </w:r>
      <w:r w:rsidRPr="00D83FC7">
        <w:t xml:space="preserve"> proposed its pricing methodology should address only the pricing matters for which it has responsibility. These are prescribed entry services and prescribed exit services.</w:t>
      </w:r>
      <w:r>
        <w:t xml:space="preserve"> This is the same approach taken with respect to AusNet Services' approved 2014–17 pricing methodology.</w:t>
      </w:r>
    </w:p>
    <w:p w:rsidR="00DE563D" w:rsidRDefault="00DE563D" w:rsidP="001754EE">
      <w:pPr>
        <w:pStyle w:val="Heading2"/>
      </w:pPr>
      <w:bookmarkStart w:id="16" w:name="_Toc403144138"/>
      <w:bookmarkStart w:id="17" w:name="_Toc480810289"/>
      <w:r w:rsidRPr="001754EE">
        <w:t>AER’s</w:t>
      </w:r>
      <w:r>
        <w:t xml:space="preserve"> assessment approach</w:t>
      </w:r>
      <w:bookmarkEnd w:id="16"/>
      <w:bookmarkEnd w:id="17"/>
    </w:p>
    <w:p w:rsidR="00423DB9" w:rsidRPr="00770D19" w:rsidRDefault="00423DB9" w:rsidP="00423DB9">
      <w:r w:rsidRPr="00D10CD6">
        <w:t>We must approve a proposed pricing method</w:t>
      </w:r>
      <w:r w:rsidRPr="00770D19">
        <w:t>ology if satisfied that it:</w:t>
      </w:r>
    </w:p>
    <w:p w:rsidR="00423DB9" w:rsidRPr="00770D19" w:rsidRDefault="00423DB9" w:rsidP="00423DB9">
      <w:pPr>
        <w:pStyle w:val="AERbulletlistfirststyle"/>
      </w:pPr>
      <w:r w:rsidRPr="00D10CD6">
        <w:t>gives effect to, and complies with, the pricing principles for prescribed transmission services</w:t>
      </w:r>
      <w:r w:rsidRPr="00770D19">
        <w:rPr>
          <w:rStyle w:val="FootnoteReference"/>
        </w:rPr>
        <w:footnoteReference w:id="16"/>
      </w:r>
    </w:p>
    <w:p w:rsidR="00423DB9" w:rsidRPr="00770D19" w:rsidRDefault="00423DB9" w:rsidP="00423DB9">
      <w:pPr>
        <w:pStyle w:val="AERbulletlistfirststyle"/>
      </w:pPr>
      <w:r w:rsidRPr="00D10CD6">
        <w:t xml:space="preserve">complies with the information requirements of the pricing method </w:t>
      </w:r>
      <w:r w:rsidRPr="00770D19">
        <w:t>guidelines.</w:t>
      </w:r>
      <w:r w:rsidRPr="00770D19">
        <w:rPr>
          <w:rStyle w:val="FootnoteReference"/>
        </w:rPr>
        <w:footnoteReference w:id="17"/>
      </w:r>
      <w:r w:rsidRPr="00770D19">
        <w:t xml:space="preserve"> </w:t>
      </w:r>
    </w:p>
    <w:p w:rsidR="000B321F" w:rsidRDefault="00423DB9" w:rsidP="00423DB9">
      <w:r w:rsidRPr="00D10CD6">
        <w:t>In making our assessment</w:t>
      </w:r>
      <w:r w:rsidRPr="00C32C71">
        <w:t>, we agree the transmission arrangements in Victoria need to be considered.</w:t>
      </w:r>
      <w:r>
        <w:t xml:space="preserve"> </w:t>
      </w:r>
      <w:r w:rsidR="0077792E">
        <w:t>O</w:t>
      </w:r>
      <w:r>
        <w:t>ur assessment of the transmission arrangements in Victoria</w:t>
      </w:r>
      <w:r w:rsidR="0077792E">
        <w:t xml:space="preserve"> are set out in </w:t>
      </w:r>
      <w:r w:rsidR="00545331">
        <w:t xml:space="preserve">our draft decision, </w:t>
      </w:r>
      <w:r w:rsidR="0077792E">
        <w:t>attachment 12</w:t>
      </w:r>
      <w:r w:rsidR="00545331">
        <w:t xml:space="preserve"> – </w:t>
      </w:r>
      <w:r w:rsidR="0077792E">
        <w:t>Pricing methodology</w:t>
      </w:r>
      <w:r w:rsidR="00545331">
        <w:t>.</w:t>
      </w:r>
      <w:r w:rsidR="00545331">
        <w:rPr>
          <w:rStyle w:val="FootnoteReference"/>
        </w:rPr>
        <w:footnoteReference w:id="18"/>
      </w:r>
    </w:p>
    <w:p w:rsidR="00DE563D" w:rsidRDefault="00DE563D" w:rsidP="008F2204">
      <w:pPr>
        <w:pStyle w:val="Heading2"/>
        <w:keepNext/>
      </w:pPr>
      <w:bookmarkStart w:id="18" w:name="_Toc403144140"/>
      <w:bookmarkStart w:id="19" w:name="_Toc480810290"/>
      <w:r w:rsidRPr="001754EE">
        <w:lastRenderedPageBreak/>
        <w:t>Reasons</w:t>
      </w:r>
      <w:r>
        <w:t xml:space="preserve"> for </w:t>
      </w:r>
      <w:r w:rsidR="00453178">
        <w:t>final</w:t>
      </w:r>
      <w:r>
        <w:t xml:space="preserve"> decision</w:t>
      </w:r>
      <w:bookmarkEnd w:id="18"/>
      <w:bookmarkEnd w:id="19"/>
      <w:r>
        <w:t xml:space="preserve"> </w:t>
      </w:r>
    </w:p>
    <w:p w:rsidR="000B321F" w:rsidRDefault="003D4470" w:rsidP="008F2204">
      <w:pPr>
        <w:keepNext/>
        <w:rPr>
          <w:rStyle w:val="AERbody"/>
        </w:rPr>
      </w:pPr>
      <w:r>
        <w:rPr>
          <w:rStyle w:val="AERbody"/>
        </w:rPr>
        <w:t>O</w:t>
      </w:r>
      <w:r w:rsidR="00423DB9">
        <w:rPr>
          <w:rStyle w:val="AERbody"/>
        </w:rPr>
        <w:t>ur draft decision</w:t>
      </w:r>
      <w:r>
        <w:rPr>
          <w:rStyle w:val="AERbody"/>
        </w:rPr>
        <w:t xml:space="preserve"> </w:t>
      </w:r>
      <w:r w:rsidR="008D4B11">
        <w:rPr>
          <w:rStyle w:val="AERbody"/>
        </w:rPr>
        <w:t>approve</w:t>
      </w:r>
      <w:r w:rsidR="0047771C">
        <w:rPr>
          <w:rStyle w:val="AERbody"/>
        </w:rPr>
        <w:t>d</w:t>
      </w:r>
      <w:r w:rsidR="008D4B11">
        <w:rPr>
          <w:rStyle w:val="AERbody"/>
        </w:rPr>
        <w:t xml:space="preserve"> </w:t>
      </w:r>
      <w:r w:rsidR="00423DB9">
        <w:rPr>
          <w:rStyle w:val="AERbody"/>
        </w:rPr>
        <w:t>AusNet</w:t>
      </w:r>
      <w:r>
        <w:rPr>
          <w:rStyle w:val="AERbody"/>
        </w:rPr>
        <w:t xml:space="preserve"> Service</w:t>
      </w:r>
      <w:r w:rsidR="00423DB9">
        <w:rPr>
          <w:rStyle w:val="AERbody"/>
        </w:rPr>
        <w:t>s</w:t>
      </w:r>
      <w:r>
        <w:rPr>
          <w:rStyle w:val="AERbody"/>
        </w:rPr>
        <w:t>'</w:t>
      </w:r>
      <w:r w:rsidR="00423DB9">
        <w:rPr>
          <w:rStyle w:val="AERbody"/>
        </w:rPr>
        <w:t xml:space="preserve"> proposed pricing methodology.</w:t>
      </w:r>
      <w:r>
        <w:rPr>
          <w:rStyle w:val="FootnoteReference"/>
        </w:rPr>
        <w:footnoteReference w:id="19"/>
      </w:r>
      <w:r w:rsidR="00423DB9">
        <w:rPr>
          <w:rStyle w:val="AERbody"/>
        </w:rPr>
        <w:t xml:space="preserve"> </w:t>
      </w:r>
      <w:r>
        <w:rPr>
          <w:rStyle w:val="AERbody"/>
        </w:rPr>
        <w:t>We did not receive any submissions in response to our draft decision. Therefore,</w:t>
      </w:r>
      <w:r w:rsidR="00423DB9">
        <w:rPr>
          <w:rStyle w:val="AERbody"/>
        </w:rPr>
        <w:t xml:space="preserve"> our final decision is to </w:t>
      </w:r>
      <w:r w:rsidR="008D4B11">
        <w:rPr>
          <w:rStyle w:val="AERbody"/>
        </w:rPr>
        <w:t xml:space="preserve">approve </w:t>
      </w:r>
      <w:r w:rsidR="00423DB9">
        <w:rPr>
          <w:rStyle w:val="AERbody"/>
        </w:rPr>
        <w:t>AusNet</w:t>
      </w:r>
      <w:r>
        <w:rPr>
          <w:rStyle w:val="AERbody"/>
        </w:rPr>
        <w:t xml:space="preserve"> Services'</w:t>
      </w:r>
      <w:r w:rsidR="00423DB9">
        <w:rPr>
          <w:rStyle w:val="AERbody"/>
        </w:rPr>
        <w:t xml:space="preserve"> proposed pricing methodology.</w:t>
      </w: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3D" w:rsidRPr="00290C63" w:rsidRDefault="00B9733D" w:rsidP="00290C63">
      <w:r>
        <w:separator/>
      </w:r>
    </w:p>
    <w:p w:rsidR="00B9733D" w:rsidRDefault="00B9733D"/>
  </w:endnote>
  <w:endnote w:type="continuationSeparator" w:id="0">
    <w:p w:rsidR="00B9733D" w:rsidRPr="00290C63" w:rsidRDefault="00B9733D" w:rsidP="00290C63">
      <w:r>
        <w:continuationSeparator/>
      </w:r>
    </w:p>
    <w:p w:rsidR="00B9733D" w:rsidRDefault="00B97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D" w:rsidRPr="00290C63" w:rsidRDefault="00B973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9733D" w:rsidRDefault="00B9733D"/>
  <w:p w:rsidR="00B9733D" w:rsidRDefault="00B9733D"/>
  <w:p w:rsidR="00B9733D" w:rsidRDefault="00B9733D"/>
  <w:p w:rsidR="00B9733D" w:rsidRDefault="00B9733D"/>
  <w:p w:rsidR="00B9733D" w:rsidRDefault="00B9733D"/>
  <w:p w:rsidR="00B9733D" w:rsidRDefault="00B9733D"/>
  <w:p w:rsidR="00B9733D" w:rsidRDefault="00B973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9733D" w:rsidRDefault="00B9733D" w:rsidP="00453178">
        <w:pPr>
          <w:pStyle w:val="Footer"/>
        </w:pPr>
        <w:r>
          <w:fldChar w:fldCharType="begin"/>
        </w:r>
        <w:r>
          <w:instrText xml:space="preserve"> PAGE   \* MERGEFORMAT </w:instrText>
        </w:r>
        <w:r>
          <w:fldChar w:fldCharType="separate"/>
        </w:r>
        <w:r w:rsidR="008259BD">
          <w:rPr>
            <w:noProof/>
          </w:rPr>
          <w:t>12-0</w:t>
        </w:r>
        <w:r>
          <w:rPr>
            <w:noProof/>
          </w:rPr>
          <w:fldChar w:fldCharType="end"/>
        </w:r>
        <w:r>
          <w:rPr>
            <w:noProof/>
          </w:rPr>
          <w:t xml:space="preserve">          </w:t>
        </w:r>
        <w:r w:rsidRPr="00FD5E78">
          <w:rPr>
            <w:noProof/>
          </w:rPr>
          <w:t>Attachment 1</w:t>
        </w:r>
        <w:r w:rsidR="006D3F5D">
          <w:rPr>
            <w:noProof/>
          </w:rPr>
          <w:t>2</w:t>
        </w:r>
        <w:r w:rsidRPr="00FD5E78">
          <w:rPr>
            <w:noProof/>
          </w:rPr>
          <w:t xml:space="preserve"> </w:t>
        </w:r>
        <w:r w:rsidRPr="00FD5E78">
          <w:rPr>
            <w:rFonts w:cs="Gautami"/>
            <w:noProof/>
          </w:rPr>
          <w:t xml:space="preserve">– </w:t>
        </w:r>
        <w:r w:rsidR="006D3F5D">
          <w:t>Pricing methodology</w:t>
        </w:r>
        <w:r w:rsidRPr="00FD5E78">
          <w:rPr>
            <w:rFonts w:cs="Gautami"/>
            <w:noProof/>
          </w:rPr>
          <w:t xml:space="preserve"> | </w:t>
        </w:r>
        <w:r w:rsidR="00453178">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Serices</w:t>
        </w:r>
        <w:r w:rsidRPr="00FD5E78">
          <w:t xml:space="preserve"> transmission</w:t>
        </w:r>
        <w:r w:rsidRPr="00FD5E78">
          <w:rPr>
            <w:rFonts w:cs="Gautami"/>
            <w:noProof/>
          </w:rPr>
          <w:t xml:space="preserve"> determination 201</w:t>
        </w:r>
        <w:r w:rsidR="000B321F">
          <w:rPr>
            <w:rFonts w:cs="Gautami"/>
            <w:noProof/>
          </w:rPr>
          <w:t>7</w:t>
        </w:r>
        <w:r w:rsidRPr="00FD5E78">
          <w:rPr>
            <w:rFonts w:cs="Gautami"/>
            <w:noProof/>
          </w:rPr>
          <w:t>–</w:t>
        </w:r>
        <w:r w:rsidR="000B321F">
          <w:rPr>
            <w:rFonts w:cs="Gautami"/>
            <w:noProof/>
          </w:rPr>
          <w:t>22</w:t>
        </w:r>
      </w:p>
    </w:sdtContent>
  </w:sdt>
  <w:p w:rsidR="00B9733D" w:rsidRDefault="00B97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D" w:rsidRPr="00290C63" w:rsidRDefault="00B973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9733D" w:rsidRDefault="00B9733D">
    <w:pPr>
      <w:pStyle w:val="Footer"/>
    </w:pPr>
  </w:p>
  <w:p w:rsidR="00B9733D" w:rsidRDefault="00B9733D"/>
  <w:p w:rsidR="00B9733D" w:rsidRDefault="00B9733D"/>
  <w:p w:rsidR="00B9733D" w:rsidRDefault="00B9733D"/>
  <w:p w:rsidR="00B9733D" w:rsidRDefault="00B9733D"/>
  <w:p w:rsidR="00B9733D" w:rsidRDefault="00B9733D"/>
  <w:p w:rsidR="00B9733D" w:rsidRDefault="00B9733D"/>
  <w:p w:rsidR="00B9733D" w:rsidRDefault="00B97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3D" w:rsidRPr="00290C63" w:rsidRDefault="00B9733D" w:rsidP="00290C63">
      <w:r>
        <w:separator/>
      </w:r>
    </w:p>
    <w:p w:rsidR="00B9733D" w:rsidRDefault="00B9733D"/>
  </w:footnote>
  <w:footnote w:type="continuationSeparator" w:id="0">
    <w:p w:rsidR="00B9733D" w:rsidRPr="00290C63" w:rsidRDefault="00B9733D" w:rsidP="00290C63">
      <w:r>
        <w:continuationSeparator/>
      </w:r>
    </w:p>
    <w:p w:rsidR="00B9733D" w:rsidRDefault="00B9733D"/>
  </w:footnote>
  <w:footnote w:id="1">
    <w:p w:rsidR="00073C7B" w:rsidRDefault="00073C7B" w:rsidP="00073C7B">
      <w:pPr>
        <w:pStyle w:val="FootnoteText"/>
      </w:pPr>
      <w:r>
        <w:rPr>
          <w:rStyle w:val="FootnoteReference"/>
        </w:rPr>
        <w:footnoteRef/>
      </w:r>
      <w:r>
        <w:t xml:space="preserve"> </w:t>
      </w:r>
      <w:r>
        <w:tab/>
        <w:t>NER, cl. 6A.2.2(4).</w:t>
      </w:r>
    </w:p>
  </w:footnote>
  <w:footnote w:id="2">
    <w:p w:rsidR="00073C7B" w:rsidRPr="00C14EB0" w:rsidRDefault="00073C7B" w:rsidP="00073C7B">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(Pricing of Prescribed Transmission Services) Rule 2006 No. 22, </w:t>
      </w:r>
      <w:r>
        <w:rPr>
          <w:rStyle w:val="AERtextsize8"/>
        </w:rPr>
        <w:t>21 December 2006, p. 1.</w:t>
      </w:r>
    </w:p>
  </w:footnote>
  <w:footnote w:id="3">
    <w:p w:rsidR="00073C7B" w:rsidRDefault="00073C7B" w:rsidP="00073C7B">
      <w:pPr>
        <w:pStyle w:val="FootnoteText"/>
      </w:pPr>
      <w:r>
        <w:rPr>
          <w:rStyle w:val="FootnoteReference"/>
        </w:rPr>
        <w:footnoteRef/>
      </w:r>
      <w:r>
        <w:t xml:space="preserve"> </w:t>
      </w:r>
      <w:r>
        <w:tab/>
        <w:t>NER, cl. 6A.24.1(b).</w:t>
      </w:r>
    </w:p>
  </w:footnote>
  <w:footnote w:id="4">
    <w:p w:rsidR="00073C7B" w:rsidRDefault="00073C7B" w:rsidP="00073C7B">
      <w:pPr>
        <w:pStyle w:val="FootnoteText"/>
      </w:pPr>
      <w:r>
        <w:rPr>
          <w:rStyle w:val="FootnoteReference"/>
        </w:rPr>
        <w:footnoteRef/>
      </w:r>
      <w:r>
        <w:t xml:space="preserve"> </w:t>
      </w:r>
      <w:r>
        <w:tab/>
        <w:t>NER, cl. 6A.24.1(b)(1).</w:t>
      </w:r>
    </w:p>
  </w:footnote>
  <w:footnote w:id="5">
    <w:p w:rsidR="00C04BF7" w:rsidRDefault="00C04BF7">
      <w:pPr>
        <w:pStyle w:val="FootnoteText"/>
      </w:pPr>
      <w:r>
        <w:rPr>
          <w:rStyle w:val="FootnoteReference"/>
        </w:rPr>
        <w:footnoteRef/>
      </w:r>
      <w:r>
        <w:t xml:space="preserve"> </w:t>
      </w:r>
      <w:r w:rsidR="00461C82">
        <w:tab/>
        <w:t>NER, cl. 6A.24.1(b)(2).</w:t>
      </w:r>
    </w:p>
  </w:footnote>
  <w:footnote w:id="6">
    <w:p w:rsidR="00C04BF7" w:rsidRDefault="00C04BF7">
      <w:pPr>
        <w:pStyle w:val="FootnoteText"/>
      </w:pPr>
      <w:r>
        <w:rPr>
          <w:rStyle w:val="FootnoteReference"/>
        </w:rPr>
        <w:footnoteRef/>
      </w:r>
      <w:r>
        <w:t xml:space="preserve"> </w:t>
      </w:r>
      <w:r w:rsidR="00461C82">
        <w:tab/>
        <w:t>NER, cl. 6A.24.1(b)(3).</w:t>
      </w:r>
    </w:p>
  </w:footnote>
  <w:footnote w:id="7">
    <w:p w:rsidR="00073C7B" w:rsidRDefault="00073C7B" w:rsidP="00073C7B">
      <w:pPr>
        <w:pStyle w:val="FootnoteText"/>
      </w:pPr>
      <w:r>
        <w:rPr>
          <w:rStyle w:val="FootnoteReference"/>
        </w:rPr>
        <w:footnoteRef/>
      </w:r>
      <w:r>
        <w:t xml:space="preserve"> </w:t>
      </w:r>
      <w:r>
        <w:tab/>
      </w:r>
      <w:r w:rsidR="00C04BF7">
        <w:t>NER, cl. 6A.24.1(b)(4</w:t>
      </w:r>
      <w:r>
        <w:t>).</w:t>
      </w:r>
    </w:p>
  </w:footnote>
  <w:footnote w:id="8">
    <w:p w:rsidR="00495509" w:rsidRDefault="00495509">
      <w:pPr>
        <w:pStyle w:val="FootnoteText"/>
      </w:pPr>
      <w:r>
        <w:rPr>
          <w:rStyle w:val="FootnoteReference"/>
        </w:rPr>
        <w:footnoteRef/>
      </w:r>
      <w:r>
        <w:t xml:space="preserve"> </w:t>
      </w:r>
      <w:r w:rsidR="00461C82">
        <w:tab/>
      </w:r>
      <w:r w:rsidR="000B0B97">
        <w:t xml:space="preserve">AusNet Services, </w:t>
      </w:r>
      <w:r w:rsidR="00D629CB">
        <w:rPr>
          <w:rStyle w:val="AERtextitalic"/>
        </w:rPr>
        <w:t>Revenue proposal, Appendix 14A: P</w:t>
      </w:r>
      <w:r w:rsidR="000B0B97" w:rsidRPr="000B0B97">
        <w:rPr>
          <w:rStyle w:val="AERtextitalic"/>
        </w:rPr>
        <w:t>ricing methodology</w:t>
      </w:r>
      <w:r w:rsidR="000B0B97">
        <w:t>, 30 October</w:t>
      </w:r>
      <w:r w:rsidR="00D629CB">
        <w:t xml:space="preserve"> 2015</w:t>
      </w:r>
      <w:r w:rsidR="000B0B97">
        <w:t>, p. 4.</w:t>
      </w:r>
    </w:p>
  </w:footnote>
  <w:footnote w:id="9">
    <w:p w:rsidR="00495509" w:rsidRDefault="00495509">
      <w:pPr>
        <w:pStyle w:val="FootnoteText"/>
      </w:pPr>
      <w:r>
        <w:rPr>
          <w:rStyle w:val="FootnoteReference"/>
        </w:rPr>
        <w:footnoteRef/>
      </w:r>
      <w:r>
        <w:t xml:space="preserve"> </w:t>
      </w:r>
      <w:r w:rsidR="000B0B97">
        <w:tab/>
        <w:t xml:space="preserve">AusNet Services, </w:t>
      </w:r>
      <w:r w:rsidR="00D629CB">
        <w:rPr>
          <w:rStyle w:val="AERtextitalic"/>
        </w:rPr>
        <w:t>Revenue proposal, Appendix 14A: P</w:t>
      </w:r>
      <w:r w:rsidR="00D629CB" w:rsidRPr="000B0B97">
        <w:rPr>
          <w:rStyle w:val="AERtextitalic"/>
        </w:rPr>
        <w:t>ricing methodology</w:t>
      </w:r>
      <w:r w:rsidR="00D629CB">
        <w:t>, 30 October 2015</w:t>
      </w:r>
      <w:r w:rsidR="000B0B97">
        <w:t>, p. 4.</w:t>
      </w:r>
    </w:p>
  </w:footnote>
  <w:footnote w:id="10">
    <w:p w:rsidR="00495509" w:rsidRDefault="00495509">
      <w:pPr>
        <w:pStyle w:val="FootnoteText"/>
      </w:pPr>
      <w:r>
        <w:rPr>
          <w:rStyle w:val="FootnoteReference"/>
        </w:rPr>
        <w:footnoteRef/>
      </w:r>
      <w:r>
        <w:t xml:space="preserve"> </w:t>
      </w:r>
      <w:r w:rsidR="000B0B97">
        <w:tab/>
        <w:t xml:space="preserve">AusNet Services, </w:t>
      </w:r>
      <w:r w:rsidR="00D629CB">
        <w:rPr>
          <w:rStyle w:val="AERtextitalic"/>
        </w:rPr>
        <w:t>Revenue proposal, Appendix 14A: P</w:t>
      </w:r>
      <w:r w:rsidR="00D629CB" w:rsidRPr="000B0B97">
        <w:rPr>
          <w:rStyle w:val="AERtextitalic"/>
        </w:rPr>
        <w:t>ricing methodology</w:t>
      </w:r>
      <w:r w:rsidR="00D629CB">
        <w:t>, 30 October 2015</w:t>
      </w:r>
      <w:r w:rsidR="000B0B97">
        <w:t>, p. 4.</w:t>
      </w:r>
    </w:p>
  </w:footnote>
  <w:footnote w:id="11">
    <w:p w:rsidR="00495509" w:rsidRDefault="00495509">
      <w:pPr>
        <w:pStyle w:val="FootnoteText"/>
      </w:pPr>
      <w:r>
        <w:rPr>
          <w:rStyle w:val="FootnoteReference"/>
        </w:rPr>
        <w:footnoteRef/>
      </w:r>
      <w:r>
        <w:t xml:space="preserve"> </w:t>
      </w:r>
      <w:r w:rsidR="000B0B97">
        <w:tab/>
        <w:t>NER, cl. 6A.</w:t>
      </w:r>
      <w:r w:rsidR="00AA0343">
        <w:t>14.1(8)</w:t>
      </w:r>
      <w:r w:rsidR="000B0B97">
        <w:t>.</w:t>
      </w:r>
    </w:p>
  </w:footnote>
  <w:footnote w:id="12">
    <w:p w:rsidR="00795A25" w:rsidRPr="007D3B7E" w:rsidRDefault="00795A25" w:rsidP="007D3B7E">
      <w:pPr>
        <w:pStyle w:val="FootnoteText"/>
        <w:rPr>
          <w:rStyle w:val="AERtextsize8"/>
        </w:rPr>
      </w:pPr>
      <w:r>
        <w:rPr>
          <w:rStyle w:val="FootnoteReference"/>
        </w:rPr>
        <w:footnoteRef/>
      </w:r>
      <w:r>
        <w:t xml:space="preserve"> </w:t>
      </w:r>
      <w:r w:rsidR="00F44788">
        <w:tab/>
      </w:r>
      <w:r>
        <w:t xml:space="preserve">AER, </w:t>
      </w:r>
      <w:r>
        <w:rPr>
          <w:rStyle w:val="Emphasis"/>
        </w:rPr>
        <w:t>AusNet Services 2017-22 - Draft Decision - Attachment 12 - Pricing Methodology</w:t>
      </w:r>
      <w:r w:rsidR="007D3B7E">
        <w:rPr>
          <w:rStyle w:val="Emphasis"/>
        </w:rPr>
        <w:t>,</w:t>
      </w:r>
      <w:r w:rsidR="007D3B7E">
        <w:rPr>
          <w:rStyle w:val="AERtextsize8"/>
        </w:rPr>
        <w:t xml:space="preserve"> 20 July 2016.</w:t>
      </w:r>
    </w:p>
  </w:footnote>
  <w:footnote w:id="13">
    <w:p w:rsidR="00D629CB" w:rsidRDefault="00D629CB">
      <w:pPr>
        <w:pStyle w:val="FootnoteText"/>
      </w:pPr>
      <w:r>
        <w:rPr>
          <w:rStyle w:val="FootnoteReference"/>
        </w:rPr>
        <w:footnoteRef/>
      </w:r>
      <w:r>
        <w:t xml:space="preserve"> </w:t>
      </w:r>
      <w:r>
        <w:tab/>
        <w:t xml:space="preserve">AusNet Services, </w:t>
      </w:r>
      <w:r w:rsidRPr="00D629CB">
        <w:rPr>
          <w:rStyle w:val="AERtextitalic"/>
        </w:rPr>
        <w:t>Revised revenue proposal</w:t>
      </w:r>
      <w:r>
        <w:t>, 21 September 2016, p. 244.</w:t>
      </w:r>
    </w:p>
  </w:footnote>
  <w:footnote w:id="14">
    <w:p w:rsidR="00423DB9" w:rsidRDefault="00423DB9" w:rsidP="00423DB9">
      <w:pPr>
        <w:pStyle w:val="FootnoteText"/>
      </w:pPr>
      <w:r>
        <w:rPr>
          <w:rStyle w:val="FootnoteReference"/>
        </w:rPr>
        <w:footnoteRef/>
      </w:r>
      <w:r>
        <w:t xml:space="preserve"> </w:t>
      </w:r>
      <w:r>
        <w:tab/>
        <w:t xml:space="preserve">AusNet Services, </w:t>
      </w:r>
      <w:r w:rsidRPr="00943764">
        <w:rPr>
          <w:rStyle w:val="AERtextitalic"/>
        </w:rPr>
        <w:t>Revenue proposal, Appendix 14A: Pricing methodology</w:t>
      </w:r>
      <w:r>
        <w:t>, October 2015, p. 4.</w:t>
      </w:r>
    </w:p>
  </w:footnote>
  <w:footnote w:id="15">
    <w:p w:rsidR="00423DB9" w:rsidRDefault="00423DB9" w:rsidP="00423DB9">
      <w:pPr>
        <w:pStyle w:val="FootnoteText"/>
      </w:pPr>
      <w:r>
        <w:rPr>
          <w:rStyle w:val="FootnoteReference"/>
        </w:rPr>
        <w:footnoteRef/>
      </w:r>
      <w:r>
        <w:t xml:space="preserve"> </w:t>
      </w:r>
      <w:r>
        <w:tab/>
        <w:t xml:space="preserve">AusNet Services, </w:t>
      </w:r>
      <w:r w:rsidRPr="00943764">
        <w:rPr>
          <w:rStyle w:val="AERtextitalic"/>
        </w:rPr>
        <w:t>Revenue proposal, Appendix 14A: Pricing methodology</w:t>
      </w:r>
      <w:r>
        <w:t>, October 2015, p. 4.</w:t>
      </w:r>
    </w:p>
  </w:footnote>
  <w:footnote w:id="16">
    <w:p w:rsidR="00423DB9" w:rsidRDefault="00423DB9" w:rsidP="00423DB9">
      <w:pPr>
        <w:pStyle w:val="FootnoteText"/>
      </w:pPr>
      <w:r>
        <w:rPr>
          <w:rStyle w:val="FootnoteReference"/>
        </w:rPr>
        <w:footnoteRef/>
      </w:r>
      <w:r>
        <w:t xml:space="preserve"> </w:t>
      </w:r>
      <w:r>
        <w:tab/>
        <w:t>NER, clause 6A.24.1(c)(1).</w:t>
      </w:r>
    </w:p>
  </w:footnote>
  <w:footnote w:id="17">
    <w:p w:rsidR="00423DB9" w:rsidRDefault="00423DB9" w:rsidP="00423DB9">
      <w:pPr>
        <w:pStyle w:val="FootnoteText"/>
      </w:pPr>
      <w:r>
        <w:rPr>
          <w:rStyle w:val="FootnoteReference"/>
        </w:rPr>
        <w:footnoteRef/>
      </w:r>
      <w:r>
        <w:t xml:space="preserve"> </w:t>
      </w:r>
      <w:r>
        <w:tab/>
        <w:t>NER, clause 6A.24.1(c)(2).</w:t>
      </w:r>
    </w:p>
  </w:footnote>
  <w:footnote w:id="18">
    <w:p w:rsidR="00545331" w:rsidRDefault="00545331" w:rsidP="00545331">
      <w:pPr>
        <w:pStyle w:val="FootnoteText"/>
      </w:pPr>
      <w:r>
        <w:rPr>
          <w:rStyle w:val="FootnoteReference"/>
        </w:rPr>
        <w:footnoteRef/>
      </w:r>
      <w:r>
        <w:t xml:space="preserve"> </w:t>
      </w:r>
      <w:r>
        <w:tab/>
        <w:t xml:space="preserve">AER, </w:t>
      </w:r>
      <w:r>
        <w:rPr>
          <w:rStyle w:val="Emphasis"/>
        </w:rPr>
        <w:t>AusNet Services 2017-22 - Draft Decision - Attachment 12 - Pricing Methodology,</w:t>
      </w:r>
      <w:r>
        <w:rPr>
          <w:rStyle w:val="AERtextsize8"/>
        </w:rPr>
        <w:t xml:space="preserve"> 20 July 2016.</w:t>
      </w:r>
    </w:p>
  </w:footnote>
  <w:footnote w:id="19">
    <w:p w:rsidR="003D4470" w:rsidRDefault="003D4470">
      <w:pPr>
        <w:pStyle w:val="FootnoteText"/>
      </w:pPr>
      <w:r>
        <w:rPr>
          <w:rStyle w:val="FootnoteReference"/>
        </w:rPr>
        <w:footnoteRef/>
      </w:r>
      <w:r>
        <w:t xml:space="preserve"> </w:t>
      </w:r>
      <w:r>
        <w:tab/>
        <w:t xml:space="preserve">AER, </w:t>
      </w:r>
      <w:r>
        <w:rPr>
          <w:rStyle w:val="Emphasis"/>
        </w:rPr>
        <w:t>AusNet Services 2017-22 - Draft Decision - Attachment 12 - Pricing Methodology,</w:t>
      </w:r>
      <w:r>
        <w:rPr>
          <w:rStyle w:val="AERtextsize8"/>
        </w:rPr>
        <w:t xml:space="preserve"> 20 July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E90046A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tBCuJOvm6k4mb5m2z5CEtl0/G2z1iGloRDXQiSKcOY=" w:saltValue="QRLWMGLNPoRixh0g7Qn+2A==" w:algorithmName="SHA-256"/>
  <w:defaultTabStop w:val="34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3.6.5 aer - final decision ausnet services 2017-22 transmission determination - attachment 12 - pricing methodology - ap (AER2016-000055).docx"/>
  </w:docVars>
  <w:rsids>
    <w:rsidRoot w:val="00961A4A"/>
    <w:rsid w:val="000035FC"/>
    <w:rsid w:val="00005540"/>
    <w:rsid w:val="00021202"/>
    <w:rsid w:val="00021C2B"/>
    <w:rsid w:val="0002517F"/>
    <w:rsid w:val="0003578C"/>
    <w:rsid w:val="00063247"/>
    <w:rsid w:val="00070F9F"/>
    <w:rsid w:val="0007137B"/>
    <w:rsid w:val="00073C7B"/>
    <w:rsid w:val="00077389"/>
    <w:rsid w:val="00085663"/>
    <w:rsid w:val="00085EBF"/>
    <w:rsid w:val="00086871"/>
    <w:rsid w:val="000A3020"/>
    <w:rsid w:val="000A6C7B"/>
    <w:rsid w:val="000B0B97"/>
    <w:rsid w:val="000B321F"/>
    <w:rsid w:val="000C2B40"/>
    <w:rsid w:val="000D122C"/>
    <w:rsid w:val="000E1819"/>
    <w:rsid w:val="000E4821"/>
    <w:rsid w:val="000E6C72"/>
    <w:rsid w:val="00116EB2"/>
    <w:rsid w:val="001203C4"/>
    <w:rsid w:val="00124609"/>
    <w:rsid w:val="00126A4C"/>
    <w:rsid w:val="0014573B"/>
    <w:rsid w:val="001573E4"/>
    <w:rsid w:val="00160756"/>
    <w:rsid w:val="0017232E"/>
    <w:rsid w:val="00174102"/>
    <w:rsid w:val="001754EE"/>
    <w:rsid w:val="00180157"/>
    <w:rsid w:val="00185C55"/>
    <w:rsid w:val="00185CB9"/>
    <w:rsid w:val="00186F77"/>
    <w:rsid w:val="001921F2"/>
    <w:rsid w:val="001926A4"/>
    <w:rsid w:val="00192AD5"/>
    <w:rsid w:val="001B45A0"/>
    <w:rsid w:val="001D055E"/>
    <w:rsid w:val="001F492E"/>
    <w:rsid w:val="001F6DA3"/>
    <w:rsid w:val="002010BC"/>
    <w:rsid w:val="002016E7"/>
    <w:rsid w:val="00202E03"/>
    <w:rsid w:val="0020492C"/>
    <w:rsid w:val="00224DB9"/>
    <w:rsid w:val="00233775"/>
    <w:rsid w:val="00251745"/>
    <w:rsid w:val="00263AC0"/>
    <w:rsid w:val="00264264"/>
    <w:rsid w:val="0026772D"/>
    <w:rsid w:val="00286874"/>
    <w:rsid w:val="002876B3"/>
    <w:rsid w:val="00290C63"/>
    <w:rsid w:val="00296B65"/>
    <w:rsid w:val="00297C2E"/>
    <w:rsid w:val="002A0C23"/>
    <w:rsid w:val="002A7DEF"/>
    <w:rsid w:val="002C233C"/>
    <w:rsid w:val="002D1501"/>
    <w:rsid w:val="002D72E8"/>
    <w:rsid w:val="002E7B22"/>
    <w:rsid w:val="002F7986"/>
    <w:rsid w:val="00301B40"/>
    <w:rsid w:val="003029EE"/>
    <w:rsid w:val="00303698"/>
    <w:rsid w:val="00305CC8"/>
    <w:rsid w:val="00307F6D"/>
    <w:rsid w:val="003177A2"/>
    <w:rsid w:val="0032250A"/>
    <w:rsid w:val="003271B5"/>
    <w:rsid w:val="00327A1E"/>
    <w:rsid w:val="00331264"/>
    <w:rsid w:val="00334C8D"/>
    <w:rsid w:val="00343A18"/>
    <w:rsid w:val="003518B3"/>
    <w:rsid w:val="003846F1"/>
    <w:rsid w:val="003903F6"/>
    <w:rsid w:val="003B484F"/>
    <w:rsid w:val="003B7FBA"/>
    <w:rsid w:val="003C303F"/>
    <w:rsid w:val="003C3A9C"/>
    <w:rsid w:val="003D4470"/>
    <w:rsid w:val="003F174D"/>
    <w:rsid w:val="00400514"/>
    <w:rsid w:val="00415F31"/>
    <w:rsid w:val="00423A77"/>
    <w:rsid w:val="00423DB9"/>
    <w:rsid w:val="004410C7"/>
    <w:rsid w:val="00453178"/>
    <w:rsid w:val="0045777E"/>
    <w:rsid w:val="00461C82"/>
    <w:rsid w:val="0047771C"/>
    <w:rsid w:val="00480B4B"/>
    <w:rsid w:val="00485DC4"/>
    <w:rsid w:val="00491349"/>
    <w:rsid w:val="00492389"/>
    <w:rsid w:val="00495509"/>
    <w:rsid w:val="004A43D1"/>
    <w:rsid w:val="004B30FC"/>
    <w:rsid w:val="004B4412"/>
    <w:rsid w:val="004C348C"/>
    <w:rsid w:val="004D4888"/>
    <w:rsid w:val="004D55BA"/>
    <w:rsid w:val="004E22EC"/>
    <w:rsid w:val="004F6A0E"/>
    <w:rsid w:val="00530128"/>
    <w:rsid w:val="00532467"/>
    <w:rsid w:val="00540418"/>
    <w:rsid w:val="00544C12"/>
    <w:rsid w:val="00545331"/>
    <w:rsid w:val="00553342"/>
    <w:rsid w:val="00564A4D"/>
    <w:rsid w:val="00567BA5"/>
    <w:rsid w:val="00571B35"/>
    <w:rsid w:val="00571D57"/>
    <w:rsid w:val="00577A09"/>
    <w:rsid w:val="005829C2"/>
    <w:rsid w:val="00584D8F"/>
    <w:rsid w:val="005A404D"/>
    <w:rsid w:val="005B1E3C"/>
    <w:rsid w:val="005B704A"/>
    <w:rsid w:val="005C26CC"/>
    <w:rsid w:val="005D7BA2"/>
    <w:rsid w:val="005E1C36"/>
    <w:rsid w:val="005E36C2"/>
    <w:rsid w:val="005F3CA6"/>
    <w:rsid w:val="00612F4F"/>
    <w:rsid w:val="00615C6B"/>
    <w:rsid w:val="00621DCE"/>
    <w:rsid w:val="00632D6D"/>
    <w:rsid w:val="00642C3E"/>
    <w:rsid w:val="006537AA"/>
    <w:rsid w:val="0066104A"/>
    <w:rsid w:val="00663DAD"/>
    <w:rsid w:val="00675E20"/>
    <w:rsid w:val="00676679"/>
    <w:rsid w:val="00683C89"/>
    <w:rsid w:val="006A08A8"/>
    <w:rsid w:val="006B2395"/>
    <w:rsid w:val="006B4CF9"/>
    <w:rsid w:val="006B7AC8"/>
    <w:rsid w:val="006C1736"/>
    <w:rsid w:val="006D3F5D"/>
    <w:rsid w:val="006D5008"/>
    <w:rsid w:val="006D550F"/>
    <w:rsid w:val="00701CAB"/>
    <w:rsid w:val="00707563"/>
    <w:rsid w:val="00713956"/>
    <w:rsid w:val="0072348C"/>
    <w:rsid w:val="00724A37"/>
    <w:rsid w:val="007303C3"/>
    <w:rsid w:val="00731756"/>
    <w:rsid w:val="007429BE"/>
    <w:rsid w:val="00743223"/>
    <w:rsid w:val="00746513"/>
    <w:rsid w:val="00746E01"/>
    <w:rsid w:val="00756618"/>
    <w:rsid w:val="00756BF3"/>
    <w:rsid w:val="00757364"/>
    <w:rsid w:val="00757BDF"/>
    <w:rsid w:val="007609D0"/>
    <w:rsid w:val="00763E5D"/>
    <w:rsid w:val="00767740"/>
    <w:rsid w:val="0077792E"/>
    <w:rsid w:val="00777EE6"/>
    <w:rsid w:val="00782EEA"/>
    <w:rsid w:val="00795A25"/>
    <w:rsid w:val="00796270"/>
    <w:rsid w:val="007A4620"/>
    <w:rsid w:val="007B186E"/>
    <w:rsid w:val="007B2C72"/>
    <w:rsid w:val="007C1C53"/>
    <w:rsid w:val="007C74BB"/>
    <w:rsid w:val="007D3B7E"/>
    <w:rsid w:val="007D456E"/>
    <w:rsid w:val="007E4904"/>
    <w:rsid w:val="007E4CB5"/>
    <w:rsid w:val="007F066B"/>
    <w:rsid w:val="00800A30"/>
    <w:rsid w:val="008033C4"/>
    <w:rsid w:val="00806C88"/>
    <w:rsid w:val="0081034E"/>
    <w:rsid w:val="00813978"/>
    <w:rsid w:val="00816349"/>
    <w:rsid w:val="008259BD"/>
    <w:rsid w:val="008344F6"/>
    <w:rsid w:val="0083510F"/>
    <w:rsid w:val="00842AFA"/>
    <w:rsid w:val="00851209"/>
    <w:rsid w:val="008837AC"/>
    <w:rsid w:val="008A587D"/>
    <w:rsid w:val="008B35CD"/>
    <w:rsid w:val="008B5FCC"/>
    <w:rsid w:val="008C5486"/>
    <w:rsid w:val="008D1661"/>
    <w:rsid w:val="008D4B11"/>
    <w:rsid w:val="008E7031"/>
    <w:rsid w:val="008E77DE"/>
    <w:rsid w:val="008F07A3"/>
    <w:rsid w:val="008F2204"/>
    <w:rsid w:val="009001B6"/>
    <w:rsid w:val="00900E1B"/>
    <w:rsid w:val="0090431C"/>
    <w:rsid w:val="009233EE"/>
    <w:rsid w:val="00924D6B"/>
    <w:rsid w:val="009460AA"/>
    <w:rsid w:val="00951978"/>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5BA1"/>
    <w:rsid w:val="00A02A88"/>
    <w:rsid w:val="00A0562E"/>
    <w:rsid w:val="00A0726D"/>
    <w:rsid w:val="00A32FBB"/>
    <w:rsid w:val="00A344D3"/>
    <w:rsid w:val="00A428EE"/>
    <w:rsid w:val="00A4478A"/>
    <w:rsid w:val="00A44852"/>
    <w:rsid w:val="00A57D04"/>
    <w:rsid w:val="00A60A26"/>
    <w:rsid w:val="00A61598"/>
    <w:rsid w:val="00A63EDD"/>
    <w:rsid w:val="00A704B2"/>
    <w:rsid w:val="00A84A99"/>
    <w:rsid w:val="00A84F46"/>
    <w:rsid w:val="00A871F4"/>
    <w:rsid w:val="00AA0343"/>
    <w:rsid w:val="00AA3B8E"/>
    <w:rsid w:val="00AB4D90"/>
    <w:rsid w:val="00AC0C43"/>
    <w:rsid w:val="00AC1B2C"/>
    <w:rsid w:val="00AC3264"/>
    <w:rsid w:val="00AC4546"/>
    <w:rsid w:val="00AE1BF1"/>
    <w:rsid w:val="00AF0DD2"/>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9733D"/>
    <w:rsid w:val="00BA4665"/>
    <w:rsid w:val="00BB2FB2"/>
    <w:rsid w:val="00BB3304"/>
    <w:rsid w:val="00BB666C"/>
    <w:rsid w:val="00BD3446"/>
    <w:rsid w:val="00BD5D87"/>
    <w:rsid w:val="00BE1F1B"/>
    <w:rsid w:val="00BE47B5"/>
    <w:rsid w:val="00C04BF7"/>
    <w:rsid w:val="00C25FA6"/>
    <w:rsid w:val="00C26737"/>
    <w:rsid w:val="00C420BC"/>
    <w:rsid w:val="00C538A9"/>
    <w:rsid w:val="00C53B5A"/>
    <w:rsid w:val="00C54F5A"/>
    <w:rsid w:val="00C569B4"/>
    <w:rsid w:val="00C67A92"/>
    <w:rsid w:val="00C81758"/>
    <w:rsid w:val="00C84560"/>
    <w:rsid w:val="00C86679"/>
    <w:rsid w:val="00C8739E"/>
    <w:rsid w:val="00CA489E"/>
    <w:rsid w:val="00CA67ED"/>
    <w:rsid w:val="00CB0279"/>
    <w:rsid w:val="00CB666B"/>
    <w:rsid w:val="00CC7F1D"/>
    <w:rsid w:val="00CD2468"/>
    <w:rsid w:val="00CE484B"/>
    <w:rsid w:val="00CF6177"/>
    <w:rsid w:val="00D006AE"/>
    <w:rsid w:val="00D01CF0"/>
    <w:rsid w:val="00D0442A"/>
    <w:rsid w:val="00D1563D"/>
    <w:rsid w:val="00D17061"/>
    <w:rsid w:val="00D27530"/>
    <w:rsid w:val="00D325B8"/>
    <w:rsid w:val="00D61388"/>
    <w:rsid w:val="00D61A54"/>
    <w:rsid w:val="00D629CB"/>
    <w:rsid w:val="00D64DEA"/>
    <w:rsid w:val="00D7168E"/>
    <w:rsid w:val="00D71E57"/>
    <w:rsid w:val="00D80893"/>
    <w:rsid w:val="00D841B8"/>
    <w:rsid w:val="00D84854"/>
    <w:rsid w:val="00D92CF1"/>
    <w:rsid w:val="00D92D38"/>
    <w:rsid w:val="00D950F5"/>
    <w:rsid w:val="00DA4752"/>
    <w:rsid w:val="00DA61F3"/>
    <w:rsid w:val="00DA6A65"/>
    <w:rsid w:val="00DB0F93"/>
    <w:rsid w:val="00DB1A67"/>
    <w:rsid w:val="00DB48C6"/>
    <w:rsid w:val="00DB5074"/>
    <w:rsid w:val="00DC5D3C"/>
    <w:rsid w:val="00DC7981"/>
    <w:rsid w:val="00DE1093"/>
    <w:rsid w:val="00DE3695"/>
    <w:rsid w:val="00DE4EFA"/>
    <w:rsid w:val="00DE5520"/>
    <w:rsid w:val="00DE563D"/>
    <w:rsid w:val="00DE5D6D"/>
    <w:rsid w:val="00E04818"/>
    <w:rsid w:val="00E06442"/>
    <w:rsid w:val="00E17E7B"/>
    <w:rsid w:val="00E23993"/>
    <w:rsid w:val="00E25B8C"/>
    <w:rsid w:val="00E43C30"/>
    <w:rsid w:val="00E65C85"/>
    <w:rsid w:val="00E66199"/>
    <w:rsid w:val="00E755EC"/>
    <w:rsid w:val="00E7624D"/>
    <w:rsid w:val="00E97452"/>
    <w:rsid w:val="00EA3D42"/>
    <w:rsid w:val="00EA6B1B"/>
    <w:rsid w:val="00EC04F1"/>
    <w:rsid w:val="00ED2A57"/>
    <w:rsid w:val="00ED7323"/>
    <w:rsid w:val="00EE28F3"/>
    <w:rsid w:val="00EE50D1"/>
    <w:rsid w:val="00EF5110"/>
    <w:rsid w:val="00EF6D51"/>
    <w:rsid w:val="00F0689C"/>
    <w:rsid w:val="00F10411"/>
    <w:rsid w:val="00F15882"/>
    <w:rsid w:val="00F16455"/>
    <w:rsid w:val="00F171E0"/>
    <w:rsid w:val="00F20BD3"/>
    <w:rsid w:val="00F33D1C"/>
    <w:rsid w:val="00F373A5"/>
    <w:rsid w:val="00F44788"/>
    <w:rsid w:val="00F47559"/>
    <w:rsid w:val="00F64C7B"/>
    <w:rsid w:val="00F676DD"/>
    <w:rsid w:val="00F73143"/>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C1D69-E29A-462D-8DA0-15265B01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C3A4F1F1.dotm</Template>
  <TotalTime>0</TotalTime>
  <Pages>9</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AER final decision - AusNet Services - Pricing methodology</vt:lpstr>
    </vt:vector>
  </TitlesOfParts>
  <Company>ACCC</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Pricing methodology</dc:title>
  <dc:subject>[subtitle]</dc:subject>
  <dc:creator>AER</dc:creator>
  <cp:lastModifiedBy>Le Cornu, Matthew</cp:lastModifiedBy>
  <cp:revision>2</cp:revision>
  <cp:lastPrinted>2017-03-07T07:43:00Z</cp:lastPrinted>
  <dcterms:created xsi:type="dcterms:W3CDTF">2017-04-24T05:16:00Z</dcterms:created>
  <dcterms:modified xsi:type="dcterms:W3CDTF">2017-04-24T05:16:00Z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\\cdchnas-evs02\home$\mleco\3.6.5 aer - final decision ausnet services 2017-22 transmission determination - attachment 12 - pricing methodology - ap (AER2016-000055).docx</vt:lpwstr>
  </property>
</Properties>
</file>