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sdt>
      <w:sdtPr>
        <w:rPr>
          <w:rFonts w:eastAsiaTheme="majorEastAsia" w:cstheme="majorBidi"/>
          <w:noProof/>
          <w:sz w:val="36"/>
          <w:szCs w:val="36"/>
          <w:lang w:eastAsia="en-AU"/>
        </w:rPr>
        <w:id w:val="1021519724"/>
        <w:docPartObj>
          <w:docPartGallery w:val="Cover Pages"/>
          <w:docPartUnique/>
        </w:docPartObj>
      </w:sdtPr>
      <w:sdtEndPr/>
      <w:sdtContent>
        <w:p w:rsidR="000A6C7B" w:rsidRPr="00290C63" w:rsidRDefault="000A6C7B" w:rsidP="00290C63">
          <w:r w:rsidRPr="00290C63">
            <w:rPr>
              <w:noProof/>
              <w:lang w:eastAsia="en-AU"/>
            </w:rPr>
            <w:drawing>
              <wp:anchor distT="0" distB="0" distL="114300" distR="114300" simplePos="0" relativeHeight="251659264" behindDoc="1" locked="0" layoutInCell="1" allowOverlap="1" wp14:anchorId="3A40F681" wp14:editId="693D916C">
                <wp:simplePos x="0" y="0"/>
                <wp:positionH relativeFrom="column">
                  <wp:posOffset>-1104900</wp:posOffset>
                </wp:positionH>
                <wp:positionV relativeFrom="paragraph">
                  <wp:posOffset>-927735</wp:posOffset>
                </wp:positionV>
                <wp:extent cx="7591425" cy="10728960"/>
                <wp:effectExtent l="0" t="0" r="9525" b="0"/>
                <wp:wrapNone/>
                <wp:docPr id="2" name="Picture 2" descr="Australian Energy Regulator Report Cov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ER report front cover_D0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7591425" cy="10728960"/>
                        </a:xfrm>
                        <a:prstGeom prst="rect">
                          <a:avLst/>
                        </a:prstGeom>
                        <a:noFill/>
                      </pic:spPr>
                    </pic:pic>
                  </a:graphicData>
                </a:graphic>
                <wp14:sizeRelH relativeFrom="page">
                  <wp14:pctWidth>0</wp14:pctWidth>
                </wp14:sizeRelH>
                <wp14:sizeRelV relativeFrom="page">
                  <wp14:pctHeight>0</wp14:pctHeight>
                </wp14:sizeRelV>
              </wp:anchor>
            </w:drawing>
          </w:r>
        </w:p>
        <w:p w:rsidR="00F171E0" w:rsidRDefault="00F171E0" w:rsidP="00F171E0"/>
        <w:p w:rsidR="00F171E0" w:rsidRDefault="00F171E0" w:rsidP="00F171E0"/>
        <w:p w:rsidR="00F171E0" w:rsidRDefault="00F171E0" w:rsidP="00F171E0"/>
        <w:p w:rsidR="00F171E0" w:rsidRDefault="00F171E0" w:rsidP="00F171E0"/>
        <w:p w:rsidR="00F171E0" w:rsidRDefault="00F171E0" w:rsidP="00F171E0"/>
        <w:p w:rsidR="00F171E0" w:rsidRDefault="00F171E0" w:rsidP="00F171E0"/>
        <w:p w:rsidR="00F171E0" w:rsidRDefault="00F171E0" w:rsidP="00F171E0"/>
        <w:p w:rsidR="00F171E0" w:rsidRDefault="00F171E0" w:rsidP="00F171E0"/>
        <w:p w:rsidR="00327A1E" w:rsidRDefault="001754EE" w:rsidP="001754EE">
          <w:pPr>
            <w:pStyle w:val="ReportSubtitle"/>
            <w:tabs>
              <w:tab w:val="left" w:pos="1122"/>
              <w:tab w:val="center" w:pos="4238"/>
            </w:tabs>
            <w:jc w:val="left"/>
          </w:pPr>
          <w:r>
            <w:tab/>
          </w:r>
          <w:r>
            <w:tab/>
          </w:r>
          <w:r w:rsidR="00795B1D">
            <w:t>FINAL</w:t>
          </w:r>
          <w:r w:rsidR="00DA4752">
            <w:t xml:space="preserve"> DECISION</w:t>
          </w:r>
        </w:p>
        <w:p w:rsidR="00415F31" w:rsidRDefault="00B9733D" w:rsidP="008F07A3">
          <w:pPr>
            <w:pStyle w:val="ReportSubtitle"/>
          </w:pPr>
          <w:r>
            <w:t>AusNet Services</w:t>
          </w:r>
          <w:r w:rsidR="00415F31">
            <w:t xml:space="preserve"> transmission </w:t>
          </w:r>
          <w:r w:rsidR="00DA4752">
            <w:t>determination</w:t>
          </w:r>
        </w:p>
        <w:p w:rsidR="000A6C7B" w:rsidRDefault="00DA4752" w:rsidP="008F07A3">
          <w:pPr>
            <w:pStyle w:val="ReportSubtitle"/>
          </w:pPr>
          <w:r>
            <w:t xml:space="preserve"> </w:t>
          </w:r>
          <w:r w:rsidR="007A3C6A">
            <w:t xml:space="preserve">2017 </w:t>
          </w:r>
          <w:r w:rsidR="007A3C6A" w:rsidRPr="007A3C6A">
            <w:t>–</w:t>
          </w:r>
          <w:r w:rsidR="007A3C6A">
            <w:t xml:space="preserve"> 2022</w:t>
          </w:r>
        </w:p>
        <w:p w:rsidR="008F07A3" w:rsidRPr="000A6C7B" w:rsidRDefault="008F07A3" w:rsidP="008F07A3">
          <w:pPr>
            <w:pStyle w:val="ReportSubtitle"/>
          </w:pPr>
        </w:p>
        <w:p w:rsidR="000A6C7B" w:rsidRPr="000A6C7B" w:rsidRDefault="00DA4752" w:rsidP="008F07A3">
          <w:pPr>
            <w:pStyle w:val="ReportSubtitle"/>
          </w:pPr>
          <w:r>
            <w:t>Attachment 1</w:t>
          </w:r>
          <w:r w:rsidR="008C55FA">
            <w:t>3</w:t>
          </w:r>
          <w:r>
            <w:t xml:space="preserve"> </w:t>
          </w:r>
          <w:r w:rsidR="00415F31">
            <w:rPr>
              <w:rFonts w:cs="Arial"/>
            </w:rPr>
            <w:t>–</w:t>
          </w:r>
          <w:r>
            <w:t xml:space="preserve"> </w:t>
          </w:r>
          <w:r w:rsidR="008C55FA">
            <w:t>Pass through events</w:t>
          </w:r>
        </w:p>
        <w:p w:rsidR="00B9733D" w:rsidRDefault="00B9733D" w:rsidP="00327A1E">
          <w:pPr>
            <w:pStyle w:val="ReportDate"/>
          </w:pPr>
        </w:p>
        <w:p w:rsidR="000A6C7B" w:rsidRPr="00327A1E" w:rsidRDefault="009D7564" w:rsidP="00327A1E">
          <w:pPr>
            <w:pStyle w:val="ReportDate"/>
          </w:pPr>
          <w:r>
            <w:t>April 2017</w:t>
          </w:r>
        </w:p>
      </w:sdtContent>
    </w:sdt>
    <w:p w:rsidR="00327A1E" w:rsidRPr="00290C63" w:rsidRDefault="00327A1E" w:rsidP="00290C63">
      <w:r>
        <w:br w:type="page"/>
      </w:r>
    </w:p>
    <w:p w:rsidR="000A6C7B" w:rsidRDefault="008F07A3" w:rsidP="00961A4A">
      <w:pPr>
        <w:pStyle w:val="Copyright"/>
      </w:pPr>
      <w:r>
        <w:lastRenderedPageBreak/>
        <w:t>© Commonwealth of Australia 201</w:t>
      </w:r>
      <w:r w:rsidR="008652CC">
        <w:t>7</w:t>
      </w:r>
    </w:p>
    <w:p w:rsidR="000A6C7B" w:rsidRDefault="000A6C7B" w:rsidP="000A6C7B">
      <w:pPr>
        <w:pStyle w:val="Copyright"/>
      </w:pPr>
      <w:r>
        <w:t>This work is copyright. In addition to any use permitted under the Copyright Act 1968, all material contained within this work is provided under a Creative Commons Attributions 3.0 Australia licence, with the exception of:</w:t>
      </w:r>
    </w:p>
    <w:p w:rsidR="000A6C7B" w:rsidRPr="00983C25" w:rsidRDefault="000A6C7B" w:rsidP="00983C25">
      <w:pPr>
        <w:pStyle w:val="AERbulletlistfirststyle"/>
        <w:rPr>
          <w:sz w:val="20"/>
          <w:szCs w:val="20"/>
        </w:rPr>
      </w:pPr>
      <w:r w:rsidRPr="00FF5DCC">
        <w:rPr>
          <w:sz w:val="20"/>
          <w:szCs w:val="20"/>
        </w:rPr>
        <w:t xml:space="preserve">the </w:t>
      </w:r>
      <w:r w:rsidRPr="00983C25">
        <w:rPr>
          <w:sz w:val="20"/>
          <w:szCs w:val="20"/>
        </w:rPr>
        <w:t>Commonwealth Coat of Arms</w:t>
      </w:r>
    </w:p>
    <w:p w:rsidR="000A6C7B" w:rsidRPr="00983C25" w:rsidRDefault="000A6C7B" w:rsidP="00983C25">
      <w:pPr>
        <w:pStyle w:val="AERbulletlistfirststyle"/>
        <w:rPr>
          <w:sz w:val="20"/>
          <w:szCs w:val="20"/>
        </w:rPr>
      </w:pPr>
      <w:r w:rsidRPr="00983C25">
        <w:rPr>
          <w:sz w:val="20"/>
          <w:szCs w:val="20"/>
        </w:rPr>
        <w:t>the ACCC and AER logos</w:t>
      </w:r>
    </w:p>
    <w:p w:rsidR="000A6C7B" w:rsidRPr="00983C25" w:rsidRDefault="000A6C7B" w:rsidP="00983C25">
      <w:pPr>
        <w:pStyle w:val="AERbulletlistfirststyle"/>
        <w:rPr>
          <w:sz w:val="20"/>
        </w:rPr>
      </w:pPr>
      <w:r w:rsidRPr="00983C25">
        <w:rPr>
          <w:sz w:val="20"/>
        </w:rPr>
        <w:t>any illustration, diagram, photograph or graphic over which the Australian Competition and Consumer Commission does not hold copyright, but which may be part of or contained within this publication. The details of the relevant licence conditions are available on the Creative Commons website, as is the full legal code for the CC BY 3.0 AU licence.</w:t>
      </w:r>
    </w:p>
    <w:p w:rsidR="009D3906" w:rsidRDefault="000A6C7B" w:rsidP="000A6C7B">
      <w:pPr>
        <w:pStyle w:val="Copyright"/>
      </w:pPr>
      <w:r>
        <w:t>Requests and inquiries concerning reproduction and rights should be addressed to the</w:t>
      </w:r>
      <w:r w:rsidR="009D3906">
        <w:t>:</w:t>
      </w:r>
    </w:p>
    <w:p w:rsidR="009D3906" w:rsidRDefault="000A6C7B" w:rsidP="000A6C7B">
      <w:pPr>
        <w:pStyle w:val="Copyright"/>
      </w:pPr>
      <w:r>
        <w:t>Dir</w:t>
      </w:r>
      <w:r w:rsidR="009D3906">
        <w:t>ector, Corporate Communications</w:t>
      </w:r>
      <w:r w:rsidR="00983C25">
        <w:br/>
      </w:r>
      <w:r>
        <w:t>Australian Comp</w:t>
      </w:r>
      <w:r w:rsidR="009D3906">
        <w:t>etition and Consumer Commission</w:t>
      </w:r>
      <w:r>
        <w:t xml:space="preserve"> </w:t>
      </w:r>
      <w:r w:rsidR="00983C25">
        <w:br/>
      </w:r>
      <w:r>
        <w:t>GPO Box 4141, Canberra ACT 2601</w:t>
      </w:r>
    </w:p>
    <w:p w:rsidR="000A6C7B" w:rsidRDefault="000A6C7B" w:rsidP="000A6C7B">
      <w:pPr>
        <w:pStyle w:val="Copyright"/>
      </w:pPr>
      <w:r>
        <w:t>or publishing.unit@accc.gov.au.</w:t>
      </w:r>
    </w:p>
    <w:p w:rsidR="00951978" w:rsidRDefault="000A6C7B" w:rsidP="00961A4A">
      <w:pPr>
        <w:pStyle w:val="Copyright"/>
      </w:pPr>
      <w:r>
        <w:t>Inquiries about this publication should be addressed to:</w:t>
      </w:r>
    </w:p>
    <w:p w:rsidR="000A6C7B" w:rsidRDefault="000A6C7B" w:rsidP="000A6C7B">
      <w:pPr>
        <w:pStyle w:val="Copyright"/>
      </w:pPr>
      <w:r>
        <w:t xml:space="preserve">Australian Energy </w:t>
      </w:r>
      <w:r w:rsidRPr="00F171E0">
        <w:t>Regulator</w:t>
      </w:r>
      <w:r w:rsidR="00951978">
        <w:br/>
      </w:r>
      <w:r>
        <w:t>GPO Box 520</w:t>
      </w:r>
      <w:r w:rsidR="00951978">
        <w:br/>
      </w:r>
      <w:r>
        <w:t>Melbourne  Vic  3001</w:t>
      </w:r>
    </w:p>
    <w:p w:rsidR="000A6C7B" w:rsidRDefault="000A6C7B" w:rsidP="00961A4A">
      <w:pPr>
        <w:pStyle w:val="Copyright"/>
      </w:pPr>
      <w:r>
        <w:t xml:space="preserve">Tel: </w:t>
      </w:r>
      <w:r w:rsidR="00FF7590">
        <w:tab/>
        <w:t>1300 585 165</w:t>
      </w:r>
    </w:p>
    <w:p w:rsidR="00B9562D" w:rsidRDefault="000A6C7B" w:rsidP="00B9562D">
      <w:pPr>
        <w:pStyle w:val="Copyright"/>
      </w:pPr>
      <w:r>
        <w:t xml:space="preserve">Email: </w:t>
      </w:r>
      <w:hyperlink r:id="rId11" w:history="1">
        <w:r w:rsidRPr="00FF5DCC">
          <w:rPr>
            <w:rStyle w:val="Hyperlink"/>
            <w:sz w:val="20"/>
          </w:rPr>
          <w:t>AERInquiry@aer.gov.au</w:t>
        </w:r>
      </w:hyperlink>
      <w:r w:rsidR="00951978">
        <w:rPr>
          <w:rStyle w:val="Hyperlink"/>
        </w:rPr>
        <w:br/>
      </w:r>
    </w:p>
    <w:p w:rsidR="008F07A3" w:rsidRPr="009D3906" w:rsidRDefault="00415F31" w:rsidP="00B9562D">
      <w:pPr>
        <w:pStyle w:val="Copyright"/>
      </w:pPr>
      <w:r w:rsidRPr="009D3906">
        <w:t>AER reference:</w:t>
      </w:r>
      <w:r w:rsidRPr="009D3906">
        <w:tab/>
      </w:r>
      <w:r w:rsidR="008136FB">
        <w:t>56417</w:t>
      </w:r>
    </w:p>
    <w:p w:rsidR="009001B6" w:rsidRDefault="009001B6">
      <w:pPr>
        <w:spacing w:line="240" w:lineRule="auto"/>
      </w:pPr>
      <w:bookmarkStart w:id="0" w:name="_Toc404354899"/>
      <w:bookmarkStart w:id="1" w:name="_Toc404353070"/>
      <w:bookmarkStart w:id="2" w:name="_Toc404684201"/>
      <w:bookmarkStart w:id="3" w:name="_Toc404700923"/>
      <w:r>
        <w:br w:type="page"/>
      </w:r>
    </w:p>
    <w:p w:rsidR="008F07A3" w:rsidRDefault="00DA61F3" w:rsidP="00F365B3">
      <w:pPr>
        <w:pStyle w:val="UnnumberedHeading"/>
        <w:numPr>
          <w:ilvl w:val="0"/>
          <w:numId w:val="23"/>
        </w:numPr>
      </w:pPr>
      <w:bookmarkStart w:id="4" w:name="_Toc480810416"/>
      <w:r>
        <w:lastRenderedPageBreak/>
        <w:t>N</w:t>
      </w:r>
      <w:r w:rsidR="008F07A3">
        <w:t>ote</w:t>
      </w:r>
      <w:bookmarkEnd w:id="0"/>
      <w:bookmarkEnd w:id="1"/>
      <w:bookmarkEnd w:id="2"/>
      <w:bookmarkEnd w:id="3"/>
      <w:bookmarkEnd w:id="4"/>
    </w:p>
    <w:p w:rsidR="00415F31" w:rsidRDefault="00415F31" w:rsidP="00F365B3">
      <w:pPr>
        <w:numPr>
          <w:ilvl w:val="0"/>
          <w:numId w:val="24"/>
        </w:numPr>
        <w:spacing w:before="0" w:after="240" w:line="288" w:lineRule="auto"/>
        <w:jc w:val="both"/>
      </w:pPr>
    </w:p>
    <w:p w:rsidR="00415F31" w:rsidRDefault="008F07A3" w:rsidP="00F365B3">
      <w:pPr>
        <w:numPr>
          <w:ilvl w:val="0"/>
          <w:numId w:val="24"/>
        </w:numPr>
        <w:spacing w:before="0" w:after="240" w:line="288" w:lineRule="auto"/>
        <w:jc w:val="both"/>
      </w:pPr>
      <w:r>
        <w:t xml:space="preserve">This </w:t>
      </w:r>
      <w:r w:rsidR="00415F31">
        <w:t xml:space="preserve">attachment forms part of the AER's </w:t>
      </w:r>
      <w:r w:rsidR="00ED5749">
        <w:t>final</w:t>
      </w:r>
      <w:r w:rsidR="00415F31">
        <w:t xml:space="preserve"> decision on </w:t>
      </w:r>
      <w:r w:rsidR="000B321F">
        <w:t>AusNet Services’</w:t>
      </w:r>
      <w:r w:rsidR="00415F31">
        <w:t xml:space="preserve"> revenue proposal 201</w:t>
      </w:r>
      <w:r w:rsidR="000B321F">
        <w:t>7</w:t>
      </w:r>
      <w:r w:rsidR="00415F31" w:rsidRPr="00D904FA">
        <w:t>–</w:t>
      </w:r>
      <w:r w:rsidR="000B321F">
        <w:t>22</w:t>
      </w:r>
      <w:r w:rsidR="00415F31">
        <w:t xml:space="preserve">. It should be read with other parts of the </w:t>
      </w:r>
      <w:r w:rsidR="00ED5749">
        <w:t>final</w:t>
      </w:r>
      <w:r w:rsidR="00415F31">
        <w:t xml:space="preserve"> decision.</w:t>
      </w:r>
    </w:p>
    <w:p w:rsidR="00415F31" w:rsidRDefault="00415F31" w:rsidP="00F365B3">
      <w:pPr>
        <w:numPr>
          <w:ilvl w:val="0"/>
          <w:numId w:val="24"/>
        </w:numPr>
        <w:spacing w:before="0" w:after="240" w:line="288" w:lineRule="auto"/>
        <w:jc w:val="both"/>
      </w:pPr>
      <w:r>
        <w:t xml:space="preserve">The </w:t>
      </w:r>
      <w:r w:rsidR="00ED5749">
        <w:t>final</w:t>
      </w:r>
      <w:r>
        <w:t xml:space="preserve"> decision includes the following documents:</w:t>
      </w:r>
    </w:p>
    <w:p w:rsidR="00415F31" w:rsidRDefault="00415F31" w:rsidP="00F365B3">
      <w:pPr>
        <w:numPr>
          <w:ilvl w:val="0"/>
          <w:numId w:val="24"/>
        </w:numPr>
        <w:spacing w:before="0" w:after="240" w:line="288" w:lineRule="auto"/>
        <w:jc w:val="both"/>
      </w:pPr>
      <w:r>
        <w:t>Overview</w:t>
      </w:r>
    </w:p>
    <w:p w:rsidR="00415F31" w:rsidRDefault="00415F31" w:rsidP="00F365B3">
      <w:pPr>
        <w:numPr>
          <w:ilvl w:val="0"/>
          <w:numId w:val="24"/>
        </w:numPr>
        <w:spacing w:before="0" w:after="240" w:line="288" w:lineRule="auto"/>
        <w:jc w:val="both"/>
      </w:pPr>
      <w:r>
        <w:t>Attachment 1 – maximum allowed revenue</w:t>
      </w:r>
    </w:p>
    <w:p w:rsidR="00415F31" w:rsidRDefault="00415F31" w:rsidP="00F365B3">
      <w:pPr>
        <w:numPr>
          <w:ilvl w:val="0"/>
          <w:numId w:val="24"/>
        </w:numPr>
        <w:spacing w:before="0" w:after="240" w:line="288" w:lineRule="auto"/>
        <w:jc w:val="both"/>
      </w:pPr>
      <w:r>
        <w:t>Attachment 2 – regulatory asset base</w:t>
      </w:r>
    </w:p>
    <w:p w:rsidR="00415F31" w:rsidRDefault="00415F31" w:rsidP="00F365B3">
      <w:pPr>
        <w:numPr>
          <w:ilvl w:val="0"/>
          <w:numId w:val="24"/>
        </w:numPr>
        <w:spacing w:before="0" w:after="240" w:line="288" w:lineRule="auto"/>
        <w:jc w:val="both"/>
      </w:pPr>
      <w:r>
        <w:t>Attachment 3 – rate of return</w:t>
      </w:r>
    </w:p>
    <w:p w:rsidR="00415F31" w:rsidRDefault="00415F31" w:rsidP="00F365B3">
      <w:pPr>
        <w:numPr>
          <w:ilvl w:val="0"/>
          <w:numId w:val="24"/>
        </w:numPr>
        <w:spacing w:before="0" w:after="240" w:line="288" w:lineRule="auto"/>
        <w:jc w:val="both"/>
      </w:pPr>
      <w:r>
        <w:t>Attachment 4 – value of imputation credits</w:t>
      </w:r>
    </w:p>
    <w:p w:rsidR="00415F31" w:rsidRDefault="00415F31" w:rsidP="00F365B3">
      <w:pPr>
        <w:numPr>
          <w:ilvl w:val="0"/>
          <w:numId w:val="24"/>
        </w:numPr>
        <w:spacing w:before="0" w:after="240" w:line="288" w:lineRule="auto"/>
        <w:jc w:val="both"/>
      </w:pPr>
      <w:r>
        <w:t>Attachment 5 – regulatory depreciation</w:t>
      </w:r>
    </w:p>
    <w:p w:rsidR="00415F31" w:rsidRDefault="00415F31" w:rsidP="00F365B3">
      <w:pPr>
        <w:numPr>
          <w:ilvl w:val="0"/>
          <w:numId w:val="24"/>
        </w:numPr>
        <w:spacing w:before="0" w:after="240" w:line="288" w:lineRule="auto"/>
        <w:jc w:val="both"/>
      </w:pPr>
      <w:r>
        <w:t xml:space="preserve">Attachment 6 – capital expenditure </w:t>
      </w:r>
    </w:p>
    <w:p w:rsidR="00415F31" w:rsidRDefault="00415F31" w:rsidP="00F365B3">
      <w:pPr>
        <w:numPr>
          <w:ilvl w:val="0"/>
          <w:numId w:val="24"/>
        </w:numPr>
        <w:spacing w:before="0" w:after="240" w:line="288" w:lineRule="auto"/>
        <w:jc w:val="both"/>
      </w:pPr>
      <w:r>
        <w:t>Attachment 7 – operating expenditure</w:t>
      </w:r>
    </w:p>
    <w:p w:rsidR="00415F31" w:rsidRDefault="00415F31" w:rsidP="00F365B3">
      <w:pPr>
        <w:numPr>
          <w:ilvl w:val="0"/>
          <w:numId w:val="24"/>
        </w:numPr>
        <w:spacing w:before="0" w:after="240" w:line="288" w:lineRule="auto"/>
        <w:jc w:val="both"/>
      </w:pPr>
      <w:r>
        <w:t>Attachment 8 – corporate income tax</w:t>
      </w:r>
    </w:p>
    <w:p w:rsidR="00415F31" w:rsidRDefault="00415F31" w:rsidP="00F365B3">
      <w:pPr>
        <w:numPr>
          <w:ilvl w:val="0"/>
          <w:numId w:val="24"/>
        </w:numPr>
        <w:spacing w:before="0" w:after="240" w:line="288" w:lineRule="auto"/>
        <w:jc w:val="both"/>
      </w:pPr>
      <w:r>
        <w:t>Attachment 9 – efficiency benefit sharing scheme</w:t>
      </w:r>
    </w:p>
    <w:p w:rsidR="00415F31" w:rsidRDefault="00415F31" w:rsidP="00F365B3">
      <w:pPr>
        <w:numPr>
          <w:ilvl w:val="0"/>
          <w:numId w:val="24"/>
        </w:numPr>
        <w:spacing w:before="0" w:after="240" w:line="288" w:lineRule="auto"/>
        <w:jc w:val="both"/>
      </w:pPr>
      <w:r>
        <w:t>Attachment 10 – capital expenditure sharing scheme</w:t>
      </w:r>
    </w:p>
    <w:p w:rsidR="00415F31" w:rsidRDefault="00415F31" w:rsidP="00F365B3">
      <w:pPr>
        <w:numPr>
          <w:ilvl w:val="0"/>
          <w:numId w:val="24"/>
        </w:numPr>
        <w:spacing w:before="0" w:after="240" w:line="288" w:lineRule="auto"/>
        <w:jc w:val="both"/>
      </w:pPr>
      <w:r>
        <w:t>Attachment 11 – service target performance incentive scheme</w:t>
      </w:r>
    </w:p>
    <w:p w:rsidR="00415F31" w:rsidRPr="00D904FA" w:rsidRDefault="00415F31" w:rsidP="00F365B3">
      <w:pPr>
        <w:numPr>
          <w:ilvl w:val="0"/>
          <w:numId w:val="24"/>
        </w:numPr>
        <w:spacing w:before="0" w:after="240" w:line="288" w:lineRule="auto"/>
        <w:jc w:val="both"/>
      </w:pPr>
      <w:r>
        <w:t xml:space="preserve">Attachment 12 – </w:t>
      </w:r>
      <w:r w:rsidRPr="00D904FA">
        <w:t>pricing methodology</w:t>
      </w:r>
    </w:p>
    <w:p w:rsidR="00415F31" w:rsidRPr="00D904FA" w:rsidRDefault="00415F31" w:rsidP="00F365B3">
      <w:pPr>
        <w:numPr>
          <w:ilvl w:val="0"/>
          <w:numId w:val="24"/>
        </w:numPr>
        <w:spacing w:before="0" w:after="240" w:line="288" w:lineRule="auto"/>
        <w:jc w:val="both"/>
      </w:pPr>
      <w:r>
        <w:t xml:space="preserve">Attachment 13 </w:t>
      </w:r>
      <w:r w:rsidRPr="00D904FA">
        <w:t>– pass through events</w:t>
      </w:r>
    </w:p>
    <w:p w:rsidR="00415F31" w:rsidRDefault="00415F31" w:rsidP="00415F31">
      <w:r w:rsidRPr="00D904FA">
        <w:t>Attachment 14 – negotiated services</w:t>
      </w:r>
    </w:p>
    <w:p w:rsidR="008F07A3" w:rsidRPr="008F07A3" w:rsidRDefault="008F07A3" w:rsidP="00F365B3">
      <w:pPr>
        <w:numPr>
          <w:ilvl w:val="0"/>
          <w:numId w:val="24"/>
        </w:numPr>
        <w:sectPr w:rsidR="008F07A3" w:rsidRPr="008F07A3" w:rsidSect="001754EE">
          <w:footerReference w:type="even" r:id="rId12"/>
          <w:footerReference w:type="default" r:id="rId13"/>
          <w:footerReference w:type="first" r:id="rId14"/>
          <w:pgSz w:w="11906" w:h="16838" w:code="9"/>
          <w:pgMar w:top="1440" w:right="1700" w:bottom="1582" w:left="1729" w:header="720" w:footer="0" w:gutter="0"/>
          <w:pgNumType w:start="0" w:chapStyle="1"/>
          <w:cols w:space="720"/>
          <w:docGrid w:linePitch="326"/>
        </w:sectPr>
      </w:pPr>
    </w:p>
    <w:p w:rsidR="00DE563D" w:rsidRPr="00A72B34" w:rsidRDefault="00DE563D" w:rsidP="00F365B3">
      <w:pPr>
        <w:pStyle w:val="UnnumberedHeading"/>
        <w:numPr>
          <w:ilvl w:val="0"/>
          <w:numId w:val="23"/>
        </w:numPr>
      </w:pPr>
      <w:bookmarkStart w:id="5" w:name="_Toc403144133"/>
      <w:bookmarkStart w:id="6" w:name="_Toc480810417"/>
      <w:r>
        <w:lastRenderedPageBreak/>
        <w:t>Contents</w:t>
      </w:r>
      <w:bookmarkEnd w:id="5"/>
      <w:bookmarkEnd w:id="6"/>
    </w:p>
    <w:p w:rsidR="005D7BA2" w:rsidRDefault="005D7BA2">
      <w:pPr>
        <w:spacing w:line="240" w:lineRule="auto"/>
      </w:pPr>
    </w:p>
    <w:sdt>
      <w:sdtPr>
        <w:rPr>
          <w:b w:val="0"/>
          <w:noProof w:val="0"/>
          <w:color w:val="auto"/>
          <w:sz w:val="22"/>
          <w:lang w:val="en-AU" w:eastAsia="en-US"/>
        </w:rPr>
        <w:id w:val="1269200322"/>
        <w:docPartObj>
          <w:docPartGallery w:val="Table of Contents"/>
          <w:docPartUnique/>
        </w:docPartObj>
      </w:sdtPr>
      <w:sdtEndPr/>
      <w:sdtContent>
        <w:bookmarkStart w:id="7" w:name="_GoBack" w:displacedByCustomXml="prev"/>
        <w:bookmarkEnd w:id="7" w:displacedByCustomXml="prev"/>
        <w:p w:rsidR="00FF5DCC" w:rsidRDefault="00DE563D">
          <w:pPr>
            <w:pStyle w:val="TOC1"/>
            <w:rPr>
              <w:rFonts w:asciiTheme="minorHAnsi" w:eastAsiaTheme="minorEastAsia" w:hAnsiTheme="minorHAnsi"/>
              <w:b w:val="0"/>
              <w:color w:val="auto"/>
              <w:sz w:val="22"/>
              <w:lang w:val="en-AU" w:eastAsia="en-AU"/>
            </w:rPr>
          </w:pPr>
          <w:r>
            <w:rPr>
              <w:color w:val="auto"/>
              <w:sz w:val="22"/>
            </w:rPr>
            <w:fldChar w:fldCharType="begin"/>
          </w:r>
          <w:r>
            <w:instrText xml:space="preserve"> TOC \o \h \z \u </w:instrText>
          </w:r>
          <w:r>
            <w:rPr>
              <w:color w:val="auto"/>
              <w:sz w:val="22"/>
            </w:rPr>
            <w:fldChar w:fldCharType="separate"/>
          </w:r>
          <w:hyperlink w:anchor="_Toc480810416" w:history="1">
            <w:r w:rsidR="00FF5DCC" w:rsidRPr="003139C6">
              <w:rPr>
                <w:rStyle w:val="Hyperlink"/>
              </w:rPr>
              <w:t>Note</w:t>
            </w:r>
            <w:r w:rsidR="00FF5DCC">
              <w:rPr>
                <w:webHidden/>
              </w:rPr>
              <w:tab/>
            </w:r>
            <w:r w:rsidR="00FF5DCC">
              <w:rPr>
                <w:webHidden/>
              </w:rPr>
              <w:fldChar w:fldCharType="begin"/>
            </w:r>
            <w:r w:rsidR="00FF5DCC">
              <w:rPr>
                <w:webHidden/>
              </w:rPr>
              <w:instrText xml:space="preserve"> PAGEREF _Toc480810416 \h </w:instrText>
            </w:r>
            <w:r w:rsidR="00FF5DCC">
              <w:rPr>
                <w:webHidden/>
              </w:rPr>
            </w:r>
            <w:r w:rsidR="00FF5DCC">
              <w:rPr>
                <w:webHidden/>
              </w:rPr>
              <w:fldChar w:fldCharType="separate"/>
            </w:r>
            <w:r w:rsidR="00FF5DCC">
              <w:rPr>
                <w:webHidden/>
              </w:rPr>
              <w:t>13-2</w:t>
            </w:r>
            <w:r w:rsidR="00FF5DCC">
              <w:rPr>
                <w:webHidden/>
              </w:rPr>
              <w:fldChar w:fldCharType="end"/>
            </w:r>
          </w:hyperlink>
        </w:p>
        <w:p w:rsidR="00FF5DCC" w:rsidRDefault="00495C21">
          <w:pPr>
            <w:pStyle w:val="TOC1"/>
            <w:rPr>
              <w:rFonts w:asciiTheme="minorHAnsi" w:eastAsiaTheme="minorEastAsia" w:hAnsiTheme="minorHAnsi"/>
              <w:b w:val="0"/>
              <w:color w:val="auto"/>
              <w:sz w:val="22"/>
              <w:lang w:val="en-AU" w:eastAsia="en-AU"/>
            </w:rPr>
          </w:pPr>
          <w:hyperlink w:anchor="_Toc480810417" w:history="1">
            <w:r w:rsidR="00FF5DCC" w:rsidRPr="003139C6">
              <w:rPr>
                <w:rStyle w:val="Hyperlink"/>
              </w:rPr>
              <w:t>Contents</w:t>
            </w:r>
            <w:r w:rsidR="00FF5DCC">
              <w:rPr>
                <w:webHidden/>
              </w:rPr>
              <w:tab/>
            </w:r>
            <w:r w:rsidR="00FF5DCC">
              <w:rPr>
                <w:webHidden/>
              </w:rPr>
              <w:fldChar w:fldCharType="begin"/>
            </w:r>
            <w:r w:rsidR="00FF5DCC">
              <w:rPr>
                <w:webHidden/>
              </w:rPr>
              <w:instrText xml:space="preserve"> PAGEREF _Toc480810417 \h </w:instrText>
            </w:r>
            <w:r w:rsidR="00FF5DCC">
              <w:rPr>
                <w:webHidden/>
              </w:rPr>
            </w:r>
            <w:r w:rsidR="00FF5DCC">
              <w:rPr>
                <w:webHidden/>
              </w:rPr>
              <w:fldChar w:fldCharType="separate"/>
            </w:r>
            <w:r w:rsidR="00FF5DCC">
              <w:rPr>
                <w:webHidden/>
              </w:rPr>
              <w:t>13-3</w:t>
            </w:r>
            <w:r w:rsidR="00FF5DCC">
              <w:rPr>
                <w:webHidden/>
              </w:rPr>
              <w:fldChar w:fldCharType="end"/>
            </w:r>
          </w:hyperlink>
        </w:p>
        <w:p w:rsidR="00FF5DCC" w:rsidRDefault="00495C21">
          <w:pPr>
            <w:pStyle w:val="TOC1"/>
            <w:rPr>
              <w:rFonts w:asciiTheme="minorHAnsi" w:eastAsiaTheme="minorEastAsia" w:hAnsiTheme="minorHAnsi"/>
              <w:b w:val="0"/>
              <w:color w:val="auto"/>
              <w:sz w:val="22"/>
              <w:lang w:val="en-AU" w:eastAsia="en-AU"/>
            </w:rPr>
          </w:pPr>
          <w:hyperlink w:anchor="_Toc480810418" w:history="1">
            <w:r w:rsidR="00FF5DCC" w:rsidRPr="003139C6">
              <w:rPr>
                <w:rStyle w:val="Hyperlink"/>
              </w:rPr>
              <w:t>Shortened forms</w:t>
            </w:r>
            <w:r w:rsidR="00FF5DCC">
              <w:rPr>
                <w:webHidden/>
              </w:rPr>
              <w:tab/>
            </w:r>
            <w:r w:rsidR="00FF5DCC">
              <w:rPr>
                <w:webHidden/>
              </w:rPr>
              <w:fldChar w:fldCharType="begin"/>
            </w:r>
            <w:r w:rsidR="00FF5DCC">
              <w:rPr>
                <w:webHidden/>
              </w:rPr>
              <w:instrText xml:space="preserve"> PAGEREF _Toc480810418 \h </w:instrText>
            </w:r>
            <w:r w:rsidR="00FF5DCC">
              <w:rPr>
                <w:webHidden/>
              </w:rPr>
            </w:r>
            <w:r w:rsidR="00FF5DCC">
              <w:rPr>
                <w:webHidden/>
              </w:rPr>
              <w:fldChar w:fldCharType="separate"/>
            </w:r>
            <w:r w:rsidR="00FF5DCC">
              <w:rPr>
                <w:webHidden/>
              </w:rPr>
              <w:t>13-4</w:t>
            </w:r>
            <w:r w:rsidR="00FF5DCC">
              <w:rPr>
                <w:webHidden/>
              </w:rPr>
              <w:fldChar w:fldCharType="end"/>
            </w:r>
          </w:hyperlink>
        </w:p>
        <w:p w:rsidR="00FF5DCC" w:rsidRDefault="00495C21">
          <w:pPr>
            <w:pStyle w:val="TOC1"/>
            <w:rPr>
              <w:rFonts w:asciiTheme="minorHAnsi" w:eastAsiaTheme="minorEastAsia" w:hAnsiTheme="minorHAnsi"/>
              <w:b w:val="0"/>
              <w:color w:val="auto"/>
              <w:sz w:val="22"/>
              <w:lang w:val="en-AU" w:eastAsia="en-AU"/>
            </w:rPr>
          </w:pPr>
          <w:hyperlink w:anchor="_Toc480810419" w:history="1">
            <w:r w:rsidR="00FF5DCC" w:rsidRPr="003139C6">
              <w:rPr>
                <w:rStyle w:val="Hyperlink"/>
              </w:rPr>
              <w:t>13</w:t>
            </w:r>
            <w:r w:rsidR="00FF5DCC">
              <w:rPr>
                <w:rFonts w:asciiTheme="minorHAnsi" w:eastAsiaTheme="minorEastAsia" w:hAnsiTheme="minorHAnsi"/>
                <w:b w:val="0"/>
                <w:color w:val="auto"/>
                <w:sz w:val="22"/>
                <w:lang w:val="en-AU" w:eastAsia="en-AU"/>
              </w:rPr>
              <w:tab/>
            </w:r>
            <w:r w:rsidR="00FF5DCC" w:rsidRPr="003139C6">
              <w:rPr>
                <w:rStyle w:val="Hyperlink"/>
              </w:rPr>
              <w:t>Pass through events</w:t>
            </w:r>
            <w:r w:rsidR="00FF5DCC">
              <w:rPr>
                <w:webHidden/>
              </w:rPr>
              <w:tab/>
            </w:r>
            <w:r w:rsidR="00FF5DCC">
              <w:rPr>
                <w:webHidden/>
              </w:rPr>
              <w:fldChar w:fldCharType="begin"/>
            </w:r>
            <w:r w:rsidR="00FF5DCC">
              <w:rPr>
                <w:webHidden/>
              </w:rPr>
              <w:instrText xml:space="preserve"> PAGEREF _Toc480810419 \h </w:instrText>
            </w:r>
            <w:r w:rsidR="00FF5DCC">
              <w:rPr>
                <w:webHidden/>
              </w:rPr>
            </w:r>
            <w:r w:rsidR="00FF5DCC">
              <w:rPr>
                <w:webHidden/>
              </w:rPr>
              <w:fldChar w:fldCharType="separate"/>
            </w:r>
            <w:r w:rsidR="00FF5DCC">
              <w:rPr>
                <w:webHidden/>
              </w:rPr>
              <w:t>13-6</w:t>
            </w:r>
            <w:r w:rsidR="00FF5DCC">
              <w:rPr>
                <w:webHidden/>
              </w:rPr>
              <w:fldChar w:fldCharType="end"/>
            </w:r>
          </w:hyperlink>
        </w:p>
        <w:p w:rsidR="00FF5DCC" w:rsidRDefault="00495C21">
          <w:pPr>
            <w:pStyle w:val="TOC2"/>
            <w:tabs>
              <w:tab w:val="left" w:pos="1276"/>
            </w:tabs>
            <w:rPr>
              <w:rFonts w:asciiTheme="minorHAnsi" w:eastAsiaTheme="minorEastAsia" w:hAnsiTheme="minorHAnsi"/>
              <w:b w:val="0"/>
              <w:color w:val="auto"/>
              <w:sz w:val="22"/>
              <w:lang w:eastAsia="en-AU"/>
            </w:rPr>
          </w:pPr>
          <w:hyperlink w:anchor="_Toc480810420" w:history="1">
            <w:r w:rsidR="00FF5DCC" w:rsidRPr="003139C6">
              <w:rPr>
                <w:rStyle w:val="Hyperlink"/>
              </w:rPr>
              <w:t>13.1</w:t>
            </w:r>
            <w:r w:rsidR="00FF5DCC">
              <w:rPr>
                <w:rFonts w:asciiTheme="minorHAnsi" w:eastAsiaTheme="minorEastAsia" w:hAnsiTheme="minorHAnsi"/>
                <w:b w:val="0"/>
                <w:color w:val="auto"/>
                <w:sz w:val="22"/>
                <w:lang w:eastAsia="en-AU"/>
              </w:rPr>
              <w:tab/>
            </w:r>
            <w:r w:rsidR="00FF5DCC" w:rsidRPr="003139C6">
              <w:rPr>
                <w:rStyle w:val="Hyperlink"/>
              </w:rPr>
              <w:t>Final decision</w:t>
            </w:r>
            <w:r w:rsidR="00FF5DCC">
              <w:rPr>
                <w:webHidden/>
              </w:rPr>
              <w:tab/>
            </w:r>
            <w:r w:rsidR="00FF5DCC">
              <w:rPr>
                <w:webHidden/>
              </w:rPr>
              <w:fldChar w:fldCharType="begin"/>
            </w:r>
            <w:r w:rsidR="00FF5DCC">
              <w:rPr>
                <w:webHidden/>
              </w:rPr>
              <w:instrText xml:space="preserve"> PAGEREF _Toc480810420 \h </w:instrText>
            </w:r>
            <w:r w:rsidR="00FF5DCC">
              <w:rPr>
                <w:webHidden/>
              </w:rPr>
            </w:r>
            <w:r w:rsidR="00FF5DCC">
              <w:rPr>
                <w:webHidden/>
              </w:rPr>
              <w:fldChar w:fldCharType="separate"/>
            </w:r>
            <w:r w:rsidR="00FF5DCC">
              <w:rPr>
                <w:webHidden/>
              </w:rPr>
              <w:t>13-6</w:t>
            </w:r>
            <w:r w:rsidR="00FF5DCC">
              <w:rPr>
                <w:webHidden/>
              </w:rPr>
              <w:fldChar w:fldCharType="end"/>
            </w:r>
          </w:hyperlink>
        </w:p>
        <w:p w:rsidR="00FF5DCC" w:rsidRDefault="00495C21">
          <w:pPr>
            <w:pStyle w:val="TOC2"/>
            <w:tabs>
              <w:tab w:val="left" w:pos="1276"/>
            </w:tabs>
            <w:rPr>
              <w:rFonts w:asciiTheme="minorHAnsi" w:eastAsiaTheme="minorEastAsia" w:hAnsiTheme="minorHAnsi"/>
              <w:b w:val="0"/>
              <w:color w:val="auto"/>
              <w:sz w:val="22"/>
              <w:lang w:eastAsia="en-AU"/>
            </w:rPr>
          </w:pPr>
          <w:hyperlink w:anchor="_Toc480810421" w:history="1">
            <w:r w:rsidR="00FF5DCC" w:rsidRPr="003139C6">
              <w:rPr>
                <w:rStyle w:val="Hyperlink"/>
              </w:rPr>
              <w:t>13.2</w:t>
            </w:r>
            <w:r w:rsidR="00FF5DCC">
              <w:rPr>
                <w:rFonts w:asciiTheme="minorHAnsi" w:eastAsiaTheme="minorEastAsia" w:hAnsiTheme="minorHAnsi"/>
                <w:b w:val="0"/>
                <w:color w:val="auto"/>
                <w:sz w:val="22"/>
                <w:lang w:eastAsia="en-AU"/>
              </w:rPr>
              <w:tab/>
            </w:r>
            <w:r w:rsidR="00FF5DCC" w:rsidRPr="003139C6">
              <w:rPr>
                <w:rStyle w:val="Hyperlink"/>
              </w:rPr>
              <w:t>AusNet Services' revised proposal</w:t>
            </w:r>
            <w:r w:rsidR="00FF5DCC">
              <w:rPr>
                <w:webHidden/>
              </w:rPr>
              <w:tab/>
            </w:r>
            <w:r w:rsidR="00FF5DCC">
              <w:rPr>
                <w:webHidden/>
              </w:rPr>
              <w:fldChar w:fldCharType="begin"/>
            </w:r>
            <w:r w:rsidR="00FF5DCC">
              <w:rPr>
                <w:webHidden/>
              </w:rPr>
              <w:instrText xml:space="preserve"> PAGEREF _Toc480810421 \h </w:instrText>
            </w:r>
            <w:r w:rsidR="00FF5DCC">
              <w:rPr>
                <w:webHidden/>
              </w:rPr>
            </w:r>
            <w:r w:rsidR="00FF5DCC">
              <w:rPr>
                <w:webHidden/>
              </w:rPr>
              <w:fldChar w:fldCharType="separate"/>
            </w:r>
            <w:r w:rsidR="00FF5DCC">
              <w:rPr>
                <w:webHidden/>
              </w:rPr>
              <w:t>13-8</w:t>
            </w:r>
            <w:r w:rsidR="00FF5DCC">
              <w:rPr>
                <w:webHidden/>
              </w:rPr>
              <w:fldChar w:fldCharType="end"/>
            </w:r>
          </w:hyperlink>
        </w:p>
        <w:p w:rsidR="00FF5DCC" w:rsidRDefault="00495C21">
          <w:pPr>
            <w:pStyle w:val="TOC2"/>
            <w:tabs>
              <w:tab w:val="left" w:pos="1276"/>
            </w:tabs>
            <w:rPr>
              <w:rFonts w:asciiTheme="minorHAnsi" w:eastAsiaTheme="minorEastAsia" w:hAnsiTheme="minorHAnsi"/>
              <w:b w:val="0"/>
              <w:color w:val="auto"/>
              <w:sz w:val="22"/>
              <w:lang w:eastAsia="en-AU"/>
            </w:rPr>
          </w:pPr>
          <w:hyperlink w:anchor="_Toc480810422" w:history="1">
            <w:r w:rsidR="00FF5DCC" w:rsidRPr="003139C6">
              <w:rPr>
                <w:rStyle w:val="Hyperlink"/>
              </w:rPr>
              <w:t>13.3</w:t>
            </w:r>
            <w:r w:rsidR="00FF5DCC">
              <w:rPr>
                <w:rFonts w:asciiTheme="minorHAnsi" w:eastAsiaTheme="minorEastAsia" w:hAnsiTheme="minorHAnsi"/>
                <w:b w:val="0"/>
                <w:color w:val="auto"/>
                <w:sz w:val="22"/>
                <w:lang w:eastAsia="en-AU"/>
              </w:rPr>
              <w:tab/>
            </w:r>
            <w:r w:rsidR="00FF5DCC" w:rsidRPr="003139C6">
              <w:rPr>
                <w:rStyle w:val="Hyperlink"/>
              </w:rPr>
              <w:t>AER’s assessment approach</w:t>
            </w:r>
            <w:r w:rsidR="00FF5DCC">
              <w:rPr>
                <w:webHidden/>
              </w:rPr>
              <w:tab/>
            </w:r>
            <w:r w:rsidR="00FF5DCC">
              <w:rPr>
                <w:webHidden/>
              </w:rPr>
              <w:fldChar w:fldCharType="begin"/>
            </w:r>
            <w:r w:rsidR="00FF5DCC">
              <w:rPr>
                <w:webHidden/>
              </w:rPr>
              <w:instrText xml:space="preserve"> PAGEREF _Toc480810422 \h </w:instrText>
            </w:r>
            <w:r w:rsidR="00FF5DCC">
              <w:rPr>
                <w:webHidden/>
              </w:rPr>
            </w:r>
            <w:r w:rsidR="00FF5DCC">
              <w:rPr>
                <w:webHidden/>
              </w:rPr>
              <w:fldChar w:fldCharType="separate"/>
            </w:r>
            <w:r w:rsidR="00FF5DCC">
              <w:rPr>
                <w:webHidden/>
              </w:rPr>
              <w:t>13-9</w:t>
            </w:r>
            <w:r w:rsidR="00FF5DCC">
              <w:rPr>
                <w:webHidden/>
              </w:rPr>
              <w:fldChar w:fldCharType="end"/>
            </w:r>
          </w:hyperlink>
        </w:p>
        <w:p w:rsidR="00FF5DCC" w:rsidRDefault="00495C21">
          <w:pPr>
            <w:pStyle w:val="TOC3"/>
            <w:rPr>
              <w:rFonts w:asciiTheme="minorHAnsi" w:eastAsiaTheme="minorEastAsia" w:hAnsiTheme="minorHAnsi"/>
              <w:lang w:eastAsia="en-AU"/>
            </w:rPr>
          </w:pPr>
          <w:hyperlink w:anchor="_Toc480810423" w:history="1">
            <w:r w:rsidR="00FF5DCC" w:rsidRPr="003139C6">
              <w:rPr>
                <w:rStyle w:val="Hyperlink"/>
              </w:rPr>
              <w:t>13.3.1</w:t>
            </w:r>
            <w:r w:rsidR="00FF5DCC">
              <w:rPr>
                <w:rFonts w:asciiTheme="minorHAnsi" w:eastAsiaTheme="minorEastAsia" w:hAnsiTheme="minorHAnsi"/>
                <w:lang w:eastAsia="en-AU"/>
              </w:rPr>
              <w:tab/>
            </w:r>
            <w:r w:rsidR="00FF5DCC" w:rsidRPr="003139C6">
              <w:rPr>
                <w:rStyle w:val="Hyperlink"/>
              </w:rPr>
              <w:t>Interrelationships</w:t>
            </w:r>
            <w:r w:rsidR="00FF5DCC">
              <w:rPr>
                <w:webHidden/>
              </w:rPr>
              <w:tab/>
            </w:r>
            <w:r w:rsidR="00FF5DCC">
              <w:rPr>
                <w:webHidden/>
              </w:rPr>
              <w:fldChar w:fldCharType="begin"/>
            </w:r>
            <w:r w:rsidR="00FF5DCC">
              <w:rPr>
                <w:webHidden/>
              </w:rPr>
              <w:instrText xml:space="preserve"> PAGEREF _Toc480810423 \h </w:instrText>
            </w:r>
            <w:r w:rsidR="00FF5DCC">
              <w:rPr>
                <w:webHidden/>
              </w:rPr>
            </w:r>
            <w:r w:rsidR="00FF5DCC">
              <w:rPr>
                <w:webHidden/>
              </w:rPr>
              <w:fldChar w:fldCharType="separate"/>
            </w:r>
            <w:r w:rsidR="00FF5DCC">
              <w:rPr>
                <w:webHidden/>
              </w:rPr>
              <w:t>13-11</w:t>
            </w:r>
            <w:r w:rsidR="00FF5DCC">
              <w:rPr>
                <w:webHidden/>
              </w:rPr>
              <w:fldChar w:fldCharType="end"/>
            </w:r>
          </w:hyperlink>
        </w:p>
        <w:p w:rsidR="00FF5DCC" w:rsidRDefault="00495C21">
          <w:pPr>
            <w:pStyle w:val="TOC2"/>
            <w:tabs>
              <w:tab w:val="left" w:pos="1276"/>
            </w:tabs>
            <w:rPr>
              <w:rFonts w:asciiTheme="minorHAnsi" w:eastAsiaTheme="minorEastAsia" w:hAnsiTheme="minorHAnsi"/>
              <w:b w:val="0"/>
              <w:color w:val="auto"/>
              <w:sz w:val="22"/>
              <w:lang w:eastAsia="en-AU"/>
            </w:rPr>
          </w:pPr>
          <w:hyperlink w:anchor="_Toc480810424" w:history="1">
            <w:r w:rsidR="00FF5DCC" w:rsidRPr="003139C6">
              <w:rPr>
                <w:rStyle w:val="Hyperlink"/>
              </w:rPr>
              <w:t>13.4</w:t>
            </w:r>
            <w:r w:rsidR="00FF5DCC">
              <w:rPr>
                <w:rFonts w:asciiTheme="minorHAnsi" w:eastAsiaTheme="minorEastAsia" w:hAnsiTheme="minorHAnsi"/>
                <w:b w:val="0"/>
                <w:color w:val="auto"/>
                <w:sz w:val="22"/>
                <w:lang w:eastAsia="en-AU"/>
              </w:rPr>
              <w:tab/>
            </w:r>
            <w:r w:rsidR="00FF5DCC" w:rsidRPr="003139C6">
              <w:rPr>
                <w:rStyle w:val="Hyperlink"/>
              </w:rPr>
              <w:t>Reasons for final decision</w:t>
            </w:r>
            <w:r w:rsidR="00FF5DCC">
              <w:rPr>
                <w:webHidden/>
              </w:rPr>
              <w:tab/>
            </w:r>
            <w:r w:rsidR="00FF5DCC">
              <w:rPr>
                <w:webHidden/>
              </w:rPr>
              <w:fldChar w:fldCharType="begin"/>
            </w:r>
            <w:r w:rsidR="00FF5DCC">
              <w:rPr>
                <w:webHidden/>
              </w:rPr>
              <w:instrText xml:space="preserve"> PAGEREF _Toc480810424 \h </w:instrText>
            </w:r>
            <w:r w:rsidR="00FF5DCC">
              <w:rPr>
                <w:webHidden/>
              </w:rPr>
            </w:r>
            <w:r w:rsidR="00FF5DCC">
              <w:rPr>
                <w:webHidden/>
              </w:rPr>
              <w:fldChar w:fldCharType="separate"/>
            </w:r>
            <w:r w:rsidR="00FF5DCC">
              <w:rPr>
                <w:webHidden/>
              </w:rPr>
              <w:t>13-12</w:t>
            </w:r>
            <w:r w:rsidR="00FF5DCC">
              <w:rPr>
                <w:webHidden/>
              </w:rPr>
              <w:fldChar w:fldCharType="end"/>
            </w:r>
          </w:hyperlink>
        </w:p>
        <w:p w:rsidR="00FF5DCC" w:rsidRDefault="00495C21">
          <w:pPr>
            <w:pStyle w:val="TOC3"/>
            <w:rPr>
              <w:rFonts w:asciiTheme="minorHAnsi" w:eastAsiaTheme="minorEastAsia" w:hAnsiTheme="minorHAnsi"/>
              <w:lang w:eastAsia="en-AU"/>
            </w:rPr>
          </w:pPr>
          <w:hyperlink w:anchor="_Toc480810425" w:history="1">
            <w:r w:rsidR="00FF5DCC" w:rsidRPr="003139C6">
              <w:rPr>
                <w:rStyle w:val="Hyperlink"/>
              </w:rPr>
              <w:t>13.4.1</w:t>
            </w:r>
            <w:r w:rsidR="00FF5DCC">
              <w:rPr>
                <w:rFonts w:asciiTheme="minorHAnsi" w:eastAsiaTheme="minorEastAsia" w:hAnsiTheme="minorHAnsi"/>
                <w:lang w:eastAsia="en-AU"/>
              </w:rPr>
              <w:tab/>
            </w:r>
            <w:r w:rsidR="00FF5DCC" w:rsidRPr="003139C6">
              <w:rPr>
                <w:rStyle w:val="Hyperlink"/>
              </w:rPr>
              <w:t>Terrorism event, insurance cap event, natural disaster event and insurer credit risk event</w:t>
            </w:r>
            <w:r w:rsidR="00FF5DCC">
              <w:rPr>
                <w:webHidden/>
              </w:rPr>
              <w:tab/>
            </w:r>
            <w:r w:rsidR="00FF5DCC">
              <w:rPr>
                <w:webHidden/>
              </w:rPr>
              <w:fldChar w:fldCharType="begin"/>
            </w:r>
            <w:r w:rsidR="00FF5DCC">
              <w:rPr>
                <w:webHidden/>
              </w:rPr>
              <w:instrText xml:space="preserve"> PAGEREF _Toc480810425 \h </w:instrText>
            </w:r>
            <w:r w:rsidR="00FF5DCC">
              <w:rPr>
                <w:webHidden/>
              </w:rPr>
            </w:r>
            <w:r w:rsidR="00FF5DCC">
              <w:rPr>
                <w:webHidden/>
              </w:rPr>
              <w:fldChar w:fldCharType="separate"/>
            </w:r>
            <w:r w:rsidR="00FF5DCC">
              <w:rPr>
                <w:webHidden/>
              </w:rPr>
              <w:t>13-12</w:t>
            </w:r>
            <w:r w:rsidR="00FF5DCC">
              <w:rPr>
                <w:webHidden/>
              </w:rPr>
              <w:fldChar w:fldCharType="end"/>
            </w:r>
          </w:hyperlink>
        </w:p>
        <w:p w:rsidR="00FF5DCC" w:rsidRDefault="00495C21">
          <w:pPr>
            <w:pStyle w:val="TOC3"/>
            <w:rPr>
              <w:rFonts w:asciiTheme="minorHAnsi" w:eastAsiaTheme="minorEastAsia" w:hAnsiTheme="minorHAnsi"/>
              <w:lang w:eastAsia="en-AU"/>
            </w:rPr>
          </w:pPr>
          <w:hyperlink w:anchor="_Toc480810426" w:history="1">
            <w:r w:rsidR="00FF5DCC" w:rsidRPr="003139C6">
              <w:rPr>
                <w:rStyle w:val="Hyperlink"/>
              </w:rPr>
              <w:t>13.4.2</w:t>
            </w:r>
            <w:r w:rsidR="00FF5DCC">
              <w:rPr>
                <w:rFonts w:asciiTheme="minorHAnsi" w:eastAsiaTheme="minorEastAsia" w:hAnsiTheme="minorHAnsi"/>
                <w:lang w:eastAsia="en-AU"/>
              </w:rPr>
              <w:tab/>
            </w:r>
            <w:r w:rsidR="00FF5DCC" w:rsidRPr="003139C6">
              <w:rPr>
                <w:rStyle w:val="Hyperlink"/>
              </w:rPr>
              <w:t>Decommissioning of Point Henry - Geelong Terminal Station 220kV Lines Event</w:t>
            </w:r>
            <w:r w:rsidR="00FF5DCC">
              <w:rPr>
                <w:webHidden/>
              </w:rPr>
              <w:tab/>
            </w:r>
            <w:r w:rsidR="00FF5DCC">
              <w:rPr>
                <w:webHidden/>
              </w:rPr>
              <w:fldChar w:fldCharType="begin"/>
            </w:r>
            <w:r w:rsidR="00FF5DCC">
              <w:rPr>
                <w:webHidden/>
              </w:rPr>
              <w:instrText xml:space="preserve"> PAGEREF _Toc480810426 \h </w:instrText>
            </w:r>
            <w:r w:rsidR="00FF5DCC">
              <w:rPr>
                <w:webHidden/>
              </w:rPr>
            </w:r>
            <w:r w:rsidR="00FF5DCC">
              <w:rPr>
                <w:webHidden/>
              </w:rPr>
              <w:fldChar w:fldCharType="separate"/>
            </w:r>
            <w:r w:rsidR="00FF5DCC">
              <w:rPr>
                <w:webHidden/>
              </w:rPr>
              <w:t>13-13</w:t>
            </w:r>
            <w:r w:rsidR="00FF5DCC">
              <w:rPr>
                <w:webHidden/>
              </w:rPr>
              <w:fldChar w:fldCharType="end"/>
            </w:r>
          </w:hyperlink>
        </w:p>
        <w:p w:rsidR="00FF5DCC" w:rsidRDefault="00495C21">
          <w:pPr>
            <w:pStyle w:val="TOC3"/>
            <w:rPr>
              <w:rFonts w:asciiTheme="minorHAnsi" w:eastAsiaTheme="minorEastAsia" w:hAnsiTheme="minorHAnsi"/>
              <w:lang w:eastAsia="en-AU"/>
            </w:rPr>
          </w:pPr>
          <w:hyperlink w:anchor="_Toc480810427" w:history="1">
            <w:r w:rsidR="00FF5DCC" w:rsidRPr="003139C6">
              <w:rPr>
                <w:rStyle w:val="Hyperlink"/>
              </w:rPr>
              <w:t>13.4.3</w:t>
            </w:r>
            <w:r w:rsidR="00FF5DCC">
              <w:rPr>
                <w:rFonts w:asciiTheme="minorHAnsi" w:eastAsiaTheme="minorEastAsia" w:hAnsiTheme="minorHAnsi"/>
                <w:lang w:eastAsia="en-AU"/>
              </w:rPr>
              <w:tab/>
            </w:r>
            <w:r w:rsidR="00FF5DCC" w:rsidRPr="003139C6">
              <w:rPr>
                <w:rStyle w:val="Hyperlink"/>
              </w:rPr>
              <w:t>Confidential nominated pass through event</w:t>
            </w:r>
            <w:r w:rsidR="00FF5DCC">
              <w:rPr>
                <w:webHidden/>
              </w:rPr>
              <w:tab/>
            </w:r>
            <w:r w:rsidR="00FF5DCC">
              <w:rPr>
                <w:webHidden/>
              </w:rPr>
              <w:fldChar w:fldCharType="begin"/>
            </w:r>
            <w:r w:rsidR="00FF5DCC">
              <w:rPr>
                <w:webHidden/>
              </w:rPr>
              <w:instrText xml:space="preserve"> PAGEREF _Toc480810427 \h </w:instrText>
            </w:r>
            <w:r w:rsidR="00FF5DCC">
              <w:rPr>
                <w:webHidden/>
              </w:rPr>
            </w:r>
            <w:r w:rsidR="00FF5DCC">
              <w:rPr>
                <w:webHidden/>
              </w:rPr>
              <w:fldChar w:fldCharType="separate"/>
            </w:r>
            <w:r w:rsidR="00FF5DCC">
              <w:rPr>
                <w:webHidden/>
              </w:rPr>
              <w:t>13-14</w:t>
            </w:r>
            <w:r w:rsidR="00FF5DCC">
              <w:rPr>
                <w:webHidden/>
              </w:rPr>
              <w:fldChar w:fldCharType="end"/>
            </w:r>
          </w:hyperlink>
        </w:p>
        <w:p w:rsidR="00DE563D" w:rsidRDefault="00DE563D">
          <w:pPr>
            <w:spacing w:line="240" w:lineRule="auto"/>
          </w:pPr>
          <w:r>
            <w:fldChar w:fldCharType="end"/>
          </w:r>
        </w:p>
      </w:sdtContent>
    </w:sdt>
    <w:p w:rsidR="00DE563D" w:rsidRDefault="00C84560">
      <w:pPr>
        <w:spacing w:line="240" w:lineRule="auto"/>
      </w:pPr>
      <w:r>
        <w:t xml:space="preserve"> </w:t>
      </w:r>
    </w:p>
    <w:p w:rsidR="00DE563D" w:rsidRDefault="00DE563D" w:rsidP="00F365B3">
      <w:pPr>
        <w:pStyle w:val="UnnumberedHeading"/>
        <w:numPr>
          <w:ilvl w:val="0"/>
          <w:numId w:val="23"/>
        </w:numPr>
      </w:pPr>
      <w:bookmarkStart w:id="8" w:name="_Toc404700925"/>
      <w:bookmarkStart w:id="9" w:name="_Toc480810418"/>
      <w:r>
        <w:lastRenderedPageBreak/>
        <w:t>Shortened forms</w:t>
      </w:r>
      <w:bookmarkEnd w:id="8"/>
      <w:bookmarkEnd w:id="9"/>
    </w:p>
    <w:p w:rsidR="00DE563D" w:rsidRDefault="00DE563D" w:rsidP="00415F31"/>
    <w:tbl>
      <w:tblPr>
        <w:tblStyle w:val="AERtable-numbers"/>
        <w:tblW w:w="0" w:type="auto"/>
        <w:tblLook w:val="04A0" w:firstRow="1" w:lastRow="0" w:firstColumn="1" w:lastColumn="0" w:noHBand="0" w:noVBand="1"/>
      </w:tblPr>
      <w:tblGrid>
        <w:gridCol w:w="4340"/>
        <w:gridCol w:w="4353"/>
      </w:tblGrid>
      <w:tr w:rsidR="00415F31" w:rsidTr="00BD5D87">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4621" w:type="dxa"/>
          </w:tcPr>
          <w:p w:rsidR="00415F31" w:rsidRDefault="00415F31" w:rsidP="00F365B3">
            <w:pPr>
              <w:numPr>
                <w:ilvl w:val="0"/>
                <w:numId w:val="24"/>
              </w:numPr>
              <w:spacing w:after="240" w:line="288" w:lineRule="auto"/>
              <w:jc w:val="both"/>
            </w:pPr>
            <w:r>
              <w:t>Shortened form</w:t>
            </w:r>
          </w:p>
        </w:tc>
        <w:tc>
          <w:tcPr>
            <w:tcW w:w="4621" w:type="dxa"/>
          </w:tcPr>
          <w:p w:rsidR="00415F31" w:rsidRDefault="00415F31" w:rsidP="00F365B3">
            <w:pPr>
              <w:numPr>
                <w:ilvl w:val="0"/>
                <w:numId w:val="24"/>
              </w:numPr>
              <w:spacing w:after="240" w:line="288" w:lineRule="auto"/>
              <w:jc w:val="both"/>
              <w:cnfStyle w:val="100000000000" w:firstRow="1" w:lastRow="0" w:firstColumn="0" w:lastColumn="0" w:oddVBand="0" w:evenVBand="0" w:oddHBand="0" w:evenHBand="0" w:firstRowFirstColumn="0" w:firstRowLastColumn="0" w:lastRowFirstColumn="0" w:lastRowLastColumn="0"/>
            </w:pPr>
            <w:r>
              <w:t>Extended form</w:t>
            </w:r>
          </w:p>
        </w:tc>
      </w:tr>
      <w:tr w:rsidR="00415F31" w:rsidTr="00BD5D87">
        <w:tc>
          <w:tcPr>
            <w:cnfStyle w:val="001000000000" w:firstRow="0" w:lastRow="0" w:firstColumn="1" w:lastColumn="0" w:oddVBand="0" w:evenVBand="0" w:oddHBand="0" w:evenHBand="0" w:firstRowFirstColumn="0" w:firstRowLastColumn="0" w:lastRowFirstColumn="0" w:lastRowLastColumn="0"/>
            <w:tcW w:w="4621" w:type="dxa"/>
          </w:tcPr>
          <w:p w:rsidR="00415F31" w:rsidRDefault="00415F31" w:rsidP="00F365B3">
            <w:pPr>
              <w:numPr>
                <w:ilvl w:val="0"/>
                <w:numId w:val="24"/>
              </w:numPr>
              <w:spacing w:after="240" w:line="288" w:lineRule="auto"/>
              <w:jc w:val="both"/>
            </w:pPr>
            <w:r>
              <w:t>AARR</w:t>
            </w:r>
          </w:p>
        </w:tc>
        <w:tc>
          <w:tcPr>
            <w:tcW w:w="4621" w:type="dxa"/>
          </w:tcPr>
          <w:p w:rsidR="00415F31" w:rsidRDefault="00415F31" w:rsidP="00F365B3">
            <w:pPr>
              <w:numPr>
                <w:ilvl w:val="0"/>
                <w:numId w:val="24"/>
              </w:numPr>
              <w:spacing w:after="240" w:line="288" w:lineRule="auto"/>
              <w:jc w:val="both"/>
              <w:cnfStyle w:val="000000000000" w:firstRow="0" w:lastRow="0" w:firstColumn="0" w:lastColumn="0" w:oddVBand="0" w:evenVBand="0" w:oddHBand="0" w:evenHBand="0" w:firstRowFirstColumn="0" w:firstRowLastColumn="0" w:lastRowFirstColumn="0" w:lastRowLastColumn="0"/>
            </w:pPr>
            <w:r>
              <w:t>aggregate annual revenue requirement</w:t>
            </w:r>
          </w:p>
        </w:tc>
      </w:tr>
      <w:tr w:rsidR="00415F31" w:rsidTr="00BD5D8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415F31" w:rsidRDefault="00415F31" w:rsidP="00F365B3">
            <w:pPr>
              <w:numPr>
                <w:ilvl w:val="0"/>
                <w:numId w:val="24"/>
              </w:numPr>
              <w:spacing w:after="240" w:line="288" w:lineRule="auto"/>
              <w:jc w:val="both"/>
            </w:pPr>
            <w:r>
              <w:t>AEMC</w:t>
            </w:r>
          </w:p>
        </w:tc>
        <w:tc>
          <w:tcPr>
            <w:tcW w:w="4621" w:type="dxa"/>
          </w:tcPr>
          <w:p w:rsidR="00415F31" w:rsidRDefault="00415F31" w:rsidP="00F365B3">
            <w:pPr>
              <w:numPr>
                <w:ilvl w:val="0"/>
                <w:numId w:val="24"/>
              </w:numPr>
              <w:spacing w:after="240" w:line="288" w:lineRule="auto"/>
              <w:jc w:val="both"/>
              <w:cnfStyle w:val="000000010000" w:firstRow="0" w:lastRow="0" w:firstColumn="0" w:lastColumn="0" w:oddVBand="0" w:evenVBand="0" w:oddHBand="0" w:evenHBand="1" w:firstRowFirstColumn="0" w:firstRowLastColumn="0" w:lastRowFirstColumn="0" w:lastRowLastColumn="0"/>
            </w:pPr>
            <w:r>
              <w:t>Australian Energy Market Commission</w:t>
            </w:r>
          </w:p>
        </w:tc>
      </w:tr>
      <w:tr w:rsidR="00415F31" w:rsidTr="00BD5D87">
        <w:tc>
          <w:tcPr>
            <w:cnfStyle w:val="001000000000" w:firstRow="0" w:lastRow="0" w:firstColumn="1" w:lastColumn="0" w:oddVBand="0" w:evenVBand="0" w:oddHBand="0" w:evenHBand="0" w:firstRowFirstColumn="0" w:firstRowLastColumn="0" w:lastRowFirstColumn="0" w:lastRowLastColumn="0"/>
            <w:tcW w:w="4621" w:type="dxa"/>
          </w:tcPr>
          <w:p w:rsidR="00415F31" w:rsidRDefault="00415F31" w:rsidP="00F365B3">
            <w:pPr>
              <w:numPr>
                <w:ilvl w:val="0"/>
                <w:numId w:val="24"/>
              </w:numPr>
              <w:spacing w:after="240" w:line="288" w:lineRule="auto"/>
              <w:jc w:val="both"/>
            </w:pPr>
            <w:r>
              <w:t>AEMO</w:t>
            </w:r>
          </w:p>
        </w:tc>
        <w:tc>
          <w:tcPr>
            <w:tcW w:w="4621" w:type="dxa"/>
          </w:tcPr>
          <w:p w:rsidR="00415F31" w:rsidRDefault="00415F31" w:rsidP="00F365B3">
            <w:pPr>
              <w:numPr>
                <w:ilvl w:val="0"/>
                <w:numId w:val="24"/>
              </w:numPr>
              <w:spacing w:after="240" w:line="288" w:lineRule="auto"/>
              <w:jc w:val="both"/>
              <w:cnfStyle w:val="000000000000" w:firstRow="0" w:lastRow="0" w:firstColumn="0" w:lastColumn="0" w:oddVBand="0" w:evenVBand="0" w:oddHBand="0" w:evenHBand="0" w:firstRowFirstColumn="0" w:firstRowLastColumn="0" w:lastRowFirstColumn="0" w:lastRowLastColumn="0"/>
            </w:pPr>
            <w:r>
              <w:t>Australian Energy Market Operator</w:t>
            </w:r>
          </w:p>
        </w:tc>
      </w:tr>
      <w:tr w:rsidR="00415F31" w:rsidTr="00BD5D8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415F31" w:rsidRDefault="00415F31" w:rsidP="00F365B3">
            <w:pPr>
              <w:numPr>
                <w:ilvl w:val="0"/>
                <w:numId w:val="24"/>
              </w:numPr>
              <w:spacing w:after="240" w:line="288" w:lineRule="auto"/>
              <w:jc w:val="both"/>
            </w:pPr>
            <w:r>
              <w:t>AER</w:t>
            </w:r>
          </w:p>
        </w:tc>
        <w:tc>
          <w:tcPr>
            <w:tcW w:w="4621" w:type="dxa"/>
          </w:tcPr>
          <w:p w:rsidR="00415F31" w:rsidRDefault="00415F31" w:rsidP="00F365B3">
            <w:pPr>
              <w:numPr>
                <w:ilvl w:val="0"/>
                <w:numId w:val="24"/>
              </w:numPr>
              <w:spacing w:after="240" w:line="288" w:lineRule="auto"/>
              <w:jc w:val="both"/>
              <w:cnfStyle w:val="000000010000" w:firstRow="0" w:lastRow="0" w:firstColumn="0" w:lastColumn="0" w:oddVBand="0" w:evenVBand="0" w:oddHBand="0" w:evenHBand="1" w:firstRowFirstColumn="0" w:firstRowLastColumn="0" w:lastRowFirstColumn="0" w:lastRowLastColumn="0"/>
            </w:pPr>
            <w:r>
              <w:t>Australian Energy Regulator</w:t>
            </w:r>
          </w:p>
        </w:tc>
      </w:tr>
      <w:tr w:rsidR="00415F31" w:rsidTr="00BD5D87">
        <w:tc>
          <w:tcPr>
            <w:cnfStyle w:val="001000000000" w:firstRow="0" w:lastRow="0" w:firstColumn="1" w:lastColumn="0" w:oddVBand="0" w:evenVBand="0" w:oddHBand="0" w:evenHBand="0" w:firstRowFirstColumn="0" w:firstRowLastColumn="0" w:lastRowFirstColumn="0" w:lastRowLastColumn="0"/>
            <w:tcW w:w="4621" w:type="dxa"/>
          </w:tcPr>
          <w:p w:rsidR="00415F31" w:rsidRDefault="00415F31" w:rsidP="00F365B3">
            <w:pPr>
              <w:numPr>
                <w:ilvl w:val="0"/>
                <w:numId w:val="24"/>
              </w:numPr>
              <w:spacing w:after="240" w:line="288" w:lineRule="auto"/>
              <w:jc w:val="both"/>
            </w:pPr>
            <w:r>
              <w:t>ASRR</w:t>
            </w:r>
          </w:p>
        </w:tc>
        <w:tc>
          <w:tcPr>
            <w:tcW w:w="4621" w:type="dxa"/>
          </w:tcPr>
          <w:p w:rsidR="00415F31" w:rsidRDefault="009D3906" w:rsidP="00F365B3">
            <w:pPr>
              <w:numPr>
                <w:ilvl w:val="0"/>
                <w:numId w:val="24"/>
              </w:numPr>
              <w:spacing w:after="240" w:line="288" w:lineRule="auto"/>
              <w:jc w:val="both"/>
              <w:cnfStyle w:val="000000000000" w:firstRow="0" w:lastRow="0" w:firstColumn="0" w:lastColumn="0" w:oddVBand="0" w:evenVBand="0" w:oddHBand="0" w:evenHBand="0" w:firstRowFirstColumn="0" w:firstRowLastColumn="0" w:lastRowFirstColumn="0" w:lastRowLastColumn="0"/>
            </w:pPr>
            <w:r>
              <w:t>annual</w:t>
            </w:r>
            <w:r w:rsidR="00415F31">
              <w:t xml:space="preserve"> service revenue requirement</w:t>
            </w:r>
          </w:p>
        </w:tc>
      </w:tr>
      <w:tr w:rsidR="00415F31" w:rsidTr="00BD5D8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415F31" w:rsidRDefault="00415F31" w:rsidP="00F365B3">
            <w:pPr>
              <w:numPr>
                <w:ilvl w:val="0"/>
                <w:numId w:val="24"/>
              </w:numPr>
              <w:spacing w:after="240" w:line="288" w:lineRule="auto"/>
              <w:jc w:val="both"/>
            </w:pPr>
            <w:r>
              <w:t>augex</w:t>
            </w:r>
          </w:p>
        </w:tc>
        <w:tc>
          <w:tcPr>
            <w:tcW w:w="4621" w:type="dxa"/>
          </w:tcPr>
          <w:p w:rsidR="00415F31" w:rsidRDefault="00415F31" w:rsidP="00F365B3">
            <w:pPr>
              <w:numPr>
                <w:ilvl w:val="0"/>
                <w:numId w:val="24"/>
              </w:numPr>
              <w:spacing w:after="240" w:line="288" w:lineRule="auto"/>
              <w:jc w:val="both"/>
              <w:cnfStyle w:val="000000010000" w:firstRow="0" w:lastRow="0" w:firstColumn="0" w:lastColumn="0" w:oddVBand="0" w:evenVBand="0" w:oddHBand="0" w:evenHBand="1" w:firstRowFirstColumn="0" w:firstRowLastColumn="0" w:lastRowFirstColumn="0" w:lastRowLastColumn="0"/>
            </w:pPr>
            <w:r>
              <w:t>augmentation expenditure</w:t>
            </w:r>
          </w:p>
        </w:tc>
      </w:tr>
      <w:tr w:rsidR="00415F31" w:rsidTr="00BD5D87">
        <w:tc>
          <w:tcPr>
            <w:cnfStyle w:val="001000000000" w:firstRow="0" w:lastRow="0" w:firstColumn="1" w:lastColumn="0" w:oddVBand="0" w:evenVBand="0" w:oddHBand="0" w:evenHBand="0" w:firstRowFirstColumn="0" w:firstRowLastColumn="0" w:lastRowFirstColumn="0" w:lastRowLastColumn="0"/>
            <w:tcW w:w="4621" w:type="dxa"/>
          </w:tcPr>
          <w:p w:rsidR="00415F31" w:rsidRDefault="00415F31" w:rsidP="00F365B3">
            <w:pPr>
              <w:numPr>
                <w:ilvl w:val="0"/>
                <w:numId w:val="24"/>
              </w:numPr>
              <w:spacing w:after="240" w:line="288" w:lineRule="auto"/>
              <w:jc w:val="both"/>
            </w:pPr>
            <w:r>
              <w:t>capex</w:t>
            </w:r>
          </w:p>
        </w:tc>
        <w:tc>
          <w:tcPr>
            <w:tcW w:w="4621" w:type="dxa"/>
          </w:tcPr>
          <w:p w:rsidR="00415F31" w:rsidRDefault="00415F31" w:rsidP="00F365B3">
            <w:pPr>
              <w:numPr>
                <w:ilvl w:val="0"/>
                <w:numId w:val="24"/>
              </w:numPr>
              <w:spacing w:after="240" w:line="288" w:lineRule="auto"/>
              <w:jc w:val="both"/>
              <w:cnfStyle w:val="000000000000" w:firstRow="0" w:lastRow="0" w:firstColumn="0" w:lastColumn="0" w:oddVBand="0" w:evenVBand="0" w:oddHBand="0" w:evenHBand="0" w:firstRowFirstColumn="0" w:firstRowLastColumn="0" w:lastRowFirstColumn="0" w:lastRowLastColumn="0"/>
            </w:pPr>
            <w:r>
              <w:t>capital expenditure</w:t>
            </w:r>
          </w:p>
        </w:tc>
      </w:tr>
      <w:tr w:rsidR="00415F31" w:rsidTr="00BD5D8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415F31" w:rsidRDefault="00415F31" w:rsidP="00F365B3">
            <w:pPr>
              <w:numPr>
                <w:ilvl w:val="0"/>
                <w:numId w:val="24"/>
              </w:numPr>
              <w:spacing w:after="240" w:line="288" w:lineRule="auto"/>
              <w:jc w:val="both"/>
            </w:pPr>
            <w:r>
              <w:t>CCP</w:t>
            </w:r>
          </w:p>
        </w:tc>
        <w:tc>
          <w:tcPr>
            <w:tcW w:w="4621" w:type="dxa"/>
          </w:tcPr>
          <w:p w:rsidR="00415F31" w:rsidRDefault="00415F31" w:rsidP="00F365B3">
            <w:pPr>
              <w:numPr>
                <w:ilvl w:val="0"/>
                <w:numId w:val="24"/>
              </w:numPr>
              <w:spacing w:after="240" w:line="288" w:lineRule="auto"/>
              <w:jc w:val="both"/>
              <w:cnfStyle w:val="000000010000" w:firstRow="0" w:lastRow="0" w:firstColumn="0" w:lastColumn="0" w:oddVBand="0" w:evenVBand="0" w:oddHBand="0" w:evenHBand="1" w:firstRowFirstColumn="0" w:firstRowLastColumn="0" w:lastRowFirstColumn="0" w:lastRowLastColumn="0"/>
            </w:pPr>
            <w:r>
              <w:t>Consumer Challenge Panel</w:t>
            </w:r>
          </w:p>
        </w:tc>
      </w:tr>
      <w:tr w:rsidR="00415F31" w:rsidTr="00BD5D87">
        <w:tc>
          <w:tcPr>
            <w:cnfStyle w:val="001000000000" w:firstRow="0" w:lastRow="0" w:firstColumn="1" w:lastColumn="0" w:oddVBand="0" w:evenVBand="0" w:oddHBand="0" w:evenHBand="0" w:firstRowFirstColumn="0" w:firstRowLastColumn="0" w:lastRowFirstColumn="0" w:lastRowLastColumn="0"/>
            <w:tcW w:w="4621" w:type="dxa"/>
          </w:tcPr>
          <w:p w:rsidR="00415F31" w:rsidRDefault="00415F31" w:rsidP="00F365B3">
            <w:pPr>
              <w:numPr>
                <w:ilvl w:val="0"/>
                <w:numId w:val="24"/>
              </w:numPr>
              <w:spacing w:after="240" w:line="288" w:lineRule="auto"/>
              <w:jc w:val="both"/>
            </w:pPr>
            <w:r>
              <w:t>CESS</w:t>
            </w:r>
          </w:p>
        </w:tc>
        <w:tc>
          <w:tcPr>
            <w:tcW w:w="4621" w:type="dxa"/>
          </w:tcPr>
          <w:p w:rsidR="00415F31" w:rsidRDefault="00415F31" w:rsidP="00F365B3">
            <w:pPr>
              <w:numPr>
                <w:ilvl w:val="0"/>
                <w:numId w:val="24"/>
              </w:numPr>
              <w:spacing w:after="240" w:line="288" w:lineRule="auto"/>
              <w:jc w:val="both"/>
              <w:cnfStyle w:val="000000000000" w:firstRow="0" w:lastRow="0" w:firstColumn="0" w:lastColumn="0" w:oddVBand="0" w:evenVBand="0" w:oddHBand="0" w:evenHBand="0" w:firstRowFirstColumn="0" w:firstRowLastColumn="0" w:lastRowFirstColumn="0" w:lastRowLastColumn="0"/>
            </w:pPr>
            <w:r>
              <w:t>capital expenditure sharing scheme</w:t>
            </w:r>
          </w:p>
        </w:tc>
      </w:tr>
      <w:tr w:rsidR="00415F31" w:rsidTr="00BD5D8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415F31" w:rsidRDefault="00415F31" w:rsidP="00F365B3">
            <w:pPr>
              <w:numPr>
                <w:ilvl w:val="0"/>
                <w:numId w:val="24"/>
              </w:numPr>
              <w:spacing w:after="240" w:line="288" w:lineRule="auto"/>
              <w:jc w:val="both"/>
            </w:pPr>
            <w:r>
              <w:t>CPI</w:t>
            </w:r>
          </w:p>
        </w:tc>
        <w:tc>
          <w:tcPr>
            <w:tcW w:w="4621" w:type="dxa"/>
          </w:tcPr>
          <w:p w:rsidR="00415F31" w:rsidRDefault="00415F31" w:rsidP="00F365B3">
            <w:pPr>
              <w:numPr>
                <w:ilvl w:val="0"/>
                <w:numId w:val="24"/>
              </w:numPr>
              <w:spacing w:after="240" w:line="288" w:lineRule="auto"/>
              <w:jc w:val="both"/>
              <w:cnfStyle w:val="000000010000" w:firstRow="0" w:lastRow="0" w:firstColumn="0" w:lastColumn="0" w:oddVBand="0" w:evenVBand="0" w:oddHBand="0" w:evenHBand="1" w:firstRowFirstColumn="0" w:firstRowLastColumn="0" w:lastRowFirstColumn="0" w:lastRowLastColumn="0"/>
            </w:pPr>
            <w:r>
              <w:t>consumer price index</w:t>
            </w:r>
          </w:p>
        </w:tc>
      </w:tr>
      <w:tr w:rsidR="00415F31" w:rsidTr="00BD5D87">
        <w:tc>
          <w:tcPr>
            <w:cnfStyle w:val="001000000000" w:firstRow="0" w:lastRow="0" w:firstColumn="1" w:lastColumn="0" w:oddVBand="0" w:evenVBand="0" w:oddHBand="0" w:evenHBand="0" w:firstRowFirstColumn="0" w:firstRowLastColumn="0" w:lastRowFirstColumn="0" w:lastRowLastColumn="0"/>
            <w:tcW w:w="4621" w:type="dxa"/>
          </w:tcPr>
          <w:p w:rsidR="00415F31" w:rsidRDefault="00415F31" w:rsidP="00F365B3">
            <w:pPr>
              <w:numPr>
                <w:ilvl w:val="0"/>
                <w:numId w:val="24"/>
              </w:numPr>
              <w:spacing w:after="240" w:line="288" w:lineRule="auto"/>
              <w:jc w:val="both"/>
            </w:pPr>
            <w:r>
              <w:t>DRP</w:t>
            </w:r>
          </w:p>
        </w:tc>
        <w:tc>
          <w:tcPr>
            <w:tcW w:w="4621" w:type="dxa"/>
          </w:tcPr>
          <w:p w:rsidR="00415F31" w:rsidRDefault="00415F31" w:rsidP="00F365B3">
            <w:pPr>
              <w:numPr>
                <w:ilvl w:val="0"/>
                <w:numId w:val="24"/>
              </w:numPr>
              <w:spacing w:after="240" w:line="288" w:lineRule="auto"/>
              <w:jc w:val="both"/>
              <w:cnfStyle w:val="000000000000" w:firstRow="0" w:lastRow="0" w:firstColumn="0" w:lastColumn="0" w:oddVBand="0" w:evenVBand="0" w:oddHBand="0" w:evenHBand="0" w:firstRowFirstColumn="0" w:firstRowLastColumn="0" w:lastRowFirstColumn="0" w:lastRowLastColumn="0"/>
            </w:pPr>
            <w:r>
              <w:t>debt risk premium</w:t>
            </w:r>
          </w:p>
        </w:tc>
      </w:tr>
      <w:tr w:rsidR="00415F31" w:rsidTr="00BD5D8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415F31" w:rsidRDefault="00415F31" w:rsidP="00F365B3">
            <w:pPr>
              <w:numPr>
                <w:ilvl w:val="0"/>
                <w:numId w:val="24"/>
              </w:numPr>
              <w:spacing w:after="240" w:line="288" w:lineRule="auto"/>
              <w:jc w:val="both"/>
            </w:pPr>
            <w:r>
              <w:t>EBSS</w:t>
            </w:r>
          </w:p>
        </w:tc>
        <w:tc>
          <w:tcPr>
            <w:tcW w:w="4621" w:type="dxa"/>
          </w:tcPr>
          <w:p w:rsidR="00415F31" w:rsidRDefault="00415F31" w:rsidP="00F365B3">
            <w:pPr>
              <w:numPr>
                <w:ilvl w:val="0"/>
                <w:numId w:val="24"/>
              </w:numPr>
              <w:spacing w:after="240" w:line="288" w:lineRule="auto"/>
              <w:jc w:val="both"/>
              <w:cnfStyle w:val="000000010000" w:firstRow="0" w:lastRow="0" w:firstColumn="0" w:lastColumn="0" w:oddVBand="0" w:evenVBand="0" w:oddHBand="0" w:evenHBand="1" w:firstRowFirstColumn="0" w:firstRowLastColumn="0" w:lastRowFirstColumn="0" w:lastRowLastColumn="0"/>
            </w:pPr>
            <w:r>
              <w:t>efficiency benefit sharing scheme</w:t>
            </w:r>
          </w:p>
        </w:tc>
      </w:tr>
      <w:tr w:rsidR="00415F31" w:rsidTr="00BD5D87">
        <w:tc>
          <w:tcPr>
            <w:cnfStyle w:val="001000000000" w:firstRow="0" w:lastRow="0" w:firstColumn="1" w:lastColumn="0" w:oddVBand="0" w:evenVBand="0" w:oddHBand="0" w:evenHBand="0" w:firstRowFirstColumn="0" w:firstRowLastColumn="0" w:lastRowFirstColumn="0" w:lastRowLastColumn="0"/>
            <w:tcW w:w="4621" w:type="dxa"/>
          </w:tcPr>
          <w:p w:rsidR="00415F31" w:rsidRDefault="00415F31" w:rsidP="00F365B3">
            <w:pPr>
              <w:numPr>
                <w:ilvl w:val="0"/>
                <w:numId w:val="24"/>
              </w:numPr>
              <w:spacing w:after="240" w:line="288" w:lineRule="auto"/>
              <w:jc w:val="both"/>
            </w:pPr>
            <w:r>
              <w:t>ERP</w:t>
            </w:r>
          </w:p>
        </w:tc>
        <w:tc>
          <w:tcPr>
            <w:tcW w:w="4621" w:type="dxa"/>
          </w:tcPr>
          <w:p w:rsidR="00415F31" w:rsidRDefault="00415F31" w:rsidP="00F365B3">
            <w:pPr>
              <w:numPr>
                <w:ilvl w:val="0"/>
                <w:numId w:val="24"/>
              </w:numPr>
              <w:spacing w:after="240" w:line="288" w:lineRule="auto"/>
              <w:jc w:val="both"/>
              <w:cnfStyle w:val="000000000000" w:firstRow="0" w:lastRow="0" w:firstColumn="0" w:lastColumn="0" w:oddVBand="0" w:evenVBand="0" w:oddHBand="0" w:evenHBand="0" w:firstRowFirstColumn="0" w:firstRowLastColumn="0" w:lastRowFirstColumn="0" w:lastRowLastColumn="0"/>
            </w:pPr>
            <w:r>
              <w:t>equity risk premium</w:t>
            </w:r>
          </w:p>
        </w:tc>
      </w:tr>
      <w:tr w:rsidR="00415F31" w:rsidTr="00BD5D8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415F31" w:rsidRDefault="00415F31" w:rsidP="00F365B3">
            <w:pPr>
              <w:numPr>
                <w:ilvl w:val="0"/>
                <w:numId w:val="24"/>
              </w:numPr>
              <w:spacing w:after="240" w:line="288" w:lineRule="auto"/>
              <w:jc w:val="both"/>
            </w:pPr>
            <w:r>
              <w:t>MAR</w:t>
            </w:r>
          </w:p>
        </w:tc>
        <w:tc>
          <w:tcPr>
            <w:tcW w:w="4621" w:type="dxa"/>
          </w:tcPr>
          <w:p w:rsidR="00415F31" w:rsidRDefault="00415F31" w:rsidP="00F365B3">
            <w:pPr>
              <w:numPr>
                <w:ilvl w:val="0"/>
                <w:numId w:val="24"/>
              </w:numPr>
              <w:spacing w:after="240" w:line="288" w:lineRule="auto"/>
              <w:jc w:val="both"/>
              <w:cnfStyle w:val="000000010000" w:firstRow="0" w:lastRow="0" w:firstColumn="0" w:lastColumn="0" w:oddVBand="0" w:evenVBand="0" w:oddHBand="0" w:evenHBand="1" w:firstRowFirstColumn="0" w:firstRowLastColumn="0" w:lastRowFirstColumn="0" w:lastRowLastColumn="0"/>
            </w:pPr>
            <w:r>
              <w:t>maximum allowed revenue</w:t>
            </w:r>
          </w:p>
        </w:tc>
      </w:tr>
      <w:tr w:rsidR="00415F31" w:rsidTr="00BD5D87">
        <w:tc>
          <w:tcPr>
            <w:cnfStyle w:val="001000000000" w:firstRow="0" w:lastRow="0" w:firstColumn="1" w:lastColumn="0" w:oddVBand="0" w:evenVBand="0" w:oddHBand="0" w:evenHBand="0" w:firstRowFirstColumn="0" w:firstRowLastColumn="0" w:lastRowFirstColumn="0" w:lastRowLastColumn="0"/>
            <w:tcW w:w="4621" w:type="dxa"/>
          </w:tcPr>
          <w:p w:rsidR="00415F31" w:rsidRDefault="00415F31" w:rsidP="00F365B3">
            <w:pPr>
              <w:numPr>
                <w:ilvl w:val="0"/>
                <w:numId w:val="24"/>
              </w:numPr>
              <w:spacing w:after="240" w:line="288" w:lineRule="auto"/>
              <w:jc w:val="both"/>
            </w:pPr>
            <w:r>
              <w:t>MRP</w:t>
            </w:r>
          </w:p>
        </w:tc>
        <w:tc>
          <w:tcPr>
            <w:tcW w:w="4621" w:type="dxa"/>
          </w:tcPr>
          <w:p w:rsidR="00415F31" w:rsidRDefault="00415F31" w:rsidP="00F365B3">
            <w:pPr>
              <w:numPr>
                <w:ilvl w:val="0"/>
                <w:numId w:val="24"/>
              </w:numPr>
              <w:spacing w:after="240" w:line="288" w:lineRule="auto"/>
              <w:jc w:val="both"/>
              <w:cnfStyle w:val="000000000000" w:firstRow="0" w:lastRow="0" w:firstColumn="0" w:lastColumn="0" w:oddVBand="0" w:evenVBand="0" w:oddHBand="0" w:evenHBand="0" w:firstRowFirstColumn="0" w:firstRowLastColumn="0" w:lastRowFirstColumn="0" w:lastRowLastColumn="0"/>
            </w:pPr>
            <w:r>
              <w:t>market risk premium</w:t>
            </w:r>
          </w:p>
        </w:tc>
      </w:tr>
      <w:tr w:rsidR="00415F31" w:rsidTr="00BD5D8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415F31" w:rsidRDefault="00415F31" w:rsidP="00F365B3">
            <w:pPr>
              <w:numPr>
                <w:ilvl w:val="0"/>
                <w:numId w:val="24"/>
              </w:numPr>
              <w:spacing w:after="240" w:line="288" w:lineRule="auto"/>
              <w:jc w:val="both"/>
            </w:pPr>
            <w:r>
              <w:t>NEL</w:t>
            </w:r>
          </w:p>
        </w:tc>
        <w:tc>
          <w:tcPr>
            <w:tcW w:w="4621" w:type="dxa"/>
          </w:tcPr>
          <w:p w:rsidR="00415F31" w:rsidRDefault="00415F31" w:rsidP="00F365B3">
            <w:pPr>
              <w:numPr>
                <w:ilvl w:val="0"/>
                <w:numId w:val="24"/>
              </w:numPr>
              <w:spacing w:after="240" w:line="288" w:lineRule="auto"/>
              <w:jc w:val="both"/>
              <w:cnfStyle w:val="000000010000" w:firstRow="0" w:lastRow="0" w:firstColumn="0" w:lastColumn="0" w:oddVBand="0" w:evenVBand="0" w:oddHBand="0" w:evenHBand="1" w:firstRowFirstColumn="0" w:firstRowLastColumn="0" w:lastRowFirstColumn="0" w:lastRowLastColumn="0"/>
            </w:pPr>
            <w:r>
              <w:t>national electricity law</w:t>
            </w:r>
          </w:p>
        </w:tc>
      </w:tr>
      <w:tr w:rsidR="00415F31" w:rsidTr="00BD5D87">
        <w:tc>
          <w:tcPr>
            <w:cnfStyle w:val="001000000000" w:firstRow="0" w:lastRow="0" w:firstColumn="1" w:lastColumn="0" w:oddVBand="0" w:evenVBand="0" w:oddHBand="0" w:evenHBand="0" w:firstRowFirstColumn="0" w:firstRowLastColumn="0" w:lastRowFirstColumn="0" w:lastRowLastColumn="0"/>
            <w:tcW w:w="4621" w:type="dxa"/>
          </w:tcPr>
          <w:p w:rsidR="00415F31" w:rsidRDefault="00415F31" w:rsidP="00F365B3">
            <w:pPr>
              <w:numPr>
                <w:ilvl w:val="0"/>
                <w:numId w:val="24"/>
              </w:numPr>
              <w:spacing w:after="240" w:line="288" w:lineRule="auto"/>
              <w:jc w:val="both"/>
            </w:pPr>
            <w:r>
              <w:t>NEM</w:t>
            </w:r>
          </w:p>
        </w:tc>
        <w:tc>
          <w:tcPr>
            <w:tcW w:w="4621" w:type="dxa"/>
          </w:tcPr>
          <w:p w:rsidR="00415F31" w:rsidRDefault="00415F31" w:rsidP="00F365B3">
            <w:pPr>
              <w:numPr>
                <w:ilvl w:val="0"/>
                <w:numId w:val="24"/>
              </w:numPr>
              <w:spacing w:after="240" w:line="288" w:lineRule="auto"/>
              <w:jc w:val="both"/>
              <w:cnfStyle w:val="000000000000" w:firstRow="0" w:lastRow="0" w:firstColumn="0" w:lastColumn="0" w:oddVBand="0" w:evenVBand="0" w:oddHBand="0" w:evenHBand="0" w:firstRowFirstColumn="0" w:firstRowLastColumn="0" w:lastRowFirstColumn="0" w:lastRowLastColumn="0"/>
            </w:pPr>
            <w:r>
              <w:t>national electricity market</w:t>
            </w:r>
          </w:p>
        </w:tc>
      </w:tr>
      <w:tr w:rsidR="00415F31" w:rsidTr="00BD5D8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415F31" w:rsidRDefault="00415F31" w:rsidP="00F365B3">
            <w:pPr>
              <w:numPr>
                <w:ilvl w:val="0"/>
                <w:numId w:val="24"/>
              </w:numPr>
              <w:spacing w:after="240" w:line="288" w:lineRule="auto"/>
              <w:jc w:val="both"/>
            </w:pPr>
            <w:r>
              <w:t>NEO</w:t>
            </w:r>
          </w:p>
        </w:tc>
        <w:tc>
          <w:tcPr>
            <w:tcW w:w="4621" w:type="dxa"/>
          </w:tcPr>
          <w:p w:rsidR="00415F31" w:rsidRDefault="00415F31" w:rsidP="00F365B3">
            <w:pPr>
              <w:numPr>
                <w:ilvl w:val="0"/>
                <w:numId w:val="24"/>
              </w:numPr>
              <w:spacing w:after="240" w:line="288" w:lineRule="auto"/>
              <w:jc w:val="both"/>
              <w:cnfStyle w:val="000000010000" w:firstRow="0" w:lastRow="0" w:firstColumn="0" w:lastColumn="0" w:oddVBand="0" w:evenVBand="0" w:oddHBand="0" w:evenHBand="1" w:firstRowFirstColumn="0" w:firstRowLastColumn="0" w:lastRowFirstColumn="0" w:lastRowLastColumn="0"/>
            </w:pPr>
            <w:r>
              <w:t>national electricity objective</w:t>
            </w:r>
          </w:p>
        </w:tc>
      </w:tr>
      <w:tr w:rsidR="00415F31" w:rsidTr="00BD5D87">
        <w:tc>
          <w:tcPr>
            <w:cnfStyle w:val="001000000000" w:firstRow="0" w:lastRow="0" w:firstColumn="1" w:lastColumn="0" w:oddVBand="0" w:evenVBand="0" w:oddHBand="0" w:evenHBand="0" w:firstRowFirstColumn="0" w:firstRowLastColumn="0" w:lastRowFirstColumn="0" w:lastRowLastColumn="0"/>
            <w:tcW w:w="4621" w:type="dxa"/>
          </w:tcPr>
          <w:p w:rsidR="00415F31" w:rsidRDefault="00415F31" w:rsidP="00F365B3">
            <w:pPr>
              <w:numPr>
                <w:ilvl w:val="0"/>
                <w:numId w:val="24"/>
              </w:numPr>
              <w:spacing w:after="240" w:line="288" w:lineRule="auto"/>
              <w:jc w:val="both"/>
            </w:pPr>
            <w:r>
              <w:t>NER</w:t>
            </w:r>
          </w:p>
        </w:tc>
        <w:tc>
          <w:tcPr>
            <w:tcW w:w="4621" w:type="dxa"/>
          </w:tcPr>
          <w:p w:rsidR="00415F31" w:rsidRDefault="00415F31" w:rsidP="00F365B3">
            <w:pPr>
              <w:numPr>
                <w:ilvl w:val="0"/>
                <w:numId w:val="24"/>
              </w:numPr>
              <w:spacing w:after="240" w:line="288" w:lineRule="auto"/>
              <w:jc w:val="both"/>
              <w:cnfStyle w:val="000000000000" w:firstRow="0" w:lastRow="0" w:firstColumn="0" w:lastColumn="0" w:oddVBand="0" w:evenVBand="0" w:oddHBand="0" w:evenHBand="0" w:firstRowFirstColumn="0" w:firstRowLastColumn="0" w:lastRowFirstColumn="0" w:lastRowLastColumn="0"/>
            </w:pPr>
            <w:r>
              <w:t>national electricity rules</w:t>
            </w:r>
          </w:p>
        </w:tc>
      </w:tr>
      <w:tr w:rsidR="00415F31" w:rsidTr="00BD5D8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415F31" w:rsidRDefault="00415F31" w:rsidP="00F365B3">
            <w:pPr>
              <w:numPr>
                <w:ilvl w:val="0"/>
                <w:numId w:val="24"/>
              </w:numPr>
              <w:spacing w:after="240" w:line="288" w:lineRule="auto"/>
              <w:jc w:val="both"/>
            </w:pPr>
            <w:r>
              <w:t>NSP</w:t>
            </w:r>
          </w:p>
        </w:tc>
        <w:tc>
          <w:tcPr>
            <w:tcW w:w="4621" w:type="dxa"/>
          </w:tcPr>
          <w:p w:rsidR="00415F31" w:rsidRDefault="00415F31" w:rsidP="00F365B3">
            <w:pPr>
              <w:numPr>
                <w:ilvl w:val="0"/>
                <w:numId w:val="24"/>
              </w:numPr>
              <w:spacing w:after="240" w:line="288" w:lineRule="auto"/>
              <w:jc w:val="both"/>
              <w:cnfStyle w:val="000000010000" w:firstRow="0" w:lastRow="0" w:firstColumn="0" w:lastColumn="0" w:oddVBand="0" w:evenVBand="0" w:oddHBand="0" w:evenHBand="1" w:firstRowFirstColumn="0" w:firstRowLastColumn="0" w:lastRowFirstColumn="0" w:lastRowLastColumn="0"/>
            </w:pPr>
            <w:r>
              <w:t>network service provider</w:t>
            </w:r>
          </w:p>
        </w:tc>
      </w:tr>
      <w:tr w:rsidR="00415F31" w:rsidTr="00BD5D87">
        <w:tc>
          <w:tcPr>
            <w:cnfStyle w:val="001000000000" w:firstRow="0" w:lastRow="0" w:firstColumn="1" w:lastColumn="0" w:oddVBand="0" w:evenVBand="0" w:oddHBand="0" w:evenHBand="0" w:firstRowFirstColumn="0" w:firstRowLastColumn="0" w:lastRowFirstColumn="0" w:lastRowLastColumn="0"/>
            <w:tcW w:w="4621" w:type="dxa"/>
          </w:tcPr>
          <w:p w:rsidR="00415F31" w:rsidRDefault="00415F31" w:rsidP="00F365B3">
            <w:pPr>
              <w:numPr>
                <w:ilvl w:val="0"/>
                <w:numId w:val="24"/>
              </w:numPr>
              <w:spacing w:after="240" w:line="288" w:lineRule="auto"/>
              <w:jc w:val="both"/>
            </w:pPr>
            <w:r>
              <w:lastRenderedPageBreak/>
              <w:t>NTSC</w:t>
            </w:r>
          </w:p>
        </w:tc>
        <w:tc>
          <w:tcPr>
            <w:tcW w:w="4621" w:type="dxa"/>
          </w:tcPr>
          <w:p w:rsidR="00415F31" w:rsidRDefault="00415F31" w:rsidP="00F365B3">
            <w:pPr>
              <w:numPr>
                <w:ilvl w:val="0"/>
                <w:numId w:val="24"/>
              </w:numPr>
              <w:spacing w:after="240" w:line="288" w:lineRule="auto"/>
              <w:jc w:val="both"/>
              <w:cnfStyle w:val="000000000000" w:firstRow="0" w:lastRow="0" w:firstColumn="0" w:lastColumn="0" w:oddVBand="0" w:evenVBand="0" w:oddHBand="0" w:evenHBand="0" w:firstRowFirstColumn="0" w:firstRowLastColumn="0" w:lastRowFirstColumn="0" w:lastRowLastColumn="0"/>
            </w:pPr>
            <w:r>
              <w:t>negotiated transmission service criteria</w:t>
            </w:r>
          </w:p>
        </w:tc>
      </w:tr>
      <w:tr w:rsidR="00415F31" w:rsidTr="00BD5D8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415F31" w:rsidRDefault="00415F31" w:rsidP="00F365B3">
            <w:pPr>
              <w:numPr>
                <w:ilvl w:val="0"/>
                <w:numId w:val="24"/>
              </w:numPr>
              <w:spacing w:after="240" w:line="288" w:lineRule="auto"/>
              <w:jc w:val="both"/>
            </w:pPr>
            <w:r>
              <w:t>opex</w:t>
            </w:r>
          </w:p>
        </w:tc>
        <w:tc>
          <w:tcPr>
            <w:tcW w:w="4621" w:type="dxa"/>
          </w:tcPr>
          <w:p w:rsidR="00415F31" w:rsidRDefault="00415F31" w:rsidP="00F365B3">
            <w:pPr>
              <w:numPr>
                <w:ilvl w:val="0"/>
                <w:numId w:val="24"/>
              </w:numPr>
              <w:spacing w:after="240" w:line="288" w:lineRule="auto"/>
              <w:jc w:val="both"/>
              <w:cnfStyle w:val="000000010000" w:firstRow="0" w:lastRow="0" w:firstColumn="0" w:lastColumn="0" w:oddVBand="0" w:evenVBand="0" w:oddHBand="0" w:evenHBand="1" w:firstRowFirstColumn="0" w:firstRowLastColumn="0" w:lastRowFirstColumn="0" w:lastRowLastColumn="0"/>
            </w:pPr>
            <w:r>
              <w:t>operating expenditure</w:t>
            </w:r>
          </w:p>
        </w:tc>
      </w:tr>
      <w:tr w:rsidR="00415F31" w:rsidTr="00BD5D87">
        <w:tc>
          <w:tcPr>
            <w:cnfStyle w:val="001000000000" w:firstRow="0" w:lastRow="0" w:firstColumn="1" w:lastColumn="0" w:oddVBand="0" w:evenVBand="0" w:oddHBand="0" w:evenHBand="0" w:firstRowFirstColumn="0" w:firstRowLastColumn="0" w:lastRowFirstColumn="0" w:lastRowLastColumn="0"/>
            <w:tcW w:w="4621" w:type="dxa"/>
          </w:tcPr>
          <w:p w:rsidR="00415F31" w:rsidRDefault="00415F31" w:rsidP="00F365B3">
            <w:pPr>
              <w:numPr>
                <w:ilvl w:val="0"/>
                <w:numId w:val="24"/>
              </w:numPr>
              <w:spacing w:after="240" w:line="288" w:lineRule="auto"/>
              <w:jc w:val="both"/>
            </w:pPr>
            <w:r>
              <w:t>PPI</w:t>
            </w:r>
          </w:p>
        </w:tc>
        <w:tc>
          <w:tcPr>
            <w:tcW w:w="4621" w:type="dxa"/>
          </w:tcPr>
          <w:p w:rsidR="00415F31" w:rsidRDefault="00415F31" w:rsidP="00F365B3">
            <w:pPr>
              <w:numPr>
                <w:ilvl w:val="0"/>
                <w:numId w:val="24"/>
              </w:numPr>
              <w:spacing w:after="240" w:line="288" w:lineRule="auto"/>
              <w:jc w:val="both"/>
              <w:cnfStyle w:val="000000000000" w:firstRow="0" w:lastRow="0" w:firstColumn="0" w:lastColumn="0" w:oddVBand="0" w:evenVBand="0" w:oddHBand="0" w:evenHBand="0" w:firstRowFirstColumn="0" w:firstRowLastColumn="0" w:lastRowFirstColumn="0" w:lastRowLastColumn="0"/>
            </w:pPr>
            <w:r>
              <w:t>partial performance indicators</w:t>
            </w:r>
          </w:p>
        </w:tc>
      </w:tr>
      <w:tr w:rsidR="00415F31" w:rsidTr="00BD5D8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415F31" w:rsidRDefault="00415F31" w:rsidP="00F365B3">
            <w:pPr>
              <w:numPr>
                <w:ilvl w:val="0"/>
                <w:numId w:val="24"/>
              </w:numPr>
              <w:spacing w:after="240" w:line="288" w:lineRule="auto"/>
              <w:jc w:val="both"/>
            </w:pPr>
            <w:r>
              <w:t>PTRM</w:t>
            </w:r>
          </w:p>
        </w:tc>
        <w:tc>
          <w:tcPr>
            <w:tcW w:w="4621" w:type="dxa"/>
          </w:tcPr>
          <w:p w:rsidR="00415F31" w:rsidRDefault="00415F31" w:rsidP="00F365B3">
            <w:pPr>
              <w:numPr>
                <w:ilvl w:val="0"/>
                <w:numId w:val="24"/>
              </w:numPr>
              <w:spacing w:after="240" w:line="288" w:lineRule="auto"/>
              <w:jc w:val="both"/>
              <w:cnfStyle w:val="000000010000" w:firstRow="0" w:lastRow="0" w:firstColumn="0" w:lastColumn="0" w:oddVBand="0" w:evenVBand="0" w:oddHBand="0" w:evenHBand="1" w:firstRowFirstColumn="0" w:firstRowLastColumn="0" w:lastRowFirstColumn="0" w:lastRowLastColumn="0"/>
            </w:pPr>
            <w:r>
              <w:t>post-tax revenue model</w:t>
            </w:r>
          </w:p>
        </w:tc>
      </w:tr>
      <w:tr w:rsidR="00415F31" w:rsidTr="00BD5D87">
        <w:tc>
          <w:tcPr>
            <w:cnfStyle w:val="001000000000" w:firstRow="0" w:lastRow="0" w:firstColumn="1" w:lastColumn="0" w:oddVBand="0" w:evenVBand="0" w:oddHBand="0" w:evenHBand="0" w:firstRowFirstColumn="0" w:firstRowLastColumn="0" w:lastRowFirstColumn="0" w:lastRowLastColumn="0"/>
            <w:tcW w:w="4621" w:type="dxa"/>
          </w:tcPr>
          <w:p w:rsidR="00415F31" w:rsidRDefault="00415F31" w:rsidP="00F365B3">
            <w:pPr>
              <w:numPr>
                <w:ilvl w:val="0"/>
                <w:numId w:val="24"/>
              </w:numPr>
              <w:spacing w:after="240" w:line="288" w:lineRule="auto"/>
              <w:jc w:val="both"/>
            </w:pPr>
            <w:r>
              <w:t>RAB</w:t>
            </w:r>
          </w:p>
        </w:tc>
        <w:tc>
          <w:tcPr>
            <w:tcW w:w="4621" w:type="dxa"/>
          </w:tcPr>
          <w:p w:rsidR="00415F31" w:rsidRDefault="00415F31" w:rsidP="00F365B3">
            <w:pPr>
              <w:numPr>
                <w:ilvl w:val="0"/>
                <w:numId w:val="24"/>
              </w:numPr>
              <w:spacing w:after="240" w:line="288" w:lineRule="auto"/>
              <w:jc w:val="both"/>
              <w:cnfStyle w:val="000000000000" w:firstRow="0" w:lastRow="0" w:firstColumn="0" w:lastColumn="0" w:oddVBand="0" w:evenVBand="0" w:oddHBand="0" w:evenHBand="0" w:firstRowFirstColumn="0" w:firstRowLastColumn="0" w:lastRowFirstColumn="0" w:lastRowLastColumn="0"/>
            </w:pPr>
            <w:r>
              <w:t>regulatory asset base</w:t>
            </w:r>
          </w:p>
        </w:tc>
      </w:tr>
      <w:tr w:rsidR="00415F31" w:rsidTr="00BD5D8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415F31" w:rsidRDefault="00415F31" w:rsidP="00F365B3">
            <w:pPr>
              <w:numPr>
                <w:ilvl w:val="0"/>
                <w:numId w:val="24"/>
              </w:numPr>
              <w:spacing w:after="240" w:line="288" w:lineRule="auto"/>
              <w:jc w:val="both"/>
            </w:pPr>
            <w:r>
              <w:t>RBA</w:t>
            </w:r>
          </w:p>
        </w:tc>
        <w:tc>
          <w:tcPr>
            <w:tcW w:w="4621" w:type="dxa"/>
          </w:tcPr>
          <w:p w:rsidR="00415F31" w:rsidRDefault="00415F31" w:rsidP="00F365B3">
            <w:pPr>
              <w:numPr>
                <w:ilvl w:val="0"/>
                <w:numId w:val="24"/>
              </w:numPr>
              <w:spacing w:after="240" w:line="288" w:lineRule="auto"/>
              <w:jc w:val="both"/>
              <w:cnfStyle w:val="000000010000" w:firstRow="0" w:lastRow="0" w:firstColumn="0" w:lastColumn="0" w:oddVBand="0" w:evenVBand="0" w:oddHBand="0" w:evenHBand="1" w:firstRowFirstColumn="0" w:firstRowLastColumn="0" w:lastRowFirstColumn="0" w:lastRowLastColumn="0"/>
            </w:pPr>
            <w:r>
              <w:t>Reserve Bank of Australia</w:t>
            </w:r>
          </w:p>
        </w:tc>
      </w:tr>
      <w:tr w:rsidR="00415F31" w:rsidTr="00BD5D87">
        <w:tc>
          <w:tcPr>
            <w:cnfStyle w:val="001000000000" w:firstRow="0" w:lastRow="0" w:firstColumn="1" w:lastColumn="0" w:oddVBand="0" w:evenVBand="0" w:oddHBand="0" w:evenHBand="0" w:firstRowFirstColumn="0" w:firstRowLastColumn="0" w:lastRowFirstColumn="0" w:lastRowLastColumn="0"/>
            <w:tcW w:w="4621" w:type="dxa"/>
          </w:tcPr>
          <w:p w:rsidR="00415F31" w:rsidRDefault="00415F31" w:rsidP="00F365B3">
            <w:pPr>
              <w:numPr>
                <w:ilvl w:val="0"/>
                <w:numId w:val="24"/>
              </w:numPr>
              <w:spacing w:after="240" w:line="288" w:lineRule="auto"/>
              <w:jc w:val="both"/>
            </w:pPr>
            <w:r>
              <w:t>repex</w:t>
            </w:r>
          </w:p>
        </w:tc>
        <w:tc>
          <w:tcPr>
            <w:tcW w:w="4621" w:type="dxa"/>
          </w:tcPr>
          <w:p w:rsidR="00415F31" w:rsidRDefault="00415F31" w:rsidP="00F365B3">
            <w:pPr>
              <w:numPr>
                <w:ilvl w:val="0"/>
                <w:numId w:val="24"/>
              </w:numPr>
              <w:spacing w:after="240" w:line="288" w:lineRule="auto"/>
              <w:jc w:val="both"/>
              <w:cnfStyle w:val="000000000000" w:firstRow="0" w:lastRow="0" w:firstColumn="0" w:lastColumn="0" w:oddVBand="0" w:evenVBand="0" w:oddHBand="0" w:evenHBand="0" w:firstRowFirstColumn="0" w:firstRowLastColumn="0" w:lastRowFirstColumn="0" w:lastRowLastColumn="0"/>
            </w:pPr>
            <w:r>
              <w:t>replacement expenditure</w:t>
            </w:r>
          </w:p>
        </w:tc>
      </w:tr>
      <w:tr w:rsidR="00415F31" w:rsidTr="00BD5D8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415F31" w:rsidRDefault="00415F31" w:rsidP="00F365B3">
            <w:pPr>
              <w:numPr>
                <w:ilvl w:val="0"/>
                <w:numId w:val="24"/>
              </w:numPr>
              <w:spacing w:after="240" w:line="288" w:lineRule="auto"/>
              <w:jc w:val="both"/>
            </w:pPr>
            <w:r>
              <w:t>RFM</w:t>
            </w:r>
          </w:p>
        </w:tc>
        <w:tc>
          <w:tcPr>
            <w:tcW w:w="4621" w:type="dxa"/>
          </w:tcPr>
          <w:p w:rsidR="00415F31" w:rsidRDefault="00415F31" w:rsidP="00F365B3">
            <w:pPr>
              <w:numPr>
                <w:ilvl w:val="0"/>
                <w:numId w:val="24"/>
              </w:numPr>
              <w:spacing w:after="240" w:line="288" w:lineRule="auto"/>
              <w:jc w:val="both"/>
              <w:cnfStyle w:val="000000010000" w:firstRow="0" w:lastRow="0" w:firstColumn="0" w:lastColumn="0" w:oddVBand="0" w:evenVBand="0" w:oddHBand="0" w:evenHBand="1" w:firstRowFirstColumn="0" w:firstRowLastColumn="0" w:lastRowFirstColumn="0" w:lastRowLastColumn="0"/>
            </w:pPr>
            <w:r>
              <w:t>roll forward model</w:t>
            </w:r>
          </w:p>
        </w:tc>
      </w:tr>
      <w:tr w:rsidR="00415F31" w:rsidTr="00BD5D87">
        <w:tc>
          <w:tcPr>
            <w:cnfStyle w:val="001000000000" w:firstRow="0" w:lastRow="0" w:firstColumn="1" w:lastColumn="0" w:oddVBand="0" w:evenVBand="0" w:oddHBand="0" w:evenHBand="0" w:firstRowFirstColumn="0" w:firstRowLastColumn="0" w:lastRowFirstColumn="0" w:lastRowLastColumn="0"/>
            <w:tcW w:w="4621" w:type="dxa"/>
          </w:tcPr>
          <w:p w:rsidR="00415F31" w:rsidRDefault="00415F31" w:rsidP="00F365B3">
            <w:pPr>
              <w:numPr>
                <w:ilvl w:val="0"/>
                <w:numId w:val="24"/>
              </w:numPr>
              <w:spacing w:after="240" w:line="288" w:lineRule="auto"/>
              <w:jc w:val="both"/>
            </w:pPr>
            <w:r>
              <w:t>RIN</w:t>
            </w:r>
          </w:p>
        </w:tc>
        <w:tc>
          <w:tcPr>
            <w:tcW w:w="4621" w:type="dxa"/>
          </w:tcPr>
          <w:p w:rsidR="00415F31" w:rsidRDefault="00415F31" w:rsidP="00F365B3">
            <w:pPr>
              <w:numPr>
                <w:ilvl w:val="0"/>
                <w:numId w:val="24"/>
              </w:numPr>
              <w:spacing w:after="240" w:line="288" w:lineRule="auto"/>
              <w:jc w:val="both"/>
              <w:cnfStyle w:val="000000000000" w:firstRow="0" w:lastRow="0" w:firstColumn="0" w:lastColumn="0" w:oddVBand="0" w:evenVBand="0" w:oddHBand="0" w:evenHBand="0" w:firstRowFirstColumn="0" w:firstRowLastColumn="0" w:lastRowFirstColumn="0" w:lastRowLastColumn="0"/>
            </w:pPr>
            <w:r>
              <w:t>regulatory information notice</w:t>
            </w:r>
          </w:p>
        </w:tc>
      </w:tr>
      <w:tr w:rsidR="00415F31" w:rsidTr="00BD5D8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415F31" w:rsidRDefault="00415F31" w:rsidP="00F365B3">
            <w:pPr>
              <w:numPr>
                <w:ilvl w:val="0"/>
                <w:numId w:val="24"/>
              </w:numPr>
              <w:spacing w:after="240" w:line="288" w:lineRule="auto"/>
              <w:jc w:val="both"/>
            </w:pPr>
            <w:r>
              <w:t>RPP</w:t>
            </w:r>
          </w:p>
        </w:tc>
        <w:tc>
          <w:tcPr>
            <w:tcW w:w="4621" w:type="dxa"/>
          </w:tcPr>
          <w:p w:rsidR="00415F31" w:rsidRDefault="00415F31" w:rsidP="00F365B3">
            <w:pPr>
              <w:numPr>
                <w:ilvl w:val="0"/>
                <w:numId w:val="24"/>
              </w:numPr>
              <w:spacing w:after="240" w:line="288" w:lineRule="auto"/>
              <w:jc w:val="both"/>
              <w:cnfStyle w:val="000000010000" w:firstRow="0" w:lastRow="0" w:firstColumn="0" w:lastColumn="0" w:oddVBand="0" w:evenVBand="0" w:oddHBand="0" w:evenHBand="1" w:firstRowFirstColumn="0" w:firstRowLastColumn="0" w:lastRowFirstColumn="0" w:lastRowLastColumn="0"/>
            </w:pPr>
            <w:r>
              <w:t xml:space="preserve">revenue </w:t>
            </w:r>
            <w:r w:rsidR="002D72E8">
              <w:t xml:space="preserve">and </w:t>
            </w:r>
            <w:r>
              <w:t>pricing principles</w:t>
            </w:r>
          </w:p>
        </w:tc>
      </w:tr>
      <w:tr w:rsidR="00415F31" w:rsidTr="00BD5D87">
        <w:tc>
          <w:tcPr>
            <w:cnfStyle w:val="001000000000" w:firstRow="0" w:lastRow="0" w:firstColumn="1" w:lastColumn="0" w:oddVBand="0" w:evenVBand="0" w:oddHBand="0" w:evenHBand="0" w:firstRowFirstColumn="0" w:firstRowLastColumn="0" w:lastRowFirstColumn="0" w:lastRowLastColumn="0"/>
            <w:tcW w:w="4621" w:type="dxa"/>
          </w:tcPr>
          <w:p w:rsidR="00415F31" w:rsidRDefault="00415F31" w:rsidP="00F365B3">
            <w:pPr>
              <w:numPr>
                <w:ilvl w:val="0"/>
                <w:numId w:val="24"/>
              </w:numPr>
              <w:spacing w:after="240" w:line="288" w:lineRule="auto"/>
              <w:jc w:val="both"/>
            </w:pPr>
            <w:r>
              <w:t>SLCAPM</w:t>
            </w:r>
          </w:p>
        </w:tc>
        <w:tc>
          <w:tcPr>
            <w:tcW w:w="4621" w:type="dxa"/>
          </w:tcPr>
          <w:p w:rsidR="00415F31" w:rsidRDefault="00415F31" w:rsidP="00F365B3">
            <w:pPr>
              <w:numPr>
                <w:ilvl w:val="0"/>
                <w:numId w:val="24"/>
              </w:numPr>
              <w:spacing w:after="240" w:line="288" w:lineRule="auto"/>
              <w:jc w:val="both"/>
              <w:cnfStyle w:val="000000000000" w:firstRow="0" w:lastRow="0" w:firstColumn="0" w:lastColumn="0" w:oddVBand="0" w:evenVBand="0" w:oddHBand="0" w:evenHBand="0" w:firstRowFirstColumn="0" w:firstRowLastColumn="0" w:lastRowFirstColumn="0" w:lastRowLastColumn="0"/>
            </w:pPr>
            <w:r>
              <w:t>Sharpe-Lintner capital asset pricing model</w:t>
            </w:r>
          </w:p>
        </w:tc>
      </w:tr>
      <w:tr w:rsidR="00415F31" w:rsidTr="00BD5D8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415F31" w:rsidRDefault="00415F31" w:rsidP="00F365B3">
            <w:pPr>
              <w:numPr>
                <w:ilvl w:val="0"/>
                <w:numId w:val="24"/>
              </w:numPr>
              <w:spacing w:after="240" w:line="288" w:lineRule="auto"/>
              <w:jc w:val="both"/>
            </w:pPr>
            <w:r>
              <w:t>STPIS</w:t>
            </w:r>
          </w:p>
        </w:tc>
        <w:tc>
          <w:tcPr>
            <w:tcW w:w="4621" w:type="dxa"/>
          </w:tcPr>
          <w:p w:rsidR="00415F31" w:rsidRDefault="00415F31" w:rsidP="00F365B3">
            <w:pPr>
              <w:numPr>
                <w:ilvl w:val="0"/>
                <w:numId w:val="24"/>
              </w:numPr>
              <w:spacing w:after="240" w:line="288" w:lineRule="auto"/>
              <w:jc w:val="both"/>
              <w:cnfStyle w:val="000000010000" w:firstRow="0" w:lastRow="0" w:firstColumn="0" w:lastColumn="0" w:oddVBand="0" w:evenVBand="0" w:oddHBand="0" w:evenHBand="1" w:firstRowFirstColumn="0" w:firstRowLastColumn="0" w:lastRowFirstColumn="0" w:lastRowLastColumn="0"/>
            </w:pPr>
            <w:r>
              <w:t>service target performance incentive scheme</w:t>
            </w:r>
          </w:p>
        </w:tc>
      </w:tr>
      <w:tr w:rsidR="00415F31" w:rsidTr="00BD5D87">
        <w:tc>
          <w:tcPr>
            <w:cnfStyle w:val="001000000000" w:firstRow="0" w:lastRow="0" w:firstColumn="1" w:lastColumn="0" w:oddVBand="0" w:evenVBand="0" w:oddHBand="0" w:evenHBand="0" w:firstRowFirstColumn="0" w:firstRowLastColumn="0" w:lastRowFirstColumn="0" w:lastRowLastColumn="0"/>
            <w:tcW w:w="4621" w:type="dxa"/>
          </w:tcPr>
          <w:p w:rsidR="00415F31" w:rsidRDefault="00415F31" w:rsidP="00F365B3">
            <w:pPr>
              <w:numPr>
                <w:ilvl w:val="0"/>
                <w:numId w:val="24"/>
              </w:numPr>
              <w:spacing w:after="240" w:line="288" w:lineRule="auto"/>
              <w:jc w:val="both"/>
            </w:pPr>
            <w:r>
              <w:t>TNSP</w:t>
            </w:r>
          </w:p>
        </w:tc>
        <w:tc>
          <w:tcPr>
            <w:tcW w:w="4621" w:type="dxa"/>
          </w:tcPr>
          <w:p w:rsidR="00415F31" w:rsidRDefault="00415F31" w:rsidP="00F365B3">
            <w:pPr>
              <w:numPr>
                <w:ilvl w:val="0"/>
                <w:numId w:val="24"/>
              </w:numPr>
              <w:spacing w:after="240" w:line="288" w:lineRule="auto"/>
              <w:jc w:val="both"/>
              <w:cnfStyle w:val="000000000000" w:firstRow="0" w:lastRow="0" w:firstColumn="0" w:lastColumn="0" w:oddVBand="0" w:evenVBand="0" w:oddHBand="0" w:evenHBand="0" w:firstRowFirstColumn="0" w:firstRowLastColumn="0" w:lastRowFirstColumn="0" w:lastRowLastColumn="0"/>
            </w:pPr>
            <w:r>
              <w:t>transmission network service provider</w:t>
            </w:r>
          </w:p>
        </w:tc>
      </w:tr>
      <w:tr w:rsidR="00415F31" w:rsidTr="00BD5D8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21" w:type="dxa"/>
          </w:tcPr>
          <w:p w:rsidR="00415F31" w:rsidRDefault="00415F31" w:rsidP="00F365B3">
            <w:pPr>
              <w:numPr>
                <w:ilvl w:val="0"/>
                <w:numId w:val="24"/>
              </w:numPr>
              <w:spacing w:after="240" w:line="288" w:lineRule="auto"/>
              <w:jc w:val="both"/>
            </w:pPr>
            <w:r>
              <w:t>TUoS</w:t>
            </w:r>
          </w:p>
        </w:tc>
        <w:tc>
          <w:tcPr>
            <w:tcW w:w="4621" w:type="dxa"/>
          </w:tcPr>
          <w:p w:rsidR="00415F31" w:rsidRDefault="00415F31" w:rsidP="00F365B3">
            <w:pPr>
              <w:numPr>
                <w:ilvl w:val="0"/>
                <w:numId w:val="24"/>
              </w:numPr>
              <w:spacing w:after="240" w:line="288" w:lineRule="auto"/>
              <w:jc w:val="both"/>
              <w:cnfStyle w:val="000000010000" w:firstRow="0" w:lastRow="0" w:firstColumn="0" w:lastColumn="0" w:oddVBand="0" w:evenVBand="0" w:oddHBand="0" w:evenHBand="1" w:firstRowFirstColumn="0" w:firstRowLastColumn="0" w:lastRowFirstColumn="0" w:lastRowLastColumn="0"/>
            </w:pPr>
            <w:r>
              <w:t>transmission use of system</w:t>
            </w:r>
          </w:p>
        </w:tc>
      </w:tr>
      <w:tr w:rsidR="00415F31" w:rsidTr="00BD5D87">
        <w:tc>
          <w:tcPr>
            <w:cnfStyle w:val="001000000000" w:firstRow="0" w:lastRow="0" w:firstColumn="1" w:lastColumn="0" w:oddVBand="0" w:evenVBand="0" w:oddHBand="0" w:evenHBand="0" w:firstRowFirstColumn="0" w:firstRowLastColumn="0" w:lastRowFirstColumn="0" w:lastRowLastColumn="0"/>
            <w:tcW w:w="4621" w:type="dxa"/>
          </w:tcPr>
          <w:p w:rsidR="00415F31" w:rsidRDefault="00415F31" w:rsidP="00F365B3">
            <w:pPr>
              <w:numPr>
                <w:ilvl w:val="0"/>
                <w:numId w:val="24"/>
              </w:numPr>
              <w:spacing w:after="240" w:line="288" w:lineRule="auto"/>
              <w:jc w:val="both"/>
            </w:pPr>
            <w:r>
              <w:t>WACC</w:t>
            </w:r>
          </w:p>
        </w:tc>
        <w:tc>
          <w:tcPr>
            <w:tcW w:w="4621" w:type="dxa"/>
          </w:tcPr>
          <w:p w:rsidR="00415F31" w:rsidRDefault="00415F31" w:rsidP="00F365B3">
            <w:pPr>
              <w:numPr>
                <w:ilvl w:val="0"/>
                <w:numId w:val="24"/>
              </w:numPr>
              <w:spacing w:after="240" w:line="288" w:lineRule="auto"/>
              <w:jc w:val="both"/>
              <w:cnfStyle w:val="000000000000" w:firstRow="0" w:lastRow="0" w:firstColumn="0" w:lastColumn="0" w:oddVBand="0" w:evenVBand="0" w:oddHBand="0" w:evenHBand="0" w:firstRowFirstColumn="0" w:firstRowLastColumn="0" w:lastRowFirstColumn="0" w:lastRowLastColumn="0"/>
            </w:pPr>
            <w:r>
              <w:t>weighted average cost of capital</w:t>
            </w:r>
          </w:p>
        </w:tc>
      </w:tr>
    </w:tbl>
    <w:p w:rsidR="00415F31" w:rsidRPr="00271F7C" w:rsidRDefault="00415F31" w:rsidP="00415F31"/>
    <w:p w:rsidR="00DE563D" w:rsidRPr="00436A39" w:rsidRDefault="00DE563D" w:rsidP="00F365B3">
      <w:pPr>
        <w:numPr>
          <w:ilvl w:val="0"/>
          <w:numId w:val="24"/>
        </w:numPr>
      </w:pPr>
    </w:p>
    <w:p w:rsidR="00DE563D" w:rsidRDefault="00DE563D" w:rsidP="00DE563D"/>
    <w:p w:rsidR="00DE563D" w:rsidRDefault="008C55FA" w:rsidP="008C55FA">
      <w:pPr>
        <w:pStyle w:val="Heading1"/>
      </w:pPr>
      <w:bookmarkStart w:id="10" w:name="_Toc480810419"/>
      <w:r>
        <w:lastRenderedPageBreak/>
        <w:t>Pass through events</w:t>
      </w:r>
      <w:bookmarkEnd w:id="10"/>
    </w:p>
    <w:p w:rsidR="00DB150D" w:rsidRDefault="00DB150D" w:rsidP="00F365B3">
      <w:pPr>
        <w:numPr>
          <w:ilvl w:val="0"/>
          <w:numId w:val="24"/>
        </w:numPr>
      </w:pPr>
      <w:r>
        <w:t xml:space="preserve">During the regulatory control period, a service provider can apply to us to pass material changes in its costs arising from </w:t>
      </w:r>
      <w:r w:rsidR="003971CD">
        <w:t xml:space="preserve">pre-defined exogenous </w:t>
      </w:r>
      <w:r>
        <w:t>events through to customers, in the form of higher or lower network charges.</w:t>
      </w:r>
      <w:r w:rsidRPr="006502ED">
        <w:t xml:space="preserve"> </w:t>
      </w:r>
      <w:r>
        <w:t>These events are called cost pass through events. Positive pass throughs exist in the rules as a mechanism to allow service providers to recover their efficient costs incurred as a result of events that could not be forecast as part of their proposal that otherwise would have a significant financial effect on the ability of networks to invest in and operate their networks.</w:t>
      </w:r>
      <w:r>
        <w:rPr>
          <w:rStyle w:val="FootnoteReference"/>
        </w:rPr>
        <w:footnoteReference w:id="1"/>
      </w:r>
    </w:p>
    <w:p w:rsidR="00DB150D" w:rsidRPr="006502ED" w:rsidRDefault="00DB150D" w:rsidP="007A3C6A">
      <w:r w:rsidRPr="006502ED">
        <w:t>The NER include the following pass through events</w:t>
      </w:r>
      <w:r>
        <w:t xml:space="preserve"> for</w:t>
      </w:r>
      <w:r w:rsidR="007A3C6A">
        <w:t xml:space="preserve"> all transmission</w:t>
      </w:r>
      <w:r>
        <w:t xml:space="preserve"> determinations</w:t>
      </w:r>
      <w:r w:rsidRPr="006502ED">
        <w:t>:</w:t>
      </w:r>
      <w:r>
        <w:rPr>
          <w:rStyle w:val="FootnoteReference"/>
        </w:rPr>
        <w:footnoteReference w:id="2"/>
      </w:r>
    </w:p>
    <w:p w:rsidR="00DB150D" w:rsidRPr="006502ED" w:rsidRDefault="00DB150D" w:rsidP="00DB150D">
      <w:pPr>
        <w:pStyle w:val="AERbulletlistfirststyle"/>
      </w:pPr>
      <w:r w:rsidRPr="006502ED">
        <w:t>a regulatory change event</w:t>
      </w:r>
      <w:r w:rsidR="00C91EA1">
        <w:t>,</w:t>
      </w:r>
    </w:p>
    <w:p w:rsidR="00DB150D" w:rsidRPr="006502ED" w:rsidRDefault="00DB150D" w:rsidP="00DB150D">
      <w:pPr>
        <w:pStyle w:val="AERbulletlistfirststyle"/>
      </w:pPr>
      <w:r w:rsidRPr="006502ED">
        <w:t>a service standard event</w:t>
      </w:r>
      <w:r w:rsidR="00C91EA1">
        <w:t>,</w:t>
      </w:r>
    </w:p>
    <w:p w:rsidR="00DB150D" w:rsidRPr="00196CE3" w:rsidRDefault="00DB150D" w:rsidP="00DB150D">
      <w:pPr>
        <w:pStyle w:val="AERbulletlistfirststyle"/>
      </w:pPr>
      <w:r w:rsidRPr="00196CE3">
        <w:t>a tax change event</w:t>
      </w:r>
      <w:r w:rsidR="00C91EA1">
        <w:t>, and</w:t>
      </w:r>
    </w:p>
    <w:p w:rsidR="00DB150D" w:rsidRPr="006502ED" w:rsidRDefault="0046075B" w:rsidP="0046075B">
      <w:pPr>
        <w:pStyle w:val="AERbulletlistfirststyle"/>
      </w:pPr>
      <w:r>
        <w:t>an insurance event</w:t>
      </w:r>
      <w:r w:rsidR="00DB150D">
        <w:t>.</w:t>
      </w:r>
    </w:p>
    <w:p w:rsidR="00786BB8" w:rsidRDefault="00DB150D" w:rsidP="004646BB">
      <w:r>
        <w:t>I</w:t>
      </w:r>
      <w:r w:rsidRPr="00DB150D">
        <w:t>n addition to these prescribed events, other (nominated) pass through events may be specified in a determination for a regulatory control period.</w:t>
      </w:r>
      <w:r w:rsidRPr="00DB150D">
        <w:rPr>
          <w:rStyle w:val="FootnoteReference"/>
        </w:rPr>
        <w:footnoteReference w:id="3"/>
      </w:r>
      <w:r w:rsidRPr="00DB150D">
        <w:t xml:space="preserve"> </w:t>
      </w:r>
    </w:p>
    <w:p w:rsidR="00DB150D" w:rsidRPr="00DB150D" w:rsidRDefault="00786BB8" w:rsidP="004646BB">
      <w:r>
        <w:t>Our final decision must include a decision on the nominated pass through events that are to apply for the regulatory control period.</w:t>
      </w:r>
      <w:r>
        <w:rPr>
          <w:rStyle w:val="FootnoteReference"/>
        </w:rPr>
        <w:footnoteReference w:id="4"/>
      </w:r>
    </w:p>
    <w:p w:rsidR="00DB150D" w:rsidRPr="006502ED" w:rsidRDefault="00DB150D" w:rsidP="00DB150D">
      <w:r w:rsidRPr="006502ED">
        <w:t xml:space="preserve">This attachment sets out our </w:t>
      </w:r>
      <w:r w:rsidR="00ED5749">
        <w:t>final</w:t>
      </w:r>
      <w:r w:rsidRPr="006502ED">
        <w:t xml:space="preserve"> decision on the </w:t>
      </w:r>
      <w:r>
        <w:t>nominated</w:t>
      </w:r>
      <w:r w:rsidRPr="006502ED">
        <w:t xml:space="preserve"> pass through events </w:t>
      </w:r>
      <w:r>
        <w:t xml:space="preserve">that will apply to </w:t>
      </w:r>
      <w:r w:rsidR="0046075B">
        <w:t xml:space="preserve">AusNet Services </w:t>
      </w:r>
      <w:r>
        <w:t>for</w:t>
      </w:r>
      <w:r w:rsidRPr="006502ED">
        <w:t xml:space="preserve"> the </w:t>
      </w:r>
      <w:r w:rsidR="0046075B">
        <w:t>2017</w:t>
      </w:r>
      <w:r w:rsidR="0046075B" w:rsidRPr="00180BEB">
        <w:t>–</w:t>
      </w:r>
      <w:r w:rsidR="0046075B">
        <w:t xml:space="preserve">22 </w:t>
      </w:r>
      <w:r w:rsidRPr="006502ED">
        <w:t>regulatory control period.</w:t>
      </w:r>
    </w:p>
    <w:p w:rsidR="00DE563D" w:rsidRPr="001754EE" w:rsidRDefault="00ED5749" w:rsidP="001754EE">
      <w:pPr>
        <w:pStyle w:val="Heading2"/>
      </w:pPr>
      <w:bookmarkStart w:id="11" w:name="_Toc403144136"/>
      <w:bookmarkStart w:id="12" w:name="_Toc480810420"/>
      <w:r>
        <w:t>Final</w:t>
      </w:r>
      <w:r w:rsidR="00DE563D" w:rsidRPr="001754EE">
        <w:t xml:space="preserve"> decision</w:t>
      </w:r>
      <w:bookmarkEnd w:id="11"/>
      <w:bookmarkEnd w:id="12"/>
    </w:p>
    <w:p w:rsidR="0046075B" w:rsidRDefault="0046075B" w:rsidP="00F365B3">
      <w:pPr>
        <w:numPr>
          <w:ilvl w:val="0"/>
          <w:numId w:val="24"/>
        </w:numPr>
      </w:pPr>
      <w:bookmarkStart w:id="13" w:name="_Toc403144137"/>
      <w:r>
        <w:t>Our final decision is that the nominated pa</w:t>
      </w:r>
      <w:r w:rsidR="00333800">
        <w:t>s</w:t>
      </w:r>
      <w:r>
        <w:t xml:space="preserve">s through events detailed in </w:t>
      </w:r>
      <w:r>
        <w:fldChar w:fldCharType="begin"/>
      </w:r>
      <w:r>
        <w:instrText xml:space="preserve"> REF _Ref464648282 \h </w:instrText>
      </w:r>
      <w:r>
        <w:fldChar w:fldCharType="separate"/>
      </w:r>
      <w:r w:rsidR="00FF7590">
        <w:t xml:space="preserve">Table </w:t>
      </w:r>
      <w:r w:rsidR="00FF7590">
        <w:rPr>
          <w:noProof/>
        </w:rPr>
        <w:t>13</w:t>
      </w:r>
      <w:r w:rsidR="00FF7590">
        <w:noBreakHyphen/>
      </w:r>
      <w:r w:rsidR="00FF7590">
        <w:rPr>
          <w:noProof/>
        </w:rPr>
        <w:t>1</w:t>
      </w:r>
      <w:r>
        <w:fldChar w:fldCharType="end"/>
      </w:r>
      <w:r>
        <w:t xml:space="preserve"> will apply to AusNet Services for the 2017</w:t>
      </w:r>
      <w:r w:rsidRPr="00180BEB">
        <w:t>–</w:t>
      </w:r>
      <w:r>
        <w:t xml:space="preserve">22 </w:t>
      </w:r>
      <w:r w:rsidRPr="006502ED">
        <w:t>regulatory control period.</w:t>
      </w:r>
    </w:p>
    <w:p w:rsidR="0046075B" w:rsidRDefault="0046075B" w:rsidP="00FF7590">
      <w:pPr>
        <w:pStyle w:val="Caption"/>
        <w:numPr>
          <w:ilvl w:val="0"/>
          <w:numId w:val="24"/>
        </w:numPr>
      </w:pPr>
      <w:bookmarkStart w:id="14" w:name="_Ref464648282"/>
      <w:r>
        <w:lastRenderedPageBreak/>
        <w:t xml:space="preserve">Table </w:t>
      </w:r>
      <w:r w:rsidRPr="0046075B">
        <w:fldChar w:fldCharType="begin"/>
      </w:r>
      <w:r>
        <w:instrText xml:space="preserve"> STYLEREF 1 \s </w:instrText>
      </w:r>
      <w:r w:rsidRPr="0046075B">
        <w:fldChar w:fldCharType="separate"/>
      </w:r>
      <w:r w:rsidR="00FF7590">
        <w:rPr>
          <w:noProof/>
        </w:rPr>
        <w:t>13</w:t>
      </w:r>
      <w:r w:rsidRPr="0046075B">
        <w:fldChar w:fldCharType="end"/>
      </w:r>
      <w:r>
        <w:noBreakHyphen/>
      </w:r>
      <w:r w:rsidRPr="0046075B">
        <w:fldChar w:fldCharType="begin"/>
      </w:r>
      <w:r>
        <w:instrText xml:space="preserve"> SEQ Table \* ARABIC \s 1 </w:instrText>
      </w:r>
      <w:r w:rsidRPr="0046075B">
        <w:fldChar w:fldCharType="separate"/>
      </w:r>
      <w:r w:rsidR="00FF7590">
        <w:rPr>
          <w:noProof/>
        </w:rPr>
        <w:t>1</w:t>
      </w:r>
      <w:r w:rsidRPr="0046075B">
        <w:fldChar w:fldCharType="end"/>
      </w:r>
      <w:bookmarkEnd w:id="14"/>
      <w:r w:rsidRPr="00C4578E">
        <w:tab/>
        <w:t>AusNet Services’ proposed pass through events</w:t>
      </w:r>
    </w:p>
    <w:tbl>
      <w:tblPr>
        <w:tblStyle w:val="AERtable-text0"/>
        <w:tblW w:w="0" w:type="auto"/>
        <w:tblLook w:val="04A0" w:firstRow="1" w:lastRow="0" w:firstColumn="1" w:lastColumn="0" w:noHBand="0" w:noVBand="1"/>
      </w:tblPr>
      <w:tblGrid>
        <w:gridCol w:w="3085"/>
        <w:gridCol w:w="5608"/>
      </w:tblGrid>
      <w:tr w:rsidR="0046075B" w:rsidTr="004379A5">
        <w:trPr>
          <w:cnfStyle w:val="100000000000" w:firstRow="1" w:lastRow="0" w:firstColumn="0" w:lastColumn="0" w:oddVBand="0" w:evenVBand="0" w:oddHBand="0" w:evenHBand="0" w:firstRowFirstColumn="0" w:firstRowLastColumn="0" w:lastRowFirstColumn="0" w:lastRowLastColumn="0"/>
          <w:tblHeader/>
        </w:trPr>
        <w:tc>
          <w:tcPr>
            <w:tcW w:w="3085" w:type="dxa"/>
          </w:tcPr>
          <w:p w:rsidR="0046075B" w:rsidRPr="0046075B" w:rsidRDefault="0046075B" w:rsidP="00FF5DCC">
            <w:pPr>
              <w:keepNext/>
              <w:rPr>
                <w:rFonts w:eastAsiaTheme="minorHAnsi" w:cstheme="minorBidi"/>
                <w:b w:val="0"/>
                <w:color w:val="auto"/>
                <w:sz w:val="22"/>
                <w:szCs w:val="22"/>
                <w:lang w:eastAsia="en-US"/>
              </w:rPr>
            </w:pPr>
            <w:r>
              <w:t>Proposed event</w:t>
            </w:r>
          </w:p>
        </w:tc>
        <w:tc>
          <w:tcPr>
            <w:tcW w:w="5608" w:type="dxa"/>
          </w:tcPr>
          <w:p w:rsidR="0046075B" w:rsidRPr="0046075B" w:rsidRDefault="0046075B" w:rsidP="00FF5DCC">
            <w:pPr>
              <w:keepNext/>
              <w:rPr>
                <w:rFonts w:eastAsiaTheme="minorHAnsi" w:cstheme="minorBidi"/>
                <w:b w:val="0"/>
                <w:color w:val="auto"/>
                <w:sz w:val="22"/>
                <w:szCs w:val="22"/>
                <w:lang w:eastAsia="en-US"/>
              </w:rPr>
            </w:pPr>
            <w:r>
              <w:t>P</w:t>
            </w:r>
            <w:r w:rsidRPr="0046075B">
              <w:t xml:space="preserve">roposed definition </w:t>
            </w:r>
          </w:p>
        </w:tc>
      </w:tr>
      <w:tr w:rsidR="0046075B" w:rsidTr="004379A5">
        <w:tc>
          <w:tcPr>
            <w:tcW w:w="3085" w:type="dxa"/>
          </w:tcPr>
          <w:p w:rsidR="0046075B" w:rsidRPr="0046075B" w:rsidRDefault="0046075B" w:rsidP="00FF5DCC">
            <w:pPr>
              <w:keepNext/>
              <w:rPr>
                <w:rFonts w:eastAsiaTheme="minorHAnsi" w:cstheme="minorBidi"/>
                <w:sz w:val="22"/>
                <w:szCs w:val="22"/>
                <w:lang w:eastAsia="en-US"/>
              </w:rPr>
            </w:pPr>
            <w:r>
              <w:t>Terrorism event</w:t>
            </w:r>
          </w:p>
        </w:tc>
        <w:tc>
          <w:tcPr>
            <w:tcW w:w="5608" w:type="dxa"/>
          </w:tcPr>
          <w:p w:rsidR="0046075B" w:rsidRPr="0046075B" w:rsidRDefault="0046075B" w:rsidP="00FF5DCC">
            <w:pPr>
              <w:keepNext/>
              <w:rPr>
                <w:rFonts w:eastAsiaTheme="minorHAnsi" w:cstheme="minorBidi"/>
                <w:sz w:val="22"/>
                <w:szCs w:val="22"/>
                <w:lang w:eastAsia="en-US"/>
              </w:rPr>
            </w:pPr>
            <w:r>
              <w:t>A terrorism event occurs if:</w:t>
            </w:r>
          </w:p>
          <w:p w:rsidR="0046075B" w:rsidRPr="0046075B" w:rsidRDefault="0046075B" w:rsidP="00FF5DCC">
            <w:pPr>
              <w:keepNext/>
              <w:rPr>
                <w:rFonts w:eastAsiaTheme="minorHAnsi" w:cstheme="minorBidi"/>
                <w:sz w:val="22"/>
                <w:szCs w:val="22"/>
                <w:lang w:eastAsia="en-US"/>
              </w:rPr>
            </w:pPr>
            <w:r>
              <w:t>An act (including, but not limited to, the use of force or violence or the threat of force or violence) of any person or group of persons (whether acting alone or on behalf of or in connection with any organisation or government), which from its nature or context is done for, or in connection with, political, religious, ideological, ethnic or similar purposes or reasons (including the intention to influence or intimidate any government and/or put the public, or any section of</w:t>
            </w:r>
            <w:r w:rsidR="00362D1F">
              <w:t xml:space="preserve"> the public, in fear) and which</w:t>
            </w:r>
            <w:r>
              <w:t xml:space="preserve"> increases the costs to AusNet Services in providing prescribed transmission services.</w:t>
            </w:r>
          </w:p>
          <w:p w:rsidR="0046075B" w:rsidRPr="0046075B" w:rsidRDefault="0046075B" w:rsidP="00FF5DCC">
            <w:pPr>
              <w:keepNext/>
              <w:rPr>
                <w:rFonts w:eastAsiaTheme="minorHAnsi" w:cstheme="minorBidi"/>
                <w:sz w:val="22"/>
                <w:szCs w:val="22"/>
                <w:lang w:eastAsia="en-US"/>
              </w:rPr>
            </w:pPr>
            <w:r>
              <w:t>Note: In assessing a terrorism event pass through</w:t>
            </w:r>
            <w:r w:rsidRPr="0046075B">
              <w:t xml:space="preserve"> application, the AER will have regard to, amongst other things:</w:t>
            </w:r>
          </w:p>
          <w:p w:rsidR="0046075B" w:rsidRPr="0046075B" w:rsidRDefault="0046075B" w:rsidP="00FF5DCC">
            <w:pPr>
              <w:keepNext/>
              <w:rPr>
                <w:rFonts w:eastAsiaTheme="minorHAnsi" w:cstheme="minorBidi"/>
                <w:sz w:val="22"/>
                <w:szCs w:val="22"/>
                <w:lang w:eastAsia="en-US"/>
              </w:rPr>
            </w:pPr>
            <w:r>
              <w:t>i. whether AusNet Services has insurance against the event;</w:t>
            </w:r>
          </w:p>
          <w:p w:rsidR="0046075B" w:rsidRPr="0046075B" w:rsidRDefault="0046075B" w:rsidP="00FF5DCC">
            <w:pPr>
              <w:keepNext/>
              <w:rPr>
                <w:rFonts w:eastAsiaTheme="minorHAnsi" w:cstheme="minorBidi"/>
                <w:sz w:val="22"/>
                <w:szCs w:val="22"/>
                <w:lang w:eastAsia="en-US"/>
              </w:rPr>
            </w:pPr>
            <w:r>
              <w:t>ii. the level of insurance that an efficient and prudent NSP would obtain in respect of the event; and</w:t>
            </w:r>
          </w:p>
          <w:p w:rsidR="0046075B" w:rsidRPr="0046075B" w:rsidRDefault="0046075B" w:rsidP="00FF5DCC">
            <w:pPr>
              <w:keepNext/>
              <w:rPr>
                <w:rFonts w:eastAsiaTheme="minorHAnsi" w:cstheme="minorBidi"/>
                <w:sz w:val="22"/>
                <w:szCs w:val="22"/>
                <w:lang w:eastAsia="en-US"/>
              </w:rPr>
            </w:pPr>
            <w:r>
              <w:t>iii. whether a declaration has been made by a relevant government authority that</w:t>
            </w:r>
            <w:r w:rsidR="00C3435E">
              <w:t xml:space="preserve"> an</w:t>
            </w:r>
            <w:r w:rsidR="00370651">
              <w:t xml:space="preserve"> </w:t>
            </w:r>
            <w:r w:rsidR="00C3435E">
              <w:t>act of</w:t>
            </w:r>
            <w:r w:rsidR="00362D1F">
              <w:t xml:space="preserve"> terrorism</w:t>
            </w:r>
            <w:r>
              <w:t xml:space="preserve"> has occurred.</w:t>
            </w:r>
          </w:p>
        </w:tc>
      </w:tr>
      <w:tr w:rsidR="0046075B" w:rsidTr="004379A5">
        <w:trPr>
          <w:cnfStyle w:val="000000010000" w:firstRow="0" w:lastRow="0" w:firstColumn="0" w:lastColumn="0" w:oddVBand="0" w:evenVBand="0" w:oddHBand="0" w:evenHBand="1" w:firstRowFirstColumn="0" w:firstRowLastColumn="0" w:lastRowFirstColumn="0" w:lastRowLastColumn="0"/>
        </w:trPr>
        <w:tc>
          <w:tcPr>
            <w:tcW w:w="3085" w:type="dxa"/>
          </w:tcPr>
          <w:p w:rsidR="0046075B" w:rsidRPr="0046075B" w:rsidRDefault="0046075B" w:rsidP="0046075B">
            <w:r>
              <w:t>Insurance cap event</w:t>
            </w:r>
          </w:p>
        </w:tc>
        <w:tc>
          <w:tcPr>
            <w:tcW w:w="5608" w:type="dxa"/>
          </w:tcPr>
          <w:p w:rsidR="0046075B" w:rsidRPr="0046075B" w:rsidRDefault="0046075B" w:rsidP="0046075B">
            <w:r>
              <w:t>An insurance cap event occurs if:</w:t>
            </w:r>
          </w:p>
          <w:p w:rsidR="0046075B" w:rsidRPr="0046075B" w:rsidRDefault="0046075B" w:rsidP="0046075B">
            <w:r>
              <w:t>1. AusNet Services makes a claim or claims and receives the benefit of a payment or payments under a relevant insurance policy;</w:t>
            </w:r>
          </w:p>
          <w:p w:rsidR="0046075B" w:rsidRPr="0046075B" w:rsidRDefault="0046075B" w:rsidP="0046075B">
            <w:r>
              <w:t>2. AusNet Services incurs costs beyond the relevant policy limit; and</w:t>
            </w:r>
          </w:p>
          <w:p w:rsidR="0046075B" w:rsidRPr="0046075B" w:rsidRDefault="0046075B" w:rsidP="0046075B">
            <w:r>
              <w:t>3. the costs beyond the relevant policy limit materially increase the costs to AusNet Services in providing prescribed transmission services.</w:t>
            </w:r>
          </w:p>
          <w:p w:rsidR="0046075B" w:rsidRPr="0046075B" w:rsidRDefault="0046075B" w:rsidP="0046075B">
            <w:r>
              <w:t>For this insurance cap event:</w:t>
            </w:r>
          </w:p>
          <w:p w:rsidR="0046075B" w:rsidRPr="0046075B" w:rsidRDefault="0046075B" w:rsidP="0046075B">
            <w:r>
              <w:t>4</w:t>
            </w:r>
            <w:r w:rsidR="00BB5225">
              <w:t>.</w:t>
            </w:r>
            <w:r w:rsidRPr="0046075B">
              <w:t xml:space="preserve"> </w:t>
            </w:r>
            <w:r>
              <w:t xml:space="preserve">a relevant insurance policy is an insurance policy held during the </w:t>
            </w:r>
            <w:r w:rsidR="00F84576">
              <w:t xml:space="preserve">    </w:t>
            </w:r>
            <w:r>
              <w:t>2017–</w:t>
            </w:r>
            <w:r w:rsidR="00665EB3">
              <w:t>2</w:t>
            </w:r>
            <w:r>
              <w:t>2 regulatory control period or a previous regulatory control period in which AusNet Services was</w:t>
            </w:r>
            <w:r w:rsidR="00AB6211">
              <w:t xml:space="preserve"> registered as a TNSP for the purposes of s.11 of the NEL.</w:t>
            </w:r>
          </w:p>
          <w:p w:rsidR="0046075B" w:rsidRPr="0046075B" w:rsidRDefault="0046075B" w:rsidP="0046075B">
            <w:r>
              <w:t xml:space="preserve">Note: </w:t>
            </w:r>
            <w:r w:rsidR="00BB5225">
              <w:t xml:space="preserve">In making a determination on an </w:t>
            </w:r>
            <w:r w:rsidR="00F84576">
              <w:t>i</w:t>
            </w:r>
            <w:r w:rsidR="00BB5225">
              <w:t xml:space="preserve">nsurance </w:t>
            </w:r>
            <w:r w:rsidR="00F84576">
              <w:t>c</w:t>
            </w:r>
            <w:r w:rsidR="00BB5225">
              <w:t xml:space="preserve">ap </w:t>
            </w:r>
            <w:r w:rsidR="00F84576">
              <w:t>e</w:t>
            </w:r>
            <w:r w:rsidR="00BB5225">
              <w:t xml:space="preserve">vent, </w:t>
            </w:r>
            <w:r w:rsidRPr="0046075B">
              <w:t>the AER will have regard to, amongst other things:</w:t>
            </w:r>
          </w:p>
          <w:p w:rsidR="0046075B" w:rsidRPr="0046075B" w:rsidRDefault="0046075B" w:rsidP="0046075B">
            <w:r>
              <w:t>i. the relevant ins</w:t>
            </w:r>
            <w:r w:rsidR="00F84576">
              <w:t>urance policy for the event;</w:t>
            </w:r>
          </w:p>
          <w:p w:rsidR="0046075B" w:rsidRDefault="0046075B" w:rsidP="0046075B">
            <w:r>
              <w:t>ii. the level of insurance that an efficient and prudent TNSP would obtain in respect of the event.”</w:t>
            </w:r>
          </w:p>
          <w:p w:rsidR="00BB5225" w:rsidRPr="0046075B" w:rsidRDefault="00BB5225" w:rsidP="0046075B">
            <w:r>
              <w:t>iii. any assessment by the AER of AusNet Services' insurance in making its transmission determination for the relevant period.</w:t>
            </w:r>
          </w:p>
        </w:tc>
      </w:tr>
      <w:tr w:rsidR="0046075B" w:rsidTr="004379A5">
        <w:tc>
          <w:tcPr>
            <w:tcW w:w="3085" w:type="dxa"/>
          </w:tcPr>
          <w:p w:rsidR="0046075B" w:rsidRPr="0046075B" w:rsidRDefault="0046075B" w:rsidP="0046075B">
            <w:r>
              <w:t>Natural disaster event</w:t>
            </w:r>
          </w:p>
        </w:tc>
        <w:tc>
          <w:tcPr>
            <w:tcW w:w="5608" w:type="dxa"/>
          </w:tcPr>
          <w:p w:rsidR="0046075B" w:rsidRPr="0046075B" w:rsidRDefault="00BB5225" w:rsidP="0046075B">
            <w:r>
              <w:t xml:space="preserve">Natural </w:t>
            </w:r>
            <w:r w:rsidR="00C3435E">
              <w:t>d</w:t>
            </w:r>
            <w:r w:rsidR="0046075B">
              <w:t xml:space="preserve">isaster </w:t>
            </w:r>
            <w:r w:rsidR="00C3435E">
              <w:t>e</w:t>
            </w:r>
            <w:r w:rsidR="0046075B">
              <w:t xml:space="preserve">vent </w:t>
            </w:r>
            <w:r>
              <w:t>means a</w:t>
            </w:r>
            <w:r w:rsidR="0046075B">
              <w:t>ny</w:t>
            </w:r>
            <w:r>
              <w:t xml:space="preserve"> natural disaster including but not limited to</w:t>
            </w:r>
            <w:r w:rsidR="0046075B">
              <w:t xml:space="preserve"> </w:t>
            </w:r>
            <w:r>
              <w:t>fire, flood or</w:t>
            </w:r>
            <w:r w:rsidR="0046075B">
              <w:t xml:space="preserve"> earthquake </w:t>
            </w:r>
            <w:r>
              <w:t>that o</w:t>
            </w:r>
            <w:r w:rsidR="0046075B">
              <w:t xml:space="preserve">ccurs during the 2017-22 regulatory control period and </w:t>
            </w:r>
            <w:r>
              <w:t xml:space="preserve">that </w:t>
            </w:r>
            <w:r w:rsidR="0046075B">
              <w:t>increases the costs to AusNet Services in providing prescribed transmission services, provided the fire, flood or other event was not a consequence of the acts or omissions of the service provider.</w:t>
            </w:r>
          </w:p>
          <w:p w:rsidR="0046075B" w:rsidRPr="0046075B" w:rsidRDefault="0046075B" w:rsidP="0046075B">
            <w:r>
              <w:t>Note: In assessing a natural disaster event pass through application, the AER will have regard to, amongst other things:</w:t>
            </w:r>
          </w:p>
          <w:p w:rsidR="0046075B" w:rsidRPr="0046075B" w:rsidRDefault="0046075B" w:rsidP="0046075B">
            <w:r>
              <w:t>i. whether AusNet Services has insurance against the event;</w:t>
            </w:r>
            <w:r w:rsidR="00BB5225">
              <w:t xml:space="preserve"> and</w:t>
            </w:r>
          </w:p>
          <w:p w:rsidR="0046075B" w:rsidRPr="0046075B" w:rsidRDefault="0046075B" w:rsidP="0046075B">
            <w:r>
              <w:t>ii. the level of insurance that an efficient and prudent NSP would obt</w:t>
            </w:r>
            <w:r w:rsidR="00BB5225">
              <w:t>ain in respect of the event.</w:t>
            </w:r>
          </w:p>
        </w:tc>
      </w:tr>
      <w:tr w:rsidR="0046075B" w:rsidTr="00FF5DCC">
        <w:trPr>
          <w:cnfStyle w:val="000000010000" w:firstRow="0" w:lastRow="0" w:firstColumn="0" w:lastColumn="0" w:oddVBand="0" w:evenVBand="0" w:oddHBand="0" w:evenHBand="1" w:firstRowFirstColumn="0" w:firstRowLastColumn="0" w:lastRowFirstColumn="0" w:lastRowLastColumn="0"/>
          <w:cantSplit/>
        </w:trPr>
        <w:tc>
          <w:tcPr>
            <w:tcW w:w="3085" w:type="dxa"/>
          </w:tcPr>
          <w:p w:rsidR="0046075B" w:rsidRPr="0046075B" w:rsidRDefault="0046075B" w:rsidP="0046075B">
            <w:r>
              <w:lastRenderedPageBreak/>
              <w:t>Insurer credit risk event</w:t>
            </w:r>
          </w:p>
        </w:tc>
        <w:tc>
          <w:tcPr>
            <w:tcW w:w="5608" w:type="dxa"/>
          </w:tcPr>
          <w:p w:rsidR="0046075B" w:rsidRPr="0046075B" w:rsidRDefault="0046075B" w:rsidP="0046075B">
            <w:r>
              <w:t>An insurer’s credit risk event occurs if:</w:t>
            </w:r>
          </w:p>
          <w:p w:rsidR="0046075B" w:rsidRPr="0046075B" w:rsidRDefault="0046075B" w:rsidP="0046075B">
            <w:r>
              <w:t>A nominated insurer of AusNet Services becomes insolvent, and as a result, in respect of an existing, or potential, claim for a risk that was insured by the insolvent insurer, AusNet Services:</w:t>
            </w:r>
          </w:p>
          <w:p w:rsidR="0046075B" w:rsidRPr="0046075B" w:rsidRDefault="0046075B" w:rsidP="0046075B">
            <w:r>
              <w:t>1. is subject to a materially higher or lower claim limit or a materially higher or lower deductible than would have otherwise applied under the insolvent insurer’s policy; or</w:t>
            </w:r>
          </w:p>
          <w:p w:rsidR="0046075B" w:rsidRPr="0046075B" w:rsidRDefault="0046075B" w:rsidP="0046075B">
            <w:r>
              <w:t>2. incurs additional costs associated with self-funding an insurance claim, which would otherwise have been covered by the insolvent insurer.</w:t>
            </w:r>
          </w:p>
          <w:p w:rsidR="0046075B" w:rsidRPr="0046075B" w:rsidRDefault="0046075B" w:rsidP="0046075B">
            <w:r>
              <w:t>Note: In assessing an insurer's credit risk event pass through application, the AER will have regard to, amongst other things:</w:t>
            </w:r>
          </w:p>
          <w:p w:rsidR="0046075B" w:rsidRPr="0046075B" w:rsidRDefault="0046075B" w:rsidP="0046075B">
            <w:r>
              <w:t>i. AusNet Services’ attempts to mitigate and prevent the event from occurring by reviewing and considering the insurer’s track record, size, credit rating and reputation; and</w:t>
            </w:r>
          </w:p>
          <w:p w:rsidR="0046075B" w:rsidRPr="0046075B" w:rsidRDefault="0046075B" w:rsidP="0046075B">
            <w:r>
              <w:t>ii. in the event that a claim would have been made after the insurance provider became insolvent, whether AusNet Services had reasonable opportunity to insure the risk with a different provider.</w:t>
            </w:r>
          </w:p>
        </w:tc>
      </w:tr>
    </w:tbl>
    <w:p w:rsidR="0046075B" w:rsidRDefault="0046075B" w:rsidP="0046075B"/>
    <w:p w:rsidR="004646BB" w:rsidRDefault="004646BB" w:rsidP="004646BB">
      <w:pPr>
        <w:pStyle w:val="Heading2"/>
      </w:pPr>
      <w:bookmarkStart w:id="15" w:name="_Toc480810421"/>
      <w:r>
        <w:t xml:space="preserve">AusNet Services' </w:t>
      </w:r>
      <w:r w:rsidR="00ED5749">
        <w:t xml:space="preserve">revised </w:t>
      </w:r>
      <w:r>
        <w:t>proposal</w:t>
      </w:r>
      <w:bookmarkEnd w:id="15"/>
    </w:p>
    <w:p w:rsidR="00DD5F09" w:rsidRDefault="00DD5F09" w:rsidP="004646BB">
      <w:r>
        <w:t>Our draft decision approved the following nominated pass through events, with minor modifications to the definitions proposed by AusNet Services:</w:t>
      </w:r>
    </w:p>
    <w:p w:rsidR="00DD5F09" w:rsidRDefault="00C3435E" w:rsidP="00DD5F09">
      <w:pPr>
        <w:pStyle w:val="AERbulletlistfirststyle"/>
      </w:pPr>
      <w:r>
        <w:t>t</w:t>
      </w:r>
      <w:r w:rsidR="00DD5F09">
        <w:t>errorism event</w:t>
      </w:r>
    </w:p>
    <w:p w:rsidR="00DD5F09" w:rsidRDefault="00C3435E" w:rsidP="00DD5F09">
      <w:pPr>
        <w:pStyle w:val="AERbulletlistfirststyle"/>
      </w:pPr>
      <w:r>
        <w:t>i</w:t>
      </w:r>
      <w:r w:rsidR="00DD5F09">
        <w:t>nsurance cap event</w:t>
      </w:r>
    </w:p>
    <w:p w:rsidR="00DD5F09" w:rsidRDefault="00C3435E" w:rsidP="00DD5F09">
      <w:pPr>
        <w:pStyle w:val="AERbulletlistfirststyle"/>
      </w:pPr>
      <w:r>
        <w:t>n</w:t>
      </w:r>
      <w:r w:rsidR="00DD5F09">
        <w:t>atural disaster event</w:t>
      </w:r>
      <w:r w:rsidR="00B406C1">
        <w:t>, and</w:t>
      </w:r>
    </w:p>
    <w:p w:rsidR="00DD5F09" w:rsidRDefault="00C3435E" w:rsidP="00DD5F09">
      <w:pPr>
        <w:pStyle w:val="AERbulletlistfirststyle"/>
      </w:pPr>
      <w:proofErr w:type="gramStart"/>
      <w:r>
        <w:t>i</w:t>
      </w:r>
      <w:r w:rsidR="00DD5F09">
        <w:t>nsurer</w:t>
      </w:r>
      <w:proofErr w:type="gramEnd"/>
      <w:r w:rsidR="00DD5F09">
        <w:t xml:space="preserve"> credit risk event</w:t>
      </w:r>
      <w:r>
        <w:t>.</w:t>
      </w:r>
    </w:p>
    <w:p w:rsidR="00DD5F09" w:rsidRDefault="00BF4CAA" w:rsidP="004646BB">
      <w:r>
        <w:t>We did not accept AusNet</w:t>
      </w:r>
      <w:r w:rsidR="00DD5F09">
        <w:t xml:space="preserve"> Services</w:t>
      </w:r>
      <w:r>
        <w:t>'</w:t>
      </w:r>
      <w:r w:rsidR="00DD5F09">
        <w:t xml:space="preserve"> proposed</w:t>
      </w:r>
      <w:r w:rsidR="00C3435E">
        <w:t>:</w:t>
      </w:r>
    </w:p>
    <w:p w:rsidR="00DD5F09" w:rsidRDefault="00C3435E" w:rsidP="00DD5F09">
      <w:pPr>
        <w:pStyle w:val="AERbulletlistfirststyle"/>
      </w:pPr>
      <w:r>
        <w:t>d</w:t>
      </w:r>
      <w:r w:rsidR="00DD5F09">
        <w:t>ecommissioning of Point Henry-Geelong Terminal Station 220kV Lines Event</w:t>
      </w:r>
      <w:r>
        <w:t>; and</w:t>
      </w:r>
    </w:p>
    <w:p w:rsidR="00DD5F09" w:rsidRDefault="00DD5F09" w:rsidP="00DD5F09">
      <w:pPr>
        <w:pStyle w:val="AERbulletlistfirststyle"/>
      </w:pPr>
      <w:proofErr w:type="gramStart"/>
      <w:r>
        <w:t>confidential</w:t>
      </w:r>
      <w:proofErr w:type="gramEnd"/>
      <w:r>
        <w:t xml:space="preserve"> nominated pass through event.</w:t>
      </w:r>
      <w:r w:rsidR="004379A5" w:rsidRPr="004379A5">
        <w:rPr>
          <w:rStyle w:val="FootnoteReference"/>
        </w:rPr>
        <w:t xml:space="preserve"> </w:t>
      </w:r>
      <w:r w:rsidR="004379A5">
        <w:rPr>
          <w:rStyle w:val="FootnoteReference"/>
        </w:rPr>
        <w:footnoteReference w:id="5"/>
      </w:r>
      <w:r>
        <w:t xml:space="preserve"> </w:t>
      </w:r>
    </w:p>
    <w:p w:rsidR="00DD5F09" w:rsidRDefault="00DD5F09" w:rsidP="004646BB">
      <w:r>
        <w:t>In its revised proposal AusNet Services:</w:t>
      </w:r>
    </w:p>
    <w:p w:rsidR="00DD5F09" w:rsidRDefault="00C3435E" w:rsidP="00DD5F09">
      <w:pPr>
        <w:pStyle w:val="AERbulletlistfirststyle"/>
      </w:pPr>
      <w:r>
        <w:t>a</w:t>
      </w:r>
      <w:r w:rsidR="00DD5F09">
        <w:t>ccepted our amendments to the terrorism event</w:t>
      </w:r>
    </w:p>
    <w:p w:rsidR="00DD5F09" w:rsidRDefault="00C3435E" w:rsidP="00DD5F09">
      <w:pPr>
        <w:pStyle w:val="AERbulletlistfirststyle"/>
      </w:pPr>
      <w:r>
        <w:t>a</w:t>
      </w:r>
      <w:r w:rsidR="00DD5F09">
        <w:t>ccepted and proposed minor amend</w:t>
      </w:r>
      <w:r>
        <w:t>ments to the i</w:t>
      </w:r>
      <w:r w:rsidR="00DD5F09">
        <w:t xml:space="preserve">nsurer credit risk </w:t>
      </w:r>
      <w:r>
        <w:t>event, insurance cap event and n</w:t>
      </w:r>
      <w:r w:rsidR="00DD5F09">
        <w:t>atural disaster event</w:t>
      </w:r>
    </w:p>
    <w:p w:rsidR="00B406C1" w:rsidRDefault="00B406C1" w:rsidP="00DD5F09">
      <w:pPr>
        <w:pStyle w:val="AERbulletlistfirststyle"/>
      </w:pPr>
      <w:r w:rsidRPr="00B406C1">
        <w:t>accepted</w:t>
      </w:r>
      <w:r>
        <w:t xml:space="preserve"> </w:t>
      </w:r>
      <w:r w:rsidRPr="00B406C1">
        <w:t>our rejection of the decommissioning of Point Henry – Geelong Terminal Station 220kV lines event</w:t>
      </w:r>
      <w:r>
        <w:t>, and</w:t>
      </w:r>
    </w:p>
    <w:p w:rsidR="00DD5F09" w:rsidRDefault="00C3435E" w:rsidP="00DD5F09">
      <w:pPr>
        <w:pStyle w:val="AERbulletlistfirststyle"/>
      </w:pPr>
      <w:r>
        <w:lastRenderedPageBreak/>
        <w:t>d</w:t>
      </w:r>
      <w:r w:rsidR="00DD5F09">
        <w:t>id n</w:t>
      </w:r>
      <w:r>
        <w:t>ot accept</w:t>
      </w:r>
      <w:r w:rsidR="00B406C1">
        <w:t xml:space="preserve"> our rejection of the</w:t>
      </w:r>
      <w:r w:rsidR="00DD5F09">
        <w:t xml:space="preserve"> confidential event.</w:t>
      </w:r>
      <w:r w:rsidR="00F84576" w:rsidRPr="00F84576">
        <w:rPr>
          <w:rStyle w:val="FootnoteReference"/>
        </w:rPr>
        <w:t xml:space="preserve"> </w:t>
      </w:r>
      <w:r w:rsidR="00F84576">
        <w:rPr>
          <w:rStyle w:val="FootnoteReference"/>
        </w:rPr>
        <w:footnoteReference w:id="6"/>
      </w:r>
      <w:r w:rsidR="00DD5F09">
        <w:t xml:space="preserve"> </w:t>
      </w:r>
    </w:p>
    <w:p w:rsidR="004646BB" w:rsidRDefault="004646BB" w:rsidP="004646BB">
      <w:pPr>
        <w:pStyle w:val="Heading2"/>
      </w:pPr>
      <w:bookmarkStart w:id="16" w:name="_Toc432762766"/>
      <w:bookmarkStart w:id="17" w:name="_Toc480810422"/>
      <w:bookmarkEnd w:id="13"/>
      <w:r w:rsidRPr="0074565D">
        <w:t>AER’s assessment approach</w:t>
      </w:r>
      <w:bookmarkEnd w:id="16"/>
      <w:bookmarkEnd w:id="17"/>
    </w:p>
    <w:p w:rsidR="004646BB" w:rsidRDefault="004646BB" w:rsidP="004646BB">
      <w:r>
        <w:t>The NER set out how we must assess nominated pass through events proposed by a service provider, and how we must assess an application from a service provider to pass through changes in costs where an event occurs.</w:t>
      </w:r>
      <w:r w:rsidR="00786BB8">
        <w:rPr>
          <w:rStyle w:val="FootnoteReference"/>
        </w:rPr>
        <w:footnoteReference w:id="7"/>
      </w:r>
    </w:p>
    <w:p w:rsidR="004646BB" w:rsidRPr="002B285B" w:rsidRDefault="004646BB" w:rsidP="004379A5">
      <w:r>
        <w:t xml:space="preserve">Our </w:t>
      </w:r>
      <w:r w:rsidR="00786BB8">
        <w:t xml:space="preserve">approach to assessing nominated pass through events proposed by service providers </w:t>
      </w:r>
      <w:r>
        <w:t xml:space="preserve">is </w:t>
      </w:r>
      <w:r w:rsidRPr="002B285B">
        <w:t xml:space="preserve">guided by the National Electricity Objective (NEO) and the Revenue and Pricing Principles. </w:t>
      </w:r>
      <w:r>
        <w:t>These provide</w:t>
      </w:r>
      <w:r w:rsidRPr="002B285B">
        <w:t xml:space="preserve"> the </w:t>
      </w:r>
      <w:r>
        <w:t>service provider</w:t>
      </w:r>
      <w:r w:rsidRPr="002B285B">
        <w:t xml:space="preserve"> with a reasonable opportunity to recover at least the efficient costs </w:t>
      </w:r>
      <w:r>
        <w:t>incurred in providing services</w:t>
      </w:r>
      <w:r w:rsidR="001C0276">
        <w:t xml:space="preserve"> and complying with its obligations</w:t>
      </w:r>
      <w:r>
        <w:t>.</w:t>
      </w:r>
      <w:r w:rsidRPr="002B285B">
        <w:rPr>
          <w:rStyle w:val="AERsuperscript"/>
        </w:rPr>
        <w:footnoteReference w:id="8"/>
      </w:r>
      <w:r w:rsidRPr="002B285B">
        <w:t xml:space="preserve"> </w:t>
      </w:r>
      <w:r>
        <w:t xml:space="preserve">They </w:t>
      </w:r>
      <w:r w:rsidRPr="002B285B">
        <w:t xml:space="preserve">also </w:t>
      </w:r>
      <w:r>
        <w:t>provide</w:t>
      </w:r>
      <w:r w:rsidRPr="002B285B">
        <w:t xml:space="preserve"> incentives to promote economic efficiency.</w:t>
      </w:r>
      <w:r w:rsidRPr="002B285B">
        <w:rPr>
          <w:rStyle w:val="AERsuperscript"/>
        </w:rPr>
        <w:footnoteReference w:id="9"/>
      </w:r>
      <w:r w:rsidR="004379A5">
        <w:t xml:space="preserve"> </w:t>
      </w:r>
      <w:r w:rsidR="004379A5">
        <w:rPr>
          <w:rStyle w:val="AERsuperscript"/>
        </w:rPr>
        <w:t xml:space="preserve"> </w:t>
      </w:r>
      <w:r>
        <w:t xml:space="preserve">Together, they </w:t>
      </w:r>
      <w:r w:rsidRPr="002B285B">
        <w:t>promote a balance between the economic costs and risk</w:t>
      </w:r>
      <w:r w:rsidR="001C0276">
        <w:t xml:space="preserve">s of the potential for under and over investment by a service provider, </w:t>
      </w:r>
      <w:r>
        <w:t>to</w:t>
      </w:r>
      <w:r w:rsidRPr="002B285B">
        <w:t xml:space="preserve"> promot</w:t>
      </w:r>
      <w:r>
        <w:t>e</w:t>
      </w:r>
      <w:r w:rsidRPr="002B285B">
        <w:t xml:space="preserve"> efficient investment.</w:t>
      </w:r>
      <w:r w:rsidRPr="002B285B">
        <w:rPr>
          <w:rStyle w:val="AERsuperscript"/>
        </w:rPr>
        <w:footnoteReference w:id="10"/>
      </w:r>
      <w:r w:rsidRPr="002B285B">
        <w:t xml:space="preserve"> </w:t>
      </w:r>
      <w:r>
        <w:t xml:space="preserve">In the context of pass through events, we have particular regard to the impact on price, quality, reliability and security of supply that may arise as a result of any change in the efficient operation of, and ability and incentive </w:t>
      </w:r>
      <w:r w:rsidR="004379A5">
        <w:t>o</w:t>
      </w:r>
      <w:r>
        <w:t>f, a service provider to invest in its network.</w:t>
      </w:r>
      <w:r>
        <w:rPr>
          <w:rStyle w:val="FootnoteReference"/>
        </w:rPr>
        <w:footnoteReference w:id="11"/>
      </w:r>
    </w:p>
    <w:p w:rsidR="004646BB" w:rsidRPr="002B285B" w:rsidRDefault="004646BB" w:rsidP="004646BB">
      <w:r>
        <w:t xml:space="preserve">In determining whether we accept a nominated pass through event, we must take into account the </w:t>
      </w:r>
      <w:r w:rsidRPr="002B285B">
        <w:t>nominated pass through event considerations</w:t>
      </w:r>
      <w:r>
        <w:t>:</w:t>
      </w:r>
      <w:r>
        <w:rPr>
          <w:rStyle w:val="FootnoteReference"/>
        </w:rPr>
        <w:footnoteReference w:id="12"/>
      </w:r>
      <w:r w:rsidRPr="002B285B">
        <w:t xml:space="preserve"> </w:t>
      </w:r>
    </w:p>
    <w:p w:rsidR="004646BB" w:rsidRPr="0053614D" w:rsidRDefault="004646BB" w:rsidP="004646BB">
      <w:pPr>
        <w:pStyle w:val="AERquote"/>
      </w:pPr>
      <w:r w:rsidRPr="0053614D">
        <w:t xml:space="preserve">The </w:t>
      </w:r>
      <w:r w:rsidRPr="0053614D">
        <w:rPr>
          <w:rStyle w:val="AERtextitalic"/>
        </w:rPr>
        <w:t>nominated pass through event considerations</w:t>
      </w:r>
      <w:r w:rsidRPr="0053614D">
        <w:t xml:space="preserve"> are:</w:t>
      </w:r>
    </w:p>
    <w:p w:rsidR="004646BB" w:rsidRPr="00930CEF" w:rsidRDefault="004646BB" w:rsidP="004646BB">
      <w:pPr>
        <w:pStyle w:val="AERquote"/>
      </w:pPr>
      <w:r w:rsidRPr="00930CEF">
        <w:t xml:space="preserve">(a) whether the event proposed is an event covered by a category of </w:t>
      </w:r>
      <w:r w:rsidRPr="003855FF">
        <w:rPr>
          <w:rStyle w:val="AERtextitalic"/>
        </w:rPr>
        <w:t>pass through event</w:t>
      </w:r>
      <w:r w:rsidRPr="004646BB">
        <w:t xml:space="preserve"> </w:t>
      </w:r>
      <w:r w:rsidRPr="00930CEF">
        <w:t>specified in clause 6.6.1(a1)(1) to (4) (in the case of a distribution determination) or clause 6A.7.3(a1)(1) to</w:t>
      </w:r>
      <w:r>
        <w:t xml:space="preserve"> </w:t>
      </w:r>
      <w:r w:rsidRPr="00930CEF">
        <w:t xml:space="preserve">(4) (in the case of a </w:t>
      </w:r>
      <w:r w:rsidRPr="0053614D">
        <w:rPr>
          <w:rStyle w:val="AERtextitalic"/>
        </w:rPr>
        <w:t>transmission determination</w:t>
      </w:r>
      <w:r w:rsidRPr="00930CEF">
        <w:t>);</w:t>
      </w:r>
    </w:p>
    <w:p w:rsidR="004646BB" w:rsidRPr="00930CEF" w:rsidRDefault="004646BB" w:rsidP="004646BB">
      <w:pPr>
        <w:pStyle w:val="AERquote"/>
      </w:pPr>
      <w:r w:rsidRPr="00930CEF">
        <w:t>(b) whether the nature or type of event can be clearly identified at the time the determination is made for the service provider;</w:t>
      </w:r>
    </w:p>
    <w:p w:rsidR="004646BB" w:rsidRPr="00930CEF" w:rsidRDefault="004646BB" w:rsidP="004646BB">
      <w:pPr>
        <w:pStyle w:val="AERquote"/>
      </w:pPr>
      <w:r w:rsidRPr="00930CEF">
        <w:t>(c) whether a prudent service provider could reasonably prevent an event of that nature or type from occurring or substantially mitigate the cost impact of such an event;</w:t>
      </w:r>
    </w:p>
    <w:p w:rsidR="004646BB" w:rsidRDefault="004646BB" w:rsidP="004646BB">
      <w:pPr>
        <w:pStyle w:val="AERquote"/>
      </w:pPr>
      <w:r w:rsidRPr="00930CEF">
        <w:t>(d) whether the relevant service provider could insure against the event, having regard to:</w:t>
      </w:r>
    </w:p>
    <w:p w:rsidR="004646BB" w:rsidRPr="00930CEF" w:rsidRDefault="004646BB" w:rsidP="004646BB">
      <w:pPr>
        <w:pStyle w:val="AERquoteindent2"/>
      </w:pPr>
      <w:r w:rsidRPr="00930CEF">
        <w:lastRenderedPageBreak/>
        <w:t>(1) the availability (including the extent of availability in terms of liability limits) of insurance against the event on reasonable commercial terms; or</w:t>
      </w:r>
    </w:p>
    <w:p w:rsidR="004646BB" w:rsidRPr="00930CEF" w:rsidRDefault="004646BB" w:rsidP="004646BB">
      <w:pPr>
        <w:pStyle w:val="AERquoteindent2"/>
      </w:pPr>
      <w:r w:rsidRPr="00930CEF">
        <w:t>(2) whether the event can be self-insured on the basis that:</w:t>
      </w:r>
    </w:p>
    <w:p w:rsidR="004646BB" w:rsidRPr="00034A56" w:rsidRDefault="004646BB" w:rsidP="004646BB">
      <w:pPr>
        <w:pStyle w:val="AERquoteindent3"/>
      </w:pPr>
      <w:r w:rsidRPr="00930CEF">
        <w:t>(i)</w:t>
      </w:r>
      <w:r>
        <w:tab/>
      </w:r>
      <w:r w:rsidRPr="00930CEF">
        <w:t xml:space="preserve">it is </w:t>
      </w:r>
      <w:r w:rsidRPr="00034A56">
        <w:t>possible to calculate the self-insurance premium; and</w:t>
      </w:r>
    </w:p>
    <w:p w:rsidR="004646BB" w:rsidRPr="00930CEF" w:rsidRDefault="004646BB" w:rsidP="004646BB">
      <w:pPr>
        <w:pStyle w:val="AERquoteindent3"/>
      </w:pPr>
      <w:r w:rsidRPr="00034A56">
        <w:t>(ii)</w:t>
      </w:r>
      <w:r>
        <w:tab/>
      </w:r>
      <w:r w:rsidRPr="00034A56">
        <w:t>the potential cost to the relevant service provider would not have a significant impact</w:t>
      </w:r>
      <w:r w:rsidRPr="00930CEF">
        <w:t xml:space="preserve"> on the service provider’s ability to provide </w:t>
      </w:r>
      <w:r w:rsidRPr="003855FF">
        <w:rPr>
          <w:rStyle w:val="AERtextitalic"/>
        </w:rPr>
        <w:t>network services</w:t>
      </w:r>
      <w:r w:rsidRPr="00930CEF">
        <w:t>; and.</w:t>
      </w:r>
    </w:p>
    <w:p w:rsidR="004646BB" w:rsidRPr="00930CEF" w:rsidRDefault="004646BB" w:rsidP="004646BB">
      <w:pPr>
        <w:pStyle w:val="AERquote"/>
      </w:pPr>
      <w:r w:rsidRPr="00930CEF">
        <w:t xml:space="preserve">(e) any other matter the AER considers relevant and which the AER has notified </w:t>
      </w:r>
      <w:r w:rsidRPr="0053614D">
        <w:rPr>
          <w:rStyle w:val="AERtextitalic"/>
        </w:rPr>
        <w:t>Network Service Providers</w:t>
      </w:r>
      <w:r w:rsidRPr="00930CEF">
        <w:t xml:space="preserve"> is a nominated pass through event consideration</w:t>
      </w:r>
      <w:r>
        <w:t>.</w:t>
      </w:r>
    </w:p>
    <w:p w:rsidR="004646BB" w:rsidRDefault="004646BB" w:rsidP="004646BB">
      <w:r>
        <w:t xml:space="preserve">The </w:t>
      </w:r>
      <w:r w:rsidR="008C20B5">
        <w:t xml:space="preserve">AEMC described the </w:t>
      </w:r>
      <w:r>
        <w:t xml:space="preserve">purpose of the nominated pass through event considerations </w:t>
      </w:r>
      <w:r w:rsidR="00F80EE4">
        <w:t>as</w:t>
      </w:r>
      <w:r>
        <w:t>:</w:t>
      </w:r>
    </w:p>
    <w:p w:rsidR="004646BB" w:rsidRPr="004646BB" w:rsidRDefault="004646BB" w:rsidP="004646BB">
      <w:pPr>
        <w:pStyle w:val="AERbulletlistfirststyle"/>
      </w:pPr>
      <w:r>
        <w:t>t</w:t>
      </w:r>
      <w:r w:rsidRPr="004646BB">
        <w:t>o incorporate and reflect the essential components of a cost pass through regime in the NER. It was intended that in order for appropriate incentives to be maintained, any nominated pass through event should only be accepted when event avoidance, mitigation, commercial insurance and self-insurance are unavailable. That is, a cost pass through event is the least efficient option for managing the risk of unforeseen events.</w:t>
      </w:r>
      <w:r w:rsidRPr="004646BB">
        <w:rPr>
          <w:rStyle w:val="FootnoteReference"/>
        </w:rPr>
        <w:footnoteReference w:id="13"/>
      </w:r>
    </w:p>
    <w:p w:rsidR="004646BB" w:rsidRPr="004646BB" w:rsidRDefault="004646BB" w:rsidP="004646BB">
      <w:pPr>
        <w:pStyle w:val="AERbulletlistfirststyle"/>
      </w:pPr>
      <w:r>
        <w:t xml:space="preserve">that a pass through event should only be accepted when it is the least inefficient </w:t>
      </w:r>
      <w:r w:rsidRPr="004646BB">
        <w:t>option and event avoidance, mitigation, commercial insurance and self-insurance are found to be inappropriate. That is, it is included after ascertaining the most efficient allocation of risks between a service provider and end customers.</w:t>
      </w:r>
      <w:r w:rsidRPr="004646BB">
        <w:rPr>
          <w:rStyle w:val="FootnoteReference"/>
        </w:rPr>
        <w:footnoteReference w:id="14"/>
      </w:r>
    </w:p>
    <w:p w:rsidR="004646BB" w:rsidRDefault="004646BB" w:rsidP="004646BB">
      <w:r>
        <w:t>In turn, this protects the incentive regime under the NER by limiting the erosion of incentives on service providers to use market based mechanisms to mitigate the cost impacts that would arise.</w:t>
      </w:r>
      <w:r>
        <w:rPr>
          <w:rStyle w:val="FootnoteReference"/>
        </w:rPr>
        <w:footnoteReference w:id="15"/>
      </w:r>
      <w:r>
        <w:t xml:space="preserve"> This promotes the efficient investment in, and efficient operation and use of, network services for the long term interests of consumers with respect to price.</w:t>
      </w:r>
      <w:r>
        <w:rPr>
          <w:rStyle w:val="FootnoteReference"/>
        </w:rPr>
        <w:footnoteReference w:id="16"/>
      </w:r>
      <w:r>
        <w:t xml:space="preserve"> </w:t>
      </w:r>
    </w:p>
    <w:p w:rsidR="004646BB" w:rsidRPr="004646BB" w:rsidRDefault="004646BB" w:rsidP="004646BB">
      <w:r w:rsidRPr="004646BB">
        <w:t>As a matter of good regulatory practice, one additional matter</w:t>
      </w:r>
      <w:r w:rsidRPr="004646BB">
        <w:rPr>
          <w:rStyle w:val="FootnoteReference"/>
        </w:rPr>
        <w:footnoteReference w:id="17"/>
      </w:r>
      <w:r w:rsidRPr="004646BB">
        <w:t xml:space="preserve"> we take into account is consistency in our approach to assessing nominated pass through events across our electricity determinations and gas access arrangements.</w:t>
      </w:r>
      <w:r w:rsidRPr="004646BB">
        <w:rPr>
          <w:rStyle w:val="FootnoteReference"/>
        </w:rPr>
        <w:footnoteReference w:id="18"/>
      </w:r>
      <w:r w:rsidRPr="004646BB">
        <w:t xml:space="preserve"> </w:t>
      </w:r>
    </w:p>
    <w:p w:rsidR="004646BB" w:rsidRDefault="004646BB" w:rsidP="004646BB">
      <w:pPr>
        <w:pStyle w:val="Heading3"/>
      </w:pPr>
      <w:bookmarkStart w:id="18" w:name="_Toc419287638"/>
      <w:bookmarkStart w:id="19" w:name="_Toc432762767"/>
      <w:bookmarkStart w:id="20" w:name="_Toc480810423"/>
      <w:r>
        <w:lastRenderedPageBreak/>
        <w:t>Interrelationships</w:t>
      </w:r>
      <w:bookmarkEnd w:id="18"/>
      <w:bookmarkEnd w:id="19"/>
      <w:bookmarkEnd w:id="20"/>
    </w:p>
    <w:p w:rsidR="008E3C6E" w:rsidRDefault="008E3C6E" w:rsidP="007A10D3">
      <w:r>
        <w:t xml:space="preserve">The pass through mechanism is not the only way in which service providers can manage their risks under a transmission determination. It is interrelated </w:t>
      </w:r>
      <w:r w:rsidRPr="00930CEF">
        <w:t xml:space="preserve">with other parts of this </w:t>
      </w:r>
      <w:r>
        <w:t>decision</w:t>
      </w:r>
      <w:r w:rsidRPr="00930CEF">
        <w:t xml:space="preserve">, in particular with </w:t>
      </w:r>
      <w:r>
        <w:t>the forecast</w:t>
      </w:r>
      <w:r w:rsidRPr="00930CEF">
        <w:t xml:space="preserve"> opex and capex</w:t>
      </w:r>
      <w:r>
        <w:t xml:space="preserve"> and </w:t>
      </w:r>
      <w:r w:rsidRPr="00930CEF">
        <w:t>rate of return</w:t>
      </w:r>
      <w:r>
        <w:t xml:space="preserve"> included in our revenue determination</w:t>
      </w:r>
      <w:r w:rsidRPr="00930CEF">
        <w:t xml:space="preserve">. These interrelationships require </w:t>
      </w:r>
      <w:r>
        <w:t>us</w:t>
      </w:r>
      <w:r w:rsidRPr="00930CEF">
        <w:t xml:space="preserve"> to balance the incentives in the various parts of </w:t>
      </w:r>
      <w:r>
        <w:t>our</w:t>
      </w:r>
      <w:r w:rsidRPr="00930CEF">
        <w:t xml:space="preserve"> decision.</w:t>
      </w:r>
    </w:p>
    <w:p w:rsidR="007A10D3" w:rsidRPr="004646BB" w:rsidRDefault="007A10D3" w:rsidP="007A10D3">
      <w:r w:rsidRPr="004646BB">
        <w:t xml:space="preserve">For systemic risks, service providers are compensated through the allowed rate of return. Service providers also face business-specific, or residual, risks. Service </w:t>
      </w:r>
      <w:r w:rsidR="001C0276">
        <w:t>p</w:t>
      </w:r>
      <w:r w:rsidRPr="004646BB">
        <w:t>roviders are compensated for the prudent and efficient management of these risks through the forecast opex and capex we include in our revenue determination for strategies such as:</w:t>
      </w:r>
    </w:p>
    <w:p w:rsidR="007A10D3" w:rsidRPr="004646BB" w:rsidRDefault="007A10D3" w:rsidP="007A10D3">
      <w:pPr>
        <w:pStyle w:val="AERbulletlistfirststyle"/>
      </w:pPr>
      <w:r w:rsidRPr="004646BB">
        <w:t>prevention (avoiding the risk)</w:t>
      </w:r>
    </w:p>
    <w:p w:rsidR="007A10D3" w:rsidRPr="004646BB" w:rsidRDefault="007A10D3" w:rsidP="007A10D3">
      <w:pPr>
        <w:pStyle w:val="AERbulletlistfirststyle"/>
      </w:pPr>
      <w:r w:rsidRPr="004646BB">
        <w:t>mitigation (reducing the probability and impact of the risk)</w:t>
      </w:r>
    </w:p>
    <w:p w:rsidR="007A10D3" w:rsidRPr="004646BB" w:rsidRDefault="007A10D3" w:rsidP="007A10D3">
      <w:pPr>
        <w:pStyle w:val="AERbulletlistfirststyle"/>
      </w:pPr>
      <w:r w:rsidRPr="004646BB">
        <w:t>insurance (transferring the risk to another party)</w:t>
      </w:r>
    </w:p>
    <w:p w:rsidR="007A10D3" w:rsidRPr="004646BB" w:rsidRDefault="007A10D3" w:rsidP="007A10D3">
      <w:pPr>
        <w:pStyle w:val="AERbulletlistfirststyle"/>
      </w:pPr>
      <w:r w:rsidRPr="004646BB">
        <w:t>self-insurance (putting aside funds to manage the likely costs associated with a risk event).</w:t>
      </w:r>
    </w:p>
    <w:p w:rsidR="008E3C6E" w:rsidRDefault="007A10D3" w:rsidP="008E3C6E">
      <w:r w:rsidRPr="00930CEF">
        <w:t xml:space="preserve">An efficient business will manage its risk by employing the most cost effective combination of these strategies. </w:t>
      </w:r>
      <w:r w:rsidR="008E3C6E">
        <w:t>In order to maintain appropriate incentives under our determinations, we only accept nominated pass through events where we are satisfied that event avoidance, mitigation, commercial insurance and self-insurance under approved forecasts of prudent and efficient opex and capex are either unavailable or inappropriate.</w:t>
      </w:r>
      <w:r w:rsidR="008E3C6E">
        <w:rPr>
          <w:rStyle w:val="FootnoteReference"/>
        </w:rPr>
        <w:footnoteReference w:id="19"/>
      </w:r>
      <w:r w:rsidR="008E3C6E">
        <w:t xml:space="preserve"> </w:t>
      </w:r>
    </w:p>
    <w:p w:rsidR="008E3C6E" w:rsidRDefault="00DA452C" w:rsidP="008E3C6E">
      <w:r w:rsidRPr="00DA452C">
        <w:t xml:space="preserve">In general, </w:t>
      </w:r>
      <w:r w:rsidR="007075A1">
        <w:t xml:space="preserve">in respect of smaller projects a service provider </w:t>
      </w:r>
      <w:r w:rsidR="007075A1" w:rsidRPr="00DA452C">
        <w:t>should be using up its existing expenditure</w:t>
      </w:r>
      <w:r w:rsidR="007075A1">
        <w:t xml:space="preserve"> </w:t>
      </w:r>
      <w:r w:rsidR="007075A1" w:rsidRPr="00DA452C">
        <w:t>allowance, or reprioritising or substituting its projects, to avoid seeking cost recovery</w:t>
      </w:r>
      <w:r w:rsidR="007075A1">
        <w:t xml:space="preserve"> </w:t>
      </w:r>
      <w:r w:rsidR="007075A1" w:rsidRPr="00DA452C">
        <w:t xml:space="preserve">through the </w:t>
      </w:r>
      <w:r w:rsidR="00150657">
        <w:t>pass through</w:t>
      </w:r>
      <w:r w:rsidR="007075A1" w:rsidRPr="00DA452C">
        <w:t xml:space="preserve"> mechanisms</w:t>
      </w:r>
      <w:r w:rsidR="007075A1">
        <w:t>.</w:t>
      </w:r>
      <w:r w:rsidR="007075A1">
        <w:rPr>
          <w:rStyle w:val="FootnoteReference"/>
        </w:rPr>
        <w:footnoteReference w:id="20"/>
      </w:r>
      <w:r w:rsidRPr="00DA452C">
        <w:t xml:space="preserve"> </w:t>
      </w:r>
      <w:r w:rsidR="00150657">
        <w:t>This is reflected in the m</w:t>
      </w:r>
      <w:r w:rsidR="008E3C6E">
        <w:t>ateriality threshold that applies to applications for cost pass through determinations.</w:t>
      </w:r>
      <w:r w:rsidR="008E3C6E">
        <w:rPr>
          <w:rStyle w:val="FootnoteReference"/>
        </w:rPr>
        <w:footnoteReference w:id="21"/>
      </w:r>
      <w:r w:rsidR="008E3C6E">
        <w:t xml:space="preserve"> </w:t>
      </w:r>
    </w:p>
    <w:p w:rsidR="007A10D3" w:rsidRDefault="007A10D3" w:rsidP="00672FF5">
      <w:r>
        <w:t>Cost pass through amounts approved in a regulatory control period are added to (or in the case of a negative pass through deducted from) forecast opex and capex for the purpose of calculating efficiency carryover amounts under the EBSS and CESS.</w:t>
      </w:r>
      <w:r>
        <w:rPr>
          <w:rStyle w:val="FootnoteReference"/>
        </w:rPr>
        <w:footnoteReference w:id="22"/>
      </w:r>
      <w:r>
        <w:t xml:space="preserve"> </w:t>
      </w:r>
    </w:p>
    <w:p w:rsidR="00672FF5" w:rsidRDefault="00672FF5" w:rsidP="00672FF5">
      <w:r>
        <w:t>C</w:t>
      </w:r>
      <w:r w:rsidRPr="00672FF5">
        <w:t>ost pass through amounts that have</w:t>
      </w:r>
      <w:r>
        <w:t xml:space="preserve"> </w:t>
      </w:r>
      <w:r w:rsidRPr="00672FF5">
        <w:t>already been recovered in a regulatory period cannot be recovered again in the</w:t>
      </w:r>
      <w:r>
        <w:t xml:space="preserve"> </w:t>
      </w:r>
      <w:r w:rsidRPr="00672FF5">
        <w:t xml:space="preserve">roll-forward of the </w:t>
      </w:r>
      <w:r w:rsidR="00EA0C7F">
        <w:t>regulatory asset base (</w:t>
      </w:r>
      <w:r w:rsidRPr="00672FF5">
        <w:t>RAB</w:t>
      </w:r>
      <w:r w:rsidR="00EA0C7F">
        <w:t>)</w:t>
      </w:r>
      <w:r w:rsidRPr="00672FF5">
        <w:t xml:space="preserve"> for the next regulatory period</w:t>
      </w:r>
      <w:r>
        <w:t>.</w:t>
      </w:r>
      <w:r w:rsidR="00C85FAF">
        <w:rPr>
          <w:rStyle w:val="FootnoteReference"/>
        </w:rPr>
        <w:footnoteReference w:id="23"/>
      </w:r>
      <w:r w:rsidR="007A10D3">
        <w:t xml:space="preserve"> </w:t>
      </w:r>
    </w:p>
    <w:p w:rsidR="00D75F75" w:rsidRDefault="00D75F75" w:rsidP="00672FF5"/>
    <w:p w:rsidR="00DE563D" w:rsidRDefault="00DE563D" w:rsidP="001754EE">
      <w:pPr>
        <w:pStyle w:val="Heading2"/>
      </w:pPr>
      <w:bookmarkStart w:id="21" w:name="_Toc403144140"/>
      <w:bookmarkStart w:id="22" w:name="_Ref436741659"/>
      <w:bookmarkStart w:id="23" w:name="_Ref436748368"/>
      <w:bookmarkStart w:id="24" w:name="_Toc480810424"/>
      <w:r w:rsidRPr="001754EE">
        <w:t>Reasons</w:t>
      </w:r>
      <w:r>
        <w:t xml:space="preserve"> for </w:t>
      </w:r>
      <w:r w:rsidR="00ED5749">
        <w:t>final</w:t>
      </w:r>
      <w:r>
        <w:t xml:space="preserve"> decision</w:t>
      </w:r>
      <w:bookmarkEnd w:id="21"/>
      <w:bookmarkEnd w:id="22"/>
      <w:bookmarkEnd w:id="23"/>
      <w:bookmarkEnd w:id="24"/>
      <w:r>
        <w:t xml:space="preserve"> </w:t>
      </w:r>
    </w:p>
    <w:p w:rsidR="004646BB" w:rsidRDefault="004646BB" w:rsidP="004646BB">
      <w:r w:rsidRPr="00930CEF">
        <w:t xml:space="preserve">In this section we set out the reasons for our </w:t>
      </w:r>
      <w:r w:rsidR="00ED5749">
        <w:t>final</w:t>
      </w:r>
      <w:r w:rsidRPr="00930CEF">
        <w:t xml:space="preserve"> decision on each of AusNet Services’ proposed pass through events. </w:t>
      </w:r>
    </w:p>
    <w:p w:rsidR="00467E33" w:rsidRDefault="00467E33" w:rsidP="004646BB">
      <w:r>
        <w:t>We received no submissions on this element of AusNet Services</w:t>
      </w:r>
      <w:r w:rsidR="00762438">
        <w:t>'</w:t>
      </w:r>
      <w:r>
        <w:t xml:space="preserve"> proposal. </w:t>
      </w:r>
    </w:p>
    <w:p w:rsidR="004646BB" w:rsidRPr="004646BB" w:rsidRDefault="004646BB" w:rsidP="004646BB">
      <w:pPr>
        <w:pStyle w:val="Heading3"/>
      </w:pPr>
      <w:bookmarkStart w:id="25" w:name="_Toc480810425"/>
      <w:r>
        <w:t xml:space="preserve">Terrorism event, </w:t>
      </w:r>
      <w:r w:rsidR="004379A5">
        <w:t>i</w:t>
      </w:r>
      <w:r>
        <w:t>nsurance cap event</w:t>
      </w:r>
      <w:r w:rsidR="004379A5">
        <w:t>, n</w:t>
      </w:r>
      <w:r>
        <w:t>atural disaster event</w:t>
      </w:r>
      <w:r w:rsidR="004379A5">
        <w:t xml:space="preserve"> and i</w:t>
      </w:r>
      <w:r w:rsidR="008067AB">
        <w:t>nsurer credit risk event</w:t>
      </w:r>
      <w:bookmarkEnd w:id="25"/>
    </w:p>
    <w:p w:rsidR="004646BB" w:rsidRDefault="004646BB" w:rsidP="004646BB">
      <w:r>
        <w:t xml:space="preserve">Our </w:t>
      </w:r>
      <w:r w:rsidR="00ED5749">
        <w:t>final</w:t>
      </w:r>
      <w:r>
        <w:t xml:space="preserve"> decision accepts AusNet Services’ proposed </w:t>
      </w:r>
      <w:r w:rsidR="004379A5">
        <w:t>t</w:t>
      </w:r>
      <w:r>
        <w:t>errorism event</w:t>
      </w:r>
      <w:r w:rsidR="00C3435E">
        <w:t>. We also accept AusNet Services' proposed i</w:t>
      </w:r>
      <w:r>
        <w:t>nsurance cap event</w:t>
      </w:r>
      <w:r w:rsidR="008067AB">
        <w:t xml:space="preserve">, </w:t>
      </w:r>
      <w:r w:rsidR="00C3435E">
        <w:t>n</w:t>
      </w:r>
      <w:r>
        <w:t>atural disaster event</w:t>
      </w:r>
      <w:r w:rsidR="008067AB">
        <w:t xml:space="preserve"> and </w:t>
      </w:r>
      <w:r w:rsidR="00C3435E">
        <w:t>i</w:t>
      </w:r>
      <w:r w:rsidR="008067AB">
        <w:t>nsurer credit risk event</w:t>
      </w:r>
      <w:r w:rsidR="00C3435E">
        <w:t xml:space="preserve">, with some minor amendments. </w:t>
      </w:r>
    </w:p>
    <w:p w:rsidR="004646BB" w:rsidRDefault="004646BB" w:rsidP="004646BB">
      <w:r>
        <w:t xml:space="preserve">We are satisfied that these </w:t>
      </w:r>
      <w:r w:rsidR="009630FD">
        <w:t xml:space="preserve">four </w:t>
      </w:r>
      <w:r>
        <w:t>nominated pass through events are consistent with the nominated pass through event considerations because:</w:t>
      </w:r>
    </w:p>
    <w:p w:rsidR="004646BB" w:rsidRPr="004646BB" w:rsidRDefault="00C3435E" w:rsidP="006A2A7F">
      <w:pPr>
        <w:pStyle w:val="AERbulletlistfirststyle"/>
      </w:pPr>
      <w:r>
        <w:t>t</w:t>
      </w:r>
      <w:r w:rsidR="006A2A7F">
        <w:t>hese events are not covered by the prescribed pass through events under the NER.</w:t>
      </w:r>
      <w:r w:rsidR="006A2A7F">
        <w:rPr>
          <w:rStyle w:val="FootnoteReference"/>
        </w:rPr>
        <w:footnoteReference w:id="24"/>
      </w:r>
    </w:p>
    <w:p w:rsidR="004646BB" w:rsidRPr="004646BB" w:rsidRDefault="00C3435E" w:rsidP="006A2A7F">
      <w:pPr>
        <w:pStyle w:val="AERbulletlistfirststyle"/>
      </w:pPr>
      <w:r>
        <w:t>t</w:t>
      </w:r>
      <w:r w:rsidR="006A2A7F">
        <w:t>he nature and type of events can be clearly identified at the time of our decision</w:t>
      </w:r>
      <w:r w:rsidR="00F14E38">
        <w:t xml:space="preserve">, and where there is room for doubt appropriate parameters can be </w:t>
      </w:r>
      <w:r w:rsidR="008067AB">
        <w:t>applied through our assessment of a pass through application</w:t>
      </w:r>
      <w:r w:rsidR="006A2A7F">
        <w:t>.</w:t>
      </w:r>
      <w:r w:rsidR="006A2A7F">
        <w:rPr>
          <w:rStyle w:val="FootnoteReference"/>
        </w:rPr>
        <w:footnoteReference w:id="25"/>
      </w:r>
    </w:p>
    <w:p w:rsidR="004646BB" w:rsidRDefault="00C3435E" w:rsidP="006A2A7F">
      <w:pPr>
        <w:pStyle w:val="AERbulletlistfirststyle"/>
      </w:pPr>
      <w:r>
        <w:t>w</w:t>
      </w:r>
      <w:r w:rsidR="006A2A7F">
        <w:t>hile a prudent service provider could take steps to reduce the likelihood of these events and the cost impact of the events should they occur</w:t>
      </w:r>
      <w:r w:rsidR="001C0276">
        <w:t>,</w:t>
      </w:r>
      <w:r w:rsidR="00E63219">
        <w:rPr>
          <w:rStyle w:val="FootnoteReference"/>
        </w:rPr>
        <w:footnoteReference w:id="26"/>
      </w:r>
      <w:r w:rsidR="006A2A7F">
        <w:t xml:space="preserve"> </w:t>
      </w:r>
      <w:r w:rsidR="00E63219">
        <w:t>and could insure or self-insure against the event</w:t>
      </w:r>
      <w:r w:rsidR="001C0276">
        <w:t>,</w:t>
      </w:r>
      <w:r w:rsidR="00E63219">
        <w:rPr>
          <w:rStyle w:val="FootnoteReference"/>
        </w:rPr>
        <w:footnoteReference w:id="27"/>
      </w:r>
      <w:r w:rsidR="00E63219">
        <w:t xml:space="preserve"> </w:t>
      </w:r>
      <w:r w:rsidR="006A2A7F">
        <w:t>expenditure beyond a certain point (e.g. to eliminate, rather than manage, risk) is likely to be imprudent or inefficient</w:t>
      </w:r>
      <w:r w:rsidR="004646BB">
        <w:t>.</w:t>
      </w:r>
      <w:r w:rsidR="006A2A7F">
        <w:t xml:space="preserve"> In such circumstances we consider a sharing of risk between AusNet Services and its customers is appropriate and more likely to be in the long term interest of consumers with respect to price.</w:t>
      </w:r>
    </w:p>
    <w:p w:rsidR="00467E33" w:rsidRDefault="00467E33" w:rsidP="004646BB">
      <w:r>
        <w:t xml:space="preserve">In its revised proposal AusNet Services proposed some minor amendments to the definitions of </w:t>
      </w:r>
      <w:r w:rsidR="005F4576">
        <w:t xml:space="preserve">the </w:t>
      </w:r>
      <w:r w:rsidR="00C3435E">
        <w:t>i</w:t>
      </w:r>
      <w:r>
        <w:t>nsurer's credit risk</w:t>
      </w:r>
      <w:r w:rsidR="005F4576">
        <w:t xml:space="preserve"> event</w:t>
      </w:r>
      <w:r>
        <w:t>, natural disaster event and insurance cap event.</w:t>
      </w:r>
      <w:r w:rsidR="004379A5">
        <w:rPr>
          <w:rStyle w:val="FootnoteReference"/>
        </w:rPr>
        <w:footnoteReference w:id="28"/>
      </w:r>
      <w:r>
        <w:t xml:space="preserve"> W</w:t>
      </w:r>
      <w:r w:rsidR="005A3236">
        <w:t>e</w:t>
      </w:r>
      <w:r>
        <w:t xml:space="preserve"> accepted some, bu</w:t>
      </w:r>
      <w:r w:rsidR="00565515">
        <w:t>t not all of these amendments</w:t>
      </w:r>
      <w:r>
        <w:t>.</w:t>
      </w:r>
    </w:p>
    <w:p w:rsidR="00467E33" w:rsidRDefault="00467E33" w:rsidP="004646BB">
      <w:r>
        <w:t>For the definition of</w:t>
      </w:r>
      <w:r w:rsidR="005F4576">
        <w:t xml:space="preserve"> the</w:t>
      </w:r>
      <w:r>
        <w:t xml:space="preserve"> </w:t>
      </w:r>
      <w:r w:rsidR="00C3435E">
        <w:t>i</w:t>
      </w:r>
      <w:r>
        <w:t xml:space="preserve">nsurer's credit risk </w:t>
      </w:r>
      <w:r w:rsidR="005F4576">
        <w:t xml:space="preserve">event </w:t>
      </w:r>
      <w:r>
        <w:t>AusN</w:t>
      </w:r>
      <w:r w:rsidR="005A3236">
        <w:t>e</w:t>
      </w:r>
      <w:r>
        <w:t>t Service</w:t>
      </w:r>
      <w:r w:rsidR="00C3435E">
        <w:t>s</w:t>
      </w:r>
      <w:r>
        <w:t xml:space="preserve"> proposed </w:t>
      </w:r>
      <w:r w:rsidR="005A3236">
        <w:t>to replace the term 'insolvent' with 'an insurer becoming unable to pay a claim.'</w:t>
      </w:r>
      <w:r w:rsidR="007161BF">
        <w:t xml:space="preserve"> We do</w:t>
      </w:r>
      <w:r w:rsidR="005A3236">
        <w:t xml:space="preserve"> not accept </w:t>
      </w:r>
      <w:r w:rsidR="005A3236">
        <w:lastRenderedPageBreak/>
        <w:t>this proposed amendment</w:t>
      </w:r>
      <w:r w:rsidR="00C3435E">
        <w:t xml:space="preserve"> and consider the term insolvent to satisfactorily capture circumstances in which an insurer is unable to pay a claim</w:t>
      </w:r>
      <w:r w:rsidR="005A3236">
        <w:t>.</w:t>
      </w:r>
    </w:p>
    <w:p w:rsidR="005A3236" w:rsidRDefault="00C3435E" w:rsidP="004646BB">
      <w:r>
        <w:t>For the definition of</w:t>
      </w:r>
      <w:r w:rsidR="005F4576">
        <w:t xml:space="preserve"> the</w:t>
      </w:r>
      <w:r>
        <w:t xml:space="preserve"> i</w:t>
      </w:r>
      <w:r w:rsidR="005A3236">
        <w:t xml:space="preserve">nsurance </w:t>
      </w:r>
      <w:r w:rsidR="007161BF">
        <w:t>cap event AusNe</w:t>
      </w:r>
      <w:r w:rsidR="005A3236">
        <w:t xml:space="preserve">t Services </w:t>
      </w:r>
      <w:r w:rsidR="007161BF">
        <w:t>proposed two minor amendments.</w:t>
      </w:r>
      <w:r w:rsidR="004379A5">
        <w:t xml:space="preserve"> The first amendment involves including the words 'held during', and is a grammat</w:t>
      </w:r>
      <w:r w:rsidR="00A704CB">
        <w:t>ical recommendation. We do not accept this amendment as w</w:t>
      </w:r>
      <w:r w:rsidR="004379A5">
        <w:t>e consider the words 'held during' earlier in the sentence sufficiently highlights that the insurance policy needs to be held</w:t>
      </w:r>
      <w:r w:rsidR="00A704CB">
        <w:t xml:space="preserve"> </w:t>
      </w:r>
      <w:r w:rsidR="004379A5">
        <w:t xml:space="preserve">during </w:t>
      </w:r>
      <w:r w:rsidR="00A704CB">
        <w:t xml:space="preserve">either </w:t>
      </w:r>
      <w:r w:rsidR="004379A5">
        <w:t>the 2017</w:t>
      </w:r>
      <w:r w:rsidR="00A01041">
        <w:t>–</w:t>
      </w:r>
      <w:r w:rsidR="004379A5">
        <w:t>22 regulatory control period</w:t>
      </w:r>
      <w:r w:rsidR="00A704CB">
        <w:t xml:space="preserve"> or a previous regulatory control period</w:t>
      </w:r>
      <w:r w:rsidR="004379A5">
        <w:t>. The second amendment includes word</w:t>
      </w:r>
      <w:r w:rsidR="00A704CB">
        <w:t>s</w:t>
      </w:r>
      <w:r w:rsidR="004379A5">
        <w:t xml:space="preserve"> to specify that AusNet Services is registered under the NER as a TNSP. We accept</w:t>
      </w:r>
      <w:r w:rsidR="00CA3A66">
        <w:t xml:space="preserve"> </w:t>
      </w:r>
      <w:r w:rsidR="00565515">
        <w:t>AusNet Services</w:t>
      </w:r>
      <w:r w:rsidR="00CA3A66">
        <w:t>'</w:t>
      </w:r>
      <w:r w:rsidR="00565515">
        <w:t xml:space="preserve"> intention to improve the clarity and</w:t>
      </w:r>
      <w:r w:rsidR="00CA3A66">
        <w:t xml:space="preserve"> in the definition of the insurance cap event</w:t>
      </w:r>
      <w:r w:rsidR="00565515">
        <w:t xml:space="preserve"> </w:t>
      </w:r>
      <w:r w:rsidR="00C85FAF">
        <w:t xml:space="preserve">we have </w:t>
      </w:r>
      <w:r w:rsidR="00565515">
        <w:t xml:space="preserve">included the following to give effect to this, 'was registered as a TNSP for the purposes of s.11 of the NEL'. </w:t>
      </w:r>
      <w:r w:rsidR="007161BF">
        <w:t xml:space="preserve"> </w:t>
      </w:r>
    </w:p>
    <w:p w:rsidR="007161BF" w:rsidRDefault="005F4576" w:rsidP="004646BB">
      <w:r>
        <w:t>For the n</w:t>
      </w:r>
      <w:r w:rsidR="007161BF">
        <w:t xml:space="preserve">atural disaster event AusNet Services proposed a minor amendment to allow AusNet Services to recover the efficient costs </w:t>
      </w:r>
      <w:r w:rsidR="00C85FAF">
        <w:t xml:space="preserve">in responding to </w:t>
      </w:r>
      <w:r w:rsidR="007161BF">
        <w:t xml:space="preserve">a </w:t>
      </w:r>
      <w:r w:rsidR="008B17D7">
        <w:t>natural</w:t>
      </w:r>
      <w:r w:rsidR="007161BF">
        <w:t xml:space="preserve"> disaster regardless of when the natural disaster occurred.</w:t>
      </w:r>
      <w:r w:rsidR="008B17D7">
        <w:t xml:space="preserve"> We do not accept this proposed amendment</w:t>
      </w:r>
      <w:r w:rsidR="00BF4CAA">
        <w:t xml:space="preserve"> as we consider amendments to the NER in 2012 address this issue</w:t>
      </w:r>
      <w:r w:rsidR="008B17D7">
        <w:t>.</w:t>
      </w:r>
      <w:r w:rsidR="00BF4CAA">
        <w:rPr>
          <w:rStyle w:val="FootnoteReference"/>
        </w:rPr>
        <w:footnoteReference w:id="29"/>
      </w:r>
      <w:r w:rsidR="008B17D7">
        <w:t xml:space="preserve"> There are provisions in the NER that allow a service provider to increase</w:t>
      </w:r>
      <w:r>
        <w:t xml:space="preserve"> (or decrease)</w:t>
      </w:r>
      <w:r w:rsidR="008B17D7">
        <w:t xml:space="preserve"> the costs in the provision of prescribed transmission services </w:t>
      </w:r>
      <w:r w:rsidR="00C3435E">
        <w:t>until</w:t>
      </w:r>
      <w:r w:rsidR="008B17D7">
        <w:t xml:space="preserve"> the end of the regulatory control period following that in which the positive</w:t>
      </w:r>
      <w:r>
        <w:t xml:space="preserve"> (or negative)</w:t>
      </w:r>
      <w:r w:rsidR="008B17D7">
        <w:t xml:space="preserve"> change event occurred</w:t>
      </w:r>
      <w:r w:rsidR="00C3435E">
        <w:t>.</w:t>
      </w:r>
      <w:r w:rsidR="008B17D7">
        <w:rPr>
          <w:rStyle w:val="FootnoteReference"/>
        </w:rPr>
        <w:footnoteReference w:id="30"/>
      </w:r>
      <w:r w:rsidR="008B17D7">
        <w:t xml:space="preserve"> If the service provide</w:t>
      </w:r>
      <w:r w:rsidR="00C3435E">
        <w:t>r continues to incur costs beyond the following regulatory period</w:t>
      </w:r>
      <w:r w:rsidR="00B45240">
        <w:t xml:space="preserve"> these costs should be </w:t>
      </w:r>
      <w:r w:rsidR="00E40B37">
        <w:t xml:space="preserve">incorporated into the businesses </w:t>
      </w:r>
      <w:r w:rsidR="008B17D7">
        <w:t>revenue proposal</w:t>
      </w:r>
      <w:r w:rsidR="00B45240">
        <w:t>s going forward</w:t>
      </w:r>
      <w:r w:rsidR="008B17D7">
        <w:t xml:space="preserve">. </w:t>
      </w:r>
    </w:p>
    <w:p w:rsidR="007161BF" w:rsidRDefault="007161BF" w:rsidP="00370651">
      <w:pPr>
        <w:pStyle w:val="Heading3"/>
      </w:pPr>
      <w:bookmarkStart w:id="26" w:name="_Toc480810426"/>
      <w:r>
        <w:t>Decommissioning of Point Henry - Geelong Terminal Station 220kV Lines Event</w:t>
      </w:r>
      <w:bookmarkEnd w:id="26"/>
    </w:p>
    <w:p w:rsidR="007161BF" w:rsidRDefault="007161BF" w:rsidP="004646BB">
      <w:r>
        <w:t>In its revised proposal, AusNet Services accept</w:t>
      </w:r>
      <w:r w:rsidR="00C85FAF">
        <w:t>ed</w:t>
      </w:r>
      <w:r>
        <w:t xml:space="preserve"> our rejection of this event. However, AusNet Services state</w:t>
      </w:r>
      <w:r w:rsidR="00C85FAF">
        <w:t>d</w:t>
      </w:r>
      <w:r>
        <w:t xml:space="preserve"> it would welcome clarification in the Final decision that the AER considers the event would unambiguously be covered by at least one of the prescribed pass through events.</w:t>
      </w:r>
      <w:r>
        <w:rPr>
          <w:rStyle w:val="FootnoteReference"/>
        </w:rPr>
        <w:footnoteReference w:id="31"/>
      </w:r>
      <w:r>
        <w:t xml:space="preserve"> </w:t>
      </w:r>
    </w:p>
    <w:p w:rsidR="00841E96" w:rsidRDefault="00841E96" w:rsidP="004646BB">
      <w:r>
        <w:t>The definition for this event proposed by AusNet Services in its regulatory proposal included the following:</w:t>
      </w:r>
    </w:p>
    <w:p w:rsidR="007161BF" w:rsidRDefault="00841E96" w:rsidP="00370651">
      <w:pPr>
        <w:pStyle w:val="AERquote"/>
      </w:pPr>
      <w:r>
        <w:lastRenderedPageBreak/>
        <w:t>A PTH-GTS line decommissioning event occurs if AusNet Services is required by a relevant authority to remove all, or part of, the 220kV lines between Point Henry and Geelong Terminal Station and associated infrastructure</w:t>
      </w:r>
      <w:r w:rsidR="00E40B37">
        <w:t>..</w:t>
      </w:r>
      <w:r>
        <w:t>.</w:t>
      </w:r>
      <w:r w:rsidR="00E40B37">
        <w:rPr>
          <w:rStyle w:val="FootnoteReference"/>
        </w:rPr>
        <w:footnoteReference w:id="32"/>
      </w:r>
      <w:r>
        <w:t xml:space="preserve">  </w:t>
      </w:r>
    </w:p>
    <w:p w:rsidR="007161BF" w:rsidRDefault="00841E96" w:rsidP="004646BB">
      <w:r>
        <w:t>We con</w:t>
      </w:r>
      <w:r w:rsidR="008A6DA3">
        <w:t>si</w:t>
      </w:r>
      <w:r>
        <w:t xml:space="preserve">der that, providing the use of the term 'relevant authority' refers to a </w:t>
      </w:r>
      <w:r w:rsidR="008A6DA3">
        <w:t>government</w:t>
      </w:r>
      <w:r>
        <w:t xml:space="preserve"> body</w:t>
      </w:r>
      <w:r w:rsidR="008A6DA3">
        <w:t>,</w:t>
      </w:r>
      <w:r>
        <w:t xml:space="preserve"> such an event would likely be covered by the prescribed </w:t>
      </w:r>
      <w:r w:rsidR="005F4576">
        <w:t>r</w:t>
      </w:r>
      <w:r w:rsidR="008A6DA3">
        <w:t xml:space="preserve">egulatory change event or the </w:t>
      </w:r>
      <w:r w:rsidR="005F4576">
        <w:t>s</w:t>
      </w:r>
      <w:r>
        <w:t xml:space="preserve">ervice standard event. These events are defined in the NER </w:t>
      </w:r>
      <w:r w:rsidR="008A6DA3">
        <w:t xml:space="preserve">and relate to events that have occurred </w:t>
      </w:r>
      <w:r w:rsidR="006F3F40">
        <w:t xml:space="preserve">as a result of </w:t>
      </w:r>
      <w:r w:rsidR="006F3F40" w:rsidRPr="006F3F40">
        <w:t>a legislative or administrative act or</w:t>
      </w:r>
      <w:r w:rsidR="00BF4CAA">
        <w:t xml:space="preserve"> </w:t>
      </w:r>
      <w:r w:rsidR="008A6DA3">
        <w:t>because of a chang</w:t>
      </w:r>
      <w:r w:rsidR="00B406C1">
        <w:t>e to the regulatory environment</w:t>
      </w:r>
      <w:r w:rsidR="008A6DA3">
        <w:t>.</w:t>
      </w:r>
      <w:r w:rsidR="008A6DA3">
        <w:rPr>
          <w:rStyle w:val="FootnoteReference"/>
        </w:rPr>
        <w:footnoteReference w:id="33"/>
      </w:r>
      <w:r>
        <w:t xml:space="preserve">  </w:t>
      </w:r>
    </w:p>
    <w:p w:rsidR="004646BB" w:rsidRPr="004646BB" w:rsidRDefault="00F365B3" w:rsidP="004646BB">
      <w:pPr>
        <w:pStyle w:val="Heading3"/>
      </w:pPr>
      <w:bookmarkStart w:id="27" w:name="_Toc480810427"/>
      <w:r>
        <w:t>C</w:t>
      </w:r>
      <w:r w:rsidR="004646BB">
        <w:t>onfidential nominated pass through event</w:t>
      </w:r>
      <w:bookmarkEnd w:id="27"/>
    </w:p>
    <w:p w:rsidR="003A6031" w:rsidRDefault="003A6031" w:rsidP="004646BB">
      <w:r>
        <w:t>In its revised proposal AusNet Services does not ac</w:t>
      </w:r>
      <w:r w:rsidR="008A6DA3">
        <w:t>c</w:t>
      </w:r>
      <w:r>
        <w:t>ept our draft decision to reject this</w:t>
      </w:r>
      <w:r w:rsidR="00D75F75">
        <w:t xml:space="preserve"> event. </w:t>
      </w:r>
      <w:r w:rsidR="00370651">
        <w:t xml:space="preserve">AusNet Services </w:t>
      </w:r>
      <w:r>
        <w:t>s</w:t>
      </w:r>
      <w:r w:rsidR="00370651">
        <w:t>ubmits</w:t>
      </w:r>
      <w:r>
        <w:t xml:space="preserve"> the event:</w:t>
      </w:r>
    </w:p>
    <w:p w:rsidR="003A6031" w:rsidRDefault="005F4576" w:rsidP="008A6DA3">
      <w:pPr>
        <w:pStyle w:val="AERbulletlistfirststyle"/>
      </w:pPr>
      <w:r>
        <w:t>s</w:t>
      </w:r>
      <w:r w:rsidR="003A6031">
        <w:t>atisfies the nominated pass through event considerations; and</w:t>
      </w:r>
    </w:p>
    <w:p w:rsidR="003A6031" w:rsidRDefault="005F4576" w:rsidP="008A6DA3">
      <w:pPr>
        <w:pStyle w:val="AERbulletlistfirststyle"/>
      </w:pPr>
      <w:r>
        <w:t>p</w:t>
      </w:r>
      <w:r w:rsidR="003A6031">
        <w:t xml:space="preserve">rovides efficiency incentives for AusNet Services. </w:t>
      </w:r>
    </w:p>
    <w:p w:rsidR="001745FF" w:rsidRDefault="001745FF" w:rsidP="008A6DA3">
      <w:pPr>
        <w:pStyle w:val="AERbulletlistfirststyle"/>
        <w:numPr>
          <w:ilvl w:val="0"/>
          <w:numId w:val="0"/>
        </w:numPr>
      </w:pPr>
      <w:r>
        <w:t>Consistent with our draft decision w</w:t>
      </w:r>
      <w:r w:rsidR="003A6031">
        <w:t xml:space="preserve">e </w:t>
      </w:r>
      <w:r>
        <w:t>do not accept this proposed event.</w:t>
      </w:r>
    </w:p>
    <w:p w:rsidR="001745FF" w:rsidRDefault="001745FF" w:rsidP="008A6DA3">
      <w:pPr>
        <w:pStyle w:val="AERbulletlistfirststyle"/>
        <w:numPr>
          <w:ilvl w:val="0"/>
          <w:numId w:val="0"/>
        </w:numPr>
      </w:pPr>
      <w:r>
        <w:t xml:space="preserve">AusNet Services did not provide any additional information in its revised proposal to </w:t>
      </w:r>
      <w:r w:rsidRPr="001745FF">
        <w:t xml:space="preserve">demonstrate that options to mitigate and minimise the costs of this event were not possible. </w:t>
      </w:r>
    </w:p>
    <w:p w:rsidR="003A6031" w:rsidRDefault="001745FF" w:rsidP="008A6DA3">
      <w:pPr>
        <w:pStyle w:val="AERbulletlistfirststyle"/>
        <w:numPr>
          <w:ilvl w:val="0"/>
          <w:numId w:val="0"/>
        </w:numPr>
      </w:pPr>
      <w:r>
        <w:t xml:space="preserve">Therefore, consistent with our draft decision, we are not </w:t>
      </w:r>
      <w:r w:rsidRPr="001745FF">
        <w:t xml:space="preserve">satisfied that this nominated event is consistent with the nominated pass through considerations, </w:t>
      </w:r>
      <w:r w:rsidR="003A6031">
        <w:t>in particular because:</w:t>
      </w:r>
    </w:p>
    <w:p w:rsidR="003A6031" w:rsidRDefault="008A6DA3" w:rsidP="008A6DA3">
      <w:pPr>
        <w:pStyle w:val="AERbulletlistfirststyle"/>
      </w:pPr>
      <w:r>
        <w:t>t</w:t>
      </w:r>
      <w:r w:rsidR="003A6031">
        <w:t>he event is foreseeable, and the likely outcomes are identifiable.</w:t>
      </w:r>
    </w:p>
    <w:p w:rsidR="003A6031" w:rsidRDefault="008A6DA3" w:rsidP="008A6DA3">
      <w:pPr>
        <w:pStyle w:val="AERbulletlistfirststyle"/>
      </w:pPr>
      <w:r>
        <w:t>t</w:t>
      </w:r>
      <w:r w:rsidR="003A6031">
        <w:t xml:space="preserve">he </w:t>
      </w:r>
      <w:r>
        <w:t>event is controllable. AusNet S</w:t>
      </w:r>
      <w:r w:rsidR="003A6031">
        <w:t>ervices has control over mitigating the costs associated with such an event</w:t>
      </w:r>
      <w:r w:rsidR="004777E2">
        <w:t>. The nature and impact of the event will be a direct result of AusNet Services' actions and decisions. This provides AusNet Services substantial opportunity to use market mechanisms to minimise the cost impact.</w:t>
      </w:r>
      <w:r w:rsidR="003A6031">
        <w:t xml:space="preserve"> </w:t>
      </w:r>
      <w:r w:rsidR="00762438">
        <w:t>T</w:t>
      </w:r>
      <w:r w:rsidR="003A6031">
        <w:t>herefore</w:t>
      </w:r>
      <w:r w:rsidR="00762438">
        <w:t>, AusNet Services is</w:t>
      </w:r>
      <w:r w:rsidR="003A6031">
        <w:t xml:space="preserve"> better placed to manage this risk than its customers.</w:t>
      </w:r>
      <w:r w:rsidR="003A6031">
        <w:rPr>
          <w:rStyle w:val="FootnoteReference"/>
        </w:rPr>
        <w:footnoteReference w:id="34"/>
      </w:r>
      <w:r w:rsidR="003A6031">
        <w:t xml:space="preserve"> </w:t>
      </w:r>
      <w:r w:rsidR="004777E2">
        <w:t>Including a pass through event for this risk weakens the incentives AusNet Services would otherwis</w:t>
      </w:r>
      <w:r w:rsidR="005F4576">
        <w:t>e</w:t>
      </w:r>
      <w:r w:rsidR="004777E2">
        <w:t xml:space="preserve"> have to choose the most prudent and efficient option. </w:t>
      </w:r>
      <w:r w:rsidR="003A6031">
        <w:t xml:space="preserve"> </w:t>
      </w:r>
    </w:p>
    <w:p w:rsidR="004646BB" w:rsidRPr="004646BB" w:rsidRDefault="004646BB" w:rsidP="008A6DA3">
      <w:pPr>
        <w:pStyle w:val="AERbulletlistfirststyle"/>
      </w:pPr>
      <w:r>
        <w:t>AusNet Services’ proposal includes f</w:t>
      </w:r>
      <w:r w:rsidRPr="004646BB">
        <w:t xml:space="preserve">orecast opex that addresses this risk in whole (in the case of one </w:t>
      </w:r>
      <w:r w:rsidR="001C0276">
        <w:t xml:space="preserve">possible </w:t>
      </w:r>
      <w:r w:rsidRPr="004646BB">
        <w:t>scenario) or in part (in the case of another). Inclusion of a nominated pass through event for this risk weakens the incentive AusNet Services would otherwise have to outperform that forecast.</w:t>
      </w:r>
    </w:p>
    <w:p w:rsidR="00F365B3" w:rsidRDefault="00F365B3" w:rsidP="00F365B3">
      <w:r w:rsidRPr="00F365B3">
        <w:lastRenderedPageBreak/>
        <w:t xml:space="preserve">Our reasons for </w:t>
      </w:r>
      <w:r w:rsidR="001C0276">
        <w:t xml:space="preserve">our </w:t>
      </w:r>
      <w:r w:rsidR="00ED5749">
        <w:t>final</w:t>
      </w:r>
      <w:r w:rsidR="001C0276">
        <w:t xml:space="preserve"> decision on this nominated pass through event</w:t>
      </w:r>
      <w:r w:rsidRPr="00F365B3">
        <w:t xml:space="preserve"> are set out in full in </w:t>
      </w:r>
      <w:r w:rsidR="00D75F75">
        <w:t xml:space="preserve">attachment 13 - </w:t>
      </w:r>
      <w:r w:rsidRPr="00F365B3">
        <w:t>confidential appendix A.</w:t>
      </w:r>
    </w:p>
    <w:p w:rsidR="00333800" w:rsidRPr="00F365B3" w:rsidRDefault="00333800" w:rsidP="00F365B3"/>
    <w:p w:rsidR="000B321F" w:rsidRDefault="000B321F" w:rsidP="00540418">
      <w:pPr>
        <w:rPr>
          <w:rStyle w:val="AERbody"/>
        </w:rPr>
      </w:pPr>
    </w:p>
    <w:sectPr w:rsidR="000B321F" w:rsidSect="00EE50D1">
      <w:pgSz w:w="11906" w:h="16838" w:code="9"/>
      <w:pgMar w:top="1440" w:right="1700" w:bottom="1582" w:left="1729" w:header="720" w:footer="0" w:gutter="0"/>
      <w:pgNumType w:chapStyle="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379A5" w:rsidRPr="00290C63" w:rsidRDefault="004379A5" w:rsidP="00290C63">
      <w:r>
        <w:separator/>
      </w:r>
    </w:p>
    <w:p w:rsidR="004379A5" w:rsidRDefault="004379A5"/>
  </w:endnote>
  <w:endnote w:type="continuationSeparator" w:id="0">
    <w:p w:rsidR="004379A5" w:rsidRPr="00290C63" w:rsidRDefault="004379A5" w:rsidP="00290C63">
      <w:r>
        <w:continuationSeparator/>
      </w:r>
    </w:p>
    <w:p w:rsidR="004379A5" w:rsidRDefault="004379A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Gautami">
    <w:panose1 w:val="020B0502040204020203"/>
    <w:charset w:val="01"/>
    <w:family w:val="roman"/>
    <w:notTrueType/>
    <w:pitch w:val="variable"/>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79A5" w:rsidRPr="00290C63" w:rsidRDefault="004379A5" w:rsidP="00290C63">
    <w:pPr>
      <w:rPr>
        <w:rStyle w:val="PageNumber"/>
      </w:rPr>
    </w:pPr>
    <w:r w:rsidRPr="00290C63">
      <w:rPr>
        <w:rStyle w:val="PageNumber"/>
      </w:rPr>
      <w:fldChar w:fldCharType="begin"/>
    </w:r>
    <w:r w:rsidRPr="00290C63">
      <w:rPr>
        <w:rStyle w:val="PageNumber"/>
      </w:rPr>
      <w:instrText xml:space="preserve"> PAGE   \* MERGEFORMAT </w:instrText>
    </w:r>
    <w:r w:rsidRPr="00290C63">
      <w:rPr>
        <w:rStyle w:val="PageNumber"/>
      </w:rPr>
      <w:fldChar w:fldCharType="separate"/>
    </w:r>
    <w:r w:rsidRPr="00290C63">
      <w:rPr>
        <w:rStyle w:val="PageNumber"/>
      </w:rPr>
      <w:t>2</w:t>
    </w:r>
    <w:r w:rsidRPr="00290C63">
      <w:rPr>
        <w:rStyle w:val="PageNumber"/>
      </w:rPr>
      <w:fldChar w:fldCharType="end"/>
    </w:r>
    <w:r w:rsidRPr="00290C63">
      <w:rPr>
        <w:rStyle w:val="PageNumber"/>
      </w:rPr>
      <w:tab/>
      <w:t>Xxx report—month/year</w:t>
    </w:r>
  </w:p>
  <w:p w:rsidR="004379A5" w:rsidRDefault="004379A5"/>
  <w:p w:rsidR="004379A5" w:rsidRDefault="004379A5"/>
  <w:p w:rsidR="004379A5" w:rsidRDefault="004379A5"/>
  <w:p w:rsidR="004379A5" w:rsidRDefault="004379A5"/>
  <w:p w:rsidR="004379A5" w:rsidRDefault="004379A5"/>
  <w:p w:rsidR="004379A5" w:rsidRDefault="004379A5"/>
  <w:p w:rsidR="004379A5" w:rsidRDefault="004379A5"/>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753655474"/>
      <w:docPartObj>
        <w:docPartGallery w:val="Page Numbers (Bottom of Page)"/>
        <w:docPartUnique/>
      </w:docPartObj>
    </w:sdtPr>
    <w:sdtEndPr>
      <w:rPr>
        <w:noProof/>
      </w:rPr>
    </w:sdtEndPr>
    <w:sdtContent>
      <w:p w:rsidR="004379A5" w:rsidRDefault="004379A5" w:rsidP="00ED5749">
        <w:pPr>
          <w:pStyle w:val="Footer"/>
        </w:pPr>
        <w:r>
          <w:fldChar w:fldCharType="begin"/>
        </w:r>
        <w:r>
          <w:instrText xml:space="preserve"> PAGE   \* MERGEFORMAT </w:instrText>
        </w:r>
        <w:r>
          <w:fldChar w:fldCharType="separate"/>
        </w:r>
        <w:r w:rsidR="00495C21">
          <w:rPr>
            <w:noProof/>
          </w:rPr>
          <w:t>13-0</w:t>
        </w:r>
        <w:r>
          <w:rPr>
            <w:noProof/>
          </w:rPr>
          <w:fldChar w:fldCharType="end"/>
        </w:r>
        <w:r>
          <w:rPr>
            <w:noProof/>
          </w:rPr>
          <w:t xml:space="preserve">          </w:t>
        </w:r>
        <w:r w:rsidRPr="00FD5E78">
          <w:rPr>
            <w:noProof/>
          </w:rPr>
          <w:t>Attachment 1</w:t>
        </w:r>
        <w:r>
          <w:rPr>
            <w:noProof/>
          </w:rPr>
          <w:t>3</w:t>
        </w:r>
        <w:r w:rsidRPr="00FD5E78">
          <w:rPr>
            <w:noProof/>
          </w:rPr>
          <w:t xml:space="preserve"> </w:t>
        </w:r>
        <w:r w:rsidRPr="00FD5E78">
          <w:rPr>
            <w:rFonts w:cs="Gautami"/>
            <w:noProof/>
          </w:rPr>
          <w:t xml:space="preserve">– </w:t>
        </w:r>
        <w:r>
          <w:t>Pass through events</w:t>
        </w:r>
        <w:r w:rsidRPr="00FD5E78">
          <w:rPr>
            <w:rFonts w:cs="Gautami"/>
            <w:noProof/>
          </w:rPr>
          <w:t xml:space="preserve"> | </w:t>
        </w:r>
        <w:r>
          <w:t>Final</w:t>
        </w:r>
        <w:r w:rsidRPr="00FD5E78">
          <w:rPr>
            <w:rFonts w:cs="Gautami"/>
            <w:noProof/>
          </w:rPr>
          <w:t xml:space="preserve"> decision</w:t>
        </w:r>
        <w:r>
          <w:rPr>
            <w:rFonts w:cs="Gautami"/>
            <w:noProof/>
          </w:rPr>
          <w:t>:</w:t>
        </w:r>
        <w:r w:rsidRPr="00FD5E78">
          <w:rPr>
            <w:rFonts w:cs="Gautami"/>
            <w:noProof/>
          </w:rPr>
          <w:t xml:space="preserve"> </w:t>
        </w:r>
        <w:r>
          <w:rPr>
            <w:rFonts w:cs="Gautami"/>
            <w:noProof/>
          </w:rPr>
          <w:t>AusNet Ser</w:t>
        </w:r>
        <w:r w:rsidR="00FF7590">
          <w:rPr>
            <w:rFonts w:cs="Gautami"/>
            <w:noProof/>
          </w:rPr>
          <w:t>v</w:t>
        </w:r>
        <w:r>
          <w:rPr>
            <w:rFonts w:cs="Gautami"/>
            <w:noProof/>
          </w:rPr>
          <w:t>ices</w:t>
        </w:r>
        <w:r w:rsidRPr="00FD5E78">
          <w:t xml:space="preserve"> transmission</w:t>
        </w:r>
        <w:r w:rsidRPr="00FD5E78">
          <w:rPr>
            <w:rFonts w:cs="Gautami"/>
            <w:noProof/>
          </w:rPr>
          <w:t xml:space="preserve"> determination 201</w:t>
        </w:r>
        <w:r>
          <w:rPr>
            <w:rFonts w:cs="Gautami"/>
            <w:noProof/>
          </w:rPr>
          <w:t>7</w:t>
        </w:r>
        <w:r w:rsidRPr="00FD5E78">
          <w:rPr>
            <w:rFonts w:cs="Gautami"/>
            <w:noProof/>
          </w:rPr>
          <w:t>–</w:t>
        </w:r>
        <w:r>
          <w:rPr>
            <w:rFonts w:cs="Gautami"/>
            <w:noProof/>
          </w:rPr>
          <w:t>22</w:t>
        </w:r>
      </w:p>
    </w:sdtContent>
  </w:sdt>
  <w:p w:rsidR="004379A5" w:rsidRDefault="004379A5">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79A5" w:rsidRPr="00290C63" w:rsidRDefault="004379A5" w:rsidP="00290C63">
    <w:pPr>
      <w:pStyle w:val="Footer"/>
    </w:pPr>
    <w:r>
      <w:t>Name of Report</w:t>
    </w:r>
    <w:r>
      <w:tab/>
    </w:r>
    <w:r>
      <w:tab/>
    </w:r>
    <w:r w:rsidRPr="00290C63">
      <w:fldChar w:fldCharType="begin"/>
    </w:r>
    <w:r w:rsidRPr="00290C63">
      <w:instrText xml:space="preserve"> PAGE   \* MERGEFORMAT </w:instrText>
    </w:r>
    <w:r w:rsidRPr="00290C63">
      <w:fldChar w:fldCharType="separate"/>
    </w:r>
    <w:r w:rsidRPr="00290C63">
      <w:t>1</w:t>
    </w:r>
    <w:r w:rsidRPr="00290C63">
      <w:fldChar w:fldCharType="end"/>
    </w:r>
  </w:p>
  <w:p w:rsidR="004379A5" w:rsidRDefault="004379A5">
    <w:pPr>
      <w:pStyle w:val="Footer"/>
    </w:pPr>
  </w:p>
  <w:p w:rsidR="004379A5" w:rsidRDefault="004379A5"/>
  <w:p w:rsidR="004379A5" w:rsidRDefault="004379A5"/>
  <w:p w:rsidR="004379A5" w:rsidRDefault="004379A5"/>
  <w:p w:rsidR="004379A5" w:rsidRDefault="004379A5"/>
  <w:p w:rsidR="004379A5" w:rsidRDefault="004379A5"/>
  <w:p w:rsidR="004379A5" w:rsidRDefault="004379A5"/>
  <w:p w:rsidR="004379A5" w:rsidRDefault="004379A5"/>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379A5" w:rsidRPr="00290C63" w:rsidRDefault="004379A5" w:rsidP="00290C63">
      <w:r>
        <w:separator/>
      </w:r>
    </w:p>
    <w:p w:rsidR="004379A5" w:rsidRDefault="004379A5"/>
  </w:footnote>
  <w:footnote w:type="continuationSeparator" w:id="0">
    <w:p w:rsidR="004379A5" w:rsidRPr="00290C63" w:rsidRDefault="004379A5" w:rsidP="00290C63">
      <w:r>
        <w:continuationSeparator/>
      </w:r>
    </w:p>
    <w:p w:rsidR="004379A5" w:rsidRDefault="004379A5"/>
  </w:footnote>
  <w:footnote w:id="1">
    <w:p w:rsidR="004379A5" w:rsidRDefault="004379A5" w:rsidP="00DB150D">
      <w:pPr>
        <w:pStyle w:val="FootnoteText"/>
      </w:pPr>
      <w:r>
        <w:rPr>
          <w:rStyle w:val="FootnoteReference"/>
        </w:rPr>
        <w:footnoteRef/>
      </w:r>
      <w:r>
        <w:t xml:space="preserve"> </w:t>
      </w:r>
      <w:r>
        <w:tab/>
        <w:t xml:space="preserve">AEMC 2012, </w:t>
      </w:r>
      <w:r>
        <w:rPr>
          <w:i/>
        </w:rPr>
        <w:t xml:space="preserve">Cost pass through arrangements for Network Service Providers, Rule Determination, </w:t>
      </w:r>
      <w:r>
        <w:t>2 August 2012, Sydney, p. 2.</w:t>
      </w:r>
    </w:p>
  </w:footnote>
  <w:footnote w:id="2">
    <w:p w:rsidR="004379A5" w:rsidRDefault="004379A5" w:rsidP="00DB150D">
      <w:pPr>
        <w:pStyle w:val="FootnoteText"/>
      </w:pPr>
      <w:r>
        <w:rPr>
          <w:rStyle w:val="FootnoteReference"/>
        </w:rPr>
        <w:footnoteRef/>
      </w:r>
      <w:r>
        <w:t xml:space="preserve"> </w:t>
      </w:r>
      <w:r>
        <w:tab/>
        <w:t>NER, cl. 6A.7.3(a1)(1)–(4). Each of these prescribed events is defined in Chapter 10 (Glossary) of the NER.</w:t>
      </w:r>
    </w:p>
  </w:footnote>
  <w:footnote w:id="3">
    <w:p w:rsidR="004379A5" w:rsidRDefault="004379A5" w:rsidP="00DB150D">
      <w:pPr>
        <w:pStyle w:val="FootnoteText"/>
      </w:pPr>
      <w:r>
        <w:rPr>
          <w:rStyle w:val="FootnoteReference"/>
        </w:rPr>
        <w:footnoteRef/>
      </w:r>
      <w:r>
        <w:t xml:space="preserve"> </w:t>
      </w:r>
      <w:r>
        <w:tab/>
      </w:r>
      <w:r w:rsidRPr="000F74F9">
        <w:t>NER, cl</w:t>
      </w:r>
      <w:r>
        <w:t>.</w:t>
      </w:r>
      <w:r w:rsidRPr="000F74F9">
        <w:t xml:space="preserve"> </w:t>
      </w:r>
      <w:r>
        <w:t>6A.7.3(a1)(5).</w:t>
      </w:r>
    </w:p>
  </w:footnote>
  <w:footnote w:id="4">
    <w:p w:rsidR="004379A5" w:rsidRDefault="004379A5">
      <w:pPr>
        <w:pStyle w:val="FootnoteText"/>
      </w:pPr>
      <w:r>
        <w:rPr>
          <w:rStyle w:val="FootnoteReference"/>
        </w:rPr>
        <w:footnoteRef/>
      </w:r>
      <w:r>
        <w:t xml:space="preserve"> </w:t>
      </w:r>
      <w:r>
        <w:tab/>
        <w:t>NER, cl. 6A.14.1(9).</w:t>
      </w:r>
    </w:p>
  </w:footnote>
  <w:footnote w:id="5">
    <w:p w:rsidR="004379A5" w:rsidRDefault="004379A5" w:rsidP="004379A5">
      <w:pPr>
        <w:pStyle w:val="FootnoteText"/>
      </w:pPr>
      <w:r>
        <w:rPr>
          <w:rStyle w:val="FootnoteReference"/>
        </w:rPr>
        <w:footnoteRef/>
      </w:r>
      <w:r>
        <w:t xml:space="preserve"> </w:t>
      </w:r>
      <w:r>
        <w:tab/>
        <w:t xml:space="preserve">AER, </w:t>
      </w:r>
      <w:r w:rsidRPr="004379A5">
        <w:rPr>
          <w:rStyle w:val="AERtextitalic"/>
        </w:rPr>
        <w:t>Draft decision AusNet Services transmission determination 2017</w:t>
      </w:r>
      <w:r>
        <w:rPr>
          <w:rStyle w:val="AERtextitalic"/>
        </w:rPr>
        <w:t>-18 to 2021</w:t>
      </w:r>
      <w:r w:rsidRPr="004379A5">
        <w:rPr>
          <w:rStyle w:val="AERtextitalic"/>
        </w:rPr>
        <w:t>-22, attachment 13 - pass through events,</w:t>
      </w:r>
      <w:r>
        <w:t xml:space="preserve"> July 2016, p. 13-6.</w:t>
      </w:r>
    </w:p>
  </w:footnote>
  <w:footnote w:id="6">
    <w:p w:rsidR="004379A5" w:rsidRDefault="004379A5" w:rsidP="00F84576">
      <w:pPr>
        <w:pStyle w:val="FootnoteText"/>
      </w:pPr>
      <w:r>
        <w:rPr>
          <w:rStyle w:val="FootnoteReference"/>
        </w:rPr>
        <w:footnoteRef/>
      </w:r>
      <w:r>
        <w:t xml:space="preserve"> </w:t>
      </w:r>
      <w:r>
        <w:tab/>
        <w:t xml:space="preserve">AusNet Services, </w:t>
      </w:r>
      <w:r w:rsidRPr="00F84576">
        <w:rPr>
          <w:rStyle w:val="AERtextitalic"/>
        </w:rPr>
        <w:t>AusNet Transmission Group Pty Ltd Transmission</w:t>
      </w:r>
      <w:r w:rsidR="00A704CB">
        <w:rPr>
          <w:rStyle w:val="AERtextitalic"/>
        </w:rPr>
        <w:t xml:space="preserve"> Revenue Proposal </w:t>
      </w:r>
      <w:r w:rsidR="00A704CB" w:rsidRPr="00F84576">
        <w:rPr>
          <w:rStyle w:val="AERtextitalic"/>
        </w:rPr>
        <w:t>2017-22</w:t>
      </w:r>
      <w:r w:rsidR="00A704CB">
        <w:rPr>
          <w:rStyle w:val="AERtextitalic"/>
        </w:rPr>
        <w:t>,</w:t>
      </w:r>
      <w:r w:rsidRPr="00F84576">
        <w:rPr>
          <w:rStyle w:val="AERtextitalic"/>
        </w:rPr>
        <w:t xml:space="preserve"> Revised Revenue </w:t>
      </w:r>
      <w:r w:rsidR="00A704CB">
        <w:rPr>
          <w:rStyle w:val="AERtextitalic"/>
        </w:rPr>
        <w:t>Proposal</w:t>
      </w:r>
      <w:r>
        <w:t>,</w:t>
      </w:r>
      <w:r w:rsidR="008508C8">
        <w:t xml:space="preserve"> 21 September 2016,</w:t>
      </w:r>
      <w:r>
        <w:t xml:space="preserve"> p. 223.</w:t>
      </w:r>
    </w:p>
  </w:footnote>
  <w:footnote w:id="7">
    <w:p w:rsidR="004379A5" w:rsidRDefault="004379A5">
      <w:pPr>
        <w:pStyle w:val="FootnoteText"/>
      </w:pPr>
      <w:r>
        <w:rPr>
          <w:rStyle w:val="FootnoteReference"/>
        </w:rPr>
        <w:footnoteRef/>
      </w:r>
      <w:r>
        <w:t xml:space="preserve"> </w:t>
      </w:r>
      <w:r>
        <w:tab/>
        <w:t>NER, cl. 6A.7.3.</w:t>
      </w:r>
    </w:p>
  </w:footnote>
  <w:footnote w:id="8">
    <w:p w:rsidR="004379A5" w:rsidRDefault="004379A5" w:rsidP="004646BB">
      <w:pPr>
        <w:pStyle w:val="FootnoteText"/>
      </w:pPr>
      <w:r>
        <w:rPr>
          <w:rStyle w:val="FootnoteReference"/>
        </w:rPr>
        <w:footnoteRef/>
      </w:r>
      <w:r>
        <w:t xml:space="preserve"> </w:t>
      </w:r>
      <w:r>
        <w:tab/>
        <w:t>NEL, s</w:t>
      </w:r>
      <w:r w:rsidRPr="00CE34CA">
        <w:t>.</w:t>
      </w:r>
      <w:r>
        <w:t xml:space="preserve"> </w:t>
      </w:r>
      <w:r w:rsidRPr="00CE34CA">
        <w:t>7A(2).</w:t>
      </w:r>
    </w:p>
  </w:footnote>
  <w:footnote w:id="9">
    <w:p w:rsidR="004379A5" w:rsidRDefault="004379A5" w:rsidP="004646BB">
      <w:pPr>
        <w:pStyle w:val="FootnoteText"/>
      </w:pPr>
      <w:r>
        <w:rPr>
          <w:rStyle w:val="FootnoteReference"/>
        </w:rPr>
        <w:footnoteRef/>
      </w:r>
      <w:r>
        <w:t xml:space="preserve"> </w:t>
      </w:r>
      <w:r>
        <w:tab/>
        <w:t>NEL, s</w:t>
      </w:r>
      <w:r w:rsidRPr="00CE34CA">
        <w:t>.</w:t>
      </w:r>
      <w:r>
        <w:t xml:space="preserve"> </w:t>
      </w:r>
      <w:r w:rsidRPr="00CE34CA">
        <w:t>7A(3)</w:t>
      </w:r>
      <w:r>
        <w:t>.</w:t>
      </w:r>
    </w:p>
  </w:footnote>
  <w:footnote w:id="10">
    <w:p w:rsidR="004379A5" w:rsidRDefault="004379A5" w:rsidP="004646BB">
      <w:pPr>
        <w:pStyle w:val="FootnoteText"/>
      </w:pPr>
      <w:r>
        <w:rPr>
          <w:rStyle w:val="FootnoteReference"/>
        </w:rPr>
        <w:footnoteRef/>
      </w:r>
      <w:r>
        <w:t xml:space="preserve"> </w:t>
      </w:r>
      <w:r>
        <w:tab/>
        <w:t>NEL, s</w:t>
      </w:r>
      <w:r w:rsidRPr="005D0FD3">
        <w:t>.</w:t>
      </w:r>
      <w:r>
        <w:t xml:space="preserve"> </w:t>
      </w:r>
      <w:r w:rsidRPr="005D0FD3">
        <w:t>7A(6)</w:t>
      </w:r>
      <w:r>
        <w:t>.</w:t>
      </w:r>
    </w:p>
  </w:footnote>
  <w:footnote w:id="11">
    <w:p w:rsidR="004379A5" w:rsidRDefault="004379A5" w:rsidP="004646BB">
      <w:pPr>
        <w:pStyle w:val="FootnoteText"/>
      </w:pPr>
      <w:r>
        <w:rPr>
          <w:rStyle w:val="FootnoteReference"/>
        </w:rPr>
        <w:footnoteRef/>
      </w:r>
      <w:r>
        <w:t xml:space="preserve"> </w:t>
      </w:r>
      <w:r>
        <w:tab/>
        <w:t xml:space="preserve">NEL, s. 7; AEMC 2012, </w:t>
      </w:r>
      <w:r>
        <w:rPr>
          <w:i/>
        </w:rPr>
        <w:t xml:space="preserve">Cost pass through arrangements for Network Service Providers, Rule Determination, </w:t>
      </w:r>
      <w:r>
        <w:t>2 August 2012, Sydney, p. 6.</w:t>
      </w:r>
    </w:p>
  </w:footnote>
  <w:footnote w:id="12">
    <w:p w:rsidR="004379A5" w:rsidRDefault="004379A5" w:rsidP="004646BB">
      <w:pPr>
        <w:pStyle w:val="FootnoteText"/>
      </w:pPr>
      <w:r>
        <w:rPr>
          <w:rStyle w:val="FootnoteReference"/>
        </w:rPr>
        <w:footnoteRef/>
      </w:r>
      <w:r>
        <w:t xml:space="preserve"> </w:t>
      </w:r>
      <w:r>
        <w:tab/>
      </w:r>
      <w:r w:rsidRPr="00930CEF">
        <w:t xml:space="preserve">NER, cl. </w:t>
      </w:r>
      <w:r>
        <w:t>6A.6.9(b)</w:t>
      </w:r>
      <w:r w:rsidRPr="00930CEF">
        <w:t xml:space="preserve">; NER </w:t>
      </w:r>
      <w:r>
        <w:t>Chapter 10: G</w:t>
      </w:r>
      <w:r w:rsidRPr="00930CEF">
        <w:t>lossary, definition of 'nominated pass through event considerations'.</w:t>
      </w:r>
    </w:p>
  </w:footnote>
  <w:footnote w:id="13">
    <w:p w:rsidR="004379A5" w:rsidRDefault="004379A5" w:rsidP="004646BB">
      <w:pPr>
        <w:pStyle w:val="FootnoteText"/>
      </w:pPr>
      <w:r>
        <w:rPr>
          <w:rStyle w:val="FootnoteReference"/>
        </w:rPr>
        <w:footnoteRef/>
      </w:r>
      <w:r>
        <w:t xml:space="preserve"> </w:t>
      </w:r>
      <w:r>
        <w:tab/>
        <w:t xml:space="preserve">AEMC 2012, </w:t>
      </w:r>
      <w:r>
        <w:rPr>
          <w:i/>
        </w:rPr>
        <w:t xml:space="preserve">Cost pass through arrangements for Network Service Providers, Rule Determination, </w:t>
      </w:r>
      <w:r>
        <w:t>2 August 2012, Sydney, p. 19.</w:t>
      </w:r>
    </w:p>
  </w:footnote>
  <w:footnote w:id="14">
    <w:p w:rsidR="004379A5" w:rsidRDefault="004379A5" w:rsidP="004646BB">
      <w:pPr>
        <w:pStyle w:val="FootnoteText"/>
      </w:pPr>
      <w:r>
        <w:rPr>
          <w:rStyle w:val="FootnoteReference"/>
        </w:rPr>
        <w:footnoteRef/>
      </w:r>
      <w:r>
        <w:t xml:space="preserve"> </w:t>
      </w:r>
      <w:r>
        <w:tab/>
        <w:t xml:space="preserve">AEMC 2012, </w:t>
      </w:r>
      <w:r>
        <w:rPr>
          <w:i/>
        </w:rPr>
        <w:t xml:space="preserve">Cost pass through arrangements for Network Service Providers, Rule Determination, </w:t>
      </w:r>
      <w:r>
        <w:t>2 August 2012, Sydney, p. 20.</w:t>
      </w:r>
    </w:p>
  </w:footnote>
  <w:footnote w:id="15">
    <w:p w:rsidR="004379A5" w:rsidRDefault="004379A5" w:rsidP="004646BB">
      <w:pPr>
        <w:pStyle w:val="FootnoteText"/>
      </w:pPr>
      <w:r>
        <w:rPr>
          <w:rStyle w:val="FootnoteReference"/>
        </w:rPr>
        <w:footnoteRef/>
      </w:r>
      <w:r>
        <w:t xml:space="preserve"> </w:t>
      </w:r>
      <w:r>
        <w:tab/>
        <w:t xml:space="preserve">AEMC 2012, </w:t>
      </w:r>
      <w:r>
        <w:rPr>
          <w:i/>
        </w:rPr>
        <w:t xml:space="preserve">Cost pass through arrangements for Network Service Providers, Rule Determination, </w:t>
      </w:r>
      <w:r>
        <w:t>2 August 2012, Sydney, p.8.</w:t>
      </w:r>
    </w:p>
  </w:footnote>
  <w:footnote w:id="16">
    <w:p w:rsidR="004379A5" w:rsidRDefault="004379A5" w:rsidP="004646BB">
      <w:pPr>
        <w:pStyle w:val="FootnoteText"/>
      </w:pPr>
      <w:r>
        <w:rPr>
          <w:rStyle w:val="FootnoteReference"/>
        </w:rPr>
        <w:footnoteRef/>
      </w:r>
      <w:r>
        <w:t xml:space="preserve"> </w:t>
      </w:r>
      <w:r>
        <w:tab/>
        <w:t xml:space="preserve">AEMC 2012, </w:t>
      </w:r>
      <w:r>
        <w:rPr>
          <w:i/>
        </w:rPr>
        <w:t xml:space="preserve">Cost pass through arrangements for Network Service Providers, Rule Determination, </w:t>
      </w:r>
      <w:r>
        <w:t>2 August 2012, Sydney, p.8.</w:t>
      </w:r>
    </w:p>
  </w:footnote>
  <w:footnote w:id="17">
    <w:p w:rsidR="004379A5" w:rsidRDefault="004379A5" w:rsidP="004646BB">
      <w:pPr>
        <w:pStyle w:val="FootnoteText"/>
      </w:pPr>
      <w:r>
        <w:rPr>
          <w:rStyle w:val="FootnoteReference"/>
        </w:rPr>
        <w:footnoteRef/>
      </w:r>
      <w:r>
        <w:t xml:space="preserve"> </w:t>
      </w:r>
      <w:r>
        <w:tab/>
      </w:r>
      <w:r w:rsidRPr="00930CEF">
        <w:t>NER</w:t>
      </w:r>
      <w:r>
        <w:t>, Chapter 10: G</w:t>
      </w:r>
      <w:r w:rsidRPr="00930CEF">
        <w:t>lossary, definition of 'nominated pas</w:t>
      </w:r>
      <w:r>
        <w:t>s through event considerations', cl. (e).</w:t>
      </w:r>
    </w:p>
  </w:footnote>
  <w:footnote w:id="18">
    <w:p w:rsidR="004379A5" w:rsidRDefault="004379A5" w:rsidP="004646BB">
      <w:pPr>
        <w:pStyle w:val="FootnoteText"/>
      </w:pPr>
      <w:r>
        <w:rPr>
          <w:rStyle w:val="FootnoteReference"/>
        </w:rPr>
        <w:footnoteRef/>
      </w:r>
      <w:r>
        <w:t xml:space="preserve"> </w:t>
      </w:r>
      <w:r>
        <w:tab/>
        <w:t xml:space="preserve">AEMC 2012, </w:t>
      </w:r>
      <w:r>
        <w:rPr>
          <w:i/>
        </w:rPr>
        <w:t xml:space="preserve">Cost pass through arrangements for Network Service Providers, Rule Determination, </w:t>
      </w:r>
      <w:r>
        <w:t>2 August 2012, Sydney, p. 18.</w:t>
      </w:r>
    </w:p>
  </w:footnote>
  <w:footnote w:id="19">
    <w:p w:rsidR="004379A5" w:rsidRDefault="004379A5" w:rsidP="008E3C6E">
      <w:pPr>
        <w:pStyle w:val="FootnoteText"/>
      </w:pPr>
      <w:r>
        <w:rPr>
          <w:rStyle w:val="FootnoteReference"/>
        </w:rPr>
        <w:footnoteRef/>
      </w:r>
      <w:r>
        <w:t xml:space="preserve"> </w:t>
      </w:r>
      <w:r>
        <w:tab/>
        <w:t xml:space="preserve">AEMC 2012, </w:t>
      </w:r>
      <w:r>
        <w:rPr>
          <w:i/>
        </w:rPr>
        <w:t xml:space="preserve">Cost pass through arrangements for Network Service Providers, Rule Determination, </w:t>
      </w:r>
      <w:r>
        <w:t>2 August 2012, Sydney, pp. 19–20.</w:t>
      </w:r>
    </w:p>
  </w:footnote>
  <w:footnote w:id="20">
    <w:p w:rsidR="004379A5" w:rsidRDefault="004379A5">
      <w:pPr>
        <w:pStyle w:val="FootnoteText"/>
      </w:pPr>
      <w:r>
        <w:rPr>
          <w:rStyle w:val="FootnoteReference"/>
        </w:rPr>
        <w:footnoteRef/>
      </w:r>
      <w:r>
        <w:t xml:space="preserve"> </w:t>
      </w:r>
      <w:r>
        <w:tab/>
      </w:r>
      <w:r w:rsidRPr="007075A1">
        <w:t xml:space="preserve">AEMC 2012, </w:t>
      </w:r>
      <w:r w:rsidRPr="007075A1">
        <w:rPr>
          <w:rStyle w:val="AERtextitalic"/>
        </w:rPr>
        <w:t>Economic Regulation of Network Service Providers, and Price and Revenue Regulation of Gas Services, Final Position Paper</w:t>
      </w:r>
      <w:r w:rsidRPr="007075A1">
        <w:t>, 29 November 2012, Sydney</w:t>
      </w:r>
      <w:r>
        <w:t>, p. 186.</w:t>
      </w:r>
    </w:p>
  </w:footnote>
  <w:footnote w:id="21">
    <w:p w:rsidR="004379A5" w:rsidRDefault="004379A5" w:rsidP="008E3C6E">
      <w:pPr>
        <w:pStyle w:val="FootnoteText"/>
      </w:pPr>
      <w:r>
        <w:rPr>
          <w:rStyle w:val="FootnoteReference"/>
        </w:rPr>
        <w:footnoteRef/>
      </w:r>
      <w:r>
        <w:t xml:space="preserve"> </w:t>
      </w:r>
      <w:r>
        <w:tab/>
        <w:t>NER, Chapter 10: Glossary, definition of ‘materially’.</w:t>
      </w:r>
    </w:p>
  </w:footnote>
  <w:footnote w:id="22">
    <w:p w:rsidR="004379A5" w:rsidRDefault="004379A5" w:rsidP="007A10D3">
      <w:pPr>
        <w:pStyle w:val="FootnoteText"/>
      </w:pPr>
      <w:r>
        <w:rPr>
          <w:rStyle w:val="FootnoteReference"/>
        </w:rPr>
        <w:footnoteRef/>
      </w:r>
      <w:r>
        <w:t xml:space="preserve"> </w:t>
      </w:r>
      <w:r>
        <w:tab/>
        <w:t xml:space="preserve">AER, </w:t>
      </w:r>
      <w:r w:rsidRPr="00EA0C7F">
        <w:rPr>
          <w:rStyle w:val="AERtextitalic"/>
        </w:rPr>
        <w:t>Efficiency Benefit Sharing Scheme for Electricity Network Service Providers</w:t>
      </w:r>
      <w:r>
        <w:t>, November 2013, p. 9;</w:t>
      </w:r>
      <w:r w:rsidRPr="00EA0C7F">
        <w:t xml:space="preserve"> </w:t>
      </w:r>
      <w:r>
        <w:t xml:space="preserve">AER, </w:t>
      </w:r>
      <w:r w:rsidRPr="00EA0C7F">
        <w:rPr>
          <w:rStyle w:val="AERtextitalic"/>
        </w:rPr>
        <w:t>Capital Expenditure Incentive Guideline for Electricity Network Service Providers</w:t>
      </w:r>
      <w:r>
        <w:t>, November 2013, p. 18.</w:t>
      </w:r>
    </w:p>
  </w:footnote>
  <w:footnote w:id="23">
    <w:p w:rsidR="00C85FAF" w:rsidRDefault="00C85FAF">
      <w:pPr>
        <w:pStyle w:val="FootnoteText"/>
      </w:pPr>
      <w:r>
        <w:rPr>
          <w:rStyle w:val="FootnoteReference"/>
        </w:rPr>
        <w:footnoteRef/>
      </w:r>
      <w:r>
        <w:t xml:space="preserve"> </w:t>
      </w:r>
      <w:r>
        <w:tab/>
        <w:t>NER, cl. S6A.2.1(f)(1)(ii).</w:t>
      </w:r>
    </w:p>
  </w:footnote>
  <w:footnote w:id="24">
    <w:p w:rsidR="004379A5" w:rsidRDefault="004379A5">
      <w:pPr>
        <w:pStyle w:val="FootnoteText"/>
      </w:pPr>
      <w:r>
        <w:rPr>
          <w:rStyle w:val="FootnoteReference"/>
        </w:rPr>
        <w:footnoteRef/>
      </w:r>
      <w:r>
        <w:t xml:space="preserve"> </w:t>
      </w:r>
      <w:r>
        <w:tab/>
      </w:r>
      <w:r w:rsidRPr="00930CEF">
        <w:t>NER</w:t>
      </w:r>
      <w:r>
        <w:t>, Chapter 10: G</w:t>
      </w:r>
      <w:r w:rsidRPr="00930CEF">
        <w:t>lossary, definition of 'nominated pas</w:t>
      </w:r>
      <w:r>
        <w:t>s through event considerations', cl. (a).</w:t>
      </w:r>
    </w:p>
  </w:footnote>
  <w:footnote w:id="25">
    <w:p w:rsidR="004379A5" w:rsidRDefault="004379A5">
      <w:pPr>
        <w:pStyle w:val="FootnoteText"/>
      </w:pPr>
      <w:r>
        <w:rPr>
          <w:rStyle w:val="FootnoteReference"/>
        </w:rPr>
        <w:footnoteRef/>
      </w:r>
      <w:r>
        <w:t xml:space="preserve"> </w:t>
      </w:r>
      <w:r>
        <w:tab/>
      </w:r>
      <w:r w:rsidRPr="00930CEF">
        <w:t>NER</w:t>
      </w:r>
      <w:r>
        <w:t>, Chapter 10: G</w:t>
      </w:r>
      <w:r w:rsidRPr="00930CEF">
        <w:t>lossary, definition of 'nominated pas</w:t>
      </w:r>
      <w:r>
        <w:t>s through event considerations', cl. (b).</w:t>
      </w:r>
    </w:p>
  </w:footnote>
  <w:footnote w:id="26">
    <w:p w:rsidR="004379A5" w:rsidRDefault="004379A5">
      <w:pPr>
        <w:pStyle w:val="FootnoteText"/>
      </w:pPr>
      <w:r>
        <w:rPr>
          <w:rStyle w:val="FootnoteReference"/>
        </w:rPr>
        <w:footnoteRef/>
      </w:r>
      <w:r>
        <w:t xml:space="preserve"> </w:t>
      </w:r>
      <w:r>
        <w:tab/>
      </w:r>
      <w:r w:rsidRPr="00930CEF">
        <w:t>NER</w:t>
      </w:r>
      <w:r>
        <w:t>, Chapter 10: G</w:t>
      </w:r>
      <w:r w:rsidRPr="00930CEF">
        <w:t>lossary, definition of 'nominated pas</w:t>
      </w:r>
      <w:r>
        <w:t>s through event considerations', cl. (c).</w:t>
      </w:r>
    </w:p>
  </w:footnote>
  <w:footnote w:id="27">
    <w:p w:rsidR="004379A5" w:rsidRDefault="004379A5">
      <w:pPr>
        <w:pStyle w:val="FootnoteText"/>
      </w:pPr>
      <w:r>
        <w:rPr>
          <w:rStyle w:val="FootnoteReference"/>
        </w:rPr>
        <w:footnoteRef/>
      </w:r>
      <w:r>
        <w:t xml:space="preserve"> </w:t>
      </w:r>
      <w:r>
        <w:tab/>
      </w:r>
      <w:r w:rsidRPr="00930CEF">
        <w:t>NER</w:t>
      </w:r>
      <w:r>
        <w:t>, Chapter 10: G</w:t>
      </w:r>
      <w:r w:rsidRPr="00930CEF">
        <w:t>lossary, definition of 'nominated pas</w:t>
      </w:r>
      <w:r>
        <w:t>s through event considerations', cl. (d).</w:t>
      </w:r>
    </w:p>
  </w:footnote>
  <w:footnote w:id="28">
    <w:p w:rsidR="004379A5" w:rsidRDefault="004379A5">
      <w:pPr>
        <w:pStyle w:val="FootnoteText"/>
      </w:pPr>
      <w:r>
        <w:rPr>
          <w:rStyle w:val="FootnoteReference"/>
        </w:rPr>
        <w:footnoteRef/>
      </w:r>
      <w:r>
        <w:t xml:space="preserve"> </w:t>
      </w:r>
      <w:r>
        <w:tab/>
      </w:r>
      <w:r w:rsidR="00A704CB">
        <w:t xml:space="preserve">AusNet Services, </w:t>
      </w:r>
      <w:r w:rsidR="00A704CB" w:rsidRPr="00F84576">
        <w:rPr>
          <w:rStyle w:val="AERtextitalic"/>
        </w:rPr>
        <w:t>AusNet Transmission Group Pty Ltd Transmission</w:t>
      </w:r>
      <w:r w:rsidR="00A704CB">
        <w:rPr>
          <w:rStyle w:val="AERtextitalic"/>
        </w:rPr>
        <w:t xml:space="preserve"> Revenue Proposal </w:t>
      </w:r>
      <w:r w:rsidR="00A704CB" w:rsidRPr="00F84576">
        <w:rPr>
          <w:rStyle w:val="AERtextitalic"/>
        </w:rPr>
        <w:t>2017-22</w:t>
      </w:r>
      <w:r w:rsidR="00A704CB">
        <w:rPr>
          <w:rStyle w:val="AERtextitalic"/>
        </w:rPr>
        <w:t>,</w:t>
      </w:r>
      <w:r w:rsidR="00A704CB" w:rsidRPr="00F84576">
        <w:rPr>
          <w:rStyle w:val="AERtextitalic"/>
        </w:rPr>
        <w:t xml:space="preserve"> Revised Revenue </w:t>
      </w:r>
      <w:r w:rsidR="00A704CB">
        <w:rPr>
          <w:rStyle w:val="AERtextitalic"/>
        </w:rPr>
        <w:t>Proposal</w:t>
      </w:r>
      <w:r w:rsidR="00A704CB">
        <w:t>, 21 September 2016,</w:t>
      </w:r>
      <w:r w:rsidR="008508C8">
        <w:t xml:space="preserve"> </w:t>
      </w:r>
      <w:r>
        <w:t>p. 223.</w:t>
      </w:r>
    </w:p>
  </w:footnote>
  <w:footnote w:id="29">
    <w:p w:rsidR="00BF4CAA" w:rsidRDefault="00BF4CAA">
      <w:pPr>
        <w:pStyle w:val="FootnoteText"/>
      </w:pPr>
      <w:r>
        <w:rPr>
          <w:rStyle w:val="FootnoteReference"/>
        </w:rPr>
        <w:footnoteRef/>
      </w:r>
      <w:r>
        <w:t xml:space="preserve"> </w:t>
      </w:r>
      <w:r>
        <w:tab/>
        <w:t xml:space="preserve">AEMC, Rule Determination, </w:t>
      </w:r>
      <w:r w:rsidRPr="00BF4CAA">
        <w:rPr>
          <w:rStyle w:val="AERtextitalic"/>
        </w:rPr>
        <w:t>National Electricity Amendment (Cost pass through arrangements for Network Service Providers) Rule 2012</w:t>
      </w:r>
      <w:r>
        <w:t>, 2 August 2012.</w:t>
      </w:r>
    </w:p>
  </w:footnote>
  <w:footnote w:id="30">
    <w:p w:rsidR="004379A5" w:rsidRDefault="004379A5">
      <w:pPr>
        <w:pStyle w:val="FootnoteText"/>
      </w:pPr>
      <w:r>
        <w:rPr>
          <w:rStyle w:val="FootnoteReference"/>
        </w:rPr>
        <w:footnoteRef/>
      </w:r>
      <w:r>
        <w:t xml:space="preserve"> </w:t>
      </w:r>
      <w:r>
        <w:tab/>
        <w:t>NER Chapter 6A.7.3(j)(2) and (2A), NER Chapter 10: Glossary, definition of  'eligible pass through amount, p. 1150.</w:t>
      </w:r>
    </w:p>
  </w:footnote>
  <w:footnote w:id="31">
    <w:p w:rsidR="004379A5" w:rsidRDefault="004379A5">
      <w:pPr>
        <w:pStyle w:val="FootnoteText"/>
      </w:pPr>
      <w:r>
        <w:rPr>
          <w:rStyle w:val="FootnoteReference"/>
        </w:rPr>
        <w:footnoteRef/>
      </w:r>
      <w:r>
        <w:t xml:space="preserve"> </w:t>
      </w:r>
      <w:r>
        <w:tab/>
        <w:t xml:space="preserve">AusNet Services, </w:t>
      </w:r>
      <w:r w:rsidRPr="00F84576">
        <w:rPr>
          <w:rStyle w:val="AERtextitalic"/>
        </w:rPr>
        <w:t>AusNet Transmis</w:t>
      </w:r>
      <w:r w:rsidR="00A704CB">
        <w:rPr>
          <w:rStyle w:val="AERtextitalic"/>
        </w:rPr>
        <w:t xml:space="preserve">sion Group Pty Ltd Transmission Revenue Review </w:t>
      </w:r>
      <w:r w:rsidR="00A704CB" w:rsidRPr="00F84576">
        <w:rPr>
          <w:rStyle w:val="AERtextitalic"/>
        </w:rPr>
        <w:t>2017-22</w:t>
      </w:r>
      <w:r w:rsidR="00A704CB">
        <w:rPr>
          <w:rStyle w:val="AERtextitalic"/>
        </w:rPr>
        <w:t>, Revised Revenue Proposal</w:t>
      </w:r>
      <w:r>
        <w:t>, 21 September 2016, p. 228.</w:t>
      </w:r>
    </w:p>
  </w:footnote>
  <w:footnote w:id="32">
    <w:p w:rsidR="004379A5" w:rsidRDefault="004379A5">
      <w:pPr>
        <w:pStyle w:val="FootnoteText"/>
      </w:pPr>
      <w:r>
        <w:rPr>
          <w:rStyle w:val="FootnoteReference"/>
        </w:rPr>
        <w:footnoteRef/>
      </w:r>
      <w:r>
        <w:t xml:space="preserve"> </w:t>
      </w:r>
      <w:r>
        <w:tab/>
        <w:t xml:space="preserve">AusNet Services, </w:t>
      </w:r>
      <w:r w:rsidRPr="00F84576">
        <w:rPr>
          <w:rStyle w:val="AERtextitalic"/>
        </w:rPr>
        <w:t xml:space="preserve">AusNet Transmission Group Pty Ltd Transmission </w:t>
      </w:r>
      <w:r w:rsidR="00A704CB">
        <w:rPr>
          <w:rStyle w:val="AERtextitalic"/>
        </w:rPr>
        <w:t xml:space="preserve">Revenue Review </w:t>
      </w:r>
      <w:r w:rsidR="00A704CB" w:rsidRPr="00F84576">
        <w:rPr>
          <w:rStyle w:val="AERtextitalic"/>
        </w:rPr>
        <w:t>2017-22</w:t>
      </w:r>
      <w:r>
        <w:t>, 30 October 2015, p. 318.</w:t>
      </w:r>
    </w:p>
  </w:footnote>
  <w:footnote w:id="33">
    <w:p w:rsidR="004379A5" w:rsidRDefault="004379A5">
      <w:pPr>
        <w:pStyle w:val="FootnoteText"/>
      </w:pPr>
      <w:r>
        <w:rPr>
          <w:rStyle w:val="FootnoteReference"/>
        </w:rPr>
        <w:footnoteRef/>
      </w:r>
      <w:r>
        <w:t xml:space="preserve"> </w:t>
      </w:r>
      <w:r>
        <w:tab/>
        <w:t>NER, Chapter 10: Glossary, definition of 'regulatory change event', p. 1200 and definition of 'service standard event', p. 1212. NEL, s. 2D—Meaning of regulatory obligation or requirement.</w:t>
      </w:r>
    </w:p>
  </w:footnote>
  <w:footnote w:id="34">
    <w:p w:rsidR="004379A5" w:rsidRDefault="004379A5">
      <w:pPr>
        <w:pStyle w:val="FootnoteText"/>
      </w:pPr>
      <w:r>
        <w:rPr>
          <w:rStyle w:val="FootnoteReference"/>
        </w:rPr>
        <w:footnoteRef/>
      </w:r>
      <w:r>
        <w:t xml:space="preserve"> </w:t>
      </w:r>
      <w:r>
        <w:tab/>
        <w:t>NER, Chapter 10: Glossary, definition of 'nominated pass through event considerations', cl. (c).</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80E8D0B0"/>
    <w:lvl w:ilvl="0">
      <w:start w:val="1"/>
      <w:numFmt w:val="decimal"/>
      <w:pStyle w:val="ListNumber5"/>
      <w:lvlText w:val="%1."/>
      <w:lvlJc w:val="left"/>
      <w:pPr>
        <w:tabs>
          <w:tab w:val="num" w:pos="1492"/>
        </w:tabs>
        <w:ind w:left="1492" w:hanging="360"/>
      </w:pPr>
    </w:lvl>
  </w:abstractNum>
  <w:abstractNum w:abstractNumId="1">
    <w:nsid w:val="FFFFFF7D"/>
    <w:multiLevelType w:val="singleLevel"/>
    <w:tmpl w:val="756075BE"/>
    <w:lvl w:ilvl="0">
      <w:start w:val="1"/>
      <w:numFmt w:val="decimal"/>
      <w:pStyle w:val="ListNumber4"/>
      <w:lvlText w:val="%1."/>
      <w:lvlJc w:val="left"/>
      <w:pPr>
        <w:tabs>
          <w:tab w:val="num" w:pos="1209"/>
        </w:tabs>
        <w:ind w:left="1209" w:hanging="360"/>
      </w:pPr>
    </w:lvl>
  </w:abstractNum>
  <w:abstractNum w:abstractNumId="2">
    <w:nsid w:val="FFFFFF7E"/>
    <w:multiLevelType w:val="singleLevel"/>
    <w:tmpl w:val="7D84C18C"/>
    <w:lvl w:ilvl="0">
      <w:start w:val="1"/>
      <w:numFmt w:val="decimal"/>
      <w:pStyle w:val="ListNumber3"/>
      <w:lvlText w:val="%1."/>
      <w:lvlJc w:val="left"/>
      <w:pPr>
        <w:tabs>
          <w:tab w:val="num" w:pos="1021"/>
        </w:tabs>
        <w:ind w:left="1021" w:hanging="341"/>
      </w:pPr>
      <w:rPr>
        <w:rFonts w:hint="default"/>
      </w:rPr>
    </w:lvl>
  </w:abstractNum>
  <w:abstractNum w:abstractNumId="3">
    <w:nsid w:val="FFFFFF7F"/>
    <w:multiLevelType w:val="singleLevel"/>
    <w:tmpl w:val="C9043968"/>
    <w:lvl w:ilvl="0">
      <w:start w:val="1"/>
      <w:numFmt w:val="decimal"/>
      <w:pStyle w:val="ListNumber2"/>
      <w:lvlText w:val="%1."/>
      <w:lvlJc w:val="left"/>
      <w:pPr>
        <w:ind w:left="700" w:hanging="360"/>
      </w:pPr>
    </w:lvl>
  </w:abstractNum>
  <w:abstractNum w:abstractNumId="4">
    <w:nsid w:val="FFFFFF80"/>
    <w:multiLevelType w:val="singleLevel"/>
    <w:tmpl w:val="E38619F2"/>
    <w:lvl w:ilvl="0">
      <w:start w:val="1"/>
      <w:numFmt w:val="bullet"/>
      <w:pStyle w:val="ListBullet5"/>
      <w:lvlText w:val=""/>
      <w:lvlJc w:val="left"/>
      <w:pPr>
        <w:tabs>
          <w:tab w:val="num" w:pos="1492"/>
        </w:tabs>
        <w:ind w:left="1492" w:hanging="360"/>
      </w:pPr>
      <w:rPr>
        <w:rFonts w:ascii="Symbol" w:hAnsi="Symbol" w:hint="default"/>
      </w:rPr>
    </w:lvl>
  </w:abstractNum>
  <w:abstractNum w:abstractNumId="5">
    <w:nsid w:val="FFFFFF81"/>
    <w:multiLevelType w:val="singleLevel"/>
    <w:tmpl w:val="93BE8B62"/>
    <w:lvl w:ilvl="0">
      <w:start w:val="1"/>
      <w:numFmt w:val="bullet"/>
      <w:pStyle w:val="ListBullet4"/>
      <w:lvlText w:val=""/>
      <w:lvlJc w:val="left"/>
      <w:pPr>
        <w:tabs>
          <w:tab w:val="num" w:pos="1209"/>
        </w:tabs>
        <w:ind w:left="1209" w:hanging="360"/>
      </w:pPr>
      <w:rPr>
        <w:rFonts w:ascii="Symbol" w:hAnsi="Symbol" w:hint="default"/>
      </w:rPr>
    </w:lvl>
  </w:abstractNum>
  <w:abstractNum w:abstractNumId="6">
    <w:nsid w:val="FFFFFF82"/>
    <w:multiLevelType w:val="singleLevel"/>
    <w:tmpl w:val="C6AE9A80"/>
    <w:lvl w:ilvl="0">
      <w:start w:val="1"/>
      <w:numFmt w:val="upperLetter"/>
      <w:pStyle w:val="ListBullet3"/>
      <w:lvlText w:val="(%1)"/>
      <w:lvlJc w:val="left"/>
      <w:pPr>
        <w:ind w:left="720" w:hanging="360"/>
      </w:pPr>
      <w:rPr>
        <w:rFonts w:hint="default"/>
      </w:rPr>
    </w:lvl>
  </w:abstractNum>
  <w:abstractNum w:abstractNumId="7">
    <w:nsid w:val="FFFFFF83"/>
    <w:multiLevelType w:val="singleLevel"/>
    <w:tmpl w:val="72802F94"/>
    <w:lvl w:ilvl="0">
      <w:start w:val="1"/>
      <w:numFmt w:val="lowerLetter"/>
      <w:pStyle w:val="ListBullet2"/>
      <w:lvlText w:val="(%1)"/>
      <w:lvlJc w:val="left"/>
      <w:pPr>
        <w:ind w:left="700" w:hanging="360"/>
      </w:pPr>
      <w:rPr>
        <w:rFonts w:hint="default"/>
      </w:rPr>
    </w:lvl>
  </w:abstractNum>
  <w:abstractNum w:abstractNumId="8">
    <w:nsid w:val="FFFFFF88"/>
    <w:multiLevelType w:val="singleLevel"/>
    <w:tmpl w:val="F0E083E8"/>
    <w:lvl w:ilvl="0">
      <w:start w:val="1"/>
      <w:numFmt w:val="decimal"/>
      <w:pStyle w:val="ListNumber"/>
      <w:lvlText w:val="%1."/>
      <w:lvlJc w:val="left"/>
      <w:pPr>
        <w:tabs>
          <w:tab w:val="num" w:pos="360"/>
        </w:tabs>
        <w:ind w:left="360" w:hanging="360"/>
      </w:pPr>
    </w:lvl>
  </w:abstractNum>
  <w:abstractNum w:abstractNumId="9">
    <w:nsid w:val="0C4312B0"/>
    <w:multiLevelType w:val="hybridMultilevel"/>
    <w:tmpl w:val="C1266B52"/>
    <w:lvl w:ilvl="0" w:tplc="990A9FAA">
      <w:start w:val="1"/>
      <w:numFmt w:val="lowerLetter"/>
      <w:pStyle w:val="Listalphabet"/>
      <w:lvlText w:val="(%1)"/>
      <w:lvlJc w:val="left"/>
      <w:pPr>
        <w:ind w:left="1040" w:hanging="360"/>
      </w:pPr>
      <w:rPr>
        <w:rFonts w:hint="default"/>
      </w:rPr>
    </w:lvl>
    <w:lvl w:ilvl="1" w:tplc="0C090019" w:tentative="1">
      <w:start w:val="1"/>
      <w:numFmt w:val="lowerLetter"/>
      <w:lvlText w:val="%2."/>
      <w:lvlJc w:val="left"/>
      <w:pPr>
        <w:ind w:left="1760" w:hanging="360"/>
      </w:pPr>
    </w:lvl>
    <w:lvl w:ilvl="2" w:tplc="0C09001B" w:tentative="1">
      <w:start w:val="1"/>
      <w:numFmt w:val="lowerRoman"/>
      <w:lvlText w:val="%3."/>
      <w:lvlJc w:val="right"/>
      <w:pPr>
        <w:ind w:left="2480" w:hanging="180"/>
      </w:pPr>
    </w:lvl>
    <w:lvl w:ilvl="3" w:tplc="0C09000F" w:tentative="1">
      <w:start w:val="1"/>
      <w:numFmt w:val="decimal"/>
      <w:lvlText w:val="%4."/>
      <w:lvlJc w:val="left"/>
      <w:pPr>
        <w:ind w:left="3200" w:hanging="360"/>
      </w:pPr>
    </w:lvl>
    <w:lvl w:ilvl="4" w:tplc="0C090019" w:tentative="1">
      <w:start w:val="1"/>
      <w:numFmt w:val="lowerLetter"/>
      <w:lvlText w:val="%5."/>
      <w:lvlJc w:val="left"/>
      <w:pPr>
        <w:ind w:left="3920" w:hanging="360"/>
      </w:pPr>
    </w:lvl>
    <w:lvl w:ilvl="5" w:tplc="0C09001B" w:tentative="1">
      <w:start w:val="1"/>
      <w:numFmt w:val="lowerRoman"/>
      <w:lvlText w:val="%6."/>
      <w:lvlJc w:val="right"/>
      <w:pPr>
        <w:ind w:left="4640" w:hanging="180"/>
      </w:pPr>
    </w:lvl>
    <w:lvl w:ilvl="6" w:tplc="0C09000F" w:tentative="1">
      <w:start w:val="1"/>
      <w:numFmt w:val="decimal"/>
      <w:lvlText w:val="%7."/>
      <w:lvlJc w:val="left"/>
      <w:pPr>
        <w:ind w:left="5360" w:hanging="360"/>
      </w:pPr>
    </w:lvl>
    <w:lvl w:ilvl="7" w:tplc="0C090019" w:tentative="1">
      <w:start w:val="1"/>
      <w:numFmt w:val="lowerLetter"/>
      <w:lvlText w:val="%8."/>
      <w:lvlJc w:val="left"/>
      <w:pPr>
        <w:ind w:left="6080" w:hanging="360"/>
      </w:pPr>
    </w:lvl>
    <w:lvl w:ilvl="8" w:tplc="0C09001B" w:tentative="1">
      <w:start w:val="1"/>
      <w:numFmt w:val="lowerRoman"/>
      <w:lvlText w:val="%9."/>
      <w:lvlJc w:val="right"/>
      <w:pPr>
        <w:ind w:left="6800" w:hanging="180"/>
      </w:pPr>
    </w:lvl>
  </w:abstractNum>
  <w:abstractNum w:abstractNumId="10">
    <w:nsid w:val="0DD2542B"/>
    <w:multiLevelType w:val="hybridMultilevel"/>
    <w:tmpl w:val="60FAC388"/>
    <w:lvl w:ilvl="0" w:tplc="50264BE2">
      <w:start w:val="1"/>
      <w:numFmt w:val="decimal"/>
      <w:pStyle w:val="ListParagraph"/>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nsid w:val="133E73B6"/>
    <w:multiLevelType w:val="hybridMultilevel"/>
    <w:tmpl w:val="80220B84"/>
    <w:lvl w:ilvl="0" w:tplc="F5987420">
      <w:start w:val="1"/>
      <w:numFmt w:val="decimal"/>
      <w:pStyle w:val="Numberedparagraph"/>
      <w:lvlText w:val="%1."/>
      <w:lvlJc w:val="left"/>
      <w:pPr>
        <w:ind w:left="360" w:hanging="360"/>
      </w:pPr>
      <w:rPr>
        <w:rFonts w:hint="default"/>
      </w:rPr>
    </w:lvl>
    <w:lvl w:ilvl="1" w:tplc="A5728FDE" w:tentative="1">
      <w:start w:val="1"/>
      <w:numFmt w:val="bullet"/>
      <w:lvlText w:val="o"/>
      <w:lvlJc w:val="left"/>
      <w:pPr>
        <w:ind w:left="2520" w:hanging="360"/>
      </w:pPr>
      <w:rPr>
        <w:rFonts w:ascii="Courier New" w:hAnsi="Courier New" w:cs="Courier New" w:hint="default"/>
      </w:rPr>
    </w:lvl>
    <w:lvl w:ilvl="2" w:tplc="B6B8266A" w:tentative="1">
      <w:start w:val="1"/>
      <w:numFmt w:val="bullet"/>
      <w:lvlText w:val=""/>
      <w:lvlJc w:val="left"/>
      <w:pPr>
        <w:ind w:left="3240" w:hanging="360"/>
      </w:pPr>
      <w:rPr>
        <w:rFonts w:ascii="Wingdings" w:hAnsi="Wingdings" w:hint="default"/>
      </w:rPr>
    </w:lvl>
    <w:lvl w:ilvl="3" w:tplc="0E067E3E" w:tentative="1">
      <w:start w:val="1"/>
      <w:numFmt w:val="bullet"/>
      <w:lvlText w:val=""/>
      <w:lvlJc w:val="left"/>
      <w:pPr>
        <w:ind w:left="3960" w:hanging="360"/>
      </w:pPr>
      <w:rPr>
        <w:rFonts w:ascii="Symbol" w:hAnsi="Symbol" w:hint="default"/>
      </w:rPr>
    </w:lvl>
    <w:lvl w:ilvl="4" w:tplc="9D8444DE" w:tentative="1">
      <w:start w:val="1"/>
      <w:numFmt w:val="bullet"/>
      <w:lvlText w:val="o"/>
      <w:lvlJc w:val="left"/>
      <w:pPr>
        <w:ind w:left="4680" w:hanging="360"/>
      </w:pPr>
      <w:rPr>
        <w:rFonts w:ascii="Courier New" w:hAnsi="Courier New" w:cs="Courier New" w:hint="default"/>
      </w:rPr>
    </w:lvl>
    <w:lvl w:ilvl="5" w:tplc="47DE7D34" w:tentative="1">
      <w:start w:val="1"/>
      <w:numFmt w:val="bullet"/>
      <w:lvlText w:val=""/>
      <w:lvlJc w:val="left"/>
      <w:pPr>
        <w:ind w:left="5400" w:hanging="360"/>
      </w:pPr>
      <w:rPr>
        <w:rFonts w:ascii="Wingdings" w:hAnsi="Wingdings" w:hint="default"/>
      </w:rPr>
    </w:lvl>
    <w:lvl w:ilvl="6" w:tplc="9D0AFFEA" w:tentative="1">
      <w:start w:val="1"/>
      <w:numFmt w:val="bullet"/>
      <w:lvlText w:val=""/>
      <w:lvlJc w:val="left"/>
      <w:pPr>
        <w:ind w:left="6120" w:hanging="360"/>
      </w:pPr>
      <w:rPr>
        <w:rFonts w:ascii="Symbol" w:hAnsi="Symbol" w:hint="default"/>
      </w:rPr>
    </w:lvl>
    <w:lvl w:ilvl="7" w:tplc="663EE25A" w:tentative="1">
      <w:start w:val="1"/>
      <w:numFmt w:val="bullet"/>
      <w:lvlText w:val="o"/>
      <w:lvlJc w:val="left"/>
      <w:pPr>
        <w:ind w:left="6840" w:hanging="360"/>
      </w:pPr>
      <w:rPr>
        <w:rFonts w:ascii="Courier New" w:hAnsi="Courier New" w:cs="Courier New" w:hint="default"/>
      </w:rPr>
    </w:lvl>
    <w:lvl w:ilvl="8" w:tplc="2DD24F62" w:tentative="1">
      <w:start w:val="1"/>
      <w:numFmt w:val="bullet"/>
      <w:lvlText w:val=""/>
      <w:lvlJc w:val="left"/>
      <w:pPr>
        <w:ind w:left="7560" w:hanging="360"/>
      </w:pPr>
      <w:rPr>
        <w:rFonts w:ascii="Wingdings" w:hAnsi="Wingdings" w:hint="default"/>
      </w:rPr>
    </w:lvl>
  </w:abstractNum>
  <w:abstractNum w:abstractNumId="12">
    <w:nsid w:val="13597CF9"/>
    <w:multiLevelType w:val="multilevel"/>
    <w:tmpl w:val="B478DFE6"/>
    <w:lvl w:ilvl="0">
      <w:start w:val="1"/>
      <w:numFmt w:val="none"/>
      <w:lvlText w:val="%1"/>
      <w:lvlJc w:val="left"/>
      <w:pPr>
        <w:tabs>
          <w:tab w:val="num" w:pos="0"/>
        </w:tabs>
        <w:ind w:left="0" w:firstLine="0"/>
      </w:pPr>
      <w:rPr>
        <w:rFonts w:hint="default"/>
      </w:rPr>
    </w:lvl>
    <w:lvl w:ilvl="1">
      <w:start w:val="1"/>
      <w:numFmt w:val="decimal"/>
      <w:lvlText w:val="%2."/>
      <w:lvlJc w:val="left"/>
      <w:pPr>
        <w:tabs>
          <w:tab w:val="num" w:pos="357"/>
        </w:tabs>
        <w:ind w:left="357" w:hanging="357"/>
      </w:pPr>
      <w:rPr>
        <w:rFonts w:hint="default"/>
      </w:rPr>
    </w:lvl>
    <w:lvl w:ilvl="2">
      <w:start w:val="1"/>
      <w:numFmt w:val="lowerLetter"/>
      <w:lvlText w:val="%3."/>
      <w:lvlJc w:val="left"/>
      <w:pPr>
        <w:tabs>
          <w:tab w:val="num" w:pos="720"/>
        </w:tabs>
        <w:ind w:left="720" w:hanging="363"/>
      </w:pPr>
      <w:rPr>
        <w:rFonts w:hint="default"/>
      </w:rPr>
    </w:lvl>
    <w:lvl w:ilvl="3">
      <w:start w:val="1"/>
      <w:numFmt w:val="lowerRoman"/>
      <w:lvlText w:val="%4."/>
      <w:lvlJc w:val="left"/>
      <w:pPr>
        <w:tabs>
          <w:tab w:val="num" w:pos="1077"/>
        </w:tabs>
        <w:ind w:left="1077" w:hanging="357"/>
      </w:pPr>
      <w:rPr>
        <w:rFonts w:hint="default"/>
      </w:rPr>
    </w:lvl>
    <w:lvl w:ilvl="4">
      <w:start w:val="1"/>
      <w:numFmt w:val="decimal"/>
      <w:lvlRestart w:val="1"/>
      <w:lvlText w:val="(%5)"/>
      <w:lvlJc w:val="left"/>
      <w:pPr>
        <w:tabs>
          <w:tab w:val="num" w:pos="357"/>
        </w:tabs>
        <w:ind w:left="357" w:hanging="357"/>
      </w:pPr>
      <w:rPr>
        <w:rFonts w:hint="default"/>
      </w:rPr>
    </w:lvl>
    <w:lvl w:ilvl="5">
      <w:start w:val="1"/>
      <w:numFmt w:val="lowerLetter"/>
      <w:lvlRestart w:val="2"/>
      <w:lvlText w:val="(%6)"/>
      <w:lvlJc w:val="left"/>
      <w:pPr>
        <w:tabs>
          <w:tab w:val="num" w:pos="720"/>
        </w:tabs>
        <w:ind w:left="720" w:hanging="363"/>
      </w:pPr>
      <w:rPr>
        <w:rFonts w:hint="default"/>
      </w:rPr>
    </w:lvl>
    <w:lvl w:ilvl="6">
      <w:start w:val="1"/>
      <w:numFmt w:val="lowerRoman"/>
      <w:lvlRestart w:val="3"/>
      <w:lvlText w:val="(%7)"/>
      <w:lvlJc w:val="left"/>
      <w:pPr>
        <w:tabs>
          <w:tab w:val="num" w:pos="1077"/>
        </w:tabs>
        <w:ind w:left="1077" w:hanging="357"/>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
    <w:nsid w:val="1CF519CE"/>
    <w:multiLevelType w:val="multilevel"/>
    <w:tmpl w:val="FDC07CAE"/>
    <w:lvl w:ilvl="0">
      <w:start w:val="1"/>
      <w:numFmt w:val="decimal"/>
      <w:pStyle w:val="Numbered1111111"/>
      <w:lvlText w:val="%1."/>
      <w:lvlJc w:val="left"/>
      <w:pPr>
        <w:ind w:left="360" w:hanging="360"/>
      </w:pPr>
    </w:lvl>
    <w:lvl w:ilvl="1">
      <w:start w:val="1"/>
      <w:numFmt w:val="decimal"/>
      <w:pStyle w:val="Numberedparagraph11"/>
      <w:lvlText w:val="%1.%2."/>
      <w:lvlJc w:val="left"/>
      <w:pPr>
        <w:ind w:left="792" w:hanging="432"/>
      </w:pPr>
    </w:lvl>
    <w:lvl w:ilvl="2">
      <w:start w:val="1"/>
      <w:numFmt w:val="decimal"/>
      <w:pStyle w:val="Numbered111111111"/>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pStyle w:val="Numbered1111111"/>
      <w:lvlText w:val="%1.%2.%3.%4.%5.%6.%7."/>
      <w:lvlJc w:val="left"/>
      <w:pPr>
        <w:ind w:left="3240" w:hanging="1080"/>
      </w:pPr>
    </w:lvl>
    <w:lvl w:ilvl="7">
      <w:start w:val="1"/>
      <w:numFmt w:val="decimal"/>
      <w:lvlText w:val="%1.%2.%3.%4.%5.%6.%7.%8."/>
      <w:lvlJc w:val="left"/>
      <w:pPr>
        <w:ind w:left="3744" w:hanging="1224"/>
      </w:pPr>
    </w:lvl>
    <w:lvl w:ilvl="8">
      <w:start w:val="1"/>
      <w:numFmt w:val="decimal"/>
      <w:pStyle w:val="Numbered111111111"/>
      <w:lvlText w:val="%1.%2.%3.%4.%5.%6.%7.%8.%9."/>
      <w:lvlJc w:val="left"/>
      <w:pPr>
        <w:ind w:left="4320" w:hanging="1440"/>
      </w:pPr>
    </w:lvl>
  </w:abstractNum>
  <w:abstractNum w:abstractNumId="14">
    <w:nsid w:val="26AA0DA7"/>
    <w:multiLevelType w:val="multilevel"/>
    <w:tmpl w:val="F49485A8"/>
    <w:lvl w:ilvl="0">
      <w:start w:val="1"/>
      <w:numFmt w:val="upperLetter"/>
      <w:pStyle w:val="Heading7"/>
      <w:lvlText w:val="%1"/>
      <w:lvlJc w:val="left"/>
      <w:pPr>
        <w:ind w:left="340" w:hanging="340"/>
      </w:pPr>
      <w:rPr>
        <w:rFonts w:hint="default"/>
      </w:rPr>
    </w:lvl>
    <w:lvl w:ilvl="1">
      <w:start w:val="1"/>
      <w:numFmt w:val="decimal"/>
      <w:lvlRestart w:val="0"/>
      <w:pStyle w:val="Heading8"/>
      <w:lvlText w:val="%1.%2"/>
      <w:lvlJc w:val="left"/>
      <w:pPr>
        <w:tabs>
          <w:tab w:val="num" w:pos="1021"/>
        </w:tabs>
        <w:ind w:left="1021" w:hanging="1021"/>
      </w:pPr>
      <w:rPr>
        <w:rFonts w:hint="default"/>
      </w:rPr>
    </w:lvl>
    <w:lvl w:ilvl="2">
      <w:start w:val="1"/>
      <w:numFmt w:val="decimal"/>
      <w:pStyle w:val="Heading9"/>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5">
    <w:nsid w:val="28865DF8"/>
    <w:multiLevelType w:val="hybridMultilevel"/>
    <w:tmpl w:val="EC0E5568"/>
    <w:lvl w:ilvl="0" w:tplc="D90E7D7A">
      <w:start w:val="1"/>
      <w:numFmt w:val="lowerLetter"/>
      <w:pStyle w:val="AERnumberedlistsecondstyle"/>
      <w:lvlText w:val="(%1)"/>
      <w:lvlJc w:val="left"/>
      <w:pPr>
        <w:ind w:left="1040" w:hanging="360"/>
      </w:pPr>
      <w:rPr>
        <w:rFonts w:hint="default"/>
      </w:rPr>
    </w:lvl>
    <w:lvl w:ilvl="1" w:tplc="0C090019" w:tentative="1">
      <w:start w:val="1"/>
      <w:numFmt w:val="lowerLetter"/>
      <w:lvlText w:val="%2."/>
      <w:lvlJc w:val="left"/>
      <w:pPr>
        <w:ind w:left="1760" w:hanging="360"/>
      </w:pPr>
    </w:lvl>
    <w:lvl w:ilvl="2" w:tplc="0C09001B" w:tentative="1">
      <w:start w:val="1"/>
      <w:numFmt w:val="lowerRoman"/>
      <w:lvlText w:val="%3."/>
      <w:lvlJc w:val="right"/>
      <w:pPr>
        <w:ind w:left="2480" w:hanging="180"/>
      </w:pPr>
    </w:lvl>
    <w:lvl w:ilvl="3" w:tplc="0C09000F" w:tentative="1">
      <w:start w:val="1"/>
      <w:numFmt w:val="decimal"/>
      <w:lvlText w:val="%4."/>
      <w:lvlJc w:val="left"/>
      <w:pPr>
        <w:ind w:left="3200" w:hanging="360"/>
      </w:pPr>
    </w:lvl>
    <w:lvl w:ilvl="4" w:tplc="0C090019" w:tentative="1">
      <w:start w:val="1"/>
      <w:numFmt w:val="lowerLetter"/>
      <w:lvlText w:val="%5."/>
      <w:lvlJc w:val="left"/>
      <w:pPr>
        <w:ind w:left="3920" w:hanging="360"/>
      </w:pPr>
    </w:lvl>
    <w:lvl w:ilvl="5" w:tplc="0C09001B" w:tentative="1">
      <w:start w:val="1"/>
      <w:numFmt w:val="lowerRoman"/>
      <w:lvlText w:val="%6."/>
      <w:lvlJc w:val="right"/>
      <w:pPr>
        <w:ind w:left="4640" w:hanging="180"/>
      </w:pPr>
    </w:lvl>
    <w:lvl w:ilvl="6" w:tplc="0C09000F" w:tentative="1">
      <w:start w:val="1"/>
      <w:numFmt w:val="decimal"/>
      <w:lvlText w:val="%7."/>
      <w:lvlJc w:val="left"/>
      <w:pPr>
        <w:ind w:left="5360" w:hanging="360"/>
      </w:pPr>
    </w:lvl>
    <w:lvl w:ilvl="7" w:tplc="0C090019" w:tentative="1">
      <w:start w:val="1"/>
      <w:numFmt w:val="lowerLetter"/>
      <w:lvlText w:val="%8."/>
      <w:lvlJc w:val="left"/>
      <w:pPr>
        <w:ind w:left="6080" w:hanging="360"/>
      </w:pPr>
    </w:lvl>
    <w:lvl w:ilvl="8" w:tplc="0C09001B" w:tentative="1">
      <w:start w:val="1"/>
      <w:numFmt w:val="lowerRoman"/>
      <w:lvlText w:val="%9."/>
      <w:lvlJc w:val="right"/>
      <w:pPr>
        <w:ind w:left="6800" w:hanging="180"/>
      </w:pPr>
    </w:lvl>
  </w:abstractNum>
  <w:abstractNum w:abstractNumId="16">
    <w:nsid w:val="2FB612CC"/>
    <w:multiLevelType w:val="multilevel"/>
    <w:tmpl w:val="950A1C52"/>
    <w:styleLink w:val="AERHeadings"/>
    <w:lvl w:ilvl="0">
      <w:start w:val="1"/>
      <w:numFmt w:val="none"/>
      <w:lvlText w:val="%1"/>
      <w:lvlJc w:val="left"/>
      <w:pPr>
        <w:tabs>
          <w:tab w:val="num" w:pos="0"/>
        </w:tabs>
        <w:ind w:left="0" w:firstLine="0"/>
      </w:pPr>
      <w:rPr>
        <w:rFonts w:hint="default"/>
      </w:rPr>
    </w:lvl>
    <w:lvl w:ilvl="1">
      <w:start w:val="1"/>
      <w:numFmt w:val="decimal"/>
      <w:lvlText w:val="%1%2"/>
      <w:lvlJc w:val="left"/>
      <w:pPr>
        <w:tabs>
          <w:tab w:val="num" w:pos="0"/>
        </w:tabs>
        <w:ind w:left="0" w:hanging="851"/>
      </w:pPr>
      <w:rPr>
        <w:rFonts w:hint="default"/>
      </w:rPr>
    </w:lvl>
    <w:lvl w:ilvl="2">
      <w:start w:val="1"/>
      <w:numFmt w:val="decimal"/>
      <w:lvlText w:val="%1%2.%3"/>
      <w:lvlJc w:val="left"/>
      <w:pPr>
        <w:tabs>
          <w:tab w:val="num" w:pos="0"/>
        </w:tabs>
        <w:ind w:left="0" w:hanging="851"/>
      </w:pPr>
      <w:rPr>
        <w:rFonts w:hint="default"/>
      </w:rPr>
    </w:lvl>
    <w:lvl w:ilvl="3">
      <w:start w:val="1"/>
      <w:numFmt w:val="decimal"/>
      <w:lvlText w:val="%2.%3.%4"/>
      <w:lvlJc w:val="left"/>
      <w:pPr>
        <w:tabs>
          <w:tab w:val="num" w:pos="0"/>
        </w:tabs>
        <w:ind w:left="0" w:hanging="851"/>
      </w:pPr>
      <w:rPr>
        <w:rFonts w:hint="default"/>
      </w:rPr>
    </w:lvl>
    <w:lvl w:ilvl="4">
      <w:start w:val="1"/>
      <w:numFmt w:val="upperLetter"/>
      <w:lvlRestart w:val="1"/>
      <w:lvlText w:val="%5"/>
      <w:lvlJc w:val="left"/>
      <w:pPr>
        <w:tabs>
          <w:tab w:val="num" w:pos="0"/>
        </w:tabs>
        <w:ind w:left="0" w:hanging="851"/>
      </w:pPr>
      <w:rPr>
        <w:rFonts w:hint="default"/>
      </w:rPr>
    </w:lvl>
    <w:lvl w:ilvl="5">
      <w:start w:val="1"/>
      <w:numFmt w:val="decimal"/>
      <w:lvlText w:val="%5.%6"/>
      <w:lvlJc w:val="left"/>
      <w:pPr>
        <w:tabs>
          <w:tab w:val="num" w:pos="0"/>
        </w:tabs>
        <w:ind w:left="0" w:hanging="851"/>
      </w:pPr>
      <w:rPr>
        <w:rFonts w:hint="default"/>
      </w:rPr>
    </w:lvl>
    <w:lvl w:ilvl="6">
      <w:start w:val="1"/>
      <w:numFmt w:val="decimal"/>
      <w:lvlText w:val="%5.%6.%7"/>
      <w:lvlJc w:val="left"/>
      <w:pPr>
        <w:tabs>
          <w:tab w:val="num" w:pos="0"/>
        </w:tabs>
        <w:ind w:left="0" w:hanging="851"/>
      </w:pPr>
      <w:rPr>
        <w:rFonts w:hint="default"/>
      </w:rPr>
    </w:lvl>
    <w:lvl w:ilvl="7">
      <w:start w:val="1"/>
      <w:numFmt w:val="none"/>
      <w:lvlRestart w:val="0"/>
      <w:lvlText w:val=""/>
      <w:lvlJc w:val="left"/>
      <w:pPr>
        <w:tabs>
          <w:tab w:val="num" w:pos="0"/>
        </w:tabs>
        <w:ind w:left="0" w:firstLine="0"/>
      </w:pPr>
      <w:rPr>
        <w:rFonts w:hint="default"/>
      </w:rPr>
    </w:lvl>
    <w:lvl w:ilvl="8">
      <w:start w:val="1"/>
      <w:numFmt w:val="none"/>
      <w:lvlRestart w:val="0"/>
      <w:lvlText w:val=""/>
      <w:lvlJc w:val="left"/>
      <w:pPr>
        <w:ind w:left="0" w:firstLine="0"/>
      </w:pPr>
      <w:rPr>
        <w:rFonts w:hint="default"/>
      </w:rPr>
    </w:lvl>
  </w:abstractNum>
  <w:abstractNum w:abstractNumId="17">
    <w:nsid w:val="31AA058E"/>
    <w:multiLevelType w:val="hybridMultilevel"/>
    <w:tmpl w:val="3C70101E"/>
    <w:lvl w:ilvl="0" w:tplc="B336B1FC">
      <w:start w:val="1"/>
      <w:numFmt w:val="bullet"/>
      <w:lvlText w:val=""/>
      <w:lvlJc w:val="left"/>
      <w:pPr>
        <w:ind w:left="1077" w:hanging="360"/>
      </w:pPr>
      <w:rPr>
        <w:rFonts w:ascii="Wingdings" w:hAnsi="Wingdings" w:hint="default"/>
      </w:rPr>
    </w:lvl>
    <w:lvl w:ilvl="1" w:tplc="0C090003" w:tentative="1">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hint="default"/>
      </w:rPr>
    </w:lvl>
  </w:abstractNum>
  <w:abstractNum w:abstractNumId="18">
    <w:nsid w:val="34AC7051"/>
    <w:multiLevelType w:val="multilevel"/>
    <w:tmpl w:val="265C1DE2"/>
    <w:styleLink w:val="OldAERheadings"/>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none"/>
      <w:lvlText w:val=""/>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9">
    <w:nsid w:val="3923347D"/>
    <w:multiLevelType w:val="hybridMultilevel"/>
    <w:tmpl w:val="8E96A9EE"/>
    <w:lvl w:ilvl="0" w:tplc="5E568C86">
      <w:start w:val="1"/>
      <w:numFmt w:val="decimal"/>
      <w:pStyle w:val="ListBullet"/>
      <w:lvlText w:val="(%1)"/>
      <w:lvlJc w:val="left"/>
      <w:pPr>
        <w:ind w:left="360" w:hanging="360"/>
      </w:pPr>
      <w:rPr>
        <w:rFonts w:hint="default"/>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nsid w:val="499F124F"/>
    <w:multiLevelType w:val="multilevel"/>
    <w:tmpl w:val="5666D91E"/>
    <w:styleLink w:val="AlphanumericList"/>
    <w:lvl w:ilvl="0">
      <w:start w:val="1"/>
      <w:numFmt w:val="decimal"/>
      <w:lvlText w:val="A.%1"/>
      <w:lvlJc w:val="left"/>
      <w:pPr>
        <w:ind w:left="360" w:hanging="360"/>
      </w:pPr>
      <w:rPr>
        <w:rFonts w:ascii="Arial" w:hAnsi="Arial" w:hint="default"/>
        <w:sz w:val="22"/>
      </w:rPr>
    </w:lvl>
    <w:lvl w:ilvl="1">
      <w:start w:val="1"/>
      <w:numFmt w:val="decimal"/>
      <w:lvlRestart w:val="0"/>
      <w:lvlText w:val="A.%1.%2"/>
      <w:lvlJc w:val="left"/>
      <w:pPr>
        <w:ind w:left="3621" w:hanging="360"/>
      </w:pPr>
      <w:rPr>
        <w:rFonts w:hint="default"/>
      </w:rPr>
    </w:lvl>
    <w:lvl w:ilvl="2">
      <w:start w:val="1"/>
      <w:numFmt w:val="decimal"/>
      <w:lvlRestart w:val="0"/>
      <w:lvlText w:val="A.%1.%2.%3"/>
      <w:lvlJc w:val="left"/>
      <w:pPr>
        <w:ind w:left="1080" w:hanging="360"/>
      </w:pPr>
      <w:rPr>
        <w:rFonts w:hint="default"/>
      </w:rPr>
    </w:lvl>
    <w:lvl w:ilvl="3">
      <w:start w:val="1"/>
      <w:numFmt w:val="none"/>
      <w:lvlText w:val="(1)"/>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1">
    <w:nsid w:val="49E52C90"/>
    <w:multiLevelType w:val="hybridMultilevel"/>
    <w:tmpl w:val="8C0ACE80"/>
    <w:lvl w:ilvl="0" w:tplc="9D00B0D8">
      <w:start w:val="1"/>
      <w:numFmt w:val="lowerRoman"/>
      <w:pStyle w:val="ListLegal"/>
      <w:lvlText w:val="%1."/>
      <w:lvlJc w:val="righ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nsid w:val="4C6A3DDE"/>
    <w:multiLevelType w:val="hybridMultilevel"/>
    <w:tmpl w:val="F51A789C"/>
    <w:lvl w:ilvl="0" w:tplc="92E84616">
      <w:start w:val="1"/>
      <w:numFmt w:val="bullet"/>
      <w:pStyle w:val="AERquotebullet1"/>
      <w:lvlText w:val=""/>
      <w:lvlJc w:val="left"/>
      <w:pPr>
        <w:ind w:left="1040" w:hanging="360"/>
      </w:pPr>
      <w:rPr>
        <w:rFonts w:ascii="Symbol" w:hAnsi="Symbol" w:hint="default"/>
      </w:rPr>
    </w:lvl>
    <w:lvl w:ilvl="1" w:tplc="0C090003">
      <w:start w:val="1"/>
      <w:numFmt w:val="bullet"/>
      <w:lvlText w:val="o"/>
      <w:lvlJc w:val="left"/>
      <w:pPr>
        <w:ind w:left="1760" w:hanging="360"/>
      </w:pPr>
      <w:rPr>
        <w:rFonts w:ascii="Courier New" w:hAnsi="Courier New" w:cs="Courier New" w:hint="default"/>
      </w:rPr>
    </w:lvl>
    <w:lvl w:ilvl="2" w:tplc="0C090005" w:tentative="1">
      <w:start w:val="1"/>
      <w:numFmt w:val="bullet"/>
      <w:lvlText w:val=""/>
      <w:lvlJc w:val="left"/>
      <w:pPr>
        <w:ind w:left="2480" w:hanging="360"/>
      </w:pPr>
      <w:rPr>
        <w:rFonts w:ascii="Wingdings" w:hAnsi="Wingdings" w:hint="default"/>
      </w:rPr>
    </w:lvl>
    <w:lvl w:ilvl="3" w:tplc="0C090001" w:tentative="1">
      <w:start w:val="1"/>
      <w:numFmt w:val="bullet"/>
      <w:lvlText w:val=""/>
      <w:lvlJc w:val="left"/>
      <w:pPr>
        <w:ind w:left="3200" w:hanging="360"/>
      </w:pPr>
      <w:rPr>
        <w:rFonts w:ascii="Symbol" w:hAnsi="Symbol" w:hint="default"/>
      </w:rPr>
    </w:lvl>
    <w:lvl w:ilvl="4" w:tplc="0C090003" w:tentative="1">
      <w:start w:val="1"/>
      <w:numFmt w:val="bullet"/>
      <w:lvlText w:val="o"/>
      <w:lvlJc w:val="left"/>
      <w:pPr>
        <w:ind w:left="3920" w:hanging="360"/>
      </w:pPr>
      <w:rPr>
        <w:rFonts w:ascii="Courier New" w:hAnsi="Courier New" w:cs="Courier New" w:hint="default"/>
      </w:rPr>
    </w:lvl>
    <w:lvl w:ilvl="5" w:tplc="0C090005" w:tentative="1">
      <w:start w:val="1"/>
      <w:numFmt w:val="bullet"/>
      <w:lvlText w:val=""/>
      <w:lvlJc w:val="left"/>
      <w:pPr>
        <w:ind w:left="4640" w:hanging="360"/>
      </w:pPr>
      <w:rPr>
        <w:rFonts w:ascii="Wingdings" w:hAnsi="Wingdings" w:hint="default"/>
      </w:rPr>
    </w:lvl>
    <w:lvl w:ilvl="6" w:tplc="0C090001" w:tentative="1">
      <w:start w:val="1"/>
      <w:numFmt w:val="bullet"/>
      <w:lvlText w:val=""/>
      <w:lvlJc w:val="left"/>
      <w:pPr>
        <w:ind w:left="5360" w:hanging="360"/>
      </w:pPr>
      <w:rPr>
        <w:rFonts w:ascii="Symbol" w:hAnsi="Symbol" w:hint="default"/>
      </w:rPr>
    </w:lvl>
    <w:lvl w:ilvl="7" w:tplc="0C090003" w:tentative="1">
      <w:start w:val="1"/>
      <w:numFmt w:val="bullet"/>
      <w:lvlText w:val="o"/>
      <w:lvlJc w:val="left"/>
      <w:pPr>
        <w:ind w:left="6080" w:hanging="360"/>
      </w:pPr>
      <w:rPr>
        <w:rFonts w:ascii="Courier New" w:hAnsi="Courier New" w:cs="Courier New" w:hint="default"/>
      </w:rPr>
    </w:lvl>
    <w:lvl w:ilvl="8" w:tplc="0C090005" w:tentative="1">
      <w:start w:val="1"/>
      <w:numFmt w:val="bullet"/>
      <w:lvlText w:val=""/>
      <w:lvlJc w:val="left"/>
      <w:pPr>
        <w:ind w:left="6800" w:hanging="360"/>
      </w:pPr>
      <w:rPr>
        <w:rFonts w:ascii="Wingdings" w:hAnsi="Wingdings" w:hint="default"/>
      </w:rPr>
    </w:lvl>
  </w:abstractNum>
  <w:abstractNum w:abstractNumId="23">
    <w:nsid w:val="51487971"/>
    <w:multiLevelType w:val="multilevel"/>
    <w:tmpl w:val="39D4CB02"/>
    <w:styleLink w:val="AERnumberedlist"/>
    <w:lvl w:ilvl="0">
      <w:start w:val="1"/>
      <w:numFmt w:val="none"/>
      <w:lvlText w:val="%1"/>
      <w:lvlJc w:val="left"/>
      <w:pPr>
        <w:tabs>
          <w:tab w:val="num" w:pos="0"/>
        </w:tabs>
        <w:ind w:left="0" w:firstLine="0"/>
      </w:pPr>
      <w:rPr>
        <w:rFonts w:hint="default"/>
      </w:rPr>
    </w:lvl>
    <w:lvl w:ilvl="1">
      <w:start w:val="1"/>
      <w:numFmt w:val="decimal"/>
      <w:lvlText w:val="%2."/>
      <w:lvlJc w:val="left"/>
      <w:pPr>
        <w:tabs>
          <w:tab w:val="num" w:pos="357"/>
        </w:tabs>
        <w:ind w:left="357" w:hanging="357"/>
      </w:pPr>
      <w:rPr>
        <w:rFonts w:hint="default"/>
      </w:rPr>
    </w:lvl>
    <w:lvl w:ilvl="2">
      <w:start w:val="1"/>
      <w:numFmt w:val="lowerLetter"/>
      <w:lvlText w:val="%3."/>
      <w:lvlJc w:val="left"/>
      <w:pPr>
        <w:tabs>
          <w:tab w:val="num" w:pos="720"/>
        </w:tabs>
        <w:ind w:left="720" w:hanging="363"/>
      </w:pPr>
      <w:rPr>
        <w:rFonts w:hint="default"/>
      </w:rPr>
    </w:lvl>
    <w:lvl w:ilvl="3">
      <w:start w:val="1"/>
      <w:numFmt w:val="lowerRoman"/>
      <w:lvlText w:val="%4."/>
      <w:lvlJc w:val="left"/>
      <w:pPr>
        <w:tabs>
          <w:tab w:val="num" w:pos="1077"/>
        </w:tabs>
        <w:ind w:left="1077" w:hanging="357"/>
      </w:pPr>
      <w:rPr>
        <w:rFonts w:hint="default"/>
      </w:rPr>
    </w:lvl>
    <w:lvl w:ilvl="4">
      <w:start w:val="1"/>
      <w:numFmt w:val="decimal"/>
      <w:lvlRestart w:val="1"/>
      <w:lvlText w:val="(%5)"/>
      <w:lvlJc w:val="left"/>
      <w:pPr>
        <w:tabs>
          <w:tab w:val="num" w:pos="454"/>
        </w:tabs>
        <w:ind w:left="454" w:hanging="454"/>
      </w:pPr>
      <w:rPr>
        <w:rFonts w:hint="default"/>
      </w:rPr>
    </w:lvl>
    <w:lvl w:ilvl="5">
      <w:start w:val="1"/>
      <w:numFmt w:val="lowerLetter"/>
      <w:lvlText w:val="(%6)"/>
      <w:lvlJc w:val="left"/>
      <w:pPr>
        <w:tabs>
          <w:tab w:val="num" w:pos="811"/>
        </w:tabs>
        <w:ind w:left="811" w:hanging="357"/>
      </w:pPr>
      <w:rPr>
        <w:rFonts w:hint="default"/>
      </w:rPr>
    </w:lvl>
    <w:lvl w:ilvl="6">
      <w:start w:val="1"/>
      <w:numFmt w:val="lowerRoman"/>
      <w:lvlText w:val="(%7)"/>
      <w:lvlJc w:val="left"/>
      <w:pPr>
        <w:tabs>
          <w:tab w:val="num" w:pos="1446"/>
        </w:tabs>
        <w:ind w:left="1446" w:hanging="635"/>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4">
    <w:nsid w:val="59474DF1"/>
    <w:multiLevelType w:val="multilevel"/>
    <w:tmpl w:val="5BC065FC"/>
    <w:lvl w:ilvl="0">
      <w:start w:val="1"/>
      <w:numFmt w:val="decimal"/>
      <w:pStyle w:val="LegalNumbering"/>
      <w:isLgl/>
      <w:lvlText w:val="%1)"/>
      <w:lvlJc w:val="left"/>
      <w:pPr>
        <w:ind w:left="340" w:hanging="340"/>
      </w:pPr>
      <w:rPr>
        <w:rFonts w:hint="default"/>
      </w:rPr>
    </w:lvl>
    <w:lvl w:ilvl="1">
      <w:start w:val="1"/>
      <w:numFmt w:val="lowerLetter"/>
      <w:lvlText w:val="%2) "/>
      <w:lvlJc w:val="left"/>
      <w:pPr>
        <w:ind w:left="680" w:hanging="340"/>
      </w:pPr>
      <w:rPr>
        <w:rFonts w:hint="default"/>
      </w:rPr>
    </w:lvl>
    <w:lvl w:ilvl="2">
      <w:start w:val="1"/>
      <w:numFmt w:val="lowerRoman"/>
      <w:lvlText w:val="%3)"/>
      <w:lvlJc w:val="left"/>
      <w:pPr>
        <w:tabs>
          <w:tab w:val="num" w:pos="1701"/>
        </w:tabs>
        <w:ind w:left="1021" w:hanging="341"/>
      </w:pPr>
      <w:rPr>
        <w:rFonts w:hint="default"/>
      </w:rPr>
    </w:lvl>
    <w:lvl w:ilvl="3">
      <w:start w:val="1"/>
      <w:numFmt w:val="decimal"/>
      <w:lvlText w:val="(%4) "/>
      <w:lvlJc w:val="left"/>
      <w:pPr>
        <w:tabs>
          <w:tab w:val="num" w:pos="1758"/>
        </w:tabs>
        <w:ind w:left="1361" w:hanging="340"/>
      </w:pPr>
      <w:rPr>
        <w:rFonts w:hint="default"/>
      </w:rPr>
    </w:lvl>
    <w:lvl w:ilvl="4">
      <w:start w:val="1"/>
      <w:numFmt w:val="lowerLetter"/>
      <w:lvlText w:val="(%5)"/>
      <w:lvlJc w:val="left"/>
      <w:pPr>
        <w:ind w:left="1701" w:hanging="340"/>
      </w:pPr>
      <w:rPr>
        <w:rFonts w:hint="default"/>
      </w:rPr>
    </w:lvl>
    <w:lvl w:ilvl="5">
      <w:start w:val="1"/>
      <w:numFmt w:val="lowerRoman"/>
      <w:lvlText w:val="(%6)"/>
      <w:lvlJc w:val="left"/>
      <w:pPr>
        <w:tabs>
          <w:tab w:val="num" w:pos="2608"/>
        </w:tabs>
        <w:ind w:left="2041" w:hanging="340"/>
      </w:pPr>
      <w:rPr>
        <w:rFonts w:hint="default"/>
      </w:rPr>
    </w:lvl>
    <w:lvl w:ilvl="6">
      <w:start w:val="1"/>
      <w:numFmt w:val="decimal"/>
      <w:lvlText w:val="%7."/>
      <w:lvlJc w:val="left"/>
      <w:pPr>
        <w:tabs>
          <w:tab w:val="num" w:pos="3175"/>
        </w:tabs>
        <w:ind w:left="2381" w:hanging="340"/>
      </w:pPr>
      <w:rPr>
        <w:rFonts w:hint="default"/>
      </w:rPr>
    </w:lvl>
    <w:lvl w:ilvl="7">
      <w:start w:val="1"/>
      <w:numFmt w:val="lowerLetter"/>
      <w:lvlText w:val="%8."/>
      <w:lvlJc w:val="left"/>
      <w:pPr>
        <w:tabs>
          <w:tab w:val="num" w:pos="3799"/>
        </w:tabs>
        <w:ind w:left="2722" w:hanging="341"/>
      </w:pPr>
      <w:rPr>
        <w:rFonts w:hint="default"/>
      </w:rPr>
    </w:lvl>
    <w:lvl w:ilvl="8">
      <w:start w:val="1"/>
      <w:numFmt w:val="lowerRoman"/>
      <w:lvlText w:val="%9."/>
      <w:lvlJc w:val="left"/>
      <w:pPr>
        <w:ind w:left="3062" w:hanging="340"/>
      </w:pPr>
      <w:rPr>
        <w:rFonts w:hint="default"/>
      </w:rPr>
    </w:lvl>
  </w:abstractNum>
  <w:abstractNum w:abstractNumId="25">
    <w:nsid w:val="5ECE4384"/>
    <w:multiLevelType w:val="multilevel"/>
    <w:tmpl w:val="C122DBE2"/>
    <w:lvl w:ilvl="0">
      <w:start w:val="13"/>
      <w:numFmt w:val="decimal"/>
      <w:pStyle w:val="Heading1"/>
      <w:lvlText w:val="%1"/>
      <w:lvlJc w:val="left"/>
      <w:pPr>
        <w:ind w:left="432" w:hanging="432"/>
      </w:pPr>
      <w:rPr>
        <w:rFonts w:hint="default"/>
      </w:rPr>
    </w:lvl>
    <w:lvl w:ilvl="1">
      <w:start w:val="1"/>
      <w:numFmt w:val="decimal"/>
      <w:pStyle w:val="Heading2"/>
      <w:lvlText w:val="%1.%2"/>
      <w:lvlJc w:val="left"/>
      <w:pPr>
        <w:ind w:left="576" w:hanging="576"/>
      </w:pPr>
      <w:rPr>
        <w:rFonts w:hint="default"/>
      </w:rPr>
    </w:lvl>
    <w:lvl w:ilvl="2">
      <w:start w:val="1"/>
      <w:numFmt w:val="decimal"/>
      <w:pStyle w:val="Heading3"/>
      <w:lvlText w:val="%1.%2.%3"/>
      <w:lvlJc w:val="left"/>
      <w:pPr>
        <w:ind w:left="720" w:hanging="720"/>
      </w:pPr>
      <w:rPr>
        <w:rFonts w:hint="default"/>
      </w:rPr>
    </w:lvl>
    <w:lvl w:ilvl="3">
      <w:start w:val="1"/>
      <w:numFmt w:val="decimal"/>
      <w:pStyle w:val="Heading4"/>
      <w:lvlText w:val="%1.%2.%3.%4"/>
      <w:lvlJc w:val="left"/>
      <w:pPr>
        <w:ind w:left="864" w:hanging="864"/>
      </w:pPr>
      <w:rPr>
        <w:rFonts w:hint="default"/>
      </w:rPr>
    </w:lvl>
    <w:lvl w:ilvl="4">
      <w:start w:val="1"/>
      <w:numFmt w:val="decimal"/>
      <w:pStyle w:val="Heading5"/>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26">
    <w:nsid w:val="6726588A"/>
    <w:multiLevelType w:val="hybridMultilevel"/>
    <w:tmpl w:val="6568C8B8"/>
    <w:lvl w:ilvl="0" w:tplc="0C09000F">
      <w:start w:val="1"/>
      <w:numFmt w:val="bullet"/>
      <w:pStyle w:val="AERbulletlistsecondstyle"/>
      <w:lvlText w:val="o"/>
      <w:lvlJc w:val="left"/>
      <w:pPr>
        <w:ind w:left="1081" w:hanging="360"/>
      </w:pPr>
      <w:rPr>
        <w:rFonts w:ascii="Courier New" w:hAnsi="Courier New" w:cs="Courier New" w:hint="default"/>
      </w:rPr>
    </w:lvl>
    <w:lvl w:ilvl="1" w:tplc="0C090019" w:tentative="1">
      <w:start w:val="1"/>
      <w:numFmt w:val="bullet"/>
      <w:lvlText w:val="o"/>
      <w:lvlJc w:val="left"/>
      <w:pPr>
        <w:ind w:left="1801" w:hanging="360"/>
      </w:pPr>
      <w:rPr>
        <w:rFonts w:ascii="Courier New" w:hAnsi="Courier New" w:cs="Courier New" w:hint="default"/>
      </w:rPr>
    </w:lvl>
    <w:lvl w:ilvl="2" w:tplc="C38EC922">
      <w:start w:val="1"/>
      <w:numFmt w:val="bullet"/>
      <w:pStyle w:val="AERbulletlistthirdstyle"/>
      <w:lvlText w:val=""/>
      <w:lvlJc w:val="left"/>
      <w:pPr>
        <w:ind w:left="2521" w:hanging="360"/>
      </w:pPr>
      <w:rPr>
        <w:rFonts w:ascii="Wingdings" w:hAnsi="Wingdings" w:hint="default"/>
      </w:rPr>
    </w:lvl>
    <w:lvl w:ilvl="3" w:tplc="0C09000F" w:tentative="1">
      <w:start w:val="1"/>
      <w:numFmt w:val="bullet"/>
      <w:lvlText w:val=""/>
      <w:lvlJc w:val="left"/>
      <w:pPr>
        <w:ind w:left="3241" w:hanging="360"/>
      </w:pPr>
      <w:rPr>
        <w:rFonts w:ascii="Symbol" w:hAnsi="Symbol" w:hint="default"/>
      </w:rPr>
    </w:lvl>
    <w:lvl w:ilvl="4" w:tplc="0C090019" w:tentative="1">
      <w:start w:val="1"/>
      <w:numFmt w:val="bullet"/>
      <w:lvlText w:val="o"/>
      <w:lvlJc w:val="left"/>
      <w:pPr>
        <w:ind w:left="3961" w:hanging="360"/>
      </w:pPr>
      <w:rPr>
        <w:rFonts w:ascii="Courier New" w:hAnsi="Courier New" w:cs="Courier New" w:hint="default"/>
      </w:rPr>
    </w:lvl>
    <w:lvl w:ilvl="5" w:tplc="0C09001B" w:tentative="1">
      <w:start w:val="1"/>
      <w:numFmt w:val="bullet"/>
      <w:lvlText w:val=""/>
      <w:lvlJc w:val="left"/>
      <w:pPr>
        <w:ind w:left="4681" w:hanging="360"/>
      </w:pPr>
      <w:rPr>
        <w:rFonts w:ascii="Wingdings" w:hAnsi="Wingdings" w:hint="default"/>
      </w:rPr>
    </w:lvl>
    <w:lvl w:ilvl="6" w:tplc="0C09000F" w:tentative="1">
      <w:start w:val="1"/>
      <w:numFmt w:val="bullet"/>
      <w:lvlText w:val=""/>
      <w:lvlJc w:val="left"/>
      <w:pPr>
        <w:ind w:left="5401" w:hanging="360"/>
      </w:pPr>
      <w:rPr>
        <w:rFonts w:ascii="Symbol" w:hAnsi="Symbol" w:hint="default"/>
      </w:rPr>
    </w:lvl>
    <w:lvl w:ilvl="7" w:tplc="0C090019" w:tentative="1">
      <w:start w:val="1"/>
      <w:numFmt w:val="bullet"/>
      <w:lvlText w:val="o"/>
      <w:lvlJc w:val="left"/>
      <w:pPr>
        <w:ind w:left="6121" w:hanging="360"/>
      </w:pPr>
      <w:rPr>
        <w:rFonts w:ascii="Courier New" w:hAnsi="Courier New" w:cs="Courier New" w:hint="default"/>
      </w:rPr>
    </w:lvl>
    <w:lvl w:ilvl="8" w:tplc="0C09001B" w:tentative="1">
      <w:start w:val="1"/>
      <w:numFmt w:val="bullet"/>
      <w:lvlText w:val=""/>
      <w:lvlJc w:val="left"/>
      <w:pPr>
        <w:ind w:left="6841" w:hanging="360"/>
      </w:pPr>
      <w:rPr>
        <w:rFonts w:ascii="Wingdings" w:hAnsi="Wingdings" w:hint="default"/>
      </w:rPr>
    </w:lvl>
  </w:abstractNum>
  <w:abstractNum w:abstractNumId="27">
    <w:nsid w:val="71052EFE"/>
    <w:multiLevelType w:val="hybridMultilevel"/>
    <w:tmpl w:val="52FCFAA8"/>
    <w:lvl w:ilvl="0" w:tplc="C846CA5C">
      <w:start w:val="1"/>
      <w:numFmt w:val="lowerRoman"/>
      <w:pStyle w:val="AERnumberedlistthirdstyle"/>
      <w:lvlText w:val="%1."/>
      <w:lvlJc w:val="righ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nsid w:val="7E2819EC"/>
    <w:multiLevelType w:val="multilevel"/>
    <w:tmpl w:val="1250F310"/>
    <w:lvl w:ilvl="0">
      <w:start w:val="1"/>
      <w:numFmt w:val="bullet"/>
      <w:pStyle w:val="AERbulletlistfirststyle"/>
      <w:lvlText w:val=""/>
      <w:lvlJc w:val="left"/>
      <w:pPr>
        <w:ind w:left="360" w:hanging="360"/>
      </w:pPr>
      <w:rPr>
        <w:rFonts w:ascii="Symbol" w:hAnsi="Symbol"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num w:numId="1">
    <w:abstractNumId w:val="11"/>
  </w:num>
  <w:num w:numId="2">
    <w:abstractNumId w:val="28"/>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 w:numId="12">
    <w:abstractNumId w:val="26"/>
  </w:num>
  <w:num w:numId="13">
    <w:abstractNumId w:val="19"/>
  </w:num>
  <w:num w:numId="14">
    <w:abstractNumId w:val="10"/>
  </w:num>
  <w:num w:numId="15">
    <w:abstractNumId w:val="13"/>
  </w:num>
  <w:num w:numId="16">
    <w:abstractNumId w:val="20"/>
  </w:num>
  <w:num w:numId="17">
    <w:abstractNumId w:val="9"/>
  </w:num>
  <w:num w:numId="18">
    <w:abstractNumId w:val="15"/>
  </w:num>
  <w:num w:numId="19">
    <w:abstractNumId w:val="21"/>
  </w:num>
  <w:num w:numId="20">
    <w:abstractNumId w:val="27"/>
  </w:num>
  <w:num w:numId="21">
    <w:abstractNumId w:val="24"/>
  </w:num>
  <w:num w:numId="22">
    <w:abstractNumId w:val="22"/>
  </w:num>
  <w:num w:numId="23">
    <w:abstractNumId w:val="16"/>
  </w:num>
  <w:num w:numId="24">
    <w:abstractNumId w:val="23"/>
  </w:num>
  <w:num w:numId="25">
    <w:abstractNumId w:val="25"/>
  </w:num>
  <w:num w:numId="26">
    <w:abstractNumId w:val="18"/>
  </w:num>
  <w:num w:numId="27">
    <w:abstractNumId w:val="14"/>
  </w:num>
  <w:num w:numId="28">
    <w:abstractNumId w:val="17"/>
  </w:num>
  <w:num w:numId="29">
    <w:abstractNumId w:val="12"/>
    <w:lvlOverride w:ilvl="0">
      <w:lvl w:ilvl="0">
        <w:start w:val="1"/>
        <w:numFmt w:val="none"/>
        <w:lvlText w:val="%1"/>
        <w:lvlJc w:val="left"/>
        <w:pPr>
          <w:tabs>
            <w:tab w:val="num" w:pos="0"/>
          </w:tabs>
          <w:ind w:left="0" w:firstLine="0"/>
        </w:pPr>
        <w:rPr>
          <w:rFonts w:hint="default"/>
        </w:rPr>
      </w:lvl>
    </w:lvlOverride>
    <w:lvlOverride w:ilvl="1">
      <w:lvl w:ilvl="1">
        <w:start w:val="1"/>
        <w:numFmt w:val="decimal"/>
        <w:lvlText w:val="%2."/>
        <w:lvlJc w:val="left"/>
        <w:pPr>
          <w:tabs>
            <w:tab w:val="num" w:pos="357"/>
          </w:tabs>
          <w:ind w:left="357" w:hanging="357"/>
        </w:pPr>
        <w:rPr>
          <w:rFonts w:hint="default"/>
        </w:rPr>
      </w:lvl>
    </w:lvlOverride>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stylePaneFormatFilter w:val="9724" w:allStyles="0" w:customStyles="0" w:latentStyles="1" w:stylesInUse="0" w:headingStyles="1" w:numberingStyles="0" w:tableStyles="0" w:directFormattingOnRuns="1" w:directFormattingOnParagraphs="1" w:directFormattingOnNumbering="1" w:directFormattingOnTables="0" w:clearFormatting="1" w:top3HeadingStyles="0" w:visibleStyles="0" w:alternateStyleNames="1"/>
  <w:stylePaneSortMethod w:val="0000"/>
  <w:documentProtection w:formatting="1" w:enforcement="1" w:spinCount="100000" w:hashValue="JcqOeNrUTxnIfBlq2GzispA6EhZm0Ca0YV/k+ertNYo=" w:saltValue="XI9OHc6uwTSLQIq+M7WPFQ==" w:algorithmName="SHA-256"/>
  <w:defaultTabStop w:val="340"/>
  <w:characterSpacingControl w:val="doNotCompress"/>
  <w:hdrShapeDefaults>
    <o:shapedefaults v:ext="edit" spidmax="15360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urrentname" w:val="\\cdchnas-evs02\home$\mleco\aer - final decision ausnet services 2017-22 transmission determination - attachment 13 - pass through events - april 20 (AER2016-000054).docx"/>
  </w:docVars>
  <w:rsids>
    <w:rsidRoot w:val="00961A4A"/>
    <w:rsid w:val="000035FC"/>
    <w:rsid w:val="00005540"/>
    <w:rsid w:val="00021202"/>
    <w:rsid w:val="00021C2B"/>
    <w:rsid w:val="0002517F"/>
    <w:rsid w:val="0003578C"/>
    <w:rsid w:val="0004671E"/>
    <w:rsid w:val="00063247"/>
    <w:rsid w:val="00066697"/>
    <w:rsid w:val="00070F9F"/>
    <w:rsid w:val="0007137B"/>
    <w:rsid w:val="00077389"/>
    <w:rsid w:val="00085663"/>
    <w:rsid w:val="00085990"/>
    <w:rsid w:val="00085EBF"/>
    <w:rsid w:val="00086871"/>
    <w:rsid w:val="00096A9F"/>
    <w:rsid w:val="000A3020"/>
    <w:rsid w:val="000A6C7B"/>
    <w:rsid w:val="000A7D08"/>
    <w:rsid w:val="000B321F"/>
    <w:rsid w:val="000C2B40"/>
    <w:rsid w:val="000D122C"/>
    <w:rsid w:val="000E1819"/>
    <w:rsid w:val="000E4821"/>
    <w:rsid w:val="000E6C72"/>
    <w:rsid w:val="000F3D82"/>
    <w:rsid w:val="00116EB2"/>
    <w:rsid w:val="001203C4"/>
    <w:rsid w:val="00124609"/>
    <w:rsid w:val="001253AF"/>
    <w:rsid w:val="00126A4C"/>
    <w:rsid w:val="00130231"/>
    <w:rsid w:val="00140B7C"/>
    <w:rsid w:val="00142F25"/>
    <w:rsid w:val="0014573B"/>
    <w:rsid w:val="00150657"/>
    <w:rsid w:val="001573E4"/>
    <w:rsid w:val="00160756"/>
    <w:rsid w:val="0017232E"/>
    <w:rsid w:val="00172ECF"/>
    <w:rsid w:val="00174102"/>
    <w:rsid w:val="001745FF"/>
    <w:rsid w:val="001754EE"/>
    <w:rsid w:val="00176550"/>
    <w:rsid w:val="00180157"/>
    <w:rsid w:val="00185C55"/>
    <w:rsid w:val="00185CB9"/>
    <w:rsid w:val="00186F77"/>
    <w:rsid w:val="001921F2"/>
    <w:rsid w:val="001926A4"/>
    <w:rsid w:val="00192AD5"/>
    <w:rsid w:val="001A79F9"/>
    <w:rsid w:val="001B45A0"/>
    <w:rsid w:val="001C0276"/>
    <w:rsid w:val="001D055E"/>
    <w:rsid w:val="001F492E"/>
    <w:rsid w:val="001F592D"/>
    <w:rsid w:val="001F6DA3"/>
    <w:rsid w:val="002010BC"/>
    <w:rsid w:val="002016E7"/>
    <w:rsid w:val="00202E03"/>
    <w:rsid w:val="0020492C"/>
    <w:rsid w:val="00207C8F"/>
    <w:rsid w:val="00222982"/>
    <w:rsid w:val="00224DB9"/>
    <w:rsid w:val="00233775"/>
    <w:rsid w:val="00251745"/>
    <w:rsid w:val="00263AC0"/>
    <w:rsid w:val="00264264"/>
    <w:rsid w:val="0026772D"/>
    <w:rsid w:val="00271BBF"/>
    <w:rsid w:val="00286874"/>
    <w:rsid w:val="002876B3"/>
    <w:rsid w:val="00290C63"/>
    <w:rsid w:val="00296B65"/>
    <w:rsid w:val="00297C2E"/>
    <w:rsid w:val="002A0C23"/>
    <w:rsid w:val="002A7DEF"/>
    <w:rsid w:val="002A7E13"/>
    <w:rsid w:val="002C233C"/>
    <w:rsid w:val="002D72E8"/>
    <w:rsid w:val="002E7B22"/>
    <w:rsid w:val="002F7986"/>
    <w:rsid w:val="00301B40"/>
    <w:rsid w:val="003029EE"/>
    <w:rsid w:val="00305CC8"/>
    <w:rsid w:val="00307F6D"/>
    <w:rsid w:val="003177A2"/>
    <w:rsid w:val="00325C54"/>
    <w:rsid w:val="003271B5"/>
    <w:rsid w:val="00327A1E"/>
    <w:rsid w:val="00331264"/>
    <w:rsid w:val="00333800"/>
    <w:rsid w:val="00334C8D"/>
    <w:rsid w:val="00343A18"/>
    <w:rsid w:val="003518B3"/>
    <w:rsid w:val="00362D1F"/>
    <w:rsid w:val="00370651"/>
    <w:rsid w:val="003846F1"/>
    <w:rsid w:val="003903F6"/>
    <w:rsid w:val="003971CD"/>
    <w:rsid w:val="003A6031"/>
    <w:rsid w:val="003B484F"/>
    <w:rsid w:val="003B6D6E"/>
    <w:rsid w:val="003B7FBA"/>
    <w:rsid w:val="003C303F"/>
    <w:rsid w:val="003C3A9C"/>
    <w:rsid w:val="003F174D"/>
    <w:rsid w:val="003F1B09"/>
    <w:rsid w:val="00400514"/>
    <w:rsid w:val="00407A55"/>
    <w:rsid w:val="00415F31"/>
    <w:rsid w:val="00423A77"/>
    <w:rsid w:val="004379A5"/>
    <w:rsid w:val="00441E6D"/>
    <w:rsid w:val="004430B2"/>
    <w:rsid w:val="0045777E"/>
    <w:rsid w:val="0046075B"/>
    <w:rsid w:val="004646BB"/>
    <w:rsid w:val="00467E33"/>
    <w:rsid w:val="004777E2"/>
    <w:rsid w:val="00480B4B"/>
    <w:rsid w:val="00485DC4"/>
    <w:rsid w:val="00491349"/>
    <w:rsid w:val="00492389"/>
    <w:rsid w:val="00495C21"/>
    <w:rsid w:val="004A43D1"/>
    <w:rsid w:val="004B20B2"/>
    <w:rsid w:val="004B4412"/>
    <w:rsid w:val="004C18FE"/>
    <w:rsid w:val="004C348C"/>
    <w:rsid w:val="004D4888"/>
    <w:rsid w:val="004D55BA"/>
    <w:rsid w:val="004E22EC"/>
    <w:rsid w:val="004F4893"/>
    <w:rsid w:val="004F6A0E"/>
    <w:rsid w:val="00530128"/>
    <w:rsid w:val="00532467"/>
    <w:rsid w:val="00540418"/>
    <w:rsid w:val="00544C12"/>
    <w:rsid w:val="00553342"/>
    <w:rsid w:val="00564A4D"/>
    <w:rsid w:val="00565515"/>
    <w:rsid w:val="00567BA5"/>
    <w:rsid w:val="00571B35"/>
    <w:rsid w:val="00571D57"/>
    <w:rsid w:val="00577A09"/>
    <w:rsid w:val="005829C2"/>
    <w:rsid w:val="00584D8F"/>
    <w:rsid w:val="005A3236"/>
    <w:rsid w:val="005A404D"/>
    <w:rsid w:val="005B1E3C"/>
    <w:rsid w:val="005B704A"/>
    <w:rsid w:val="005C26CC"/>
    <w:rsid w:val="005D10E3"/>
    <w:rsid w:val="005D7BA2"/>
    <w:rsid w:val="005E1C36"/>
    <w:rsid w:val="005E36C2"/>
    <w:rsid w:val="005F3CA6"/>
    <w:rsid w:val="005F4576"/>
    <w:rsid w:val="00612F4F"/>
    <w:rsid w:val="00615C6B"/>
    <w:rsid w:val="00621DCE"/>
    <w:rsid w:val="00632D6D"/>
    <w:rsid w:val="006361C9"/>
    <w:rsid w:val="006377F4"/>
    <w:rsid w:val="00642C3E"/>
    <w:rsid w:val="006537AA"/>
    <w:rsid w:val="0066104A"/>
    <w:rsid w:val="00663DAD"/>
    <w:rsid w:val="00665EB3"/>
    <w:rsid w:val="00672FF5"/>
    <w:rsid w:val="00675E20"/>
    <w:rsid w:val="00676679"/>
    <w:rsid w:val="006810AE"/>
    <w:rsid w:val="00683C89"/>
    <w:rsid w:val="006A08A8"/>
    <w:rsid w:val="006A2A7F"/>
    <w:rsid w:val="006B2395"/>
    <w:rsid w:val="006B4CF9"/>
    <w:rsid w:val="006B7AC8"/>
    <w:rsid w:val="006C1736"/>
    <w:rsid w:val="006C4538"/>
    <w:rsid w:val="006D5008"/>
    <w:rsid w:val="006D550F"/>
    <w:rsid w:val="006F3F40"/>
    <w:rsid w:val="00701CAB"/>
    <w:rsid w:val="00707563"/>
    <w:rsid w:val="007075A1"/>
    <w:rsid w:val="00713956"/>
    <w:rsid w:val="007161BF"/>
    <w:rsid w:val="0072348C"/>
    <w:rsid w:val="00724A37"/>
    <w:rsid w:val="007303C3"/>
    <w:rsid w:val="00731756"/>
    <w:rsid w:val="007429BE"/>
    <w:rsid w:val="00743223"/>
    <w:rsid w:val="00743E24"/>
    <w:rsid w:val="00746513"/>
    <w:rsid w:val="00746E01"/>
    <w:rsid w:val="00757364"/>
    <w:rsid w:val="00757BDF"/>
    <w:rsid w:val="007609D0"/>
    <w:rsid w:val="00762438"/>
    <w:rsid w:val="00763E5D"/>
    <w:rsid w:val="00767740"/>
    <w:rsid w:val="00777EE6"/>
    <w:rsid w:val="00782EEA"/>
    <w:rsid w:val="00786BB8"/>
    <w:rsid w:val="00795B1D"/>
    <w:rsid w:val="00796270"/>
    <w:rsid w:val="00797980"/>
    <w:rsid w:val="007A10D3"/>
    <w:rsid w:val="007A3C6A"/>
    <w:rsid w:val="007B186E"/>
    <w:rsid w:val="007B2C72"/>
    <w:rsid w:val="007C1C53"/>
    <w:rsid w:val="007C74BB"/>
    <w:rsid w:val="007D456E"/>
    <w:rsid w:val="007E4904"/>
    <w:rsid w:val="007E4CB5"/>
    <w:rsid w:val="007F066B"/>
    <w:rsid w:val="00800A30"/>
    <w:rsid w:val="008033C4"/>
    <w:rsid w:val="008067AB"/>
    <w:rsid w:val="00806C88"/>
    <w:rsid w:val="0081034E"/>
    <w:rsid w:val="008136FB"/>
    <w:rsid w:val="008344F6"/>
    <w:rsid w:val="0083510F"/>
    <w:rsid w:val="008404F5"/>
    <w:rsid w:val="00841E96"/>
    <w:rsid w:val="00842AFA"/>
    <w:rsid w:val="008508C8"/>
    <w:rsid w:val="00851209"/>
    <w:rsid w:val="008652CC"/>
    <w:rsid w:val="008676D9"/>
    <w:rsid w:val="008837AC"/>
    <w:rsid w:val="008A0CF9"/>
    <w:rsid w:val="008A587D"/>
    <w:rsid w:val="008A6DA3"/>
    <w:rsid w:val="008B17D7"/>
    <w:rsid w:val="008B35CD"/>
    <w:rsid w:val="008B5FCC"/>
    <w:rsid w:val="008C20B5"/>
    <w:rsid w:val="008C5486"/>
    <w:rsid w:val="008C55FA"/>
    <w:rsid w:val="008D1661"/>
    <w:rsid w:val="008E3C6E"/>
    <w:rsid w:val="008E7031"/>
    <w:rsid w:val="008E77DE"/>
    <w:rsid w:val="008F07A3"/>
    <w:rsid w:val="009001B6"/>
    <w:rsid w:val="00900E1B"/>
    <w:rsid w:val="0090431C"/>
    <w:rsid w:val="009233EE"/>
    <w:rsid w:val="009334FF"/>
    <w:rsid w:val="009460AA"/>
    <w:rsid w:val="00951978"/>
    <w:rsid w:val="00961A4A"/>
    <w:rsid w:val="009630FD"/>
    <w:rsid w:val="009661DE"/>
    <w:rsid w:val="00977D61"/>
    <w:rsid w:val="00983C25"/>
    <w:rsid w:val="009856B7"/>
    <w:rsid w:val="00985C86"/>
    <w:rsid w:val="00996349"/>
    <w:rsid w:val="00996A8E"/>
    <w:rsid w:val="009A5FC3"/>
    <w:rsid w:val="009A7D9D"/>
    <w:rsid w:val="009B090B"/>
    <w:rsid w:val="009B5627"/>
    <w:rsid w:val="009B74B0"/>
    <w:rsid w:val="009C0D47"/>
    <w:rsid w:val="009C0FAC"/>
    <w:rsid w:val="009D3906"/>
    <w:rsid w:val="009D6B46"/>
    <w:rsid w:val="009D7564"/>
    <w:rsid w:val="009F4940"/>
    <w:rsid w:val="009F5BA1"/>
    <w:rsid w:val="00A01041"/>
    <w:rsid w:val="00A02A88"/>
    <w:rsid w:val="00A0562E"/>
    <w:rsid w:val="00A0726D"/>
    <w:rsid w:val="00A32FBB"/>
    <w:rsid w:val="00A3388B"/>
    <w:rsid w:val="00A344D3"/>
    <w:rsid w:val="00A428EE"/>
    <w:rsid w:val="00A4478A"/>
    <w:rsid w:val="00A44852"/>
    <w:rsid w:val="00A57D04"/>
    <w:rsid w:val="00A60A26"/>
    <w:rsid w:val="00A61598"/>
    <w:rsid w:val="00A63EDD"/>
    <w:rsid w:val="00A704B2"/>
    <w:rsid w:val="00A704CB"/>
    <w:rsid w:val="00A75F96"/>
    <w:rsid w:val="00A84A99"/>
    <w:rsid w:val="00A84F46"/>
    <w:rsid w:val="00A871F4"/>
    <w:rsid w:val="00AA3B8E"/>
    <w:rsid w:val="00AB4D90"/>
    <w:rsid w:val="00AB6211"/>
    <w:rsid w:val="00AC0C43"/>
    <w:rsid w:val="00AC1B2C"/>
    <w:rsid w:val="00AC3264"/>
    <w:rsid w:val="00AC4546"/>
    <w:rsid w:val="00AE1BF1"/>
    <w:rsid w:val="00AE3B3D"/>
    <w:rsid w:val="00AF0DD2"/>
    <w:rsid w:val="00B06C2F"/>
    <w:rsid w:val="00B13048"/>
    <w:rsid w:val="00B1716D"/>
    <w:rsid w:val="00B17A1D"/>
    <w:rsid w:val="00B207A0"/>
    <w:rsid w:val="00B217BD"/>
    <w:rsid w:val="00B2303F"/>
    <w:rsid w:val="00B406C1"/>
    <w:rsid w:val="00B45240"/>
    <w:rsid w:val="00B514DD"/>
    <w:rsid w:val="00B52AF0"/>
    <w:rsid w:val="00B561BD"/>
    <w:rsid w:val="00B56E03"/>
    <w:rsid w:val="00B65C83"/>
    <w:rsid w:val="00B8080B"/>
    <w:rsid w:val="00B82223"/>
    <w:rsid w:val="00B87BA5"/>
    <w:rsid w:val="00B87C39"/>
    <w:rsid w:val="00B9562D"/>
    <w:rsid w:val="00B9733D"/>
    <w:rsid w:val="00BA4665"/>
    <w:rsid w:val="00BB2FB2"/>
    <w:rsid w:val="00BB3304"/>
    <w:rsid w:val="00BB5225"/>
    <w:rsid w:val="00BB751F"/>
    <w:rsid w:val="00BD3446"/>
    <w:rsid w:val="00BD5D87"/>
    <w:rsid w:val="00BD77D0"/>
    <w:rsid w:val="00BE1F1B"/>
    <w:rsid w:val="00BE47B5"/>
    <w:rsid w:val="00BF4CAA"/>
    <w:rsid w:val="00C25FA6"/>
    <w:rsid w:val="00C26737"/>
    <w:rsid w:val="00C3435E"/>
    <w:rsid w:val="00C420BC"/>
    <w:rsid w:val="00C45DCD"/>
    <w:rsid w:val="00C538A9"/>
    <w:rsid w:val="00C53B5A"/>
    <w:rsid w:val="00C54F5A"/>
    <w:rsid w:val="00C569B4"/>
    <w:rsid w:val="00C67A92"/>
    <w:rsid w:val="00C81758"/>
    <w:rsid w:val="00C84560"/>
    <w:rsid w:val="00C85FAF"/>
    <w:rsid w:val="00C86679"/>
    <w:rsid w:val="00C8739E"/>
    <w:rsid w:val="00C91EA1"/>
    <w:rsid w:val="00CA3A66"/>
    <w:rsid w:val="00CA489E"/>
    <w:rsid w:val="00CA67ED"/>
    <w:rsid w:val="00CB0279"/>
    <w:rsid w:val="00CB666B"/>
    <w:rsid w:val="00CC1A6B"/>
    <w:rsid w:val="00CC7F1D"/>
    <w:rsid w:val="00CE484B"/>
    <w:rsid w:val="00CF6177"/>
    <w:rsid w:val="00D006AE"/>
    <w:rsid w:val="00D01CF0"/>
    <w:rsid w:val="00D0442A"/>
    <w:rsid w:val="00D074B1"/>
    <w:rsid w:val="00D1563D"/>
    <w:rsid w:val="00D17061"/>
    <w:rsid w:val="00D269A2"/>
    <w:rsid w:val="00D27530"/>
    <w:rsid w:val="00D325B8"/>
    <w:rsid w:val="00D5559A"/>
    <w:rsid w:val="00D61388"/>
    <w:rsid w:val="00D61A54"/>
    <w:rsid w:val="00D62B54"/>
    <w:rsid w:val="00D64DEA"/>
    <w:rsid w:val="00D7168E"/>
    <w:rsid w:val="00D71E57"/>
    <w:rsid w:val="00D75F75"/>
    <w:rsid w:val="00D80893"/>
    <w:rsid w:val="00D84854"/>
    <w:rsid w:val="00D92CF1"/>
    <w:rsid w:val="00D92D38"/>
    <w:rsid w:val="00D950F5"/>
    <w:rsid w:val="00DA452C"/>
    <w:rsid w:val="00DA4752"/>
    <w:rsid w:val="00DA61F3"/>
    <w:rsid w:val="00DA6A65"/>
    <w:rsid w:val="00DB0F93"/>
    <w:rsid w:val="00DB150D"/>
    <w:rsid w:val="00DB1A67"/>
    <w:rsid w:val="00DB48C6"/>
    <w:rsid w:val="00DB5074"/>
    <w:rsid w:val="00DC5D3C"/>
    <w:rsid w:val="00DC7981"/>
    <w:rsid w:val="00DD5F09"/>
    <w:rsid w:val="00DE0144"/>
    <w:rsid w:val="00DE1093"/>
    <w:rsid w:val="00DE3695"/>
    <w:rsid w:val="00DE385A"/>
    <w:rsid w:val="00DE4EFA"/>
    <w:rsid w:val="00DE5520"/>
    <w:rsid w:val="00DE563D"/>
    <w:rsid w:val="00E04818"/>
    <w:rsid w:val="00E0633E"/>
    <w:rsid w:val="00E06442"/>
    <w:rsid w:val="00E23993"/>
    <w:rsid w:val="00E25B8C"/>
    <w:rsid w:val="00E35B15"/>
    <w:rsid w:val="00E40B37"/>
    <w:rsid w:val="00E43C30"/>
    <w:rsid w:val="00E63219"/>
    <w:rsid w:val="00E65C85"/>
    <w:rsid w:val="00E66199"/>
    <w:rsid w:val="00E755EC"/>
    <w:rsid w:val="00E7624D"/>
    <w:rsid w:val="00E84C0F"/>
    <w:rsid w:val="00E97452"/>
    <w:rsid w:val="00EA0C7F"/>
    <w:rsid w:val="00EA3D42"/>
    <w:rsid w:val="00EA6B1B"/>
    <w:rsid w:val="00EC04F1"/>
    <w:rsid w:val="00ED2A57"/>
    <w:rsid w:val="00ED5749"/>
    <w:rsid w:val="00ED7323"/>
    <w:rsid w:val="00EE28F3"/>
    <w:rsid w:val="00EE50D1"/>
    <w:rsid w:val="00EE7759"/>
    <w:rsid w:val="00EF5110"/>
    <w:rsid w:val="00EF6D51"/>
    <w:rsid w:val="00F024C8"/>
    <w:rsid w:val="00F0689C"/>
    <w:rsid w:val="00F10411"/>
    <w:rsid w:val="00F14E38"/>
    <w:rsid w:val="00F15882"/>
    <w:rsid w:val="00F171E0"/>
    <w:rsid w:val="00F20BD3"/>
    <w:rsid w:val="00F33D1C"/>
    <w:rsid w:val="00F365B3"/>
    <w:rsid w:val="00F373A5"/>
    <w:rsid w:val="00F47559"/>
    <w:rsid w:val="00F61D74"/>
    <w:rsid w:val="00F64C7B"/>
    <w:rsid w:val="00F676DD"/>
    <w:rsid w:val="00F73143"/>
    <w:rsid w:val="00F75A26"/>
    <w:rsid w:val="00F76706"/>
    <w:rsid w:val="00F80EE4"/>
    <w:rsid w:val="00F83FAD"/>
    <w:rsid w:val="00F84576"/>
    <w:rsid w:val="00F952A0"/>
    <w:rsid w:val="00F96CB0"/>
    <w:rsid w:val="00F97CBF"/>
    <w:rsid w:val="00FA3C7F"/>
    <w:rsid w:val="00FB60FE"/>
    <w:rsid w:val="00FB74E2"/>
    <w:rsid w:val="00FD5614"/>
    <w:rsid w:val="00FD5E78"/>
    <w:rsid w:val="00FE0BE1"/>
    <w:rsid w:val="00FE1DE9"/>
    <w:rsid w:val="00FE36AF"/>
    <w:rsid w:val="00FE39C2"/>
    <w:rsid w:val="00FE3C32"/>
    <w:rsid w:val="00FE55BF"/>
    <w:rsid w:val="00FE64AE"/>
    <w:rsid w:val="00FF5DCC"/>
    <w:rsid w:val="00FF759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5360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AU" w:eastAsia="en-US" w:bidi="ar-SA"/>
      </w:rPr>
    </w:rPrDefault>
    <w:pPrDefault>
      <w:pPr>
        <w:spacing w:before="20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semiHidden="0" w:uiPriority="39" w:unhideWhenUsed="0" w:qFormat="1"/>
    <w:lsdException w:name="toc 2" w:semiHidden="0" w:uiPriority="39" w:unhideWhenUsed="0" w:qFormat="1"/>
    <w:lsdException w:name="toc 3" w:semiHidden="0" w:uiPriority="39" w:unhideWhenUsed="0" w:qFormat="1"/>
    <w:lsdException w:name="toc 4" w:semiHidden="0" w:uiPriority="39" w:unhideWhenUsed="0"/>
    <w:lsdException w:name="toc 5" w:semiHidden="0" w:uiPriority="39" w:unhideWhenUsed="0"/>
    <w:lsdException w:name="toc 6" w:semiHidden="0" w:uiPriority="39" w:unhideWhenUsed="0"/>
    <w:lsdException w:name="toc 7" w:semiHidden="0" w:uiPriority="39" w:unhideWhenUsed="0"/>
    <w:lsdException w:name="toc 8" w:semiHidden="0" w:uiPriority="39" w:unhideWhenUsed="0"/>
    <w:lsdException w:name="toc 9" w:semiHidden="0" w:uiPriority="39" w:unhideWhenUsed="0"/>
    <w:lsdException w:name="Normal Indent" w:semiHidden="0" w:unhideWhenUsed="0"/>
    <w:lsdException w:name="footnote text" w:uiPriority="0" w:qFormat="1"/>
    <w:lsdException w:name="header" w:qFormat="1"/>
    <w:lsdException w:name="footer" w:qFormat="1"/>
    <w:lsdException w:name="caption" w:uiPriority="0" w:qFormat="1"/>
    <w:lsdException w:name="page number" w:uiPriority="0"/>
    <w:lsdException w:name="List" w:qFormat="1"/>
    <w:lsdException w:name="List Number" w:uiPriority="0" w:qFormat="1"/>
    <w:lsdException w:name="List Bullet 2" w:uiPriority="0" w:qFormat="1"/>
    <w:lsdException w:name="List Bullet 3" w:uiPriority="0" w:qFormat="1"/>
    <w:lsdException w:name="Title" w:semiHidden="0" w:uiPriority="10" w:unhideWhenUsed="0" w:qFormat="1"/>
    <w:lsdException w:name="Default Paragraph Font" w:uiPriority="1"/>
    <w:lsdException w:name="List Continue" w:qFormat="1"/>
    <w:lsdException w:name="Subtitle" w:semiHidden="0" w:uiPriority="11" w:unhideWhenUsed="0"/>
    <w:lsdException w:name="Hyperlink"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uiPriority="3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uiPriority="19"/>
    <w:lsdException w:name="Intense Emphasis" w:uiPriority="21"/>
    <w:lsdException w:name="Subtle Reference" w:uiPriority="31"/>
    <w:lsdException w:name="Intense Reference" w:uiPriority="32"/>
    <w:lsdException w:name="Book Title" w:semiHidden="0" w:uiPriority="33" w:unhideWhenUsed="0"/>
    <w:lsdException w:name="Bibliography" w:uiPriority="37"/>
    <w:lsdException w:name="TOC Heading" w:uiPriority="39" w:qFormat="1"/>
  </w:latentStyles>
  <w:style w:type="paragraph" w:default="1" w:styleId="Normal">
    <w:name w:val="Normal"/>
    <w:aliases w:val="AER body text"/>
    <w:qFormat/>
    <w:rsid w:val="000A3020"/>
    <w:pPr>
      <w:spacing w:line="276" w:lineRule="auto"/>
    </w:pPr>
    <w:rPr>
      <w:rFonts w:ascii="Arial" w:hAnsi="Arial"/>
    </w:rPr>
  </w:style>
  <w:style w:type="paragraph" w:styleId="Heading1">
    <w:name w:val="heading 1"/>
    <w:basedOn w:val="Normal"/>
    <w:next w:val="Normal"/>
    <w:link w:val="Heading1Char"/>
    <w:uiPriority w:val="9"/>
    <w:qFormat/>
    <w:rsid w:val="00DE1093"/>
    <w:pPr>
      <w:pageBreakBefore/>
      <w:numPr>
        <w:numId w:val="25"/>
      </w:numPr>
      <w:tabs>
        <w:tab w:val="left" w:pos="680"/>
      </w:tabs>
      <w:spacing w:before="240"/>
      <w:outlineLvl w:val="0"/>
    </w:pPr>
    <w:rPr>
      <w:rFonts w:eastAsiaTheme="majorEastAsia" w:cstheme="majorBidi"/>
      <w:b/>
      <w:bCs/>
      <w:color w:val="70635A"/>
      <w:sz w:val="36"/>
      <w:szCs w:val="28"/>
    </w:rPr>
  </w:style>
  <w:style w:type="paragraph" w:styleId="Heading2">
    <w:name w:val="heading 2"/>
    <w:next w:val="Normal"/>
    <w:link w:val="Heading2Char"/>
    <w:uiPriority w:val="9"/>
    <w:qFormat/>
    <w:rsid w:val="00126A4C"/>
    <w:pPr>
      <w:numPr>
        <w:ilvl w:val="1"/>
        <w:numId w:val="25"/>
      </w:numPr>
      <w:tabs>
        <w:tab w:val="left" w:pos="680"/>
      </w:tabs>
      <w:spacing w:line="240" w:lineRule="atLeast"/>
      <w:outlineLvl w:val="1"/>
    </w:pPr>
    <w:rPr>
      <w:rFonts w:ascii="Arial" w:eastAsiaTheme="majorEastAsia" w:hAnsi="Arial" w:cstheme="majorBidi"/>
      <w:b/>
      <w:bCs/>
      <w:color w:val="70635A" w:themeColor="text2"/>
      <w:sz w:val="32"/>
      <w:szCs w:val="26"/>
    </w:rPr>
  </w:style>
  <w:style w:type="paragraph" w:styleId="Heading3">
    <w:name w:val="heading 3"/>
    <w:basedOn w:val="Normal"/>
    <w:next w:val="Normal"/>
    <w:link w:val="Heading3Char"/>
    <w:uiPriority w:val="9"/>
    <w:qFormat/>
    <w:rsid w:val="00126A4C"/>
    <w:pPr>
      <w:numPr>
        <w:ilvl w:val="2"/>
        <w:numId w:val="25"/>
      </w:numPr>
      <w:tabs>
        <w:tab w:val="left" w:pos="1021"/>
      </w:tabs>
      <w:spacing w:before="240"/>
      <w:outlineLvl w:val="2"/>
    </w:pPr>
    <w:rPr>
      <w:rFonts w:eastAsiaTheme="majorEastAsia" w:cstheme="majorBidi"/>
      <w:b/>
      <w:bCs/>
      <w:color w:val="70635A" w:themeColor="text2"/>
      <w:sz w:val="28"/>
    </w:rPr>
  </w:style>
  <w:style w:type="paragraph" w:styleId="Heading4">
    <w:name w:val="heading 4"/>
    <w:basedOn w:val="Normal"/>
    <w:next w:val="Normal"/>
    <w:link w:val="Heading4Char"/>
    <w:uiPriority w:val="9"/>
    <w:qFormat/>
    <w:rsid w:val="00126A4C"/>
    <w:pPr>
      <w:numPr>
        <w:ilvl w:val="3"/>
        <w:numId w:val="25"/>
      </w:numPr>
      <w:tabs>
        <w:tab w:val="left" w:pos="1021"/>
      </w:tabs>
      <w:spacing w:before="240"/>
      <w:outlineLvl w:val="3"/>
    </w:pPr>
    <w:rPr>
      <w:rFonts w:eastAsiaTheme="majorEastAsia" w:cstheme="majorBidi"/>
      <w:b/>
      <w:bCs/>
      <w:iCs/>
      <w:color w:val="51626F"/>
      <w:sz w:val="24"/>
    </w:rPr>
  </w:style>
  <w:style w:type="paragraph" w:styleId="Heading5">
    <w:name w:val="heading 5"/>
    <w:next w:val="Normal"/>
    <w:link w:val="Heading5Char"/>
    <w:uiPriority w:val="9"/>
    <w:qFormat/>
    <w:rsid w:val="00126A4C"/>
    <w:pPr>
      <w:numPr>
        <w:ilvl w:val="4"/>
        <w:numId w:val="25"/>
      </w:numPr>
      <w:tabs>
        <w:tab w:val="left" w:pos="1021"/>
      </w:tabs>
      <w:spacing w:line="240" w:lineRule="atLeast"/>
      <w:outlineLvl w:val="4"/>
    </w:pPr>
    <w:rPr>
      <w:rFonts w:ascii="Arial" w:eastAsiaTheme="majorEastAsia" w:hAnsi="Arial" w:cstheme="majorBidi"/>
      <w:b/>
      <w:color w:val="170017" w:themeColor="accent1" w:themeShade="7F"/>
    </w:rPr>
  </w:style>
  <w:style w:type="paragraph" w:styleId="Heading6">
    <w:name w:val="heading 6"/>
    <w:basedOn w:val="Normal"/>
    <w:next w:val="Normal"/>
    <w:link w:val="Heading6Char"/>
    <w:uiPriority w:val="9"/>
    <w:qFormat/>
    <w:rsid w:val="00126A4C"/>
    <w:pPr>
      <w:numPr>
        <w:ilvl w:val="5"/>
        <w:numId w:val="25"/>
      </w:numPr>
      <w:tabs>
        <w:tab w:val="left" w:pos="1361"/>
      </w:tabs>
      <w:spacing w:before="240"/>
      <w:outlineLvl w:val="5"/>
    </w:pPr>
    <w:rPr>
      <w:rFonts w:eastAsiaTheme="majorEastAsia" w:cstheme="majorBidi"/>
      <w:b/>
      <w:i/>
      <w:iCs/>
      <w:color w:val="076A92" w:themeColor="text1"/>
    </w:rPr>
  </w:style>
  <w:style w:type="paragraph" w:styleId="Heading7">
    <w:name w:val="heading 7"/>
    <w:basedOn w:val="Heading1"/>
    <w:next w:val="Normal"/>
    <w:link w:val="Heading7Char"/>
    <w:uiPriority w:val="9"/>
    <w:qFormat/>
    <w:rsid w:val="00CB0279"/>
    <w:pPr>
      <w:numPr>
        <w:numId w:val="27"/>
      </w:numPr>
      <w:tabs>
        <w:tab w:val="clear" w:pos="680"/>
        <w:tab w:val="left" w:pos="1021"/>
      </w:tabs>
      <w:ind w:left="1021" w:hanging="1021"/>
      <w:outlineLvl w:val="6"/>
    </w:pPr>
  </w:style>
  <w:style w:type="paragraph" w:styleId="Heading8">
    <w:name w:val="heading 8"/>
    <w:basedOn w:val="Heading2"/>
    <w:next w:val="Normal"/>
    <w:link w:val="Heading8Char"/>
    <w:uiPriority w:val="9"/>
    <w:qFormat/>
    <w:rsid w:val="00CB0279"/>
    <w:pPr>
      <w:numPr>
        <w:numId w:val="27"/>
      </w:numPr>
      <w:tabs>
        <w:tab w:val="clear" w:pos="680"/>
        <w:tab w:val="left" w:pos="1021"/>
      </w:tabs>
      <w:outlineLvl w:val="7"/>
    </w:pPr>
  </w:style>
  <w:style w:type="paragraph" w:styleId="Heading9">
    <w:name w:val="heading 9"/>
    <w:basedOn w:val="Heading3"/>
    <w:next w:val="Normal"/>
    <w:link w:val="Heading9Char"/>
    <w:uiPriority w:val="9"/>
    <w:qFormat/>
    <w:rsid w:val="00CB0279"/>
    <w:pPr>
      <w:numPr>
        <w:numId w:val="27"/>
      </w:numPr>
      <w:ind w:left="1021" w:hanging="1021"/>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E1093"/>
    <w:rPr>
      <w:rFonts w:ascii="Arial" w:eastAsiaTheme="majorEastAsia" w:hAnsi="Arial" w:cstheme="majorBidi"/>
      <w:b/>
      <w:bCs/>
      <w:color w:val="70635A"/>
      <w:sz w:val="36"/>
      <w:szCs w:val="28"/>
    </w:rPr>
  </w:style>
  <w:style w:type="character" w:customStyle="1" w:styleId="Heading2Char">
    <w:name w:val="Heading 2 Char"/>
    <w:basedOn w:val="DefaultParagraphFont"/>
    <w:link w:val="Heading2"/>
    <w:uiPriority w:val="9"/>
    <w:rsid w:val="00126A4C"/>
    <w:rPr>
      <w:rFonts w:ascii="Arial" w:eastAsiaTheme="majorEastAsia" w:hAnsi="Arial" w:cstheme="majorBidi"/>
      <w:b/>
      <w:bCs/>
      <w:color w:val="70635A" w:themeColor="text2"/>
      <w:sz w:val="32"/>
      <w:szCs w:val="26"/>
    </w:rPr>
  </w:style>
  <w:style w:type="character" w:customStyle="1" w:styleId="Heading3Char">
    <w:name w:val="Heading 3 Char"/>
    <w:basedOn w:val="DefaultParagraphFont"/>
    <w:link w:val="Heading3"/>
    <w:uiPriority w:val="9"/>
    <w:rsid w:val="00126A4C"/>
    <w:rPr>
      <w:rFonts w:ascii="Arial" w:eastAsiaTheme="majorEastAsia" w:hAnsi="Arial" w:cstheme="majorBidi"/>
      <w:b/>
      <w:bCs/>
      <w:color w:val="70635A" w:themeColor="text2"/>
      <w:sz w:val="28"/>
    </w:rPr>
  </w:style>
  <w:style w:type="character" w:customStyle="1" w:styleId="Heading4Char">
    <w:name w:val="Heading 4 Char"/>
    <w:basedOn w:val="DefaultParagraphFont"/>
    <w:link w:val="Heading4"/>
    <w:uiPriority w:val="9"/>
    <w:rsid w:val="00126A4C"/>
    <w:rPr>
      <w:rFonts w:ascii="Arial" w:eastAsiaTheme="majorEastAsia" w:hAnsi="Arial" w:cstheme="majorBidi"/>
      <w:b/>
      <w:bCs/>
      <w:iCs/>
      <w:color w:val="51626F"/>
      <w:sz w:val="24"/>
    </w:rPr>
  </w:style>
  <w:style w:type="character" w:customStyle="1" w:styleId="Heading5Char">
    <w:name w:val="Heading 5 Char"/>
    <w:basedOn w:val="DefaultParagraphFont"/>
    <w:link w:val="Heading5"/>
    <w:uiPriority w:val="9"/>
    <w:rsid w:val="00126A4C"/>
    <w:rPr>
      <w:rFonts w:ascii="Arial" w:eastAsiaTheme="majorEastAsia" w:hAnsi="Arial" w:cstheme="majorBidi"/>
      <w:b/>
      <w:color w:val="170017" w:themeColor="accent1" w:themeShade="7F"/>
    </w:rPr>
  </w:style>
  <w:style w:type="character" w:customStyle="1" w:styleId="Heading6Char">
    <w:name w:val="Heading 6 Char"/>
    <w:basedOn w:val="DefaultParagraphFont"/>
    <w:link w:val="Heading6"/>
    <w:uiPriority w:val="9"/>
    <w:rsid w:val="00126A4C"/>
    <w:rPr>
      <w:rFonts w:ascii="Arial" w:eastAsiaTheme="majorEastAsia" w:hAnsi="Arial" w:cstheme="majorBidi"/>
      <w:b/>
      <w:i/>
      <w:iCs/>
      <w:color w:val="076A92" w:themeColor="text1"/>
    </w:rPr>
  </w:style>
  <w:style w:type="paragraph" w:customStyle="1" w:styleId="Chaptertitle">
    <w:name w:val="Chapter title"/>
    <w:basedOn w:val="Normal"/>
    <w:link w:val="ChaptertitleChar"/>
    <w:rsid w:val="00DE1093"/>
    <w:pPr>
      <w:pageBreakBefore/>
      <w:spacing w:before="520" w:after="120"/>
      <w:outlineLvl w:val="0"/>
    </w:pPr>
    <w:rPr>
      <w:color w:val="076A92" w:themeColor="text1"/>
      <w:sz w:val="52"/>
      <w:szCs w:val="52"/>
    </w:rPr>
  </w:style>
  <w:style w:type="character" w:customStyle="1" w:styleId="ChaptertitleChar">
    <w:name w:val="Chapter title Char"/>
    <w:basedOn w:val="DefaultParagraphFont"/>
    <w:link w:val="Chaptertitle"/>
    <w:rsid w:val="00DE1093"/>
    <w:rPr>
      <w:rFonts w:ascii="Arial" w:hAnsi="Arial"/>
      <w:color w:val="076A92" w:themeColor="text1"/>
      <w:sz w:val="52"/>
      <w:szCs w:val="52"/>
    </w:rPr>
  </w:style>
  <w:style w:type="paragraph" w:customStyle="1" w:styleId="Tabletext">
    <w:name w:val="Table text"/>
    <w:basedOn w:val="Normal"/>
    <w:link w:val="TabletextChar"/>
    <w:uiPriority w:val="1"/>
    <w:qFormat/>
    <w:rsid w:val="00584D8F"/>
    <w:pPr>
      <w:spacing w:before="120" w:after="60"/>
    </w:pPr>
    <w:rPr>
      <w:sz w:val="20"/>
    </w:rPr>
  </w:style>
  <w:style w:type="paragraph" w:styleId="TOC8">
    <w:name w:val="toc 8"/>
    <w:basedOn w:val="Normal"/>
    <w:next w:val="Normal"/>
    <w:uiPriority w:val="39"/>
    <w:rsid w:val="005D7BA2"/>
    <w:pPr>
      <w:tabs>
        <w:tab w:val="right" w:leader="dot" w:pos="8363"/>
      </w:tabs>
      <w:spacing w:after="100"/>
      <w:ind w:left="2977"/>
    </w:pPr>
    <w:rPr>
      <w:noProof/>
    </w:rPr>
  </w:style>
  <w:style w:type="paragraph" w:styleId="TOC9">
    <w:name w:val="toc 9"/>
    <w:basedOn w:val="Normal"/>
    <w:next w:val="Normal"/>
    <w:uiPriority w:val="39"/>
    <w:rsid w:val="005D7BA2"/>
    <w:pPr>
      <w:tabs>
        <w:tab w:val="right" w:leader="dot" w:pos="8363"/>
      </w:tabs>
      <w:spacing w:after="100"/>
      <w:ind w:left="3402"/>
    </w:pPr>
    <w:rPr>
      <w:noProof/>
    </w:rPr>
  </w:style>
  <w:style w:type="paragraph" w:customStyle="1" w:styleId="HeadingBoldBlue">
    <w:name w:val="Heading Bold Blue"/>
    <w:basedOn w:val="Heading3"/>
    <w:link w:val="HeadingBoldBlueChar"/>
    <w:qFormat/>
    <w:rsid w:val="00985C86"/>
    <w:pPr>
      <w:numPr>
        <w:ilvl w:val="0"/>
        <w:numId w:val="0"/>
      </w:numPr>
    </w:pPr>
  </w:style>
  <w:style w:type="paragraph" w:customStyle="1" w:styleId="HeadingBoldItalic">
    <w:name w:val="Heading Bold Italic"/>
    <w:basedOn w:val="Heading4"/>
    <w:qFormat/>
    <w:rsid w:val="00985C86"/>
    <w:pPr>
      <w:numPr>
        <w:ilvl w:val="0"/>
        <w:numId w:val="0"/>
      </w:numPr>
    </w:pPr>
    <w:rPr>
      <w:i/>
    </w:rPr>
  </w:style>
  <w:style w:type="paragraph" w:customStyle="1" w:styleId="HeadingItalic">
    <w:name w:val="Heading Italic"/>
    <w:basedOn w:val="HeadingBoldItalic"/>
    <w:qFormat/>
    <w:rsid w:val="00985C86"/>
    <w:rPr>
      <w:b w:val="0"/>
    </w:rPr>
  </w:style>
  <w:style w:type="paragraph" w:customStyle="1" w:styleId="HeadingOrange">
    <w:name w:val="Heading Orange"/>
    <w:basedOn w:val="Heading5"/>
    <w:qFormat/>
    <w:rsid w:val="00985C86"/>
    <w:pPr>
      <w:numPr>
        <w:ilvl w:val="0"/>
        <w:numId w:val="0"/>
      </w:numPr>
    </w:pPr>
  </w:style>
  <w:style w:type="paragraph" w:styleId="Header">
    <w:name w:val="header"/>
    <w:basedOn w:val="Normal"/>
    <w:link w:val="HeaderChar"/>
    <w:uiPriority w:val="99"/>
    <w:unhideWhenUsed/>
    <w:qFormat/>
    <w:rsid w:val="008344F6"/>
    <w:pPr>
      <w:tabs>
        <w:tab w:val="center" w:pos="4513"/>
        <w:tab w:val="right" w:pos="9026"/>
      </w:tabs>
      <w:spacing w:after="120"/>
    </w:pPr>
    <w:rPr>
      <w:color w:val="2F002F" w:themeColor="accent1"/>
      <w:sz w:val="18"/>
    </w:rPr>
  </w:style>
  <w:style w:type="character" w:customStyle="1" w:styleId="HeaderChar">
    <w:name w:val="Header Char"/>
    <w:basedOn w:val="DefaultParagraphFont"/>
    <w:link w:val="Header"/>
    <w:uiPriority w:val="99"/>
    <w:rsid w:val="008344F6"/>
    <w:rPr>
      <w:rFonts w:ascii="Arial" w:hAnsi="Arial"/>
      <w:color w:val="2F002F" w:themeColor="accent1"/>
      <w:sz w:val="18"/>
    </w:rPr>
  </w:style>
  <w:style w:type="paragraph" w:styleId="NoSpacing">
    <w:name w:val="No Spacing"/>
    <w:uiPriority w:val="1"/>
    <w:qFormat/>
    <w:rsid w:val="00724A37"/>
    <w:pPr>
      <w:spacing w:before="0"/>
    </w:pPr>
    <w:rPr>
      <w:rFonts w:ascii="Arial" w:hAnsi="Arial"/>
    </w:rPr>
  </w:style>
  <w:style w:type="paragraph" w:customStyle="1" w:styleId="Tabletitle">
    <w:name w:val="Table title"/>
    <w:basedOn w:val="Normal"/>
    <w:link w:val="TabletitleChar"/>
    <w:qFormat/>
    <w:rsid w:val="00C67A92"/>
    <w:pPr>
      <w:spacing w:before="240" w:after="120"/>
    </w:pPr>
    <w:rPr>
      <w:b/>
      <w:color w:val="076A92" w:themeColor="text1"/>
      <w:sz w:val="24"/>
      <w:szCs w:val="20"/>
    </w:rPr>
  </w:style>
  <w:style w:type="character" w:customStyle="1" w:styleId="TabletitleChar">
    <w:name w:val="Table title Char"/>
    <w:basedOn w:val="DefaultParagraphFont"/>
    <w:link w:val="Tabletitle"/>
    <w:rsid w:val="00C67A92"/>
    <w:rPr>
      <w:rFonts w:ascii="Arial" w:hAnsi="Arial"/>
      <w:b/>
      <w:color w:val="076A92" w:themeColor="text1"/>
      <w:sz w:val="24"/>
      <w:szCs w:val="20"/>
    </w:rPr>
  </w:style>
  <w:style w:type="paragraph" w:customStyle="1" w:styleId="Charttitle">
    <w:name w:val="Chart title"/>
    <w:basedOn w:val="Tabletitle"/>
    <w:rsid w:val="00C67A92"/>
  </w:style>
  <w:style w:type="paragraph" w:styleId="EndnoteText">
    <w:name w:val="endnote text"/>
    <w:basedOn w:val="Normal"/>
    <w:link w:val="EndnoteTextChar"/>
    <w:uiPriority w:val="99"/>
    <w:rsid w:val="00263AC0"/>
    <w:pPr>
      <w:spacing w:before="0"/>
    </w:pPr>
    <w:rPr>
      <w:sz w:val="20"/>
      <w:szCs w:val="20"/>
    </w:rPr>
  </w:style>
  <w:style w:type="paragraph" w:customStyle="1" w:styleId="AERrevisionbox">
    <w:name w:val="AER revision box"/>
    <w:basedOn w:val="Normal"/>
    <w:link w:val="AERrevisionboxChar"/>
    <w:qFormat/>
    <w:rsid w:val="00180157"/>
    <w:pPr>
      <w:pBdr>
        <w:top w:val="single" w:sz="4" w:space="1" w:color="FFFFFF" w:themeColor="background1"/>
        <w:left w:val="single" w:sz="4" w:space="4" w:color="FFFFFF" w:themeColor="background1"/>
        <w:bottom w:val="single" w:sz="4" w:space="1" w:color="FFFFFF" w:themeColor="background1"/>
        <w:right w:val="single" w:sz="4" w:space="4" w:color="FFFFFF" w:themeColor="background1"/>
      </w:pBdr>
      <w:shd w:val="clear" w:color="auto" w:fill="F2F2F2" w:themeFill="background1" w:themeFillShade="F2"/>
      <w:spacing w:after="240"/>
    </w:pPr>
    <w:rPr>
      <w:szCs w:val="20"/>
    </w:rPr>
  </w:style>
  <w:style w:type="character" w:customStyle="1" w:styleId="AERrevisionboxChar">
    <w:name w:val="AER revision box Char"/>
    <w:basedOn w:val="DefaultParagraphFont"/>
    <w:link w:val="AERrevisionbox"/>
    <w:uiPriority w:val="1"/>
    <w:rsid w:val="00AE1BF1"/>
    <w:rPr>
      <w:rFonts w:ascii="Arial" w:hAnsi="Arial"/>
      <w:szCs w:val="20"/>
      <w:shd w:val="clear" w:color="auto" w:fill="F2F2F2" w:themeFill="background1" w:themeFillShade="F2"/>
    </w:rPr>
  </w:style>
  <w:style w:type="paragraph" w:customStyle="1" w:styleId="Pullquoteheading">
    <w:name w:val="Pull quote heading"/>
    <w:basedOn w:val="Normal"/>
    <w:link w:val="PullquoteheadingChar"/>
    <w:uiPriority w:val="1"/>
    <w:rsid w:val="00CA489E"/>
    <w:pPr>
      <w:spacing w:after="120"/>
      <w:contextualSpacing/>
    </w:pPr>
    <w:rPr>
      <w:b/>
      <w:color w:val="C14E00" w:themeColor="accent2"/>
      <w:sz w:val="24"/>
      <w:szCs w:val="24"/>
    </w:rPr>
  </w:style>
  <w:style w:type="character" w:customStyle="1" w:styleId="PullquoteheadingChar">
    <w:name w:val="Pull quote heading Char"/>
    <w:basedOn w:val="DefaultParagraphFont"/>
    <w:link w:val="Pullquoteheading"/>
    <w:uiPriority w:val="1"/>
    <w:rsid w:val="00CA489E"/>
    <w:rPr>
      <w:rFonts w:ascii="Arial" w:hAnsi="Arial"/>
      <w:b/>
      <w:color w:val="C14E00" w:themeColor="accent2"/>
      <w:sz w:val="24"/>
      <w:szCs w:val="24"/>
    </w:rPr>
  </w:style>
  <w:style w:type="paragraph" w:customStyle="1" w:styleId="Pullquotetext">
    <w:name w:val="Pull quote text"/>
    <w:link w:val="PullquotetextChar"/>
    <w:uiPriority w:val="1"/>
    <w:rsid w:val="00CA489E"/>
    <w:pPr>
      <w:spacing w:before="120"/>
    </w:pPr>
    <w:rPr>
      <w:rFonts w:ascii="Arial" w:hAnsi="Arial"/>
      <w:color w:val="DC5034"/>
      <w:szCs w:val="24"/>
    </w:rPr>
  </w:style>
  <w:style w:type="character" w:customStyle="1" w:styleId="PullquotetextChar">
    <w:name w:val="Pull quote text Char"/>
    <w:basedOn w:val="PullquoteheadingChar"/>
    <w:link w:val="Pullquotetext"/>
    <w:uiPriority w:val="1"/>
    <w:rsid w:val="00CA489E"/>
    <w:rPr>
      <w:rFonts w:ascii="Arial" w:hAnsi="Arial"/>
      <w:b w:val="0"/>
      <w:color w:val="DC5034"/>
      <w:sz w:val="24"/>
      <w:szCs w:val="24"/>
    </w:rPr>
  </w:style>
  <w:style w:type="paragraph" w:customStyle="1" w:styleId="Note">
    <w:name w:val="Note"/>
    <w:basedOn w:val="Normal"/>
    <w:link w:val="NoteChar"/>
    <w:rsid w:val="00085663"/>
    <w:pPr>
      <w:spacing w:after="120"/>
    </w:pPr>
    <w:rPr>
      <w:i/>
      <w:sz w:val="16"/>
      <w:szCs w:val="16"/>
    </w:rPr>
  </w:style>
  <w:style w:type="character" w:customStyle="1" w:styleId="NoteChar">
    <w:name w:val="Note Char"/>
    <w:basedOn w:val="DefaultParagraphFont"/>
    <w:link w:val="Note"/>
    <w:rsid w:val="00085663"/>
    <w:rPr>
      <w:rFonts w:ascii="Arial" w:hAnsi="Arial"/>
      <w:i/>
      <w:sz w:val="16"/>
      <w:szCs w:val="16"/>
    </w:rPr>
  </w:style>
  <w:style w:type="paragraph" w:customStyle="1" w:styleId="Source">
    <w:name w:val="Source"/>
    <w:basedOn w:val="Normal"/>
    <w:link w:val="SourceChar"/>
    <w:rsid w:val="00085663"/>
    <w:pPr>
      <w:spacing w:after="60"/>
    </w:pPr>
    <w:rPr>
      <w:sz w:val="16"/>
      <w:szCs w:val="16"/>
    </w:rPr>
  </w:style>
  <w:style w:type="character" w:customStyle="1" w:styleId="SourceChar">
    <w:name w:val="Source Char"/>
    <w:basedOn w:val="DefaultParagraphFont"/>
    <w:link w:val="Source"/>
    <w:rsid w:val="00085663"/>
    <w:rPr>
      <w:rFonts w:ascii="Arial" w:hAnsi="Arial"/>
      <w:sz w:val="16"/>
      <w:szCs w:val="16"/>
    </w:rPr>
  </w:style>
  <w:style w:type="paragraph" w:styleId="Index1">
    <w:name w:val="index 1"/>
    <w:basedOn w:val="Normal"/>
    <w:next w:val="Normal"/>
    <w:autoRedefine/>
    <w:uiPriority w:val="99"/>
    <w:unhideWhenUsed/>
    <w:rsid w:val="00F171E0"/>
    <w:pPr>
      <w:spacing w:before="0" w:line="240" w:lineRule="auto"/>
      <w:ind w:left="220" w:hanging="220"/>
    </w:pPr>
  </w:style>
  <w:style w:type="paragraph" w:styleId="Index2">
    <w:name w:val="index 2"/>
    <w:basedOn w:val="Normal"/>
    <w:next w:val="Normal"/>
    <w:autoRedefine/>
    <w:uiPriority w:val="99"/>
    <w:unhideWhenUsed/>
    <w:rsid w:val="00F171E0"/>
    <w:pPr>
      <w:spacing w:before="0" w:line="240" w:lineRule="auto"/>
      <w:ind w:left="440" w:hanging="220"/>
    </w:pPr>
  </w:style>
  <w:style w:type="paragraph" w:styleId="Quote">
    <w:name w:val="Quote"/>
    <w:basedOn w:val="Normal"/>
    <w:next w:val="Normal"/>
    <w:link w:val="QuoteChar"/>
    <w:uiPriority w:val="29"/>
    <w:rsid w:val="00C67A92"/>
    <w:pPr>
      <w:ind w:left="680"/>
    </w:pPr>
    <w:rPr>
      <w:i/>
      <w:iCs/>
      <w:color w:val="076A92" w:themeColor="text1"/>
    </w:rPr>
  </w:style>
  <w:style w:type="character" w:customStyle="1" w:styleId="QuoteChar">
    <w:name w:val="Quote Char"/>
    <w:basedOn w:val="DefaultParagraphFont"/>
    <w:link w:val="Quote"/>
    <w:uiPriority w:val="29"/>
    <w:rsid w:val="00C67A92"/>
    <w:rPr>
      <w:rFonts w:ascii="Arial" w:hAnsi="Arial"/>
      <w:i/>
      <w:iCs/>
      <w:color w:val="076A92" w:themeColor="text1"/>
    </w:rPr>
  </w:style>
  <w:style w:type="paragraph" w:customStyle="1" w:styleId="AERbulletlistfirststyle">
    <w:name w:val="AER bullet list (first style)"/>
    <w:basedOn w:val="ListBullet"/>
    <w:qFormat/>
    <w:rsid w:val="00FE64AE"/>
    <w:pPr>
      <w:numPr>
        <w:numId w:val="2"/>
      </w:numPr>
      <w:ind w:left="357" w:hanging="357"/>
    </w:pPr>
    <w:rPr>
      <w:rFonts w:cs="Times New Roman"/>
    </w:rPr>
  </w:style>
  <w:style w:type="paragraph" w:styleId="ListBullet">
    <w:name w:val="List Bullet"/>
    <w:aliases w:val="AER List number 2 first"/>
    <w:basedOn w:val="Normal"/>
    <w:uiPriority w:val="99"/>
    <w:unhideWhenUsed/>
    <w:rsid w:val="0045777E"/>
    <w:pPr>
      <w:numPr>
        <w:numId w:val="13"/>
      </w:numPr>
      <w:tabs>
        <w:tab w:val="left" w:pos="340"/>
      </w:tabs>
      <w:spacing w:before="120"/>
    </w:pPr>
  </w:style>
  <w:style w:type="paragraph" w:customStyle="1" w:styleId="AERbulletlistsecondstyle">
    <w:name w:val="AER bullet list (second style)"/>
    <w:basedOn w:val="ListBullet2"/>
    <w:qFormat/>
    <w:rsid w:val="008033C4"/>
    <w:pPr>
      <w:numPr>
        <w:numId w:val="12"/>
      </w:numPr>
      <w:ind w:left="998" w:hanging="357"/>
    </w:pPr>
  </w:style>
  <w:style w:type="paragraph" w:styleId="ListNumber">
    <w:name w:val="List Number"/>
    <w:aliases w:val="AER numbered list (first style)"/>
    <w:basedOn w:val="Normal"/>
    <w:qFormat/>
    <w:rsid w:val="00CA489E"/>
    <w:pPr>
      <w:numPr>
        <w:numId w:val="7"/>
      </w:numPr>
      <w:tabs>
        <w:tab w:val="clear" w:pos="360"/>
        <w:tab w:val="num" w:pos="340"/>
      </w:tabs>
      <w:spacing w:before="120"/>
      <w:ind w:left="340" w:hanging="340"/>
    </w:pPr>
  </w:style>
  <w:style w:type="paragraph" w:styleId="ListBullet2">
    <w:name w:val="List Bullet 2"/>
    <w:aliases w:val="AER numbered list 2 second"/>
    <w:basedOn w:val="Normal"/>
    <w:unhideWhenUsed/>
    <w:qFormat/>
    <w:rsid w:val="008E77DE"/>
    <w:pPr>
      <w:numPr>
        <w:numId w:val="3"/>
      </w:numPr>
      <w:spacing w:before="120"/>
    </w:pPr>
  </w:style>
  <w:style w:type="paragraph" w:styleId="TOCHeading">
    <w:name w:val="TOC Heading"/>
    <w:basedOn w:val="Normal"/>
    <w:next w:val="Normal"/>
    <w:uiPriority w:val="39"/>
    <w:qFormat/>
    <w:rsid w:val="00327A1E"/>
    <w:pPr>
      <w:spacing w:before="480" w:after="120"/>
    </w:pPr>
    <w:rPr>
      <w:rFonts w:eastAsiaTheme="majorEastAsia" w:cstheme="majorBidi"/>
      <w:b/>
      <w:bCs/>
      <w:color w:val="076A92" w:themeColor="text1"/>
      <w:sz w:val="36"/>
      <w:szCs w:val="28"/>
      <w:lang w:val="en-US" w:eastAsia="ja-JP"/>
    </w:rPr>
  </w:style>
  <w:style w:type="paragraph" w:customStyle="1" w:styleId="Listalphabet">
    <w:name w:val="List alphabet"/>
    <w:basedOn w:val="List"/>
    <w:qFormat/>
    <w:rsid w:val="00DB5074"/>
    <w:pPr>
      <w:numPr>
        <w:numId w:val="17"/>
      </w:numPr>
      <w:ind w:left="340" w:hanging="340"/>
    </w:pPr>
  </w:style>
  <w:style w:type="character" w:styleId="Hyperlink">
    <w:name w:val="Hyperlink"/>
    <w:basedOn w:val="DefaultParagraphFont"/>
    <w:uiPriority w:val="99"/>
    <w:qFormat/>
    <w:rsid w:val="00BE1F1B"/>
    <w:rPr>
      <w:rFonts w:ascii="Arial" w:hAnsi="Arial"/>
      <w:color w:val="0000FF"/>
      <w:sz w:val="22"/>
      <w:u w:val="single"/>
    </w:rPr>
  </w:style>
  <w:style w:type="paragraph" w:styleId="BalloonText">
    <w:name w:val="Balloon Text"/>
    <w:basedOn w:val="Normal"/>
    <w:link w:val="BalloonTextChar"/>
    <w:uiPriority w:val="99"/>
    <w:unhideWhenUsed/>
    <w:rsid w:val="00683C89"/>
    <w:pPr>
      <w:spacing w:before="0"/>
    </w:pPr>
    <w:rPr>
      <w:rFonts w:asciiTheme="minorHAnsi" w:hAnsiTheme="minorHAnsi" w:cs="Tahoma"/>
      <w:sz w:val="16"/>
      <w:szCs w:val="16"/>
    </w:rPr>
  </w:style>
  <w:style w:type="character" w:customStyle="1" w:styleId="BalloonTextChar">
    <w:name w:val="Balloon Text Char"/>
    <w:basedOn w:val="DefaultParagraphFont"/>
    <w:link w:val="BalloonText"/>
    <w:uiPriority w:val="99"/>
    <w:rsid w:val="00683C89"/>
    <w:rPr>
      <w:rFonts w:cs="Tahoma"/>
      <w:sz w:val="16"/>
      <w:szCs w:val="16"/>
    </w:rPr>
  </w:style>
  <w:style w:type="paragraph" w:styleId="Footer">
    <w:name w:val="footer"/>
    <w:basedOn w:val="Normal"/>
    <w:link w:val="FooterChar"/>
    <w:uiPriority w:val="99"/>
    <w:unhideWhenUsed/>
    <w:qFormat/>
    <w:rsid w:val="005D7BA2"/>
    <w:pPr>
      <w:tabs>
        <w:tab w:val="center" w:pos="4513"/>
        <w:tab w:val="right" w:pos="9026"/>
      </w:tabs>
      <w:spacing w:after="120"/>
    </w:pPr>
    <w:rPr>
      <w:color w:val="076A92" w:themeColor="text1"/>
      <w:sz w:val="18"/>
    </w:rPr>
  </w:style>
  <w:style w:type="character" w:customStyle="1" w:styleId="FooterChar">
    <w:name w:val="Footer Char"/>
    <w:basedOn w:val="DefaultParagraphFont"/>
    <w:link w:val="Footer"/>
    <w:uiPriority w:val="99"/>
    <w:rsid w:val="005D7BA2"/>
    <w:rPr>
      <w:rFonts w:ascii="Arial" w:hAnsi="Arial"/>
      <w:color w:val="076A92" w:themeColor="text1"/>
      <w:sz w:val="18"/>
    </w:rPr>
  </w:style>
  <w:style w:type="paragraph" w:styleId="ListParagraph">
    <w:name w:val="List Paragraph"/>
    <w:basedOn w:val="Normal"/>
    <w:uiPriority w:val="34"/>
    <w:qFormat/>
    <w:rsid w:val="00567BA5"/>
    <w:pPr>
      <w:numPr>
        <w:numId w:val="14"/>
      </w:numPr>
      <w:tabs>
        <w:tab w:val="left" w:pos="340"/>
      </w:tabs>
      <w:spacing w:before="120"/>
      <w:ind w:left="340" w:hanging="340"/>
    </w:pPr>
  </w:style>
  <w:style w:type="character" w:customStyle="1" w:styleId="Heading7Char">
    <w:name w:val="Heading 7 Char"/>
    <w:basedOn w:val="DefaultParagraphFont"/>
    <w:link w:val="Heading7"/>
    <w:uiPriority w:val="9"/>
    <w:rsid w:val="00CB0279"/>
    <w:rPr>
      <w:rFonts w:ascii="Arial" w:eastAsiaTheme="majorEastAsia" w:hAnsi="Arial" w:cstheme="majorBidi"/>
      <w:b/>
      <w:bCs/>
      <w:color w:val="70635A"/>
      <w:sz w:val="36"/>
      <w:szCs w:val="28"/>
    </w:rPr>
  </w:style>
  <w:style w:type="character" w:customStyle="1" w:styleId="Heading8Char">
    <w:name w:val="Heading 8 Char"/>
    <w:basedOn w:val="DefaultParagraphFont"/>
    <w:link w:val="Heading8"/>
    <w:uiPriority w:val="9"/>
    <w:rsid w:val="00CB0279"/>
    <w:rPr>
      <w:rFonts w:ascii="Arial" w:eastAsiaTheme="majorEastAsia" w:hAnsi="Arial" w:cstheme="majorBidi"/>
      <w:b/>
      <w:bCs/>
      <w:color w:val="70635A" w:themeColor="text2"/>
      <w:sz w:val="32"/>
      <w:szCs w:val="26"/>
    </w:rPr>
  </w:style>
  <w:style w:type="character" w:customStyle="1" w:styleId="Heading9Char">
    <w:name w:val="Heading 9 Char"/>
    <w:basedOn w:val="DefaultParagraphFont"/>
    <w:link w:val="Heading9"/>
    <w:uiPriority w:val="9"/>
    <w:rsid w:val="00CB0279"/>
    <w:rPr>
      <w:rFonts w:ascii="Arial" w:eastAsiaTheme="majorEastAsia" w:hAnsi="Arial" w:cstheme="majorBidi"/>
      <w:b/>
      <w:bCs/>
      <w:color w:val="70635A" w:themeColor="text2"/>
      <w:sz w:val="28"/>
    </w:rPr>
  </w:style>
  <w:style w:type="paragraph" w:customStyle="1" w:styleId="Numbered1111111">
    <w:name w:val="Numbered 1.1.1.1.1.1.1"/>
    <w:basedOn w:val="Heading7"/>
    <w:next w:val="Normal"/>
    <w:uiPriority w:val="2"/>
    <w:rsid w:val="00CA489E"/>
    <w:pPr>
      <w:numPr>
        <w:numId w:val="15"/>
      </w:numPr>
      <w:tabs>
        <w:tab w:val="left" w:pos="1701"/>
      </w:tabs>
      <w:ind w:left="1701" w:hanging="1701"/>
    </w:pPr>
  </w:style>
  <w:style w:type="paragraph" w:customStyle="1" w:styleId="Numbered11111111">
    <w:name w:val="Numbered 1.1.1.1.1.1.1.1"/>
    <w:basedOn w:val="Heading8"/>
    <w:next w:val="Normal"/>
    <w:uiPriority w:val="2"/>
    <w:rsid w:val="00CA489E"/>
    <w:pPr>
      <w:numPr>
        <w:ilvl w:val="0"/>
        <w:numId w:val="0"/>
      </w:numPr>
      <w:tabs>
        <w:tab w:val="left" w:pos="2041"/>
      </w:tabs>
      <w:ind w:left="2041" w:hanging="2041"/>
    </w:pPr>
  </w:style>
  <w:style w:type="table" w:styleId="TableGrid">
    <w:name w:val="Table Grid"/>
    <w:aliases w:val="ACCC Table"/>
    <w:basedOn w:val="TableNormal"/>
    <w:uiPriority w:val="59"/>
    <w:rsid w:val="00C53B5A"/>
    <w:pPr>
      <w:spacing w:before="60" w:after="60"/>
    </w:pPr>
    <w:rPr>
      <w:rFonts w:ascii="Arial" w:hAnsi="Arial"/>
      <w:sz w:val="20"/>
    </w:rPr>
    <w:tblPr>
      <w:tblInd w:w="0" w:type="dxa"/>
      <w:tblBorders>
        <w:top w:val="single" w:sz="4" w:space="0" w:color="BFBFBF" w:themeColor="background1" w:themeShade="BF"/>
        <w:bottom w:val="single" w:sz="4" w:space="0" w:color="BFBFBF" w:themeColor="background1" w:themeShade="BF"/>
      </w:tblBorders>
      <w:tblCellMar>
        <w:top w:w="0" w:type="dxa"/>
        <w:left w:w="108" w:type="dxa"/>
        <w:bottom w:w="0" w:type="dxa"/>
        <w:right w:w="108" w:type="dxa"/>
      </w:tblCellMar>
    </w:tblPr>
    <w:tcPr>
      <w:shd w:val="clear" w:color="auto" w:fill="auto"/>
    </w:tcPr>
    <w:tblStylePr w:type="firstRow">
      <w:pPr>
        <w:wordWrap/>
        <w:spacing w:beforeLines="0" w:before="120" w:beforeAutospacing="0" w:afterLines="0" w:after="120" w:afterAutospacing="0"/>
      </w:pPr>
      <w:rPr>
        <w:rFonts w:ascii="Arial" w:hAnsi="Arial"/>
        <w:b/>
        <w:sz w:val="20"/>
      </w:rPr>
      <w:tblPr/>
      <w:tcPr>
        <w:tcBorders>
          <w:top w:val="single" w:sz="4" w:space="0" w:color="BFBFBF" w:themeColor="background1" w:themeShade="BF"/>
          <w:left w:val="nil"/>
          <w:bottom w:val="single" w:sz="4" w:space="0" w:color="BFBFBF" w:themeColor="background1" w:themeShade="BF"/>
          <w:right w:val="nil"/>
          <w:insideH w:val="nil"/>
          <w:insideV w:val="nil"/>
          <w:tl2br w:val="nil"/>
          <w:tr2bl w:val="nil"/>
        </w:tcBorders>
        <w:shd w:val="clear" w:color="auto" w:fill="auto"/>
      </w:tcPr>
    </w:tblStylePr>
    <w:tblStylePr w:type="lastRow">
      <w:pPr>
        <w:wordWrap/>
        <w:spacing w:beforeLines="0" w:before="120" w:beforeAutospacing="0" w:afterLines="0" w:after="120" w:afterAutospacing="0" w:line="240" w:lineRule="auto"/>
      </w:pPr>
      <w:rPr>
        <w:rFonts w:ascii="Arial" w:hAnsi="Arial"/>
        <w:b/>
        <w:sz w:val="20"/>
      </w:rPr>
    </w:tblStylePr>
    <w:tblStylePr w:type="firstCol">
      <w:rPr>
        <w:rFonts w:ascii="Arial" w:hAnsi="Arial"/>
        <w:b/>
        <w:sz w:val="20"/>
      </w:rPr>
    </w:tblStylePr>
  </w:style>
  <w:style w:type="table" w:styleId="LightShading">
    <w:name w:val="Light Shading"/>
    <w:basedOn w:val="TableNormal"/>
    <w:uiPriority w:val="60"/>
    <w:rsid w:val="00C53B5A"/>
    <w:pPr>
      <w:spacing w:before="120" w:after="120"/>
    </w:pPr>
    <w:rPr>
      <w:sz w:val="20"/>
    </w:rPr>
    <w:tblPr>
      <w:tblInd w:w="0" w:type="dxa"/>
      <w:tbl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blBorders>
      <w:tblCellMar>
        <w:top w:w="0" w:type="dxa"/>
        <w:left w:w="108" w:type="dxa"/>
        <w:bottom w:w="0" w:type="dxa"/>
        <w:right w:w="108" w:type="dxa"/>
      </w:tblCellMar>
    </w:tblPr>
    <w:tcPr>
      <w:shd w:val="clear" w:color="auto" w:fill="auto"/>
      <w:vAlign w:val="center"/>
    </w:tcPr>
    <w:tblStylePr w:type="firstRow">
      <w:pPr>
        <w:wordWrap/>
        <w:spacing w:beforeLines="0" w:before="120" w:beforeAutospacing="0" w:afterLines="0" w:after="120" w:afterAutospacing="0" w:line="240" w:lineRule="auto"/>
      </w:pPr>
      <w:rPr>
        <w:rFonts w:asciiTheme="minorHAnsi" w:hAnsiTheme="minorHAnsi"/>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shd w:val="clear" w:color="auto" w:fill="auto"/>
      </w:tcPr>
    </w:tblStylePr>
    <w:tblStylePr w:type="lastRow">
      <w:pPr>
        <w:wordWrap/>
        <w:spacing w:beforeLines="0" w:before="120" w:beforeAutospacing="0" w:afterLines="0" w:after="120" w:afterAutospacing="0" w:line="240" w:lineRule="auto"/>
      </w:pPr>
      <w:rPr>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tcPr>
    </w:tblStylePr>
    <w:tblStylePr w:type="firstCol">
      <w:rPr>
        <w:b/>
        <w:bCs/>
        <w:sz w:val="20"/>
      </w:rPr>
    </w:tblStylePr>
    <w:tblStylePr w:type="lastCol">
      <w:rPr>
        <w:b/>
        <w:bCs/>
      </w:rPr>
    </w:tblStylePr>
  </w:style>
  <w:style w:type="table" w:styleId="LightShading-Accent1">
    <w:name w:val="Light Shading Accent 1"/>
    <w:basedOn w:val="TableNormal"/>
    <w:uiPriority w:val="60"/>
    <w:rsid w:val="002010BC"/>
    <w:pPr>
      <w:spacing w:before="0"/>
    </w:pPr>
    <w:rPr>
      <w:color w:val="230023" w:themeColor="accent1" w:themeShade="BF"/>
    </w:rPr>
    <w:tblPr>
      <w:tblStyleRowBandSize w:val="1"/>
      <w:tblStyleColBandSize w:val="1"/>
      <w:tblInd w:w="0" w:type="dxa"/>
      <w:tblBorders>
        <w:top w:val="single" w:sz="8" w:space="0" w:color="2F002F" w:themeColor="accent1"/>
        <w:bottom w:val="single" w:sz="8" w:space="0" w:color="2F002F"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la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8CFF" w:themeFill="accent1" w:themeFillTint="3F"/>
      </w:tcPr>
    </w:tblStylePr>
    <w:tblStylePr w:type="band1Horz">
      <w:tblPr/>
      <w:tcPr>
        <w:tcBorders>
          <w:left w:val="nil"/>
          <w:right w:val="nil"/>
          <w:insideH w:val="nil"/>
          <w:insideV w:val="nil"/>
        </w:tcBorders>
        <w:shd w:val="clear" w:color="auto" w:fill="FF8CFF" w:themeFill="accent1" w:themeFillTint="3F"/>
      </w:tcPr>
    </w:tblStylePr>
  </w:style>
  <w:style w:type="table" w:styleId="LightShading-Accent2">
    <w:name w:val="Light Shading Accent 2"/>
    <w:basedOn w:val="TableNormal"/>
    <w:uiPriority w:val="60"/>
    <w:rsid w:val="00746E01"/>
    <w:pPr>
      <w:spacing w:before="0"/>
    </w:pPr>
    <w:rPr>
      <w:rFonts w:ascii="Arial" w:hAnsi="Arial"/>
      <w:color w:val="000000"/>
      <w14:textFill>
        <w14:solidFill>
          <w14:srgbClr w14:val="000000">
            <w14:lumMod w14:val="75000"/>
            <w14:lumOff w14:val="0"/>
          </w14:srgbClr>
        </w14:solidFill>
      </w14:textFill>
    </w:rPr>
    <w:tblPr>
      <w:tblInd w:w="0" w:type="dxa"/>
      <w:tbl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blBorders>
      <w:tblCellMar>
        <w:top w:w="0" w:type="dxa"/>
        <w:left w:w="108" w:type="dxa"/>
        <w:bottom w:w="0" w:type="dxa"/>
        <w:right w:w="108" w:type="dxa"/>
      </w:tblCellMar>
    </w:tblPr>
    <w:tcPr>
      <w:vAlign w:val="center"/>
    </w:tcPr>
    <w:tblStylePr w:type="fir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l2br w:val="nil"/>
          <w:tr2bl w:val="nil"/>
        </w:tcBorders>
      </w:tcPr>
    </w:tblStylePr>
    <w:tblStylePr w:type="la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cBorders>
      </w:tcPr>
    </w:tblStylePr>
    <w:tblStylePr w:type="firstCol">
      <w:rPr>
        <w:b w:val="0"/>
        <w:bCs/>
      </w:rPr>
    </w:tblStylePr>
    <w:tblStylePr w:type="lastCol">
      <w:rPr>
        <w:b w:val="0"/>
        <w:bCs/>
      </w:rPr>
    </w:tblStylePr>
  </w:style>
  <w:style w:type="table" w:styleId="LightShading-Accent3">
    <w:name w:val="Light Shading Accent 3"/>
    <w:basedOn w:val="TableNormal"/>
    <w:uiPriority w:val="60"/>
    <w:rsid w:val="00A871F4"/>
    <w:pPr>
      <w:spacing w:before="0"/>
    </w:pPr>
    <w:rPr>
      <w:color w:val="001747" w:themeColor="accent3" w:themeShade="BF"/>
    </w:rPr>
    <w:tblPr>
      <w:tblStyleRowBandSize w:val="1"/>
      <w:tblStyleColBandSize w:val="1"/>
      <w:tblInd w:w="0" w:type="dxa"/>
      <w:tblBorders>
        <w:top w:val="single" w:sz="8" w:space="0" w:color="002060" w:themeColor="accent3"/>
        <w:bottom w:val="single" w:sz="8" w:space="0" w:color="002060"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la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98BAFF" w:themeFill="accent3" w:themeFillTint="3F"/>
      </w:tcPr>
    </w:tblStylePr>
    <w:tblStylePr w:type="band1Horz">
      <w:tblPr/>
      <w:tcPr>
        <w:tcBorders>
          <w:left w:val="nil"/>
          <w:right w:val="nil"/>
          <w:insideH w:val="nil"/>
          <w:insideV w:val="nil"/>
        </w:tcBorders>
        <w:shd w:val="clear" w:color="auto" w:fill="98BAFF" w:themeFill="accent3" w:themeFillTint="3F"/>
      </w:tcPr>
    </w:tblStylePr>
  </w:style>
  <w:style w:type="table" w:styleId="LightGrid-Accent6">
    <w:name w:val="Light Grid Accent 6"/>
    <w:basedOn w:val="TableNormal"/>
    <w:uiPriority w:val="62"/>
    <w:rsid w:val="00A871F4"/>
    <w:pPr>
      <w:spacing w:before="0"/>
    </w:pPr>
    <w:tblPr>
      <w:tblStyleRowBandSize w:val="1"/>
      <w:tblStyleColBandSize w:val="1"/>
      <w:tblInd w:w="0" w:type="dxa"/>
      <w:tblBorders>
        <w:top w:val="single" w:sz="8" w:space="0" w:color="70303C" w:themeColor="accent6"/>
        <w:left w:val="single" w:sz="8" w:space="0" w:color="70303C" w:themeColor="accent6"/>
        <w:bottom w:val="single" w:sz="8" w:space="0" w:color="70303C" w:themeColor="accent6"/>
        <w:right w:val="single" w:sz="8" w:space="0" w:color="70303C" w:themeColor="accent6"/>
        <w:insideH w:val="single" w:sz="8" w:space="0" w:color="70303C" w:themeColor="accent6"/>
        <w:insideV w:val="single" w:sz="8" w:space="0" w:color="70303C"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18" w:space="0" w:color="70303C" w:themeColor="accent6"/>
          <w:right w:val="single" w:sz="8" w:space="0" w:color="70303C" w:themeColor="accent6"/>
          <w:insideH w:val="nil"/>
          <w:insideV w:val="single" w:sz="8" w:space="0" w:color="70303C"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insideH w:val="nil"/>
          <w:insideV w:val="single" w:sz="8" w:space="0" w:color="70303C"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shd w:val="clear" w:color="auto" w:fill="E5C2C8" w:themeFill="accent6" w:themeFillTint="3F"/>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shd w:val="clear" w:color="auto" w:fill="E5C2C8" w:themeFill="accent6" w:themeFillTint="3F"/>
      </w:tcPr>
    </w:tblStylePr>
    <w:tblStylePr w:type="band2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tcPr>
    </w:tblStylePr>
  </w:style>
  <w:style w:type="table" w:styleId="MediumShading1">
    <w:name w:val="Medium Shading 1"/>
    <w:basedOn w:val="TableNormal"/>
    <w:uiPriority w:val="63"/>
    <w:rsid w:val="00A871F4"/>
    <w:pPr>
      <w:spacing w:before="0"/>
    </w:pPr>
    <w:tblPr>
      <w:tblStyleRowBandSize w:val="1"/>
      <w:tblStyleColBandSize w:val="1"/>
      <w:tblInd w:w="0" w:type="dxa"/>
      <w:tbl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single" w:sz="8" w:space="0" w:color="0BA7E7"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shd w:val="clear" w:color="auto" w:fill="076A92" w:themeFill="text1"/>
      </w:tcPr>
    </w:tblStylePr>
    <w:tblStylePr w:type="lastRow">
      <w:pPr>
        <w:spacing w:before="0" w:after="0" w:line="240" w:lineRule="auto"/>
      </w:pPr>
      <w:rPr>
        <w:b/>
        <w:bCs/>
      </w:rPr>
      <w:tblPr/>
      <w:tcPr>
        <w:tcBorders>
          <w:top w:val="double" w:sz="6"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tcPr>
    </w:tblStylePr>
    <w:tblStylePr w:type="firstCol">
      <w:rPr>
        <w:b/>
        <w:bCs/>
      </w:rPr>
    </w:tblStylePr>
    <w:tblStylePr w:type="lastCol">
      <w:rPr>
        <w:b/>
        <w:bCs/>
      </w:rPr>
    </w:tblStylePr>
    <w:tblStylePr w:type="band1Vert">
      <w:tblPr/>
      <w:tcPr>
        <w:shd w:val="clear" w:color="auto" w:fill="AAE3FB" w:themeFill="text1" w:themeFillTint="3F"/>
      </w:tcPr>
    </w:tblStylePr>
    <w:tblStylePr w:type="band1Horz">
      <w:tblPr/>
      <w:tcPr>
        <w:tcBorders>
          <w:insideH w:val="nil"/>
          <w:insideV w:val="nil"/>
        </w:tcBorders>
        <w:shd w:val="clear" w:color="auto" w:fill="AAE3FB"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A871F4"/>
    <w:pPr>
      <w:spacing w:before="0"/>
    </w:pPr>
    <w:tblPr>
      <w:tblStyleRowBandSize w:val="1"/>
      <w:tblStyleColBandSize w:val="1"/>
      <w:tblInd w:w="0" w:type="dxa"/>
      <w:tbl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single" w:sz="8" w:space="0" w:color="A300A3"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shd w:val="clear" w:color="auto" w:fill="2F002F" w:themeFill="accent1"/>
      </w:tcPr>
    </w:tblStylePr>
    <w:tblStylePr w:type="lastRow">
      <w:pPr>
        <w:spacing w:before="0" w:after="0" w:line="240" w:lineRule="auto"/>
      </w:pPr>
      <w:rPr>
        <w:b/>
        <w:bCs/>
      </w:rPr>
      <w:tblPr/>
      <w:tcPr>
        <w:tcBorders>
          <w:top w:val="double" w:sz="6"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tcPr>
    </w:tblStylePr>
    <w:tblStylePr w:type="firstCol">
      <w:rPr>
        <w:b/>
        <w:bCs/>
      </w:rPr>
    </w:tblStylePr>
    <w:tblStylePr w:type="lastCol">
      <w:rPr>
        <w:b/>
        <w:bCs/>
      </w:rPr>
    </w:tblStylePr>
    <w:tblStylePr w:type="band1Vert">
      <w:tblPr/>
      <w:tcPr>
        <w:shd w:val="clear" w:color="auto" w:fill="FF8CFF" w:themeFill="accent1" w:themeFillTint="3F"/>
      </w:tcPr>
    </w:tblStylePr>
    <w:tblStylePr w:type="band1Horz">
      <w:tblPr/>
      <w:tcPr>
        <w:tcBorders>
          <w:insideH w:val="nil"/>
          <w:insideV w:val="nil"/>
        </w:tcBorders>
        <w:shd w:val="clear" w:color="auto" w:fill="FF8CFF"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A871F4"/>
    <w:pPr>
      <w:spacing w:before="0"/>
    </w:pPr>
    <w:tblPr>
      <w:tblStyleRowBandSize w:val="1"/>
      <w:tblStyleColBandSize w:val="1"/>
      <w:tblInd w:w="0" w:type="dxa"/>
      <w:tbl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single" w:sz="8" w:space="0" w:color="FF7111"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shd w:val="clear" w:color="auto" w:fill="C14E00" w:themeFill="accent2"/>
      </w:tcPr>
    </w:tblStylePr>
    <w:tblStylePr w:type="lastRow">
      <w:pPr>
        <w:spacing w:before="0" w:after="0" w:line="240" w:lineRule="auto"/>
      </w:pPr>
      <w:rPr>
        <w:b/>
        <w:bCs/>
      </w:rPr>
      <w:tblPr/>
      <w:tcPr>
        <w:tcBorders>
          <w:top w:val="double" w:sz="6"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tcPr>
    </w:tblStylePr>
    <w:tblStylePr w:type="firstCol">
      <w:rPr>
        <w:b/>
        <w:bCs/>
      </w:rPr>
    </w:tblStylePr>
    <w:tblStylePr w:type="lastCol">
      <w:rPr>
        <w:b/>
        <w:bCs/>
      </w:rPr>
    </w:tblStylePr>
    <w:tblStylePr w:type="band1Vert">
      <w:tblPr/>
      <w:tcPr>
        <w:shd w:val="clear" w:color="auto" w:fill="FFD0B0" w:themeFill="accent2" w:themeFillTint="3F"/>
      </w:tcPr>
    </w:tblStylePr>
    <w:tblStylePr w:type="band1Horz">
      <w:tblPr/>
      <w:tcPr>
        <w:tcBorders>
          <w:insideH w:val="nil"/>
          <w:insideV w:val="nil"/>
        </w:tcBorders>
        <w:shd w:val="clear" w:color="auto" w:fill="FFD0B0"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A871F4"/>
    <w:pPr>
      <w:spacing w:before="0"/>
    </w:pPr>
    <w:tblPr>
      <w:tblStyleRowBandSize w:val="1"/>
      <w:tblStyleColBandSize w:val="1"/>
      <w:tblInd w:w="0" w:type="dxa"/>
      <w:tbl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single" w:sz="8" w:space="0" w:color="0042C7"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shd w:val="clear" w:color="auto" w:fill="002060" w:themeFill="accent3"/>
      </w:tcPr>
    </w:tblStylePr>
    <w:tblStylePr w:type="lastRow">
      <w:pPr>
        <w:spacing w:before="0" w:after="0" w:line="240" w:lineRule="auto"/>
      </w:pPr>
      <w:rPr>
        <w:b/>
        <w:bCs/>
      </w:rPr>
      <w:tblPr/>
      <w:tcPr>
        <w:tcBorders>
          <w:top w:val="double" w:sz="6"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tcPr>
    </w:tblStylePr>
    <w:tblStylePr w:type="firstCol">
      <w:rPr>
        <w:b/>
        <w:bCs/>
      </w:rPr>
    </w:tblStylePr>
    <w:tblStylePr w:type="lastCol">
      <w:rPr>
        <w:b/>
        <w:bCs/>
      </w:rPr>
    </w:tblStylePr>
    <w:tblStylePr w:type="band1Vert">
      <w:tblPr/>
      <w:tcPr>
        <w:shd w:val="clear" w:color="auto" w:fill="98BAFF" w:themeFill="accent3" w:themeFillTint="3F"/>
      </w:tcPr>
    </w:tblStylePr>
    <w:tblStylePr w:type="band1Horz">
      <w:tblPr/>
      <w:tcPr>
        <w:tcBorders>
          <w:insideH w:val="nil"/>
          <w:insideV w:val="nil"/>
        </w:tcBorders>
        <w:shd w:val="clear" w:color="auto" w:fill="98BAFF"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A871F4"/>
    <w:pPr>
      <w:spacing w:before="0"/>
    </w:pPr>
    <w:tblPr>
      <w:tblStyleRowBandSize w:val="1"/>
      <w:tblStyleColBandSize w:val="1"/>
      <w:tblInd w:w="0" w:type="dxa"/>
      <w:tbl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single" w:sz="8" w:space="0" w:color="FF1010"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shd w:val="clear" w:color="auto" w:fill="C00000" w:themeFill="accent4"/>
      </w:tcPr>
    </w:tblStylePr>
    <w:tblStylePr w:type="lastRow">
      <w:pPr>
        <w:spacing w:before="0" w:after="0" w:line="240" w:lineRule="auto"/>
      </w:pPr>
      <w:rPr>
        <w:b/>
        <w:bCs/>
      </w:rPr>
      <w:tblPr/>
      <w:tcPr>
        <w:tcBorders>
          <w:top w:val="double" w:sz="6"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tcPr>
    </w:tblStylePr>
    <w:tblStylePr w:type="firstCol">
      <w:rPr>
        <w:b/>
        <w:bCs/>
      </w:rPr>
    </w:tblStylePr>
    <w:tblStylePr w:type="lastCol">
      <w:rPr>
        <w:b/>
        <w:bCs/>
      </w:rPr>
    </w:tblStylePr>
    <w:tblStylePr w:type="band1Vert">
      <w:tblPr/>
      <w:tcPr>
        <w:shd w:val="clear" w:color="auto" w:fill="FFB0B0" w:themeFill="accent4" w:themeFillTint="3F"/>
      </w:tcPr>
    </w:tblStylePr>
    <w:tblStylePr w:type="band1Horz">
      <w:tblPr/>
      <w:tcPr>
        <w:tcBorders>
          <w:insideH w:val="nil"/>
          <w:insideV w:val="nil"/>
        </w:tcBorders>
        <w:shd w:val="clear" w:color="auto" w:fill="FFB0B0"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A871F4"/>
    <w:pPr>
      <w:spacing w:before="0"/>
    </w:pPr>
    <w:tblPr>
      <w:tblStyleRowBandSize w:val="1"/>
      <w:tblStyleColBandSize w:val="1"/>
      <w:tblInd w:w="0" w:type="dxa"/>
      <w:tbl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single" w:sz="8" w:space="0" w:color="404040"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shd w:val="clear" w:color="auto" w:fill="000000" w:themeFill="accent5"/>
      </w:tcPr>
    </w:tblStylePr>
    <w:tblStylePr w:type="lastRow">
      <w:pPr>
        <w:spacing w:before="0" w:after="0" w:line="240" w:lineRule="auto"/>
      </w:pPr>
      <w:rPr>
        <w:b/>
        <w:bCs/>
      </w:rPr>
      <w:tblPr/>
      <w:tcPr>
        <w:tcBorders>
          <w:top w:val="double" w:sz="6"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tcPr>
    </w:tblStylePr>
    <w:tblStylePr w:type="firstCol">
      <w:rPr>
        <w:b/>
        <w:bCs/>
      </w:rPr>
    </w:tblStylePr>
    <w:tblStylePr w:type="lastCol">
      <w:rPr>
        <w:b/>
        <w:bCs/>
      </w:rPr>
    </w:tblStylePr>
    <w:tblStylePr w:type="band1Vert">
      <w:tblPr/>
      <w:tcPr>
        <w:shd w:val="clear" w:color="auto" w:fill="C0C0C0" w:themeFill="accent5" w:themeFillTint="3F"/>
      </w:tcPr>
    </w:tblStylePr>
    <w:tblStylePr w:type="band1Horz">
      <w:tblPr/>
      <w:tcPr>
        <w:tcBorders>
          <w:insideH w:val="nil"/>
          <w:insideV w:val="nil"/>
        </w:tcBorders>
        <w:shd w:val="clear" w:color="auto" w:fill="C0C0C0" w:themeFill="accent5" w:themeFillTint="3F"/>
      </w:tcPr>
    </w:tblStylePr>
    <w:tblStylePr w:type="band2Horz">
      <w:tblPr/>
      <w:tcPr>
        <w:tcBorders>
          <w:insideH w:val="nil"/>
          <w:insideV w:val="nil"/>
        </w:tcBorders>
      </w:tcPr>
    </w:tblStylePr>
  </w:style>
  <w:style w:type="table" w:styleId="LightList">
    <w:name w:val="Light List"/>
    <w:basedOn w:val="TableNormal"/>
    <w:uiPriority w:val="61"/>
    <w:rsid w:val="00A871F4"/>
    <w:pPr>
      <w:spacing w:before="0"/>
    </w:pPr>
    <w:tblPr>
      <w:tblStyleRowBandSize w:val="1"/>
      <w:tblStyleColBandSize w:val="1"/>
      <w:tblInd w:w="0" w:type="dxa"/>
      <w:tblBorders>
        <w:top w:val="single" w:sz="8" w:space="0" w:color="076A92" w:themeColor="text1"/>
        <w:left w:val="single" w:sz="8" w:space="0" w:color="076A92" w:themeColor="text1"/>
        <w:bottom w:val="single" w:sz="8" w:space="0" w:color="076A92" w:themeColor="text1"/>
        <w:right w:val="single" w:sz="8" w:space="0" w:color="076A92"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76A92" w:themeFill="text1"/>
      </w:tcPr>
    </w:tblStylePr>
    <w:tblStylePr w:type="lastRow">
      <w:pPr>
        <w:spacing w:before="0" w:after="0" w:line="240" w:lineRule="auto"/>
      </w:pPr>
      <w:rPr>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tcBorders>
      </w:tcPr>
    </w:tblStylePr>
    <w:tblStylePr w:type="firstCol">
      <w:rPr>
        <w:b/>
        <w:bCs/>
      </w:rPr>
    </w:tblStylePr>
    <w:tblStylePr w:type="lastCol">
      <w:rPr>
        <w:b/>
        <w:bCs/>
      </w:r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style>
  <w:style w:type="table" w:styleId="LightShading-Accent5">
    <w:name w:val="Light Shading Accent 5"/>
    <w:basedOn w:val="TableNormal"/>
    <w:uiPriority w:val="60"/>
    <w:rsid w:val="00A871F4"/>
    <w:pPr>
      <w:spacing w:before="0"/>
    </w:pPr>
    <w:rPr>
      <w:color w:val="000000" w:themeColor="accent5" w:themeShade="BF"/>
    </w:rPr>
    <w:tblPr>
      <w:tblStyleRowBandSize w:val="1"/>
      <w:tblStyleColBandSize w:val="1"/>
      <w:tblInd w:w="0" w:type="dxa"/>
      <w:tblBorders>
        <w:top w:val="single" w:sz="8" w:space="0" w:color="000000" w:themeColor="accent5"/>
        <w:bottom w:val="single" w:sz="8" w:space="0" w:color="000000"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la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accent5" w:themeFillTint="3F"/>
      </w:tcPr>
    </w:tblStylePr>
    <w:tblStylePr w:type="band1Horz">
      <w:tblPr/>
      <w:tcPr>
        <w:tcBorders>
          <w:left w:val="nil"/>
          <w:right w:val="nil"/>
          <w:insideH w:val="nil"/>
          <w:insideV w:val="nil"/>
        </w:tcBorders>
        <w:shd w:val="clear" w:color="auto" w:fill="C0C0C0" w:themeFill="accent5" w:themeFillTint="3F"/>
      </w:tcPr>
    </w:tblStylePr>
  </w:style>
  <w:style w:type="table" w:styleId="LightGrid-Accent3">
    <w:name w:val="Light Grid Accent 3"/>
    <w:basedOn w:val="TableNormal"/>
    <w:uiPriority w:val="62"/>
    <w:rsid w:val="00A871F4"/>
    <w:pPr>
      <w:spacing w:before="0"/>
    </w:pPr>
    <w:tblPr>
      <w:tblStyleRowBandSize w:val="1"/>
      <w:tblStyleColBandSize w:val="1"/>
      <w:tblInd w:w="0" w:type="dxa"/>
      <w:tblBorders>
        <w:top w:val="single" w:sz="8" w:space="0" w:color="002060" w:themeColor="accent3"/>
        <w:left w:val="single" w:sz="8" w:space="0" w:color="002060" w:themeColor="accent3"/>
        <w:bottom w:val="single" w:sz="8" w:space="0" w:color="002060" w:themeColor="accent3"/>
        <w:right w:val="single" w:sz="8" w:space="0" w:color="002060" w:themeColor="accent3"/>
        <w:insideH w:val="single" w:sz="8" w:space="0" w:color="002060" w:themeColor="accent3"/>
        <w:insideV w:val="single" w:sz="8" w:space="0" w:color="002060"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18" w:space="0" w:color="002060" w:themeColor="accent3"/>
          <w:right w:val="single" w:sz="8" w:space="0" w:color="002060" w:themeColor="accent3"/>
          <w:insideH w:val="nil"/>
          <w:insideV w:val="single" w:sz="8" w:space="0" w:color="002060"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insideH w:val="nil"/>
          <w:insideV w:val="single" w:sz="8" w:space="0" w:color="002060"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shd w:val="clear" w:color="auto" w:fill="98BAFF" w:themeFill="accent3" w:themeFillTint="3F"/>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shd w:val="clear" w:color="auto" w:fill="98BAFF" w:themeFill="accent3" w:themeFillTint="3F"/>
      </w:tcPr>
    </w:tblStylePr>
    <w:tblStylePr w:type="band2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tcPr>
    </w:tblStylePr>
  </w:style>
  <w:style w:type="paragraph" w:styleId="Bibliography">
    <w:name w:val="Bibliography"/>
    <w:basedOn w:val="Normal"/>
    <w:next w:val="Normal"/>
    <w:uiPriority w:val="37"/>
    <w:semiHidden/>
    <w:rsid w:val="00EE28F3"/>
  </w:style>
  <w:style w:type="paragraph" w:styleId="BodyText3">
    <w:name w:val="Body Text 3"/>
    <w:basedOn w:val="Normal"/>
    <w:link w:val="BodyText3Char"/>
    <w:uiPriority w:val="99"/>
    <w:unhideWhenUsed/>
    <w:rsid w:val="005C26CC"/>
    <w:pPr>
      <w:spacing w:after="120"/>
    </w:pPr>
    <w:rPr>
      <w:szCs w:val="16"/>
    </w:rPr>
  </w:style>
  <w:style w:type="character" w:customStyle="1" w:styleId="BodyText3Char">
    <w:name w:val="Body Text 3 Char"/>
    <w:basedOn w:val="DefaultParagraphFont"/>
    <w:link w:val="BodyText3"/>
    <w:uiPriority w:val="99"/>
    <w:rsid w:val="005C26CC"/>
    <w:rPr>
      <w:rFonts w:ascii="Arial" w:hAnsi="Arial"/>
      <w:szCs w:val="16"/>
    </w:rPr>
  </w:style>
  <w:style w:type="paragraph" w:styleId="TOC1">
    <w:name w:val="toc 1"/>
    <w:basedOn w:val="Normal"/>
    <w:next w:val="Normal"/>
    <w:autoRedefine/>
    <w:uiPriority w:val="39"/>
    <w:qFormat/>
    <w:rsid w:val="005B704A"/>
    <w:pPr>
      <w:tabs>
        <w:tab w:val="left" w:pos="426"/>
        <w:tab w:val="right" w:leader="dot" w:pos="8364"/>
      </w:tabs>
      <w:spacing w:after="100"/>
    </w:pPr>
    <w:rPr>
      <w:b/>
      <w:noProof/>
      <w:color w:val="70635A" w:themeColor="text2"/>
      <w:sz w:val="24"/>
      <w:lang w:val="en-US" w:eastAsia="ja-JP"/>
    </w:rPr>
  </w:style>
  <w:style w:type="paragraph" w:styleId="TOC2">
    <w:name w:val="toc 2"/>
    <w:basedOn w:val="Normal"/>
    <w:next w:val="Normal"/>
    <w:uiPriority w:val="39"/>
    <w:qFormat/>
    <w:rsid w:val="005D7BA2"/>
    <w:pPr>
      <w:tabs>
        <w:tab w:val="left" w:pos="880"/>
        <w:tab w:val="right" w:leader="dot" w:pos="8363"/>
      </w:tabs>
      <w:spacing w:after="100"/>
      <w:ind w:left="425"/>
    </w:pPr>
    <w:rPr>
      <w:b/>
      <w:noProof/>
      <w:color w:val="70635A" w:themeColor="text2"/>
      <w:sz w:val="24"/>
    </w:rPr>
  </w:style>
  <w:style w:type="paragraph" w:styleId="TOC3">
    <w:name w:val="toc 3"/>
    <w:basedOn w:val="Normal"/>
    <w:next w:val="Normal"/>
    <w:uiPriority w:val="39"/>
    <w:qFormat/>
    <w:rsid w:val="005D7BA2"/>
    <w:pPr>
      <w:tabs>
        <w:tab w:val="left" w:pos="1760"/>
        <w:tab w:val="right" w:leader="dot" w:pos="8363"/>
      </w:tabs>
      <w:spacing w:after="100"/>
      <w:ind w:left="851"/>
    </w:pPr>
    <w:rPr>
      <w:noProof/>
    </w:rPr>
  </w:style>
  <w:style w:type="paragraph" w:styleId="Title">
    <w:name w:val="Title"/>
    <w:basedOn w:val="Normal"/>
    <w:next w:val="Normal"/>
    <w:link w:val="TitleChar"/>
    <w:uiPriority w:val="10"/>
    <w:qFormat/>
    <w:rsid w:val="00174102"/>
    <w:pPr>
      <w:spacing w:before="720" w:after="120"/>
      <w:contextualSpacing/>
      <w:outlineLvl w:val="0"/>
    </w:pPr>
    <w:rPr>
      <w:rFonts w:asciiTheme="majorHAnsi" w:eastAsiaTheme="majorEastAsia" w:hAnsiTheme="majorHAnsi" w:cstheme="majorBidi"/>
      <w:color w:val="C14E00" w:themeColor="accent2"/>
      <w:spacing w:val="5"/>
      <w:kern w:val="28"/>
      <w:sz w:val="72"/>
      <w:szCs w:val="52"/>
    </w:rPr>
  </w:style>
  <w:style w:type="character" w:customStyle="1" w:styleId="TitleChar">
    <w:name w:val="Title Char"/>
    <w:basedOn w:val="DefaultParagraphFont"/>
    <w:link w:val="Title"/>
    <w:uiPriority w:val="10"/>
    <w:rsid w:val="00174102"/>
    <w:rPr>
      <w:rFonts w:asciiTheme="majorHAnsi" w:eastAsiaTheme="majorEastAsia" w:hAnsiTheme="majorHAnsi" w:cstheme="majorBidi"/>
      <w:color w:val="C14E00" w:themeColor="accent2"/>
      <w:spacing w:val="5"/>
      <w:kern w:val="28"/>
      <w:sz w:val="72"/>
      <w:szCs w:val="52"/>
    </w:rPr>
  </w:style>
  <w:style w:type="character" w:styleId="BookTitle">
    <w:name w:val="Book Title"/>
    <w:uiPriority w:val="33"/>
    <w:rsid w:val="0081034E"/>
    <w:rPr>
      <w:rFonts w:ascii="Arial" w:hAnsi="Arial"/>
      <w:bCs/>
      <w:i/>
      <w:caps w:val="0"/>
      <w:smallCaps w:val="0"/>
      <w:spacing w:val="0"/>
      <w:sz w:val="22"/>
    </w:rPr>
  </w:style>
  <w:style w:type="table" w:styleId="LightList-Accent1">
    <w:name w:val="Light List Accent 1"/>
    <w:basedOn w:val="TableNormal"/>
    <w:uiPriority w:val="61"/>
    <w:rsid w:val="0081034E"/>
    <w:pPr>
      <w:spacing w:before="0"/>
    </w:pPr>
    <w:tblPr>
      <w:tblStyleRowBandSize w:val="1"/>
      <w:tblStyleColBandSize w:val="1"/>
      <w:tblInd w:w="0" w:type="dxa"/>
      <w:tblBorders>
        <w:top w:val="single" w:sz="8" w:space="0" w:color="2F002F" w:themeColor="accent1"/>
        <w:left w:val="single" w:sz="8" w:space="0" w:color="2F002F" w:themeColor="accent1"/>
        <w:bottom w:val="single" w:sz="8" w:space="0" w:color="2F002F" w:themeColor="accent1"/>
        <w:right w:val="single" w:sz="8" w:space="0" w:color="2F002F"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2F002F" w:themeFill="accent1"/>
      </w:tcPr>
    </w:tblStylePr>
    <w:tblStylePr w:type="lastRow">
      <w:pPr>
        <w:spacing w:before="0" w:after="0" w:line="240" w:lineRule="auto"/>
      </w:pPr>
      <w:rPr>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tcBorders>
      </w:tcPr>
    </w:tblStylePr>
    <w:tblStylePr w:type="firstCol">
      <w:rPr>
        <w:b/>
        <w:bCs/>
      </w:rPr>
    </w:tblStylePr>
    <w:tblStylePr w:type="lastCol">
      <w:rPr>
        <w:b/>
        <w:bCs/>
      </w:r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style>
  <w:style w:type="table" w:styleId="LightList-Accent3">
    <w:name w:val="Light List Accent 3"/>
    <w:basedOn w:val="TableNormal"/>
    <w:uiPriority w:val="61"/>
    <w:rsid w:val="0081034E"/>
    <w:pPr>
      <w:spacing w:before="0"/>
    </w:pPr>
    <w:tblPr>
      <w:tblStyleRowBandSize w:val="1"/>
      <w:tblStyleColBandSize w:val="1"/>
      <w:tblInd w:w="0" w:type="dxa"/>
      <w:tblBorders>
        <w:top w:val="single" w:sz="8" w:space="0" w:color="002060" w:themeColor="accent3"/>
        <w:left w:val="single" w:sz="8" w:space="0" w:color="002060" w:themeColor="accent3"/>
        <w:bottom w:val="single" w:sz="8" w:space="0" w:color="002060" w:themeColor="accent3"/>
        <w:right w:val="single" w:sz="8" w:space="0" w:color="002060"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2060" w:themeFill="accent3"/>
      </w:tcPr>
    </w:tblStylePr>
    <w:tblStylePr w:type="lastRow">
      <w:pPr>
        <w:spacing w:before="0" w:after="0" w:line="240" w:lineRule="auto"/>
      </w:pPr>
      <w:rPr>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tcBorders>
      </w:tcPr>
    </w:tblStylePr>
    <w:tblStylePr w:type="firstCol">
      <w:rPr>
        <w:b/>
        <w:bCs/>
      </w:rPr>
    </w:tblStylePr>
    <w:tblStylePr w:type="lastCol">
      <w:rPr>
        <w:b/>
        <w:bCs/>
      </w:r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style>
  <w:style w:type="table" w:styleId="LightList-Accent5">
    <w:name w:val="Light List Accent 5"/>
    <w:basedOn w:val="TableNormal"/>
    <w:uiPriority w:val="61"/>
    <w:rsid w:val="005B1E3C"/>
    <w:pPr>
      <w:spacing w:before="0"/>
    </w:pPr>
    <w:tblPr>
      <w:tblStyleRowBandSize w:val="1"/>
      <w:tblStyleColBandSize w:val="1"/>
      <w:tblInd w:w="0" w:type="dxa"/>
      <w:tblBorders>
        <w:top w:val="single" w:sz="8" w:space="0" w:color="000000" w:themeColor="accent5"/>
        <w:left w:val="single" w:sz="8" w:space="0" w:color="000000" w:themeColor="accent5"/>
        <w:bottom w:val="single" w:sz="8" w:space="0" w:color="000000" w:themeColor="accent5"/>
        <w:right w:val="single" w:sz="8" w:space="0" w:color="000000" w:themeColor="accent5"/>
      </w:tblBorders>
      <w:tblCellMar>
        <w:top w:w="0" w:type="dxa"/>
        <w:left w:w="108" w:type="dxa"/>
        <w:bottom w:w="0" w:type="dxa"/>
        <w:right w:w="108" w:type="dxa"/>
      </w:tblCellMar>
    </w:tblPr>
    <w:tblStylePr w:type="firstRow">
      <w:pPr>
        <w:spacing w:before="0" w:after="0" w:line="240" w:lineRule="auto"/>
      </w:pPr>
      <w:rPr>
        <w:b/>
        <w:bCs/>
        <w:color w:val="auto"/>
      </w:rPr>
      <w:tblPr/>
      <w:tcPr>
        <w:shd w:val="clear" w:color="auto" w:fill="000000" w:themeFill="accent5"/>
      </w:tcPr>
    </w:tblStylePr>
    <w:tblStylePr w:type="lastRow">
      <w:pPr>
        <w:spacing w:before="0" w:after="0" w:line="240" w:lineRule="auto"/>
      </w:pPr>
      <w:rPr>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tcBorders>
      </w:tcPr>
    </w:tblStylePr>
    <w:tblStylePr w:type="firstCol">
      <w:rPr>
        <w:b/>
        <w:bCs/>
      </w:rPr>
    </w:tblStylePr>
    <w:tblStylePr w:type="lastCol">
      <w:rPr>
        <w:b/>
        <w:bCs/>
      </w:r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style>
  <w:style w:type="character" w:styleId="Emphasis">
    <w:name w:val="Emphasis"/>
    <w:basedOn w:val="DefaultParagraphFont"/>
    <w:uiPriority w:val="20"/>
    <w:qFormat/>
    <w:rsid w:val="00701CAB"/>
    <w:rPr>
      <w:i/>
      <w:iCs/>
    </w:rPr>
  </w:style>
  <w:style w:type="paragraph" w:styleId="NormalIndent">
    <w:name w:val="Normal Indent"/>
    <w:basedOn w:val="Normal"/>
    <w:uiPriority w:val="1"/>
    <w:rsid w:val="00202E03"/>
    <w:pPr>
      <w:tabs>
        <w:tab w:val="left" w:pos="680"/>
      </w:tabs>
      <w:ind w:left="680"/>
    </w:pPr>
  </w:style>
  <w:style w:type="paragraph" w:styleId="FootnoteText">
    <w:name w:val="footnote text"/>
    <w:aliases w:val="Footnote Text1,Footnote Text2,ALTS FOOTNOTE2,Footnote Text11,(NECG) Footnote Text,(NECG) Footnote Text1,ALTS FOOTNOTE,Footnote text,AR Footnote Text,AR Footnote Text Char Char Char Char Char Char,AR Footnote Text Char Char Char Char Char,f"/>
    <w:basedOn w:val="Normal"/>
    <w:link w:val="FootnoteTextChar"/>
    <w:unhideWhenUsed/>
    <w:qFormat/>
    <w:rsid w:val="00DE1093"/>
    <w:pPr>
      <w:tabs>
        <w:tab w:val="left" w:pos="340"/>
      </w:tabs>
      <w:spacing w:before="0" w:line="240" w:lineRule="exact"/>
      <w:ind w:left="340" w:hanging="340"/>
    </w:pPr>
    <w:rPr>
      <w:sz w:val="16"/>
      <w:szCs w:val="20"/>
    </w:rPr>
  </w:style>
  <w:style w:type="character" w:customStyle="1" w:styleId="FootnoteTextChar">
    <w:name w:val="Footnote Text Char"/>
    <w:aliases w:val="Footnote Text1 Char,Footnote Text2 Char,ALTS FOOTNOTE2 Char,Footnote Text11 Char,(NECG) Footnote Text Char,(NECG) Footnote Text1 Char,ALTS FOOTNOTE Char,Footnote text Char,AR Footnote Text Char,f Char"/>
    <w:basedOn w:val="DefaultParagraphFont"/>
    <w:link w:val="FootnoteText"/>
    <w:uiPriority w:val="99"/>
    <w:rsid w:val="00DE1093"/>
    <w:rPr>
      <w:rFonts w:ascii="Arial" w:hAnsi="Arial"/>
      <w:sz w:val="16"/>
      <w:szCs w:val="20"/>
    </w:rPr>
  </w:style>
  <w:style w:type="character" w:styleId="FootnoteReference">
    <w:name w:val="footnote reference"/>
    <w:aliases w:val="(NECG) Footnote Reference,(NECG) Footnote Reference1,(NECG) Footnote Reference2,(NECG) Footnote Reference3,(NECG) Footnote Reference4,(NECG) Footnote Reference5,(NECG) Footnote Reference6,(NECG) Footnote Reference7,o,Style 3,Style 12"/>
    <w:basedOn w:val="DefaultParagraphFont"/>
    <w:uiPriority w:val="99"/>
    <w:unhideWhenUsed/>
    <w:rsid w:val="00701CAB"/>
    <w:rPr>
      <w:vertAlign w:val="superscript"/>
    </w:rPr>
  </w:style>
  <w:style w:type="character" w:styleId="Strong">
    <w:name w:val="Strong"/>
    <w:aliases w:val="AER text bold"/>
    <w:basedOn w:val="DefaultParagraphFont"/>
    <w:qFormat/>
    <w:rsid w:val="00EF5110"/>
    <w:rPr>
      <w:b/>
      <w:bCs/>
    </w:rPr>
  </w:style>
  <w:style w:type="paragraph" w:styleId="Subtitle">
    <w:name w:val="Subtitle"/>
    <w:basedOn w:val="Normal"/>
    <w:next w:val="Normal"/>
    <w:link w:val="SubtitleChar"/>
    <w:uiPriority w:val="11"/>
    <w:rsid w:val="00CA489E"/>
    <w:pPr>
      <w:numPr>
        <w:ilvl w:val="1"/>
      </w:numPr>
    </w:pPr>
    <w:rPr>
      <w:rFonts w:asciiTheme="majorHAnsi" w:eastAsiaTheme="majorEastAsia" w:hAnsiTheme="majorHAnsi" w:cstheme="majorBidi"/>
      <w:i/>
      <w:iCs/>
      <w:color w:val="2F002F" w:themeColor="accent1"/>
      <w:spacing w:val="15"/>
      <w:sz w:val="24"/>
      <w:szCs w:val="24"/>
    </w:rPr>
  </w:style>
  <w:style w:type="character" w:customStyle="1" w:styleId="SubtitleChar">
    <w:name w:val="Subtitle Char"/>
    <w:basedOn w:val="DefaultParagraphFont"/>
    <w:link w:val="Subtitle"/>
    <w:uiPriority w:val="11"/>
    <w:rsid w:val="00CA489E"/>
    <w:rPr>
      <w:rFonts w:asciiTheme="majorHAnsi" w:eastAsiaTheme="majorEastAsia" w:hAnsiTheme="majorHAnsi" w:cstheme="majorBidi"/>
      <w:i/>
      <w:iCs/>
      <w:color w:val="2F002F" w:themeColor="accent1"/>
      <w:spacing w:val="15"/>
      <w:sz w:val="24"/>
      <w:szCs w:val="24"/>
    </w:rPr>
  </w:style>
  <w:style w:type="table" w:styleId="LightShading-Accent4">
    <w:name w:val="Light Shading Accent 4"/>
    <w:basedOn w:val="TableNormal"/>
    <w:uiPriority w:val="60"/>
    <w:rsid w:val="00746E01"/>
    <w:pPr>
      <w:spacing w:before="0"/>
    </w:pPr>
    <w:rPr>
      <w:color w:val="8F0000" w:themeColor="accent4" w:themeShade="BF"/>
    </w:rPr>
    <w:tblPr>
      <w:tblStyleRowBandSize w:val="1"/>
      <w:tblStyleColBandSize w:val="1"/>
      <w:tblInd w:w="0" w:type="dxa"/>
      <w:tblBorders>
        <w:top w:val="single" w:sz="8" w:space="0" w:color="C00000" w:themeColor="accent4"/>
        <w:bottom w:val="single" w:sz="8" w:space="0" w:color="C00000"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la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B0B0" w:themeFill="accent4" w:themeFillTint="3F"/>
      </w:tcPr>
    </w:tblStylePr>
    <w:tblStylePr w:type="band1Horz">
      <w:tblPr/>
      <w:tcPr>
        <w:tcBorders>
          <w:left w:val="nil"/>
          <w:right w:val="nil"/>
          <w:insideH w:val="nil"/>
          <w:insideV w:val="nil"/>
        </w:tcBorders>
        <w:shd w:val="clear" w:color="auto" w:fill="FFB0B0" w:themeFill="accent4" w:themeFillTint="3F"/>
      </w:tcPr>
    </w:tblStylePr>
  </w:style>
  <w:style w:type="table" w:styleId="LightShading-Accent6">
    <w:name w:val="Light Shading Accent 6"/>
    <w:basedOn w:val="TableNormal"/>
    <w:uiPriority w:val="60"/>
    <w:rsid w:val="00746E01"/>
    <w:pPr>
      <w:spacing w:before="0"/>
    </w:pPr>
    <w:rPr>
      <w:color w:val="53242C" w:themeColor="accent6" w:themeShade="BF"/>
    </w:rPr>
    <w:tblPr>
      <w:tblStyleRowBandSize w:val="1"/>
      <w:tblStyleColBandSize w:val="1"/>
      <w:tblInd w:w="0" w:type="dxa"/>
      <w:tblBorders>
        <w:top w:val="single" w:sz="8" w:space="0" w:color="70303C" w:themeColor="accent6"/>
        <w:bottom w:val="single" w:sz="8" w:space="0" w:color="70303C"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la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5C2C8" w:themeFill="accent6" w:themeFillTint="3F"/>
      </w:tcPr>
    </w:tblStylePr>
    <w:tblStylePr w:type="band1Horz">
      <w:tblPr/>
      <w:tcPr>
        <w:tcBorders>
          <w:left w:val="nil"/>
          <w:right w:val="nil"/>
          <w:insideH w:val="nil"/>
          <w:insideV w:val="nil"/>
        </w:tcBorders>
        <w:shd w:val="clear" w:color="auto" w:fill="E5C2C8" w:themeFill="accent6" w:themeFillTint="3F"/>
      </w:tcPr>
    </w:tblStylePr>
  </w:style>
  <w:style w:type="paragraph" w:styleId="TOC4">
    <w:name w:val="toc 4"/>
    <w:basedOn w:val="Normal"/>
    <w:next w:val="Normal"/>
    <w:uiPriority w:val="39"/>
    <w:rsid w:val="005D7BA2"/>
    <w:pPr>
      <w:tabs>
        <w:tab w:val="right" w:leader="dot" w:pos="8363"/>
      </w:tabs>
      <w:spacing w:after="100"/>
      <w:ind w:left="1276"/>
    </w:pPr>
    <w:rPr>
      <w:noProof/>
    </w:rPr>
  </w:style>
  <w:style w:type="paragraph" w:styleId="TOC5">
    <w:name w:val="toc 5"/>
    <w:basedOn w:val="Normal"/>
    <w:next w:val="Normal"/>
    <w:uiPriority w:val="39"/>
    <w:rsid w:val="005D7BA2"/>
    <w:pPr>
      <w:tabs>
        <w:tab w:val="right" w:leader="dot" w:pos="8363"/>
      </w:tabs>
      <w:spacing w:after="100"/>
      <w:ind w:left="1701"/>
    </w:pPr>
    <w:rPr>
      <w:noProof/>
    </w:rPr>
  </w:style>
  <w:style w:type="paragraph" w:styleId="TOC6">
    <w:name w:val="toc 6"/>
    <w:basedOn w:val="Normal"/>
    <w:next w:val="Normal"/>
    <w:uiPriority w:val="39"/>
    <w:rsid w:val="005D7BA2"/>
    <w:pPr>
      <w:tabs>
        <w:tab w:val="right" w:leader="dot" w:pos="8363"/>
      </w:tabs>
      <w:spacing w:after="100"/>
      <w:ind w:left="2126"/>
    </w:pPr>
    <w:rPr>
      <w:noProof/>
    </w:rPr>
  </w:style>
  <w:style w:type="paragraph" w:styleId="TOC7">
    <w:name w:val="toc 7"/>
    <w:basedOn w:val="Normal"/>
    <w:next w:val="Normal"/>
    <w:uiPriority w:val="39"/>
    <w:rsid w:val="005D7BA2"/>
    <w:pPr>
      <w:tabs>
        <w:tab w:val="right" w:leader="dot" w:pos="8363"/>
      </w:tabs>
      <w:spacing w:after="100"/>
      <w:ind w:left="2552"/>
    </w:pPr>
    <w:rPr>
      <w:noProof/>
    </w:rPr>
  </w:style>
  <w:style w:type="paragraph" w:styleId="Salutation">
    <w:name w:val="Salutation"/>
    <w:basedOn w:val="Normal"/>
    <w:next w:val="Normal"/>
    <w:link w:val="SalutationChar"/>
    <w:uiPriority w:val="99"/>
    <w:unhideWhenUsed/>
    <w:rsid w:val="00CA489E"/>
  </w:style>
  <w:style w:type="table" w:customStyle="1" w:styleId="LightShading1">
    <w:name w:val="Light Shading1"/>
    <w:basedOn w:val="TableNormal"/>
    <w:next w:val="LightShading"/>
    <w:uiPriority w:val="60"/>
    <w:rsid w:val="00C53B5A"/>
    <w:pPr>
      <w:spacing w:before="120" w:after="120"/>
    </w:pPr>
    <w:rPr>
      <w:color w:val="054E6D" w:themeColor="text1" w:themeShade="BF"/>
      <w:sz w:val="20"/>
    </w:rPr>
    <w:tblPr>
      <w:tblInd w:w="0" w:type="dxa"/>
      <w:tblBorders>
        <w:top w:val="single" w:sz="4" w:space="0" w:color="FFFFFF" w:themeColor="background2"/>
        <w:bottom w:val="single" w:sz="4" w:space="0" w:color="FFFFFF" w:themeColor="background2"/>
        <w:insideH w:val="single" w:sz="4" w:space="0" w:color="FFFFFF" w:themeColor="background2"/>
      </w:tblBorders>
      <w:tblCellMar>
        <w:top w:w="0" w:type="dxa"/>
        <w:left w:w="108" w:type="dxa"/>
        <w:bottom w:w="0" w:type="dxa"/>
        <w:right w:w="108" w:type="dxa"/>
      </w:tblCellMar>
    </w:tblPr>
    <w:tcPr>
      <w:shd w:val="clear" w:color="auto" w:fill="auto"/>
    </w:tcPr>
    <w:tblStylePr w:type="fir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shd w:val="clear" w:color="auto" w:fill="auto"/>
      </w:tcPr>
    </w:tblStylePr>
    <w:tblStylePr w:type="la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vAlign w:val="center"/>
      </w:tcPr>
    </w:tblStylePr>
    <w:tblStylePr w:type="firstCol">
      <w:rPr>
        <w:b/>
        <w:bCs/>
        <w:sz w:val="20"/>
      </w:rPr>
    </w:tblStylePr>
    <w:tblStylePr w:type="lastCol">
      <w:rPr>
        <w:b/>
        <w:bCs/>
      </w:rPr>
    </w:tblStylePr>
  </w:style>
  <w:style w:type="table" w:styleId="LightList-Accent2">
    <w:name w:val="Light List Accent 2"/>
    <w:basedOn w:val="TableNormal"/>
    <w:uiPriority w:val="61"/>
    <w:rsid w:val="009661DE"/>
    <w:pPr>
      <w:spacing w:before="0"/>
    </w:pPr>
    <w:tblPr>
      <w:tblStyleRowBandSize w:val="1"/>
      <w:tblStyleColBandSize w:val="1"/>
      <w:tblInd w:w="0" w:type="dxa"/>
      <w:tblBorders>
        <w:top w:val="single" w:sz="8" w:space="0" w:color="C14E00" w:themeColor="accent2"/>
        <w:left w:val="single" w:sz="8" w:space="0" w:color="C14E00" w:themeColor="accent2"/>
        <w:bottom w:val="single" w:sz="8" w:space="0" w:color="C14E00" w:themeColor="accent2"/>
        <w:right w:val="single" w:sz="8" w:space="0" w:color="C14E00"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14E00" w:themeFill="accent2"/>
      </w:tcPr>
    </w:tblStylePr>
    <w:tblStylePr w:type="lastRow">
      <w:pPr>
        <w:spacing w:before="0" w:after="0" w:line="240" w:lineRule="auto"/>
      </w:pPr>
      <w:rPr>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tcBorders>
      </w:tcPr>
    </w:tblStylePr>
    <w:tblStylePr w:type="firstCol">
      <w:rPr>
        <w:b/>
        <w:bCs/>
      </w:rPr>
    </w:tblStylePr>
    <w:tblStylePr w:type="lastCol">
      <w:rPr>
        <w:b/>
        <w:bCs/>
      </w:r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style>
  <w:style w:type="table" w:styleId="LightList-Accent4">
    <w:name w:val="Light List Accent 4"/>
    <w:basedOn w:val="TableNormal"/>
    <w:uiPriority w:val="61"/>
    <w:rsid w:val="009661DE"/>
    <w:pPr>
      <w:spacing w:before="0"/>
    </w:pPr>
    <w:tblPr>
      <w:tblStyleRowBandSize w:val="1"/>
      <w:tblStyleColBandSize w:val="1"/>
      <w:tblInd w:w="0" w:type="dxa"/>
      <w:tblBorders>
        <w:top w:val="single" w:sz="8" w:space="0" w:color="C00000" w:themeColor="accent4"/>
        <w:left w:val="single" w:sz="8" w:space="0" w:color="C00000" w:themeColor="accent4"/>
        <w:bottom w:val="single" w:sz="8" w:space="0" w:color="C00000" w:themeColor="accent4"/>
        <w:right w:val="single" w:sz="8" w:space="0" w:color="C00000"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0000" w:themeFill="accent4"/>
      </w:tcPr>
    </w:tblStylePr>
    <w:tblStylePr w:type="lastRow">
      <w:pPr>
        <w:spacing w:before="0" w:after="0" w:line="240" w:lineRule="auto"/>
      </w:pPr>
      <w:rPr>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tcBorders>
      </w:tcPr>
    </w:tblStylePr>
    <w:tblStylePr w:type="firstCol">
      <w:rPr>
        <w:b/>
        <w:bCs/>
      </w:rPr>
    </w:tblStylePr>
    <w:tblStylePr w:type="lastCol">
      <w:rPr>
        <w:b/>
        <w:bCs/>
      </w:r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style>
  <w:style w:type="table" w:styleId="LightList-Accent6">
    <w:name w:val="Light List Accent 6"/>
    <w:basedOn w:val="TableNormal"/>
    <w:uiPriority w:val="61"/>
    <w:rsid w:val="009661DE"/>
    <w:pPr>
      <w:spacing w:before="0"/>
    </w:pPr>
    <w:tblPr>
      <w:tblStyleRowBandSize w:val="1"/>
      <w:tblStyleColBandSize w:val="1"/>
      <w:tblInd w:w="0" w:type="dxa"/>
      <w:tblBorders>
        <w:top w:val="single" w:sz="8" w:space="0" w:color="70303C" w:themeColor="accent6"/>
        <w:left w:val="single" w:sz="8" w:space="0" w:color="70303C" w:themeColor="accent6"/>
        <w:bottom w:val="single" w:sz="8" w:space="0" w:color="70303C" w:themeColor="accent6"/>
        <w:right w:val="single" w:sz="8" w:space="0" w:color="70303C"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70303C" w:themeFill="accent6"/>
      </w:tcPr>
    </w:tblStylePr>
    <w:tblStylePr w:type="lastRow">
      <w:pPr>
        <w:spacing w:before="0" w:after="0" w:line="240" w:lineRule="auto"/>
      </w:pPr>
      <w:rPr>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tcBorders>
      </w:tcPr>
    </w:tblStylePr>
    <w:tblStylePr w:type="firstCol">
      <w:rPr>
        <w:b/>
        <w:bCs/>
      </w:rPr>
    </w:tblStylePr>
    <w:tblStylePr w:type="lastCol">
      <w:rPr>
        <w:b/>
        <w:bCs/>
      </w:r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style>
  <w:style w:type="table" w:styleId="LightGrid">
    <w:name w:val="Light Grid"/>
    <w:basedOn w:val="TableNormal"/>
    <w:uiPriority w:val="62"/>
    <w:rsid w:val="009661DE"/>
    <w:pPr>
      <w:spacing w:before="0"/>
    </w:pPr>
    <w:tblPr>
      <w:tblStyleRowBandSize w:val="1"/>
      <w:tblStyleColBandSize w:val="1"/>
      <w:tblInd w:w="0" w:type="dxa"/>
      <w:tblBorders>
        <w:top w:val="single" w:sz="8" w:space="0" w:color="076A92" w:themeColor="text1"/>
        <w:left w:val="single" w:sz="8" w:space="0" w:color="076A92" w:themeColor="text1"/>
        <w:bottom w:val="single" w:sz="8" w:space="0" w:color="076A92" w:themeColor="text1"/>
        <w:right w:val="single" w:sz="8" w:space="0" w:color="076A92" w:themeColor="text1"/>
        <w:insideH w:val="single" w:sz="8" w:space="0" w:color="076A92" w:themeColor="text1"/>
        <w:insideV w:val="single" w:sz="8" w:space="0" w:color="076A92"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18" w:space="0" w:color="076A92" w:themeColor="text1"/>
          <w:right w:val="single" w:sz="8" w:space="0" w:color="076A92" w:themeColor="text1"/>
          <w:insideH w:val="nil"/>
          <w:insideV w:val="single" w:sz="8" w:space="0" w:color="076A92"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insideH w:val="nil"/>
          <w:insideV w:val="single" w:sz="8" w:space="0" w:color="076A92"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shd w:val="clear" w:color="auto" w:fill="AAE3FB" w:themeFill="text1" w:themeFillTint="3F"/>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shd w:val="clear" w:color="auto" w:fill="AAE3FB" w:themeFill="text1" w:themeFillTint="3F"/>
      </w:tcPr>
    </w:tblStylePr>
    <w:tblStylePr w:type="band2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tcPr>
    </w:tblStylePr>
  </w:style>
  <w:style w:type="table" w:styleId="LightGrid-Accent1">
    <w:name w:val="Light Grid Accent 1"/>
    <w:basedOn w:val="TableNormal"/>
    <w:uiPriority w:val="62"/>
    <w:rsid w:val="009661DE"/>
    <w:pPr>
      <w:spacing w:before="0"/>
    </w:pPr>
    <w:tblPr>
      <w:tblStyleRowBandSize w:val="1"/>
      <w:tblStyleColBandSize w:val="1"/>
      <w:tblInd w:w="0" w:type="dxa"/>
      <w:tblBorders>
        <w:top w:val="single" w:sz="8" w:space="0" w:color="2F002F" w:themeColor="accent1"/>
        <w:left w:val="single" w:sz="8" w:space="0" w:color="2F002F" w:themeColor="accent1"/>
        <w:bottom w:val="single" w:sz="8" w:space="0" w:color="2F002F" w:themeColor="accent1"/>
        <w:right w:val="single" w:sz="8" w:space="0" w:color="2F002F" w:themeColor="accent1"/>
        <w:insideH w:val="single" w:sz="8" w:space="0" w:color="2F002F" w:themeColor="accent1"/>
        <w:insideV w:val="single" w:sz="8" w:space="0" w:color="2F002F"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18" w:space="0" w:color="2F002F" w:themeColor="accent1"/>
          <w:right w:val="single" w:sz="8" w:space="0" w:color="2F002F" w:themeColor="accent1"/>
          <w:insideH w:val="nil"/>
          <w:insideV w:val="single" w:sz="8" w:space="0" w:color="2F002F"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insideH w:val="nil"/>
          <w:insideV w:val="single" w:sz="8" w:space="0" w:color="2F002F"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shd w:val="clear" w:color="auto" w:fill="FF8CFF" w:themeFill="accent1" w:themeFillTint="3F"/>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shd w:val="clear" w:color="auto" w:fill="FF8CFF" w:themeFill="accent1" w:themeFillTint="3F"/>
      </w:tcPr>
    </w:tblStylePr>
    <w:tblStylePr w:type="band2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tcPr>
    </w:tblStylePr>
  </w:style>
  <w:style w:type="table" w:styleId="LightGrid-Accent2">
    <w:name w:val="Light Grid Accent 2"/>
    <w:basedOn w:val="TableNormal"/>
    <w:uiPriority w:val="62"/>
    <w:rsid w:val="009661DE"/>
    <w:pPr>
      <w:spacing w:before="0"/>
    </w:pPr>
    <w:tblPr>
      <w:tblStyleRowBandSize w:val="1"/>
      <w:tblStyleColBandSize w:val="1"/>
      <w:tblInd w:w="0" w:type="dxa"/>
      <w:tblBorders>
        <w:top w:val="single" w:sz="8" w:space="0" w:color="C14E00" w:themeColor="accent2"/>
        <w:left w:val="single" w:sz="8" w:space="0" w:color="C14E00" w:themeColor="accent2"/>
        <w:bottom w:val="single" w:sz="8" w:space="0" w:color="C14E00" w:themeColor="accent2"/>
        <w:right w:val="single" w:sz="8" w:space="0" w:color="C14E00" w:themeColor="accent2"/>
        <w:insideH w:val="single" w:sz="8" w:space="0" w:color="C14E00" w:themeColor="accent2"/>
        <w:insideV w:val="single" w:sz="8" w:space="0" w:color="C14E00"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18" w:space="0" w:color="C14E00" w:themeColor="accent2"/>
          <w:right w:val="single" w:sz="8" w:space="0" w:color="C14E00" w:themeColor="accent2"/>
          <w:insideH w:val="nil"/>
          <w:insideV w:val="single" w:sz="8" w:space="0" w:color="C14E00"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insideH w:val="nil"/>
          <w:insideV w:val="single" w:sz="8" w:space="0" w:color="C14E00"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shd w:val="clear" w:color="auto" w:fill="FFD0B0" w:themeFill="accent2" w:themeFillTint="3F"/>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shd w:val="clear" w:color="auto" w:fill="FFD0B0" w:themeFill="accent2" w:themeFillTint="3F"/>
      </w:tcPr>
    </w:tblStylePr>
    <w:tblStylePr w:type="band2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tcPr>
    </w:tblStylePr>
  </w:style>
  <w:style w:type="table" w:styleId="LightGrid-Accent4">
    <w:name w:val="Light Grid Accent 4"/>
    <w:basedOn w:val="TableNormal"/>
    <w:uiPriority w:val="62"/>
    <w:rsid w:val="009661DE"/>
    <w:pPr>
      <w:spacing w:before="0"/>
    </w:pPr>
    <w:tblPr>
      <w:tblStyleRowBandSize w:val="1"/>
      <w:tblStyleColBandSize w:val="1"/>
      <w:tblInd w:w="0" w:type="dxa"/>
      <w:tblBorders>
        <w:top w:val="single" w:sz="8" w:space="0" w:color="C00000" w:themeColor="accent4"/>
        <w:left w:val="single" w:sz="8" w:space="0" w:color="C00000" w:themeColor="accent4"/>
        <w:bottom w:val="single" w:sz="8" w:space="0" w:color="C00000" w:themeColor="accent4"/>
        <w:right w:val="single" w:sz="8" w:space="0" w:color="C00000" w:themeColor="accent4"/>
        <w:insideH w:val="single" w:sz="8" w:space="0" w:color="C00000" w:themeColor="accent4"/>
        <w:insideV w:val="single" w:sz="8" w:space="0" w:color="C00000"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18" w:space="0" w:color="C00000" w:themeColor="accent4"/>
          <w:right w:val="single" w:sz="8" w:space="0" w:color="C00000" w:themeColor="accent4"/>
          <w:insideH w:val="nil"/>
          <w:insideV w:val="single" w:sz="8" w:space="0" w:color="C00000"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insideH w:val="nil"/>
          <w:insideV w:val="single" w:sz="8" w:space="0" w:color="C00000"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shd w:val="clear" w:color="auto" w:fill="FFB0B0" w:themeFill="accent4" w:themeFillTint="3F"/>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shd w:val="clear" w:color="auto" w:fill="FFB0B0" w:themeFill="accent4" w:themeFillTint="3F"/>
      </w:tcPr>
    </w:tblStylePr>
    <w:tblStylePr w:type="band2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tcPr>
    </w:tblStylePr>
  </w:style>
  <w:style w:type="table" w:styleId="LightGrid-Accent5">
    <w:name w:val="Light Grid Accent 5"/>
    <w:basedOn w:val="TableNormal"/>
    <w:uiPriority w:val="62"/>
    <w:rsid w:val="009661DE"/>
    <w:pPr>
      <w:spacing w:before="0"/>
    </w:pPr>
    <w:tblPr>
      <w:tblStyleRowBandSize w:val="1"/>
      <w:tblStyleColBandSize w:val="1"/>
      <w:tblInd w:w="0" w:type="dxa"/>
      <w:tblBorders>
        <w:top w:val="single" w:sz="8" w:space="0" w:color="000000" w:themeColor="accent5"/>
        <w:left w:val="single" w:sz="8" w:space="0" w:color="000000" w:themeColor="accent5"/>
        <w:bottom w:val="single" w:sz="8" w:space="0" w:color="000000" w:themeColor="accent5"/>
        <w:right w:val="single" w:sz="8" w:space="0" w:color="000000" w:themeColor="accent5"/>
        <w:insideH w:val="single" w:sz="8" w:space="0" w:color="000000" w:themeColor="accent5"/>
        <w:insideV w:val="single" w:sz="8" w:space="0" w:color="000000"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18" w:space="0" w:color="000000" w:themeColor="accent5"/>
          <w:right w:val="single" w:sz="8" w:space="0" w:color="000000" w:themeColor="accent5"/>
          <w:insideH w:val="nil"/>
          <w:insideV w:val="single" w:sz="8" w:space="0" w:color="000000"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insideH w:val="nil"/>
          <w:insideV w:val="single" w:sz="8" w:space="0" w:color="000000"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shd w:val="clear" w:color="auto" w:fill="C0C0C0" w:themeFill="accent5" w:themeFillTint="3F"/>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shd w:val="clear" w:color="auto" w:fill="C0C0C0" w:themeFill="accent5" w:themeFillTint="3F"/>
      </w:tcPr>
    </w:tblStylePr>
    <w:tblStylePr w:type="band2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tcPr>
    </w:tblStylePr>
  </w:style>
  <w:style w:type="paragraph" w:customStyle="1" w:styleId="HeaderRight">
    <w:name w:val="Header Right"/>
    <w:basedOn w:val="Header"/>
    <w:uiPriority w:val="35"/>
    <w:qFormat/>
    <w:rsid w:val="00A84F46"/>
    <w:pPr>
      <w:tabs>
        <w:tab w:val="clear" w:pos="4513"/>
        <w:tab w:val="clear" w:pos="9026"/>
        <w:tab w:val="center" w:pos="4320"/>
        <w:tab w:val="right" w:pos="8640"/>
      </w:tabs>
      <w:spacing w:before="0" w:after="200"/>
      <w:jc w:val="right"/>
    </w:pPr>
    <w:rPr>
      <w:rFonts w:asciiTheme="minorHAnsi" w:hAnsiTheme="minorHAnsi" w:cs="Times New Roman"/>
      <w:szCs w:val="20"/>
      <w:lang w:val="en-US" w:eastAsia="ja-JP"/>
    </w:rPr>
  </w:style>
  <w:style w:type="paragraph" w:customStyle="1" w:styleId="Numbered111111111">
    <w:name w:val="Numbered 1.1.1.1.1.1.1.1.1"/>
    <w:basedOn w:val="Heading9"/>
    <w:next w:val="Normal"/>
    <w:uiPriority w:val="2"/>
    <w:rsid w:val="00757BDF"/>
    <w:pPr>
      <w:numPr>
        <w:numId w:val="15"/>
      </w:numPr>
      <w:tabs>
        <w:tab w:val="left" w:pos="2041"/>
      </w:tabs>
      <w:ind w:left="2041" w:hanging="2041"/>
    </w:pPr>
  </w:style>
  <w:style w:type="paragraph" w:styleId="Caption">
    <w:name w:val="caption"/>
    <w:basedOn w:val="Normal"/>
    <w:next w:val="Normal"/>
    <w:unhideWhenUsed/>
    <w:qFormat/>
    <w:rsid w:val="0066104A"/>
    <w:pPr>
      <w:keepNext/>
      <w:spacing w:before="240" w:after="120"/>
    </w:pPr>
    <w:rPr>
      <w:b/>
      <w:bCs/>
      <w:color w:val="076A92" w:themeColor="text1"/>
      <w:sz w:val="24"/>
      <w:szCs w:val="18"/>
    </w:rPr>
  </w:style>
  <w:style w:type="paragraph" w:styleId="List">
    <w:name w:val="List"/>
    <w:basedOn w:val="Normal"/>
    <w:uiPriority w:val="99"/>
    <w:unhideWhenUsed/>
    <w:qFormat/>
    <w:rsid w:val="00B514DD"/>
    <w:pPr>
      <w:tabs>
        <w:tab w:val="left" w:pos="340"/>
      </w:tabs>
      <w:spacing w:before="120"/>
      <w:ind w:left="340" w:hanging="340"/>
    </w:pPr>
  </w:style>
  <w:style w:type="paragraph" w:styleId="List2">
    <w:name w:val="List 2"/>
    <w:basedOn w:val="Normal"/>
    <w:uiPriority w:val="99"/>
    <w:unhideWhenUsed/>
    <w:rsid w:val="00F171E0"/>
    <w:pPr>
      <w:tabs>
        <w:tab w:val="left" w:pos="680"/>
      </w:tabs>
      <w:spacing w:before="120"/>
      <w:ind w:left="680" w:hanging="340"/>
    </w:pPr>
  </w:style>
  <w:style w:type="paragraph" w:styleId="List3">
    <w:name w:val="List 3"/>
    <w:basedOn w:val="Normal"/>
    <w:uiPriority w:val="99"/>
    <w:unhideWhenUsed/>
    <w:rsid w:val="00F171E0"/>
    <w:pPr>
      <w:tabs>
        <w:tab w:val="left" w:pos="1021"/>
      </w:tabs>
      <w:spacing w:before="120"/>
      <w:ind w:left="1020" w:hanging="340"/>
    </w:pPr>
  </w:style>
  <w:style w:type="paragraph" w:styleId="List4">
    <w:name w:val="List 4"/>
    <w:basedOn w:val="Normal"/>
    <w:uiPriority w:val="99"/>
    <w:unhideWhenUsed/>
    <w:rsid w:val="00F171E0"/>
    <w:pPr>
      <w:tabs>
        <w:tab w:val="left" w:pos="1361"/>
      </w:tabs>
      <w:spacing w:before="120"/>
      <w:ind w:left="1361" w:hanging="340"/>
    </w:pPr>
  </w:style>
  <w:style w:type="paragraph" w:styleId="List5">
    <w:name w:val="List 5"/>
    <w:basedOn w:val="Normal"/>
    <w:uiPriority w:val="99"/>
    <w:unhideWhenUsed/>
    <w:rsid w:val="00F171E0"/>
    <w:pPr>
      <w:tabs>
        <w:tab w:val="left" w:pos="1701"/>
      </w:tabs>
      <w:spacing w:before="120"/>
      <w:ind w:left="1701" w:hanging="340"/>
    </w:pPr>
  </w:style>
  <w:style w:type="paragraph" w:styleId="ListBullet3">
    <w:name w:val="List Bullet 3"/>
    <w:aliases w:val="AER numbered list 2 third"/>
    <w:basedOn w:val="Normal"/>
    <w:unhideWhenUsed/>
    <w:qFormat/>
    <w:rsid w:val="008E77DE"/>
    <w:pPr>
      <w:numPr>
        <w:numId w:val="4"/>
      </w:numPr>
      <w:spacing w:before="120"/>
    </w:pPr>
  </w:style>
  <w:style w:type="paragraph" w:styleId="ListBullet4">
    <w:name w:val="List Bullet 4"/>
    <w:basedOn w:val="Normal"/>
    <w:uiPriority w:val="99"/>
    <w:unhideWhenUsed/>
    <w:rsid w:val="00DB5074"/>
    <w:pPr>
      <w:numPr>
        <w:numId w:val="5"/>
      </w:numPr>
      <w:tabs>
        <w:tab w:val="clear" w:pos="1209"/>
        <w:tab w:val="num" w:pos="1361"/>
      </w:tabs>
      <w:spacing w:before="120"/>
      <w:ind w:left="1378" w:hanging="357"/>
    </w:pPr>
  </w:style>
  <w:style w:type="paragraph" w:styleId="ListBullet5">
    <w:name w:val="List Bullet 5"/>
    <w:basedOn w:val="Normal"/>
    <w:uiPriority w:val="99"/>
    <w:unhideWhenUsed/>
    <w:rsid w:val="00DB5074"/>
    <w:pPr>
      <w:numPr>
        <w:numId w:val="6"/>
      </w:numPr>
      <w:tabs>
        <w:tab w:val="clear" w:pos="1492"/>
        <w:tab w:val="num" w:pos="1701"/>
      </w:tabs>
      <w:spacing w:before="120"/>
      <w:ind w:left="1701" w:hanging="340"/>
    </w:pPr>
  </w:style>
  <w:style w:type="paragraph" w:styleId="ListContinue">
    <w:name w:val="List Continue"/>
    <w:aliases w:val="AER body text (indent 1)"/>
    <w:basedOn w:val="Normal"/>
    <w:uiPriority w:val="99"/>
    <w:unhideWhenUsed/>
    <w:qFormat/>
    <w:rsid w:val="00DB5074"/>
    <w:pPr>
      <w:tabs>
        <w:tab w:val="left" w:pos="340"/>
      </w:tabs>
      <w:spacing w:before="120"/>
      <w:ind w:left="340"/>
    </w:pPr>
  </w:style>
  <w:style w:type="paragraph" w:styleId="ListContinue2">
    <w:name w:val="List Continue 2"/>
    <w:aliases w:val="AER body text (indent 2)"/>
    <w:basedOn w:val="Normal"/>
    <w:uiPriority w:val="99"/>
    <w:unhideWhenUsed/>
    <w:rsid w:val="00567BA5"/>
    <w:pPr>
      <w:tabs>
        <w:tab w:val="left" w:pos="680"/>
      </w:tabs>
      <w:spacing w:before="120"/>
      <w:ind w:left="680"/>
    </w:pPr>
  </w:style>
  <w:style w:type="paragraph" w:styleId="ListContinue3">
    <w:name w:val="List Continue 3"/>
    <w:aliases w:val="AER body text (indent 3)"/>
    <w:basedOn w:val="Normal"/>
    <w:uiPriority w:val="99"/>
    <w:unhideWhenUsed/>
    <w:rsid w:val="00DB5074"/>
    <w:pPr>
      <w:tabs>
        <w:tab w:val="left" w:pos="1021"/>
      </w:tabs>
      <w:spacing w:before="120"/>
      <w:ind w:left="1021"/>
    </w:pPr>
  </w:style>
  <w:style w:type="paragraph" w:styleId="ListContinue4">
    <w:name w:val="List Continue 4"/>
    <w:basedOn w:val="Normal"/>
    <w:uiPriority w:val="99"/>
    <w:unhideWhenUsed/>
    <w:rsid w:val="00DB5074"/>
    <w:pPr>
      <w:tabs>
        <w:tab w:val="left" w:pos="1361"/>
      </w:tabs>
      <w:spacing w:before="120"/>
      <w:ind w:left="1361"/>
    </w:pPr>
  </w:style>
  <w:style w:type="paragraph" w:styleId="ListNumber3">
    <w:name w:val="List Number 3"/>
    <w:basedOn w:val="Normal"/>
    <w:uiPriority w:val="99"/>
    <w:unhideWhenUsed/>
    <w:rsid w:val="00567BA5"/>
    <w:pPr>
      <w:numPr>
        <w:numId w:val="9"/>
      </w:numPr>
      <w:spacing w:before="120"/>
    </w:pPr>
  </w:style>
  <w:style w:type="paragraph" w:styleId="ListNumber4">
    <w:name w:val="List Number 4"/>
    <w:basedOn w:val="Normal"/>
    <w:uiPriority w:val="99"/>
    <w:unhideWhenUsed/>
    <w:rsid w:val="00567BA5"/>
    <w:pPr>
      <w:numPr>
        <w:numId w:val="10"/>
      </w:numPr>
      <w:tabs>
        <w:tab w:val="clear" w:pos="1209"/>
        <w:tab w:val="num" w:pos="1361"/>
      </w:tabs>
      <w:spacing w:before="120"/>
      <w:ind w:left="1361" w:hanging="340"/>
    </w:pPr>
  </w:style>
  <w:style w:type="paragraph" w:styleId="ListNumber5">
    <w:name w:val="List Number 5"/>
    <w:basedOn w:val="Normal"/>
    <w:uiPriority w:val="99"/>
    <w:unhideWhenUsed/>
    <w:rsid w:val="00567BA5"/>
    <w:pPr>
      <w:numPr>
        <w:numId w:val="11"/>
      </w:numPr>
      <w:tabs>
        <w:tab w:val="clear" w:pos="1492"/>
        <w:tab w:val="num" w:pos="1701"/>
      </w:tabs>
      <w:spacing w:before="120"/>
      <w:ind w:left="1701" w:hanging="340"/>
    </w:pPr>
  </w:style>
  <w:style w:type="paragraph" w:customStyle="1" w:styleId="TableHeading">
    <w:name w:val="Table Heading"/>
    <w:basedOn w:val="Normal"/>
    <w:link w:val="TableHeadingChar"/>
    <w:qFormat/>
    <w:rsid w:val="00185CB9"/>
    <w:pPr>
      <w:spacing w:before="240" w:after="120"/>
    </w:pPr>
    <w:rPr>
      <w:color w:val="FFFFFF" w:themeColor="background1"/>
      <w:sz w:val="24"/>
    </w:rPr>
  </w:style>
  <w:style w:type="paragraph" w:customStyle="1" w:styleId="Tabletext-right">
    <w:name w:val="Table text - right"/>
    <w:basedOn w:val="Tabletext"/>
    <w:link w:val="Tabletext-rightChar"/>
    <w:rsid w:val="00063247"/>
    <w:pPr>
      <w:jc w:val="right"/>
    </w:pPr>
    <w:rPr>
      <w:rFonts w:eastAsia="Times New Roman" w:cs="Times New Roman"/>
      <w:szCs w:val="20"/>
    </w:rPr>
  </w:style>
  <w:style w:type="paragraph" w:customStyle="1" w:styleId="Tabletext-centred">
    <w:name w:val="Table text - centred"/>
    <w:basedOn w:val="Tabletext-right"/>
    <w:link w:val="Tabletext-centredChar"/>
    <w:rsid w:val="00063247"/>
    <w:pPr>
      <w:jc w:val="center"/>
    </w:pPr>
  </w:style>
  <w:style w:type="paragraph" w:customStyle="1" w:styleId="TableHeading-right">
    <w:name w:val="Table Heading - right"/>
    <w:basedOn w:val="TableHeading"/>
    <w:link w:val="TableHeading-rightChar"/>
    <w:rsid w:val="00185CB9"/>
    <w:pPr>
      <w:jc w:val="right"/>
    </w:pPr>
    <w:rPr>
      <w:rFonts w:eastAsia="Times New Roman" w:cs="Times New Roman"/>
      <w:bCs/>
      <w:szCs w:val="20"/>
    </w:rPr>
  </w:style>
  <w:style w:type="character" w:customStyle="1" w:styleId="Tabletext-rightChar">
    <w:name w:val="Table text - right Char"/>
    <w:basedOn w:val="TabletextChar"/>
    <w:link w:val="Tabletext-right"/>
    <w:rsid w:val="00063247"/>
    <w:rPr>
      <w:rFonts w:ascii="Arial" w:eastAsia="Times New Roman" w:hAnsi="Arial" w:cs="Times New Roman"/>
      <w:sz w:val="20"/>
      <w:szCs w:val="20"/>
    </w:rPr>
  </w:style>
  <w:style w:type="character" w:customStyle="1" w:styleId="TabletextChar">
    <w:name w:val="Table text Char"/>
    <w:basedOn w:val="DefaultParagraphFont"/>
    <w:link w:val="Tabletext"/>
    <w:uiPriority w:val="1"/>
    <w:rsid w:val="00584D8F"/>
    <w:rPr>
      <w:rFonts w:ascii="Arial" w:hAnsi="Arial"/>
      <w:sz w:val="20"/>
    </w:rPr>
  </w:style>
  <w:style w:type="character" w:customStyle="1" w:styleId="TableHeadingChar">
    <w:name w:val="Table Heading Char"/>
    <w:basedOn w:val="TabletextChar"/>
    <w:link w:val="TableHeading"/>
    <w:rsid w:val="00185CB9"/>
    <w:rPr>
      <w:rFonts w:ascii="Arial" w:hAnsi="Arial"/>
      <w:color w:val="FFFFFF" w:themeColor="background1"/>
      <w:sz w:val="24"/>
    </w:rPr>
  </w:style>
  <w:style w:type="character" w:customStyle="1" w:styleId="TableHeading-rightChar">
    <w:name w:val="Table Heading - right Char"/>
    <w:basedOn w:val="TableHeadingChar"/>
    <w:link w:val="TableHeading-right"/>
    <w:rsid w:val="00185CB9"/>
    <w:rPr>
      <w:rFonts w:ascii="Arial" w:eastAsia="Times New Roman" w:hAnsi="Arial" w:cs="Times New Roman"/>
      <w:bCs/>
      <w:color w:val="FFFFFF" w:themeColor="background1"/>
      <w:sz w:val="24"/>
      <w:szCs w:val="20"/>
    </w:rPr>
  </w:style>
  <w:style w:type="character" w:customStyle="1" w:styleId="Tabletext-centredChar">
    <w:name w:val="Table text - centred Char"/>
    <w:basedOn w:val="Tabletext-rightChar"/>
    <w:link w:val="Tabletext-centred"/>
    <w:rsid w:val="00063247"/>
    <w:rPr>
      <w:rFonts w:ascii="Arial" w:eastAsia="Times New Roman" w:hAnsi="Arial" w:cs="Times New Roman"/>
      <w:sz w:val="20"/>
      <w:szCs w:val="20"/>
    </w:rPr>
  </w:style>
  <w:style w:type="paragraph" w:customStyle="1" w:styleId="TableHeading-centred">
    <w:name w:val="Table Heading - centred"/>
    <w:basedOn w:val="TableHeading"/>
    <w:rsid w:val="00185CB9"/>
    <w:pPr>
      <w:jc w:val="center"/>
    </w:pPr>
    <w:rPr>
      <w:rFonts w:eastAsia="Times New Roman" w:cs="Times New Roman"/>
      <w:bCs/>
      <w:szCs w:val="20"/>
    </w:rPr>
  </w:style>
  <w:style w:type="character" w:customStyle="1" w:styleId="EndnoteTextChar">
    <w:name w:val="Endnote Text Char"/>
    <w:basedOn w:val="DefaultParagraphFont"/>
    <w:link w:val="EndnoteText"/>
    <w:uiPriority w:val="99"/>
    <w:rsid w:val="00334C8D"/>
    <w:rPr>
      <w:rFonts w:ascii="Arial" w:hAnsi="Arial"/>
      <w:sz w:val="20"/>
      <w:szCs w:val="20"/>
    </w:rPr>
  </w:style>
  <w:style w:type="paragraph" w:styleId="TableofFigures">
    <w:name w:val="table of figures"/>
    <w:basedOn w:val="Normal"/>
    <w:next w:val="Normal"/>
    <w:uiPriority w:val="99"/>
    <w:unhideWhenUsed/>
    <w:rsid w:val="00676679"/>
    <w:pPr>
      <w:spacing w:before="240" w:after="120"/>
    </w:pPr>
  </w:style>
  <w:style w:type="table" w:customStyle="1" w:styleId="ACCCTable3">
    <w:name w:val="ACCC Table 3"/>
    <w:basedOn w:val="TableNormal"/>
    <w:uiPriority w:val="99"/>
    <w:rsid w:val="00C53B5A"/>
    <w:pPr>
      <w:spacing w:before="0"/>
    </w:pPr>
    <w:rPr>
      <w:sz w:val="20"/>
    </w:rPr>
    <w:tblPr>
      <w:tblInd w:w="0" w:type="dxa"/>
      <w:tblBorders>
        <w:insideV w:val="single" w:sz="4" w:space="0" w:color="FFFFFF" w:themeColor="background2"/>
      </w:tblBorders>
      <w:tblCellMar>
        <w:top w:w="0" w:type="dxa"/>
        <w:left w:w="108" w:type="dxa"/>
        <w:bottom w:w="0" w:type="dxa"/>
        <w:right w:w="108" w:type="dxa"/>
      </w:tblCellMar>
    </w:tblPr>
    <w:tblStylePr w:type="firstRow">
      <w:rPr>
        <w:rFonts w:asciiTheme="minorHAnsi" w:hAnsiTheme="minorHAnsi"/>
        <w:b/>
        <w:sz w:val="20"/>
      </w:rPr>
    </w:tblStylePr>
    <w:tblStylePr w:type="lastRow">
      <w:rPr>
        <w:rFonts w:ascii="Arial" w:hAnsi="Arial"/>
        <w:b/>
        <w:sz w:val="20"/>
      </w:rPr>
    </w:tblStylePr>
    <w:tblStylePr w:type="firstCol">
      <w:rPr>
        <w:rFonts w:ascii="Arial" w:hAnsi="Arial"/>
        <w:b/>
        <w:sz w:val="20"/>
      </w:rPr>
    </w:tblStylePr>
  </w:style>
  <w:style w:type="character" w:styleId="EndnoteReference">
    <w:name w:val="endnote reference"/>
    <w:basedOn w:val="DefaultParagraphFont"/>
    <w:uiPriority w:val="99"/>
    <w:rsid w:val="00263AC0"/>
    <w:rPr>
      <w:vertAlign w:val="superscript"/>
    </w:rPr>
  </w:style>
  <w:style w:type="paragraph" w:customStyle="1" w:styleId="Numberedparagraph11">
    <w:name w:val="Numbered paragraph 1.1"/>
    <w:basedOn w:val="Normal"/>
    <w:autoRedefine/>
    <w:qFormat/>
    <w:rsid w:val="00985C86"/>
    <w:pPr>
      <w:numPr>
        <w:ilvl w:val="1"/>
        <w:numId w:val="15"/>
      </w:numPr>
      <w:tabs>
        <w:tab w:val="left" w:pos="1021"/>
      </w:tabs>
      <w:spacing w:line="240" w:lineRule="atLeast"/>
      <w:ind w:left="680" w:hanging="680"/>
    </w:pPr>
    <w:rPr>
      <w:rFonts w:eastAsiaTheme="majorEastAsia" w:cs="Arial"/>
      <w:bCs/>
      <w:szCs w:val="26"/>
    </w:rPr>
  </w:style>
  <w:style w:type="paragraph" w:customStyle="1" w:styleId="AERquoteindent2">
    <w:name w:val="AER quote (indent 2)"/>
    <w:basedOn w:val="AERquoteindent1"/>
    <w:qFormat/>
    <w:rsid w:val="00DE1093"/>
    <w:pPr>
      <w:tabs>
        <w:tab w:val="clear" w:pos="680"/>
        <w:tab w:val="left" w:pos="1021"/>
      </w:tabs>
      <w:ind w:left="1021"/>
    </w:pPr>
  </w:style>
  <w:style w:type="paragraph" w:customStyle="1" w:styleId="Numberedparagraph">
    <w:name w:val="Numbered paragraph"/>
    <w:basedOn w:val="Normal"/>
    <w:rsid w:val="00C67A92"/>
    <w:pPr>
      <w:numPr>
        <w:numId w:val="1"/>
      </w:numPr>
      <w:tabs>
        <w:tab w:val="left" w:pos="680"/>
      </w:tabs>
      <w:ind w:left="680" w:hanging="680"/>
    </w:pPr>
    <w:rPr>
      <w:rFonts w:eastAsia="Times New Roman" w:cs="Times New Roman"/>
      <w:szCs w:val="20"/>
    </w:rPr>
  </w:style>
  <w:style w:type="paragraph" w:customStyle="1" w:styleId="Copyright">
    <w:name w:val="Copyright"/>
    <w:basedOn w:val="Normal"/>
    <w:next w:val="Normal"/>
    <w:link w:val="CopyrightChar"/>
    <w:rsid w:val="00951978"/>
    <w:pPr>
      <w:spacing w:line="288" w:lineRule="auto"/>
    </w:pPr>
    <w:rPr>
      <w:sz w:val="20"/>
      <w:szCs w:val="20"/>
    </w:rPr>
  </w:style>
  <w:style w:type="paragraph" w:customStyle="1" w:styleId="ReportTitle">
    <w:name w:val="Report Title"/>
    <w:basedOn w:val="Normal"/>
    <w:next w:val="Normal"/>
    <w:link w:val="ReportTitleChar"/>
    <w:qFormat/>
    <w:rsid w:val="00327A1E"/>
    <w:pPr>
      <w:tabs>
        <w:tab w:val="center" w:pos="4598"/>
        <w:tab w:val="right" w:pos="9026"/>
      </w:tabs>
      <w:spacing w:before="240"/>
      <w:contextualSpacing/>
      <w:jc w:val="center"/>
    </w:pPr>
    <w:rPr>
      <w:rFonts w:eastAsiaTheme="majorEastAsia" w:cstheme="majorBidi"/>
      <w:b/>
      <w:noProof/>
      <w:sz w:val="72"/>
      <w:szCs w:val="72"/>
      <w:lang w:eastAsia="en-AU"/>
    </w:rPr>
  </w:style>
  <w:style w:type="numbering" w:customStyle="1" w:styleId="AlphanumericList">
    <w:name w:val="Alphanumeric List"/>
    <w:uiPriority w:val="99"/>
    <w:rsid w:val="000A6C7B"/>
    <w:pPr>
      <w:numPr>
        <w:numId w:val="16"/>
      </w:numPr>
    </w:pPr>
  </w:style>
  <w:style w:type="table" w:customStyle="1" w:styleId="AERTable-Text">
    <w:name w:val="AER Table - Text"/>
    <w:basedOn w:val="TableNormal"/>
    <w:uiPriority w:val="99"/>
    <w:rsid w:val="000E4821"/>
    <w:pPr>
      <w:spacing w:before="120" w:after="120"/>
    </w:pPr>
    <w:rPr>
      <w:rFonts w:ascii="Arial" w:hAnsi="Arial"/>
      <w:sz w:val="20"/>
    </w:rPr>
    <w:tblPr>
      <w:tblStyleRowBandSize w:val="1"/>
      <w:tblInd w:w="0" w:type="dxa"/>
      <w:tblBorders>
        <w:bottom w:val="single" w:sz="4" w:space="0" w:color="auto"/>
      </w:tblBorders>
      <w:tblCellMar>
        <w:top w:w="0" w:type="dxa"/>
        <w:left w:w="108" w:type="dxa"/>
        <w:bottom w:w="0" w:type="dxa"/>
        <w:right w:w="108" w:type="dxa"/>
      </w:tblCellMar>
    </w:tblPr>
    <w:tblStylePr w:type="firstRow">
      <w:pPr>
        <w:wordWrap/>
        <w:spacing w:beforeLines="0" w:before="240" w:beforeAutospacing="0" w:afterLines="0" w:after="120" w:afterAutospacing="0"/>
      </w:pPr>
      <w:rPr>
        <w:rFonts w:ascii="Arial" w:hAnsi="Arial"/>
        <w:b/>
        <w:color w:val="FFFFFF" w:themeColor="background1"/>
        <w:sz w:val="24"/>
      </w:rPr>
      <w:tblPr/>
      <w:tcPr>
        <w:shd w:val="clear" w:color="auto" w:fill="076A92"/>
      </w:tcPr>
    </w:tblStylePr>
    <w:tblStylePr w:type="band2Horz">
      <w:rPr>
        <w:rFonts w:ascii="Arial" w:hAnsi="Arial"/>
        <w:sz w:val="20"/>
      </w:rPr>
      <w:tblPr/>
      <w:tcPr>
        <w:shd w:val="clear" w:color="auto" w:fill="DBE5F1"/>
      </w:tcPr>
    </w:tblStylePr>
  </w:style>
  <w:style w:type="paragraph" w:customStyle="1" w:styleId="ReportDate">
    <w:name w:val="Report Date"/>
    <w:basedOn w:val="ReportTitle"/>
    <w:link w:val="ReportDateChar"/>
    <w:qFormat/>
    <w:rsid w:val="000A6C7B"/>
    <w:rPr>
      <w:b w:val="0"/>
      <w:sz w:val="36"/>
      <w:szCs w:val="36"/>
    </w:rPr>
  </w:style>
  <w:style w:type="paragraph" w:customStyle="1" w:styleId="ReportSubtitle">
    <w:name w:val="Report Subtitle"/>
    <w:basedOn w:val="ReportTitle"/>
    <w:link w:val="ReportSubtitleChar"/>
    <w:qFormat/>
    <w:rsid w:val="00327A1E"/>
    <w:rPr>
      <w:sz w:val="56"/>
      <w:szCs w:val="56"/>
    </w:rPr>
  </w:style>
  <w:style w:type="character" w:customStyle="1" w:styleId="ReportTitleChar">
    <w:name w:val="Report Title Char"/>
    <w:basedOn w:val="Heading1Char"/>
    <w:link w:val="ReportTitle"/>
    <w:rsid w:val="00327A1E"/>
    <w:rPr>
      <w:rFonts w:ascii="Arial" w:eastAsiaTheme="majorEastAsia" w:hAnsi="Arial" w:cstheme="majorBidi"/>
      <w:b w:val="0"/>
      <w:bCs w:val="0"/>
      <w:noProof/>
      <w:color w:val="70635A"/>
      <w:sz w:val="72"/>
      <w:szCs w:val="72"/>
      <w:lang w:eastAsia="en-AU"/>
    </w:rPr>
  </w:style>
  <w:style w:type="character" w:customStyle="1" w:styleId="ReportDateChar">
    <w:name w:val="Report Date Char"/>
    <w:basedOn w:val="ReportTitleChar"/>
    <w:link w:val="ReportDate"/>
    <w:rsid w:val="000A6C7B"/>
    <w:rPr>
      <w:rFonts w:ascii="Arial" w:eastAsiaTheme="majorEastAsia" w:hAnsi="Arial" w:cstheme="majorBidi"/>
      <w:b/>
      <w:bCs w:val="0"/>
      <w:noProof/>
      <w:color w:val="70635A"/>
      <w:sz w:val="36"/>
      <w:szCs w:val="36"/>
      <w:lang w:eastAsia="en-AU"/>
    </w:rPr>
  </w:style>
  <w:style w:type="character" w:customStyle="1" w:styleId="ReportSubtitleChar">
    <w:name w:val="Report Subtitle Char"/>
    <w:basedOn w:val="ReportTitleChar"/>
    <w:link w:val="ReportSubtitle"/>
    <w:rsid w:val="00327A1E"/>
    <w:rPr>
      <w:rFonts w:ascii="Arial" w:eastAsiaTheme="majorEastAsia" w:hAnsi="Arial" w:cstheme="majorBidi"/>
      <w:b w:val="0"/>
      <w:bCs w:val="0"/>
      <w:noProof/>
      <w:color w:val="70635A"/>
      <w:sz w:val="56"/>
      <w:szCs w:val="56"/>
      <w:lang w:eastAsia="en-AU"/>
    </w:rPr>
  </w:style>
  <w:style w:type="character" w:customStyle="1" w:styleId="CopyrightChar">
    <w:name w:val="Copyright Char"/>
    <w:basedOn w:val="DefaultParagraphFont"/>
    <w:link w:val="Copyright"/>
    <w:rsid w:val="00951978"/>
    <w:rPr>
      <w:rFonts w:ascii="Arial" w:hAnsi="Arial"/>
      <w:sz w:val="20"/>
      <w:szCs w:val="20"/>
    </w:rPr>
  </w:style>
  <w:style w:type="paragraph" w:styleId="BodyTextIndent">
    <w:name w:val="Body Text Indent"/>
    <w:basedOn w:val="Normal"/>
    <w:link w:val="BodyTextIndentChar"/>
    <w:uiPriority w:val="99"/>
    <w:semiHidden/>
    <w:unhideWhenUsed/>
    <w:rsid w:val="00F171E0"/>
    <w:pPr>
      <w:spacing w:after="120"/>
      <w:ind w:left="283"/>
    </w:pPr>
  </w:style>
  <w:style w:type="character" w:customStyle="1" w:styleId="BodyTextIndentChar">
    <w:name w:val="Body Text Indent Char"/>
    <w:basedOn w:val="DefaultParagraphFont"/>
    <w:link w:val="BodyTextIndent"/>
    <w:uiPriority w:val="99"/>
    <w:semiHidden/>
    <w:rsid w:val="00F171E0"/>
    <w:rPr>
      <w:rFonts w:ascii="Arial" w:hAnsi="Arial"/>
    </w:rPr>
  </w:style>
  <w:style w:type="paragraph" w:styleId="BodyTextFirstIndent2">
    <w:name w:val="Body Text First Indent 2"/>
    <w:basedOn w:val="BodyTextIndent"/>
    <w:link w:val="BodyTextFirstIndent2Char"/>
    <w:uiPriority w:val="99"/>
    <w:unhideWhenUsed/>
    <w:rsid w:val="00F171E0"/>
    <w:pPr>
      <w:spacing w:after="0"/>
      <w:ind w:left="360" w:firstLine="360"/>
    </w:pPr>
  </w:style>
  <w:style w:type="character" w:customStyle="1" w:styleId="BodyTextFirstIndent2Char">
    <w:name w:val="Body Text First Indent 2 Char"/>
    <w:basedOn w:val="BodyTextIndentChar"/>
    <w:link w:val="BodyTextFirstIndent2"/>
    <w:uiPriority w:val="99"/>
    <w:rsid w:val="00F171E0"/>
    <w:rPr>
      <w:rFonts w:ascii="Arial" w:hAnsi="Arial"/>
    </w:rPr>
  </w:style>
  <w:style w:type="paragraph" w:styleId="Closing">
    <w:name w:val="Closing"/>
    <w:basedOn w:val="Normal"/>
    <w:link w:val="ClosingChar"/>
    <w:uiPriority w:val="99"/>
    <w:unhideWhenUsed/>
    <w:rsid w:val="00F171E0"/>
    <w:pPr>
      <w:spacing w:before="0" w:line="240" w:lineRule="auto"/>
      <w:ind w:left="4252"/>
    </w:pPr>
  </w:style>
  <w:style w:type="character" w:customStyle="1" w:styleId="ClosingChar">
    <w:name w:val="Closing Char"/>
    <w:basedOn w:val="DefaultParagraphFont"/>
    <w:link w:val="Closing"/>
    <w:uiPriority w:val="99"/>
    <w:rsid w:val="00F171E0"/>
    <w:rPr>
      <w:rFonts w:ascii="Arial" w:hAnsi="Arial"/>
    </w:rPr>
  </w:style>
  <w:style w:type="paragraph" w:styleId="BodyTextFirstIndent">
    <w:name w:val="Body Text First Indent"/>
    <w:basedOn w:val="Normal"/>
    <w:link w:val="BodyTextFirstIndentChar"/>
    <w:uiPriority w:val="99"/>
    <w:unhideWhenUsed/>
    <w:rsid w:val="00F171E0"/>
    <w:pPr>
      <w:ind w:firstLine="360"/>
    </w:pPr>
  </w:style>
  <w:style w:type="character" w:customStyle="1" w:styleId="BodyTextFirstIndentChar">
    <w:name w:val="Body Text First Indent Char"/>
    <w:basedOn w:val="DefaultParagraphFont"/>
    <w:link w:val="BodyTextFirstIndent"/>
    <w:uiPriority w:val="99"/>
    <w:rsid w:val="00F171E0"/>
    <w:rPr>
      <w:rFonts w:ascii="Arial" w:hAnsi="Arial"/>
    </w:rPr>
  </w:style>
  <w:style w:type="paragraph" w:styleId="BodyText2">
    <w:name w:val="Body Text 2"/>
    <w:basedOn w:val="Normal"/>
    <w:link w:val="BodyText2Char"/>
    <w:uiPriority w:val="99"/>
    <w:unhideWhenUsed/>
    <w:rsid w:val="00F171E0"/>
    <w:pPr>
      <w:spacing w:after="120" w:line="480" w:lineRule="auto"/>
    </w:pPr>
  </w:style>
  <w:style w:type="character" w:customStyle="1" w:styleId="BodyText2Char">
    <w:name w:val="Body Text 2 Char"/>
    <w:basedOn w:val="DefaultParagraphFont"/>
    <w:link w:val="BodyText2"/>
    <w:uiPriority w:val="99"/>
    <w:rsid w:val="00F171E0"/>
    <w:rPr>
      <w:rFonts w:ascii="Arial" w:hAnsi="Arial"/>
    </w:rPr>
  </w:style>
  <w:style w:type="paragraph" w:customStyle="1" w:styleId="ListLegal">
    <w:name w:val="List Legal"/>
    <w:basedOn w:val="ListParagraph"/>
    <w:rsid w:val="00301B40"/>
    <w:pPr>
      <w:numPr>
        <w:numId w:val="19"/>
      </w:numPr>
      <w:tabs>
        <w:tab w:val="clear" w:pos="340"/>
        <w:tab w:val="left" w:pos="680"/>
      </w:tabs>
      <w:ind w:left="680" w:hanging="340"/>
    </w:pPr>
  </w:style>
  <w:style w:type="character" w:styleId="CommentReference">
    <w:name w:val="annotation reference"/>
    <w:basedOn w:val="DefaultParagraphFont"/>
    <w:uiPriority w:val="99"/>
    <w:unhideWhenUsed/>
    <w:rsid w:val="00F171E0"/>
    <w:rPr>
      <w:sz w:val="16"/>
      <w:szCs w:val="16"/>
    </w:rPr>
  </w:style>
  <w:style w:type="paragraph" w:customStyle="1" w:styleId="ListLegal2">
    <w:name w:val="List Legal 2"/>
    <w:basedOn w:val="ListLegal"/>
    <w:rsid w:val="00301B40"/>
    <w:pPr>
      <w:tabs>
        <w:tab w:val="clear" w:pos="680"/>
        <w:tab w:val="left" w:pos="1021"/>
      </w:tabs>
      <w:ind w:left="1020"/>
    </w:pPr>
  </w:style>
  <w:style w:type="paragraph" w:customStyle="1" w:styleId="AERnumberedlistthirdstyle">
    <w:name w:val="AER numbered list (third style)"/>
    <w:basedOn w:val="ListNumber3"/>
    <w:qFormat/>
    <w:rsid w:val="00571D57"/>
    <w:pPr>
      <w:numPr>
        <w:numId w:val="20"/>
      </w:numPr>
      <w:tabs>
        <w:tab w:val="left" w:pos="1361"/>
      </w:tabs>
      <w:ind w:left="1361" w:hanging="340"/>
    </w:pPr>
  </w:style>
  <w:style w:type="paragraph" w:customStyle="1" w:styleId="ListLegal4">
    <w:name w:val="List Legal 4"/>
    <w:basedOn w:val="AERnumberedlistthirdstyle"/>
    <w:rsid w:val="00571D57"/>
    <w:pPr>
      <w:tabs>
        <w:tab w:val="clear" w:pos="1361"/>
        <w:tab w:val="left" w:pos="1701"/>
      </w:tabs>
      <w:ind w:left="1701"/>
    </w:pPr>
  </w:style>
  <w:style w:type="paragraph" w:customStyle="1" w:styleId="ListLegal5">
    <w:name w:val="List Legal 5"/>
    <w:basedOn w:val="ListLegal4"/>
    <w:rsid w:val="00571D57"/>
    <w:pPr>
      <w:tabs>
        <w:tab w:val="clear" w:pos="1701"/>
        <w:tab w:val="left" w:pos="2041"/>
      </w:tabs>
      <w:ind w:left="2041"/>
    </w:pPr>
  </w:style>
  <w:style w:type="paragraph" w:styleId="Date">
    <w:name w:val="Date"/>
    <w:basedOn w:val="Normal"/>
    <w:next w:val="Normal"/>
    <w:link w:val="DateChar"/>
    <w:uiPriority w:val="99"/>
    <w:unhideWhenUsed/>
    <w:rsid w:val="00F171E0"/>
  </w:style>
  <w:style w:type="character" w:customStyle="1" w:styleId="DateChar">
    <w:name w:val="Date Char"/>
    <w:basedOn w:val="DefaultParagraphFont"/>
    <w:link w:val="Date"/>
    <w:uiPriority w:val="99"/>
    <w:rsid w:val="00F171E0"/>
    <w:rPr>
      <w:rFonts w:ascii="Arial" w:hAnsi="Arial"/>
    </w:rPr>
  </w:style>
  <w:style w:type="paragraph" w:styleId="DocumentMap">
    <w:name w:val="Document Map"/>
    <w:basedOn w:val="Normal"/>
    <w:link w:val="DocumentMapChar"/>
    <w:uiPriority w:val="99"/>
    <w:unhideWhenUsed/>
    <w:rsid w:val="00F171E0"/>
    <w:pPr>
      <w:spacing w:before="0" w:line="240" w:lineRule="auto"/>
    </w:pPr>
    <w:rPr>
      <w:rFonts w:ascii="Tahoma" w:hAnsi="Tahoma" w:cs="Tahoma"/>
      <w:sz w:val="16"/>
      <w:szCs w:val="16"/>
    </w:rPr>
  </w:style>
  <w:style w:type="character" w:customStyle="1" w:styleId="DocumentMapChar">
    <w:name w:val="Document Map Char"/>
    <w:basedOn w:val="DefaultParagraphFont"/>
    <w:link w:val="DocumentMap"/>
    <w:uiPriority w:val="99"/>
    <w:rsid w:val="00F171E0"/>
    <w:rPr>
      <w:rFonts w:ascii="Tahoma" w:hAnsi="Tahoma" w:cs="Tahoma"/>
      <w:sz w:val="16"/>
      <w:szCs w:val="16"/>
    </w:rPr>
  </w:style>
  <w:style w:type="paragraph" w:styleId="E-mailSignature">
    <w:name w:val="E-mail Signature"/>
    <w:basedOn w:val="Normal"/>
    <w:link w:val="E-mailSignatureChar"/>
    <w:uiPriority w:val="99"/>
    <w:unhideWhenUsed/>
    <w:rsid w:val="00F171E0"/>
    <w:pPr>
      <w:spacing w:before="0" w:line="240" w:lineRule="auto"/>
    </w:pPr>
  </w:style>
  <w:style w:type="character" w:customStyle="1" w:styleId="E-mailSignatureChar">
    <w:name w:val="E-mail Signature Char"/>
    <w:basedOn w:val="DefaultParagraphFont"/>
    <w:link w:val="E-mailSignature"/>
    <w:uiPriority w:val="99"/>
    <w:rsid w:val="00F171E0"/>
    <w:rPr>
      <w:rFonts w:ascii="Arial" w:hAnsi="Arial"/>
    </w:rPr>
  </w:style>
  <w:style w:type="paragraph" w:styleId="EnvelopeAddress">
    <w:name w:val="envelope address"/>
    <w:basedOn w:val="Normal"/>
    <w:uiPriority w:val="99"/>
    <w:unhideWhenUsed/>
    <w:rsid w:val="00F171E0"/>
    <w:pPr>
      <w:framePr w:w="7920" w:h="1980" w:hRule="exact" w:hSpace="180" w:wrap="auto" w:hAnchor="page" w:xAlign="center" w:yAlign="bottom"/>
      <w:spacing w:before="0"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unhideWhenUsed/>
    <w:rsid w:val="00F171E0"/>
    <w:pPr>
      <w:spacing w:before="0" w:line="240" w:lineRule="auto"/>
    </w:pPr>
    <w:rPr>
      <w:rFonts w:asciiTheme="majorHAnsi" w:eastAsiaTheme="majorEastAsia" w:hAnsiTheme="majorHAnsi" w:cstheme="majorBidi"/>
      <w:sz w:val="20"/>
      <w:szCs w:val="20"/>
    </w:rPr>
  </w:style>
  <w:style w:type="character" w:styleId="FollowedHyperlink">
    <w:name w:val="FollowedHyperlink"/>
    <w:basedOn w:val="DefaultParagraphFont"/>
    <w:uiPriority w:val="99"/>
    <w:unhideWhenUsed/>
    <w:rsid w:val="00F171E0"/>
    <w:rPr>
      <w:color w:val="800080" w:themeColor="followedHyperlink"/>
      <w:u w:val="single"/>
    </w:rPr>
  </w:style>
  <w:style w:type="paragraph" w:styleId="Index3">
    <w:name w:val="index 3"/>
    <w:basedOn w:val="Normal"/>
    <w:next w:val="Normal"/>
    <w:autoRedefine/>
    <w:uiPriority w:val="99"/>
    <w:unhideWhenUsed/>
    <w:rsid w:val="00F171E0"/>
    <w:pPr>
      <w:spacing w:before="0" w:line="240" w:lineRule="auto"/>
      <w:ind w:left="660" w:hanging="220"/>
    </w:pPr>
  </w:style>
  <w:style w:type="paragraph" w:styleId="Index4">
    <w:name w:val="index 4"/>
    <w:basedOn w:val="Normal"/>
    <w:next w:val="Normal"/>
    <w:autoRedefine/>
    <w:uiPriority w:val="99"/>
    <w:unhideWhenUsed/>
    <w:rsid w:val="00F171E0"/>
    <w:pPr>
      <w:spacing w:before="0" w:line="240" w:lineRule="auto"/>
      <w:ind w:left="880" w:hanging="220"/>
    </w:pPr>
  </w:style>
  <w:style w:type="paragraph" w:styleId="Index5">
    <w:name w:val="index 5"/>
    <w:basedOn w:val="Normal"/>
    <w:next w:val="Normal"/>
    <w:autoRedefine/>
    <w:uiPriority w:val="99"/>
    <w:unhideWhenUsed/>
    <w:rsid w:val="00F171E0"/>
    <w:pPr>
      <w:spacing w:before="0" w:line="240" w:lineRule="auto"/>
      <w:ind w:left="1100" w:hanging="220"/>
    </w:pPr>
  </w:style>
  <w:style w:type="paragraph" w:styleId="IndexHeading">
    <w:name w:val="index heading"/>
    <w:basedOn w:val="Normal"/>
    <w:next w:val="Index1"/>
    <w:uiPriority w:val="99"/>
    <w:unhideWhenUsed/>
    <w:rsid w:val="00F171E0"/>
    <w:rPr>
      <w:rFonts w:asciiTheme="majorHAnsi" w:eastAsiaTheme="majorEastAsia" w:hAnsiTheme="majorHAnsi" w:cstheme="majorBidi"/>
      <w:b/>
      <w:bCs/>
    </w:rPr>
  </w:style>
  <w:style w:type="character" w:styleId="IntenseEmphasis">
    <w:name w:val="Intense Emphasis"/>
    <w:basedOn w:val="DefaultParagraphFont"/>
    <w:uiPriority w:val="21"/>
    <w:unhideWhenUsed/>
    <w:rsid w:val="00F171E0"/>
    <w:rPr>
      <w:b/>
      <w:bCs/>
      <w:i/>
      <w:iCs/>
      <w:color w:val="2F002F" w:themeColor="accent1"/>
    </w:rPr>
  </w:style>
  <w:style w:type="paragraph" w:styleId="IntenseQuote">
    <w:name w:val="Intense Quote"/>
    <w:basedOn w:val="Normal"/>
    <w:next w:val="Normal"/>
    <w:link w:val="IntenseQuoteChar"/>
    <w:uiPriority w:val="30"/>
    <w:unhideWhenUsed/>
    <w:rsid w:val="00F171E0"/>
    <w:pPr>
      <w:pBdr>
        <w:bottom w:val="single" w:sz="4" w:space="4" w:color="2F002F" w:themeColor="accent1"/>
      </w:pBdr>
      <w:spacing w:after="280"/>
      <w:ind w:left="936" w:right="936"/>
    </w:pPr>
    <w:rPr>
      <w:b/>
      <w:bCs/>
      <w:i/>
      <w:iCs/>
      <w:color w:val="2F002F" w:themeColor="accent1"/>
    </w:rPr>
  </w:style>
  <w:style w:type="character" w:customStyle="1" w:styleId="IntenseQuoteChar">
    <w:name w:val="Intense Quote Char"/>
    <w:basedOn w:val="DefaultParagraphFont"/>
    <w:link w:val="IntenseQuote"/>
    <w:uiPriority w:val="30"/>
    <w:rsid w:val="00F171E0"/>
    <w:rPr>
      <w:rFonts w:ascii="Arial" w:hAnsi="Arial"/>
      <w:b/>
      <w:bCs/>
      <w:i/>
      <w:iCs/>
      <w:color w:val="2F002F" w:themeColor="accent1"/>
    </w:rPr>
  </w:style>
  <w:style w:type="character" w:styleId="IntenseReference">
    <w:name w:val="Intense Reference"/>
    <w:basedOn w:val="DefaultParagraphFont"/>
    <w:uiPriority w:val="32"/>
    <w:unhideWhenUsed/>
    <w:rsid w:val="00F171E0"/>
    <w:rPr>
      <w:b/>
      <w:bCs/>
      <w:smallCaps/>
      <w:color w:val="C14E00" w:themeColor="accent2"/>
      <w:spacing w:val="5"/>
      <w:u w:val="single"/>
    </w:rPr>
  </w:style>
  <w:style w:type="character" w:styleId="LineNumber">
    <w:name w:val="line number"/>
    <w:basedOn w:val="DefaultParagraphFont"/>
    <w:uiPriority w:val="99"/>
    <w:unhideWhenUsed/>
    <w:rsid w:val="00F171E0"/>
  </w:style>
  <w:style w:type="paragraph" w:customStyle="1" w:styleId="AERnumberedlistsecondstyle">
    <w:name w:val="AER numbered list (second style)"/>
    <w:basedOn w:val="Listalphabet"/>
    <w:qFormat/>
    <w:rsid w:val="00DB5074"/>
    <w:pPr>
      <w:numPr>
        <w:numId w:val="18"/>
      </w:numPr>
      <w:tabs>
        <w:tab w:val="clear" w:pos="340"/>
        <w:tab w:val="left" w:pos="680"/>
      </w:tabs>
      <w:ind w:left="680" w:hanging="340"/>
    </w:pPr>
  </w:style>
  <w:style w:type="paragraph" w:customStyle="1" w:styleId="Listalphabet3">
    <w:name w:val="List alphabet 3"/>
    <w:basedOn w:val="AERnumberedlistsecondstyle"/>
    <w:rsid w:val="00DB5074"/>
    <w:pPr>
      <w:tabs>
        <w:tab w:val="clear" w:pos="680"/>
        <w:tab w:val="left" w:pos="1021"/>
      </w:tabs>
      <w:ind w:left="1020"/>
    </w:pPr>
  </w:style>
  <w:style w:type="paragraph" w:customStyle="1" w:styleId="Listalphabet4">
    <w:name w:val="List alphabet 4"/>
    <w:basedOn w:val="Listalphabet3"/>
    <w:rsid w:val="00DB5074"/>
    <w:pPr>
      <w:tabs>
        <w:tab w:val="clear" w:pos="1021"/>
        <w:tab w:val="left" w:pos="1361"/>
      </w:tabs>
      <w:ind w:left="1361"/>
    </w:pPr>
  </w:style>
  <w:style w:type="paragraph" w:customStyle="1" w:styleId="Listalphabet5">
    <w:name w:val="List alphabet 5"/>
    <w:basedOn w:val="Listalphabet4"/>
    <w:rsid w:val="00DB5074"/>
    <w:pPr>
      <w:tabs>
        <w:tab w:val="clear" w:pos="1361"/>
        <w:tab w:val="left" w:pos="1701"/>
      </w:tabs>
      <w:ind w:left="1701"/>
    </w:pPr>
  </w:style>
  <w:style w:type="paragraph" w:styleId="ListContinue5">
    <w:name w:val="List Continue 5"/>
    <w:basedOn w:val="Normal"/>
    <w:uiPriority w:val="99"/>
    <w:unhideWhenUsed/>
    <w:rsid w:val="00DB5074"/>
    <w:pPr>
      <w:tabs>
        <w:tab w:val="left" w:pos="1701"/>
      </w:tabs>
      <w:spacing w:after="120"/>
      <w:ind w:left="1701"/>
      <w:contextualSpacing/>
    </w:pPr>
  </w:style>
  <w:style w:type="paragraph" w:styleId="ListNumber2">
    <w:name w:val="List Number 2"/>
    <w:basedOn w:val="Normal"/>
    <w:uiPriority w:val="99"/>
    <w:unhideWhenUsed/>
    <w:rsid w:val="00571D57"/>
    <w:pPr>
      <w:numPr>
        <w:numId w:val="8"/>
      </w:numPr>
      <w:tabs>
        <w:tab w:val="left" w:pos="680"/>
      </w:tabs>
      <w:spacing w:before="80" w:line="360" w:lineRule="auto"/>
      <w:ind w:left="680" w:hanging="340"/>
      <w:contextualSpacing/>
    </w:pPr>
  </w:style>
  <w:style w:type="character" w:customStyle="1" w:styleId="SalutationChar">
    <w:name w:val="Salutation Char"/>
    <w:basedOn w:val="DefaultParagraphFont"/>
    <w:link w:val="Salutation"/>
    <w:uiPriority w:val="99"/>
    <w:rsid w:val="00CA489E"/>
    <w:rPr>
      <w:rFonts w:ascii="Arial" w:hAnsi="Arial"/>
    </w:rPr>
  </w:style>
  <w:style w:type="paragraph" w:styleId="Signature">
    <w:name w:val="Signature"/>
    <w:basedOn w:val="Normal"/>
    <w:link w:val="SignatureChar"/>
    <w:uiPriority w:val="99"/>
    <w:unhideWhenUsed/>
    <w:rsid w:val="00CA489E"/>
    <w:pPr>
      <w:spacing w:before="0" w:line="240" w:lineRule="auto"/>
      <w:ind w:left="4252"/>
    </w:pPr>
  </w:style>
  <w:style w:type="character" w:customStyle="1" w:styleId="SignatureChar">
    <w:name w:val="Signature Char"/>
    <w:basedOn w:val="DefaultParagraphFont"/>
    <w:link w:val="Signature"/>
    <w:uiPriority w:val="99"/>
    <w:rsid w:val="00CA489E"/>
    <w:rPr>
      <w:rFonts w:ascii="Arial" w:hAnsi="Arial"/>
    </w:rPr>
  </w:style>
  <w:style w:type="character" w:styleId="SubtleEmphasis">
    <w:name w:val="Subtle Emphasis"/>
    <w:basedOn w:val="DefaultParagraphFont"/>
    <w:uiPriority w:val="19"/>
    <w:unhideWhenUsed/>
    <w:rsid w:val="00CA489E"/>
    <w:rPr>
      <w:b/>
      <w:i/>
      <w:iCs/>
      <w:color w:val="2F002F" w:themeColor="accent1"/>
    </w:rPr>
  </w:style>
  <w:style w:type="character" w:styleId="SubtleReference">
    <w:name w:val="Subtle Reference"/>
    <w:basedOn w:val="DefaultParagraphFont"/>
    <w:uiPriority w:val="31"/>
    <w:unhideWhenUsed/>
    <w:rsid w:val="00CA489E"/>
    <w:rPr>
      <w:smallCaps/>
      <w:color w:val="C14E00" w:themeColor="accent2"/>
      <w:u w:val="single"/>
    </w:rPr>
  </w:style>
  <w:style w:type="paragraph" w:customStyle="1" w:styleId="AERquoteindent1">
    <w:name w:val="AER quote (indent 1)"/>
    <w:basedOn w:val="Normal"/>
    <w:qFormat/>
    <w:rsid w:val="00DE1093"/>
    <w:pPr>
      <w:tabs>
        <w:tab w:val="left" w:pos="680"/>
      </w:tabs>
      <w:spacing w:after="160" w:line="240" w:lineRule="auto"/>
      <w:ind w:left="680" w:right="794"/>
    </w:pPr>
    <w:rPr>
      <w:rFonts w:eastAsia="Times New Roman" w:cs="Times New Roman"/>
      <w:sz w:val="20"/>
      <w:szCs w:val="20"/>
      <w:lang w:eastAsia="en-AU"/>
    </w:rPr>
  </w:style>
  <w:style w:type="character" w:styleId="PageNumber">
    <w:name w:val="page number"/>
    <w:basedOn w:val="DefaultParagraphFont"/>
    <w:rsid w:val="0020492C"/>
  </w:style>
  <w:style w:type="character" w:styleId="PlaceholderText">
    <w:name w:val="Placeholder Text"/>
    <w:basedOn w:val="DefaultParagraphFont"/>
    <w:uiPriority w:val="99"/>
    <w:semiHidden/>
    <w:rsid w:val="008D1661"/>
    <w:rPr>
      <w:color w:val="808080"/>
    </w:rPr>
  </w:style>
  <w:style w:type="paragraph" w:customStyle="1" w:styleId="StyleCopyrightBefore0pt">
    <w:name w:val="Style Copyright + Before:  0 pt"/>
    <w:basedOn w:val="Copyright"/>
    <w:rsid w:val="00185CB9"/>
    <w:pPr>
      <w:spacing w:before="120"/>
    </w:pPr>
    <w:rPr>
      <w:rFonts w:eastAsia="Times New Roman" w:cs="Times New Roman"/>
    </w:rPr>
  </w:style>
  <w:style w:type="character" w:customStyle="1" w:styleId="Bold">
    <w:name w:val="Bold"/>
    <w:basedOn w:val="DefaultParagraphFont"/>
    <w:rsid w:val="0020492C"/>
    <w:rPr>
      <w:b/>
      <w:bCs/>
    </w:rPr>
  </w:style>
  <w:style w:type="paragraph" w:customStyle="1" w:styleId="LegalNumbering">
    <w:name w:val="Legal Numbering"/>
    <w:basedOn w:val="Normal"/>
    <w:rsid w:val="005829C2"/>
    <w:pPr>
      <w:numPr>
        <w:numId w:val="21"/>
      </w:numPr>
      <w:tabs>
        <w:tab w:val="left" w:pos="680"/>
        <w:tab w:val="left" w:pos="1021"/>
        <w:tab w:val="left" w:pos="1361"/>
      </w:tabs>
      <w:spacing w:line="240" w:lineRule="auto"/>
    </w:pPr>
  </w:style>
  <w:style w:type="paragraph" w:customStyle="1" w:styleId="AERquoteindent3">
    <w:name w:val="AER quote (indent 3)"/>
    <w:basedOn w:val="AERquoteindent2"/>
    <w:qFormat/>
    <w:rsid w:val="00DE1093"/>
    <w:pPr>
      <w:ind w:left="1361"/>
    </w:pPr>
  </w:style>
  <w:style w:type="paragraph" w:customStyle="1" w:styleId="AERquotebullet1">
    <w:name w:val="AER quote bullet 1"/>
    <w:basedOn w:val="AERquoteindent1"/>
    <w:qFormat/>
    <w:rsid w:val="00DE1093"/>
    <w:pPr>
      <w:numPr>
        <w:numId w:val="22"/>
      </w:numPr>
      <w:ind w:left="1037" w:hanging="357"/>
    </w:pPr>
  </w:style>
  <w:style w:type="paragraph" w:customStyle="1" w:styleId="AERbulletlistthirdstyle">
    <w:name w:val="AER bullet list (third style)"/>
    <w:basedOn w:val="AERbulletlistsecondstyle"/>
    <w:qFormat/>
    <w:rsid w:val="00343A18"/>
    <w:pPr>
      <w:numPr>
        <w:ilvl w:val="2"/>
      </w:numPr>
      <w:tabs>
        <w:tab w:val="left" w:pos="1361"/>
      </w:tabs>
      <w:ind w:left="1361" w:hanging="340"/>
    </w:pPr>
  </w:style>
  <w:style w:type="character" w:customStyle="1" w:styleId="AERsubscript">
    <w:name w:val="AER subscript"/>
    <w:basedOn w:val="DefaultParagraphFont"/>
    <w:qFormat/>
    <w:rsid w:val="00343A18"/>
    <w:rPr>
      <w:sz w:val="16"/>
      <w:vertAlign w:val="subscript"/>
    </w:rPr>
  </w:style>
  <w:style w:type="character" w:customStyle="1" w:styleId="AERtextbolditalics">
    <w:name w:val="AER text bold italics"/>
    <w:basedOn w:val="DefaultParagraphFont"/>
    <w:qFormat/>
    <w:rsid w:val="00343A18"/>
    <w:rPr>
      <w:b/>
      <w:bCs/>
      <w:i/>
      <w:iCs/>
    </w:rPr>
  </w:style>
  <w:style w:type="character" w:customStyle="1" w:styleId="AERsuperscript">
    <w:name w:val="AER superscript"/>
    <w:qFormat/>
    <w:rsid w:val="00343A18"/>
    <w:rPr>
      <w:rFonts w:ascii="Arial" w:hAnsi="Arial"/>
      <w:sz w:val="16"/>
      <w:vertAlign w:val="superscript"/>
    </w:rPr>
  </w:style>
  <w:style w:type="character" w:customStyle="1" w:styleId="AERtextunderline">
    <w:name w:val="AER text underline"/>
    <w:basedOn w:val="DefaultParagraphFont"/>
    <w:qFormat/>
    <w:rsid w:val="00343A18"/>
    <w:rPr>
      <w:u w:val="single"/>
    </w:rPr>
  </w:style>
  <w:style w:type="paragraph" w:customStyle="1" w:styleId="AERtextconfidential">
    <w:name w:val="AER text confidential"/>
    <w:basedOn w:val="Normal"/>
    <w:qFormat/>
    <w:rsid w:val="008B5FCC"/>
    <w:rPr>
      <w:shd w:val="clear" w:color="auto" w:fill="CCFFFF"/>
    </w:rPr>
  </w:style>
  <w:style w:type="paragraph" w:customStyle="1" w:styleId="UnnumberedHeading">
    <w:name w:val="Unnumbered Heading"/>
    <w:basedOn w:val="Heading1"/>
    <w:link w:val="UnnumberedHeadingChar"/>
    <w:qFormat/>
    <w:rsid w:val="008B5FCC"/>
    <w:pPr>
      <w:numPr>
        <w:numId w:val="0"/>
      </w:numPr>
    </w:pPr>
  </w:style>
  <w:style w:type="numbering" w:customStyle="1" w:styleId="AERHeadings">
    <w:name w:val="AER Headings"/>
    <w:uiPriority w:val="99"/>
    <w:rsid w:val="00126A4C"/>
    <w:pPr>
      <w:numPr>
        <w:numId w:val="23"/>
      </w:numPr>
    </w:pPr>
  </w:style>
  <w:style w:type="character" w:customStyle="1" w:styleId="AERbody">
    <w:name w:val="AER body"/>
    <w:basedOn w:val="DefaultParagraphFont"/>
    <w:qFormat/>
    <w:rsid w:val="00126A4C"/>
    <w:rPr>
      <w:rFonts w:ascii="Arial" w:hAnsi="Arial"/>
      <w:color w:val="auto"/>
      <w:sz w:val="22"/>
    </w:rPr>
  </w:style>
  <w:style w:type="numbering" w:customStyle="1" w:styleId="AERnumberedlist">
    <w:name w:val="AER numbered list"/>
    <w:uiPriority w:val="99"/>
    <w:rsid w:val="00126A4C"/>
    <w:pPr>
      <w:numPr>
        <w:numId w:val="24"/>
      </w:numPr>
    </w:pPr>
  </w:style>
  <w:style w:type="character" w:customStyle="1" w:styleId="UnnumberedHeadingChar">
    <w:name w:val="Unnumbered Heading Char"/>
    <w:basedOn w:val="Heading1Char"/>
    <w:link w:val="UnnumberedHeading"/>
    <w:rsid w:val="00126A4C"/>
    <w:rPr>
      <w:rFonts w:ascii="Arial" w:eastAsiaTheme="majorEastAsia" w:hAnsi="Arial" w:cstheme="majorBidi"/>
      <w:b/>
      <w:bCs/>
      <w:color w:val="70635A"/>
      <w:sz w:val="36"/>
      <w:szCs w:val="28"/>
    </w:rPr>
  </w:style>
  <w:style w:type="paragraph" w:customStyle="1" w:styleId="AERbodytextnospace">
    <w:name w:val="AER body text no space"/>
    <w:basedOn w:val="Normal"/>
    <w:qFormat/>
    <w:rsid w:val="00683C89"/>
    <w:pPr>
      <w:tabs>
        <w:tab w:val="num" w:pos="0"/>
      </w:tabs>
      <w:spacing w:before="0" w:line="288" w:lineRule="auto"/>
      <w:jc w:val="both"/>
    </w:pPr>
    <w:rPr>
      <w:rFonts w:asciiTheme="minorHAnsi" w:eastAsia="Times New Roman" w:hAnsiTheme="minorHAnsi" w:cs="Times New Roman"/>
      <w:sz w:val="20"/>
      <w:szCs w:val="24"/>
    </w:rPr>
  </w:style>
  <w:style w:type="paragraph" w:customStyle="1" w:styleId="AERnumberedlist2first">
    <w:name w:val="AER numbered list 2 first"/>
    <w:basedOn w:val="Normal"/>
    <w:qFormat/>
    <w:rsid w:val="00683C89"/>
    <w:pPr>
      <w:tabs>
        <w:tab w:val="num" w:pos="454"/>
      </w:tabs>
      <w:spacing w:before="0" w:after="240" w:line="288" w:lineRule="auto"/>
      <w:ind w:left="454" w:hanging="454"/>
      <w:jc w:val="both"/>
    </w:pPr>
    <w:rPr>
      <w:rFonts w:asciiTheme="minorHAnsi" w:eastAsia="Times New Roman" w:hAnsiTheme="minorHAnsi" w:cs="Times New Roman"/>
      <w:sz w:val="20"/>
      <w:szCs w:val="24"/>
    </w:rPr>
  </w:style>
  <w:style w:type="character" w:customStyle="1" w:styleId="AERbodytextChar">
    <w:name w:val="AER body text Char"/>
    <w:basedOn w:val="DefaultParagraphFont"/>
    <w:rsid w:val="00126A4C"/>
    <w:rPr>
      <w:rFonts w:eastAsia="Times New Roman"/>
      <w:szCs w:val="24"/>
      <w:lang w:eastAsia="en-US"/>
    </w:rPr>
  </w:style>
  <w:style w:type="character" w:customStyle="1" w:styleId="HeadingBoldBlueChar">
    <w:name w:val="Heading Bold Blue Char"/>
    <w:basedOn w:val="AERbodytextChar"/>
    <w:link w:val="HeadingBoldBlue"/>
    <w:rsid w:val="00126A4C"/>
    <w:rPr>
      <w:rFonts w:ascii="Arial" w:eastAsiaTheme="majorEastAsia" w:hAnsi="Arial" w:cstheme="majorBidi"/>
      <w:b/>
      <w:bCs/>
      <w:color w:val="70635A" w:themeColor="text2"/>
      <w:sz w:val="28"/>
      <w:szCs w:val="24"/>
      <w:lang w:eastAsia="en-US"/>
    </w:rPr>
  </w:style>
  <w:style w:type="table" w:customStyle="1" w:styleId="AERtable-text0">
    <w:name w:val="AER table - text"/>
    <w:basedOn w:val="TableNormal"/>
    <w:uiPriority w:val="99"/>
    <w:rsid w:val="00683C89"/>
    <w:pPr>
      <w:spacing w:before="120" w:after="80"/>
    </w:pPr>
    <w:rPr>
      <w:rFonts w:eastAsia="Calibri" w:cs="Times New Roman"/>
      <w:sz w:val="16"/>
      <w:szCs w:val="20"/>
      <w:lang w:eastAsia="en-AU"/>
    </w:rPr>
    <w:tblPr>
      <w:tblStyleRowBandSize w:val="1"/>
      <w:tblInd w:w="0" w:type="dxa"/>
      <w:tblBorders>
        <w:bottom w:val="single" w:sz="4" w:space="0" w:color="365F91"/>
      </w:tblBorders>
      <w:tblCellMar>
        <w:top w:w="0" w:type="dxa"/>
        <w:left w:w="108" w:type="dxa"/>
        <w:bottom w:w="0" w:type="dxa"/>
        <w:right w:w="108" w:type="dxa"/>
      </w:tblCellMar>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character" w:customStyle="1" w:styleId="AERtextsize8">
    <w:name w:val="AER text size 8"/>
    <w:basedOn w:val="AERbody"/>
    <w:uiPriority w:val="1"/>
    <w:qFormat/>
    <w:rsid w:val="00126A4C"/>
    <w:rPr>
      <w:rFonts w:ascii="Arial" w:hAnsi="Arial"/>
      <w:color w:val="auto"/>
      <w:sz w:val="16"/>
    </w:rPr>
  </w:style>
  <w:style w:type="paragraph" w:styleId="Index7">
    <w:name w:val="index 7"/>
    <w:basedOn w:val="Normal"/>
    <w:next w:val="Normal"/>
    <w:autoRedefine/>
    <w:uiPriority w:val="99"/>
    <w:unhideWhenUsed/>
    <w:rsid w:val="00126A4C"/>
    <w:pPr>
      <w:spacing w:before="0" w:line="240" w:lineRule="auto"/>
      <w:ind w:left="1540" w:hanging="220"/>
    </w:pPr>
  </w:style>
  <w:style w:type="paragraph" w:customStyle="1" w:styleId="AERtablesource">
    <w:name w:val="AER table source"/>
    <w:next w:val="Normal"/>
    <w:qFormat/>
    <w:rsid w:val="0066104A"/>
    <w:pPr>
      <w:tabs>
        <w:tab w:val="left" w:pos="794"/>
      </w:tabs>
      <w:spacing w:before="160" w:after="360" w:line="360" w:lineRule="auto"/>
      <w:ind w:left="794" w:hanging="794"/>
      <w:contextualSpacing/>
      <w:jc w:val="both"/>
    </w:pPr>
    <w:rPr>
      <w:rFonts w:ascii="Arial" w:eastAsia="Times New Roman" w:hAnsi="Arial" w:cs="Times New Roman"/>
      <w:sz w:val="16"/>
      <w:szCs w:val="24"/>
    </w:rPr>
  </w:style>
  <w:style w:type="character" w:customStyle="1" w:styleId="AERtexthighlight">
    <w:name w:val="AER text highlight"/>
    <w:qFormat/>
    <w:rsid w:val="00126A4C"/>
    <w:rPr>
      <w:bdr w:val="none" w:sz="0" w:space="0" w:color="auto"/>
      <w:shd w:val="clear" w:color="auto" w:fill="FFFF00"/>
    </w:rPr>
  </w:style>
  <w:style w:type="character" w:customStyle="1" w:styleId="AERtextitalic">
    <w:name w:val="AER text italic"/>
    <w:qFormat/>
    <w:rsid w:val="00126A4C"/>
    <w:rPr>
      <w:i/>
    </w:rPr>
  </w:style>
  <w:style w:type="paragraph" w:customStyle="1" w:styleId="AERquote">
    <w:name w:val="AER quote"/>
    <w:next w:val="Normal"/>
    <w:qFormat/>
    <w:rsid w:val="00DE1093"/>
    <w:pPr>
      <w:tabs>
        <w:tab w:val="num" w:pos="709"/>
      </w:tabs>
      <w:spacing w:after="160" w:line="288" w:lineRule="auto"/>
      <w:ind w:left="709" w:right="720"/>
      <w:jc w:val="both"/>
    </w:pPr>
    <w:rPr>
      <w:rFonts w:ascii="Arial" w:eastAsia="Times New Roman" w:hAnsi="Arial" w:cs="Times New Roman"/>
      <w:color w:val="000000"/>
      <w:sz w:val="20"/>
      <w:szCs w:val="24"/>
    </w:rPr>
  </w:style>
  <w:style w:type="paragraph" w:customStyle="1" w:styleId="AERtabletextleft">
    <w:name w:val="AER table text left"/>
    <w:qFormat/>
    <w:rsid w:val="00983C25"/>
    <w:pPr>
      <w:spacing w:before="80" w:after="120" w:line="288" w:lineRule="auto"/>
    </w:pPr>
    <w:rPr>
      <w:rFonts w:ascii="Arial" w:eastAsia="Times New Roman" w:hAnsi="Arial" w:cs="Times New Roman"/>
      <w:sz w:val="20"/>
      <w:szCs w:val="24"/>
    </w:rPr>
  </w:style>
  <w:style w:type="character" w:customStyle="1" w:styleId="AERtextboldunderline">
    <w:name w:val="AER text bold underline"/>
    <w:qFormat/>
    <w:rsid w:val="000E4821"/>
    <w:rPr>
      <w:b/>
      <w:u w:val="single"/>
    </w:rPr>
  </w:style>
  <w:style w:type="numbering" w:customStyle="1" w:styleId="OldAERheadings">
    <w:name w:val="Old AER headings"/>
    <w:uiPriority w:val="99"/>
    <w:locked/>
    <w:rsid w:val="000E4821"/>
    <w:pPr>
      <w:numPr>
        <w:numId w:val="26"/>
      </w:numPr>
    </w:pPr>
  </w:style>
  <w:style w:type="character" w:customStyle="1" w:styleId="AERtextorange">
    <w:name w:val="AER text orange"/>
    <w:uiPriority w:val="1"/>
    <w:qFormat/>
    <w:rsid w:val="000E4821"/>
    <w:rPr>
      <w:color w:val="E36C0A"/>
    </w:rPr>
  </w:style>
  <w:style w:type="paragraph" w:customStyle="1" w:styleId="AERtitle1">
    <w:name w:val="AER title 1"/>
    <w:qFormat/>
    <w:rsid w:val="00683C89"/>
    <w:pPr>
      <w:spacing w:before="0" w:after="240" w:line="288" w:lineRule="auto"/>
      <w:jc w:val="center"/>
    </w:pPr>
    <w:rPr>
      <w:rFonts w:asciiTheme="majorHAnsi" w:eastAsia="Times New Roman" w:hAnsiTheme="majorHAnsi" w:cs="Times New Roman"/>
      <w:b/>
      <w:sz w:val="40"/>
      <w:szCs w:val="24"/>
      <w:lang w:eastAsia="en-AU"/>
    </w:rPr>
  </w:style>
  <w:style w:type="paragraph" w:customStyle="1" w:styleId="AERtitle2">
    <w:name w:val="AER title 2"/>
    <w:qFormat/>
    <w:rsid w:val="00683C89"/>
    <w:pPr>
      <w:spacing w:before="0" w:after="240" w:line="288" w:lineRule="auto"/>
      <w:jc w:val="center"/>
    </w:pPr>
    <w:rPr>
      <w:rFonts w:asciiTheme="majorHAnsi" w:eastAsia="Times New Roman" w:hAnsiTheme="majorHAnsi" w:cs="Times New Roman"/>
      <w:sz w:val="32"/>
      <w:szCs w:val="24"/>
    </w:rPr>
  </w:style>
  <w:style w:type="character" w:customStyle="1" w:styleId="AERtextblue">
    <w:name w:val="AER text blue"/>
    <w:uiPriority w:val="1"/>
    <w:qFormat/>
    <w:rsid w:val="000E4821"/>
    <w:rPr>
      <w:color w:val="365F91"/>
    </w:rPr>
  </w:style>
  <w:style w:type="table" w:customStyle="1" w:styleId="AERtable-numbers">
    <w:name w:val="AER table - numbers"/>
    <w:basedOn w:val="TableNormal"/>
    <w:uiPriority w:val="99"/>
    <w:rsid w:val="00683C89"/>
    <w:pPr>
      <w:spacing w:before="120" w:after="80"/>
      <w:jc w:val="right"/>
    </w:pPr>
    <w:rPr>
      <w:rFonts w:eastAsia="Calibri" w:cs="Times New Roman"/>
      <w:sz w:val="16"/>
      <w:szCs w:val="20"/>
      <w:lang w:eastAsia="en-AU"/>
    </w:rPr>
    <w:tblPr>
      <w:tblStyleRowBandSize w:val="1"/>
      <w:tblInd w:w="0" w:type="dxa"/>
      <w:tblBorders>
        <w:bottom w:val="single" w:sz="4" w:space="0" w:color="365F91"/>
      </w:tblBorders>
      <w:tblCellMar>
        <w:top w:w="0" w:type="dxa"/>
        <w:left w:w="108" w:type="dxa"/>
        <w:bottom w:w="0" w:type="dxa"/>
        <w:right w:w="108" w:type="dxa"/>
      </w:tblCellMar>
    </w:tblPr>
    <w:tcPr>
      <w:vAlign w:val="center"/>
    </w:tcPr>
    <w:tblStylePr w:type="firstRow">
      <w:rPr>
        <w:b/>
        <w:color w:val="FFFFFF"/>
      </w:rPr>
      <w:tblPr/>
      <w:tcPr>
        <w:shd w:val="clear" w:color="auto" w:fill="365F91"/>
      </w:tcPr>
    </w:tblStylePr>
    <w:tblStylePr w:type="firstCol">
      <w:pPr>
        <w:jc w:val="left"/>
      </w:pPr>
    </w:tblStylePr>
    <w:tblStylePr w:type="band2Horz">
      <w:tblPr/>
      <w:tcPr>
        <w:shd w:val="clear" w:color="auto" w:fill="DBE5F1"/>
      </w:tcPr>
    </w:tblStylePr>
  </w:style>
  <w:style w:type="table" w:styleId="TableGrid1">
    <w:name w:val="Table Grid 1"/>
    <w:basedOn w:val="TableNormal"/>
    <w:uiPriority w:val="99"/>
    <w:semiHidden/>
    <w:unhideWhenUsed/>
    <w:rsid w:val="00683C89"/>
    <w:pPr>
      <w:spacing w:before="0"/>
    </w:pPr>
    <w:rPr>
      <w:rFonts w:eastAsia="Calibri" w:cs="Times New Roman"/>
      <w:sz w:val="20"/>
      <w:szCs w:val="20"/>
      <w:lang w:eastAsia="en-AU"/>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customStyle="1" w:styleId="AERtabletextright">
    <w:name w:val="AER table text right"/>
    <w:basedOn w:val="AERtabletextleft"/>
    <w:qFormat/>
    <w:rsid w:val="000E4821"/>
    <w:pPr>
      <w:spacing w:before="120" w:after="80"/>
      <w:jc w:val="right"/>
    </w:pPr>
  </w:style>
  <w:style w:type="paragraph" w:styleId="CommentText">
    <w:name w:val="annotation text"/>
    <w:basedOn w:val="Normal"/>
    <w:link w:val="CommentTextChar"/>
    <w:uiPriority w:val="99"/>
    <w:unhideWhenUsed/>
    <w:rsid w:val="00683C89"/>
    <w:pPr>
      <w:spacing w:before="0" w:after="240" w:line="240" w:lineRule="auto"/>
      <w:jc w:val="both"/>
    </w:pPr>
    <w:rPr>
      <w:rFonts w:asciiTheme="minorHAnsi" w:eastAsia="Calibri" w:hAnsiTheme="minorHAnsi" w:cs="Times New Roman"/>
      <w:sz w:val="20"/>
      <w:szCs w:val="20"/>
    </w:rPr>
  </w:style>
  <w:style w:type="character" w:customStyle="1" w:styleId="CommentTextChar">
    <w:name w:val="Comment Text Char"/>
    <w:basedOn w:val="DefaultParagraphFont"/>
    <w:link w:val="CommentText"/>
    <w:uiPriority w:val="99"/>
    <w:semiHidden/>
    <w:rsid w:val="00683C89"/>
    <w:rPr>
      <w:rFonts w:eastAsia="Calibri" w:cs="Times New Roman"/>
      <w:sz w:val="20"/>
      <w:szCs w:val="20"/>
    </w:rPr>
  </w:style>
  <w:style w:type="paragraph" w:styleId="CommentSubject">
    <w:name w:val="annotation subject"/>
    <w:basedOn w:val="CommentText"/>
    <w:next w:val="CommentText"/>
    <w:link w:val="CommentSubjectChar"/>
    <w:uiPriority w:val="99"/>
    <w:semiHidden/>
    <w:unhideWhenUsed/>
    <w:rsid w:val="00683C89"/>
    <w:rPr>
      <w:b/>
      <w:bCs/>
    </w:rPr>
  </w:style>
  <w:style w:type="character" w:customStyle="1" w:styleId="CommentSubjectChar">
    <w:name w:val="Comment Subject Char"/>
    <w:basedOn w:val="CommentTextChar"/>
    <w:link w:val="CommentSubject"/>
    <w:uiPriority w:val="99"/>
    <w:semiHidden/>
    <w:rsid w:val="00683C89"/>
    <w:rPr>
      <w:rFonts w:eastAsia="Calibri" w:cs="Times New Roman"/>
      <w:b/>
      <w:bCs/>
      <w:sz w:val="20"/>
      <w:szCs w:val="20"/>
    </w:rPr>
  </w:style>
  <w:style w:type="character" w:customStyle="1" w:styleId="AERtextsize10">
    <w:name w:val="AER text size 10"/>
    <w:uiPriority w:val="1"/>
    <w:qFormat/>
    <w:rsid w:val="000E4821"/>
    <w:rPr>
      <w:sz w:val="20"/>
    </w:rPr>
  </w:style>
  <w:style w:type="paragraph" w:customStyle="1" w:styleId="AERbodytextnospaceleftalign">
    <w:name w:val="AER body text no space left align"/>
    <w:basedOn w:val="AERbodytextnospace"/>
    <w:qFormat/>
    <w:rsid w:val="000E4821"/>
    <w:pPr>
      <w:jc w:val="left"/>
    </w:pPr>
  </w:style>
  <w:style w:type="paragraph" w:customStyle="1" w:styleId="AERbodytextleftalign">
    <w:name w:val="AER body text left align"/>
    <w:basedOn w:val="Normal"/>
    <w:qFormat/>
    <w:rsid w:val="00683C89"/>
    <w:pPr>
      <w:tabs>
        <w:tab w:val="num" w:pos="1492"/>
      </w:tabs>
      <w:spacing w:before="0" w:after="240" w:line="288" w:lineRule="auto"/>
      <w:ind w:left="1492" w:hanging="360"/>
    </w:pPr>
    <w:rPr>
      <w:rFonts w:asciiTheme="minorHAnsi" w:eastAsia="Times New Roman" w:hAnsiTheme="minorHAnsi" w:cs="Times New Roman"/>
      <w:sz w:val="20"/>
      <w:szCs w:val="24"/>
    </w:rPr>
  </w:style>
  <w:style w:type="paragraph" w:customStyle="1" w:styleId="AERbodytextcentre">
    <w:name w:val="AER body text centre"/>
    <w:basedOn w:val="Normal"/>
    <w:qFormat/>
    <w:rsid w:val="00683C89"/>
    <w:pPr>
      <w:tabs>
        <w:tab w:val="num" w:pos="1492"/>
      </w:tabs>
      <w:spacing w:before="0" w:after="240" w:line="288" w:lineRule="auto"/>
      <w:ind w:left="1492" w:hanging="360"/>
      <w:jc w:val="center"/>
    </w:pPr>
    <w:rPr>
      <w:rFonts w:asciiTheme="minorHAnsi" w:eastAsia="Times New Roman" w:hAnsiTheme="minorHAnsi" w:cs="Times New Roman"/>
      <w:sz w:val="20"/>
      <w:szCs w:val="24"/>
    </w:rPr>
  </w:style>
  <w:style w:type="paragraph" w:customStyle="1" w:styleId="AERbodytextnospacecentre">
    <w:name w:val="AER body text no space centre"/>
    <w:basedOn w:val="AERbodytextnospace"/>
    <w:qFormat/>
    <w:rsid w:val="000E4821"/>
    <w:pPr>
      <w:tabs>
        <w:tab w:val="clear" w:pos="0"/>
        <w:tab w:val="num" w:pos="1492"/>
      </w:tabs>
      <w:ind w:left="1492" w:hanging="360"/>
      <w:jc w:val="center"/>
    </w:pPr>
  </w:style>
  <w:style w:type="paragraph" w:styleId="Revision">
    <w:name w:val="Revision"/>
    <w:hidden/>
    <w:uiPriority w:val="99"/>
    <w:semiHidden/>
    <w:rsid w:val="000E4821"/>
    <w:pPr>
      <w:spacing w:before="0"/>
    </w:pPr>
    <w:rPr>
      <w:rFonts w:ascii="Gautami" w:eastAsia="Calibri" w:hAnsi="Gautami" w:cs="Times New Roman"/>
      <w:sz w:val="20"/>
      <w:szCs w:val="20"/>
    </w:rPr>
  </w:style>
  <w:style w:type="table" w:customStyle="1" w:styleId="AERtable-text1">
    <w:name w:val="AER table - text1"/>
    <w:basedOn w:val="TableNormal"/>
    <w:uiPriority w:val="99"/>
    <w:rsid w:val="00683C89"/>
    <w:pPr>
      <w:spacing w:before="120" w:after="80"/>
    </w:pPr>
    <w:rPr>
      <w:rFonts w:eastAsia="Calibri" w:cs="Times New Roman"/>
      <w:sz w:val="16"/>
      <w:szCs w:val="20"/>
      <w:lang w:eastAsia="en-AU"/>
    </w:rPr>
    <w:tblPr>
      <w:tblStyleRowBandSize w:val="1"/>
      <w:tblInd w:w="0" w:type="dxa"/>
      <w:tblBorders>
        <w:bottom w:val="single" w:sz="4" w:space="0" w:color="365F91"/>
      </w:tblBorders>
      <w:tblCellMar>
        <w:top w:w="0" w:type="dxa"/>
        <w:left w:w="108" w:type="dxa"/>
        <w:bottom w:w="0" w:type="dxa"/>
        <w:right w:w="108" w:type="dxa"/>
      </w:tblCellMar>
    </w:tblPr>
    <w:tcPr>
      <w:vAlign w:val="center"/>
    </w:tcPr>
    <w:tblStylePr w:type="firstRow">
      <w:rPr>
        <w:b/>
        <w:color w:val="FFFFFF"/>
      </w:rPr>
      <w:tblPr/>
      <w:tcPr>
        <w:shd w:val="clear" w:color="auto" w:fill="365F91"/>
      </w:tcPr>
    </w:tblStylePr>
    <w:tblStylePr w:type="band2Horz">
      <w:tblPr/>
      <w:tcPr>
        <w:shd w:val="clear" w:color="auto" w:fill="DBE5F1"/>
      </w:tcPr>
    </w:tblStyle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AU" w:eastAsia="en-US" w:bidi="ar-SA"/>
      </w:rPr>
    </w:rPrDefault>
    <w:pPrDefault>
      <w:pPr>
        <w:spacing w:before="20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semiHidden="0" w:uiPriority="39" w:unhideWhenUsed="0" w:qFormat="1"/>
    <w:lsdException w:name="toc 2" w:semiHidden="0" w:uiPriority="39" w:unhideWhenUsed="0" w:qFormat="1"/>
    <w:lsdException w:name="toc 3" w:semiHidden="0" w:uiPriority="39" w:unhideWhenUsed="0" w:qFormat="1"/>
    <w:lsdException w:name="toc 4" w:semiHidden="0" w:uiPriority="39" w:unhideWhenUsed="0"/>
    <w:lsdException w:name="toc 5" w:semiHidden="0" w:uiPriority="39" w:unhideWhenUsed="0"/>
    <w:lsdException w:name="toc 6" w:semiHidden="0" w:uiPriority="39" w:unhideWhenUsed="0"/>
    <w:lsdException w:name="toc 7" w:semiHidden="0" w:uiPriority="39" w:unhideWhenUsed="0"/>
    <w:lsdException w:name="toc 8" w:semiHidden="0" w:uiPriority="39" w:unhideWhenUsed="0"/>
    <w:lsdException w:name="toc 9" w:semiHidden="0" w:uiPriority="39" w:unhideWhenUsed="0"/>
    <w:lsdException w:name="Normal Indent" w:semiHidden="0" w:unhideWhenUsed="0"/>
    <w:lsdException w:name="footnote text" w:uiPriority="0" w:qFormat="1"/>
    <w:lsdException w:name="header" w:qFormat="1"/>
    <w:lsdException w:name="footer" w:qFormat="1"/>
    <w:lsdException w:name="caption" w:uiPriority="0" w:qFormat="1"/>
    <w:lsdException w:name="page number" w:uiPriority="0"/>
    <w:lsdException w:name="List" w:qFormat="1"/>
    <w:lsdException w:name="List Number" w:uiPriority="0" w:qFormat="1"/>
    <w:lsdException w:name="List Bullet 2" w:uiPriority="0" w:qFormat="1"/>
    <w:lsdException w:name="List Bullet 3" w:uiPriority="0" w:qFormat="1"/>
    <w:lsdException w:name="Title" w:semiHidden="0" w:uiPriority="10" w:unhideWhenUsed="0" w:qFormat="1"/>
    <w:lsdException w:name="Default Paragraph Font" w:uiPriority="1"/>
    <w:lsdException w:name="List Continue" w:qFormat="1"/>
    <w:lsdException w:name="Subtitle" w:semiHidden="0" w:uiPriority="11" w:unhideWhenUsed="0"/>
    <w:lsdException w:name="Hyperlink"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uiPriority="3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uiPriority="19"/>
    <w:lsdException w:name="Intense Emphasis" w:uiPriority="21"/>
    <w:lsdException w:name="Subtle Reference" w:uiPriority="31"/>
    <w:lsdException w:name="Intense Reference" w:uiPriority="32"/>
    <w:lsdException w:name="Book Title" w:semiHidden="0" w:uiPriority="33" w:unhideWhenUsed="0"/>
    <w:lsdException w:name="Bibliography" w:uiPriority="37"/>
    <w:lsdException w:name="TOC Heading" w:uiPriority="39" w:qFormat="1"/>
  </w:latentStyles>
  <w:style w:type="paragraph" w:default="1" w:styleId="Normal">
    <w:name w:val="Normal"/>
    <w:aliases w:val="AER body text"/>
    <w:qFormat/>
    <w:rsid w:val="000A3020"/>
    <w:pPr>
      <w:spacing w:line="276" w:lineRule="auto"/>
    </w:pPr>
    <w:rPr>
      <w:rFonts w:ascii="Arial" w:hAnsi="Arial"/>
    </w:rPr>
  </w:style>
  <w:style w:type="paragraph" w:styleId="Heading1">
    <w:name w:val="heading 1"/>
    <w:basedOn w:val="Normal"/>
    <w:next w:val="Normal"/>
    <w:link w:val="Heading1Char"/>
    <w:uiPriority w:val="9"/>
    <w:qFormat/>
    <w:rsid w:val="00DE1093"/>
    <w:pPr>
      <w:pageBreakBefore/>
      <w:numPr>
        <w:numId w:val="25"/>
      </w:numPr>
      <w:tabs>
        <w:tab w:val="left" w:pos="680"/>
      </w:tabs>
      <w:spacing w:before="240"/>
      <w:outlineLvl w:val="0"/>
    </w:pPr>
    <w:rPr>
      <w:rFonts w:eastAsiaTheme="majorEastAsia" w:cstheme="majorBidi"/>
      <w:b/>
      <w:bCs/>
      <w:color w:val="70635A"/>
      <w:sz w:val="36"/>
      <w:szCs w:val="28"/>
    </w:rPr>
  </w:style>
  <w:style w:type="paragraph" w:styleId="Heading2">
    <w:name w:val="heading 2"/>
    <w:next w:val="Normal"/>
    <w:link w:val="Heading2Char"/>
    <w:uiPriority w:val="9"/>
    <w:qFormat/>
    <w:rsid w:val="00126A4C"/>
    <w:pPr>
      <w:numPr>
        <w:ilvl w:val="1"/>
        <w:numId w:val="25"/>
      </w:numPr>
      <w:tabs>
        <w:tab w:val="left" w:pos="680"/>
      </w:tabs>
      <w:spacing w:line="240" w:lineRule="atLeast"/>
      <w:outlineLvl w:val="1"/>
    </w:pPr>
    <w:rPr>
      <w:rFonts w:ascii="Arial" w:eastAsiaTheme="majorEastAsia" w:hAnsi="Arial" w:cstheme="majorBidi"/>
      <w:b/>
      <w:bCs/>
      <w:color w:val="70635A" w:themeColor="text2"/>
      <w:sz w:val="32"/>
      <w:szCs w:val="26"/>
    </w:rPr>
  </w:style>
  <w:style w:type="paragraph" w:styleId="Heading3">
    <w:name w:val="heading 3"/>
    <w:basedOn w:val="Normal"/>
    <w:next w:val="Normal"/>
    <w:link w:val="Heading3Char"/>
    <w:uiPriority w:val="9"/>
    <w:qFormat/>
    <w:rsid w:val="00126A4C"/>
    <w:pPr>
      <w:numPr>
        <w:ilvl w:val="2"/>
        <w:numId w:val="25"/>
      </w:numPr>
      <w:tabs>
        <w:tab w:val="left" w:pos="1021"/>
      </w:tabs>
      <w:spacing w:before="240"/>
      <w:outlineLvl w:val="2"/>
    </w:pPr>
    <w:rPr>
      <w:rFonts w:eastAsiaTheme="majorEastAsia" w:cstheme="majorBidi"/>
      <w:b/>
      <w:bCs/>
      <w:color w:val="70635A" w:themeColor="text2"/>
      <w:sz w:val="28"/>
    </w:rPr>
  </w:style>
  <w:style w:type="paragraph" w:styleId="Heading4">
    <w:name w:val="heading 4"/>
    <w:basedOn w:val="Normal"/>
    <w:next w:val="Normal"/>
    <w:link w:val="Heading4Char"/>
    <w:uiPriority w:val="9"/>
    <w:qFormat/>
    <w:rsid w:val="00126A4C"/>
    <w:pPr>
      <w:numPr>
        <w:ilvl w:val="3"/>
        <w:numId w:val="25"/>
      </w:numPr>
      <w:tabs>
        <w:tab w:val="left" w:pos="1021"/>
      </w:tabs>
      <w:spacing w:before="240"/>
      <w:outlineLvl w:val="3"/>
    </w:pPr>
    <w:rPr>
      <w:rFonts w:eastAsiaTheme="majorEastAsia" w:cstheme="majorBidi"/>
      <w:b/>
      <w:bCs/>
      <w:iCs/>
      <w:color w:val="51626F"/>
      <w:sz w:val="24"/>
    </w:rPr>
  </w:style>
  <w:style w:type="paragraph" w:styleId="Heading5">
    <w:name w:val="heading 5"/>
    <w:next w:val="Normal"/>
    <w:link w:val="Heading5Char"/>
    <w:uiPriority w:val="9"/>
    <w:qFormat/>
    <w:rsid w:val="00126A4C"/>
    <w:pPr>
      <w:numPr>
        <w:ilvl w:val="4"/>
        <w:numId w:val="25"/>
      </w:numPr>
      <w:tabs>
        <w:tab w:val="left" w:pos="1021"/>
      </w:tabs>
      <w:spacing w:line="240" w:lineRule="atLeast"/>
      <w:outlineLvl w:val="4"/>
    </w:pPr>
    <w:rPr>
      <w:rFonts w:ascii="Arial" w:eastAsiaTheme="majorEastAsia" w:hAnsi="Arial" w:cstheme="majorBidi"/>
      <w:b/>
      <w:color w:val="170017" w:themeColor="accent1" w:themeShade="7F"/>
    </w:rPr>
  </w:style>
  <w:style w:type="paragraph" w:styleId="Heading6">
    <w:name w:val="heading 6"/>
    <w:basedOn w:val="Normal"/>
    <w:next w:val="Normal"/>
    <w:link w:val="Heading6Char"/>
    <w:uiPriority w:val="9"/>
    <w:qFormat/>
    <w:rsid w:val="00126A4C"/>
    <w:pPr>
      <w:numPr>
        <w:ilvl w:val="5"/>
        <w:numId w:val="25"/>
      </w:numPr>
      <w:tabs>
        <w:tab w:val="left" w:pos="1361"/>
      </w:tabs>
      <w:spacing w:before="240"/>
      <w:outlineLvl w:val="5"/>
    </w:pPr>
    <w:rPr>
      <w:rFonts w:eastAsiaTheme="majorEastAsia" w:cstheme="majorBidi"/>
      <w:b/>
      <w:i/>
      <w:iCs/>
      <w:color w:val="076A92" w:themeColor="text1"/>
    </w:rPr>
  </w:style>
  <w:style w:type="paragraph" w:styleId="Heading7">
    <w:name w:val="heading 7"/>
    <w:basedOn w:val="Heading1"/>
    <w:next w:val="Normal"/>
    <w:link w:val="Heading7Char"/>
    <w:uiPriority w:val="9"/>
    <w:qFormat/>
    <w:rsid w:val="00CB0279"/>
    <w:pPr>
      <w:numPr>
        <w:numId w:val="27"/>
      </w:numPr>
      <w:tabs>
        <w:tab w:val="clear" w:pos="680"/>
        <w:tab w:val="left" w:pos="1021"/>
      </w:tabs>
      <w:ind w:left="1021" w:hanging="1021"/>
      <w:outlineLvl w:val="6"/>
    </w:pPr>
  </w:style>
  <w:style w:type="paragraph" w:styleId="Heading8">
    <w:name w:val="heading 8"/>
    <w:basedOn w:val="Heading2"/>
    <w:next w:val="Normal"/>
    <w:link w:val="Heading8Char"/>
    <w:uiPriority w:val="9"/>
    <w:qFormat/>
    <w:rsid w:val="00CB0279"/>
    <w:pPr>
      <w:numPr>
        <w:numId w:val="27"/>
      </w:numPr>
      <w:tabs>
        <w:tab w:val="clear" w:pos="680"/>
        <w:tab w:val="left" w:pos="1021"/>
      </w:tabs>
      <w:outlineLvl w:val="7"/>
    </w:pPr>
  </w:style>
  <w:style w:type="paragraph" w:styleId="Heading9">
    <w:name w:val="heading 9"/>
    <w:basedOn w:val="Heading3"/>
    <w:next w:val="Normal"/>
    <w:link w:val="Heading9Char"/>
    <w:uiPriority w:val="9"/>
    <w:qFormat/>
    <w:rsid w:val="00CB0279"/>
    <w:pPr>
      <w:numPr>
        <w:numId w:val="27"/>
      </w:numPr>
      <w:ind w:left="1021" w:hanging="1021"/>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E1093"/>
    <w:rPr>
      <w:rFonts w:ascii="Arial" w:eastAsiaTheme="majorEastAsia" w:hAnsi="Arial" w:cstheme="majorBidi"/>
      <w:b/>
      <w:bCs/>
      <w:color w:val="70635A"/>
      <w:sz w:val="36"/>
      <w:szCs w:val="28"/>
    </w:rPr>
  </w:style>
  <w:style w:type="character" w:customStyle="1" w:styleId="Heading2Char">
    <w:name w:val="Heading 2 Char"/>
    <w:basedOn w:val="DefaultParagraphFont"/>
    <w:link w:val="Heading2"/>
    <w:uiPriority w:val="9"/>
    <w:rsid w:val="00126A4C"/>
    <w:rPr>
      <w:rFonts w:ascii="Arial" w:eastAsiaTheme="majorEastAsia" w:hAnsi="Arial" w:cstheme="majorBidi"/>
      <w:b/>
      <w:bCs/>
      <w:color w:val="70635A" w:themeColor="text2"/>
      <w:sz w:val="32"/>
      <w:szCs w:val="26"/>
    </w:rPr>
  </w:style>
  <w:style w:type="character" w:customStyle="1" w:styleId="Heading3Char">
    <w:name w:val="Heading 3 Char"/>
    <w:basedOn w:val="DefaultParagraphFont"/>
    <w:link w:val="Heading3"/>
    <w:uiPriority w:val="9"/>
    <w:rsid w:val="00126A4C"/>
    <w:rPr>
      <w:rFonts w:ascii="Arial" w:eastAsiaTheme="majorEastAsia" w:hAnsi="Arial" w:cstheme="majorBidi"/>
      <w:b/>
      <w:bCs/>
      <w:color w:val="70635A" w:themeColor="text2"/>
      <w:sz w:val="28"/>
    </w:rPr>
  </w:style>
  <w:style w:type="character" w:customStyle="1" w:styleId="Heading4Char">
    <w:name w:val="Heading 4 Char"/>
    <w:basedOn w:val="DefaultParagraphFont"/>
    <w:link w:val="Heading4"/>
    <w:uiPriority w:val="9"/>
    <w:rsid w:val="00126A4C"/>
    <w:rPr>
      <w:rFonts w:ascii="Arial" w:eastAsiaTheme="majorEastAsia" w:hAnsi="Arial" w:cstheme="majorBidi"/>
      <w:b/>
      <w:bCs/>
      <w:iCs/>
      <w:color w:val="51626F"/>
      <w:sz w:val="24"/>
    </w:rPr>
  </w:style>
  <w:style w:type="character" w:customStyle="1" w:styleId="Heading5Char">
    <w:name w:val="Heading 5 Char"/>
    <w:basedOn w:val="DefaultParagraphFont"/>
    <w:link w:val="Heading5"/>
    <w:uiPriority w:val="9"/>
    <w:rsid w:val="00126A4C"/>
    <w:rPr>
      <w:rFonts w:ascii="Arial" w:eastAsiaTheme="majorEastAsia" w:hAnsi="Arial" w:cstheme="majorBidi"/>
      <w:b/>
      <w:color w:val="170017" w:themeColor="accent1" w:themeShade="7F"/>
    </w:rPr>
  </w:style>
  <w:style w:type="character" w:customStyle="1" w:styleId="Heading6Char">
    <w:name w:val="Heading 6 Char"/>
    <w:basedOn w:val="DefaultParagraphFont"/>
    <w:link w:val="Heading6"/>
    <w:uiPriority w:val="9"/>
    <w:rsid w:val="00126A4C"/>
    <w:rPr>
      <w:rFonts w:ascii="Arial" w:eastAsiaTheme="majorEastAsia" w:hAnsi="Arial" w:cstheme="majorBidi"/>
      <w:b/>
      <w:i/>
      <w:iCs/>
      <w:color w:val="076A92" w:themeColor="text1"/>
    </w:rPr>
  </w:style>
  <w:style w:type="paragraph" w:customStyle="1" w:styleId="Chaptertitle">
    <w:name w:val="Chapter title"/>
    <w:basedOn w:val="Normal"/>
    <w:link w:val="ChaptertitleChar"/>
    <w:rsid w:val="00DE1093"/>
    <w:pPr>
      <w:pageBreakBefore/>
      <w:spacing w:before="520" w:after="120"/>
      <w:outlineLvl w:val="0"/>
    </w:pPr>
    <w:rPr>
      <w:color w:val="076A92" w:themeColor="text1"/>
      <w:sz w:val="52"/>
      <w:szCs w:val="52"/>
    </w:rPr>
  </w:style>
  <w:style w:type="character" w:customStyle="1" w:styleId="ChaptertitleChar">
    <w:name w:val="Chapter title Char"/>
    <w:basedOn w:val="DefaultParagraphFont"/>
    <w:link w:val="Chaptertitle"/>
    <w:rsid w:val="00DE1093"/>
    <w:rPr>
      <w:rFonts w:ascii="Arial" w:hAnsi="Arial"/>
      <w:color w:val="076A92" w:themeColor="text1"/>
      <w:sz w:val="52"/>
      <w:szCs w:val="52"/>
    </w:rPr>
  </w:style>
  <w:style w:type="paragraph" w:customStyle="1" w:styleId="Tabletext">
    <w:name w:val="Table text"/>
    <w:basedOn w:val="Normal"/>
    <w:link w:val="TabletextChar"/>
    <w:uiPriority w:val="1"/>
    <w:qFormat/>
    <w:rsid w:val="00584D8F"/>
    <w:pPr>
      <w:spacing w:before="120" w:after="60"/>
    </w:pPr>
    <w:rPr>
      <w:sz w:val="20"/>
    </w:rPr>
  </w:style>
  <w:style w:type="paragraph" w:styleId="TOC8">
    <w:name w:val="toc 8"/>
    <w:basedOn w:val="Normal"/>
    <w:next w:val="Normal"/>
    <w:uiPriority w:val="39"/>
    <w:rsid w:val="005D7BA2"/>
    <w:pPr>
      <w:tabs>
        <w:tab w:val="right" w:leader="dot" w:pos="8363"/>
      </w:tabs>
      <w:spacing w:after="100"/>
      <w:ind w:left="2977"/>
    </w:pPr>
    <w:rPr>
      <w:noProof/>
    </w:rPr>
  </w:style>
  <w:style w:type="paragraph" w:styleId="TOC9">
    <w:name w:val="toc 9"/>
    <w:basedOn w:val="Normal"/>
    <w:next w:val="Normal"/>
    <w:uiPriority w:val="39"/>
    <w:rsid w:val="005D7BA2"/>
    <w:pPr>
      <w:tabs>
        <w:tab w:val="right" w:leader="dot" w:pos="8363"/>
      </w:tabs>
      <w:spacing w:after="100"/>
      <w:ind w:left="3402"/>
    </w:pPr>
    <w:rPr>
      <w:noProof/>
    </w:rPr>
  </w:style>
  <w:style w:type="paragraph" w:customStyle="1" w:styleId="HeadingBoldBlue">
    <w:name w:val="Heading Bold Blue"/>
    <w:basedOn w:val="Heading3"/>
    <w:link w:val="HeadingBoldBlueChar"/>
    <w:qFormat/>
    <w:rsid w:val="00985C86"/>
    <w:pPr>
      <w:numPr>
        <w:ilvl w:val="0"/>
        <w:numId w:val="0"/>
      </w:numPr>
    </w:pPr>
  </w:style>
  <w:style w:type="paragraph" w:customStyle="1" w:styleId="HeadingBoldItalic">
    <w:name w:val="Heading Bold Italic"/>
    <w:basedOn w:val="Heading4"/>
    <w:qFormat/>
    <w:rsid w:val="00985C86"/>
    <w:pPr>
      <w:numPr>
        <w:ilvl w:val="0"/>
        <w:numId w:val="0"/>
      </w:numPr>
    </w:pPr>
    <w:rPr>
      <w:i/>
    </w:rPr>
  </w:style>
  <w:style w:type="paragraph" w:customStyle="1" w:styleId="HeadingItalic">
    <w:name w:val="Heading Italic"/>
    <w:basedOn w:val="HeadingBoldItalic"/>
    <w:qFormat/>
    <w:rsid w:val="00985C86"/>
    <w:rPr>
      <w:b w:val="0"/>
    </w:rPr>
  </w:style>
  <w:style w:type="paragraph" w:customStyle="1" w:styleId="HeadingOrange">
    <w:name w:val="Heading Orange"/>
    <w:basedOn w:val="Heading5"/>
    <w:qFormat/>
    <w:rsid w:val="00985C86"/>
    <w:pPr>
      <w:numPr>
        <w:ilvl w:val="0"/>
        <w:numId w:val="0"/>
      </w:numPr>
    </w:pPr>
  </w:style>
  <w:style w:type="paragraph" w:styleId="Header">
    <w:name w:val="header"/>
    <w:basedOn w:val="Normal"/>
    <w:link w:val="HeaderChar"/>
    <w:uiPriority w:val="99"/>
    <w:unhideWhenUsed/>
    <w:qFormat/>
    <w:rsid w:val="008344F6"/>
    <w:pPr>
      <w:tabs>
        <w:tab w:val="center" w:pos="4513"/>
        <w:tab w:val="right" w:pos="9026"/>
      </w:tabs>
      <w:spacing w:after="120"/>
    </w:pPr>
    <w:rPr>
      <w:color w:val="2F002F" w:themeColor="accent1"/>
      <w:sz w:val="18"/>
    </w:rPr>
  </w:style>
  <w:style w:type="character" w:customStyle="1" w:styleId="HeaderChar">
    <w:name w:val="Header Char"/>
    <w:basedOn w:val="DefaultParagraphFont"/>
    <w:link w:val="Header"/>
    <w:uiPriority w:val="99"/>
    <w:rsid w:val="008344F6"/>
    <w:rPr>
      <w:rFonts w:ascii="Arial" w:hAnsi="Arial"/>
      <w:color w:val="2F002F" w:themeColor="accent1"/>
      <w:sz w:val="18"/>
    </w:rPr>
  </w:style>
  <w:style w:type="paragraph" w:styleId="NoSpacing">
    <w:name w:val="No Spacing"/>
    <w:uiPriority w:val="1"/>
    <w:qFormat/>
    <w:rsid w:val="00724A37"/>
    <w:pPr>
      <w:spacing w:before="0"/>
    </w:pPr>
    <w:rPr>
      <w:rFonts w:ascii="Arial" w:hAnsi="Arial"/>
    </w:rPr>
  </w:style>
  <w:style w:type="paragraph" w:customStyle="1" w:styleId="Tabletitle">
    <w:name w:val="Table title"/>
    <w:basedOn w:val="Normal"/>
    <w:link w:val="TabletitleChar"/>
    <w:qFormat/>
    <w:rsid w:val="00C67A92"/>
    <w:pPr>
      <w:spacing w:before="240" w:after="120"/>
    </w:pPr>
    <w:rPr>
      <w:b/>
      <w:color w:val="076A92" w:themeColor="text1"/>
      <w:sz w:val="24"/>
      <w:szCs w:val="20"/>
    </w:rPr>
  </w:style>
  <w:style w:type="character" w:customStyle="1" w:styleId="TabletitleChar">
    <w:name w:val="Table title Char"/>
    <w:basedOn w:val="DefaultParagraphFont"/>
    <w:link w:val="Tabletitle"/>
    <w:rsid w:val="00C67A92"/>
    <w:rPr>
      <w:rFonts w:ascii="Arial" w:hAnsi="Arial"/>
      <w:b/>
      <w:color w:val="076A92" w:themeColor="text1"/>
      <w:sz w:val="24"/>
      <w:szCs w:val="20"/>
    </w:rPr>
  </w:style>
  <w:style w:type="paragraph" w:customStyle="1" w:styleId="Charttitle">
    <w:name w:val="Chart title"/>
    <w:basedOn w:val="Tabletitle"/>
    <w:rsid w:val="00C67A92"/>
  </w:style>
  <w:style w:type="paragraph" w:styleId="EndnoteText">
    <w:name w:val="endnote text"/>
    <w:basedOn w:val="Normal"/>
    <w:link w:val="EndnoteTextChar"/>
    <w:uiPriority w:val="99"/>
    <w:rsid w:val="00263AC0"/>
    <w:pPr>
      <w:spacing w:before="0"/>
    </w:pPr>
    <w:rPr>
      <w:sz w:val="20"/>
      <w:szCs w:val="20"/>
    </w:rPr>
  </w:style>
  <w:style w:type="paragraph" w:customStyle="1" w:styleId="AERrevisionbox">
    <w:name w:val="AER revision box"/>
    <w:basedOn w:val="Normal"/>
    <w:link w:val="AERrevisionboxChar"/>
    <w:qFormat/>
    <w:rsid w:val="00180157"/>
    <w:pPr>
      <w:pBdr>
        <w:top w:val="single" w:sz="4" w:space="1" w:color="FFFFFF" w:themeColor="background1"/>
        <w:left w:val="single" w:sz="4" w:space="4" w:color="FFFFFF" w:themeColor="background1"/>
        <w:bottom w:val="single" w:sz="4" w:space="1" w:color="FFFFFF" w:themeColor="background1"/>
        <w:right w:val="single" w:sz="4" w:space="4" w:color="FFFFFF" w:themeColor="background1"/>
      </w:pBdr>
      <w:shd w:val="clear" w:color="auto" w:fill="F2F2F2" w:themeFill="background1" w:themeFillShade="F2"/>
      <w:spacing w:after="240"/>
    </w:pPr>
    <w:rPr>
      <w:szCs w:val="20"/>
    </w:rPr>
  </w:style>
  <w:style w:type="character" w:customStyle="1" w:styleId="AERrevisionboxChar">
    <w:name w:val="AER revision box Char"/>
    <w:basedOn w:val="DefaultParagraphFont"/>
    <w:link w:val="AERrevisionbox"/>
    <w:uiPriority w:val="1"/>
    <w:rsid w:val="00AE1BF1"/>
    <w:rPr>
      <w:rFonts w:ascii="Arial" w:hAnsi="Arial"/>
      <w:szCs w:val="20"/>
      <w:shd w:val="clear" w:color="auto" w:fill="F2F2F2" w:themeFill="background1" w:themeFillShade="F2"/>
    </w:rPr>
  </w:style>
  <w:style w:type="paragraph" w:customStyle="1" w:styleId="Pullquoteheading">
    <w:name w:val="Pull quote heading"/>
    <w:basedOn w:val="Normal"/>
    <w:link w:val="PullquoteheadingChar"/>
    <w:uiPriority w:val="1"/>
    <w:rsid w:val="00CA489E"/>
    <w:pPr>
      <w:spacing w:after="120"/>
      <w:contextualSpacing/>
    </w:pPr>
    <w:rPr>
      <w:b/>
      <w:color w:val="C14E00" w:themeColor="accent2"/>
      <w:sz w:val="24"/>
      <w:szCs w:val="24"/>
    </w:rPr>
  </w:style>
  <w:style w:type="character" w:customStyle="1" w:styleId="PullquoteheadingChar">
    <w:name w:val="Pull quote heading Char"/>
    <w:basedOn w:val="DefaultParagraphFont"/>
    <w:link w:val="Pullquoteheading"/>
    <w:uiPriority w:val="1"/>
    <w:rsid w:val="00CA489E"/>
    <w:rPr>
      <w:rFonts w:ascii="Arial" w:hAnsi="Arial"/>
      <w:b/>
      <w:color w:val="C14E00" w:themeColor="accent2"/>
      <w:sz w:val="24"/>
      <w:szCs w:val="24"/>
    </w:rPr>
  </w:style>
  <w:style w:type="paragraph" w:customStyle="1" w:styleId="Pullquotetext">
    <w:name w:val="Pull quote text"/>
    <w:link w:val="PullquotetextChar"/>
    <w:uiPriority w:val="1"/>
    <w:rsid w:val="00CA489E"/>
    <w:pPr>
      <w:spacing w:before="120"/>
    </w:pPr>
    <w:rPr>
      <w:rFonts w:ascii="Arial" w:hAnsi="Arial"/>
      <w:color w:val="DC5034"/>
      <w:szCs w:val="24"/>
    </w:rPr>
  </w:style>
  <w:style w:type="character" w:customStyle="1" w:styleId="PullquotetextChar">
    <w:name w:val="Pull quote text Char"/>
    <w:basedOn w:val="PullquoteheadingChar"/>
    <w:link w:val="Pullquotetext"/>
    <w:uiPriority w:val="1"/>
    <w:rsid w:val="00CA489E"/>
    <w:rPr>
      <w:rFonts w:ascii="Arial" w:hAnsi="Arial"/>
      <w:b w:val="0"/>
      <w:color w:val="DC5034"/>
      <w:sz w:val="24"/>
      <w:szCs w:val="24"/>
    </w:rPr>
  </w:style>
  <w:style w:type="paragraph" w:customStyle="1" w:styleId="Note">
    <w:name w:val="Note"/>
    <w:basedOn w:val="Normal"/>
    <w:link w:val="NoteChar"/>
    <w:rsid w:val="00085663"/>
    <w:pPr>
      <w:spacing w:after="120"/>
    </w:pPr>
    <w:rPr>
      <w:i/>
      <w:sz w:val="16"/>
      <w:szCs w:val="16"/>
    </w:rPr>
  </w:style>
  <w:style w:type="character" w:customStyle="1" w:styleId="NoteChar">
    <w:name w:val="Note Char"/>
    <w:basedOn w:val="DefaultParagraphFont"/>
    <w:link w:val="Note"/>
    <w:rsid w:val="00085663"/>
    <w:rPr>
      <w:rFonts w:ascii="Arial" w:hAnsi="Arial"/>
      <w:i/>
      <w:sz w:val="16"/>
      <w:szCs w:val="16"/>
    </w:rPr>
  </w:style>
  <w:style w:type="paragraph" w:customStyle="1" w:styleId="Source">
    <w:name w:val="Source"/>
    <w:basedOn w:val="Normal"/>
    <w:link w:val="SourceChar"/>
    <w:rsid w:val="00085663"/>
    <w:pPr>
      <w:spacing w:after="60"/>
    </w:pPr>
    <w:rPr>
      <w:sz w:val="16"/>
      <w:szCs w:val="16"/>
    </w:rPr>
  </w:style>
  <w:style w:type="character" w:customStyle="1" w:styleId="SourceChar">
    <w:name w:val="Source Char"/>
    <w:basedOn w:val="DefaultParagraphFont"/>
    <w:link w:val="Source"/>
    <w:rsid w:val="00085663"/>
    <w:rPr>
      <w:rFonts w:ascii="Arial" w:hAnsi="Arial"/>
      <w:sz w:val="16"/>
      <w:szCs w:val="16"/>
    </w:rPr>
  </w:style>
  <w:style w:type="paragraph" w:styleId="Index1">
    <w:name w:val="index 1"/>
    <w:basedOn w:val="Normal"/>
    <w:next w:val="Normal"/>
    <w:autoRedefine/>
    <w:uiPriority w:val="99"/>
    <w:unhideWhenUsed/>
    <w:rsid w:val="00F171E0"/>
    <w:pPr>
      <w:spacing w:before="0" w:line="240" w:lineRule="auto"/>
      <w:ind w:left="220" w:hanging="220"/>
    </w:pPr>
  </w:style>
  <w:style w:type="paragraph" w:styleId="Index2">
    <w:name w:val="index 2"/>
    <w:basedOn w:val="Normal"/>
    <w:next w:val="Normal"/>
    <w:autoRedefine/>
    <w:uiPriority w:val="99"/>
    <w:unhideWhenUsed/>
    <w:rsid w:val="00F171E0"/>
    <w:pPr>
      <w:spacing w:before="0" w:line="240" w:lineRule="auto"/>
      <w:ind w:left="440" w:hanging="220"/>
    </w:pPr>
  </w:style>
  <w:style w:type="paragraph" w:styleId="Quote">
    <w:name w:val="Quote"/>
    <w:basedOn w:val="Normal"/>
    <w:next w:val="Normal"/>
    <w:link w:val="QuoteChar"/>
    <w:uiPriority w:val="29"/>
    <w:rsid w:val="00C67A92"/>
    <w:pPr>
      <w:ind w:left="680"/>
    </w:pPr>
    <w:rPr>
      <w:i/>
      <w:iCs/>
      <w:color w:val="076A92" w:themeColor="text1"/>
    </w:rPr>
  </w:style>
  <w:style w:type="character" w:customStyle="1" w:styleId="QuoteChar">
    <w:name w:val="Quote Char"/>
    <w:basedOn w:val="DefaultParagraphFont"/>
    <w:link w:val="Quote"/>
    <w:uiPriority w:val="29"/>
    <w:rsid w:val="00C67A92"/>
    <w:rPr>
      <w:rFonts w:ascii="Arial" w:hAnsi="Arial"/>
      <w:i/>
      <w:iCs/>
      <w:color w:val="076A92" w:themeColor="text1"/>
    </w:rPr>
  </w:style>
  <w:style w:type="paragraph" w:customStyle="1" w:styleId="AERbulletlistfirststyle">
    <w:name w:val="AER bullet list (first style)"/>
    <w:basedOn w:val="ListBullet"/>
    <w:qFormat/>
    <w:rsid w:val="00FE64AE"/>
    <w:pPr>
      <w:numPr>
        <w:numId w:val="2"/>
      </w:numPr>
      <w:ind w:left="357" w:hanging="357"/>
    </w:pPr>
    <w:rPr>
      <w:rFonts w:cs="Times New Roman"/>
    </w:rPr>
  </w:style>
  <w:style w:type="paragraph" w:styleId="ListBullet">
    <w:name w:val="List Bullet"/>
    <w:aliases w:val="AER List number 2 first"/>
    <w:basedOn w:val="Normal"/>
    <w:uiPriority w:val="99"/>
    <w:unhideWhenUsed/>
    <w:rsid w:val="0045777E"/>
    <w:pPr>
      <w:numPr>
        <w:numId w:val="13"/>
      </w:numPr>
      <w:tabs>
        <w:tab w:val="left" w:pos="340"/>
      </w:tabs>
      <w:spacing w:before="120"/>
    </w:pPr>
  </w:style>
  <w:style w:type="paragraph" w:customStyle="1" w:styleId="AERbulletlistsecondstyle">
    <w:name w:val="AER bullet list (second style)"/>
    <w:basedOn w:val="ListBullet2"/>
    <w:qFormat/>
    <w:rsid w:val="008033C4"/>
    <w:pPr>
      <w:numPr>
        <w:numId w:val="12"/>
      </w:numPr>
      <w:ind w:left="998" w:hanging="357"/>
    </w:pPr>
  </w:style>
  <w:style w:type="paragraph" w:styleId="ListNumber">
    <w:name w:val="List Number"/>
    <w:aliases w:val="AER numbered list (first style)"/>
    <w:basedOn w:val="Normal"/>
    <w:qFormat/>
    <w:rsid w:val="00CA489E"/>
    <w:pPr>
      <w:numPr>
        <w:numId w:val="7"/>
      </w:numPr>
      <w:tabs>
        <w:tab w:val="clear" w:pos="360"/>
        <w:tab w:val="num" w:pos="340"/>
      </w:tabs>
      <w:spacing w:before="120"/>
      <w:ind w:left="340" w:hanging="340"/>
    </w:pPr>
  </w:style>
  <w:style w:type="paragraph" w:styleId="ListBullet2">
    <w:name w:val="List Bullet 2"/>
    <w:aliases w:val="AER numbered list 2 second"/>
    <w:basedOn w:val="Normal"/>
    <w:unhideWhenUsed/>
    <w:qFormat/>
    <w:rsid w:val="008E77DE"/>
    <w:pPr>
      <w:numPr>
        <w:numId w:val="3"/>
      </w:numPr>
      <w:spacing w:before="120"/>
    </w:pPr>
  </w:style>
  <w:style w:type="paragraph" w:styleId="TOCHeading">
    <w:name w:val="TOC Heading"/>
    <w:basedOn w:val="Normal"/>
    <w:next w:val="Normal"/>
    <w:uiPriority w:val="39"/>
    <w:qFormat/>
    <w:rsid w:val="00327A1E"/>
    <w:pPr>
      <w:spacing w:before="480" w:after="120"/>
    </w:pPr>
    <w:rPr>
      <w:rFonts w:eastAsiaTheme="majorEastAsia" w:cstheme="majorBidi"/>
      <w:b/>
      <w:bCs/>
      <w:color w:val="076A92" w:themeColor="text1"/>
      <w:sz w:val="36"/>
      <w:szCs w:val="28"/>
      <w:lang w:val="en-US" w:eastAsia="ja-JP"/>
    </w:rPr>
  </w:style>
  <w:style w:type="paragraph" w:customStyle="1" w:styleId="Listalphabet">
    <w:name w:val="List alphabet"/>
    <w:basedOn w:val="List"/>
    <w:qFormat/>
    <w:rsid w:val="00DB5074"/>
    <w:pPr>
      <w:numPr>
        <w:numId w:val="17"/>
      </w:numPr>
      <w:ind w:left="340" w:hanging="340"/>
    </w:pPr>
  </w:style>
  <w:style w:type="character" w:styleId="Hyperlink">
    <w:name w:val="Hyperlink"/>
    <w:basedOn w:val="DefaultParagraphFont"/>
    <w:uiPriority w:val="99"/>
    <w:qFormat/>
    <w:rsid w:val="00BE1F1B"/>
    <w:rPr>
      <w:rFonts w:ascii="Arial" w:hAnsi="Arial"/>
      <w:color w:val="0000FF"/>
      <w:sz w:val="22"/>
      <w:u w:val="single"/>
    </w:rPr>
  </w:style>
  <w:style w:type="paragraph" w:styleId="BalloonText">
    <w:name w:val="Balloon Text"/>
    <w:basedOn w:val="Normal"/>
    <w:link w:val="BalloonTextChar"/>
    <w:uiPriority w:val="99"/>
    <w:unhideWhenUsed/>
    <w:rsid w:val="00683C89"/>
    <w:pPr>
      <w:spacing w:before="0"/>
    </w:pPr>
    <w:rPr>
      <w:rFonts w:asciiTheme="minorHAnsi" w:hAnsiTheme="minorHAnsi" w:cs="Tahoma"/>
      <w:sz w:val="16"/>
      <w:szCs w:val="16"/>
    </w:rPr>
  </w:style>
  <w:style w:type="character" w:customStyle="1" w:styleId="BalloonTextChar">
    <w:name w:val="Balloon Text Char"/>
    <w:basedOn w:val="DefaultParagraphFont"/>
    <w:link w:val="BalloonText"/>
    <w:uiPriority w:val="99"/>
    <w:rsid w:val="00683C89"/>
    <w:rPr>
      <w:rFonts w:cs="Tahoma"/>
      <w:sz w:val="16"/>
      <w:szCs w:val="16"/>
    </w:rPr>
  </w:style>
  <w:style w:type="paragraph" w:styleId="Footer">
    <w:name w:val="footer"/>
    <w:basedOn w:val="Normal"/>
    <w:link w:val="FooterChar"/>
    <w:uiPriority w:val="99"/>
    <w:unhideWhenUsed/>
    <w:qFormat/>
    <w:rsid w:val="005D7BA2"/>
    <w:pPr>
      <w:tabs>
        <w:tab w:val="center" w:pos="4513"/>
        <w:tab w:val="right" w:pos="9026"/>
      </w:tabs>
      <w:spacing w:after="120"/>
    </w:pPr>
    <w:rPr>
      <w:color w:val="076A92" w:themeColor="text1"/>
      <w:sz w:val="18"/>
    </w:rPr>
  </w:style>
  <w:style w:type="character" w:customStyle="1" w:styleId="FooterChar">
    <w:name w:val="Footer Char"/>
    <w:basedOn w:val="DefaultParagraphFont"/>
    <w:link w:val="Footer"/>
    <w:uiPriority w:val="99"/>
    <w:rsid w:val="005D7BA2"/>
    <w:rPr>
      <w:rFonts w:ascii="Arial" w:hAnsi="Arial"/>
      <w:color w:val="076A92" w:themeColor="text1"/>
      <w:sz w:val="18"/>
    </w:rPr>
  </w:style>
  <w:style w:type="paragraph" w:styleId="ListParagraph">
    <w:name w:val="List Paragraph"/>
    <w:basedOn w:val="Normal"/>
    <w:uiPriority w:val="34"/>
    <w:qFormat/>
    <w:rsid w:val="00567BA5"/>
    <w:pPr>
      <w:numPr>
        <w:numId w:val="14"/>
      </w:numPr>
      <w:tabs>
        <w:tab w:val="left" w:pos="340"/>
      </w:tabs>
      <w:spacing w:before="120"/>
      <w:ind w:left="340" w:hanging="340"/>
    </w:pPr>
  </w:style>
  <w:style w:type="character" w:customStyle="1" w:styleId="Heading7Char">
    <w:name w:val="Heading 7 Char"/>
    <w:basedOn w:val="DefaultParagraphFont"/>
    <w:link w:val="Heading7"/>
    <w:uiPriority w:val="9"/>
    <w:rsid w:val="00CB0279"/>
    <w:rPr>
      <w:rFonts w:ascii="Arial" w:eastAsiaTheme="majorEastAsia" w:hAnsi="Arial" w:cstheme="majorBidi"/>
      <w:b/>
      <w:bCs/>
      <w:color w:val="70635A"/>
      <w:sz w:val="36"/>
      <w:szCs w:val="28"/>
    </w:rPr>
  </w:style>
  <w:style w:type="character" w:customStyle="1" w:styleId="Heading8Char">
    <w:name w:val="Heading 8 Char"/>
    <w:basedOn w:val="DefaultParagraphFont"/>
    <w:link w:val="Heading8"/>
    <w:uiPriority w:val="9"/>
    <w:rsid w:val="00CB0279"/>
    <w:rPr>
      <w:rFonts w:ascii="Arial" w:eastAsiaTheme="majorEastAsia" w:hAnsi="Arial" w:cstheme="majorBidi"/>
      <w:b/>
      <w:bCs/>
      <w:color w:val="70635A" w:themeColor="text2"/>
      <w:sz w:val="32"/>
      <w:szCs w:val="26"/>
    </w:rPr>
  </w:style>
  <w:style w:type="character" w:customStyle="1" w:styleId="Heading9Char">
    <w:name w:val="Heading 9 Char"/>
    <w:basedOn w:val="DefaultParagraphFont"/>
    <w:link w:val="Heading9"/>
    <w:uiPriority w:val="9"/>
    <w:rsid w:val="00CB0279"/>
    <w:rPr>
      <w:rFonts w:ascii="Arial" w:eastAsiaTheme="majorEastAsia" w:hAnsi="Arial" w:cstheme="majorBidi"/>
      <w:b/>
      <w:bCs/>
      <w:color w:val="70635A" w:themeColor="text2"/>
      <w:sz w:val="28"/>
    </w:rPr>
  </w:style>
  <w:style w:type="paragraph" w:customStyle="1" w:styleId="Numbered1111111">
    <w:name w:val="Numbered 1.1.1.1.1.1.1"/>
    <w:basedOn w:val="Heading7"/>
    <w:next w:val="Normal"/>
    <w:uiPriority w:val="2"/>
    <w:rsid w:val="00CA489E"/>
    <w:pPr>
      <w:numPr>
        <w:numId w:val="15"/>
      </w:numPr>
      <w:tabs>
        <w:tab w:val="left" w:pos="1701"/>
      </w:tabs>
      <w:ind w:left="1701" w:hanging="1701"/>
    </w:pPr>
  </w:style>
  <w:style w:type="paragraph" w:customStyle="1" w:styleId="Numbered11111111">
    <w:name w:val="Numbered 1.1.1.1.1.1.1.1"/>
    <w:basedOn w:val="Heading8"/>
    <w:next w:val="Normal"/>
    <w:uiPriority w:val="2"/>
    <w:rsid w:val="00CA489E"/>
    <w:pPr>
      <w:numPr>
        <w:ilvl w:val="0"/>
        <w:numId w:val="0"/>
      </w:numPr>
      <w:tabs>
        <w:tab w:val="left" w:pos="2041"/>
      </w:tabs>
      <w:ind w:left="2041" w:hanging="2041"/>
    </w:pPr>
  </w:style>
  <w:style w:type="table" w:styleId="TableGrid">
    <w:name w:val="Table Grid"/>
    <w:aliases w:val="ACCC Table"/>
    <w:basedOn w:val="TableNormal"/>
    <w:uiPriority w:val="59"/>
    <w:rsid w:val="00C53B5A"/>
    <w:pPr>
      <w:spacing w:before="60" w:after="60"/>
    </w:pPr>
    <w:rPr>
      <w:rFonts w:ascii="Arial" w:hAnsi="Arial"/>
      <w:sz w:val="20"/>
    </w:rPr>
    <w:tblPr>
      <w:tblInd w:w="0" w:type="dxa"/>
      <w:tblBorders>
        <w:top w:val="single" w:sz="4" w:space="0" w:color="BFBFBF" w:themeColor="background1" w:themeShade="BF"/>
        <w:bottom w:val="single" w:sz="4" w:space="0" w:color="BFBFBF" w:themeColor="background1" w:themeShade="BF"/>
      </w:tblBorders>
      <w:tblCellMar>
        <w:top w:w="0" w:type="dxa"/>
        <w:left w:w="108" w:type="dxa"/>
        <w:bottom w:w="0" w:type="dxa"/>
        <w:right w:w="108" w:type="dxa"/>
      </w:tblCellMar>
    </w:tblPr>
    <w:tcPr>
      <w:shd w:val="clear" w:color="auto" w:fill="auto"/>
    </w:tcPr>
    <w:tblStylePr w:type="firstRow">
      <w:pPr>
        <w:wordWrap/>
        <w:spacing w:beforeLines="0" w:before="120" w:beforeAutospacing="0" w:afterLines="0" w:after="120" w:afterAutospacing="0"/>
      </w:pPr>
      <w:rPr>
        <w:rFonts w:ascii="Arial" w:hAnsi="Arial"/>
        <w:b/>
        <w:sz w:val="20"/>
      </w:rPr>
      <w:tblPr/>
      <w:tcPr>
        <w:tcBorders>
          <w:top w:val="single" w:sz="4" w:space="0" w:color="BFBFBF" w:themeColor="background1" w:themeShade="BF"/>
          <w:left w:val="nil"/>
          <w:bottom w:val="single" w:sz="4" w:space="0" w:color="BFBFBF" w:themeColor="background1" w:themeShade="BF"/>
          <w:right w:val="nil"/>
          <w:insideH w:val="nil"/>
          <w:insideV w:val="nil"/>
          <w:tl2br w:val="nil"/>
          <w:tr2bl w:val="nil"/>
        </w:tcBorders>
        <w:shd w:val="clear" w:color="auto" w:fill="auto"/>
      </w:tcPr>
    </w:tblStylePr>
    <w:tblStylePr w:type="lastRow">
      <w:pPr>
        <w:wordWrap/>
        <w:spacing w:beforeLines="0" w:before="120" w:beforeAutospacing="0" w:afterLines="0" w:after="120" w:afterAutospacing="0" w:line="240" w:lineRule="auto"/>
      </w:pPr>
      <w:rPr>
        <w:rFonts w:ascii="Arial" w:hAnsi="Arial"/>
        <w:b/>
        <w:sz w:val="20"/>
      </w:rPr>
    </w:tblStylePr>
    <w:tblStylePr w:type="firstCol">
      <w:rPr>
        <w:rFonts w:ascii="Arial" w:hAnsi="Arial"/>
        <w:b/>
        <w:sz w:val="20"/>
      </w:rPr>
    </w:tblStylePr>
  </w:style>
  <w:style w:type="table" w:styleId="LightShading">
    <w:name w:val="Light Shading"/>
    <w:basedOn w:val="TableNormal"/>
    <w:uiPriority w:val="60"/>
    <w:rsid w:val="00C53B5A"/>
    <w:pPr>
      <w:spacing w:before="120" w:after="120"/>
    </w:pPr>
    <w:rPr>
      <w:sz w:val="20"/>
    </w:rPr>
    <w:tblPr>
      <w:tblInd w:w="0" w:type="dxa"/>
      <w:tbl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blBorders>
      <w:tblCellMar>
        <w:top w:w="0" w:type="dxa"/>
        <w:left w:w="108" w:type="dxa"/>
        <w:bottom w:w="0" w:type="dxa"/>
        <w:right w:w="108" w:type="dxa"/>
      </w:tblCellMar>
    </w:tblPr>
    <w:tcPr>
      <w:shd w:val="clear" w:color="auto" w:fill="auto"/>
      <w:vAlign w:val="center"/>
    </w:tcPr>
    <w:tblStylePr w:type="firstRow">
      <w:pPr>
        <w:wordWrap/>
        <w:spacing w:beforeLines="0" w:before="120" w:beforeAutospacing="0" w:afterLines="0" w:after="120" w:afterAutospacing="0" w:line="240" w:lineRule="auto"/>
      </w:pPr>
      <w:rPr>
        <w:rFonts w:asciiTheme="minorHAnsi" w:hAnsiTheme="minorHAnsi"/>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shd w:val="clear" w:color="auto" w:fill="auto"/>
      </w:tcPr>
    </w:tblStylePr>
    <w:tblStylePr w:type="lastRow">
      <w:pPr>
        <w:wordWrap/>
        <w:spacing w:beforeLines="0" w:before="120" w:beforeAutospacing="0" w:afterLines="0" w:after="120" w:afterAutospacing="0" w:line="240" w:lineRule="auto"/>
      </w:pPr>
      <w:rPr>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tcPr>
    </w:tblStylePr>
    <w:tblStylePr w:type="firstCol">
      <w:rPr>
        <w:b/>
        <w:bCs/>
        <w:sz w:val="20"/>
      </w:rPr>
    </w:tblStylePr>
    <w:tblStylePr w:type="lastCol">
      <w:rPr>
        <w:b/>
        <w:bCs/>
      </w:rPr>
    </w:tblStylePr>
  </w:style>
  <w:style w:type="table" w:styleId="LightShading-Accent1">
    <w:name w:val="Light Shading Accent 1"/>
    <w:basedOn w:val="TableNormal"/>
    <w:uiPriority w:val="60"/>
    <w:rsid w:val="002010BC"/>
    <w:pPr>
      <w:spacing w:before="0"/>
    </w:pPr>
    <w:rPr>
      <w:color w:val="230023" w:themeColor="accent1" w:themeShade="BF"/>
    </w:rPr>
    <w:tblPr>
      <w:tblStyleRowBandSize w:val="1"/>
      <w:tblStyleColBandSize w:val="1"/>
      <w:tblInd w:w="0" w:type="dxa"/>
      <w:tblBorders>
        <w:top w:val="single" w:sz="8" w:space="0" w:color="2F002F" w:themeColor="accent1"/>
        <w:bottom w:val="single" w:sz="8" w:space="0" w:color="2F002F"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la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8CFF" w:themeFill="accent1" w:themeFillTint="3F"/>
      </w:tcPr>
    </w:tblStylePr>
    <w:tblStylePr w:type="band1Horz">
      <w:tblPr/>
      <w:tcPr>
        <w:tcBorders>
          <w:left w:val="nil"/>
          <w:right w:val="nil"/>
          <w:insideH w:val="nil"/>
          <w:insideV w:val="nil"/>
        </w:tcBorders>
        <w:shd w:val="clear" w:color="auto" w:fill="FF8CFF" w:themeFill="accent1" w:themeFillTint="3F"/>
      </w:tcPr>
    </w:tblStylePr>
  </w:style>
  <w:style w:type="table" w:styleId="LightShading-Accent2">
    <w:name w:val="Light Shading Accent 2"/>
    <w:basedOn w:val="TableNormal"/>
    <w:uiPriority w:val="60"/>
    <w:rsid w:val="00746E01"/>
    <w:pPr>
      <w:spacing w:before="0"/>
    </w:pPr>
    <w:rPr>
      <w:rFonts w:ascii="Arial" w:hAnsi="Arial"/>
      <w:color w:val="000000"/>
      <w14:textFill>
        <w14:solidFill>
          <w14:srgbClr w14:val="000000">
            <w14:lumMod w14:val="75000"/>
            <w14:lumOff w14:val="0"/>
          </w14:srgbClr>
        </w14:solidFill>
      </w14:textFill>
    </w:rPr>
    <w:tblPr>
      <w:tblInd w:w="0" w:type="dxa"/>
      <w:tbl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blBorders>
      <w:tblCellMar>
        <w:top w:w="0" w:type="dxa"/>
        <w:left w:w="108" w:type="dxa"/>
        <w:bottom w:w="0" w:type="dxa"/>
        <w:right w:w="108" w:type="dxa"/>
      </w:tblCellMar>
    </w:tblPr>
    <w:tcPr>
      <w:vAlign w:val="center"/>
    </w:tcPr>
    <w:tblStylePr w:type="fir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l2br w:val="nil"/>
          <w:tr2bl w:val="nil"/>
        </w:tcBorders>
      </w:tcPr>
    </w:tblStylePr>
    <w:tblStylePr w:type="la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cBorders>
      </w:tcPr>
    </w:tblStylePr>
    <w:tblStylePr w:type="firstCol">
      <w:rPr>
        <w:b w:val="0"/>
        <w:bCs/>
      </w:rPr>
    </w:tblStylePr>
    <w:tblStylePr w:type="lastCol">
      <w:rPr>
        <w:b w:val="0"/>
        <w:bCs/>
      </w:rPr>
    </w:tblStylePr>
  </w:style>
  <w:style w:type="table" w:styleId="LightShading-Accent3">
    <w:name w:val="Light Shading Accent 3"/>
    <w:basedOn w:val="TableNormal"/>
    <w:uiPriority w:val="60"/>
    <w:rsid w:val="00A871F4"/>
    <w:pPr>
      <w:spacing w:before="0"/>
    </w:pPr>
    <w:rPr>
      <w:color w:val="001747" w:themeColor="accent3" w:themeShade="BF"/>
    </w:rPr>
    <w:tblPr>
      <w:tblStyleRowBandSize w:val="1"/>
      <w:tblStyleColBandSize w:val="1"/>
      <w:tblInd w:w="0" w:type="dxa"/>
      <w:tblBorders>
        <w:top w:val="single" w:sz="8" w:space="0" w:color="002060" w:themeColor="accent3"/>
        <w:bottom w:val="single" w:sz="8" w:space="0" w:color="002060"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la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98BAFF" w:themeFill="accent3" w:themeFillTint="3F"/>
      </w:tcPr>
    </w:tblStylePr>
    <w:tblStylePr w:type="band1Horz">
      <w:tblPr/>
      <w:tcPr>
        <w:tcBorders>
          <w:left w:val="nil"/>
          <w:right w:val="nil"/>
          <w:insideH w:val="nil"/>
          <w:insideV w:val="nil"/>
        </w:tcBorders>
        <w:shd w:val="clear" w:color="auto" w:fill="98BAFF" w:themeFill="accent3" w:themeFillTint="3F"/>
      </w:tcPr>
    </w:tblStylePr>
  </w:style>
  <w:style w:type="table" w:styleId="LightGrid-Accent6">
    <w:name w:val="Light Grid Accent 6"/>
    <w:basedOn w:val="TableNormal"/>
    <w:uiPriority w:val="62"/>
    <w:rsid w:val="00A871F4"/>
    <w:pPr>
      <w:spacing w:before="0"/>
    </w:pPr>
    <w:tblPr>
      <w:tblStyleRowBandSize w:val="1"/>
      <w:tblStyleColBandSize w:val="1"/>
      <w:tblInd w:w="0" w:type="dxa"/>
      <w:tblBorders>
        <w:top w:val="single" w:sz="8" w:space="0" w:color="70303C" w:themeColor="accent6"/>
        <w:left w:val="single" w:sz="8" w:space="0" w:color="70303C" w:themeColor="accent6"/>
        <w:bottom w:val="single" w:sz="8" w:space="0" w:color="70303C" w:themeColor="accent6"/>
        <w:right w:val="single" w:sz="8" w:space="0" w:color="70303C" w:themeColor="accent6"/>
        <w:insideH w:val="single" w:sz="8" w:space="0" w:color="70303C" w:themeColor="accent6"/>
        <w:insideV w:val="single" w:sz="8" w:space="0" w:color="70303C"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18" w:space="0" w:color="70303C" w:themeColor="accent6"/>
          <w:right w:val="single" w:sz="8" w:space="0" w:color="70303C" w:themeColor="accent6"/>
          <w:insideH w:val="nil"/>
          <w:insideV w:val="single" w:sz="8" w:space="0" w:color="70303C"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insideH w:val="nil"/>
          <w:insideV w:val="single" w:sz="8" w:space="0" w:color="70303C"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shd w:val="clear" w:color="auto" w:fill="E5C2C8" w:themeFill="accent6" w:themeFillTint="3F"/>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shd w:val="clear" w:color="auto" w:fill="E5C2C8" w:themeFill="accent6" w:themeFillTint="3F"/>
      </w:tcPr>
    </w:tblStylePr>
    <w:tblStylePr w:type="band2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tcPr>
    </w:tblStylePr>
  </w:style>
  <w:style w:type="table" w:styleId="MediumShading1">
    <w:name w:val="Medium Shading 1"/>
    <w:basedOn w:val="TableNormal"/>
    <w:uiPriority w:val="63"/>
    <w:rsid w:val="00A871F4"/>
    <w:pPr>
      <w:spacing w:before="0"/>
    </w:pPr>
    <w:tblPr>
      <w:tblStyleRowBandSize w:val="1"/>
      <w:tblStyleColBandSize w:val="1"/>
      <w:tblInd w:w="0" w:type="dxa"/>
      <w:tbl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single" w:sz="8" w:space="0" w:color="0BA7E7"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shd w:val="clear" w:color="auto" w:fill="076A92" w:themeFill="text1"/>
      </w:tcPr>
    </w:tblStylePr>
    <w:tblStylePr w:type="lastRow">
      <w:pPr>
        <w:spacing w:before="0" w:after="0" w:line="240" w:lineRule="auto"/>
      </w:pPr>
      <w:rPr>
        <w:b/>
        <w:bCs/>
      </w:rPr>
      <w:tblPr/>
      <w:tcPr>
        <w:tcBorders>
          <w:top w:val="double" w:sz="6"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tcPr>
    </w:tblStylePr>
    <w:tblStylePr w:type="firstCol">
      <w:rPr>
        <w:b/>
        <w:bCs/>
      </w:rPr>
    </w:tblStylePr>
    <w:tblStylePr w:type="lastCol">
      <w:rPr>
        <w:b/>
        <w:bCs/>
      </w:rPr>
    </w:tblStylePr>
    <w:tblStylePr w:type="band1Vert">
      <w:tblPr/>
      <w:tcPr>
        <w:shd w:val="clear" w:color="auto" w:fill="AAE3FB" w:themeFill="text1" w:themeFillTint="3F"/>
      </w:tcPr>
    </w:tblStylePr>
    <w:tblStylePr w:type="band1Horz">
      <w:tblPr/>
      <w:tcPr>
        <w:tcBorders>
          <w:insideH w:val="nil"/>
          <w:insideV w:val="nil"/>
        </w:tcBorders>
        <w:shd w:val="clear" w:color="auto" w:fill="AAE3FB"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A871F4"/>
    <w:pPr>
      <w:spacing w:before="0"/>
    </w:pPr>
    <w:tblPr>
      <w:tblStyleRowBandSize w:val="1"/>
      <w:tblStyleColBandSize w:val="1"/>
      <w:tblInd w:w="0" w:type="dxa"/>
      <w:tbl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single" w:sz="8" w:space="0" w:color="A300A3"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shd w:val="clear" w:color="auto" w:fill="2F002F" w:themeFill="accent1"/>
      </w:tcPr>
    </w:tblStylePr>
    <w:tblStylePr w:type="lastRow">
      <w:pPr>
        <w:spacing w:before="0" w:after="0" w:line="240" w:lineRule="auto"/>
      </w:pPr>
      <w:rPr>
        <w:b/>
        <w:bCs/>
      </w:rPr>
      <w:tblPr/>
      <w:tcPr>
        <w:tcBorders>
          <w:top w:val="double" w:sz="6"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tcPr>
    </w:tblStylePr>
    <w:tblStylePr w:type="firstCol">
      <w:rPr>
        <w:b/>
        <w:bCs/>
      </w:rPr>
    </w:tblStylePr>
    <w:tblStylePr w:type="lastCol">
      <w:rPr>
        <w:b/>
        <w:bCs/>
      </w:rPr>
    </w:tblStylePr>
    <w:tblStylePr w:type="band1Vert">
      <w:tblPr/>
      <w:tcPr>
        <w:shd w:val="clear" w:color="auto" w:fill="FF8CFF" w:themeFill="accent1" w:themeFillTint="3F"/>
      </w:tcPr>
    </w:tblStylePr>
    <w:tblStylePr w:type="band1Horz">
      <w:tblPr/>
      <w:tcPr>
        <w:tcBorders>
          <w:insideH w:val="nil"/>
          <w:insideV w:val="nil"/>
        </w:tcBorders>
        <w:shd w:val="clear" w:color="auto" w:fill="FF8CFF"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A871F4"/>
    <w:pPr>
      <w:spacing w:before="0"/>
    </w:pPr>
    <w:tblPr>
      <w:tblStyleRowBandSize w:val="1"/>
      <w:tblStyleColBandSize w:val="1"/>
      <w:tblInd w:w="0" w:type="dxa"/>
      <w:tbl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single" w:sz="8" w:space="0" w:color="FF7111"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shd w:val="clear" w:color="auto" w:fill="C14E00" w:themeFill="accent2"/>
      </w:tcPr>
    </w:tblStylePr>
    <w:tblStylePr w:type="lastRow">
      <w:pPr>
        <w:spacing w:before="0" w:after="0" w:line="240" w:lineRule="auto"/>
      </w:pPr>
      <w:rPr>
        <w:b/>
        <w:bCs/>
      </w:rPr>
      <w:tblPr/>
      <w:tcPr>
        <w:tcBorders>
          <w:top w:val="double" w:sz="6"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tcPr>
    </w:tblStylePr>
    <w:tblStylePr w:type="firstCol">
      <w:rPr>
        <w:b/>
        <w:bCs/>
      </w:rPr>
    </w:tblStylePr>
    <w:tblStylePr w:type="lastCol">
      <w:rPr>
        <w:b/>
        <w:bCs/>
      </w:rPr>
    </w:tblStylePr>
    <w:tblStylePr w:type="band1Vert">
      <w:tblPr/>
      <w:tcPr>
        <w:shd w:val="clear" w:color="auto" w:fill="FFD0B0" w:themeFill="accent2" w:themeFillTint="3F"/>
      </w:tcPr>
    </w:tblStylePr>
    <w:tblStylePr w:type="band1Horz">
      <w:tblPr/>
      <w:tcPr>
        <w:tcBorders>
          <w:insideH w:val="nil"/>
          <w:insideV w:val="nil"/>
        </w:tcBorders>
        <w:shd w:val="clear" w:color="auto" w:fill="FFD0B0"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A871F4"/>
    <w:pPr>
      <w:spacing w:before="0"/>
    </w:pPr>
    <w:tblPr>
      <w:tblStyleRowBandSize w:val="1"/>
      <w:tblStyleColBandSize w:val="1"/>
      <w:tblInd w:w="0" w:type="dxa"/>
      <w:tbl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single" w:sz="8" w:space="0" w:color="0042C7"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shd w:val="clear" w:color="auto" w:fill="002060" w:themeFill="accent3"/>
      </w:tcPr>
    </w:tblStylePr>
    <w:tblStylePr w:type="lastRow">
      <w:pPr>
        <w:spacing w:before="0" w:after="0" w:line="240" w:lineRule="auto"/>
      </w:pPr>
      <w:rPr>
        <w:b/>
        <w:bCs/>
      </w:rPr>
      <w:tblPr/>
      <w:tcPr>
        <w:tcBorders>
          <w:top w:val="double" w:sz="6"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tcPr>
    </w:tblStylePr>
    <w:tblStylePr w:type="firstCol">
      <w:rPr>
        <w:b/>
        <w:bCs/>
      </w:rPr>
    </w:tblStylePr>
    <w:tblStylePr w:type="lastCol">
      <w:rPr>
        <w:b/>
        <w:bCs/>
      </w:rPr>
    </w:tblStylePr>
    <w:tblStylePr w:type="band1Vert">
      <w:tblPr/>
      <w:tcPr>
        <w:shd w:val="clear" w:color="auto" w:fill="98BAFF" w:themeFill="accent3" w:themeFillTint="3F"/>
      </w:tcPr>
    </w:tblStylePr>
    <w:tblStylePr w:type="band1Horz">
      <w:tblPr/>
      <w:tcPr>
        <w:tcBorders>
          <w:insideH w:val="nil"/>
          <w:insideV w:val="nil"/>
        </w:tcBorders>
        <w:shd w:val="clear" w:color="auto" w:fill="98BAFF"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A871F4"/>
    <w:pPr>
      <w:spacing w:before="0"/>
    </w:pPr>
    <w:tblPr>
      <w:tblStyleRowBandSize w:val="1"/>
      <w:tblStyleColBandSize w:val="1"/>
      <w:tblInd w:w="0" w:type="dxa"/>
      <w:tbl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single" w:sz="8" w:space="0" w:color="FF1010"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shd w:val="clear" w:color="auto" w:fill="C00000" w:themeFill="accent4"/>
      </w:tcPr>
    </w:tblStylePr>
    <w:tblStylePr w:type="lastRow">
      <w:pPr>
        <w:spacing w:before="0" w:after="0" w:line="240" w:lineRule="auto"/>
      </w:pPr>
      <w:rPr>
        <w:b/>
        <w:bCs/>
      </w:rPr>
      <w:tblPr/>
      <w:tcPr>
        <w:tcBorders>
          <w:top w:val="double" w:sz="6"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tcPr>
    </w:tblStylePr>
    <w:tblStylePr w:type="firstCol">
      <w:rPr>
        <w:b/>
        <w:bCs/>
      </w:rPr>
    </w:tblStylePr>
    <w:tblStylePr w:type="lastCol">
      <w:rPr>
        <w:b/>
        <w:bCs/>
      </w:rPr>
    </w:tblStylePr>
    <w:tblStylePr w:type="band1Vert">
      <w:tblPr/>
      <w:tcPr>
        <w:shd w:val="clear" w:color="auto" w:fill="FFB0B0" w:themeFill="accent4" w:themeFillTint="3F"/>
      </w:tcPr>
    </w:tblStylePr>
    <w:tblStylePr w:type="band1Horz">
      <w:tblPr/>
      <w:tcPr>
        <w:tcBorders>
          <w:insideH w:val="nil"/>
          <w:insideV w:val="nil"/>
        </w:tcBorders>
        <w:shd w:val="clear" w:color="auto" w:fill="FFB0B0"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A871F4"/>
    <w:pPr>
      <w:spacing w:before="0"/>
    </w:pPr>
    <w:tblPr>
      <w:tblStyleRowBandSize w:val="1"/>
      <w:tblStyleColBandSize w:val="1"/>
      <w:tblInd w:w="0" w:type="dxa"/>
      <w:tbl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single" w:sz="8" w:space="0" w:color="404040"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shd w:val="clear" w:color="auto" w:fill="000000" w:themeFill="accent5"/>
      </w:tcPr>
    </w:tblStylePr>
    <w:tblStylePr w:type="lastRow">
      <w:pPr>
        <w:spacing w:before="0" w:after="0" w:line="240" w:lineRule="auto"/>
      </w:pPr>
      <w:rPr>
        <w:b/>
        <w:bCs/>
      </w:rPr>
      <w:tblPr/>
      <w:tcPr>
        <w:tcBorders>
          <w:top w:val="double" w:sz="6"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tcPr>
    </w:tblStylePr>
    <w:tblStylePr w:type="firstCol">
      <w:rPr>
        <w:b/>
        <w:bCs/>
      </w:rPr>
    </w:tblStylePr>
    <w:tblStylePr w:type="lastCol">
      <w:rPr>
        <w:b/>
        <w:bCs/>
      </w:rPr>
    </w:tblStylePr>
    <w:tblStylePr w:type="band1Vert">
      <w:tblPr/>
      <w:tcPr>
        <w:shd w:val="clear" w:color="auto" w:fill="C0C0C0" w:themeFill="accent5" w:themeFillTint="3F"/>
      </w:tcPr>
    </w:tblStylePr>
    <w:tblStylePr w:type="band1Horz">
      <w:tblPr/>
      <w:tcPr>
        <w:tcBorders>
          <w:insideH w:val="nil"/>
          <w:insideV w:val="nil"/>
        </w:tcBorders>
        <w:shd w:val="clear" w:color="auto" w:fill="C0C0C0" w:themeFill="accent5" w:themeFillTint="3F"/>
      </w:tcPr>
    </w:tblStylePr>
    <w:tblStylePr w:type="band2Horz">
      <w:tblPr/>
      <w:tcPr>
        <w:tcBorders>
          <w:insideH w:val="nil"/>
          <w:insideV w:val="nil"/>
        </w:tcBorders>
      </w:tcPr>
    </w:tblStylePr>
  </w:style>
  <w:style w:type="table" w:styleId="LightList">
    <w:name w:val="Light List"/>
    <w:basedOn w:val="TableNormal"/>
    <w:uiPriority w:val="61"/>
    <w:rsid w:val="00A871F4"/>
    <w:pPr>
      <w:spacing w:before="0"/>
    </w:pPr>
    <w:tblPr>
      <w:tblStyleRowBandSize w:val="1"/>
      <w:tblStyleColBandSize w:val="1"/>
      <w:tblInd w:w="0" w:type="dxa"/>
      <w:tblBorders>
        <w:top w:val="single" w:sz="8" w:space="0" w:color="076A92" w:themeColor="text1"/>
        <w:left w:val="single" w:sz="8" w:space="0" w:color="076A92" w:themeColor="text1"/>
        <w:bottom w:val="single" w:sz="8" w:space="0" w:color="076A92" w:themeColor="text1"/>
        <w:right w:val="single" w:sz="8" w:space="0" w:color="076A92"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76A92" w:themeFill="text1"/>
      </w:tcPr>
    </w:tblStylePr>
    <w:tblStylePr w:type="lastRow">
      <w:pPr>
        <w:spacing w:before="0" w:after="0" w:line="240" w:lineRule="auto"/>
      </w:pPr>
      <w:rPr>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tcBorders>
      </w:tcPr>
    </w:tblStylePr>
    <w:tblStylePr w:type="firstCol">
      <w:rPr>
        <w:b/>
        <w:bCs/>
      </w:rPr>
    </w:tblStylePr>
    <w:tblStylePr w:type="lastCol">
      <w:rPr>
        <w:b/>
        <w:bCs/>
      </w:r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style>
  <w:style w:type="table" w:styleId="LightShading-Accent5">
    <w:name w:val="Light Shading Accent 5"/>
    <w:basedOn w:val="TableNormal"/>
    <w:uiPriority w:val="60"/>
    <w:rsid w:val="00A871F4"/>
    <w:pPr>
      <w:spacing w:before="0"/>
    </w:pPr>
    <w:rPr>
      <w:color w:val="000000" w:themeColor="accent5" w:themeShade="BF"/>
    </w:rPr>
    <w:tblPr>
      <w:tblStyleRowBandSize w:val="1"/>
      <w:tblStyleColBandSize w:val="1"/>
      <w:tblInd w:w="0" w:type="dxa"/>
      <w:tblBorders>
        <w:top w:val="single" w:sz="8" w:space="0" w:color="000000" w:themeColor="accent5"/>
        <w:bottom w:val="single" w:sz="8" w:space="0" w:color="000000"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la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accent5" w:themeFillTint="3F"/>
      </w:tcPr>
    </w:tblStylePr>
    <w:tblStylePr w:type="band1Horz">
      <w:tblPr/>
      <w:tcPr>
        <w:tcBorders>
          <w:left w:val="nil"/>
          <w:right w:val="nil"/>
          <w:insideH w:val="nil"/>
          <w:insideV w:val="nil"/>
        </w:tcBorders>
        <w:shd w:val="clear" w:color="auto" w:fill="C0C0C0" w:themeFill="accent5" w:themeFillTint="3F"/>
      </w:tcPr>
    </w:tblStylePr>
  </w:style>
  <w:style w:type="table" w:styleId="LightGrid-Accent3">
    <w:name w:val="Light Grid Accent 3"/>
    <w:basedOn w:val="TableNormal"/>
    <w:uiPriority w:val="62"/>
    <w:rsid w:val="00A871F4"/>
    <w:pPr>
      <w:spacing w:before="0"/>
    </w:pPr>
    <w:tblPr>
      <w:tblStyleRowBandSize w:val="1"/>
      <w:tblStyleColBandSize w:val="1"/>
      <w:tblInd w:w="0" w:type="dxa"/>
      <w:tblBorders>
        <w:top w:val="single" w:sz="8" w:space="0" w:color="002060" w:themeColor="accent3"/>
        <w:left w:val="single" w:sz="8" w:space="0" w:color="002060" w:themeColor="accent3"/>
        <w:bottom w:val="single" w:sz="8" w:space="0" w:color="002060" w:themeColor="accent3"/>
        <w:right w:val="single" w:sz="8" w:space="0" w:color="002060" w:themeColor="accent3"/>
        <w:insideH w:val="single" w:sz="8" w:space="0" w:color="002060" w:themeColor="accent3"/>
        <w:insideV w:val="single" w:sz="8" w:space="0" w:color="002060"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18" w:space="0" w:color="002060" w:themeColor="accent3"/>
          <w:right w:val="single" w:sz="8" w:space="0" w:color="002060" w:themeColor="accent3"/>
          <w:insideH w:val="nil"/>
          <w:insideV w:val="single" w:sz="8" w:space="0" w:color="002060"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insideH w:val="nil"/>
          <w:insideV w:val="single" w:sz="8" w:space="0" w:color="002060"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shd w:val="clear" w:color="auto" w:fill="98BAFF" w:themeFill="accent3" w:themeFillTint="3F"/>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shd w:val="clear" w:color="auto" w:fill="98BAFF" w:themeFill="accent3" w:themeFillTint="3F"/>
      </w:tcPr>
    </w:tblStylePr>
    <w:tblStylePr w:type="band2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tcPr>
    </w:tblStylePr>
  </w:style>
  <w:style w:type="paragraph" w:styleId="Bibliography">
    <w:name w:val="Bibliography"/>
    <w:basedOn w:val="Normal"/>
    <w:next w:val="Normal"/>
    <w:uiPriority w:val="37"/>
    <w:semiHidden/>
    <w:rsid w:val="00EE28F3"/>
  </w:style>
  <w:style w:type="paragraph" w:styleId="BodyText3">
    <w:name w:val="Body Text 3"/>
    <w:basedOn w:val="Normal"/>
    <w:link w:val="BodyText3Char"/>
    <w:uiPriority w:val="99"/>
    <w:unhideWhenUsed/>
    <w:rsid w:val="005C26CC"/>
    <w:pPr>
      <w:spacing w:after="120"/>
    </w:pPr>
    <w:rPr>
      <w:szCs w:val="16"/>
    </w:rPr>
  </w:style>
  <w:style w:type="character" w:customStyle="1" w:styleId="BodyText3Char">
    <w:name w:val="Body Text 3 Char"/>
    <w:basedOn w:val="DefaultParagraphFont"/>
    <w:link w:val="BodyText3"/>
    <w:uiPriority w:val="99"/>
    <w:rsid w:val="005C26CC"/>
    <w:rPr>
      <w:rFonts w:ascii="Arial" w:hAnsi="Arial"/>
      <w:szCs w:val="16"/>
    </w:rPr>
  </w:style>
  <w:style w:type="paragraph" w:styleId="TOC1">
    <w:name w:val="toc 1"/>
    <w:basedOn w:val="Normal"/>
    <w:next w:val="Normal"/>
    <w:autoRedefine/>
    <w:uiPriority w:val="39"/>
    <w:qFormat/>
    <w:rsid w:val="005B704A"/>
    <w:pPr>
      <w:tabs>
        <w:tab w:val="left" w:pos="426"/>
        <w:tab w:val="right" w:leader="dot" w:pos="8364"/>
      </w:tabs>
      <w:spacing w:after="100"/>
    </w:pPr>
    <w:rPr>
      <w:b/>
      <w:noProof/>
      <w:color w:val="70635A" w:themeColor="text2"/>
      <w:sz w:val="24"/>
      <w:lang w:val="en-US" w:eastAsia="ja-JP"/>
    </w:rPr>
  </w:style>
  <w:style w:type="paragraph" w:styleId="TOC2">
    <w:name w:val="toc 2"/>
    <w:basedOn w:val="Normal"/>
    <w:next w:val="Normal"/>
    <w:uiPriority w:val="39"/>
    <w:qFormat/>
    <w:rsid w:val="005D7BA2"/>
    <w:pPr>
      <w:tabs>
        <w:tab w:val="left" w:pos="880"/>
        <w:tab w:val="right" w:leader="dot" w:pos="8363"/>
      </w:tabs>
      <w:spacing w:after="100"/>
      <w:ind w:left="425"/>
    </w:pPr>
    <w:rPr>
      <w:b/>
      <w:noProof/>
      <w:color w:val="70635A" w:themeColor="text2"/>
      <w:sz w:val="24"/>
    </w:rPr>
  </w:style>
  <w:style w:type="paragraph" w:styleId="TOC3">
    <w:name w:val="toc 3"/>
    <w:basedOn w:val="Normal"/>
    <w:next w:val="Normal"/>
    <w:uiPriority w:val="39"/>
    <w:qFormat/>
    <w:rsid w:val="005D7BA2"/>
    <w:pPr>
      <w:tabs>
        <w:tab w:val="left" w:pos="1760"/>
        <w:tab w:val="right" w:leader="dot" w:pos="8363"/>
      </w:tabs>
      <w:spacing w:after="100"/>
      <w:ind w:left="851"/>
    </w:pPr>
    <w:rPr>
      <w:noProof/>
    </w:rPr>
  </w:style>
  <w:style w:type="paragraph" w:styleId="Title">
    <w:name w:val="Title"/>
    <w:basedOn w:val="Normal"/>
    <w:next w:val="Normal"/>
    <w:link w:val="TitleChar"/>
    <w:uiPriority w:val="10"/>
    <w:qFormat/>
    <w:rsid w:val="00174102"/>
    <w:pPr>
      <w:spacing w:before="720" w:after="120"/>
      <w:contextualSpacing/>
      <w:outlineLvl w:val="0"/>
    </w:pPr>
    <w:rPr>
      <w:rFonts w:asciiTheme="majorHAnsi" w:eastAsiaTheme="majorEastAsia" w:hAnsiTheme="majorHAnsi" w:cstheme="majorBidi"/>
      <w:color w:val="C14E00" w:themeColor="accent2"/>
      <w:spacing w:val="5"/>
      <w:kern w:val="28"/>
      <w:sz w:val="72"/>
      <w:szCs w:val="52"/>
    </w:rPr>
  </w:style>
  <w:style w:type="character" w:customStyle="1" w:styleId="TitleChar">
    <w:name w:val="Title Char"/>
    <w:basedOn w:val="DefaultParagraphFont"/>
    <w:link w:val="Title"/>
    <w:uiPriority w:val="10"/>
    <w:rsid w:val="00174102"/>
    <w:rPr>
      <w:rFonts w:asciiTheme="majorHAnsi" w:eastAsiaTheme="majorEastAsia" w:hAnsiTheme="majorHAnsi" w:cstheme="majorBidi"/>
      <w:color w:val="C14E00" w:themeColor="accent2"/>
      <w:spacing w:val="5"/>
      <w:kern w:val="28"/>
      <w:sz w:val="72"/>
      <w:szCs w:val="52"/>
    </w:rPr>
  </w:style>
  <w:style w:type="character" w:styleId="BookTitle">
    <w:name w:val="Book Title"/>
    <w:uiPriority w:val="33"/>
    <w:rsid w:val="0081034E"/>
    <w:rPr>
      <w:rFonts w:ascii="Arial" w:hAnsi="Arial"/>
      <w:bCs/>
      <w:i/>
      <w:caps w:val="0"/>
      <w:smallCaps w:val="0"/>
      <w:spacing w:val="0"/>
      <w:sz w:val="22"/>
    </w:rPr>
  </w:style>
  <w:style w:type="table" w:styleId="LightList-Accent1">
    <w:name w:val="Light List Accent 1"/>
    <w:basedOn w:val="TableNormal"/>
    <w:uiPriority w:val="61"/>
    <w:rsid w:val="0081034E"/>
    <w:pPr>
      <w:spacing w:before="0"/>
    </w:pPr>
    <w:tblPr>
      <w:tblStyleRowBandSize w:val="1"/>
      <w:tblStyleColBandSize w:val="1"/>
      <w:tblInd w:w="0" w:type="dxa"/>
      <w:tblBorders>
        <w:top w:val="single" w:sz="8" w:space="0" w:color="2F002F" w:themeColor="accent1"/>
        <w:left w:val="single" w:sz="8" w:space="0" w:color="2F002F" w:themeColor="accent1"/>
        <w:bottom w:val="single" w:sz="8" w:space="0" w:color="2F002F" w:themeColor="accent1"/>
        <w:right w:val="single" w:sz="8" w:space="0" w:color="2F002F"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2F002F" w:themeFill="accent1"/>
      </w:tcPr>
    </w:tblStylePr>
    <w:tblStylePr w:type="lastRow">
      <w:pPr>
        <w:spacing w:before="0" w:after="0" w:line="240" w:lineRule="auto"/>
      </w:pPr>
      <w:rPr>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tcBorders>
      </w:tcPr>
    </w:tblStylePr>
    <w:tblStylePr w:type="firstCol">
      <w:rPr>
        <w:b/>
        <w:bCs/>
      </w:rPr>
    </w:tblStylePr>
    <w:tblStylePr w:type="lastCol">
      <w:rPr>
        <w:b/>
        <w:bCs/>
      </w:r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style>
  <w:style w:type="table" w:styleId="LightList-Accent3">
    <w:name w:val="Light List Accent 3"/>
    <w:basedOn w:val="TableNormal"/>
    <w:uiPriority w:val="61"/>
    <w:rsid w:val="0081034E"/>
    <w:pPr>
      <w:spacing w:before="0"/>
    </w:pPr>
    <w:tblPr>
      <w:tblStyleRowBandSize w:val="1"/>
      <w:tblStyleColBandSize w:val="1"/>
      <w:tblInd w:w="0" w:type="dxa"/>
      <w:tblBorders>
        <w:top w:val="single" w:sz="8" w:space="0" w:color="002060" w:themeColor="accent3"/>
        <w:left w:val="single" w:sz="8" w:space="0" w:color="002060" w:themeColor="accent3"/>
        <w:bottom w:val="single" w:sz="8" w:space="0" w:color="002060" w:themeColor="accent3"/>
        <w:right w:val="single" w:sz="8" w:space="0" w:color="002060"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2060" w:themeFill="accent3"/>
      </w:tcPr>
    </w:tblStylePr>
    <w:tblStylePr w:type="lastRow">
      <w:pPr>
        <w:spacing w:before="0" w:after="0" w:line="240" w:lineRule="auto"/>
      </w:pPr>
      <w:rPr>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tcBorders>
      </w:tcPr>
    </w:tblStylePr>
    <w:tblStylePr w:type="firstCol">
      <w:rPr>
        <w:b/>
        <w:bCs/>
      </w:rPr>
    </w:tblStylePr>
    <w:tblStylePr w:type="lastCol">
      <w:rPr>
        <w:b/>
        <w:bCs/>
      </w:r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style>
  <w:style w:type="table" w:styleId="LightList-Accent5">
    <w:name w:val="Light List Accent 5"/>
    <w:basedOn w:val="TableNormal"/>
    <w:uiPriority w:val="61"/>
    <w:rsid w:val="005B1E3C"/>
    <w:pPr>
      <w:spacing w:before="0"/>
    </w:pPr>
    <w:tblPr>
      <w:tblStyleRowBandSize w:val="1"/>
      <w:tblStyleColBandSize w:val="1"/>
      <w:tblInd w:w="0" w:type="dxa"/>
      <w:tblBorders>
        <w:top w:val="single" w:sz="8" w:space="0" w:color="000000" w:themeColor="accent5"/>
        <w:left w:val="single" w:sz="8" w:space="0" w:color="000000" w:themeColor="accent5"/>
        <w:bottom w:val="single" w:sz="8" w:space="0" w:color="000000" w:themeColor="accent5"/>
        <w:right w:val="single" w:sz="8" w:space="0" w:color="000000" w:themeColor="accent5"/>
      </w:tblBorders>
      <w:tblCellMar>
        <w:top w:w="0" w:type="dxa"/>
        <w:left w:w="108" w:type="dxa"/>
        <w:bottom w:w="0" w:type="dxa"/>
        <w:right w:w="108" w:type="dxa"/>
      </w:tblCellMar>
    </w:tblPr>
    <w:tblStylePr w:type="firstRow">
      <w:pPr>
        <w:spacing w:before="0" w:after="0" w:line="240" w:lineRule="auto"/>
      </w:pPr>
      <w:rPr>
        <w:b/>
        <w:bCs/>
        <w:color w:val="auto"/>
      </w:rPr>
      <w:tblPr/>
      <w:tcPr>
        <w:shd w:val="clear" w:color="auto" w:fill="000000" w:themeFill="accent5"/>
      </w:tcPr>
    </w:tblStylePr>
    <w:tblStylePr w:type="lastRow">
      <w:pPr>
        <w:spacing w:before="0" w:after="0" w:line="240" w:lineRule="auto"/>
      </w:pPr>
      <w:rPr>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tcBorders>
      </w:tcPr>
    </w:tblStylePr>
    <w:tblStylePr w:type="firstCol">
      <w:rPr>
        <w:b/>
        <w:bCs/>
      </w:rPr>
    </w:tblStylePr>
    <w:tblStylePr w:type="lastCol">
      <w:rPr>
        <w:b/>
        <w:bCs/>
      </w:r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style>
  <w:style w:type="character" w:styleId="Emphasis">
    <w:name w:val="Emphasis"/>
    <w:basedOn w:val="DefaultParagraphFont"/>
    <w:uiPriority w:val="20"/>
    <w:qFormat/>
    <w:rsid w:val="00701CAB"/>
    <w:rPr>
      <w:i/>
      <w:iCs/>
    </w:rPr>
  </w:style>
  <w:style w:type="paragraph" w:styleId="NormalIndent">
    <w:name w:val="Normal Indent"/>
    <w:basedOn w:val="Normal"/>
    <w:uiPriority w:val="1"/>
    <w:rsid w:val="00202E03"/>
    <w:pPr>
      <w:tabs>
        <w:tab w:val="left" w:pos="680"/>
      </w:tabs>
      <w:ind w:left="680"/>
    </w:pPr>
  </w:style>
  <w:style w:type="paragraph" w:styleId="FootnoteText">
    <w:name w:val="footnote text"/>
    <w:aliases w:val="Footnote Text1,Footnote Text2,ALTS FOOTNOTE2,Footnote Text11,(NECG) Footnote Text,(NECG) Footnote Text1,ALTS FOOTNOTE,Footnote text,AR Footnote Text,AR Footnote Text Char Char Char Char Char Char,AR Footnote Text Char Char Char Char Char,f"/>
    <w:basedOn w:val="Normal"/>
    <w:link w:val="FootnoteTextChar"/>
    <w:unhideWhenUsed/>
    <w:qFormat/>
    <w:rsid w:val="00DE1093"/>
    <w:pPr>
      <w:tabs>
        <w:tab w:val="left" w:pos="340"/>
      </w:tabs>
      <w:spacing w:before="0" w:line="240" w:lineRule="exact"/>
      <w:ind w:left="340" w:hanging="340"/>
    </w:pPr>
    <w:rPr>
      <w:sz w:val="16"/>
      <w:szCs w:val="20"/>
    </w:rPr>
  </w:style>
  <w:style w:type="character" w:customStyle="1" w:styleId="FootnoteTextChar">
    <w:name w:val="Footnote Text Char"/>
    <w:aliases w:val="Footnote Text1 Char,Footnote Text2 Char,ALTS FOOTNOTE2 Char,Footnote Text11 Char,(NECG) Footnote Text Char,(NECG) Footnote Text1 Char,ALTS FOOTNOTE Char,Footnote text Char,AR Footnote Text Char,f Char"/>
    <w:basedOn w:val="DefaultParagraphFont"/>
    <w:link w:val="FootnoteText"/>
    <w:uiPriority w:val="99"/>
    <w:rsid w:val="00DE1093"/>
    <w:rPr>
      <w:rFonts w:ascii="Arial" w:hAnsi="Arial"/>
      <w:sz w:val="16"/>
      <w:szCs w:val="20"/>
    </w:rPr>
  </w:style>
  <w:style w:type="character" w:styleId="FootnoteReference">
    <w:name w:val="footnote reference"/>
    <w:aliases w:val="(NECG) Footnote Reference,(NECG) Footnote Reference1,(NECG) Footnote Reference2,(NECG) Footnote Reference3,(NECG) Footnote Reference4,(NECG) Footnote Reference5,(NECG) Footnote Reference6,(NECG) Footnote Reference7,o,Style 3,Style 12"/>
    <w:basedOn w:val="DefaultParagraphFont"/>
    <w:uiPriority w:val="99"/>
    <w:unhideWhenUsed/>
    <w:rsid w:val="00701CAB"/>
    <w:rPr>
      <w:vertAlign w:val="superscript"/>
    </w:rPr>
  </w:style>
  <w:style w:type="character" w:styleId="Strong">
    <w:name w:val="Strong"/>
    <w:aliases w:val="AER text bold"/>
    <w:basedOn w:val="DefaultParagraphFont"/>
    <w:qFormat/>
    <w:rsid w:val="00EF5110"/>
    <w:rPr>
      <w:b/>
      <w:bCs/>
    </w:rPr>
  </w:style>
  <w:style w:type="paragraph" w:styleId="Subtitle">
    <w:name w:val="Subtitle"/>
    <w:basedOn w:val="Normal"/>
    <w:next w:val="Normal"/>
    <w:link w:val="SubtitleChar"/>
    <w:uiPriority w:val="11"/>
    <w:rsid w:val="00CA489E"/>
    <w:pPr>
      <w:numPr>
        <w:ilvl w:val="1"/>
      </w:numPr>
    </w:pPr>
    <w:rPr>
      <w:rFonts w:asciiTheme="majorHAnsi" w:eastAsiaTheme="majorEastAsia" w:hAnsiTheme="majorHAnsi" w:cstheme="majorBidi"/>
      <w:i/>
      <w:iCs/>
      <w:color w:val="2F002F" w:themeColor="accent1"/>
      <w:spacing w:val="15"/>
      <w:sz w:val="24"/>
      <w:szCs w:val="24"/>
    </w:rPr>
  </w:style>
  <w:style w:type="character" w:customStyle="1" w:styleId="SubtitleChar">
    <w:name w:val="Subtitle Char"/>
    <w:basedOn w:val="DefaultParagraphFont"/>
    <w:link w:val="Subtitle"/>
    <w:uiPriority w:val="11"/>
    <w:rsid w:val="00CA489E"/>
    <w:rPr>
      <w:rFonts w:asciiTheme="majorHAnsi" w:eastAsiaTheme="majorEastAsia" w:hAnsiTheme="majorHAnsi" w:cstheme="majorBidi"/>
      <w:i/>
      <w:iCs/>
      <w:color w:val="2F002F" w:themeColor="accent1"/>
      <w:spacing w:val="15"/>
      <w:sz w:val="24"/>
      <w:szCs w:val="24"/>
    </w:rPr>
  </w:style>
  <w:style w:type="table" w:styleId="LightShading-Accent4">
    <w:name w:val="Light Shading Accent 4"/>
    <w:basedOn w:val="TableNormal"/>
    <w:uiPriority w:val="60"/>
    <w:rsid w:val="00746E01"/>
    <w:pPr>
      <w:spacing w:before="0"/>
    </w:pPr>
    <w:rPr>
      <w:color w:val="8F0000" w:themeColor="accent4" w:themeShade="BF"/>
    </w:rPr>
    <w:tblPr>
      <w:tblStyleRowBandSize w:val="1"/>
      <w:tblStyleColBandSize w:val="1"/>
      <w:tblInd w:w="0" w:type="dxa"/>
      <w:tblBorders>
        <w:top w:val="single" w:sz="8" w:space="0" w:color="C00000" w:themeColor="accent4"/>
        <w:bottom w:val="single" w:sz="8" w:space="0" w:color="C00000"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la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B0B0" w:themeFill="accent4" w:themeFillTint="3F"/>
      </w:tcPr>
    </w:tblStylePr>
    <w:tblStylePr w:type="band1Horz">
      <w:tblPr/>
      <w:tcPr>
        <w:tcBorders>
          <w:left w:val="nil"/>
          <w:right w:val="nil"/>
          <w:insideH w:val="nil"/>
          <w:insideV w:val="nil"/>
        </w:tcBorders>
        <w:shd w:val="clear" w:color="auto" w:fill="FFB0B0" w:themeFill="accent4" w:themeFillTint="3F"/>
      </w:tcPr>
    </w:tblStylePr>
  </w:style>
  <w:style w:type="table" w:styleId="LightShading-Accent6">
    <w:name w:val="Light Shading Accent 6"/>
    <w:basedOn w:val="TableNormal"/>
    <w:uiPriority w:val="60"/>
    <w:rsid w:val="00746E01"/>
    <w:pPr>
      <w:spacing w:before="0"/>
    </w:pPr>
    <w:rPr>
      <w:color w:val="53242C" w:themeColor="accent6" w:themeShade="BF"/>
    </w:rPr>
    <w:tblPr>
      <w:tblStyleRowBandSize w:val="1"/>
      <w:tblStyleColBandSize w:val="1"/>
      <w:tblInd w:w="0" w:type="dxa"/>
      <w:tblBorders>
        <w:top w:val="single" w:sz="8" w:space="0" w:color="70303C" w:themeColor="accent6"/>
        <w:bottom w:val="single" w:sz="8" w:space="0" w:color="70303C"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la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5C2C8" w:themeFill="accent6" w:themeFillTint="3F"/>
      </w:tcPr>
    </w:tblStylePr>
    <w:tblStylePr w:type="band1Horz">
      <w:tblPr/>
      <w:tcPr>
        <w:tcBorders>
          <w:left w:val="nil"/>
          <w:right w:val="nil"/>
          <w:insideH w:val="nil"/>
          <w:insideV w:val="nil"/>
        </w:tcBorders>
        <w:shd w:val="clear" w:color="auto" w:fill="E5C2C8" w:themeFill="accent6" w:themeFillTint="3F"/>
      </w:tcPr>
    </w:tblStylePr>
  </w:style>
  <w:style w:type="paragraph" w:styleId="TOC4">
    <w:name w:val="toc 4"/>
    <w:basedOn w:val="Normal"/>
    <w:next w:val="Normal"/>
    <w:uiPriority w:val="39"/>
    <w:rsid w:val="005D7BA2"/>
    <w:pPr>
      <w:tabs>
        <w:tab w:val="right" w:leader="dot" w:pos="8363"/>
      </w:tabs>
      <w:spacing w:after="100"/>
      <w:ind w:left="1276"/>
    </w:pPr>
    <w:rPr>
      <w:noProof/>
    </w:rPr>
  </w:style>
  <w:style w:type="paragraph" w:styleId="TOC5">
    <w:name w:val="toc 5"/>
    <w:basedOn w:val="Normal"/>
    <w:next w:val="Normal"/>
    <w:uiPriority w:val="39"/>
    <w:rsid w:val="005D7BA2"/>
    <w:pPr>
      <w:tabs>
        <w:tab w:val="right" w:leader="dot" w:pos="8363"/>
      </w:tabs>
      <w:spacing w:after="100"/>
      <w:ind w:left="1701"/>
    </w:pPr>
    <w:rPr>
      <w:noProof/>
    </w:rPr>
  </w:style>
  <w:style w:type="paragraph" w:styleId="TOC6">
    <w:name w:val="toc 6"/>
    <w:basedOn w:val="Normal"/>
    <w:next w:val="Normal"/>
    <w:uiPriority w:val="39"/>
    <w:rsid w:val="005D7BA2"/>
    <w:pPr>
      <w:tabs>
        <w:tab w:val="right" w:leader="dot" w:pos="8363"/>
      </w:tabs>
      <w:spacing w:after="100"/>
      <w:ind w:left="2126"/>
    </w:pPr>
    <w:rPr>
      <w:noProof/>
    </w:rPr>
  </w:style>
  <w:style w:type="paragraph" w:styleId="TOC7">
    <w:name w:val="toc 7"/>
    <w:basedOn w:val="Normal"/>
    <w:next w:val="Normal"/>
    <w:uiPriority w:val="39"/>
    <w:rsid w:val="005D7BA2"/>
    <w:pPr>
      <w:tabs>
        <w:tab w:val="right" w:leader="dot" w:pos="8363"/>
      </w:tabs>
      <w:spacing w:after="100"/>
      <w:ind w:left="2552"/>
    </w:pPr>
    <w:rPr>
      <w:noProof/>
    </w:rPr>
  </w:style>
  <w:style w:type="paragraph" w:styleId="Salutation">
    <w:name w:val="Salutation"/>
    <w:basedOn w:val="Normal"/>
    <w:next w:val="Normal"/>
    <w:link w:val="SalutationChar"/>
    <w:uiPriority w:val="99"/>
    <w:unhideWhenUsed/>
    <w:rsid w:val="00CA489E"/>
  </w:style>
  <w:style w:type="table" w:customStyle="1" w:styleId="LightShading1">
    <w:name w:val="Light Shading1"/>
    <w:basedOn w:val="TableNormal"/>
    <w:next w:val="LightShading"/>
    <w:uiPriority w:val="60"/>
    <w:rsid w:val="00C53B5A"/>
    <w:pPr>
      <w:spacing w:before="120" w:after="120"/>
    </w:pPr>
    <w:rPr>
      <w:color w:val="054E6D" w:themeColor="text1" w:themeShade="BF"/>
      <w:sz w:val="20"/>
    </w:rPr>
    <w:tblPr>
      <w:tblInd w:w="0" w:type="dxa"/>
      <w:tblBorders>
        <w:top w:val="single" w:sz="4" w:space="0" w:color="FFFFFF" w:themeColor="background2"/>
        <w:bottom w:val="single" w:sz="4" w:space="0" w:color="FFFFFF" w:themeColor="background2"/>
        <w:insideH w:val="single" w:sz="4" w:space="0" w:color="FFFFFF" w:themeColor="background2"/>
      </w:tblBorders>
      <w:tblCellMar>
        <w:top w:w="0" w:type="dxa"/>
        <w:left w:w="108" w:type="dxa"/>
        <w:bottom w:w="0" w:type="dxa"/>
        <w:right w:w="108" w:type="dxa"/>
      </w:tblCellMar>
    </w:tblPr>
    <w:tcPr>
      <w:shd w:val="clear" w:color="auto" w:fill="auto"/>
    </w:tcPr>
    <w:tblStylePr w:type="fir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shd w:val="clear" w:color="auto" w:fill="auto"/>
      </w:tcPr>
    </w:tblStylePr>
    <w:tblStylePr w:type="la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vAlign w:val="center"/>
      </w:tcPr>
    </w:tblStylePr>
    <w:tblStylePr w:type="firstCol">
      <w:rPr>
        <w:b/>
        <w:bCs/>
        <w:sz w:val="20"/>
      </w:rPr>
    </w:tblStylePr>
    <w:tblStylePr w:type="lastCol">
      <w:rPr>
        <w:b/>
        <w:bCs/>
      </w:rPr>
    </w:tblStylePr>
  </w:style>
  <w:style w:type="table" w:styleId="LightList-Accent2">
    <w:name w:val="Light List Accent 2"/>
    <w:basedOn w:val="TableNormal"/>
    <w:uiPriority w:val="61"/>
    <w:rsid w:val="009661DE"/>
    <w:pPr>
      <w:spacing w:before="0"/>
    </w:pPr>
    <w:tblPr>
      <w:tblStyleRowBandSize w:val="1"/>
      <w:tblStyleColBandSize w:val="1"/>
      <w:tblInd w:w="0" w:type="dxa"/>
      <w:tblBorders>
        <w:top w:val="single" w:sz="8" w:space="0" w:color="C14E00" w:themeColor="accent2"/>
        <w:left w:val="single" w:sz="8" w:space="0" w:color="C14E00" w:themeColor="accent2"/>
        <w:bottom w:val="single" w:sz="8" w:space="0" w:color="C14E00" w:themeColor="accent2"/>
        <w:right w:val="single" w:sz="8" w:space="0" w:color="C14E00"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14E00" w:themeFill="accent2"/>
      </w:tcPr>
    </w:tblStylePr>
    <w:tblStylePr w:type="lastRow">
      <w:pPr>
        <w:spacing w:before="0" w:after="0" w:line="240" w:lineRule="auto"/>
      </w:pPr>
      <w:rPr>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tcBorders>
      </w:tcPr>
    </w:tblStylePr>
    <w:tblStylePr w:type="firstCol">
      <w:rPr>
        <w:b/>
        <w:bCs/>
      </w:rPr>
    </w:tblStylePr>
    <w:tblStylePr w:type="lastCol">
      <w:rPr>
        <w:b/>
        <w:bCs/>
      </w:r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style>
  <w:style w:type="table" w:styleId="LightList-Accent4">
    <w:name w:val="Light List Accent 4"/>
    <w:basedOn w:val="TableNormal"/>
    <w:uiPriority w:val="61"/>
    <w:rsid w:val="009661DE"/>
    <w:pPr>
      <w:spacing w:before="0"/>
    </w:pPr>
    <w:tblPr>
      <w:tblStyleRowBandSize w:val="1"/>
      <w:tblStyleColBandSize w:val="1"/>
      <w:tblInd w:w="0" w:type="dxa"/>
      <w:tblBorders>
        <w:top w:val="single" w:sz="8" w:space="0" w:color="C00000" w:themeColor="accent4"/>
        <w:left w:val="single" w:sz="8" w:space="0" w:color="C00000" w:themeColor="accent4"/>
        <w:bottom w:val="single" w:sz="8" w:space="0" w:color="C00000" w:themeColor="accent4"/>
        <w:right w:val="single" w:sz="8" w:space="0" w:color="C00000"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0000" w:themeFill="accent4"/>
      </w:tcPr>
    </w:tblStylePr>
    <w:tblStylePr w:type="lastRow">
      <w:pPr>
        <w:spacing w:before="0" w:after="0" w:line="240" w:lineRule="auto"/>
      </w:pPr>
      <w:rPr>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tcBorders>
      </w:tcPr>
    </w:tblStylePr>
    <w:tblStylePr w:type="firstCol">
      <w:rPr>
        <w:b/>
        <w:bCs/>
      </w:rPr>
    </w:tblStylePr>
    <w:tblStylePr w:type="lastCol">
      <w:rPr>
        <w:b/>
        <w:bCs/>
      </w:r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style>
  <w:style w:type="table" w:styleId="LightList-Accent6">
    <w:name w:val="Light List Accent 6"/>
    <w:basedOn w:val="TableNormal"/>
    <w:uiPriority w:val="61"/>
    <w:rsid w:val="009661DE"/>
    <w:pPr>
      <w:spacing w:before="0"/>
    </w:pPr>
    <w:tblPr>
      <w:tblStyleRowBandSize w:val="1"/>
      <w:tblStyleColBandSize w:val="1"/>
      <w:tblInd w:w="0" w:type="dxa"/>
      <w:tblBorders>
        <w:top w:val="single" w:sz="8" w:space="0" w:color="70303C" w:themeColor="accent6"/>
        <w:left w:val="single" w:sz="8" w:space="0" w:color="70303C" w:themeColor="accent6"/>
        <w:bottom w:val="single" w:sz="8" w:space="0" w:color="70303C" w:themeColor="accent6"/>
        <w:right w:val="single" w:sz="8" w:space="0" w:color="70303C"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70303C" w:themeFill="accent6"/>
      </w:tcPr>
    </w:tblStylePr>
    <w:tblStylePr w:type="lastRow">
      <w:pPr>
        <w:spacing w:before="0" w:after="0" w:line="240" w:lineRule="auto"/>
      </w:pPr>
      <w:rPr>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tcBorders>
      </w:tcPr>
    </w:tblStylePr>
    <w:tblStylePr w:type="firstCol">
      <w:rPr>
        <w:b/>
        <w:bCs/>
      </w:rPr>
    </w:tblStylePr>
    <w:tblStylePr w:type="lastCol">
      <w:rPr>
        <w:b/>
        <w:bCs/>
      </w:r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style>
  <w:style w:type="table" w:styleId="LightGrid">
    <w:name w:val="Light Grid"/>
    <w:basedOn w:val="TableNormal"/>
    <w:uiPriority w:val="62"/>
    <w:rsid w:val="009661DE"/>
    <w:pPr>
      <w:spacing w:before="0"/>
    </w:pPr>
    <w:tblPr>
      <w:tblStyleRowBandSize w:val="1"/>
      <w:tblStyleColBandSize w:val="1"/>
      <w:tblInd w:w="0" w:type="dxa"/>
      <w:tblBorders>
        <w:top w:val="single" w:sz="8" w:space="0" w:color="076A92" w:themeColor="text1"/>
        <w:left w:val="single" w:sz="8" w:space="0" w:color="076A92" w:themeColor="text1"/>
        <w:bottom w:val="single" w:sz="8" w:space="0" w:color="076A92" w:themeColor="text1"/>
        <w:right w:val="single" w:sz="8" w:space="0" w:color="076A92" w:themeColor="text1"/>
        <w:insideH w:val="single" w:sz="8" w:space="0" w:color="076A92" w:themeColor="text1"/>
        <w:insideV w:val="single" w:sz="8" w:space="0" w:color="076A92"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18" w:space="0" w:color="076A92" w:themeColor="text1"/>
          <w:right w:val="single" w:sz="8" w:space="0" w:color="076A92" w:themeColor="text1"/>
          <w:insideH w:val="nil"/>
          <w:insideV w:val="single" w:sz="8" w:space="0" w:color="076A92"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insideH w:val="nil"/>
          <w:insideV w:val="single" w:sz="8" w:space="0" w:color="076A92"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shd w:val="clear" w:color="auto" w:fill="AAE3FB" w:themeFill="text1" w:themeFillTint="3F"/>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shd w:val="clear" w:color="auto" w:fill="AAE3FB" w:themeFill="text1" w:themeFillTint="3F"/>
      </w:tcPr>
    </w:tblStylePr>
    <w:tblStylePr w:type="band2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tcPr>
    </w:tblStylePr>
  </w:style>
  <w:style w:type="table" w:styleId="LightGrid-Accent1">
    <w:name w:val="Light Grid Accent 1"/>
    <w:basedOn w:val="TableNormal"/>
    <w:uiPriority w:val="62"/>
    <w:rsid w:val="009661DE"/>
    <w:pPr>
      <w:spacing w:before="0"/>
    </w:pPr>
    <w:tblPr>
      <w:tblStyleRowBandSize w:val="1"/>
      <w:tblStyleColBandSize w:val="1"/>
      <w:tblInd w:w="0" w:type="dxa"/>
      <w:tblBorders>
        <w:top w:val="single" w:sz="8" w:space="0" w:color="2F002F" w:themeColor="accent1"/>
        <w:left w:val="single" w:sz="8" w:space="0" w:color="2F002F" w:themeColor="accent1"/>
        <w:bottom w:val="single" w:sz="8" w:space="0" w:color="2F002F" w:themeColor="accent1"/>
        <w:right w:val="single" w:sz="8" w:space="0" w:color="2F002F" w:themeColor="accent1"/>
        <w:insideH w:val="single" w:sz="8" w:space="0" w:color="2F002F" w:themeColor="accent1"/>
        <w:insideV w:val="single" w:sz="8" w:space="0" w:color="2F002F"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18" w:space="0" w:color="2F002F" w:themeColor="accent1"/>
          <w:right w:val="single" w:sz="8" w:space="0" w:color="2F002F" w:themeColor="accent1"/>
          <w:insideH w:val="nil"/>
          <w:insideV w:val="single" w:sz="8" w:space="0" w:color="2F002F"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insideH w:val="nil"/>
          <w:insideV w:val="single" w:sz="8" w:space="0" w:color="2F002F"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shd w:val="clear" w:color="auto" w:fill="FF8CFF" w:themeFill="accent1" w:themeFillTint="3F"/>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shd w:val="clear" w:color="auto" w:fill="FF8CFF" w:themeFill="accent1" w:themeFillTint="3F"/>
      </w:tcPr>
    </w:tblStylePr>
    <w:tblStylePr w:type="band2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tcPr>
    </w:tblStylePr>
  </w:style>
  <w:style w:type="table" w:styleId="LightGrid-Accent2">
    <w:name w:val="Light Grid Accent 2"/>
    <w:basedOn w:val="TableNormal"/>
    <w:uiPriority w:val="62"/>
    <w:rsid w:val="009661DE"/>
    <w:pPr>
      <w:spacing w:before="0"/>
    </w:pPr>
    <w:tblPr>
      <w:tblStyleRowBandSize w:val="1"/>
      <w:tblStyleColBandSize w:val="1"/>
      <w:tblInd w:w="0" w:type="dxa"/>
      <w:tblBorders>
        <w:top w:val="single" w:sz="8" w:space="0" w:color="C14E00" w:themeColor="accent2"/>
        <w:left w:val="single" w:sz="8" w:space="0" w:color="C14E00" w:themeColor="accent2"/>
        <w:bottom w:val="single" w:sz="8" w:space="0" w:color="C14E00" w:themeColor="accent2"/>
        <w:right w:val="single" w:sz="8" w:space="0" w:color="C14E00" w:themeColor="accent2"/>
        <w:insideH w:val="single" w:sz="8" w:space="0" w:color="C14E00" w:themeColor="accent2"/>
        <w:insideV w:val="single" w:sz="8" w:space="0" w:color="C14E00"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18" w:space="0" w:color="C14E00" w:themeColor="accent2"/>
          <w:right w:val="single" w:sz="8" w:space="0" w:color="C14E00" w:themeColor="accent2"/>
          <w:insideH w:val="nil"/>
          <w:insideV w:val="single" w:sz="8" w:space="0" w:color="C14E00"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insideH w:val="nil"/>
          <w:insideV w:val="single" w:sz="8" w:space="0" w:color="C14E00"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shd w:val="clear" w:color="auto" w:fill="FFD0B0" w:themeFill="accent2" w:themeFillTint="3F"/>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shd w:val="clear" w:color="auto" w:fill="FFD0B0" w:themeFill="accent2" w:themeFillTint="3F"/>
      </w:tcPr>
    </w:tblStylePr>
    <w:tblStylePr w:type="band2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tcPr>
    </w:tblStylePr>
  </w:style>
  <w:style w:type="table" w:styleId="LightGrid-Accent4">
    <w:name w:val="Light Grid Accent 4"/>
    <w:basedOn w:val="TableNormal"/>
    <w:uiPriority w:val="62"/>
    <w:rsid w:val="009661DE"/>
    <w:pPr>
      <w:spacing w:before="0"/>
    </w:pPr>
    <w:tblPr>
      <w:tblStyleRowBandSize w:val="1"/>
      <w:tblStyleColBandSize w:val="1"/>
      <w:tblInd w:w="0" w:type="dxa"/>
      <w:tblBorders>
        <w:top w:val="single" w:sz="8" w:space="0" w:color="C00000" w:themeColor="accent4"/>
        <w:left w:val="single" w:sz="8" w:space="0" w:color="C00000" w:themeColor="accent4"/>
        <w:bottom w:val="single" w:sz="8" w:space="0" w:color="C00000" w:themeColor="accent4"/>
        <w:right w:val="single" w:sz="8" w:space="0" w:color="C00000" w:themeColor="accent4"/>
        <w:insideH w:val="single" w:sz="8" w:space="0" w:color="C00000" w:themeColor="accent4"/>
        <w:insideV w:val="single" w:sz="8" w:space="0" w:color="C00000"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18" w:space="0" w:color="C00000" w:themeColor="accent4"/>
          <w:right w:val="single" w:sz="8" w:space="0" w:color="C00000" w:themeColor="accent4"/>
          <w:insideH w:val="nil"/>
          <w:insideV w:val="single" w:sz="8" w:space="0" w:color="C00000"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insideH w:val="nil"/>
          <w:insideV w:val="single" w:sz="8" w:space="0" w:color="C00000"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shd w:val="clear" w:color="auto" w:fill="FFB0B0" w:themeFill="accent4" w:themeFillTint="3F"/>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shd w:val="clear" w:color="auto" w:fill="FFB0B0" w:themeFill="accent4" w:themeFillTint="3F"/>
      </w:tcPr>
    </w:tblStylePr>
    <w:tblStylePr w:type="band2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tcPr>
    </w:tblStylePr>
  </w:style>
  <w:style w:type="table" w:styleId="LightGrid-Accent5">
    <w:name w:val="Light Grid Accent 5"/>
    <w:basedOn w:val="TableNormal"/>
    <w:uiPriority w:val="62"/>
    <w:rsid w:val="009661DE"/>
    <w:pPr>
      <w:spacing w:before="0"/>
    </w:pPr>
    <w:tblPr>
      <w:tblStyleRowBandSize w:val="1"/>
      <w:tblStyleColBandSize w:val="1"/>
      <w:tblInd w:w="0" w:type="dxa"/>
      <w:tblBorders>
        <w:top w:val="single" w:sz="8" w:space="0" w:color="000000" w:themeColor="accent5"/>
        <w:left w:val="single" w:sz="8" w:space="0" w:color="000000" w:themeColor="accent5"/>
        <w:bottom w:val="single" w:sz="8" w:space="0" w:color="000000" w:themeColor="accent5"/>
        <w:right w:val="single" w:sz="8" w:space="0" w:color="000000" w:themeColor="accent5"/>
        <w:insideH w:val="single" w:sz="8" w:space="0" w:color="000000" w:themeColor="accent5"/>
        <w:insideV w:val="single" w:sz="8" w:space="0" w:color="000000"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18" w:space="0" w:color="000000" w:themeColor="accent5"/>
          <w:right w:val="single" w:sz="8" w:space="0" w:color="000000" w:themeColor="accent5"/>
          <w:insideH w:val="nil"/>
          <w:insideV w:val="single" w:sz="8" w:space="0" w:color="000000"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insideH w:val="nil"/>
          <w:insideV w:val="single" w:sz="8" w:space="0" w:color="000000"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shd w:val="clear" w:color="auto" w:fill="C0C0C0" w:themeFill="accent5" w:themeFillTint="3F"/>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shd w:val="clear" w:color="auto" w:fill="C0C0C0" w:themeFill="accent5" w:themeFillTint="3F"/>
      </w:tcPr>
    </w:tblStylePr>
    <w:tblStylePr w:type="band2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tcPr>
    </w:tblStylePr>
  </w:style>
  <w:style w:type="paragraph" w:customStyle="1" w:styleId="HeaderRight">
    <w:name w:val="Header Right"/>
    <w:basedOn w:val="Header"/>
    <w:uiPriority w:val="35"/>
    <w:qFormat/>
    <w:rsid w:val="00A84F46"/>
    <w:pPr>
      <w:tabs>
        <w:tab w:val="clear" w:pos="4513"/>
        <w:tab w:val="clear" w:pos="9026"/>
        <w:tab w:val="center" w:pos="4320"/>
        <w:tab w:val="right" w:pos="8640"/>
      </w:tabs>
      <w:spacing w:before="0" w:after="200"/>
      <w:jc w:val="right"/>
    </w:pPr>
    <w:rPr>
      <w:rFonts w:asciiTheme="minorHAnsi" w:hAnsiTheme="minorHAnsi" w:cs="Times New Roman"/>
      <w:szCs w:val="20"/>
      <w:lang w:val="en-US" w:eastAsia="ja-JP"/>
    </w:rPr>
  </w:style>
  <w:style w:type="paragraph" w:customStyle="1" w:styleId="Numbered111111111">
    <w:name w:val="Numbered 1.1.1.1.1.1.1.1.1"/>
    <w:basedOn w:val="Heading9"/>
    <w:next w:val="Normal"/>
    <w:uiPriority w:val="2"/>
    <w:rsid w:val="00757BDF"/>
    <w:pPr>
      <w:numPr>
        <w:numId w:val="15"/>
      </w:numPr>
      <w:tabs>
        <w:tab w:val="left" w:pos="2041"/>
      </w:tabs>
      <w:ind w:left="2041" w:hanging="2041"/>
    </w:pPr>
  </w:style>
  <w:style w:type="paragraph" w:styleId="Caption">
    <w:name w:val="caption"/>
    <w:basedOn w:val="Normal"/>
    <w:next w:val="Normal"/>
    <w:unhideWhenUsed/>
    <w:qFormat/>
    <w:rsid w:val="0066104A"/>
    <w:pPr>
      <w:keepNext/>
      <w:spacing w:before="240" w:after="120"/>
    </w:pPr>
    <w:rPr>
      <w:b/>
      <w:bCs/>
      <w:color w:val="076A92" w:themeColor="text1"/>
      <w:sz w:val="24"/>
      <w:szCs w:val="18"/>
    </w:rPr>
  </w:style>
  <w:style w:type="paragraph" w:styleId="List">
    <w:name w:val="List"/>
    <w:basedOn w:val="Normal"/>
    <w:uiPriority w:val="99"/>
    <w:unhideWhenUsed/>
    <w:qFormat/>
    <w:rsid w:val="00B514DD"/>
    <w:pPr>
      <w:tabs>
        <w:tab w:val="left" w:pos="340"/>
      </w:tabs>
      <w:spacing w:before="120"/>
      <w:ind w:left="340" w:hanging="340"/>
    </w:pPr>
  </w:style>
  <w:style w:type="paragraph" w:styleId="List2">
    <w:name w:val="List 2"/>
    <w:basedOn w:val="Normal"/>
    <w:uiPriority w:val="99"/>
    <w:unhideWhenUsed/>
    <w:rsid w:val="00F171E0"/>
    <w:pPr>
      <w:tabs>
        <w:tab w:val="left" w:pos="680"/>
      </w:tabs>
      <w:spacing w:before="120"/>
      <w:ind w:left="680" w:hanging="340"/>
    </w:pPr>
  </w:style>
  <w:style w:type="paragraph" w:styleId="List3">
    <w:name w:val="List 3"/>
    <w:basedOn w:val="Normal"/>
    <w:uiPriority w:val="99"/>
    <w:unhideWhenUsed/>
    <w:rsid w:val="00F171E0"/>
    <w:pPr>
      <w:tabs>
        <w:tab w:val="left" w:pos="1021"/>
      </w:tabs>
      <w:spacing w:before="120"/>
      <w:ind w:left="1020" w:hanging="340"/>
    </w:pPr>
  </w:style>
  <w:style w:type="paragraph" w:styleId="List4">
    <w:name w:val="List 4"/>
    <w:basedOn w:val="Normal"/>
    <w:uiPriority w:val="99"/>
    <w:unhideWhenUsed/>
    <w:rsid w:val="00F171E0"/>
    <w:pPr>
      <w:tabs>
        <w:tab w:val="left" w:pos="1361"/>
      </w:tabs>
      <w:spacing w:before="120"/>
      <w:ind w:left="1361" w:hanging="340"/>
    </w:pPr>
  </w:style>
  <w:style w:type="paragraph" w:styleId="List5">
    <w:name w:val="List 5"/>
    <w:basedOn w:val="Normal"/>
    <w:uiPriority w:val="99"/>
    <w:unhideWhenUsed/>
    <w:rsid w:val="00F171E0"/>
    <w:pPr>
      <w:tabs>
        <w:tab w:val="left" w:pos="1701"/>
      </w:tabs>
      <w:spacing w:before="120"/>
      <w:ind w:left="1701" w:hanging="340"/>
    </w:pPr>
  </w:style>
  <w:style w:type="paragraph" w:styleId="ListBullet3">
    <w:name w:val="List Bullet 3"/>
    <w:aliases w:val="AER numbered list 2 third"/>
    <w:basedOn w:val="Normal"/>
    <w:unhideWhenUsed/>
    <w:qFormat/>
    <w:rsid w:val="008E77DE"/>
    <w:pPr>
      <w:numPr>
        <w:numId w:val="4"/>
      </w:numPr>
      <w:spacing w:before="120"/>
    </w:pPr>
  </w:style>
  <w:style w:type="paragraph" w:styleId="ListBullet4">
    <w:name w:val="List Bullet 4"/>
    <w:basedOn w:val="Normal"/>
    <w:uiPriority w:val="99"/>
    <w:unhideWhenUsed/>
    <w:rsid w:val="00DB5074"/>
    <w:pPr>
      <w:numPr>
        <w:numId w:val="5"/>
      </w:numPr>
      <w:tabs>
        <w:tab w:val="clear" w:pos="1209"/>
        <w:tab w:val="num" w:pos="1361"/>
      </w:tabs>
      <w:spacing w:before="120"/>
      <w:ind w:left="1378" w:hanging="357"/>
    </w:pPr>
  </w:style>
  <w:style w:type="paragraph" w:styleId="ListBullet5">
    <w:name w:val="List Bullet 5"/>
    <w:basedOn w:val="Normal"/>
    <w:uiPriority w:val="99"/>
    <w:unhideWhenUsed/>
    <w:rsid w:val="00DB5074"/>
    <w:pPr>
      <w:numPr>
        <w:numId w:val="6"/>
      </w:numPr>
      <w:tabs>
        <w:tab w:val="clear" w:pos="1492"/>
        <w:tab w:val="num" w:pos="1701"/>
      </w:tabs>
      <w:spacing w:before="120"/>
      <w:ind w:left="1701" w:hanging="340"/>
    </w:pPr>
  </w:style>
  <w:style w:type="paragraph" w:styleId="ListContinue">
    <w:name w:val="List Continue"/>
    <w:aliases w:val="AER body text (indent 1)"/>
    <w:basedOn w:val="Normal"/>
    <w:uiPriority w:val="99"/>
    <w:unhideWhenUsed/>
    <w:qFormat/>
    <w:rsid w:val="00DB5074"/>
    <w:pPr>
      <w:tabs>
        <w:tab w:val="left" w:pos="340"/>
      </w:tabs>
      <w:spacing w:before="120"/>
      <w:ind w:left="340"/>
    </w:pPr>
  </w:style>
  <w:style w:type="paragraph" w:styleId="ListContinue2">
    <w:name w:val="List Continue 2"/>
    <w:aliases w:val="AER body text (indent 2)"/>
    <w:basedOn w:val="Normal"/>
    <w:uiPriority w:val="99"/>
    <w:unhideWhenUsed/>
    <w:rsid w:val="00567BA5"/>
    <w:pPr>
      <w:tabs>
        <w:tab w:val="left" w:pos="680"/>
      </w:tabs>
      <w:spacing w:before="120"/>
      <w:ind w:left="680"/>
    </w:pPr>
  </w:style>
  <w:style w:type="paragraph" w:styleId="ListContinue3">
    <w:name w:val="List Continue 3"/>
    <w:aliases w:val="AER body text (indent 3)"/>
    <w:basedOn w:val="Normal"/>
    <w:uiPriority w:val="99"/>
    <w:unhideWhenUsed/>
    <w:rsid w:val="00DB5074"/>
    <w:pPr>
      <w:tabs>
        <w:tab w:val="left" w:pos="1021"/>
      </w:tabs>
      <w:spacing w:before="120"/>
      <w:ind w:left="1021"/>
    </w:pPr>
  </w:style>
  <w:style w:type="paragraph" w:styleId="ListContinue4">
    <w:name w:val="List Continue 4"/>
    <w:basedOn w:val="Normal"/>
    <w:uiPriority w:val="99"/>
    <w:unhideWhenUsed/>
    <w:rsid w:val="00DB5074"/>
    <w:pPr>
      <w:tabs>
        <w:tab w:val="left" w:pos="1361"/>
      </w:tabs>
      <w:spacing w:before="120"/>
      <w:ind w:left="1361"/>
    </w:pPr>
  </w:style>
  <w:style w:type="paragraph" w:styleId="ListNumber3">
    <w:name w:val="List Number 3"/>
    <w:basedOn w:val="Normal"/>
    <w:uiPriority w:val="99"/>
    <w:unhideWhenUsed/>
    <w:rsid w:val="00567BA5"/>
    <w:pPr>
      <w:numPr>
        <w:numId w:val="9"/>
      </w:numPr>
      <w:spacing w:before="120"/>
    </w:pPr>
  </w:style>
  <w:style w:type="paragraph" w:styleId="ListNumber4">
    <w:name w:val="List Number 4"/>
    <w:basedOn w:val="Normal"/>
    <w:uiPriority w:val="99"/>
    <w:unhideWhenUsed/>
    <w:rsid w:val="00567BA5"/>
    <w:pPr>
      <w:numPr>
        <w:numId w:val="10"/>
      </w:numPr>
      <w:tabs>
        <w:tab w:val="clear" w:pos="1209"/>
        <w:tab w:val="num" w:pos="1361"/>
      </w:tabs>
      <w:spacing w:before="120"/>
      <w:ind w:left="1361" w:hanging="340"/>
    </w:pPr>
  </w:style>
  <w:style w:type="paragraph" w:styleId="ListNumber5">
    <w:name w:val="List Number 5"/>
    <w:basedOn w:val="Normal"/>
    <w:uiPriority w:val="99"/>
    <w:unhideWhenUsed/>
    <w:rsid w:val="00567BA5"/>
    <w:pPr>
      <w:numPr>
        <w:numId w:val="11"/>
      </w:numPr>
      <w:tabs>
        <w:tab w:val="clear" w:pos="1492"/>
        <w:tab w:val="num" w:pos="1701"/>
      </w:tabs>
      <w:spacing w:before="120"/>
      <w:ind w:left="1701" w:hanging="340"/>
    </w:pPr>
  </w:style>
  <w:style w:type="paragraph" w:customStyle="1" w:styleId="TableHeading">
    <w:name w:val="Table Heading"/>
    <w:basedOn w:val="Normal"/>
    <w:link w:val="TableHeadingChar"/>
    <w:qFormat/>
    <w:rsid w:val="00185CB9"/>
    <w:pPr>
      <w:spacing w:before="240" w:after="120"/>
    </w:pPr>
    <w:rPr>
      <w:color w:val="FFFFFF" w:themeColor="background1"/>
      <w:sz w:val="24"/>
    </w:rPr>
  </w:style>
  <w:style w:type="paragraph" w:customStyle="1" w:styleId="Tabletext-right">
    <w:name w:val="Table text - right"/>
    <w:basedOn w:val="Tabletext"/>
    <w:link w:val="Tabletext-rightChar"/>
    <w:rsid w:val="00063247"/>
    <w:pPr>
      <w:jc w:val="right"/>
    </w:pPr>
    <w:rPr>
      <w:rFonts w:eastAsia="Times New Roman" w:cs="Times New Roman"/>
      <w:szCs w:val="20"/>
    </w:rPr>
  </w:style>
  <w:style w:type="paragraph" w:customStyle="1" w:styleId="Tabletext-centred">
    <w:name w:val="Table text - centred"/>
    <w:basedOn w:val="Tabletext-right"/>
    <w:link w:val="Tabletext-centredChar"/>
    <w:rsid w:val="00063247"/>
    <w:pPr>
      <w:jc w:val="center"/>
    </w:pPr>
  </w:style>
  <w:style w:type="paragraph" w:customStyle="1" w:styleId="TableHeading-right">
    <w:name w:val="Table Heading - right"/>
    <w:basedOn w:val="TableHeading"/>
    <w:link w:val="TableHeading-rightChar"/>
    <w:rsid w:val="00185CB9"/>
    <w:pPr>
      <w:jc w:val="right"/>
    </w:pPr>
    <w:rPr>
      <w:rFonts w:eastAsia="Times New Roman" w:cs="Times New Roman"/>
      <w:bCs/>
      <w:szCs w:val="20"/>
    </w:rPr>
  </w:style>
  <w:style w:type="character" w:customStyle="1" w:styleId="Tabletext-rightChar">
    <w:name w:val="Table text - right Char"/>
    <w:basedOn w:val="TabletextChar"/>
    <w:link w:val="Tabletext-right"/>
    <w:rsid w:val="00063247"/>
    <w:rPr>
      <w:rFonts w:ascii="Arial" w:eastAsia="Times New Roman" w:hAnsi="Arial" w:cs="Times New Roman"/>
      <w:sz w:val="20"/>
      <w:szCs w:val="20"/>
    </w:rPr>
  </w:style>
  <w:style w:type="character" w:customStyle="1" w:styleId="TabletextChar">
    <w:name w:val="Table text Char"/>
    <w:basedOn w:val="DefaultParagraphFont"/>
    <w:link w:val="Tabletext"/>
    <w:uiPriority w:val="1"/>
    <w:rsid w:val="00584D8F"/>
    <w:rPr>
      <w:rFonts w:ascii="Arial" w:hAnsi="Arial"/>
      <w:sz w:val="20"/>
    </w:rPr>
  </w:style>
  <w:style w:type="character" w:customStyle="1" w:styleId="TableHeadingChar">
    <w:name w:val="Table Heading Char"/>
    <w:basedOn w:val="TabletextChar"/>
    <w:link w:val="TableHeading"/>
    <w:rsid w:val="00185CB9"/>
    <w:rPr>
      <w:rFonts w:ascii="Arial" w:hAnsi="Arial"/>
      <w:color w:val="FFFFFF" w:themeColor="background1"/>
      <w:sz w:val="24"/>
    </w:rPr>
  </w:style>
  <w:style w:type="character" w:customStyle="1" w:styleId="TableHeading-rightChar">
    <w:name w:val="Table Heading - right Char"/>
    <w:basedOn w:val="TableHeadingChar"/>
    <w:link w:val="TableHeading-right"/>
    <w:rsid w:val="00185CB9"/>
    <w:rPr>
      <w:rFonts w:ascii="Arial" w:eastAsia="Times New Roman" w:hAnsi="Arial" w:cs="Times New Roman"/>
      <w:bCs/>
      <w:color w:val="FFFFFF" w:themeColor="background1"/>
      <w:sz w:val="24"/>
      <w:szCs w:val="20"/>
    </w:rPr>
  </w:style>
  <w:style w:type="character" w:customStyle="1" w:styleId="Tabletext-centredChar">
    <w:name w:val="Table text - centred Char"/>
    <w:basedOn w:val="Tabletext-rightChar"/>
    <w:link w:val="Tabletext-centred"/>
    <w:rsid w:val="00063247"/>
    <w:rPr>
      <w:rFonts w:ascii="Arial" w:eastAsia="Times New Roman" w:hAnsi="Arial" w:cs="Times New Roman"/>
      <w:sz w:val="20"/>
      <w:szCs w:val="20"/>
    </w:rPr>
  </w:style>
  <w:style w:type="paragraph" w:customStyle="1" w:styleId="TableHeading-centred">
    <w:name w:val="Table Heading - centred"/>
    <w:basedOn w:val="TableHeading"/>
    <w:rsid w:val="00185CB9"/>
    <w:pPr>
      <w:jc w:val="center"/>
    </w:pPr>
    <w:rPr>
      <w:rFonts w:eastAsia="Times New Roman" w:cs="Times New Roman"/>
      <w:bCs/>
      <w:szCs w:val="20"/>
    </w:rPr>
  </w:style>
  <w:style w:type="character" w:customStyle="1" w:styleId="EndnoteTextChar">
    <w:name w:val="Endnote Text Char"/>
    <w:basedOn w:val="DefaultParagraphFont"/>
    <w:link w:val="EndnoteText"/>
    <w:uiPriority w:val="99"/>
    <w:rsid w:val="00334C8D"/>
    <w:rPr>
      <w:rFonts w:ascii="Arial" w:hAnsi="Arial"/>
      <w:sz w:val="20"/>
      <w:szCs w:val="20"/>
    </w:rPr>
  </w:style>
  <w:style w:type="paragraph" w:styleId="TableofFigures">
    <w:name w:val="table of figures"/>
    <w:basedOn w:val="Normal"/>
    <w:next w:val="Normal"/>
    <w:uiPriority w:val="99"/>
    <w:unhideWhenUsed/>
    <w:rsid w:val="00676679"/>
    <w:pPr>
      <w:spacing w:before="240" w:after="120"/>
    </w:pPr>
  </w:style>
  <w:style w:type="table" w:customStyle="1" w:styleId="ACCCTable3">
    <w:name w:val="ACCC Table 3"/>
    <w:basedOn w:val="TableNormal"/>
    <w:uiPriority w:val="99"/>
    <w:rsid w:val="00C53B5A"/>
    <w:pPr>
      <w:spacing w:before="0"/>
    </w:pPr>
    <w:rPr>
      <w:sz w:val="20"/>
    </w:rPr>
    <w:tblPr>
      <w:tblInd w:w="0" w:type="dxa"/>
      <w:tblBorders>
        <w:insideV w:val="single" w:sz="4" w:space="0" w:color="FFFFFF" w:themeColor="background2"/>
      </w:tblBorders>
      <w:tblCellMar>
        <w:top w:w="0" w:type="dxa"/>
        <w:left w:w="108" w:type="dxa"/>
        <w:bottom w:w="0" w:type="dxa"/>
        <w:right w:w="108" w:type="dxa"/>
      </w:tblCellMar>
    </w:tblPr>
    <w:tblStylePr w:type="firstRow">
      <w:rPr>
        <w:rFonts w:asciiTheme="minorHAnsi" w:hAnsiTheme="minorHAnsi"/>
        <w:b/>
        <w:sz w:val="20"/>
      </w:rPr>
    </w:tblStylePr>
    <w:tblStylePr w:type="lastRow">
      <w:rPr>
        <w:rFonts w:ascii="Arial" w:hAnsi="Arial"/>
        <w:b/>
        <w:sz w:val="20"/>
      </w:rPr>
    </w:tblStylePr>
    <w:tblStylePr w:type="firstCol">
      <w:rPr>
        <w:rFonts w:ascii="Arial" w:hAnsi="Arial"/>
        <w:b/>
        <w:sz w:val="20"/>
      </w:rPr>
    </w:tblStylePr>
  </w:style>
  <w:style w:type="character" w:styleId="EndnoteReference">
    <w:name w:val="endnote reference"/>
    <w:basedOn w:val="DefaultParagraphFont"/>
    <w:uiPriority w:val="99"/>
    <w:rsid w:val="00263AC0"/>
    <w:rPr>
      <w:vertAlign w:val="superscript"/>
    </w:rPr>
  </w:style>
  <w:style w:type="paragraph" w:customStyle="1" w:styleId="Numberedparagraph11">
    <w:name w:val="Numbered paragraph 1.1"/>
    <w:basedOn w:val="Normal"/>
    <w:autoRedefine/>
    <w:qFormat/>
    <w:rsid w:val="00985C86"/>
    <w:pPr>
      <w:numPr>
        <w:ilvl w:val="1"/>
        <w:numId w:val="15"/>
      </w:numPr>
      <w:tabs>
        <w:tab w:val="left" w:pos="1021"/>
      </w:tabs>
      <w:spacing w:line="240" w:lineRule="atLeast"/>
      <w:ind w:left="680" w:hanging="680"/>
    </w:pPr>
    <w:rPr>
      <w:rFonts w:eastAsiaTheme="majorEastAsia" w:cs="Arial"/>
      <w:bCs/>
      <w:szCs w:val="26"/>
    </w:rPr>
  </w:style>
  <w:style w:type="paragraph" w:customStyle="1" w:styleId="AERquoteindent2">
    <w:name w:val="AER quote (indent 2)"/>
    <w:basedOn w:val="AERquoteindent1"/>
    <w:qFormat/>
    <w:rsid w:val="00DE1093"/>
    <w:pPr>
      <w:tabs>
        <w:tab w:val="clear" w:pos="680"/>
        <w:tab w:val="left" w:pos="1021"/>
      </w:tabs>
      <w:ind w:left="1021"/>
    </w:pPr>
  </w:style>
  <w:style w:type="paragraph" w:customStyle="1" w:styleId="Numberedparagraph">
    <w:name w:val="Numbered paragraph"/>
    <w:basedOn w:val="Normal"/>
    <w:rsid w:val="00C67A92"/>
    <w:pPr>
      <w:numPr>
        <w:numId w:val="1"/>
      </w:numPr>
      <w:tabs>
        <w:tab w:val="left" w:pos="680"/>
      </w:tabs>
      <w:ind w:left="680" w:hanging="680"/>
    </w:pPr>
    <w:rPr>
      <w:rFonts w:eastAsia="Times New Roman" w:cs="Times New Roman"/>
      <w:szCs w:val="20"/>
    </w:rPr>
  </w:style>
  <w:style w:type="paragraph" w:customStyle="1" w:styleId="Copyright">
    <w:name w:val="Copyright"/>
    <w:basedOn w:val="Normal"/>
    <w:next w:val="Normal"/>
    <w:link w:val="CopyrightChar"/>
    <w:rsid w:val="00951978"/>
    <w:pPr>
      <w:spacing w:line="288" w:lineRule="auto"/>
    </w:pPr>
    <w:rPr>
      <w:sz w:val="20"/>
      <w:szCs w:val="20"/>
    </w:rPr>
  </w:style>
  <w:style w:type="paragraph" w:customStyle="1" w:styleId="ReportTitle">
    <w:name w:val="Report Title"/>
    <w:basedOn w:val="Normal"/>
    <w:next w:val="Normal"/>
    <w:link w:val="ReportTitleChar"/>
    <w:qFormat/>
    <w:rsid w:val="00327A1E"/>
    <w:pPr>
      <w:tabs>
        <w:tab w:val="center" w:pos="4598"/>
        <w:tab w:val="right" w:pos="9026"/>
      </w:tabs>
      <w:spacing w:before="240"/>
      <w:contextualSpacing/>
      <w:jc w:val="center"/>
    </w:pPr>
    <w:rPr>
      <w:rFonts w:eastAsiaTheme="majorEastAsia" w:cstheme="majorBidi"/>
      <w:b/>
      <w:noProof/>
      <w:sz w:val="72"/>
      <w:szCs w:val="72"/>
      <w:lang w:eastAsia="en-AU"/>
    </w:rPr>
  </w:style>
  <w:style w:type="numbering" w:customStyle="1" w:styleId="AlphanumericList">
    <w:name w:val="Alphanumeric List"/>
    <w:uiPriority w:val="99"/>
    <w:rsid w:val="000A6C7B"/>
    <w:pPr>
      <w:numPr>
        <w:numId w:val="16"/>
      </w:numPr>
    </w:pPr>
  </w:style>
  <w:style w:type="table" w:customStyle="1" w:styleId="AERTable-Text">
    <w:name w:val="AER Table - Text"/>
    <w:basedOn w:val="TableNormal"/>
    <w:uiPriority w:val="99"/>
    <w:rsid w:val="000E4821"/>
    <w:pPr>
      <w:spacing w:before="120" w:after="120"/>
    </w:pPr>
    <w:rPr>
      <w:rFonts w:ascii="Arial" w:hAnsi="Arial"/>
      <w:sz w:val="20"/>
    </w:rPr>
    <w:tblPr>
      <w:tblStyleRowBandSize w:val="1"/>
      <w:tblInd w:w="0" w:type="dxa"/>
      <w:tblBorders>
        <w:bottom w:val="single" w:sz="4" w:space="0" w:color="auto"/>
      </w:tblBorders>
      <w:tblCellMar>
        <w:top w:w="0" w:type="dxa"/>
        <w:left w:w="108" w:type="dxa"/>
        <w:bottom w:w="0" w:type="dxa"/>
        <w:right w:w="108" w:type="dxa"/>
      </w:tblCellMar>
    </w:tblPr>
    <w:tblStylePr w:type="firstRow">
      <w:pPr>
        <w:wordWrap/>
        <w:spacing w:beforeLines="0" w:before="240" w:beforeAutospacing="0" w:afterLines="0" w:after="120" w:afterAutospacing="0"/>
      </w:pPr>
      <w:rPr>
        <w:rFonts w:ascii="Arial" w:hAnsi="Arial"/>
        <w:b/>
        <w:color w:val="FFFFFF" w:themeColor="background1"/>
        <w:sz w:val="24"/>
      </w:rPr>
      <w:tblPr/>
      <w:tcPr>
        <w:shd w:val="clear" w:color="auto" w:fill="076A92"/>
      </w:tcPr>
    </w:tblStylePr>
    <w:tblStylePr w:type="band2Horz">
      <w:rPr>
        <w:rFonts w:ascii="Arial" w:hAnsi="Arial"/>
        <w:sz w:val="20"/>
      </w:rPr>
      <w:tblPr/>
      <w:tcPr>
        <w:shd w:val="clear" w:color="auto" w:fill="DBE5F1"/>
      </w:tcPr>
    </w:tblStylePr>
  </w:style>
  <w:style w:type="paragraph" w:customStyle="1" w:styleId="ReportDate">
    <w:name w:val="Report Date"/>
    <w:basedOn w:val="ReportTitle"/>
    <w:link w:val="ReportDateChar"/>
    <w:qFormat/>
    <w:rsid w:val="000A6C7B"/>
    <w:rPr>
      <w:b w:val="0"/>
      <w:sz w:val="36"/>
      <w:szCs w:val="36"/>
    </w:rPr>
  </w:style>
  <w:style w:type="paragraph" w:customStyle="1" w:styleId="ReportSubtitle">
    <w:name w:val="Report Subtitle"/>
    <w:basedOn w:val="ReportTitle"/>
    <w:link w:val="ReportSubtitleChar"/>
    <w:qFormat/>
    <w:rsid w:val="00327A1E"/>
    <w:rPr>
      <w:sz w:val="56"/>
      <w:szCs w:val="56"/>
    </w:rPr>
  </w:style>
  <w:style w:type="character" w:customStyle="1" w:styleId="ReportTitleChar">
    <w:name w:val="Report Title Char"/>
    <w:basedOn w:val="Heading1Char"/>
    <w:link w:val="ReportTitle"/>
    <w:rsid w:val="00327A1E"/>
    <w:rPr>
      <w:rFonts w:ascii="Arial" w:eastAsiaTheme="majorEastAsia" w:hAnsi="Arial" w:cstheme="majorBidi"/>
      <w:b w:val="0"/>
      <w:bCs w:val="0"/>
      <w:noProof/>
      <w:color w:val="70635A"/>
      <w:sz w:val="72"/>
      <w:szCs w:val="72"/>
      <w:lang w:eastAsia="en-AU"/>
    </w:rPr>
  </w:style>
  <w:style w:type="character" w:customStyle="1" w:styleId="ReportDateChar">
    <w:name w:val="Report Date Char"/>
    <w:basedOn w:val="ReportTitleChar"/>
    <w:link w:val="ReportDate"/>
    <w:rsid w:val="000A6C7B"/>
    <w:rPr>
      <w:rFonts w:ascii="Arial" w:eastAsiaTheme="majorEastAsia" w:hAnsi="Arial" w:cstheme="majorBidi"/>
      <w:b/>
      <w:bCs w:val="0"/>
      <w:noProof/>
      <w:color w:val="70635A"/>
      <w:sz w:val="36"/>
      <w:szCs w:val="36"/>
      <w:lang w:eastAsia="en-AU"/>
    </w:rPr>
  </w:style>
  <w:style w:type="character" w:customStyle="1" w:styleId="ReportSubtitleChar">
    <w:name w:val="Report Subtitle Char"/>
    <w:basedOn w:val="ReportTitleChar"/>
    <w:link w:val="ReportSubtitle"/>
    <w:rsid w:val="00327A1E"/>
    <w:rPr>
      <w:rFonts w:ascii="Arial" w:eastAsiaTheme="majorEastAsia" w:hAnsi="Arial" w:cstheme="majorBidi"/>
      <w:b w:val="0"/>
      <w:bCs w:val="0"/>
      <w:noProof/>
      <w:color w:val="70635A"/>
      <w:sz w:val="56"/>
      <w:szCs w:val="56"/>
      <w:lang w:eastAsia="en-AU"/>
    </w:rPr>
  </w:style>
  <w:style w:type="character" w:customStyle="1" w:styleId="CopyrightChar">
    <w:name w:val="Copyright Char"/>
    <w:basedOn w:val="DefaultParagraphFont"/>
    <w:link w:val="Copyright"/>
    <w:rsid w:val="00951978"/>
    <w:rPr>
      <w:rFonts w:ascii="Arial" w:hAnsi="Arial"/>
      <w:sz w:val="20"/>
      <w:szCs w:val="20"/>
    </w:rPr>
  </w:style>
  <w:style w:type="paragraph" w:styleId="BodyTextIndent">
    <w:name w:val="Body Text Indent"/>
    <w:basedOn w:val="Normal"/>
    <w:link w:val="BodyTextIndentChar"/>
    <w:uiPriority w:val="99"/>
    <w:semiHidden/>
    <w:unhideWhenUsed/>
    <w:rsid w:val="00F171E0"/>
    <w:pPr>
      <w:spacing w:after="120"/>
      <w:ind w:left="283"/>
    </w:pPr>
  </w:style>
  <w:style w:type="character" w:customStyle="1" w:styleId="BodyTextIndentChar">
    <w:name w:val="Body Text Indent Char"/>
    <w:basedOn w:val="DefaultParagraphFont"/>
    <w:link w:val="BodyTextIndent"/>
    <w:uiPriority w:val="99"/>
    <w:semiHidden/>
    <w:rsid w:val="00F171E0"/>
    <w:rPr>
      <w:rFonts w:ascii="Arial" w:hAnsi="Arial"/>
    </w:rPr>
  </w:style>
  <w:style w:type="paragraph" w:styleId="BodyTextFirstIndent2">
    <w:name w:val="Body Text First Indent 2"/>
    <w:basedOn w:val="BodyTextIndent"/>
    <w:link w:val="BodyTextFirstIndent2Char"/>
    <w:uiPriority w:val="99"/>
    <w:unhideWhenUsed/>
    <w:rsid w:val="00F171E0"/>
    <w:pPr>
      <w:spacing w:after="0"/>
      <w:ind w:left="360" w:firstLine="360"/>
    </w:pPr>
  </w:style>
  <w:style w:type="character" w:customStyle="1" w:styleId="BodyTextFirstIndent2Char">
    <w:name w:val="Body Text First Indent 2 Char"/>
    <w:basedOn w:val="BodyTextIndentChar"/>
    <w:link w:val="BodyTextFirstIndent2"/>
    <w:uiPriority w:val="99"/>
    <w:rsid w:val="00F171E0"/>
    <w:rPr>
      <w:rFonts w:ascii="Arial" w:hAnsi="Arial"/>
    </w:rPr>
  </w:style>
  <w:style w:type="paragraph" w:styleId="Closing">
    <w:name w:val="Closing"/>
    <w:basedOn w:val="Normal"/>
    <w:link w:val="ClosingChar"/>
    <w:uiPriority w:val="99"/>
    <w:unhideWhenUsed/>
    <w:rsid w:val="00F171E0"/>
    <w:pPr>
      <w:spacing w:before="0" w:line="240" w:lineRule="auto"/>
      <w:ind w:left="4252"/>
    </w:pPr>
  </w:style>
  <w:style w:type="character" w:customStyle="1" w:styleId="ClosingChar">
    <w:name w:val="Closing Char"/>
    <w:basedOn w:val="DefaultParagraphFont"/>
    <w:link w:val="Closing"/>
    <w:uiPriority w:val="99"/>
    <w:rsid w:val="00F171E0"/>
    <w:rPr>
      <w:rFonts w:ascii="Arial" w:hAnsi="Arial"/>
    </w:rPr>
  </w:style>
  <w:style w:type="paragraph" w:styleId="BodyTextFirstIndent">
    <w:name w:val="Body Text First Indent"/>
    <w:basedOn w:val="Normal"/>
    <w:link w:val="BodyTextFirstIndentChar"/>
    <w:uiPriority w:val="99"/>
    <w:unhideWhenUsed/>
    <w:rsid w:val="00F171E0"/>
    <w:pPr>
      <w:ind w:firstLine="360"/>
    </w:pPr>
  </w:style>
  <w:style w:type="character" w:customStyle="1" w:styleId="BodyTextFirstIndentChar">
    <w:name w:val="Body Text First Indent Char"/>
    <w:basedOn w:val="DefaultParagraphFont"/>
    <w:link w:val="BodyTextFirstIndent"/>
    <w:uiPriority w:val="99"/>
    <w:rsid w:val="00F171E0"/>
    <w:rPr>
      <w:rFonts w:ascii="Arial" w:hAnsi="Arial"/>
    </w:rPr>
  </w:style>
  <w:style w:type="paragraph" w:styleId="BodyText2">
    <w:name w:val="Body Text 2"/>
    <w:basedOn w:val="Normal"/>
    <w:link w:val="BodyText2Char"/>
    <w:uiPriority w:val="99"/>
    <w:unhideWhenUsed/>
    <w:rsid w:val="00F171E0"/>
    <w:pPr>
      <w:spacing w:after="120" w:line="480" w:lineRule="auto"/>
    </w:pPr>
  </w:style>
  <w:style w:type="character" w:customStyle="1" w:styleId="BodyText2Char">
    <w:name w:val="Body Text 2 Char"/>
    <w:basedOn w:val="DefaultParagraphFont"/>
    <w:link w:val="BodyText2"/>
    <w:uiPriority w:val="99"/>
    <w:rsid w:val="00F171E0"/>
    <w:rPr>
      <w:rFonts w:ascii="Arial" w:hAnsi="Arial"/>
    </w:rPr>
  </w:style>
  <w:style w:type="paragraph" w:customStyle="1" w:styleId="ListLegal">
    <w:name w:val="List Legal"/>
    <w:basedOn w:val="ListParagraph"/>
    <w:rsid w:val="00301B40"/>
    <w:pPr>
      <w:numPr>
        <w:numId w:val="19"/>
      </w:numPr>
      <w:tabs>
        <w:tab w:val="clear" w:pos="340"/>
        <w:tab w:val="left" w:pos="680"/>
      </w:tabs>
      <w:ind w:left="680" w:hanging="340"/>
    </w:pPr>
  </w:style>
  <w:style w:type="character" w:styleId="CommentReference">
    <w:name w:val="annotation reference"/>
    <w:basedOn w:val="DefaultParagraphFont"/>
    <w:uiPriority w:val="99"/>
    <w:unhideWhenUsed/>
    <w:rsid w:val="00F171E0"/>
    <w:rPr>
      <w:sz w:val="16"/>
      <w:szCs w:val="16"/>
    </w:rPr>
  </w:style>
  <w:style w:type="paragraph" w:customStyle="1" w:styleId="ListLegal2">
    <w:name w:val="List Legal 2"/>
    <w:basedOn w:val="ListLegal"/>
    <w:rsid w:val="00301B40"/>
    <w:pPr>
      <w:tabs>
        <w:tab w:val="clear" w:pos="680"/>
        <w:tab w:val="left" w:pos="1021"/>
      </w:tabs>
      <w:ind w:left="1020"/>
    </w:pPr>
  </w:style>
  <w:style w:type="paragraph" w:customStyle="1" w:styleId="AERnumberedlistthirdstyle">
    <w:name w:val="AER numbered list (third style)"/>
    <w:basedOn w:val="ListNumber3"/>
    <w:qFormat/>
    <w:rsid w:val="00571D57"/>
    <w:pPr>
      <w:numPr>
        <w:numId w:val="20"/>
      </w:numPr>
      <w:tabs>
        <w:tab w:val="left" w:pos="1361"/>
      </w:tabs>
      <w:ind w:left="1361" w:hanging="340"/>
    </w:pPr>
  </w:style>
  <w:style w:type="paragraph" w:customStyle="1" w:styleId="ListLegal4">
    <w:name w:val="List Legal 4"/>
    <w:basedOn w:val="AERnumberedlistthirdstyle"/>
    <w:rsid w:val="00571D57"/>
    <w:pPr>
      <w:tabs>
        <w:tab w:val="clear" w:pos="1361"/>
        <w:tab w:val="left" w:pos="1701"/>
      </w:tabs>
      <w:ind w:left="1701"/>
    </w:pPr>
  </w:style>
  <w:style w:type="paragraph" w:customStyle="1" w:styleId="ListLegal5">
    <w:name w:val="List Legal 5"/>
    <w:basedOn w:val="ListLegal4"/>
    <w:rsid w:val="00571D57"/>
    <w:pPr>
      <w:tabs>
        <w:tab w:val="clear" w:pos="1701"/>
        <w:tab w:val="left" w:pos="2041"/>
      </w:tabs>
      <w:ind w:left="2041"/>
    </w:pPr>
  </w:style>
  <w:style w:type="paragraph" w:styleId="Date">
    <w:name w:val="Date"/>
    <w:basedOn w:val="Normal"/>
    <w:next w:val="Normal"/>
    <w:link w:val="DateChar"/>
    <w:uiPriority w:val="99"/>
    <w:unhideWhenUsed/>
    <w:rsid w:val="00F171E0"/>
  </w:style>
  <w:style w:type="character" w:customStyle="1" w:styleId="DateChar">
    <w:name w:val="Date Char"/>
    <w:basedOn w:val="DefaultParagraphFont"/>
    <w:link w:val="Date"/>
    <w:uiPriority w:val="99"/>
    <w:rsid w:val="00F171E0"/>
    <w:rPr>
      <w:rFonts w:ascii="Arial" w:hAnsi="Arial"/>
    </w:rPr>
  </w:style>
  <w:style w:type="paragraph" w:styleId="DocumentMap">
    <w:name w:val="Document Map"/>
    <w:basedOn w:val="Normal"/>
    <w:link w:val="DocumentMapChar"/>
    <w:uiPriority w:val="99"/>
    <w:unhideWhenUsed/>
    <w:rsid w:val="00F171E0"/>
    <w:pPr>
      <w:spacing w:before="0" w:line="240" w:lineRule="auto"/>
    </w:pPr>
    <w:rPr>
      <w:rFonts w:ascii="Tahoma" w:hAnsi="Tahoma" w:cs="Tahoma"/>
      <w:sz w:val="16"/>
      <w:szCs w:val="16"/>
    </w:rPr>
  </w:style>
  <w:style w:type="character" w:customStyle="1" w:styleId="DocumentMapChar">
    <w:name w:val="Document Map Char"/>
    <w:basedOn w:val="DefaultParagraphFont"/>
    <w:link w:val="DocumentMap"/>
    <w:uiPriority w:val="99"/>
    <w:rsid w:val="00F171E0"/>
    <w:rPr>
      <w:rFonts w:ascii="Tahoma" w:hAnsi="Tahoma" w:cs="Tahoma"/>
      <w:sz w:val="16"/>
      <w:szCs w:val="16"/>
    </w:rPr>
  </w:style>
  <w:style w:type="paragraph" w:styleId="E-mailSignature">
    <w:name w:val="E-mail Signature"/>
    <w:basedOn w:val="Normal"/>
    <w:link w:val="E-mailSignatureChar"/>
    <w:uiPriority w:val="99"/>
    <w:unhideWhenUsed/>
    <w:rsid w:val="00F171E0"/>
    <w:pPr>
      <w:spacing w:before="0" w:line="240" w:lineRule="auto"/>
    </w:pPr>
  </w:style>
  <w:style w:type="character" w:customStyle="1" w:styleId="E-mailSignatureChar">
    <w:name w:val="E-mail Signature Char"/>
    <w:basedOn w:val="DefaultParagraphFont"/>
    <w:link w:val="E-mailSignature"/>
    <w:uiPriority w:val="99"/>
    <w:rsid w:val="00F171E0"/>
    <w:rPr>
      <w:rFonts w:ascii="Arial" w:hAnsi="Arial"/>
    </w:rPr>
  </w:style>
  <w:style w:type="paragraph" w:styleId="EnvelopeAddress">
    <w:name w:val="envelope address"/>
    <w:basedOn w:val="Normal"/>
    <w:uiPriority w:val="99"/>
    <w:unhideWhenUsed/>
    <w:rsid w:val="00F171E0"/>
    <w:pPr>
      <w:framePr w:w="7920" w:h="1980" w:hRule="exact" w:hSpace="180" w:wrap="auto" w:hAnchor="page" w:xAlign="center" w:yAlign="bottom"/>
      <w:spacing w:before="0"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unhideWhenUsed/>
    <w:rsid w:val="00F171E0"/>
    <w:pPr>
      <w:spacing w:before="0" w:line="240" w:lineRule="auto"/>
    </w:pPr>
    <w:rPr>
      <w:rFonts w:asciiTheme="majorHAnsi" w:eastAsiaTheme="majorEastAsia" w:hAnsiTheme="majorHAnsi" w:cstheme="majorBidi"/>
      <w:sz w:val="20"/>
      <w:szCs w:val="20"/>
    </w:rPr>
  </w:style>
  <w:style w:type="character" w:styleId="FollowedHyperlink">
    <w:name w:val="FollowedHyperlink"/>
    <w:basedOn w:val="DefaultParagraphFont"/>
    <w:uiPriority w:val="99"/>
    <w:unhideWhenUsed/>
    <w:rsid w:val="00F171E0"/>
    <w:rPr>
      <w:color w:val="800080" w:themeColor="followedHyperlink"/>
      <w:u w:val="single"/>
    </w:rPr>
  </w:style>
  <w:style w:type="paragraph" w:styleId="Index3">
    <w:name w:val="index 3"/>
    <w:basedOn w:val="Normal"/>
    <w:next w:val="Normal"/>
    <w:autoRedefine/>
    <w:uiPriority w:val="99"/>
    <w:unhideWhenUsed/>
    <w:rsid w:val="00F171E0"/>
    <w:pPr>
      <w:spacing w:before="0" w:line="240" w:lineRule="auto"/>
      <w:ind w:left="660" w:hanging="220"/>
    </w:pPr>
  </w:style>
  <w:style w:type="paragraph" w:styleId="Index4">
    <w:name w:val="index 4"/>
    <w:basedOn w:val="Normal"/>
    <w:next w:val="Normal"/>
    <w:autoRedefine/>
    <w:uiPriority w:val="99"/>
    <w:unhideWhenUsed/>
    <w:rsid w:val="00F171E0"/>
    <w:pPr>
      <w:spacing w:before="0" w:line="240" w:lineRule="auto"/>
      <w:ind w:left="880" w:hanging="220"/>
    </w:pPr>
  </w:style>
  <w:style w:type="paragraph" w:styleId="Index5">
    <w:name w:val="index 5"/>
    <w:basedOn w:val="Normal"/>
    <w:next w:val="Normal"/>
    <w:autoRedefine/>
    <w:uiPriority w:val="99"/>
    <w:unhideWhenUsed/>
    <w:rsid w:val="00F171E0"/>
    <w:pPr>
      <w:spacing w:before="0" w:line="240" w:lineRule="auto"/>
      <w:ind w:left="1100" w:hanging="220"/>
    </w:pPr>
  </w:style>
  <w:style w:type="paragraph" w:styleId="IndexHeading">
    <w:name w:val="index heading"/>
    <w:basedOn w:val="Normal"/>
    <w:next w:val="Index1"/>
    <w:uiPriority w:val="99"/>
    <w:unhideWhenUsed/>
    <w:rsid w:val="00F171E0"/>
    <w:rPr>
      <w:rFonts w:asciiTheme="majorHAnsi" w:eastAsiaTheme="majorEastAsia" w:hAnsiTheme="majorHAnsi" w:cstheme="majorBidi"/>
      <w:b/>
      <w:bCs/>
    </w:rPr>
  </w:style>
  <w:style w:type="character" w:styleId="IntenseEmphasis">
    <w:name w:val="Intense Emphasis"/>
    <w:basedOn w:val="DefaultParagraphFont"/>
    <w:uiPriority w:val="21"/>
    <w:unhideWhenUsed/>
    <w:rsid w:val="00F171E0"/>
    <w:rPr>
      <w:b/>
      <w:bCs/>
      <w:i/>
      <w:iCs/>
      <w:color w:val="2F002F" w:themeColor="accent1"/>
    </w:rPr>
  </w:style>
  <w:style w:type="paragraph" w:styleId="IntenseQuote">
    <w:name w:val="Intense Quote"/>
    <w:basedOn w:val="Normal"/>
    <w:next w:val="Normal"/>
    <w:link w:val="IntenseQuoteChar"/>
    <w:uiPriority w:val="30"/>
    <w:unhideWhenUsed/>
    <w:rsid w:val="00F171E0"/>
    <w:pPr>
      <w:pBdr>
        <w:bottom w:val="single" w:sz="4" w:space="4" w:color="2F002F" w:themeColor="accent1"/>
      </w:pBdr>
      <w:spacing w:after="280"/>
      <w:ind w:left="936" w:right="936"/>
    </w:pPr>
    <w:rPr>
      <w:b/>
      <w:bCs/>
      <w:i/>
      <w:iCs/>
      <w:color w:val="2F002F" w:themeColor="accent1"/>
    </w:rPr>
  </w:style>
  <w:style w:type="character" w:customStyle="1" w:styleId="IntenseQuoteChar">
    <w:name w:val="Intense Quote Char"/>
    <w:basedOn w:val="DefaultParagraphFont"/>
    <w:link w:val="IntenseQuote"/>
    <w:uiPriority w:val="30"/>
    <w:rsid w:val="00F171E0"/>
    <w:rPr>
      <w:rFonts w:ascii="Arial" w:hAnsi="Arial"/>
      <w:b/>
      <w:bCs/>
      <w:i/>
      <w:iCs/>
      <w:color w:val="2F002F" w:themeColor="accent1"/>
    </w:rPr>
  </w:style>
  <w:style w:type="character" w:styleId="IntenseReference">
    <w:name w:val="Intense Reference"/>
    <w:basedOn w:val="DefaultParagraphFont"/>
    <w:uiPriority w:val="32"/>
    <w:unhideWhenUsed/>
    <w:rsid w:val="00F171E0"/>
    <w:rPr>
      <w:b/>
      <w:bCs/>
      <w:smallCaps/>
      <w:color w:val="C14E00" w:themeColor="accent2"/>
      <w:spacing w:val="5"/>
      <w:u w:val="single"/>
    </w:rPr>
  </w:style>
  <w:style w:type="character" w:styleId="LineNumber">
    <w:name w:val="line number"/>
    <w:basedOn w:val="DefaultParagraphFont"/>
    <w:uiPriority w:val="99"/>
    <w:unhideWhenUsed/>
    <w:rsid w:val="00F171E0"/>
  </w:style>
  <w:style w:type="paragraph" w:customStyle="1" w:styleId="AERnumberedlistsecondstyle">
    <w:name w:val="AER numbered list (second style)"/>
    <w:basedOn w:val="Listalphabet"/>
    <w:qFormat/>
    <w:rsid w:val="00DB5074"/>
    <w:pPr>
      <w:numPr>
        <w:numId w:val="18"/>
      </w:numPr>
      <w:tabs>
        <w:tab w:val="clear" w:pos="340"/>
        <w:tab w:val="left" w:pos="680"/>
      </w:tabs>
      <w:ind w:left="680" w:hanging="340"/>
    </w:pPr>
  </w:style>
  <w:style w:type="paragraph" w:customStyle="1" w:styleId="Listalphabet3">
    <w:name w:val="List alphabet 3"/>
    <w:basedOn w:val="AERnumberedlistsecondstyle"/>
    <w:rsid w:val="00DB5074"/>
    <w:pPr>
      <w:tabs>
        <w:tab w:val="clear" w:pos="680"/>
        <w:tab w:val="left" w:pos="1021"/>
      </w:tabs>
      <w:ind w:left="1020"/>
    </w:pPr>
  </w:style>
  <w:style w:type="paragraph" w:customStyle="1" w:styleId="Listalphabet4">
    <w:name w:val="List alphabet 4"/>
    <w:basedOn w:val="Listalphabet3"/>
    <w:rsid w:val="00DB5074"/>
    <w:pPr>
      <w:tabs>
        <w:tab w:val="clear" w:pos="1021"/>
        <w:tab w:val="left" w:pos="1361"/>
      </w:tabs>
      <w:ind w:left="1361"/>
    </w:pPr>
  </w:style>
  <w:style w:type="paragraph" w:customStyle="1" w:styleId="Listalphabet5">
    <w:name w:val="List alphabet 5"/>
    <w:basedOn w:val="Listalphabet4"/>
    <w:rsid w:val="00DB5074"/>
    <w:pPr>
      <w:tabs>
        <w:tab w:val="clear" w:pos="1361"/>
        <w:tab w:val="left" w:pos="1701"/>
      </w:tabs>
      <w:ind w:left="1701"/>
    </w:pPr>
  </w:style>
  <w:style w:type="paragraph" w:styleId="ListContinue5">
    <w:name w:val="List Continue 5"/>
    <w:basedOn w:val="Normal"/>
    <w:uiPriority w:val="99"/>
    <w:unhideWhenUsed/>
    <w:rsid w:val="00DB5074"/>
    <w:pPr>
      <w:tabs>
        <w:tab w:val="left" w:pos="1701"/>
      </w:tabs>
      <w:spacing w:after="120"/>
      <w:ind w:left="1701"/>
      <w:contextualSpacing/>
    </w:pPr>
  </w:style>
  <w:style w:type="paragraph" w:styleId="ListNumber2">
    <w:name w:val="List Number 2"/>
    <w:basedOn w:val="Normal"/>
    <w:uiPriority w:val="99"/>
    <w:unhideWhenUsed/>
    <w:rsid w:val="00571D57"/>
    <w:pPr>
      <w:numPr>
        <w:numId w:val="8"/>
      </w:numPr>
      <w:tabs>
        <w:tab w:val="left" w:pos="680"/>
      </w:tabs>
      <w:spacing w:before="80" w:line="360" w:lineRule="auto"/>
      <w:ind w:left="680" w:hanging="340"/>
      <w:contextualSpacing/>
    </w:pPr>
  </w:style>
  <w:style w:type="character" w:customStyle="1" w:styleId="SalutationChar">
    <w:name w:val="Salutation Char"/>
    <w:basedOn w:val="DefaultParagraphFont"/>
    <w:link w:val="Salutation"/>
    <w:uiPriority w:val="99"/>
    <w:rsid w:val="00CA489E"/>
    <w:rPr>
      <w:rFonts w:ascii="Arial" w:hAnsi="Arial"/>
    </w:rPr>
  </w:style>
  <w:style w:type="paragraph" w:styleId="Signature">
    <w:name w:val="Signature"/>
    <w:basedOn w:val="Normal"/>
    <w:link w:val="SignatureChar"/>
    <w:uiPriority w:val="99"/>
    <w:unhideWhenUsed/>
    <w:rsid w:val="00CA489E"/>
    <w:pPr>
      <w:spacing w:before="0" w:line="240" w:lineRule="auto"/>
      <w:ind w:left="4252"/>
    </w:pPr>
  </w:style>
  <w:style w:type="character" w:customStyle="1" w:styleId="SignatureChar">
    <w:name w:val="Signature Char"/>
    <w:basedOn w:val="DefaultParagraphFont"/>
    <w:link w:val="Signature"/>
    <w:uiPriority w:val="99"/>
    <w:rsid w:val="00CA489E"/>
    <w:rPr>
      <w:rFonts w:ascii="Arial" w:hAnsi="Arial"/>
    </w:rPr>
  </w:style>
  <w:style w:type="character" w:styleId="SubtleEmphasis">
    <w:name w:val="Subtle Emphasis"/>
    <w:basedOn w:val="DefaultParagraphFont"/>
    <w:uiPriority w:val="19"/>
    <w:unhideWhenUsed/>
    <w:rsid w:val="00CA489E"/>
    <w:rPr>
      <w:b/>
      <w:i/>
      <w:iCs/>
      <w:color w:val="2F002F" w:themeColor="accent1"/>
    </w:rPr>
  </w:style>
  <w:style w:type="character" w:styleId="SubtleReference">
    <w:name w:val="Subtle Reference"/>
    <w:basedOn w:val="DefaultParagraphFont"/>
    <w:uiPriority w:val="31"/>
    <w:unhideWhenUsed/>
    <w:rsid w:val="00CA489E"/>
    <w:rPr>
      <w:smallCaps/>
      <w:color w:val="C14E00" w:themeColor="accent2"/>
      <w:u w:val="single"/>
    </w:rPr>
  </w:style>
  <w:style w:type="paragraph" w:customStyle="1" w:styleId="AERquoteindent1">
    <w:name w:val="AER quote (indent 1)"/>
    <w:basedOn w:val="Normal"/>
    <w:qFormat/>
    <w:rsid w:val="00DE1093"/>
    <w:pPr>
      <w:tabs>
        <w:tab w:val="left" w:pos="680"/>
      </w:tabs>
      <w:spacing w:after="160" w:line="240" w:lineRule="auto"/>
      <w:ind w:left="680" w:right="794"/>
    </w:pPr>
    <w:rPr>
      <w:rFonts w:eastAsia="Times New Roman" w:cs="Times New Roman"/>
      <w:sz w:val="20"/>
      <w:szCs w:val="20"/>
      <w:lang w:eastAsia="en-AU"/>
    </w:rPr>
  </w:style>
  <w:style w:type="character" w:styleId="PageNumber">
    <w:name w:val="page number"/>
    <w:basedOn w:val="DefaultParagraphFont"/>
    <w:rsid w:val="0020492C"/>
  </w:style>
  <w:style w:type="character" w:styleId="PlaceholderText">
    <w:name w:val="Placeholder Text"/>
    <w:basedOn w:val="DefaultParagraphFont"/>
    <w:uiPriority w:val="99"/>
    <w:semiHidden/>
    <w:rsid w:val="008D1661"/>
    <w:rPr>
      <w:color w:val="808080"/>
    </w:rPr>
  </w:style>
  <w:style w:type="paragraph" w:customStyle="1" w:styleId="StyleCopyrightBefore0pt">
    <w:name w:val="Style Copyright + Before:  0 pt"/>
    <w:basedOn w:val="Copyright"/>
    <w:rsid w:val="00185CB9"/>
    <w:pPr>
      <w:spacing w:before="120"/>
    </w:pPr>
    <w:rPr>
      <w:rFonts w:eastAsia="Times New Roman" w:cs="Times New Roman"/>
    </w:rPr>
  </w:style>
  <w:style w:type="character" w:customStyle="1" w:styleId="Bold">
    <w:name w:val="Bold"/>
    <w:basedOn w:val="DefaultParagraphFont"/>
    <w:rsid w:val="0020492C"/>
    <w:rPr>
      <w:b/>
      <w:bCs/>
    </w:rPr>
  </w:style>
  <w:style w:type="paragraph" w:customStyle="1" w:styleId="LegalNumbering">
    <w:name w:val="Legal Numbering"/>
    <w:basedOn w:val="Normal"/>
    <w:rsid w:val="005829C2"/>
    <w:pPr>
      <w:numPr>
        <w:numId w:val="21"/>
      </w:numPr>
      <w:tabs>
        <w:tab w:val="left" w:pos="680"/>
        <w:tab w:val="left" w:pos="1021"/>
        <w:tab w:val="left" w:pos="1361"/>
      </w:tabs>
      <w:spacing w:line="240" w:lineRule="auto"/>
    </w:pPr>
  </w:style>
  <w:style w:type="paragraph" w:customStyle="1" w:styleId="AERquoteindent3">
    <w:name w:val="AER quote (indent 3)"/>
    <w:basedOn w:val="AERquoteindent2"/>
    <w:qFormat/>
    <w:rsid w:val="00DE1093"/>
    <w:pPr>
      <w:ind w:left="1361"/>
    </w:pPr>
  </w:style>
  <w:style w:type="paragraph" w:customStyle="1" w:styleId="AERquotebullet1">
    <w:name w:val="AER quote bullet 1"/>
    <w:basedOn w:val="AERquoteindent1"/>
    <w:qFormat/>
    <w:rsid w:val="00DE1093"/>
    <w:pPr>
      <w:numPr>
        <w:numId w:val="22"/>
      </w:numPr>
      <w:ind w:left="1037" w:hanging="357"/>
    </w:pPr>
  </w:style>
  <w:style w:type="paragraph" w:customStyle="1" w:styleId="AERbulletlistthirdstyle">
    <w:name w:val="AER bullet list (third style)"/>
    <w:basedOn w:val="AERbulletlistsecondstyle"/>
    <w:qFormat/>
    <w:rsid w:val="00343A18"/>
    <w:pPr>
      <w:numPr>
        <w:ilvl w:val="2"/>
      </w:numPr>
      <w:tabs>
        <w:tab w:val="left" w:pos="1361"/>
      </w:tabs>
      <w:ind w:left="1361" w:hanging="340"/>
    </w:pPr>
  </w:style>
  <w:style w:type="character" w:customStyle="1" w:styleId="AERsubscript">
    <w:name w:val="AER subscript"/>
    <w:basedOn w:val="DefaultParagraphFont"/>
    <w:qFormat/>
    <w:rsid w:val="00343A18"/>
    <w:rPr>
      <w:sz w:val="16"/>
      <w:vertAlign w:val="subscript"/>
    </w:rPr>
  </w:style>
  <w:style w:type="character" w:customStyle="1" w:styleId="AERtextbolditalics">
    <w:name w:val="AER text bold italics"/>
    <w:basedOn w:val="DefaultParagraphFont"/>
    <w:qFormat/>
    <w:rsid w:val="00343A18"/>
    <w:rPr>
      <w:b/>
      <w:bCs/>
      <w:i/>
      <w:iCs/>
    </w:rPr>
  </w:style>
  <w:style w:type="character" w:customStyle="1" w:styleId="AERsuperscript">
    <w:name w:val="AER superscript"/>
    <w:qFormat/>
    <w:rsid w:val="00343A18"/>
    <w:rPr>
      <w:rFonts w:ascii="Arial" w:hAnsi="Arial"/>
      <w:sz w:val="16"/>
      <w:vertAlign w:val="superscript"/>
    </w:rPr>
  </w:style>
  <w:style w:type="character" w:customStyle="1" w:styleId="AERtextunderline">
    <w:name w:val="AER text underline"/>
    <w:basedOn w:val="DefaultParagraphFont"/>
    <w:qFormat/>
    <w:rsid w:val="00343A18"/>
    <w:rPr>
      <w:u w:val="single"/>
    </w:rPr>
  </w:style>
  <w:style w:type="paragraph" w:customStyle="1" w:styleId="AERtextconfidential">
    <w:name w:val="AER text confidential"/>
    <w:basedOn w:val="Normal"/>
    <w:qFormat/>
    <w:rsid w:val="008B5FCC"/>
    <w:rPr>
      <w:shd w:val="clear" w:color="auto" w:fill="CCFFFF"/>
    </w:rPr>
  </w:style>
  <w:style w:type="paragraph" w:customStyle="1" w:styleId="UnnumberedHeading">
    <w:name w:val="Unnumbered Heading"/>
    <w:basedOn w:val="Heading1"/>
    <w:link w:val="UnnumberedHeadingChar"/>
    <w:qFormat/>
    <w:rsid w:val="008B5FCC"/>
    <w:pPr>
      <w:numPr>
        <w:numId w:val="0"/>
      </w:numPr>
    </w:pPr>
  </w:style>
  <w:style w:type="numbering" w:customStyle="1" w:styleId="AERHeadings">
    <w:name w:val="AER Headings"/>
    <w:uiPriority w:val="99"/>
    <w:rsid w:val="00126A4C"/>
    <w:pPr>
      <w:numPr>
        <w:numId w:val="23"/>
      </w:numPr>
    </w:pPr>
  </w:style>
  <w:style w:type="character" w:customStyle="1" w:styleId="AERbody">
    <w:name w:val="AER body"/>
    <w:basedOn w:val="DefaultParagraphFont"/>
    <w:qFormat/>
    <w:rsid w:val="00126A4C"/>
    <w:rPr>
      <w:rFonts w:ascii="Arial" w:hAnsi="Arial"/>
      <w:color w:val="auto"/>
      <w:sz w:val="22"/>
    </w:rPr>
  </w:style>
  <w:style w:type="numbering" w:customStyle="1" w:styleId="AERnumberedlist">
    <w:name w:val="AER numbered list"/>
    <w:uiPriority w:val="99"/>
    <w:rsid w:val="00126A4C"/>
    <w:pPr>
      <w:numPr>
        <w:numId w:val="24"/>
      </w:numPr>
    </w:pPr>
  </w:style>
  <w:style w:type="character" w:customStyle="1" w:styleId="UnnumberedHeadingChar">
    <w:name w:val="Unnumbered Heading Char"/>
    <w:basedOn w:val="Heading1Char"/>
    <w:link w:val="UnnumberedHeading"/>
    <w:rsid w:val="00126A4C"/>
    <w:rPr>
      <w:rFonts w:ascii="Arial" w:eastAsiaTheme="majorEastAsia" w:hAnsi="Arial" w:cstheme="majorBidi"/>
      <w:b/>
      <w:bCs/>
      <w:color w:val="70635A"/>
      <w:sz w:val="36"/>
      <w:szCs w:val="28"/>
    </w:rPr>
  </w:style>
  <w:style w:type="paragraph" w:customStyle="1" w:styleId="AERbodytextnospace">
    <w:name w:val="AER body text no space"/>
    <w:basedOn w:val="Normal"/>
    <w:qFormat/>
    <w:rsid w:val="00683C89"/>
    <w:pPr>
      <w:tabs>
        <w:tab w:val="num" w:pos="0"/>
      </w:tabs>
      <w:spacing w:before="0" w:line="288" w:lineRule="auto"/>
      <w:jc w:val="both"/>
    </w:pPr>
    <w:rPr>
      <w:rFonts w:asciiTheme="minorHAnsi" w:eastAsia="Times New Roman" w:hAnsiTheme="minorHAnsi" w:cs="Times New Roman"/>
      <w:sz w:val="20"/>
      <w:szCs w:val="24"/>
    </w:rPr>
  </w:style>
  <w:style w:type="paragraph" w:customStyle="1" w:styleId="AERnumberedlist2first">
    <w:name w:val="AER numbered list 2 first"/>
    <w:basedOn w:val="Normal"/>
    <w:qFormat/>
    <w:rsid w:val="00683C89"/>
    <w:pPr>
      <w:tabs>
        <w:tab w:val="num" w:pos="454"/>
      </w:tabs>
      <w:spacing w:before="0" w:after="240" w:line="288" w:lineRule="auto"/>
      <w:ind w:left="454" w:hanging="454"/>
      <w:jc w:val="both"/>
    </w:pPr>
    <w:rPr>
      <w:rFonts w:asciiTheme="minorHAnsi" w:eastAsia="Times New Roman" w:hAnsiTheme="minorHAnsi" w:cs="Times New Roman"/>
      <w:sz w:val="20"/>
      <w:szCs w:val="24"/>
    </w:rPr>
  </w:style>
  <w:style w:type="character" w:customStyle="1" w:styleId="AERbodytextChar">
    <w:name w:val="AER body text Char"/>
    <w:basedOn w:val="DefaultParagraphFont"/>
    <w:rsid w:val="00126A4C"/>
    <w:rPr>
      <w:rFonts w:eastAsia="Times New Roman"/>
      <w:szCs w:val="24"/>
      <w:lang w:eastAsia="en-US"/>
    </w:rPr>
  </w:style>
  <w:style w:type="character" w:customStyle="1" w:styleId="HeadingBoldBlueChar">
    <w:name w:val="Heading Bold Blue Char"/>
    <w:basedOn w:val="AERbodytextChar"/>
    <w:link w:val="HeadingBoldBlue"/>
    <w:rsid w:val="00126A4C"/>
    <w:rPr>
      <w:rFonts w:ascii="Arial" w:eastAsiaTheme="majorEastAsia" w:hAnsi="Arial" w:cstheme="majorBidi"/>
      <w:b/>
      <w:bCs/>
      <w:color w:val="70635A" w:themeColor="text2"/>
      <w:sz w:val="28"/>
      <w:szCs w:val="24"/>
      <w:lang w:eastAsia="en-US"/>
    </w:rPr>
  </w:style>
  <w:style w:type="table" w:customStyle="1" w:styleId="AERtable-text0">
    <w:name w:val="AER table - text"/>
    <w:basedOn w:val="TableNormal"/>
    <w:uiPriority w:val="99"/>
    <w:rsid w:val="00683C89"/>
    <w:pPr>
      <w:spacing w:before="120" w:after="80"/>
    </w:pPr>
    <w:rPr>
      <w:rFonts w:eastAsia="Calibri" w:cs="Times New Roman"/>
      <w:sz w:val="16"/>
      <w:szCs w:val="20"/>
      <w:lang w:eastAsia="en-AU"/>
    </w:rPr>
    <w:tblPr>
      <w:tblStyleRowBandSize w:val="1"/>
      <w:tblInd w:w="0" w:type="dxa"/>
      <w:tblBorders>
        <w:bottom w:val="single" w:sz="4" w:space="0" w:color="365F91"/>
      </w:tblBorders>
      <w:tblCellMar>
        <w:top w:w="0" w:type="dxa"/>
        <w:left w:w="108" w:type="dxa"/>
        <w:bottom w:w="0" w:type="dxa"/>
        <w:right w:w="108" w:type="dxa"/>
      </w:tblCellMar>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character" w:customStyle="1" w:styleId="AERtextsize8">
    <w:name w:val="AER text size 8"/>
    <w:basedOn w:val="AERbody"/>
    <w:uiPriority w:val="1"/>
    <w:qFormat/>
    <w:rsid w:val="00126A4C"/>
    <w:rPr>
      <w:rFonts w:ascii="Arial" w:hAnsi="Arial"/>
      <w:color w:val="auto"/>
      <w:sz w:val="16"/>
    </w:rPr>
  </w:style>
  <w:style w:type="paragraph" w:styleId="Index7">
    <w:name w:val="index 7"/>
    <w:basedOn w:val="Normal"/>
    <w:next w:val="Normal"/>
    <w:autoRedefine/>
    <w:uiPriority w:val="99"/>
    <w:unhideWhenUsed/>
    <w:rsid w:val="00126A4C"/>
    <w:pPr>
      <w:spacing w:before="0" w:line="240" w:lineRule="auto"/>
      <w:ind w:left="1540" w:hanging="220"/>
    </w:pPr>
  </w:style>
  <w:style w:type="paragraph" w:customStyle="1" w:styleId="AERtablesource">
    <w:name w:val="AER table source"/>
    <w:next w:val="Normal"/>
    <w:qFormat/>
    <w:rsid w:val="0066104A"/>
    <w:pPr>
      <w:tabs>
        <w:tab w:val="left" w:pos="794"/>
      </w:tabs>
      <w:spacing w:before="160" w:after="360" w:line="360" w:lineRule="auto"/>
      <w:ind w:left="794" w:hanging="794"/>
      <w:contextualSpacing/>
      <w:jc w:val="both"/>
    </w:pPr>
    <w:rPr>
      <w:rFonts w:ascii="Arial" w:eastAsia="Times New Roman" w:hAnsi="Arial" w:cs="Times New Roman"/>
      <w:sz w:val="16"/>
      <w:szCs w:val="24"/>
    </w:rPr>
  </w:style>
  <w:style w:type="character" w:customStyle="1" w:styleId="AERtexthighlight">
    <w:name w:val="AER text highlight"/>
    <w:qFormat/>
    <w:rsid w:val="00126A4C"/>
    <w:rPr>
      <w:bdr w:val="none" w:sz="0" w:space="0" w:color="auto"/>
      <w:shd w:val="clear" w:color="auto" w:fill="FFFF00"/>
    </w:rPr>
  </w:style>
  <w:style w:type="character" w:customStyle="1" w:styleId="AERtextitalic">
    <w:name w:val="AER text italic"/>
    <w:qFormat/>
    <w:rsid w:val="00126A4C"/>
    <w:rPr>
      <w:i/>
    </w:rPr>
  </w:style>
  <w:style w:type="paragraph" w:customStyle="1" w:styleId="AERquote">
    <w:name w:val="AER quote"/>
    <w:next w:val="Normal"/>
    <w:qFormat/>
    <w:rsid w:val="00DE1093"/>
    <w:pPr>
      <w:tabs>
        <w:tab w:val="num" w:pos="709"/>
      </w:tabs>
      <w:spacing w:after="160" w:line="288" w:lineRule="auto"/>
      <w:ind w:left="709" w:right="720"/>
      <w:jc w:val="both"/>
    </w:pPr>
    <w:rPr>
      <w:rFonts w:ascii="Arial" w:eastAsia="Times New Roman" w:hAnsi="Arial" w:cs="Times New Roman"/>
      <w:color w:val="000000"/>
      <w:sz w:val="20"/>
      <w:szCs w:val="24"/>
    </w:rPr>
  </w:style>
  <w:style w:type="paragraph" w:customStyle="1" w:styleId="AERtabletextleft">
    <w:name w:val="AER table text left"/>
    <w:qFormat/>
    <w:rsid w:val="00983C25"/>
    <w:pPr>
      <w:spacing w:before="80" w:after="120" w:line="288" w:lineRule="auto"/>
    </w:pPr>
    <w:rPr>
      <w:rFonts w:ascii="Arial" w:eastAsia="Times New Roman" w:hAnsi="Arial" w:cs="Times New Roman"/>
      <w:sz w:val="20"/>
      <w:szCs w:val="24"/>
    </w:rPr>
  </w:style>
  <w:style w:type="character" w:customStyle="1" w:styleId="AERtextboldunderline">
    <w:name w:val="AER text bold underline"/>
    <w:qFormat/>
    <w:rsid w:val="000E4821"/>
    <w:rPr>
      <w:b/>
      <w:u w:val="single"/>
    </w:rPr>
  </w:style>
  <w:style w:type="numbering" w:customStyle="1" w:styleId="OldAERheadings">
    <w:name w:val="Old AER headings"/>
    <w:uiPriority w:val="99"/>
    <w:locked/>
    <w:rsid w:val="000E4821"/>
    <w:pPr>
      <w:numPr>
        <w:numId w:val="26"/>
      </w:numPr>
    </w:pPr>
  </w:style>
  <w:style w:type="character" w:customStyle="1" w:styleId="AERtextorange">
    <w:name w:val="AER text orange"/>
    <w:uiPriority w:val="1"/>
    <w:qFormat/>
    <w:rsid w:val="000E4821"/>
    <w:rPr>
      <w:color w:val="E36C0A"/>
    </w:rPr>
  </w:style>
  <w:style w:type="paragraph" w:customStyle="1" w:styleId="AERtitle1">
    <w:name w:val="AER title 1"/>
    <w:qFormat/>
    <w:rsid w:val="00683C89"/>
    <w:pPr>
      <w:spacing w:before="0" w:after="240" w:line="288" w:lineRule="auto"/>
      <w:jc w:val="center"/>
    </w:pPr>
    <w:rPr>
      <w:rFonts w:asciiTheme="majorHAnsi" w:eastAsia="Times New Roman" w:hAnsiTheme="majorHAnsi" w:cs="Times New Roman"/>
      <w:b/>
      <w:sz w:val="40"/>
      <w:szCs w:val="24"/>
      <w:lang w:eastAsia="en-AU"/>
    </w:rPr>
  </w:style>
  <w:style w:type="paragraph" w:customStyle="1" w:styleId="AERtitle2">
    <w:name w:val="AER title 2"/>
    <w:qFormat/>
    <w:rsid w:val="00683C89"/>
    <w:pPr>
      <w:spacing w:before="0" w:after="240" w:line="288" w:lineRule="auto"/>
      <w:jc w:val="center"/>
    </w:pPr>
    <w:rPr>
      <w:rFonts w:asciiTheme="majorHAnsi" w:eastAsia="Times New Roman" w:hAnsiTheme="majorHAnsi" w:cs="Times New Roman"/>
      <w:sz w:val="32"/>
      <w:szCs w:val="24"/>
    </w:rPr>
  </w:style>
  <w:style w:type="character" w:customStyle="1" w:styleId="AERtextblue">
    <w:name w:val="AER text blue"/>
    <w:uiPriority w:val="1"/>
    <w:qFormat/>
    <w:rsid w:val="000E4821"/>
    <w:rPr>
      <w:color w:val="365F91"/>
    </w:rPr>
  </w:style>
  <w:style w:type="table" w:customStyle="1" w:styleId="AERtable-numbers">
    <w:name w:val="AER table - numbers"/>
    <w:basedOn w:val="TableNormal"/>
    <w:uiPriority w:val="99"/>
    <w:rsid w:val="00683C89"/>
    <w:pPr>
      <w:spacing w:before="120" w:after="80"/>
      <w:jc w:val="right"/>
    </w:pPr>
    <w:rPr>
      <w:rFonts w:eastAsia="Calibri" w:cs="Times New Roman"/>
      <w:sz w:val="16"/>
      <w:szCs w:val="20"/>
      <w:lang w:eastAsia="en-AU"/>
    </w:rPr>
    <w:tblPr>
      <w:tblStyleRowBandSize w:val="1"/>
      <w:tblInd w:w="0" w:type="dxa"/>
      <w:tblBorders>
        <w:bottom w:val="single" w:sz="4" w:space="0" w:color="365F91"/>
      </w:tblBorders>
      <w:tblCellMar>
        <w:top w:w="0" w:type="dxa"/>
        <w:left w:w="108" w:type="dxa"/>
        <w:bottom w:w="0" w:type="dxa"/>
        <w:right w:w="108" w:type="dxa"/>
      </w:tblCellMar>
    </w:tblPr>
    <w:tcPr>
      <w:vAlign w:val="center"/>
    </w:tcPr>
    <w:tblStylePr w:type="firstRow">
      <w:rPr>
        <w:b/>
        <w:color w:val="FFFFFF"/>
      </w:rPr>
      <w:tblPr/>
      <w:tcPr>
        <w:shd w:val="clear" w:color="auto" w:fill="365F91"/>
      </w:tcPr>
    </w:tblStylePr>
    <w:tblStylePr w:type="firstCol">
      <w:pPr>
        <w:jc w:val="left"/>
      </w:pPr>
    </w:tblStylePr>
    <w:tblStylePr w:type="band2Horz">
      <w:tblPr/>
      <w:tcPr>
        <w:shd w:val="clear" w:color="auto" w:fill="DBE5F1"/>
      </w:tcPr>
    </w:tblStylePr>
  </w:style>
  <w:style w:type="table" w:styleId="TableGrid1">
    <w:name w:val="Table Grid 1"/>
    <w:basedOn w:val="TableNormal"/>
    <w:uiPriority w:val="99"/>
    <w:semiHidden/>
    <w:unhideWhenUsed/>
    <w:rsid w:val="00683C89"/>
    <w:pPr>
      <w:spacing w:before="0"/>
    </w:pPr>
    <w:rPr>
      <w:rFonts w:eastAsia="Calibri" w:cs="Times New Roman"/>
      <w:sz w:val="20"/>
      <w:szCs w:val="20"/>
      <w:lang w:eastAsia="en-AU"/>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customStyle="1" w:styleId="AERtabletextright">
    <w:name w:val="AER table text right"/>
    <w:basedOn w:val="AERtabletextleft"/>
    <w:qFormat/>
    <w:rsid w:val="000E4821"/>
    <w:pPr>
      <w:spacing w:before="120" w:after="80"/>
      <w:jc w:val="right"/>
    </w:pPr>
  </w:style>
  <w:style w:type="paragraph" w:styleId="CommentText">
    <w:name w:val="annotation text"/>
    <w:basedOn w:val="Normal"/>
    <w:link w:val="CommentTextChar"/>
    <w:uiPriority w:val="99"/>
    <w:unhideWhenUsed/>
    <w:rsid w:val="00683C89"/>
    <w:pPr>
      <w:spacing w:before="0" w:after="240" w:line="240" w:lineRule="auto"/>
      <w:jc w:val="both"/>
    </w:pPr>
    <w:rPr>
      <w:rFonts w:asciiTheme="minorHAnsi" w:eastAsia="Calibri" w:hAnsiTheme="minorHAnsi" w:cs="Times New Roman"/>
      <w:sz w:val="20"/>
      <w:szCs w:val="20"/>
    </w:rPr>
  </w:style>
  <w:style w:type="character" w:customStyle="1" w:styleId="CommentTextChar">
    <w:name w:val="Comment Text Char"/>
    <w:basedOn w:val="DefaultParagraphFont"/>
    <w:link w:val="CommentText"/>
    <w:uiPriority w:val="99"/>
    <w:semiHidden/>
    <w:rsid w:val="00683C89"/>
    <w:rPr>
      <w:rFonts w:eastAsia="Calibri" w:cs="Times New Roman"/>
      <w:sz w:val="20"/>
      <w:szCs w:val="20"/>
    </w:rPr>
  </w:style>
  <w:style w:type="paragraph" w:styleId="CommentSubject">
    <w:name w:val="annotation subject"/>
    <w:basedOn w:val="CommentText"/>
    <w:next w:val="CommentText"/>
    <w:link w:val="CommentSubjectChar"/>
    <w:uiPriority w:val="99"/>
    <w:semiHidden/>
    <w:unhideWhenUsed/>
    <w:rsid w:val="00683C89"/>
    <w:rPr>
      <w:b/>
      <w:bCs/>
    </w:rPr>
  </w:style>
  <w:style w:type="character" w:customStyle="1" w:styleId="CommentSubjectChar">
    <w:name w:val="Comment Subject Char"/>
    <w:basedOn w:val="CommentTextChar"/>
    <w:link w:val="CommentSubject"/>
    <w:uiPriority w:val="99"/>
    <w:semiHidden/>
    <w:rsid w:val="00683C89"/>
    <w:rPr>
      <w:rFonts w:eastAsia="Calibri" w:cs="Times New Roman"/>
      <w:b/>
      <w:bCs/>
      <w:sz w:val="20"/>
      <w:szCs w:val="20"/>
    </w:rPr>
  </w:style>
  <w:style w:type="character" w:customStyle="1" w:styleId="AERtextsize10">
    <w:name w:val="AER text size 10"/>
    <w:uiPriority w:val="1"/>
    <w:qFormat/>
    <w:rsid w:val="000E4821"/>
    <w:rPr>
      <w:sz w:val="20"/>
    </w:rPr>
  </w:style>
  <w:style w:type="paragraph" w:customStyle="1" w:styleId="AERbodytextnospaceleftalign">
    <w:name w:val="AER body text no space left align"/>
    <w:basedOn w:val="AERbodytextnospace"/>
    <w:qFormat/>
    <w:rsid w:val="000E4821"/>
    <w:pPr>
      <w:jc w:val="left"/>
    </w:pPr>
  </w:style>
  <w:style w:type="paragraph" w:customStyle="1" w:styleId="AERbodytextleftalign">
    <w:name w:val="AER body text left align"/>
    <w:basedOn w:val="Normal"/>
    <w:qFormat/>
    <w:rsid w:val="00683C89"/>
    <w:pPr>
      <w:tabs>
        <w:tab w:val="num" w:pos="1492"/>
      </w:tabs>
      <w:spacing w:before="0" w:after="240" w:line="288" w:lineRule="auto"/>
      <w:ind w:left="1492" w:hanging="360"/>
    </w:pPr>
    <w:rPr>
      <w:rFonts w:asciiTheme="minorHAnsi" w:eastAsia="Times New Roman" w:hAnsiTheme="minorHAnsi" w:cs="Times New Roman"/>
      <w:sz w:val="20"/>
      <w:szCs w:val="24"/>
    </w:rPr>
  </w:style>
  <w:style w:type="paragraph" w:customStyle="1" w:styleId="AERbodytextcentre">
    <w:name w:val="AER body text centre"/>
    <w:basedOn w:val="Normal"/>
    <w:qFormat/>
    <w:rsid w:val="00683C89"/>
    <w:pPr>
      <w:tabs>
        <w:tab w:val="num" w:pos="1492"/>
      </w:tabs>
      <w:spacing w:before="0" w:after="240" w:line="288" w:lineRule="auto"/>
      <w:ind w:left="1492" w:hanging="360"/>
      <w:jc w:val="center"/>
    </w:pPr>
    <w:rPr>
      <w:rFonts w:asciiTheme="minorHAnsi" w:eastAsia="Times New Roman" w:hAnsiTheme="minorHAnsi" w:cs="Times New Roman"/>
      <w:sz w:val="20"/>
      <w:szCs w:val="24"/>
    </w:rPr>
  </w:style>
  <w:style w:type="paragraph" w:customStyle="1" w:styleId="AERbodytextnospacecentre">
    <w:name w:val="AER body text no space centre"/>
    <w:basedOn w:val="AERbodytextnospace"/>
    <w:qFormat/>
    <w:rsid w:val="000E4821"/>
    <w:pPr>
      <w:tabs>
        <w:tab w:val="clear" w:pos="0"/>
        <w:tab w:val="num" w:pos="1492"/>
      </w:tabs>
      <w:ind w:left="1492" w:hanging="360"/>
      <w:jc w:val="center"/>
    </w:pPr>
  </w:style>
  <w:style w:type="paragraph" w:styleId="Revision">
    <w:name w:val="Revision"/>
    <w:hidden/>
    <w:uiPriority w:val="99"/>
    <w:semiHidden/>
    <w:rsid w:val="000E4821"/>
    <w:pPr>
      <w:spacing w:before="0"/>
    </w:pPr>
    <w:rPr>
      <w:rFonts w:ascii="Gautami" w:eastAsia="Calibri" w:hAnsi="Gautami" w:cs="Times New Roman"/>
      <w:sz w:val="20"/>
      <w:szCs w:val="20"/>
    </w:rPr>
  </w:style>
  <w:style w:type="table" w:customStyle="1" w:styleId="AERtable-text1">
    <w:name w:val="AER table - text1"/>
    <w:basedOn w:val="TableNormal"/>
    <w:uiPriority w:val="99"/>
    <w:rsid w:val="00683C89"/>
    <w:pPr>
      <w:spacing w:before="120" w:after="80"/>
    </w:pPr>
    <w:rPr>
      <w:rFonts w:eastAsia="Calibri" w:cs="Times New Roman"/>
      <w:sz w:val="16"/>
      <w:szCs w:val="20"/>
      <w:lang w:eastAsia="en-AU"/>
    </w:rPr>
    <w:tblPr>
      <w:tblStyleRowBandSize w:val="1"/>
      <w:tblInd w:w="0" w:type="dxa"/>
      <w:tblBorders>
        <w:bottom w:val="single" w:sz="4" w:space="0" w:color="365F91"/>
      </w:tblBorders>
      <w:tblCellMar>
        <w:top w:w="0" w:type="dxa"/>
        <w:left w:w="108" w:type="dxa"/>
        <w:bottom w:w="0" w:type="dxa"/>
        <w:right w:w="108" w:type="dxa"/>
      </w:tblCellMar>
    </w:tblPr>
    <w:tcPr>
      <w:vAlign w:val="center"/>
    </w:tcPr>
    <w:tblStylePr w:type="firstRow">
      <w:rPr>
        <w:b/>
        <w:color w:val="FFFFFF"/>
      </w:rPr>
      <w:tblPr/>
      <w:tcPr>
        <w:shd w:val="clear" w:color="auto" w:fill="365F91"/>
      </w:tcPr>
    </w:tblStylePr>
    <w:tblStylePr w:type="band2Horz">
      <w:tblPr/>
      <w:tcPr>
        <w:shd w:val="clear" w:color="auto" w:fill="DBE5F1"/>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14472075">
      <w:bodyDiv w:val="1"/>
      <w:marLeft w:val="0"/>
      <w:marRight w:val="0"/>
      <w:marTop w:val="0"/>
      <w:marBottom w:val="0"/>
      <w:divBdr>
        <w:top w:val="none" w:sz="0" w:space="0" w:color="auto"/>
        <w:left w:val="none" w:sz="0" w:space="0" w:color="auto"/>
        <w:bottom w:val="none" w:sz="0" w:space="0" w:color="auto"/>
        <w:right w:val="none" w:sz="0" w:space="0" w:color="auto"/>
      </w:divBdr>
    </w:div>
    <w:div w:id="552425704">
      <w:bodyDiv w:val="1"/>
      <w:marLeft w:val="0"/>
      <w:marRight w:val="0"/>
      <w:marTop w:val="0"/>
      <w:marBottom w:val="0"/>
      <w:divBdr>
        <w:top w:val="none" w:sz="0" w:space="0" w:color="auto"/>
        <w:left w:val="none" w:sz="0" w:space="0" w:color="auto"/>
        <w:bottom w:val="none" w:sz="0" w:space="0" w:color="auto"/>
        <w:right w:val="none" w:sz="0" w:space="0" w:color="auto"/>
      </w:divBdr>
    </w:div>
    <w:div w:id="635840213">
      <w:bodyDiv w:val="1"/>
      <w:marLeft w:val="0"/>
      <w:marRight w:val="0"/>
      <w:marTop w:val="0"/>
      <w:marBottom w:val="0"/>
      <w:divBdr>
        <w:top w:val="none" w:sz="0" w:space="0" w:color="auto"/>
        <w:left w:val="none" w:sz="0" w:space="0" w:color="auto"/>
        <w:bottom w:val="none" w:sz="0" w:space="0" w:color="auto"/>
        <w:right w:val="none" w:sz="0" w:space="0" w:color="auto"/>
      </w:divBdr>
    </w:div>
    <w:div w:id="10458345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numbering" Target="numbering.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AERInquiry@aer.gov.au" TargetMode="External"/><Relationship Id="rId5" Type="http://schemas.microsoft.com/office/2007/relationships/stylesWithEffects" Target="stylesWithEffects.xml"/><Relationship Id="rId15" Type="http://schemas.openxmlformats.org/officeDocument/2006/relationships/fontTable" Target="fontTable.xml"/><Relationship Id="rId10" Type="http://schemas.openxmlformats.org/officeDocument/2006/relationships/image" Target="media/image1.jpeg"/><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footer" Target="footer3.xml"/></Relationships>
</file>

<file path=word/theme/theme1.xml><?xml version="1.0" encoding="utf-8"?>
<a:theme xmlns:a="http://schemas.openxmlformats.org/drawingml/2006/main" name="AER">
  <a:themeElements>
    <a:clrScheme name="AER Colour theme">
      <a:dk1>
        <a:srgbClr val="076A92"/>
      </a:dk1>
      <a:lt1>
        <a:sysClr val="window" lastClr="FFFFFF"/>
      </a:lt1>
      <a:dk2>
        <a:srgbClr val="70635A"/>
      </a:dk2>
      <a:lt2>
        <a:srgbClr val="FFFFFF"/>
      </a:lt2>
      <a:accent1>
        <a:srgbClr val="2F002F"/>
      </a:accent1>
      <a:accent2>
        <a:srgbClr val="C14E00"/>
      </a:accent2>
      <a:accent3>
        <a:srgbClr val="002060"/>
      </a:accent3>
      <a:accent4>
        <a:srgbClr val="C00000"/>
      </a:accent4>
      <a:accent5>
        <a:srgbClr val="000000"/>
      </a:accent5>
      <a:accent6>
        <a:srgbClr val="70303C"/>
      </a:accent6>
      <a:hlink>
        <a:srgbClr val="0000FF"/>
      </a:hlink>
      <a:folHlink>
        <a:srgbClr val="800080"/>
      </a:folHlink>
    </a:clrScheme>
    <a:fontScheme name="Custom 1">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[pick the date]</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0CC62B6A-EA5E-4190-A8F5-27A6C4CD47C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F7863279.dotm</Template>
  <TotalTime>1</TotalTime>
  <Pages>16</Pages>
  <Words>3506</Words>
  <Characters>19989</Characters>
  <Application>Microsoft Office Word</Application>
  <DocSecurity>0</DocSecurity>
  <Lines>166</Lines>
  <Paragraphs>46</Paragraphs>
  <ScaleCrop>false</ScaleCrop>
  <HeadingPairs>
    <vt:vector size="2" baseType="variant">
      <vt:variant>
        <vt:lpstr>Title</vt:lpstr>
      </vt:variant>
      <vt:variant>
        <vt:i4>1</vt:i4>
      </vt:variant>
    </vt:vector>
  </HeadingPairs>
  <TitlesOfParts>
    <vt:vector size="1" baseType="lpstr">
      <vt:lpstr>AER final decision - AusNet Services - Pass through events</vt:lpstr>
    </vt:vector>
  </TitlesOfParts>
  <Company>ACCC</Company>
  <LinksUpToDate>false</LinksUpToDate>
  <CharactersWithSpaces>23449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AER final decision - AusNet Services - Pass through events</dc:title>
  <dc:subject>[subtitle]</dc:subject>
  <dc:creator>AER</dc:creator>
  <cp:lastModifiedBy>Le Cornu, Matthew</cp:lastModifiedBy>
  <cp:revision>2</cp:revision>
  <cp:lastPrinted>2016-11-11T00:04:00Z</cp:lastPrinted>
  <dcterms:created xsi:type="dcterms:W3CDTF">2017-04-24T05:19:00Z</dcterms:created>
  <dcterms:modified xsi:type="dcterms:W3CDTF">2017-04-24T05:19:00Z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urrfile">
    <vt:lpwstr>\\cdchnas-evs02\home$\mleco\aer - final decision ausnet services 2017-22 transmission determination - attachment 13 - pass through events - april 20 (AER2016-000054).docx</vt:lpwstr>
  </property>
</Properties>
</file>