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02A" w:rsidRDefault="00B240E7" w:rsidP="00290C63">
      <w:pPr>
        <w:rPr>
          <w:rFonts w:eastAsiaTheme="majorEastAsia" w:cstheme="majorBidi"/>
          <w:noProof/>
          <w:sz w:val="36"/>
          <w:szCs w:val="36"/>
          <w:lang w:eastAsia="en-AU"/>
        </w:rPr>
      </w:pPr>
      <w:bookmarkStart w:id="0" w:name="_GoBack"/>
      <w:bookmarkEnd w:id="0"/>
      <w:r w:rsidRPr="00290C63">
        <w:rPr>
          <w:noProof/>
          <w:lang w:eastAsia="en-AU"/>
        </w:rPr>
        <w:drawing>
          <wp:anchor distT="0" distB="0" distL="114300" distR="114300" simplePos="0" relativeHeight="251659264" behindDoc="1" locked="0" layoutInCell="1" allowOverlap="1" wp14:anchorId="6896E9F0" wp14:editId="00998025">
            <wp:simplePos x="0" y="0"/>
            <wp:positionH relativeFrom="column">
              <wp:posOffset>-1136015</wp:posOffset>
            </wp:positionH>
            <wp:positionV relativeFrom="paragraph">
              <wp:posOffset>-981075</wp:posOffset>
            </wp:positionV>
            <wp:extent cx="7664929" cy="11249025"/>
            <wp:effectExtent l="0" t="0" r="0"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7652" cy="11253021"/>
                    </a:xfrm>
                    <a:prstGeom prst="rect">
                      <a:avLst/>
                    </a:prstGeom>
                    <a:noFill/>
                  </pic:spPr>
                </pic:pic>
              </a:graphicData>
            </a:graphic>
            <wp14:sizeRelH relativeFrom="page">
              <wp14:pctWidth>0</wp14:pctWidth>
            </wp14:sizeRelH>
            <wp14:sizeRelV relativeFrom="page">
              <wp14:pctHeight>0</wp14:pctHeight>
            </wp14:sizeRelV>
          </wp:anchor>
        </w:drawing>
      </w:r>
      <w:r w:rsidR="00F3702A">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A608C9">
            <w:t xml:space="preserve">FINAL </w:t>
          </w:r>
          <w:r w:rsidR="00DA4752">
            <w:t>DECISION</w:t>
          </w:r>
        </w:p>
        <w:p w:rsidR="00415F31" w:rsidRDefault="00B9733D" w:rsidP="008F07A3">
          <w:pPr>
            <w:pStyle w:val="ReportSubtitle"/>
          </w:pPr>
          <w:r>
            <w:t>AusNet Services</w:t>
          </w:r>
          <w:r w:rsidR="00415F31">
            <w:t xml:space="preserve"> transmission </w:t>
          </w:r>
          <w:r w:rsidR="00DA4752">
            <w:t>determination</w:t>
          </w:r>
        </w:p>
        <w:p w:rsidR="000A6C7B" w:rsidRDefault="00DA4752" w:rsidP="008F07A3">
          <w:pPr>
            <w:pStyle w:val="ReportSubtitle"/>
          </w:pPr>
          <w:r>
            <w:t xml:space="preserve"> </w:t>
          </w:r>
          <w:r w:rsidR="00122F86">
            <w:t>2017-2022</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122F86" w:rsidP="00327A1E">
          <w:pPr>
            <w:pStyle w:val="ReportDate"/>
          </w:pPr>
          <w:r>
            <w:t>April 2017</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FD4060">
        <w:t>7</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 xml:space="preserve">Tel: </w:t>
      </w:r>
      <w:r w:rsidR="004046B2" w:rsidRPr="004046B2">
        <w:t>1300 585 165</w:t>
      </w:r>
      <w:r w:rsidR="00951978">
        <w:br/>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t>53444</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CC7A1C">
      <w:pPr>
        <w:pStyle w:val="UnnumberedHeading"/>
        <w:numPr>
          <w:ilvl w:val="0"/>
          <w:numId w:val="23"/>
        </w:numPr>
      </w:pPr>
      <w:bookmarkStart w:id="5" w:name="_Toc481057457"/>
      <w:r>
        <w:lastRenderedPageBreak/>
        <w:t>N</w:t>
      </w:r>
      <w:r w:rsidR="008F07A3">
        <w:t>ote</w:t>
      </w:r>
      <w:bookmarkEnd w:id="1"/>
      <w:bookmarkEnd w:id="2"/>
      <w:bookmarkEnd w:id="3"/>
      <w:bookmarkEnd w:id="4"/>
      <w:bookmarkEnd w:id="5"/>
    </w:p>
    <w:p w:rsidR="00415F31" w:rsidRDefault="00415F31" w:rsidP="00CC7A1C">
      <w:pPr>
        <w:numPr>
          <w:ilvl w:val="0"/>
          <w:numId w:val="24"/>
        </w:numPr>
        <w:spacing w:before="0" w:after="240" w:line="288" w:lineRule="auto"/>
        <w:jc w:val="both"/>
      </w:pPr>
    </w:p>
    <w:p w:rsidR="00415F31" w:rsidRDefault="008F07A3" w:rsidP="00CC7A1C">
      <w:pPr>
        <w:numPr>
          <w:ilvl w:val="0"/>
          <w:numId w:val="24"/>
        </w:numPr>
        <w:spacing w:before="0" w:after="240" w:line="288" w:lineRule="auto"/>
        <w:jc w:val="both"/>
      </w:pPr>
      <w:r>
        <w:t xml:space="preserve">This </w:t>
      </w:r>
      <w:r w:rsidR="00415F31">
        <w:t xml:space="preserve">attachment forms part of the AER's </w:t>
      </w:r>
      <w:r w:rsidR="00122F86">
        <w:t>final</w:t>
      </w:r>
      <w:r w:rsidR="00415F31">
        <w:t xml:space="preserve"> decision on </w:t>
      </w:r>
      <w:r w:rsidR="000B321F">
        <w:t>AusNet Services’</w:t>
      </w:r>
      <w:r w:rsidR="00415F31">
        <w:t xml:space="preserve"> revenue proposal 201</w:t>
      </w:r>
      <w:r w:rsidR="000B321F">
        <w:t>7</w:t>
      </w:r>
      <w:r w:rsidR="00415F31" w:rsidRPr="00D904FA">
        <w:t>–</w:t>
      </w:r>
      <w:r w:rsidR="000B321F">
        <w:t>22</w:t>
      </w:r>
      <w:r w:rsidR="00415F31">
        <w:t xml:space="preserve">. It should be read with other parts of the </w:t>
      </w:r>
      <w:r w:rsidR="00122F86">
        <w:t>final</w:t>
      </w:r>
      <w:r w:rsidR="00415F31">
        <w:t xml:space="preserve"> decision.</w:t>
      </w:r>
    </w:p>
    <w:p w:rsidR="00415F31" w:rsidRDefault="00415F31" w:rsidP="00CC7A1C">
      <w:pPr>
        <w:numPr>
          <w:ilvl w:val="0"/>
          <w:numId w:val="24"/>
        </w:numPr>
        <w:spacing w:before="0" w:after="240" w:line="288" w:lineRule="auto"/>
        <w:jc w:val="both"/>
      </w:pPr>
      <w:r>
        <w:t xml:space="preserve">The </w:t>
      </w:r>
      <w:r w:rsidR="00122F86">
        <w:t>final</w:t>
      </w:r>
      <w:r>
        <w:t xml:space="preserve"> decision includes the following documents:</w:t>
      </w:r>
    </w:p>
    <w:p w:rsidR="00415F31" w:rsidRDefault="00415F31" w:rsidP="00CC7A1C">
      <w:pPr>
        <w:numPr>
          <w:ilvl w:val="0"/>
          <w:numId w:val="24"/>
        </w:numPr>
        <w:spacing w:before="0" w:after="240" w:line="288" w:lineRule="auto"/>
        <w:jc w:val="both"/>
      </w:pPr>
      <w:r>
        <w:t>Overview</w:t>
      </w:r>
    </w:p>
    <w:p w:rsidR="00415F31" w:rsidRDefault="00415F31" w:rsidP="00CC7A1C">
      <w:pPr>
        <w:numPr>
          <w:ilvl w:val="0"/>
          <w:numId w:val="24"/>
        </w:numPr>
        <w:spacing w:before="0" w:after="240" w:line="288" w:lineRule="auto"/>
        <w:jc w:val="both"/>
      </w:pPr>
      <w:r>
        <w:t>Attachment 1 – maximum allowed revenue</w:t>
      </w:r>
    </w:p>
    <w:p w:rsidR="00415F31" w:rsidRDefault="00415F31" w:rsidP="00CC7A1C">
      <w:pPr>
        <w:numPr>
          <w:ilvl w:val="0"/>
          <w:numId w:val="24"/>
        </w:numPr>
        <w:spacing w:before="0" w:after="240" w:line="288" w:lineRule="auto"/>
        <w:jc w:val="both"/>
      </w:pPr>
      <w:r>
        <w:t>Attachment 2 – regulatory asset base</w:t>
      </w:r>
    </w:p>
    <w:p w:rsidR="00415F31" w:rsidRDefault="00415F31" w:rsidP="00CC7A1C">
      <w:pPr>
        <w:numPr>
          <w:ilvl w:val="0"/>
          <w:numId w:val="24"/>
        </w:numPr>
        <w:spacing w:before="0" w:after="240" w:line="288" w:lineRule="auto"/>
        <w:jc w:val="both"/>
      </w:pPr>
      <w:r>
        <w:t>Attachment 3 – rate of return</w:t>
      </w:r>
    </w:p>
    <w:p w:rsidR="00415F31" w:rsidRDefault="00415F31" w:rsidP="00CC7A1C">
      <w:pPr>
        <w:numPr>
          <w:ilvl w:val="0"/>
          <w:numId w:val="24"/>
        </w:numPr>
        <w:spacing w:before="0" w:after="240" w:line="288" w:lineRule="auto"/>
        <w:jc w:val="both"/>
      </w:pPr>
      <w:r>
        <w:t>Attachment 4 – value of imputation credits</w:t>
      </w:r>
    </w:p>
    <w:p w:rsidR="00415F31" w:rsidRDefault="00415F31" w:rsidP="00CC7A1C">
      <w:pPr>
        <w:numPr>
          <w:ilvl w:val="0"/>
          <w:numId w:val="24"/>
        </w:numPr>
        <w:spacing w:before="0" w:after="240" w:line="288" w:lineRule="auto"/>
        <w:jc w:val="both"/>
      </w:pPr>
      <w:r>
        <w:t>Attachment 5 – regulatory depreciation</w:t>
      </w:r>
    </w:p>
    <w:p w:rsidR="00415F31" w:rsidRDefault="00415F31" w:rsidP="00CC7A1C">
      <w:pPr>
        <w:numPr>
          <w:ilvl w:val="0"/>
          <w:numId w:val="24"/>
        </w:numPr>
        <w:spacing w:before="0" w:after="240" w:line="288" w:lineRule="auto"/>
        <w:jc w:val="both"/>
      </w:pPr>
      <w:r>
        <w:t xml:space="preserve">Attachment 6 – capital expenditure </w:t>
      </w:r>
    </w:p>
    <w:p w:rsidR="00415F31" w:rsidRDefault="00415F31" w:rsidP="00CC7A1C">
      <w:pPr>
        <w:numPr>
          <w:ilvl w:val="0"/>
          <w:numId w:val="24"/>
        </w:numPr>
        <w:spacing w:before="0" w:after="240" w:line="288" w:lineRule="auto"/>
        <w:jc w:val="both"/>
      </w:pPr>
      <w:r>
        <w:t>Attachment 7 – operating expenditure</w:t>
      </w:r>
    </w:p>
    <w:p w:rsidR="00415F31" w:rsidRDefault="00415F31" w:rsidP="00CC7A1C">
      <w:pPr>
        <w:numPr>
          <w:ilvl w:val="0"/>
          <w:numId w:val="24"/>
        </w:numPr>
        <w:spacing w:before="0" w:after="240" w:line="288" w:lineRule="auto"/>
        <w:jc w:val="both"/>
      </w:pPr>
      <w:r>
        <w:t>Attachment 8 – corporate income tax</w:t>
      </w:r>
    </w:p>
    <w:p w:rsidR="00415F31" w:rsidRDefault="00415F31" w:rsidP="00CC7A1C">
      <w:pPr>
        <w:numPr>
          <w:ilvl w:val="0"/>
          <w:numId w:val="24"/>
        </w:numPr>
        <w:spacing w:before="0" w:after="240" w:line="288" w:lineRule="auto"/>
        <w:jc w:val="both"/>
      </w:pPr>
      <w:r>
        <w:t>Attachment 9 – efficiency benefit sharing scheme</w:t>
      </w:r>
    </w:p>
    <w:p w:rsidR="00415F31" w:rsidRDefault="00415F31" w:rsidP="00CC7A1C">
      <w:pPr>
        <w:numPr>
          <w:ilvl w:val="0"/>
          <w:numId w:val="24"/>
        </w:numPr>
        <w:spacing w:before="0" w:after="240" w:line="288" w:lineRule="auto"/>
        <w:jc w:val="both"/>
      </w:pPr>
      <w:r>
        <w:t>Attachment 10 – capital expenditure sharing scheme</w:t>
      </w:r>
    </w:p>
    <w:p w:rsidR="00415F31" w:rsidRDefault="00415F31" w:rsidP="00CC7A1C">
      <w:pPr>
        <w:numPr>
          <w:ilvl w:val="0"/>
          <w:numId w:val="24"/>
        </w:numPr>
        <w:spacing w:before="0" w:after="240" w:line="288" w:lineRule="auto"/>
        <w:jc w:val="both"/>
      </w:pPr>
      <w:r>
        <w:t>Attachment 11 – service target performance incentive scheme</w:t>
      </w:r>
    </w:p>
    <w:p w:rsidR="00415F31" w:rsidRPr="00D904FA" w:rsidRDefault="00415F31" w:rsidP="00CC7A1C">
      <w:pPr>
        <w:numPr>
          <w:ilvl w:val="0"/>
          <w:numId w:val="24"/>
        </w:numPr>
        <w:spacing w:before="0" w:after="240" w:line="288" w:lineRule="auto"/>
        <w:jc w:val="both"/>
      </w:pPr>
      <w:r>
        <w:t xml:space="preserve">Attachment 12 – </w:t>
      </w:r>
      <w:r w:rsidRPr="00D904FA">
        <w:t>pricing methodology</w:t>
      </w:r>
    </w:p>
    <w:p w:rsidR="00415F31" w:rsidRPr="00D904FA" w:rsidRDefault="00415F31" w:rsidP="00CC7A1C">
      <w:pPr>
        <w:numPr>
          <w:ilvl w:val="0"/>
          <w:numId w:val="24"/>
        </w:numPr>
        <w:spacing w:before="0" w:after="240" w:line="288" w:lineRule="auto"/>
        <w:jc w:val="both"/>
      </w:pPr>
      <w:r>
        <w:t xml:space="preserve">Attachment 13 </w:t>
      </w:r>
      <w:r w:rsidRPr="00D904FA">
        <w:t>– pass through events</w:t>
      </w:r>
    </w:p>
    <w:p w:rsidR="00415F31" w:rsidRDefault="00415F31" w:rsidP="00415F31">
      <w:r w:rsidRPr="00D904FA">
        <w:t>Attachment 14 – negotiated services</w:t>
      </w:r>
    </w:p>
    <w:p w:rsidR="008F07A3" w:rsidRPr="008F07A3" w:rsidRDefault="008F07A3" w:rsidP="00CC7A1C">
      <w:pPr>
        <w:numPr>
          <w:ilvl w:val="0"/>
          <w:numId w:val="24"/>
        </w:numPr>
        <w:sectPr w:rsidR="008F07A3" w:rsidRPr="008F07A3" w:rsidSect="001754EE">
          <w:headerReference w:type="even" r:id="rId11"/>
          <w:headerReference w:type="default" r:id="rId12"/>
          <w:footerReference w:type="even" r:id="rId13"/>
          <w:footerReference w:type="default" r:id="rId14"/>
          <w:headerReference w:type="first" r:id="rId15"/>
          <w:footerReference w:type="first" r:id="rId16"/>
          <w:pgSz w:w="11906" w:h="16838" w:code="9"/>
          <w:pgMar w:top="1440" w:right="1700" w:bottom="1582" w:left="1729" w:header="720" w:footer="0" w:gutter="0"/>
          <w:pgNumType w:start="0" w:chapStyle="1"/>
          <w:cols w:space="720"/>
          <w:docGrid w:linePitch="326"/>
        </w:sectPr>
      </w:pPr>
    </w:p>
    <w:p w:rsidR="00DE563D" w:rsidRPr="00A72B34" w:rsidRDefault="00DE563D" w:rsidP="00CC7A1C">
      <w:pPr>
        <w:pStyle w:val="UnnumberedHeading"/>
        <w:numPr>
          <w:ilvl w:val="0"/>
          <w:numId w:val="23"/>
        </w:numPr>
      </w:pPr>
      <w:bookmarkStart w:id="6" w:name="_Toc403144133"/>
      <w:bookmarkStart w:id="7" w:name="_Toc481057458"/>
      <w:r>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284118" w:rsidRDefault="00076F9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 </w:instrText>
          </w:r>
          <w:r>
            <w:rPr>
              <w:color w:val="auto"/>
              <w:sz w:val="22"/>
            </w:rPr>
            <w:fldChar w:fldCharType="separate"/>
          </w:r>
          <w:hyperlink w:anchor="_Toc481057457" w:history="1">
            <w:r w:rsidR="00284118" w:rsidRPr="000C1C17">
              <w:rPr>
                <w:rStyle w:val="Hyperlink"/>
              </w:rPr>
              <w:t>Note</w:t>
            </w:r>
            <w:r w:rsidR="00284118">
              <w:rPr>
                <w:webHidden/>
              </w:rPr>
              <w:tab/>
            </w:r>
            <w:r w:rsidR="00284118">
              <w:rPr>
                <w:webHidden/>
              </w:rPr>
              <w:fldChar w:fldCharType="begin"/>
            </w:r>
            <w:r w:rsidR="00284118">
              <w:rPr>
                <w:webHidden/>
              </w:rPr>
              <w:instrText xml:space="preserve"> PAGEREF _Toc481057457 \h </w:instrText>
            </w:r>
            <w:r w:rsidR="00284118">
              <w:rPr>
                <w:webHidden/>
              </w:rPr>
            </w:r>
            <w:r w:rsidR="00284118">
              <w:rPr>
                <w:webHidden/>
              </w:rPr>
              <w:fldChar w:fldCharType="separate"/>
            </w:r>
            <w:r w:rsidR="00A40DE9">
              <w:rPr>
                <w:webHidden/>
              </w:rPr>
              <w:t>3-2</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58" w:history="1">
            <w:r w:rsidR="00284118" w:rsidRPr="000C1C17">
              <w:rPr>
                <w:rStyle w:val="Hyperlink"/>
              </w:rPr>
              <w:t>Contents</w:t>
            </w:r>
            <w:r w:rsidR="00284118">
              <w:rPr>
                <w:webHidden/>
              </w:rPr>
              <w:tab/>
            </w:r>
            <w:r w:rsidR="00284118">
              <w:rPr>
                <w:webHidden/>
              </w:rPr>
              <w:fldChar w:fldCharType="begin"/>
            </w:r>
            <w:r w:rsidR="00284118">
              <w:rPr>
                <w:webHidden/>
              </w:rPr>
              <w:instrText xml:space="preserve"> PAGEREF _Toc481057458 \h </w:instrText>
            </w:r>
            <w:r w:rsidR="00284118">
              <w:rPr>
                <w:webHidden/>
              </w:rPr>
            </w:r>
            <w:r w:rsidR="00284118">
              <w:rPr>
                <w:webHidden/>
              </w:rPr>
              <w:fldChar w:fldCharType="separate"/>
            </w:r>
            <w:r w:rsidR="00A40DE9">
              <w:rPr>
                <w:webHidden/>
              </w:rPr>
              <w:t>3-3</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59" w:history="1">
            <w:r w:rsidR="00284118" w:rsidRPr="000C1C17">
              <w:rPr>
                <w:rStyle w:val="Hyperlink"/>
              </w:rPr>
              <w:t>Shortened forms</w:t>
            </w:r>
            <w:r w:rsidR="00284118">
              <w:rPr>
                <w:webHidden/>
              </w:rPr>
              <w:tab/>
            </w:r>
            <w:r w:rsidR="00284118">
              <w:rPr>
                <w:webHidden/>
              </w:rPr>
              <w:fldChar w:fldCharType="begin"/>
            </w:r>
            <w:r w:rsidR="00284118">
              <w:rPr>
                <w:webHidden/>
              </w:rPr>
              <w:instrText xml:space="preserve"> PAGEREF _Toc481057459 \h </w:instrText>
            </w:r>
            <w:r w:rsidR="00284118">
              <w:rPr>
                <w:webHidden/>
              </w:rPr>
            </w:r>
            <w:r w:rsidR="00284118">
              <w:rPr>
                <w:webHidden/>
              </w:rPr>
              <w:fldChar w:fldCharType="separate"/>
            </w:r>
            <w:r w:rsidR="00A40DE9">
              <w:rPr>
                <w:webHidden/>
              </w:rPr>
              <w:t>3-6</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60" w:history="1">
            <w:r w:rsidR="00284118" w:rsidRPr="000C1C17">
              <w:rPr>
                <w:rStyle w:val="Hyperlink"/>
              </w:rPr>
              <w:t>3</w:t>
            </w:r>
            <w:r w:rsidR="00284118">
              <w:rPr>
                <w:rFonts w:asciiTheme="minorHAnsi" w:eastAsiaTheme="minorEastAsia" w:hAnsiTheme="minorHAnsi"/>
                <w:b w:val="0"/>
                <w:color w:val="auto"/>
                <w:sz w:val="22"/>
                <w:lang w:val="en-AU" w:eastAsia="en-AU"/>
              </w:rPr>
              <w:tab/>
            </w:r>
            <w:r w:rsidR="00284118" w:rsidRPr="000C1C17">
              <w:rPr>
                <w:rStyle w:val="Hyperlink"/>
              </w:rPr>
              <w:t>Rate of return</w:t>
            </w:r>
            <w:r w:rsidR="00284118">
              <w:rPr>
                <w:webHidden/>
              </w:rPr>
              <w:tab/>
            </w:r>
            <w:r w:rsidR="00284118">
              <w:rPr>
                <w:webHidden/>
              </w:rPr>
              <w:fldChar w:fldCharType="begin"/>
            </w:r>
            <w:r w:rsidR="00284118">
              <w:rPr>
                <w:webHidden/>
              </w:rPr>
              <w:instrText xml:space="preserve"> PAGEREF _Toc481057460 \h </w:instrText>
            </w:r>
            <w:r w:rsidR="00284118">
              <w:rPr>
                <w:webHidden/>
              </w:rPr>
            </w:r>
            <w:r w:rsidR="00284118">
              <w:rPr>
                <w:webHidden/>
              </w:rPr>
              <w:fldChar w:fldCharType="separate"/>
            </w:r>
            <w:r w:rsidR="00A40DE9">
              <w:rPr>
                <w:webHidden/>
              </w:rPr>
              <w:t>3-8</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61" w:history="1">
            <w:r w:rsidR="00284118" w:rsidRPr="000C1C17">
              <w:rPr>
                <w:rStyle w:val="Hyperlink"/>
              </w:rPr>
              <w:t>3.1</w:t>
            </w:r>
            <w:r w:rsidR="00284118">
              <w:rPr>
                <w:rFonts w:asciiTheme="minorHAnsi" w:eastAsiaTheme="minorEastAsia" w:hAnsiTheme="minorHAnsi"/>
                <w:b w:val="0"/>
                <w:color w:val="auto"/>
                <w:sz w:val="22"/>
                <w:lang w:eastAsia="en-AU"/>
              </w:rPr>
              <w:tab/>
            </w:r>
            <w:r w:rsidR="00284118" w:rsidRPr="000C1C17">
              <w:rPr>
                <w:rStyle w:val="Hyperlink"/>
              </w:rPr>
              <w:t>Final decision</w:t>
            </w:r>
            <w:r w:rsidR="00284118">
              <w:rPr>
                <w:webHidden/>
              </w:rPr>
              <w:tab/>
            </w:r>
            <w:r w:rsidR="00284118">
              <w:rPr>
                <w:webHidden/>
              </w:rPr>
              <w:fldChar w:fldCharType="begin"/>
            </w:r>
            <w:r w:rsidR="00284118">
              <w:rPr>
                <w:webHidden/>
              </w:rPr>
              <w:instrText xml:space="preserve"> PAGEREF _Toc481057461 \h </w:instrText>
            </w:r>
            <w:r w:rsidR="00284118">
              <w:rPr>
                <w:webHidden/>
              </w:rPr>
            </w:r>
            <w:r w:rsidR="00284118">
              <w:rPr>
                <w:webHidden/>
              </w:rPr>
              <w:fldChar w:fldCharType="separate"/>
            </w:r>
            <w:r w:rsidR="00A40DE9">
              <w:rPr>
                <w:webHidden/>
              </w:rPr>
              <w:t>3-8</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62" w:history="1">
            <w:r w:rsidR="00284118" w:rsidRPr="000C1C17">
              <w:rPr>
                <w:rStyle w:val="Hyperlink"/>
              </w:rPr>
              <w:t>3.2</w:t>
            </w:r>
            <w:r w:rsidR="00284118">
              <w:rPr>
                <w:rFonts w:asciiTheme="minorHAnsi" w:eastAsiaTheme="minorEastAsia" w:hAnsiTheme="minorHAnsi"/>
                <w:b w:val="0"/>
                <w:color w:val="auto"/>
                <w:sz w:val="22"/>
                <w:lang w:eastAsia="en-AU"/>
              </w:rPr>
              <w:tab/>
            </w:r>
            <w:r w:rsidR="00284118" w:rsidRPr="000C1C17">
              <w:rPr>
                <w:rStyle w:val="Hyperlink"/>
              </w:rPr>
              <w:t>AusNet Services’ revised proposal</w:t>
            </w:r>
            <w:r w:rsidR="00284118">
              <w:rPr>
                <w:webHidden/>
              </w:rPr>
              <w:tab/>
            </w:r>
            <w:r w:rsidR="00284118">
              <w:rPr>
                <w:webHidden/>
              </w:rPr>
              <w:fldChar w:fldCharType="begin"/>
            </w:r>
            <w:r w:rsidR="00284118">
              <w:rPr>
                <w:webHidden/>
              </w:rPr>
              <w:instrText xml:space="preserve"> PAGEREF _Toc481057462 \h </w:instrText>
            </w:r>
            <w:r w:rsidR="00284118">
              <w:rPr>
                <w:webHidden/>
              </w:rPr>
            </w:r>
            <w:r w:rsidR="00284118">
              <w:rPr>
                <w:webHidden/>
              </w:rPr>
              <w:fldChar w:fldCharType="separate"/>
            </w:r>
            <w:r w:rsidR="00A40DE9">
              <w:rPr>
                <w:webHidden/>
              </w:rPr>
              <w:t>3-14</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63" w:history="1">
            <w:r w:rsidR="00284118" w:rsidRPr="000C1C17">
              <w:rPr>
                <w:rStyle w:val="Hyperlink"/>
              </w:rPr>
              <w:t>3.3</w:t>
            </w:r>
            <w:r w:rsidR="00284118">
              <w:rPr>
                <w:rFonts w:asciiTheme="minorHAnsi" w:eastAsiaTheme="minorEastAsia" w:hAnsiTheme="minorHAnsi"/>
                <w:b w:val="0"/>
                <w:color w:val="auto"/>
                <w:sz w:val="22"/>
                <w:lang w:eastAsia="en-AU"/>
              </w:rPr>
              <w:tab/>
            </w:r>
            <w:r w:rsidR="00284118" w:rsidRPr="000C1C17">
              <w:rPr>
                <w:rStyle w:val="Hyperlink"/>
              </w:rPr>
              <w:t>AER’s assessment approach</w:t>
            </w:r>
            <w:r w:rsidR="00284118">
              <w:rPr>
                <w:webHidden/>
              </w:rPr>
              <w:tab/>
            </w:r>
            <w:r w:rsidR="00284118">
              <w:rPr>
                <w:webHidden/>
              </w:rPr>
              <w:fldChar w:fldCharType="begin"/>
            </w:r>
            <w:r w:rsidR="00284118">
              <w:rPr>
                <w:webHidden/>
              </w:rPr>
              <w:instrText xml:space="preserve"> PAGEREF _Toc481057463 \h </w:instrText>
            </w:r>
            <w:r w:rsidR="00284118">
              <w:rPr>
                <w:webHidden/>
              </w:rPr>
            </w:r>
            <w:r w:rsidR="00284118">
              <w:rPr>
                <w:webHidden/>
              </w:rPr>
              <w:fldChar w:fldCharType="separate"/>
            </w:r>
            <w:r w:rsidR="00A40DE9">
              <w:rPr>
                <w:webHidden/>
              </w:rPr>
              <w:t>3-14</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64" w:history="1">
            <w:r w:rsidR="00284118" w:rsidRPr="000C1C17">
              <w:rPr>
                <w:rStyle w:val="Hyperlink"/>
              </w:rPr>
              <w:t>3.4</w:t>
            </w:r>
            <w:r w:rsidR="00284118">
              <w:rPr>
                <w:rFonts w:asciiTheme="minorHAnsi" w:eastAsiaTheme="minorEastAsia" w:hAnsiTheme="minorHAnsi"/>
                <w:b w:val="0"/>
                <w:color w:val="auto"/>
                <w:sz w:val="22"/>
                <w:lang w:eastAsia="en-AU"/>
              </w:rPr>
              <w:tab/>
            </w:r>
            <w:r w:rsidR="00284118" w:rsidRPr="000C1C17">
              <w:rPr>
                <w:rStyle w:val="Hyperlink"/>
              </w:rPr>
              <w:t>Reasons for final decision</w:t>
            </w:r>
            <w:r w:rsidR="00284118">
              <w:rPr>
                <w:webHidden/>
              </w:rPr>
              <w:tab/>
            </w:r>
            <w:r w:rsidR="00284118">
              <w:rPr>
                <w:webHidden/>
              </w:rPr>
              <w:fldChar w:fldCharType="begin"/>
            </w:r>
            <w:r w:rsidR="00284118">
              <w:rPr>
                <w:webHidden/>
              </w:rPr>
              <w:instrText xml:space="preserve"> PAGEREF _Toc481057464 \h </w:instrText>
            </w:r>
            <w:r w:rsidR="00284118">
              <w:rPr>
                <w:webHidden/>
              </w:rPr>
            </w:r>
            <w:r w:rsidR="00284118">
              <w:rPr>
                <w:webHidden/>
              </w:rPr>
              <w:fldChar w:fldCharType="separate"/>
            </w:r>
            <w:r w:rsidR="00A40DE9">
              <w:rPr>
                <w:webHidden/>
              </w:rPr>
              <w:t>3-42</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65" w:history="1">
            <w:r w:rsidR="00284118" w:rsidRPr="000C1C17">
              <w:rPr>
                <w:rStyle w:val="Hyperlink"/>
              </w:rPr>
              <w:t>A</w:t>
            </w:r>
            <w:r w:rsidR="00284118">
              <w:rPr>
                <w:rFonts w:asciiTheme="minorHAnsi" w:eastAsiaTheme="minorEastAsia" w:hAnsiTheme="minorHAnsi"/>
                <w:b w:val="0"/>
                <w:color w:val="auto"/>
                <w:sz w:val="22"/>
                <w:lang w:val="en-AU" w:eastAsia="en-AU"/>
              </w:rPr>
              <w:tab/>
            </w:r>
            <w:r w:rsidR="00284118" w:rsidRPr="000C1C17">
              <w:rPr>
                <w:rStyle w:val="Hyperlink"/>
              </w:rPr>
              <w:t>Our foundation model approach</w:t>
            </w:r>
            <w:r w:rsidR="00284118">
              <w:rPr>
                <w:webHidden/>
              </w:rPr>
              <w:tab/>
            </w:r>
            <w:r w:rsidR="00284118">
              <w:rPr>
                <w:webHidden/>
              </w:rPr>
              <w:fldChar w:fldCharType="begin"/>
            </w:r>
            <w:r w:rsidR="00284118">
              <w:rPr>
                <w:webHidden/>
              </w:rPr>
              <w:instrText xml:space="preserve"> PAGEREF _Toc481057465 \h </w:instrText>
            </w:r>
            <w:r w:rsidR="00284118">
              <w:rPr>
                <w:webHidden/>
              </w:rPr>
            </w:r>
            <w:r w:rsidR="00284118">
              <w:rPr>
                <w:webHidden/>
              </w:rPr>
              <w:fldChar w:fldCharType="separate"/>
            </w:r>
            <w:r w:rsidR="00A40DE9">
              <w:rPr>
                <w:webHidden/>
              </w:rPr>
              <w:t>3-164</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66" w:history="1">
            <w:r w:rsidR="00284118" w:rsidRPr="000C1C17">
              <w:rPr>
                <w:rStyle w:val="Hyperlink"/>
              </w:rPr>
              <w:t>B</w:t>
            </w:r>
            <w:r w:rsidR="00284118">
              <w:rPr>
                <w:rFonts w:asciiTheme="minorHAnsi" w:eastAsiaTheme="minorEastAsia" w:hAnsiTheme="minorHAnsi"/>
                <w:b w:val="0"/>
                <w:color w:val="auto"/>
                <w:sz w:val="22"/>
                <w:lang w:val="en-AU" w:eastAsia="en-AU"/>
              </w:rPr>
              <w:tab/>
            </w:r>
            <w:r w:rsidR="00284118" w:rsidRPr="000C1C17">
              <w:rPr>
                <w:rStyle w:val="Hyperlink"/>
              </w:rPr>
              <w:t>Equity models</w:t>
            </w:r>
            <w:r w:rsidR="00284118">
              <w:rPr>
                <w:webHidden/>
              </w:rPr>
              <w:tab/>
            </w:r>
            <w:r w:rsidR="00284118">
              <w:rPr>
                <w:webHidden/>
              </w:rPr>
              <w:fldChar w:fldCharType="begin"/>
            </w:r>
            <w:r w:rsidR="00284118">
              <w:rPr>
                <w:webHidden/>
              </w:rPr>
              <w:instrText xml:space="preserve"> PAGEREF _Toc481057466 \h </w:instrText>
            </w:r>
            <w:r w:rsidR="00284118">
              <w:rPr>
                <w:webHidden/>
              </w:rPr>
            </w:r>
            <w:r w:rsidR="00284118">
              <w:rPr>
                <w:webHidden/>
              </w:rPr>
              <w:fldChar w:fldCharType="separate"/>
            </w:r>
            <w:r w:rsidR="00A40DE9">
              <w:rPr>
                <w:webHidden/>
              </w:rPr>
              <w:t>3-168</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67" w:history="1">
            <w:r w:rsidR="00284118" w:rsidRPr="000C1C17">
              <w:rPr>
                <w:rStyle w:val="Hyperlink"/>
                <w14:scene3d>
                  <w14:camera w14:prst="orthographicFront"/>
                  <w14:lightRig w14:rig="threePt" w14:dir="t">
                    <w14:rot w14:lat="0" w14:lon="0" w14:rev="0"/>
                  </w14:lightRig>
                </w14:scene3d>
              </w:rPr>
              <w:t>B.1</w:t>
            </w:r>
            <w:r w:rsidR="00284118">
              <w:rPr>
                <w:rFonts w:asciiTheme="minorHAnsi" w:eastAsiaTheme="minorEastAsia" w:hAnsiTheme="minorHAnsi"/>
                <w:b w:val="0"/>
                <w:color w:val="auto"/>
                <w:sz w:val="22"/>
                <w:lang w:eastAsia="en-AU"/>
              </w:rPr>
              <w:tab/>
            </w:r>
            <w:r w:rsidR="00284118" w:rsidRPr="000C1C17">
              <w:rPr>
                <w:rStyle w:val="Hyperlink"/>
              </w:rPr>
              <w:t>Sharpe-Lintner CAPM</w:t>
            </w:r>
            <w:r w:rsidR="00284118">
              <w:rPr>
                <w:webHidden/>
              </w:rPr>
              <w:tab/>
            </w:r>
            <w:r w:rsidR="00284118">
              <w:rPr>
                <w:webHidden/>
              </w:rPr>
              <w:fldChar w:fldCharType="begin"/>
            </w:r>
            <w:r w:rsidR="00284118">
              <w:rPr>
                <w:webHidden/>
              </w:rPr>
              <w:instrText xml:space="preserve"> PAGEREF _Toc481057467 \h </w:instrText>
            </w:r>
            <w:r w:rsidR="00284118">
              <w:rPr>
                <w:webHidden/>
              </w:rPr>
            </w:r>
            <w:r w:rsidR="00284118">
              <w:rPr>
                <w:webHidden/>
              </w:rPr>
              <w:fldChar w:fldCharType="separate"/>
            </w:r>
            <w:r w:rsidR="00A40DE9">
              <w:rPr>
                <w:webHidden/>
              </w:rPr>
              <w:t>3-169</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68" w:history="1">
            <w:r w:rsidR="00284118" w:rsidRPr="000C1C17">
              <w:rPr>
                <w:rStyle w:val="Hyperlink"/>
                <w14:scene3d>
                  <w14:camera w14:prst="orthographicFront"/>
                  <w14:lightRig w14:rig="threePt" w14:dir="t">
                    <w14:rot w14:lat="0" w14:lon="0" w14:rev="0"/>
                  </w14:lightRig>
                </w14:scene3d>
              </w:rPr>
              <w:t>B.2</w:t>
            </w:r>
            <w:r w:rsidR="00284118">
              <w:rPr>
                <w:rFonts w:asciiTheme="minorHAnsi" w:eastAsiaTheme="minorEastAsia" w:hAnsiTheme="minorHAnsi"/>
                <w:b w:val="0"/>
                <w:color w:val="auto"/>
                <w:sz w:val="22"/>
                <w:lang w:eastAsia="en-AU"/>
              </w:rPr>
              <w:tab/>
            </w:r>
            <w:r w:rsidR="00284118" w:rsidRPr="000C1C17">
              <w:rPr>
                <w:rStyle w:val="Hyperlink"/>
              </w:rPr>
              <w:t>Black CAPM</w:t>
            </w:r>
            <w:r w:rsidR="00284118">
              <w:rPr>
                <w:webHidden/>
              </w:rPr>
              <w:tab/>
            </w:r>
            <w:r w:rsidR="00284118">
              <w:rPr>
                <w:webHidden/>
              </w:rPr>
              <w:fldChar w:fldCharType="begin"/>
            </w:r>
            <w:r w:rsidR="00284118">
              <w:rPr>
                <w:webHidden/>
              </w:rPr>
              <w:instrText xml:space="preserve"> PAGEREF _Toc481057468 \h </w:instrText>
            </w:r>
            <w:r w:rsidR="00284118">
              <w:rPr>
                <w:webHidden/>
              </w:rPr>
            </w:r>
            <w:r w:rsidR="00284118">
              <w:rPr>
                <w:webHidden/>
              </w:rPr>
              <w:fldChar w:fldCharType="separate"/>
            </w:r>
            <w:r w:rsidR="00A40DE9">
              <w:rPr>
                <w:webHidden/>
              </w:rPr>
              <w:t>3-180</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69" w:history="1">
            <w:r w:rsidR="00284118" w:rsidRPr="000C1C17">
              <w:rPr>
                <w:rStyle w:val="Hyperlink"/>
                <w14:scene3d>
                  <w14:camera w14:prst="orthographicFront"/>
                  <w14:lightRig w14:rig="threePt" w14:dir="t">
                    <w14:rot w14:lat="0" w14:lon="0" w14:rev="0"/>
                  </w14:lightRig>
                </w14:scene3d>
              </w:rPr>
              <w:t>B.3</w:t>
            </w:r>
            <w:r w:rsidR="00284118">
              <w:rPr>
                <w:rFonts w:asciiTheme="minorHAnsi" w:eastAsiaTheme="minorEastAsia" w:hAnsiTheme="minorHAnsi"/>
                <w:b w:val="0"/>
                <w:color w:val="auto"/>
                <w:sz w:val="22"/>
                <w:lang w:eastAsia="en-AU"/>
              </w:rPr>
              <w:tab/>
            </w:r>
            <w:r w:rsidR="00284118" w:rsidRPr="000C1C17">
              <w:rPr>
                <w:rStyle w:val="Hyperlink"/>
              </w:rPr>
              <w:t>Fama-French model</w:t>
            </w:r>
            <w:r w:rsidR="00284118">
              <w:rPr>
                <w:webHidden/>
              </w:rPr>
              <w:tab/>
            </w:r>
            <w:r w:rsidR="00284118">
              <w:rPr>
                <w:webHidden/>
              </w:rPr>
              <w:fldChar w:fldCharType="begin"/>
            </w:r>
            <w:r w:rsidR="00284118">
              <w:rPr>
                <w:webHidden/>
              </w:rPr>
              <w:instrText xml:space="preserve"> PAGEREF _Toc481057469 \h </w:instrText>
            </w:r>
            <w:r w:rsidR="00284118">
              <w:rPr>
                <w:webHidden/>
              </w:rPr>
            </w:r>
            <w:r w:rsidR="00284118">
              <w:rPr>
                <w:webHidden/>
              </w:rPr>
              <w:fldChar w:fldCharType="separate"/>
            </w:r>
            <w:r w:rsidR="00A40DE9">
              <w:rPr>
                <w:webHidden/>
              </w:rPr>
              <w:t>3-195</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0" w:history="1">
            <w:r w:rsidR="00284118" w:rsidRPr="000C1C17">
              <w:rPr>
                <w:rStyle w:val="Hyperlink"/>
                <w14:scene3d>
                  <w14:camera w14:prst="orthographicFront"/>
                  <w14:lightRig w14:rig="threePt" w14:dir="t">
                    <w14:rot w14:lat="0" w14:lon="0" w14:rev="0"/>
                  </w14:lightRig>
                </w14:scene3d>
              </w:rPr>
              <w:t>B.4</w:t>
            </w:r>
            <w:r w:rsidR="00284118">
              <w:rPr>
                <w:rFonts w:asciiTheme="minorHAnsi" w:eastAsiaTheme="minorEastAsia" w:hAnsiTheme="minorHAnsi"/>
                <w:b w:val="0"/>
                <w:color w:val="auto"/>
                <w:sz w:val="22"/>
                <w:lang w:eastAsia="en-AU"/>
              </w:rPr>
              <w:tab/>
            </w:r>
            <w:r w:rsidR="00284118" w:rsidRPr="000C1C17">
              <w:rPr>
                <w:rStyle w:val="Hyperlink"/>
              </w:rPr>
              <w:t>Dividend growth model</w:t>
            </w:r>
            <w:r w:rsidR="00284118">
              <w:rPr>
                <w:webHidden/>
              </w:rPr>
              <w:tab/>
            </w:r>
            <w:r w:rsidR="00284118">
              <w:rPr>
                <w:webHidden/>
              </w:rPr>
              <w:fldChar w:fldCharType="begin"/>
            </w:r>
            <w:r w:rsidR="00284118">
              <w:rPr>
                <w:webHidden/>
              </w:rPr>
              <w:instrText xml:space="preserve"> PAGEREF _Toc481057470 \h </w:instrText>
            </w:r>
            <w:r w:rsidR="00284118">
              <w:rPr>
                <w:webHidden/>
              </w:rPr>
            </w:r>
            <w:r w:rsidR="00284118">
              <w:rPr>
                <w:webHidden/>
              </w:rPr>
              <w:fldChar w:fldCharType="separate"/>
            </w:r>
            <w:r w:rsidR="00A40DE9">
              <w:rPr>
                <w:webHidden/>
              </w:rPr>
              <w:t>3-204</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1" w:history="1">
            <w:r w:rsidR="00284118" w:rsidRPr="000C1C17">
              <w:rPr>
                <w:rStyle w:val="Hyperlink"/>
                <w14:scene3d>
                  <w14:camera w14:prst="orthographicFront"/>
                  <w14:lightRig w14:rig="threePt" w14:dir="t">
                    <w14:rot w14:lat="0" w14:lon="0" w14:rev="0"/>
                  </w14:lightRig>
                </w14:scene3d>
              </w:rPr>
              <w:t>B.5</w:t>
            </w:r>
            <w:r w:rsidR="00284118">
              <w:rPr>
                <w:rFonts w:asciiTheme="minorHAnsi" w:eastAsiaTheme="minorEastAsia" w:hAnsiTheme="minorHAnsi"/>
                <w:b w:val="0"/>
                <w:color w:val="auto"/>
                <w:sz w:val="22"/>
                <w:lang w:eastAsia="en-AU"/>
              </w:rPr>
              <w:tab/>
            </w:r>
            <w:r w:rsidR="00284118" w:rsidRPr="000C1C17">
              <w:rPr>
                <w:rStyle w:val="Hyperlink"/>
              </w:rPr>
              <w:t>Wright CAPM and historical CAPM</w:t>
            </w:r>
            <w:r w:rsidR="00284118">
              <w:rPr>
                <w:webHidden/>
              </w:rPr>
              <w:tab/>
            </w:r>
            <w:r w:rsidR="00284118">
              <w:rPr>
                <w:webHidden/>
              </w:rPr>
              <w:fldChar w:fldCharType="begin"/>
            </w:r>
            <w:r w:rsidR="00284118">
              <w:rPr>
                <w:webHidden/>
              </w:rPr>
              <w:instrText xml:space="preserve"> PAGEREF _Toc481057471 \h </w:instrText>
            </w:r>
            <w:r w:rsidR="00284118">
              <w:rPr>
                <w:webHidden/>
              </w:rPr>
            </w:r>
            <w:r w:rsidR="00284118">
              <w:rPr>
                <w:webHidden/>
              </w:rPr>
              <w:fldChar w:fldCharType="separate"/>
            </w:r>
            <w:r w:rsidR="00A40DE9">
              <w:rPr>
                <w:webHidden/>
              </w:rPr>
              <w:t>3-211</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72" w:history="1">
            <w:r w:rsidR="00284118" w:rsidRPr="000C1C17">
              <w:rPr>
                <w:rStyle w:val="Hyperlink"/>
              </w:rPr>
              <w:t>C</w:t>
            </w:r>
            <w:r w:rsidR="00284118">
              <w:rPr>
                <w:rFonts w:asciiTheme="minorHAnsi" w:eastAsiaTheme="minorEastAsia" w:hAnsiTheme="minorHAnsi"/>
                <w:b w:val="0"/>
                <w:color w:val="auto"/>
                <w:sz w:val="22"/>
                <w:lang w:val="en-AU" w:eastAsia="en-AU"/>
              </w:rPr>
              <w:tab/>
            </w:r>
            <w:r w:rsidR="00284118" w:rsidRPr="000C1C17">
              <w:rPr>
                <w:rStyle w:val="Hyperlink"/>
              </w:rPr>
              <w:t>Historical stock returns</w:t>
            </w:r>
            <w:r w:rsidR="00284118">
              <w:rPr>
                <w:webHidden/>
              </w:rPr>
              <w:tab/>
            </w:r>
            <w:r w:rsidR="00284118">
              <w:rPr>
                <w:webHidden/>
              </w:rPr>
              <w:fldChar w:fldCharType="begin"/>
            </w:r>
            <w:r w:rsidR="00284118">
              <w:rPr>
                <w:webHidden/>
              </w:rPr>
              <w:instrText xml:space="preserve"> PAGEREF _Toc481057472 \h </w:instrText>
            </w:r>
            <w:r w:rsidR="00284118">
              <w:rPr>
                <w:webHidden/>
              </w:rPr>
            </w:r>
            <w:r w:rsidR="00284118">
              <w:rPr>
                <w:webHidden/>
              </w:rPr>
              <w:fldChar w:fldCharType="separate"/>
            </w:r>
            <w:r w:rsidR="00A40DE9">
              <w:rPr>
                <w:webHidden/>
              </w:rPr>
              <w:t>3-215</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3" w:history="1">
            <w:r w:rsidR="00284118" w:rsidRPr="000C1C17">
              <w:rPr>
                <w:rStyle w:val="Hyperlink"/>
                <w14:scene3d>
                  <w14:camera w14:prst="orthographicFront"/>
                  <w14:lightRig w14:rig="threePt" w14:dir="t">
                    <w14:rot w14:lat="0" w14:lon="0" w14:rev="0"/>
                  </w14:lightRig>
                </w14:scene3d>
              </w:rPr>
              <w:t>C.1</w:t>
            </w:r>
            <w:r w:rsidR="00284118">
              <w:rPr>
                <w:rFonts w:asciiTheme="minorHAnsi" w:eastAsiaTheme="minorEastAsia" w:hAnsiTheme="minorHAnsi"/>
                <w:b w:val="0"/>
                <w:color w:val="auto"/>
                <w:sz w:val="22"/>
                <w:lang w:eastAsia="en-AU"/>
              </w:rPr>
              <w:tab/>
            </w:r>
            <w:r w:rsidR="00284118" w:rsidRPr="000C1C17">
              <w:rPr>
                <w:rStyle w:val="Hyperlink"/>
              </w:rPr>
              <w:t>Prevailing estimates: excess returns</w:t>
            </w:r>
            <w:r w:rsidR="00284118">
              <w:rPr>
                <w:webHidden/>
              </w:rPr>
              <w:tab/>
            </w:r>
            <w:r w:rsidR="00284118">
              <w:rPr>
                <w:webHidden/>
              </w:rPr>
              <w:fldChar w:fldCharType="begin"/>
            </w:r>
            <w:r w:rsidR="00284118">
              <w:rPr>
                <w:webHidden/>
              </w:rPr>
              <w:instrText xml:space="preserve"> PAGEREF _Toc481057473 \h </w:instrText>
            </w:r>
            <w:r w:rsidR="00284118">
              <w:rPr>
                <w:webHidden/>
              </w:rPr>
            </w:r>
            <w:r w:rsidR="00284118">
              <w:rPr>
                <w:webHidden/>
              </w:rPr>
              <w:fldChar w:fldCharType="separate"/>
            </w:r>
            <w:r w:rsidR="00A40DE9">
              <w:rPr>
                <w:webHidden/>
              </w:rPr>
              <w:t>3-215</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4" w:history="1">
            <w:r w:rsidR="00284118" w:rsidRPr="000C1C17">
              <w:rPr>
                <w:rStyle w:val="Hyperlink"/>
                <w14:scene3d>
                  <w14:camera w14:prst="orthographicFront"/>
                  <w14:lightRig w14:rig="threePt" w14:dir="t">
                    <w14:rot w14:lat="0" w14:lon="0" w14:rev="0"/>
                  </w14:lightRig>
                </w14:scene3d>
              </w:rPr>
              <w:t>C.2</w:t>
            </w:r>
            <w:r w:rsidR="00284118">
              <w:rPr>
                <w:rFonts w:asciiTheme="minorHAnsi" w:eastAsiaTheme="minorEastAsia" w:hAnsiTheme="minorHAnsi"/>
                <w:b w:val="0"/>
                <w:color w:val="auto"/>
                <w:sz w:val="22"/>
                <w:lang w:eastAsia="en-AU"/>
              </w:rPr>
              <w:tab/>
            </w:r>
            <w:r w:rsidR="00284118" w:rsidRPr="000C1C17">
              <w:rPr>
                <w:rStyle w:val="Hyperlink"/>
              </w:rPr>
              <w:t>Prevailing estimates: total returns</w:t>
            </w:r>
            <w:r w:rsidR="00284118">
              <w:rPr>
                <w:webHidden/>
              </w:rPr>
              <w:tab/>
            </w:r>
            <w:r w:rsidR="00284118">
              <w:rPr>
                <w:webHidden/>
              </w:rPr>
              <w:fldChar w:fldCharType="begin"/>
            </w:r>
            <w:r w:rsidR="00284118">
              <w:rPr>
                <w:webHidden/>
              </w:rPr>
              <w:instrText xml:space="preserve"> PAGEREF _Toc481057474 \h </w:instrText>
            </w:r>
            <w:r w:rsidR="00284118">
              <w:rPr>
                <w:webHidden/>
              </w:rPr>
            </w:r>
            <w:r w:rsidR="00284118">
              <w:rPr>
                <w:webHidden/>
              </w:rPr>
              <w:fldChar w:fldCharType="separate"/>
            </w:r>
            <w:r w:rsidR="00A40DE9">
              <w:rPr>
                <w:webHidden/>
              </w:rPr>
              <w:t>3-216</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5" w:history="1">
            <w:r w:rsidR="00284118" w:rsidRPr="000C1C17">
              <w:rPr>
                <w:rStyle w:val="Hyperlink"/>
                <w14:scene3d>
                  <w14:camera w14:prst="orthographicFront"/>
                  <w14:lightRig w14:rig="threePt" w14:dir="t">
                    <w14:rot w14:lat="0" w14:lon="0" w14:rev="0"/>
                  </w14:lightRig>
                </w14:scene3d>
              </w:rPr>
              <w:t>C.3</w:t>
            </w:r>
            <w:r w:rsidR="00284118">
              <w:rPr>
                <w:rFonts w:asciiTheme="minorHAnsi" w:eastAsiaTheme="minorEastAsia" w:hAnsiTheme="minorHAnsi"/>
                <w:b w:val="0"/>
                <w:color w:val="auto"/>
                <w:sz w:val="22"/>
                <w:lang w:eastAsia="en-AU"/>
              </w:rPr>
              <w:tab/>
            </w:r>
            <w:r w:rsidR="00284118" w:rsidRPr="000C1C17">
              <w:rPr>
                <w:rStyle w:val="Hyperlink"/>
              </w:rPr>
              <w:t>Arithmetic and geometric averages</w:t>
            </w:r>
            <w:r w:rsidR="00284118">
              <w:rPr>
                <w:webHidden/>
              </w:rPr>
              <w:tab/>
            </w:r>
            <w:r w:rsidR="00284118">
              <w:rPr>
                <w:webHidden/>
              </w:rPr>
              <w:fldChar w:fldCharType="begin"/>
            </w:r>
            <w:r w:rsidR="00284118">
              <w:rPr>
                <w:webHidden/>
              </w:rPr>
              <w:instrText xml:space="preserve"> PAGEREF _Toc481057475 \h </w:instrText>
            </w:r>
            <w:r w:rsidR="00284118">
              <w:rPr>
                <w:webHidden/>
              </w:rPr>
            </w:r>
            <w:r w:rsidR="00284118">
              <w:rPr>
                <w:webHidden/>
              </w:rPr>
              <w:fldChar w:fldCharType="separate"/>
            </w:r>
            <w:r w:rsidR="00A40DE9">
              <w:rPr>
                <w:webHidden/>
              </w:rPr>
              <w:t>3-217</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76" w:history="1">
            <w:r w:rsidR="00284118" w:rsidRPr="000C1C17">
              <w:rPr>
                <w:rStyle w:val="Hyperlink"/>
              </w:rPr>
              <w:t>D</w:t>
            </w:r>
            <w:r w:rsidR="00284118">
              <w:rPr>
                <w:rFonts w:asciiTheme="minorHAnsi" w:eastAsiaTheme="minorEastAsia" w:hAnsiTheme="minorHAnsi"/>
                <w:b w:val="0"/>
                <w:color w:val="auto"/>
                <w:sz w:val="22"/>
                <w:lang w:val="en-AU" w:eastAsia="en-AU"/>
              </w:rPr>
              <w:tab/>
            </w:r>
            <w:r w:rsidR="00284118" w:rsidRPr="000C1C17">
              <w:rPr>
                <w:rStyle w:val="Hyperlink"/>
              </w:rPr>
              <w:t>AER's dividend growth model</w:t>
            </w:r>
            <w:r w:rsidR="00284118">
              <w:rPr>
                <w:webHidden/>
              </w:rPr>
              <w:tab/>
            </w:r>
            <w:r w:rsidR="00284118">
              <w:rPr>
                <w:webHidden/>
              </w:rPr>
              <w:fldChar w:fldCharType="begin"/>
            </w:r>
            <w:r w:rsidR="00284118">
              <w:rPr>
                <w:webHidden/>
              </w:rPr>
              <w:instrText xml:space="preserve"> PAGEREF _Toc481057476 \h </w:instrText>
            </w:r>
            <w:r w:rsidR="00284118">
              <w:rPr>
                <w:webHidden/>
              </w:rPr>
            </w:r>
            <w:r w:rsidR="00284118">
              <w:rPr>
                <w:webHidden/>
              </w:rPr>
              <w:fldChar w:fldCharType="separate"/>
            </w:r>
            <w:r w:rsidR="00A40DE9">
              <w:rPr>
                <w:webHidden/>
              </w:rPr>
              <w:t>3-222</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7" w:history="1">
            <w:r w:rsidR="00284118" w:rsidRPr="000C1C17">
              <w:rPr>
                <w:rStyle w:val="Hyperlink"/>
                <w14:scene3d>
                  <w14:camera w14:prst="orthographicFront"/>
                  <w14:lightRig w14:rig="threePt" w14:dir="t">
                    <w14:rot w14:lat="0" w14:lon="0" w14:rev="0"/>
                  </w14:lightRig>
                </w14:scene3d>
              </w:rPr>
              <w:t>D.1</w:t>
            </w:r>
            <w:r w:rsidR="00284118">
              <w:rPr>
                <w:rFonts w:asciiTheme="minorHAnsi" w:eastAsiaTheme="minorEastAsia" w:hAnsiTheme="minorHAnsi"/>
                <w:b w:val="0"/>
                <w:color w:val="auto"/>
                <w:sz w:val="22"/>
                <w:lang w:eastAsia="en-AU"/>
              </w:rPr>
              <w:tab/>
            </w:r>
            <w:r w:rsidR="00284118" w:rsidRPr="000C1C17">
              <w:rPr>
                <w:rStyle w:val="Hyperlink"/>
              </w:rPr>
              <w:t>Prevailing estimates</w:t>
            </w:r>
            <w:r w:rsidR="00284118">
              <w:rPr>
                <w:webHidden/>
              </w:rPr>
              <w:tab/>
            </w:r>
            <w:r w:rsidR="00284118">
              <w:rPr>
                <w:webHidden/>
              </w:rPr>
              <w:fldChar w:fldCharType="begin"/>
            </w:r>
            <w:r w:rsidR="00284118">
              <w:rPr>
                <w:webHidden/>
              </w:rPr>
              <w:instrText xml:space="preserve"> PAGEREF _Toc481057477 \h </w:instrText>
            </w:r>
            <w:r w:rsidR="00284118">
              <w:rPr>
                <w:webHidden/>
              </w:rPr>
            </w:r>
            <w:r w:rsidR="00284118">
              <w:rPr>
                <w:webHidden/>
              </w:rPr>
              <w:fldChar w:fldCharType="separate"/>
            </w:r>
            <w:r w:rsidR="00A40DE9">
              <w:rPr>
                <w:webHidden/>
              </w:rPr>
              <w:t>3-222</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8" w:history="1">
            <w:r w:rsidR="00284118" w:rsidRPr="000C1C17">
              <w:rPr>
                <w:rStyle w:val="Hyperlink"/>
                <w14:scene3d>
                  <w14:camera w14:prst="orthographicFront"/>
                  <w14:lightRig w14:rig="threePt" w14:dir="t">
                    <w14:rot w14:lat="0" w14:lon="0" w14:rev="0"/>
                  </w14:lightRig>
                </w14:scene3d>
              </w:rPr>
              <w:t>D.2</w:t>
            </w:r>
            <w:r w:rsidR="00284118">
              <w:rPr>
                <w:rFonts w:asciiTheme="minorHAnsi" w:eastAsiaTheme="minorEastAsia" w:hAnsiTheme="minorHAnsi"/>
                <w:b w:val="0"/>
                <w:color w:val="auto"/>
                <w:sz w:val="22"/>
                <w:lang w:eastAsia="en-AU"/>
              </w:rPr>
              <w:tab/>
            </w:r>
            <w:r w:rsidR="00284118" w:rsidRPr="000C1C17">
              <w:rPr>
                <w:rStyle w:val="Hyperlink"/>
              </w:rPr>
              <w:t>Sensitivity analysis</w:t>
            </w:r>
            <w:r w:rsidR="00284118">
              <w:rPr>
                <w:webHidden/>
              </w:rPr>
              <w:tab/>
            </w:r>
            <w:r w:rsidR="00284118">
              <w:rPr>
                <w:webHidden/>
              </w:rPr>
              <w:fldChar w:fldCharType="begin"/>
            </w:r>
            <w:r w:rsidR="00284118">
              <w:rPr>
                <w:webHidden/>
              </w:rPr>
              <w:instrText xml:space="preserve"> PAGEREF _Toc481057478 \h </w:instrText>
            </w:r>
            <w:r w:rsidR="00284118">
              <w:rPr>
                <w:webHidden/>
              </w:rPr>
            </w:r>
            <w:r w:rsidR="00284118">
              <w:rPr>
                <w:webHidden/>
              </w:rPr>
              <w:fldChar w:fldCharType="separate"/>
            </w:r>
            <w:r w:rsidR="00A40DE9">
              <w:rPr>
                <w:webHidden/>
              </w:rPr>
              <w:t>3-223</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79" w:history="1">
            <w:r w:rsidR="00284118" w:rsidRPr="000C1C17">
              <w:rPr>
                <w:rStyle w:val="Hyperlink"/>
                <w14:scene3d>
                  <w14:camera w14:prst="orthographicFront"/>
                  <w14:lightRig w14:rig="threePt" w14:dir="t">
                    <w14:rot w14:lat="0" w14:lon="0" w14:rev="0"/>
                  </w14:lightRig>
                </w14:scene3d>
              </w:rPr>
              <w:t>D.3</w:t>
            </w:r>
            <w:r w:rsidR="00284118">
              <w:rPr>
                <w:rFonts w:asciiTheme="minorHAnsi" w:eastAsiaTheme="minorEastAsia" w:hAnsiTheme="minorHAnsi"/>
                <w:b w:val="0"/>
                <w:color w:val="auto"/>
                <w:sz w:val="22"/>
                <w:lang w:eastAsia="en-AU"/>
              </w:rPr>
              <w:tab/>
            </w:r>
            <w:r w:rsidR="00284118" w:rsidRPr="000C1C17">
              <w:rPr>
                <w:rStyle w:val="Hyperlink"/>
              </w:rPr>
              <w:t>Preferred construction of the dividend growth model</w:t>
            </w:r>
            <w:r w:rsidR="00284118">
              <w:rPr>
                <w:webHidden/>
              </w:rPr>
              <w:tab/>
            </w:r>
            <w:r w:rsidR="00284118">
              <w:rPr>
                <w:webHidden/>
              </w:rPr>
              <w:fldChar w:fldCharType="begin"/>
            </w:r>
            <w:r w:rsidR="00284118">
              <w:rPr>
                <w:webHidden/>
              </w:rPr>
              <w:instrText xml:space="preserve"> PAGEREF _Toc481057479 \h </w:instrText>
            </w:r>
            <w:r w:rsidR="00284118">
              <w:rPr>
                <w:webHidden/>
              </w:rPr>
            </w:r>
            <w:r w:rsidR="00284118">
              <w:rPr>
                <w:webHidden/>
              </w:rPr>
              <w:fldChar w:fldCharType="separate"/>
            </w:r>
            <w:r w:rsidR="00A40DE9">
              <w:rPr>
                <w:webHidden/>
              </w:rPr>
              <w:t>3-224</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0" w:history="1">
            <w:r w:rsidR="00284118" w:rsidRPr="000C1C17">
              <w:rPr>
                <w:rStyle w:val="Hyperlink"/>
                <w14:scene3d>
                  <w14:camera w14:prst="orthographicFront"/>
                  <w14:lightRig w14:rig="threePt" w14:dir="t">
                    <w14:rot w14:lat="0" w14:lon="0" w14:rev="0"/>
                  </w14:lightRig>
                </w14:scene3d>
              </w:rPr>
              <w:t>D.4</w:t>
            </w:r>
            <w:r w:rsidR="00284118">
              <w:rPr>
                <w:rFonts w:asciiTheme="minorHAnsi" w:eastAsiaTheme="minorEastAsia" w:hAnsiTheme="minorHAnsi"/>
                <w:b w:val="0"/>
                <w:color w:val="auto"/>
                <w:sz w:val="22"/>
                <w:lang w:eastAsia="en-AU"/>
              </w:rPr>
              <w:tab/>
            </w:r>
            <w:r w:rsidR="00284118" w:rsidRPr="000C1C17">
              <w:rPr>
                <w:rStyle w:val="Hyperlink"/>
              </w:rPr>
              <w:t>Sources of potential upward bias</w:t>
            </w:r>
            <w:r w:rsidR="00284118">
              <w:rPr>
                <w:webHidden/>
              </w:rPr>
              <w:tab/>
            </w:r>
            <w:r w:rsidR="00284118">
              <w:rPr>
                <w:webHidden/>
              </w:rPr>
              <w:fldChar w:fldCharType="begin"/>
            </w:r>
            <w:r w:rsidR="00284118">
              <w:rPr>
                <w:webHidden/>
              </w:rPr>
              <w:instrText xml:space="preserve"> PAGEREF _Toc481057480 \h </w:instrText>
            </w:r>
            <w:r w:rsidR="00284118">
              <w:rPr>
                <w:webHidden/>
              </w:rPr>
            </w:r>
            <w:r w:rsidR="00284118">
              <w:rPr>
                <w:webHidden/>
              </w:rPr>
              <w:fldChar w:fldCharType="separate"/>
            </w:r>
            <w:r w:rsidR="00A40DE9">
              <w:rPr>
                <w:webHidden/>
              </w:rPr>
              <w:t>3-226</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81" w:history="1">
            <w:r w:rsidR="00284118" w:rsidRPr="000C1C17">
              <w:rPr>
                <w:rStyle w:val="Hyperlink"/>
              </w:rPr>
              <w:t>E</w:t>
            </w:r>
            <w:r w:rsidR="00284118">
              <w:rPr>
                <w:rFonts w:asciiTheme="minorHAnsi" w:eastAsiaTheme="minorEastAsia" w:hAnsiTheme="minorHAnsi"/>
                <w:b w:val="0"/>
                <w:color w:val="auto"/>
                <w:sz w:val="22"/>
                <w:lang w:val="en-AU" w:eastAsia="en-AU"/>
              </w:rPr>
              <w:tab/>
            </w:r>
            <w:r w:rsidR="00284118" w:rsidRPr="000C1C17">
              <w:rPr>
                <w:rStyle w:val="Hyperlink"/>
              </w:rPr>
              <w:t>Return on equity conditioning variables</w:t>
            </w:r>
            <w:r w:rsidR="00284118">
              <w:rPr>
                <w:webHidden/>
              </w:rPr>
              <w:tab/>
            </w:r>
            <w:r w:rsidR="00284118">
              <w:rPr>
                <w:webHidden/>
              </w:rPr>
              <w:fldChar w:fldCharType="begin"/>
            </w:r>
            <w:r w:rsidR="00284118">
              <w:rPr>
                <w:webHidden/>
              </w:rPr>
              <w:instrText xml:space="preserve"> PAGEREF _Toc481057481 \h </w:instrText>
            </w:r>
            <w:r w:rsidR="00284118">
              <w:rPr>
                <w:webHidden/>
              </w:rPr>
            </w:r>
            <w:r w:rsidR="00284118">
              <w:rPr>
                <w:webHidden/>
              </w:rPr>
              <w:fldChar w:fldCharType="separate"/>
            </w:r>
            <w:r w:rsidR="00A40DE9">
              <w:rPr>
                <w:webHidden/>
              </w:rPr>
              <w:t>3-231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2" w:history="1">
            <w:r w:rsidR="00284118" w:rsidRPr="000C1C17">
              <w:rPr>
                <w:rStyle w:val="Hyperlink"/>
                <w14:scene3d>
                  <w14:camera w14:prst="orthographicFront"/>
                  <w14:lightRig w14:rig="threePt" w14:dir="t">
                    <w14:rot w14:lat="0" w14:lon="0" w14:rev="0"/>
                  </w14:lightRig>
                </w14:scene3d>
              </w:rPr>
              <w:t>E.1</w:t>
            </w:r>
            <w:r w:rsidR="00284118">
              <w:rPr>
                <w:rFonts w:asciiTheme="minorHAnsi" w:eastAsiaTheme="minorEastAsia" w:hAnsiTheme="minorHAnsi"/>
                <w:b w:val="0"/>
                <w:color w:val="auto"/>
                <w:sz w:val="22"/>
                <w:lang w:eastAsia="en-AU"/>
              </w:rPr>
              <w:tab/>
            </w:r>
            <w:r w:rsidR="00284118" w:rsidRPr="000C1C17">
              <w:rPr>
                <w:rStyle w:val="Hyperlink"/>
              </w:rPr>
              <w:t>Implied volatility</w:t>
            </w:r>
            <w:r w:rsidR="00284118">
              <w:rPr>
                <w:webHidden/>
              </w:rPr>
              <w:tab/>
            </w:r>
            <w:r w:rsidR="00284118">
              <w:rPr>
                <w:webHidden/>
              </w:rPr>
              <w:fldChar w:fldCharType="begin"/>
            </w:r>
            <w:r w:rsidR="00284118">
              <w:rPr>
                <w:webHidden/>
              </w:rPr>
              <w:instrText xml:space="preserve"> PAGEREF _Toc481057482 \h </w:instrText>
            </w:r>
            <w:r w:rsidR="00284118">
              <w:rPr>
                <w:webHidden/>
              </w:rPr>
            </w:r>
            <w:r w:rsidR="00284118">
              <w:rPr>
                <w:webHidden/>
              </w:rPr>
              <w:fldChar w:fldCharType="separate"/>
            </w:r>
            <w:r w:rsidR="00A40DE9">
              <w:rPr>
                <w:webHidden/>
              </w:rPr>
              <w:t>3-232</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3" w:history="1">
            <w:r w:rsidR="00284118" w:rsidRPr="000C1C17">
              <w:rPr>
                <w:rStyle w:val="Hyperlink"/>
                <w14:scene3d>
                  <w14:camera w14:prst="orthographicFront"/>
                  <w14:lightRig w14:rig="threePt" w14:dir="t">
                    <w14:rot w14:lat="0" w14:lon="0" w14:rev="0"/>
                  </w14:lightRig>
                </w14:scene3d>
              </w:rPr>
              <w:t>E.2</w:t>
            </w:r>
            <w:r w:rsidR="00284118">
              <w:rPr>
                <w:rFonts w:asciiTheme="minorHAnsi" w:eastAsiaTheme="minorEastAsia" w:hAnsiTheme="minorHAnsi"/>
                <w:b w:val="0"/>
                <w:color w:val="auto"/>
                <w:sz w:val="22"/>
                <w:lang w:eastAsia="en-AU"/>
              </w:rPr>
              <w:tab/>
            </w:r>
            <w:r w:rsidR="00284118" w:rsidRPr="000C1C17">
              <w:rPr>
                <w:rStyle w:val="Hyperlink"/>
              </w:rPr>
              <w:t>Dividend yields</w:t>
            </w:r>
            <w:r w:rsidR="00284118">
              <w:rPr>
                <w:webHidden/>
              </w:rPr>
              <w:tab/>
            </w:r>
            <w:r w:rsidR="00284118">
              <w:rPr>
                <w:webHidden/>
              </w:rPr>
              <w:fldChar w:fldCharType="begin"/>
            </w:r>
            <w:r w:rsidR="00284118">
              <w:rPr>
                <w:webHidden/>
              </w:rPr>
              <w:instrText xml:space="preserve"> PAGEREF _Toc481057483 \h </w:instrText>
            </w:r>
            <w:r w:rsidR="00284118">
              <w:rPr>
                <w:webHidden/>
              </w:rPr>
            </w:r>
            <w:r w:rsidR="00284118">
              <w:rPr>
                <w:webHidden/>
              </w:rPr>
              <w:fldChar w:fldCharType="separate"/>
            </w:r>
            <w:r w:rsidR="00A40DE9">
              <w:rPr>
                <w:webHidden/>
              </w:rPr>
              <w:t>3-233</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4" w:history="1">
            <w:r w:rsidR="00284118" w:rsidRPr="000C1C17">
              <w:rPr>
                <w:rStyle w:val="Hyperlink"/>
                <w14:scene3d>
                  <w14:camera w14:prst="orthographicFront"/>
                  <w14:lightRig w14:rig="threePt" w14:dir="t">
                    <w14:rot w14:lat="0" w14:lon="0" w14:rev="0"/>
                  </w14:lightRig>
                </w14:scene3d>
              </w:rPr>
              <w:t>E.3</w:t>
            </w:r>
            <w:r w:rsidR="00284118">
              <w:rPr>
                <w:rFonts w:asciiTheme="minorHAnsi" w:eastAsiaTheme="minorEastAsia" w:hAnsiTheme="minorHAnsi"/>
                <w:b w:val="0"/>
                <w:color w:val="auto"/>
                <w:sz w:val="22"/>
                <w:lang w:eastAsia="en-AU"/>
              </w:rPr>
              <w:tab/>
            </w:r>
            <w:r w:rsidR="00284118" w:rsidRPr="000C1C17">
              <w:rPr>
                <w:rStyle w:val="Hyperlink"/>
              </w:rPr>
              <w:t>Yield spreads</w:t>
            </w:r>
            <w:r w:rsidR="00284118">
              <w:rPr>
                <w:webHidden/>
              </w:rPr>
              <w:tab/>
            </w:r>
            <w:r w:rsidR="00284118">
              <w:rPr>
                <w:webHidden/>
              </w:rPr>
              <w:fldChar w:fldCharType="begin"/>
            </w:r>
            <w:r w:rsidR="00284118">
              <w:rPr>
                <w:webHidden/>
              </w:rPr>
              <w:instrText xml:space="preserve"> PAGEREF _Toc481057484 \h </w:instrText>
            </w:r>
            <w:r w:rsidR="00284118">
              <w:rPr>
                <w:webHidden/>
              </w:rPr>
            </w:r>
            <w:r w:rsidR="00284118">
              <w:rPr>
                <w:webHidden/>
              </w:rPr>
              <w:fldChar w:fldCharType="separate"/>
            </w:r>
            <w:r w:rsidR="00A40DE9">
              <w:rPr>
                <w:webHidden/>
              </w:rPr>
              <w:t>3-234</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85" w:history="1">
            <w:r w:rsidR="00284118" w:rsidRPr="000C1C17">
              <w:rPr>
                <w:rStyle w:val="Hyperlink"/>
              </w:rPr>
              <w:t>F</w:t>
            </w:r>
            <w:r w:rsidR="00284118">
              <w:rPr>
                <w:rFonts w:asciiTheme="minorHAnsi" w:eastAsiaTheme="minorEastAsia" w:hAnsiTheme="minorHAnsi"/>
                <w:b w:val="0"/>
                <w:color w:val="auto"/>
                <w:sz w:val="22"/>
                <w:lang w:val="en-AU" w:eastAsia="en-AU"/>
              </w:rPr>
              <w:tab/>
            </w:r>
            <w:r w:rsidR="00284118" w:rsidRPr="000C1C17">
              <w:rPr>
                <w:rStyle w:val="Hyperlink"/>
              </w:rPr>
              <w:t>Other practitioner's return on equity estimates</w:t>
            </w:r>
            <w:r w:rsidR="00284118">
              <w:rPr>
                <w:webHidden/>
              </w:rPr>
              <w:tab/>
            </w:r>
            <w:r w:rsidR="00284118">
              <w:rPr>
                <w:webHidden/>
              </w:rPr>
              <w:fldChar w:fldCharType="begin"/>
            </w:r>
            <w:r w:rsidR="00284118">
              <w:rPr>
                <w:webHidden/>
              </w:rPr>
              <w:instrText xml:space="preserve"> PAGEREF _Toc481057485 \h </w:instrText>
            </w:r>
            <w:r w:rsidR="00284118">
              <w:rPr>
                <w:webHidden/>
              </w:rPr>
            </w:r>
            <w:r w:rsidR="00284118">
              <w:rPr>
                <w:webHidden/>
              </w:rPr>
              <w:fldChar w:fldCharType="separate"/>
            </w:r>
            <w:r w:rsidR="00A40DE9">
              <w:rPr>
                <w:webHidden/>
              </w:rPr>
              <w:t>3-240</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6" w:history="1">
            <w:r w:rsidR="00284118" w:rsidRPr="000C1C17">
              <w:rPr>
                <w:rStyle w:val="Hyperlink"/>
                <w14:scene3d>
                  <w14:camera w14:prst="orthographicFront"/>
                  <w14:lightRig w14:rig="threePt" w14:dir="t">
                    <w14:rot w14:lat="0" w14:lon="0" w14:rev="0"/>
                  </w14:lightRig>
                </w14:scene3d>
              </w:rPr>
              <w:t>F.1</w:t>
            </w:r>
            <w:r w:rsidR="00284118">
              <w:rPr>
                <w:rFonts w:asciiTheme="minorHAnsi" w:eastAsiaTheme="minorEastAsia" w:hAnsiTheme="minorHAnsi"/>
                <w:b w:val="0"/>
                <w:color w:val="auto"/>
                <w:sz w:val="22"/>
                <w:lang w:eastAsia="en-AU"/>
              </w:rPr>
              <w:tab/>
            </w:r>
            <w:r w:rsidR="00284118" w:rsidRPr="000C1C17">
              <w:rPr>
                <w:rStyle w:val="Hyperlink"/>
              </w:rPr>
              <w:t>Prevailing estimates: surveys</w:t>
            </w:r>
            <w:r w:rsidR="00284118">
              <w:rPr>
                <w:webHidden/>
              </w:rPr>
              <w:tab/>
            </w:r>
            <w:r w:rsidR="00284118">
              <w:rPr>
                <w:webHidden/>
              </w:rPr>
              <w:fldChar w:fldCharType="begin"/>
            </w:r>
            <w:r w:rsidR="00284118">
              <w:rPr>
                <w:webHidden/>
              </w:rPr>
              <w:instrText xml:space="preserve"> PAGEREF _Toc481057486 \h </w:instrText>
            </w:r>
            <w:r w:rsidR="00284118">
              <w:rPr>
                <w:webHidden/>
              </w:rPr>
            </w:r>
            <w:r w:rsidR="00284118">
              <w:rPr>
                <w:webHidden/>
              </w:rPr>
              <w:fldChar w:fldCharType="separate"/>
            </w:r>
            <w:r w:rsidR="00A40DE9">
              <w:rPr>
                <w:webHidden/>
              </w:rPr>
              <w:t>3-241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7" w:history="1">
            <w:r w:rsidR="00284118" w:rsidRPr="000C1C17">
              <w:rPr>
                <w:rStyle w:val="Hyperlink"/>
                <w14:scene3d>
                  <w14:camera w14:prst="orthographicFront"/>
                  <w14:lightRig w14:rig="threePt" w14:dir="t">
                    <w14:rot w14:lat="0" w14:lon="0" w14:rev="0"/>
                  </w14:lightRig>
                </w14:scene3d>
              </w:rPr>
              <w:t>F.2</w:t>
            </w:r>
            <w:r w:rsidR="00284118">
              <w:rPr>
                <w:rFonts w:asciiTheme="minorHAnsi" w:eastAsiaTheme="minorEastAsia" w:hAnsiTheme="minorHAnsi"/>
                <w:b w:val="0"/>
                <w:color w:val="auto"/>
                <w:sz w:val="22"/>
                <w:lang w:eastAsia="en-AU"/>
              </w:rPr>
              <w:tab/>
            </w:r>
            <w:r w:rsidR="00284118" w:rsidRPr="000C1C17">
              <w:rPr>
                <w:rStyle w:val="Hyperlink"/>
              </w:rPr>
              <w:t>Prevailing estimates: broker reports</w:t>
            </w:r>
            <w:r w:rsidR="00284118">
              <w:rPr>
                <w:webHidden/>
              </w:rPr>
              <w:tab/>
            </w:r>
            <w:r w:rsidR="00284118">
              <w:rPr>
                <w:webHidden/>
              </w:rPr>
              <w:fldChar w:fldCharType="begin"/>
            </w:r>
            <w:r w:rsidR="00284118">
              <w:rPr>
                <w:webHidden/>
              </w:rPr>
              <w:instrText xml:space="preserve"> PAGEREF _Toc481057487 \h </w:instrText>
            </w:r>
            <w:r w:rsidR="00284118">
              <w:rPr>
                <w:webHidden/>
              </w:rPr>
            </w:r>
            <w:r w:rsidR="00284118">
              <w:rPr>
                <w:webHidden/>
              </w:rPr>
              <w:fldChar w:fldCharType="separate"/>
            </w:r>
            <w:r w:rsidR="00A40DE9">
              <w:rPr>
                <w:webHidden/>
              </w:rPr>
              <w:t>3-243</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8" w:history="1">
            <w:r w:rsidR="00284118" w:rsidRPr="000C1C17">
              <w:rPr>
                <w:rStyle w:val="Hyperlink"/>
                <w14:scene3d>
                  <w14:camera w14:prst="orthographicFront"/>
                  <w14:lightRig w14:rig="threePt" w14:dir="t">
                    <w14:rot w14:lat="0" w14:lon="0" w14:rev="0"/>
                  </w14:lightRig>
                </w14:scene3d>
              </w:rPr>
              <w:t>F.3</w:t>
            </w:r>
            <w:r w:rsidR="00284118">
              <w:rPr>
                <w:rFonts w:asciiTheme="minorHAnsi" w:eastAsiaTheme="minorEastAsia" w:hAnsiTheme="minorHAnsi"/>
                <w:b w:val="0"/>
                <w:color w:val="auto"/>
                <w:sz w:val="22"/>
                <w:lang w:eastAsia="en-AU"/>
              </w:rPr>
              <w:tab/>
            </w:r>
            <w:r w:rsidR="00284118" w:rsidRPr="000C1C17">
              <w:rPr>
                <w:rStyle w:val="Hyperlink"/>
              </w:rPr>
              <w:t>Prevailing estimates: valuation reports</w:t>
            </w:r>
            <w:r w:rsidR="00284118">
              <w:rPr>
                <w:webHidden/>
              </w:rPr>
              <w:tab/>
            </w:r>
            <w:r w:rsidR="00284118">
              <w:rPr>
                <w:webHidden/>
              </w:rPr>
              <w:fldChar w:fldCharType="begin"/>
            </w:r>
            <w:r w:rsidR="00284118">
              <w:rPr>
                <w:webHidden/>
              </w:rPr>
              <w:instrText xml:space="preserve"> PAGEREF _Toc481057488 \h </w:instrText>
            </w:r>
            <w:r w:rsidR="00284118">
              <w:rPr>
                <w:webHidden/>
              </w:rPr>
            </w:r>
            <w:r w:rsidR="00284118">
              <w:rPr>
                <w:webHidden/>
              </w:rPr>
              <w:fldChar w:fldCharType="separate"/>
            </w:r>
            <w:r w:rsidR="00A40DE9">
              <w:rPr>
                <w:webHidden/>
              </w:rPr>
              <w:t>3-244</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89" w:history="1">
            <w:r w:rsidR="00284118" w:rsidRPr="000C1C17">
              <w:rPr>
                <w:rStyle w:val="Hyperlink"/>
                <w14:scene3d>
                  <w14:camera w14:prst="orthographicFront"/>
                  <w14:lightRig w14:rig="threePt" w14:dir="t">
                    <w14:rot w14:lat="0" w14:lon="0" w14:rev="0"/>
                  </w14:lightRig>
                </w14:scene3d>
              </w:rPr>
              <w:t>F.4</w:t>
            </w:r>
            <w:r w:rsidR="00284118">
              <w:rPr>
                <w:rFonts w:asciiTheme="minorHAnsi" w:eastAsiaTheme="minorEastAsia" w:hAnsiTheme="minorHAnsi"/>
                <w:b w:val="0"/>
                <w:color w:val="auto"/>
                <w:sz w:val="22"/>
                <w:lang w:eastAsia="en-AU"/>
              </w:rPr>
              <w:tab/>
            </w:r>
            <w:r w:rsidR="00284118" w:rsidRPr="000C1C17">
              <w:rPr>
                <w:rStyle w:val="Hyperlink"/>
              </w:rPr>
              <w:t>Prevailing estimates: other regulators</w:t>
            </w:r>
            <w:r w:rsidR="00284118">
              <w:rPr>
                <w:webHidden/>
              </w:rPr>
              <w:tab/>
            </w:r>
            <w:r w:rsidR="00284118">
              <w:rPr>
                <w:webHidden/>
              </w:rPr>
              <w:fldChar w:fldCharType="begin"/>
            </w:r>
            <w:r w:rsidR="00284118">
              <w:rPr>
                <w:webHidden/>
              </w:rPr>
              <w:instrText xml:space="preserve"> PAGEREF _Toc481057489 \h </w:instrText>
            </w:r>
            <w:r w:rsidR="00284118">
              <w:rPr>
                <w:webHidden/>
              </w:rPr>
            </w:r>
            <w:r w:rsidR="00284118">
              <w:rPr>
                <w:webHidden/>
              </w:rPr>
              <w:fldChar w:fldCharType="separate"/>
            </w:r>
            <w:r w:rsidR="00A40DE9">
              <w:rPr>
                <w:webHidden/>
              </w:rPr>
              <w:t>3-247</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0" w:history="1">
            <w:r w:rsidR="00284118" w:rsidRPr="000C1C17">
              <w:rPr>
                <w:rStyle w:val="Hyperlink"/>
                <w14:scene3d>
                  <w14:camera w14:prst="orthographicFront"/>
                  <w14:lightRig w14:rig="threePt" w14:dir="t">
                    <w14:rot w14:lat="0" w14:lon="0" w14:rev="0"/>
                  </w14:lightRig>
                </w14:scene3d>
              </w:rPr>
              <w:t>F.5</w:t>
            </w:r>
            <w:r w:rsidR="00284118">
              <w:rPr>
                <w:rFonts w:asciiTheme="minorHAnsi" w:eastAsiaTheme="minorEastAsia" w:hAnsiTheme="minorHAnsi"/>
                <w:b w:val="0"/>
                <w:color w:val="auto"/>
                <w:sz w:val="22"/>
                <w:lang w:eastAsia="en-AU"/>
              </w:rPr>
              <w:tab/>
            </w:r>
            <w:r w:rsidR="00284118" w:rsidRPr="000C1C17">
              <w:rPr>
                <w:rStyle w:val="Hyperlink"/>
              </w:rPr>
              <w:t>Relationship between risk free rate and market risk premium in valuation reports</w:t>
            </w:r>
            <w:r w:rsidR="00284118">
              <w:rPr>
                <w:webHidden/>
              </w:rPr>
              <w:tab/>
            </w:r>
            <w:r w:rsidR="00284118">
              <w:rPr>
                <w:webHidden/>
              </w:rPr>
              <w:fldChar w:fldCharType="begin"/>
            </w:r>
            <w:r w:rsidR="00284118">
              <w:rPr>
                <w:webHidden/>
              </w:rPr>
              <w:instrText xml:space="preserve"> PAGEREF _Toc481057490 \h </w:instrText>
            </w:r>
            <w:r w:rsidR="00284118">
              <w:rPr>
                <w:webHidden/>
              </w:rPr>
            </w:r>
            <w:r w:rsidR="00284118">
              <w:rPr>
                <w:webHidden/>
              </w:rPr>
              <w:fldChar w:fldCharType="separate"/>
            </w:r>
            <w:r w:rsidR="00A40DE9">
              <w:rPr>
                <w:webHidden/>
              </w:rPr>
              <w:t>3-250</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91" w:history="1">
            <w:r w:rsidR="00284118" w:rsidRPr="000C1C17">
              <w:rPr>
                <w:rStyle w:val="Hyperlink"/>
              </w:rPr>
              <w:t>G</w:t>
            </w:r>
            <w:r w:rsidR="00284118">
              <w:rPr>
                <w:rFonts w:asciiTheme="minorHAnsi" w:eastAsiaTheme="minorEastAsia" w:hAnsiTheme="minorHAnsi"/>
                <w:b w:val="0"/>
                <w:color w:val="auto"/>
                <w:sz w:val="22"/>
                <w:lang w:val="en-AU" w:eastAsia="en-AU"/>
              </w:rPr>
              <w:tab/>
            </w:r>
            <w:r w:rsidR="00284118" w:rsidRPr="000C1C17">
              <w:rPr>
                <w:rStyle w:val="Hyperlink"/>
              </w:rPr>
              <w:t>Empirical estimates of equity beta</w:t>
            </w:r>
            <w:r w:rsidR="00284118">
              <w:rPr>
                <w:webHidden/>
              </w:rPr>
              <w:tab/>
            </w:r>
            <w:r w:rsidR="00284118">
              <w:rPr>
                <w:webHidden/>
              </w:rPr>
              <w:fldChar w:fldCharType="begin"/>
            </w:r>
            <w:r w:rsidR="00284118">
              <w:rPr>
                <w:webHidden/>
              </w:rPr>
              <w:instrText xml:space="preserve"> PAGEREF _Toc481057491 \h </w:instrText>
            </w:r>
            <w:r w:rsidR="00284118">
              <w:rPr>
                <w:webHidden/>
              </w:rPr>
            </w:r>
            <w:r w:rsidR="00284118">
              <w:rPr>
                <w:webHidden/>
              </w:rPr>
              <w:fldChar w:fldCharType="separate"/>
            </w:r>
            <w:r w:rsidR="00A40DE9">
              <w:rPr>
                <w:webHidden/>
              </w:rPr>
              <w:t>3-251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2" w:history="1">
            <w:r w:rsidR="00284118" w:rsidRPr="000C1C17">
              <w:rPr>
                <w:rStyle w:val="Hyperlink"/>
                <w14:scene3d>
                  <w14:camera w14:prst="orthographicFront"/>
                  <w14:lightRig w14:rig="threePt" w14:dir="t">
                    <w14:rot w14:lat="0" w14:lon="0" w14:rev="0"/>
                  </w14:lightRig>
                </w14:scene3d>
              </w:rPr>
              <w:t>G.1</w:t>
            </w:r>
            <w:r w:rsidR="00284118">
              <w:rPr>
                <w:rFonts w:asciiTheme="minorHAnsi" w:eastAsiaTheme="minorEastAsia" w:hAnsiTheme="minorHAnsi"/>
                <w:b w:val="0"/>
                <w:color w:val="auto"/>
                <w:sz w:val="22"/>
                <w:lang w:eastAsia="en-AU"/>
              </w:rPr>
              <w:tab/>
            </w:r>
            <w:r w:rsidR="00284118" w:rsidRPr="000C1C17">
              <w:rPr>
                <w:rStyle w:val="Hyperlink"/>
              </w:rPr>
              <w:t>Australian empirical estimates from Henry's 2014 report</w:t>
            </w:r>
            <w:r w:rsidR="00284118">
              <w:rPr>
                <w:webHidden/>
              </w:rPr>
              <w:tab/>
            </w:r>
            <w:r w:rsidR="00284118">
              <w:rPr>
                <w:webHidden/>
              </w:rPr>
              <w:fldChar w:fldCharType="begin"/>
            </w:r>
            <w:r w:rsidR="00284118">
              <w:rPr>
                <w:webHidden/>
              </w:rPr>
              <w:instrText xml:space="preserve"> PAGEREF _Toc481057492 \h </w:instrText>
            </w:r>
            <w:r w:rsidR="00284118">
              <w:rPr>
                <w:webHidden/>
              </w:rPr>
            </w:r>
            <w:r w:rsidR="00284118">
              <w:rPr>
                <w:webHidden/>
              </w:rPr>
              <w:fldChar w:fldCharType="separate"/>
            </w:r>
            <w:r w:rsidR="00A40DE9">
              <w:rPr>
                <w:webHidden/>
              </w:rPr>
              <w:t>3-251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3" w:history="1">
            <w:r w:rsidR="00284118" w:rsidRPr="000C1C17">
              <w:rPr>
                <w:rStyle w:val="Hyperlink"/>
                <w14:scene3d>
                  <w14:camera w14:prst="orthographicFront"/>
                  <w14:lightRig w14:rig="threePt" w14:dir="t">
                    <w14:rot w14:lat="0" w14:lon="0" w14:rev="0"/>
                  </w14:lightRig>
                </w14:scene3d>
              </w:rPr>
              <w:t>G.2</w:t>
            </w:r>
            <w:r w:rsidR="00284118">
              <w:rPr>
                <w:rFonts w:asciiTheme="minorHAnsi" w:eastAsiaTheme="minorEastAsia" w:hAnsiTheme="minorHAnsi"/>
                <w:b w:val="0"/>
                <w:color w:val="auto"/>
                <w:sz w:val="22"/>
                <w:lang w:eastAsia="en-AU"/>
              </w:rPr>
              <w:tab/>
            </w:r>
            <w:r w:rsidR="00284118" w:rsidRPr="000C1C17">
              <w:rPr>
                <w:rStyle w:val="Hyperlink"/>
              </w:rPr>
              <w:t>Australian empirical estimates from other studies</w:t>
            </w:r>
            <w:r w:rsidR="00284118">
              <w:rPr>
                <w:webHidden/>
              </w:rPr>
              <w:tab/>
            </w:r>
            <w:r w:rsidR="00284118">
              <w:rPr>
                <w:webHidden/>
              </w:rPr>
              <w:fldChar w:fldCharType="begin"/>
            </w:r>
            <w:r w:rsidR="00284118">
              <w:rPr>
                <w:webHidden/>
              </w:rPr>
              <w:instrText xml:space="preserve"> PAGEREF _Toc481057493 \h </w:instrText>
            </w:r>
            <w:r w:rsidR="00284118">
              <w:rPr>
                <w:webHidden/>
              </w:rPr>
            </w:r>
            <w:r w:rsidR="00284118">
              <w:rPr>
                <w:webHidden/>
              </w:rPr>
              <w:fldChar w:fldCharType="separate"/>
            </w:r>
            <w:r w:rsidR="00A40DE9">
              <w:rPr>
                <w:webHidden/>
              </w:rPr>
              <w:t>3-255</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4" w:history="1">
            <w:r w:rsidR="00284118" w:rsidRPr="000C1C17">
              <w:rPr>
                <w:rStyle w:val="Hyperlink"/>
                <w14:scene3d>
                  <w14:camera w14:prst="orthographicFront"/>
                  <w14:lightRig w14:rig="threePt" w14:dir="t">
                    <w14:rot w14:lat="0" w14:lon="0" w14:rev="0"/>
                  </w14:lightRig>
                </w14:scene3d>
              </w:rPr>
              <w:t>G.3</w:t>
            </w:r>
            <w:r w:rsidR="00284118">
              <w:rPr>
                <w:rFonts w:asciiTheme="minorHAnsi" w:eastAsiaTheme="minorEastAsia" w:hAnsiTheme="minorHAnsi"/>
                <w:b w:val="0"/>
                <w:color w:val="auto"/>
                <w:sz w:val="22"/>
                <w:lang w:eastAsia="en-AU"/>
              </w:rPr>
              <w:tab/>
            </w:r>
            <w:r w:rsidR="00284118" w:rsidRPr="000C1C17">
              <w:rPr>
                <w:rStyle w:val="Hyperlink"/>
              </w:rPr>
              <w:t>International empirical estimates</w:t>
            </w:r>
            <w:r w:rsidR="00284118">
              <w:rPr>
                <w:webHidden/>
              </w:rPr>
              <w:tab/>
            </w:r>
            <w:r w:rsidR="00284118">
              <w:rPr>
                <w:webHidden/>
              </w:rPr>
              <w:fldChar w:fldCharType="begin"/>
            </w:r>
            <w:r w:rsidR="00284118">
              <w:rPr>
                <w:webHidden/>
              </w:rPr>
              <w:instrText xml:space="preserve"> PAGEREF _Toc481057494 \h </w:instrText>
            </w:r>
            <w:r w:rsidR="00284118">
              <w:rPr>
                <w:webHidden/>
              </w:rPr>
            </w:r>
            <w:r w:rsidR="00284118">
              <w:rPr>
                <w:webHidden/>
              </w:rPr>
              <w:fldChar w:fldCharType="separate"/>
            </w:r>
            <w:r w:rsidR="00A40DE9">
              <w:rPr>
                <w:webHidden/>
              </w:rPr>
              <w:t>3-260</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5" w:history="1">
            <w:r w:rsidR="00284118" w:rsidRPr="000C1C17">
              <w:rPr>
                <w:rStyle w:val="Hyperlink"/>
                <w14:scene3d>
                  <w14:camera w14:prst="orthographicFront"/>
                  <w14:lightRig w14:rig="threePt" w14:dir="t">
                    <w14:rot w14:lat="0" w14:lon="0" w14:rev="0"/>
                  </w14:lightRig>
                </w14:scene3d>
              </w:rPr>
              <w:t>G.4</w:t>
            </w:r>
            <w:r w:rsidR="00284118">
              <w:rPr>
                <w:rFonts w:asciiTheme="minorHAnsi" w:eastAsiaTheme="minorEastAsia" w:hAnsiTheme="minorHAnsi"/>
                <w:b w:val="0"/>
                <w:color w:val="auto"/>
                <w:sz w:val="22"/>
                <w:lang w:eastAsia="en-AU"/>
              </w:rPr>
              <w:tab/>
            </w:r>
            <w:r w:rsidR="00284118" w:rsidRPr="000C1C17">
              <w:rPr>
                <w:rStyle w:val="Hyperlink"/>
              </w:rPr>
              <w:t>Choice of comparator set</w:t>
            </w:r>
            <w:r w:rsidR="00284118">
              <w:rPr>
                <w:webHidden/>
              </w:rPr>
              <w:tab/>
            </w:r>
            <w:r w:rsidR="00284118">
              <w:rPr>
                <w:webHidden/>
              </w:rPr>
              <w:fldChar w:fldCharType="begin"/>
            </w:r>
            <w:r w:rsidR="00284118">
              <w:rPr>
                <w:webHidden/>
              </w:rPr>
              <w:instrText xml:space="preserve"> PAGEREF _Toc481057495 \h </w:instrText>
            </w:r>
            <w:r w:rsidR="00284118">
              <w:rPr>
                <w:webHidden/>
              </w:rPr>
            </w:r>
            <w:r w:rsidR="00284118">
              <w:rPr>
                <w:webHidden/>
              </w:rPr>
              <w:fldChar w:fldCharType="separate"/>
            </w:r>
            <w:r w:rsidR="00A40DE9">
              <w:rPr>
                <w:webHidden/>
              </w:rPr>
              <w:t>3-262</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496" w:history="1">
            <w:r w:rsidR="00284118" w:rsidRPr="000C1C17">
              <w:rPr>
                <w:rStyle w:val="Hyperlink"/>
              </w:rPr>
              <w:t>H</w:t>
            </w:r>
            <w:r w:rsidR="00284118">
              <w:rPr>
                <w:rFonts w:asciiTheme="minorHAnsi" w:eastAsiaTheme="minorEastAsia" w:hAnsiTheme="minorHAnsi"/>
                <w:b w:val="0"/>
                <w:color w:val="auto"/>
                <w:sz w:val="22"/>
                <w:lang w:val="en-AU" w:eastAsia="en-AU"/>
              </w:rPr>
              <w:tab/>
            </w:r>
            <w:r w:rsidR="00284118" w:rsidRPr="000C1C17">
              <w:rPr>
                <w:rStyle w:val="Hyperlink"/>
              </w:rPr>
              <w:t>Return on debt approach</w:t>
            </w:r>
            <w:r w:rsidR="00284118">
              <w:rPr>
                <w:webHidden/>
              </w:rPr>
              <w:tab/>
            </w:r>
            <w:r w:rsidR="00284118">
              <w:rPr>
                <w:webHidden/>
              </w:rPr>
              <w:fldChar w:fldCharType="begin"/>
            </w:r>
            <w:r w:rsidR="00284118">
              <w:rPr>
                <w:webHidden/>
              </w:rPr>
              <w:instrText xml:space="preserve"> PAGEREF _Toc481057496 \h </w:instrText>
            </w:r>
            <w:r w:rsidR="00284118">
              <w:rPr>
                <w:webHidden/>
              </w:rPr>
            </w:r>
            <w:r w:rsidR="00284118">
              <w:rPr>
                <w:webHidden/>
              </w:rPr>
              <w:fldChar w:fldCharType="separate"/>
            </w:r>
            <w:r w:rsidR="00A40DE9">
              <w:rPr>
                <w:webHidden/>
              </w:rPr>
              <w:t>3-275</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7" w:history="1">
            <w:r w:rsidR="00284118" w:rsidRPr="000C1C17">
              <w:rPr>
                <w:rStyle w:val="Hyperlink"/>
                <w14:scene3d>
                  <w14:camera w14:prst="orthographicFront"/>
                  <w14:lightRig w14:rig="threePt" w14:dir="t">
                    <w14:rot w14:lat="0" w14:lon="0" w14:rev="0"/>
                  </w14:lightRig>
                </w14:scene3d>
              </w:rPr>
              <w:t>H.1</w:t>
            </w:r>
            <w:r w:rsidR="00284118">
              <w:rPr>
                <w:rFonts w:asciiTheme="minorHAnsi" w:eastAsiaTheme="minorEastAsia" w:hAnsiTheme="minorHAnsi"/>
                <w:b w:val="0"/>
                <w:color w:val="auto"/>
                <w:sz w:val="22"/>
                <w:lang w:eastAsia="en-AU"/>
              </w:rPr>
              <w:tab/>
            </w:r>
            <w:r w:rsidR="00284118" w:rsidRPr="000C1C17">
              <w:rPr>
                <w:rStyle w:val="Hyperlink"/>
              </w:rPr>
              <w:t>Interpretation of the ARORO</w:t>
            </w:r>
            <w:r w:rsidR="00284118">
              <w:rPr>
                <w:webHidden/>
              </w:rPr>
              <w:tab/>
            </w:r>
            <w:r w:rsidR="00284118">
              <w:rPr>
                <w:webHidden/>
              </w:rPr>
              <w:fldChar w:fldCharType="begin"/>
            </w:r>
            <w:r w:rsidR="00284118">
              <w:rPr>
                <w:webHidden/>
              </w:rPr>
              <w:instrText xml:space="preserve"> PAGEREF _Toc481057497 \h </w:instrText>
            </w:r>
            <w:r w:rsidR="00284118">
              <w:rPr>
                <w:webHidden/>
              </w:rPr>
            </w:r>
            <w:r w:rsidR="00284118">
              <w:rPr>
                <w:webHidden/>
              </w:rPr>
              <w:fldChar w:fldCharType="separate"/>
            </w:r>
            <w:r w:rsidR="00A40DE9">
              <w:rPr>
                <w:webHidden/>
              </w:rPr>
              <w:t>3-276</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8" w:history="1">
            <w:r w:rsidR="00284118" w:rsidRPr="000C1C17">
              <w:rPr>
                <w:rStyle w:val="Hyperlink"/>
                <w14:scene3d>
                  <w14:camera w14:prst="orthographicFront"/>
                  <w14:lightRig w14:rig="threePt" w14:dir="t">
                    <w14:rot w14:lat="0" w14:lon="0" w14:rev="0"/>
                  </w14:lightRig>
                </w14:scene3d>
              </w:rPr>
              <w:t>H.2</w:t>
            </w:r>
            <w:r w:rsidR="00284118">
              <w:rPr>
                <w:rFonts w:asciiTheme="minorHAnsi" w:eastAsiaTheme="minorEastAsia" w:hAnsiTheme="minorHAnsi"/>
                <w:b w:val="0"/>
                <w:color w:val="auto"/>
                <w:sz w:val="22"/>
                <w:lang w:eastAsia="en-AU"/>
              </w:rPr>
              <w:tab/>
            </w:r>
            <w:r w:rsidR="00284118" w:rsidRPr="000C1C17">
              <w:rPr>
                <w:rStyle w:val="Hyperlink"/>
              </w:rPr>
              <w:t>Requirements under the ARORO</w:t>
            </w:r>
            <w:r w:rsidR="00284118">
              <w:rPr>
                <w:webHidden/>
              </w:rPr>
              <w:tab/>
            </w:r>
            <w:r w:rsidR="00284118">
              <w:rPr>
                <w:webHidden/>
              </w:rPr>
              <w:fldChar w:fldCharType="begin"/>
            </w:r>
            <w:r w:rsidR="00284118">
              <w:rPr>
                <w:webHidden/>
              </w:rPr>
              <w:instrText xml:space="preserve"> PAGEREF _Toc481057498 \h </w:instrText>
            </w:r>
            <w:r w:rsidR="00284118">
              <w:rPr>
                <w:webHidden/>
              </w:rPr>
            </w:r>
            <w:r w:rsidR="00284118">
              <w:rPr>
                <w:webHidden/>
              </w:rPr>
              <w:fldChar w:fldCharType="separate"/>
            </w:r>
            <w:r w:rsidR="00A40DE9">
              <w:rPr>
                <w:webHidden/>
              </w:rPr>
              <w:t>3-281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499" w:history="1">
            <w:r w:rsidR="00284118" w:rsidRPr="000C1C17">
              <w:rPr>
                <w:rStyle w:val="Hyperlink"/>
                <w14:scene3d>
                  <w14:camera w14:prst="orthographicFront"/>
                  <w14:lightRig w14:rig="threePt" w14:dir="t">
                    <w14:rot w14:lat="0" w14:lon="0" w14:rev="0"/>
                  </w14:lightRig>
                </w14:scene3d>
              </w:rPr>
              <w:t>H.3</w:t>
            </w:r>
            <w:r w:rsidR="00284118">
              <w:rPr>
                <w:rFonts w:asciiTheme="minorHAnsi" w:eastAsiaTheme="minorEastAsia" w:hAnsiTheme="minorHAnsi"/>
                <w:b w:val="0"/>
                <w:color w:val="auto"/>
                <w:sz w:val="22"/>
                <w:lang w:eastAsia="en-AU"/>
              </w:rPr>
              <w:tab/>
            </w:r>
            <w:r w:rsidR="00284118" w:rsidRPr="000C1C17">
              <w:rPr>
                <w:rStyle w:val="Hyperlink"/>
              </w:rPr>
              <w:t>On-the-day and trailing average approaches</w:t>
            </w:r>
            <w:r w:rsidR="00284118">
              <w:rPr>
                <w:webHidden/>
              </w:rPr>
              <w:tab/>
            </w:r>
            <w:r w:rsidR="00284118">
              <w:rPr>
                <w:webHidden/>
              </w:rPr>
              <w:fldChar w:fldCharType="begin"/>
            </w:r>
            <w:r w:rsidR="00284118">
              <w:rPr>
                <w:webHidden/>
              </w:rPr>
              <w:instrText xml:space="preserve"> PAGEREF _Toc481057499 \h </w:instrText>
            </w:r>
            <w:r w:rsidR="00284118">
              <w:rPr>
                <w:webHidden/>
              </w:rPr>
            </w:r>
            <w:r w:rsidR="00284118">
              <w:rPr>
                <w:webHidden/>
              </w:rPr>
              <w:fldChar w:fldCharType="separate"/>
            </w:r>
            <w:r w:rsidR="00A40DE9">
              <w:rPr>
                <w:webHidden/>
              </w:rPr>
              <w:t>3-292</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0" w:history="1">
            <w:r w:rsidR="00284118" w:rsidRPr="000C1C17">
              <w:rPr>
                <w:rStyle w:val="Hyperlink"/>
                <w14:scene3d>
                  <w14:camera w14:prst="orthographicFront"/>
                  <w14:lightRig w14:rig="threePt" w14:dir="t">
                    <w14:rot w14:lat="0" w14:lon="0" w14:rev="0"/>
                  </w14:lightRig>
                </w14:scene3d>
              </w:rPr>
              <w:t>H.4</w:t>
            </w:r>
            <w:r w:rsidR="00284118">
              <w:rPr>
                <w:rFonts w:asciiTheme="minorHAnsi" w:eastAsiaTheme="minorEastAsia" w:hAnsiTheme="minorHAnsi"/>
                <w:b w:val="0"/>
                <w:color w:val="auto"/>
                <w:sz w:val="22"/>
                <w:lang w:eastAsia="en-AU"/>
              </w:rPr>
              <w:tab/>
            </w:r>
            <w:r w:rsidR="00284118" w:rsidRPr="000C1C17">
              <w:rPr>
                <w:rStyle w:val="Hyperlink"/>
              </w:rPr>
              <w:t>A full transition satisfies the ARORO</w:t>
            </w:r>
            <w:r w:rsidR="00284118">
              <w:rPr>
                <w:webHidden/>
              </w:rPr>
              <w:tab/>
            </w:r>
            <w:r w:rsidR="00284118">
              <w:rPr>
                <w:webHidden/>
              </w:rPr>
              <w:fldChar w:fldCharType="begin"/>
            </w:r>
            <w:r w:rsidR="00284118">
              <w:rPr>
                <w:webHidden/>
              </w:rPr>
              <w:instrText xml:space="preserve"> PAGEREF _Toc481057500 \h </w:instrText>
            </w:r>
            <w:r w:rsidR="00284118">
              <w:rPr>
                <w:webHidden/>
              </w:rPr>
            </w:r>
            <w:r w:rsidR="00284118">
              <w:rPr>
                <w:webHidden/>
              </w:rPr>
              <w:fldChar w:fldCharType="separate"/>
            </w:r>
            <w:r w:rsidR="00A40DE9">
              <w:rPr>
                <w:webHidden/>
              </w:rPr>
              <w:t>3-307</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1" w:history="1">
            <w:r w:rsidR="00284118" w:rsidRPr="000C1C17">
              <w:rPr>
                <w:rStyle w:val="Hyperlink"/>
                <w14:scene3d>
                  <w14:camera w14:prst="orthographicFront"/>
                  <w14:lightRig w14:rig="threePt" w14:dir="t">
                    <w14:rot w14:lat="0" w14:lon="0" w14:rev="0"/>
                  </w14:lightRig>
                </w14:scene3d>
              </w:rPr>
              <w:t>H.5</w:t>
            </w:r>
            <w:r w:rsidR="00284118">
              <w:rPr>
                <w:rFonts w:asciiTheme="minorHAnsi" w:eastAsiaTheme="minorEastAsia" w:hAnsiTheme="minorHAnsi"/>
                <w:b w:val="0"/>
                <w:color w:val="auto"/>
                <w:sz w:val="22"/>
                <w:lang w:eastAsia="en-AU"/>
              </w:rPr>
              <w:tab/>
            </w:r>
            <w:r w:rsidR="00284118" w:rsidRPr="000C1C17">
              <w:rPr>
                <w:rStyle w:val="Hyperlink"/>
              </w:rPr>
              <w:t>An immediate (or hybrid) transition will not satisfy the ARORO</w:t>
            </w:r>
            <w:r w:rsidR="00284118">
              <w:rPr>
                <w:webHidden/>
              </w:rPr>
              <w:tab/>
            </w:r>
            <w:r w:rsidR="00284118">
              <w:rPr>
                <w:webHidden/>
              </w:rPr>
              <w:fldChar w:fldCharType="begin"/>
            </w:r>
            <w:r w:rsidR="00284118">
              <w:rPr>
                <w:webHidden/>
              </w:rPr>
              <w:instrText xml:space="preserve"> PAGEREF _Toc481057501 \h </w:instrText>
            </w:r>
            <w:r w:rsidR="00284118">
              <w:rPr>
                <w:webHidden/>
              </w:rPr>
            </w:r>
            <w:r w:rsidR="00284118">
              <w:rPr>
                <w:webHidden/>
              </w:rPr>
              <w:fldChar w:fldCharType="separate"/>
            </w:r>
            <w:r w:rsidR="00A40DE9">
              <w:rPr>
                <w:webHidden/>
              </w:rPr>
              <w:t>3-308</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502" w:history="1">
            <w:r w:rsidR="00284118" w:rsidRPr="000C1C17">
              <w:rPr>
                <w:rStyle w:val="Hyperlink"/>
              </w:rPr>
              <w:t>I</w:t>
            </w:r>
            <w:r w:rsidR="00284118">
              <w:rPr>
                <w:rFonts w:asciiTheme="minorHAnsi" w:eastAsiaTheme="minorEastAsia" w:hAnsiTheme="minorHAnsi"/>
                <w:b w:val="0"/>
                <w:color w:val="auto"/>
                <w:sz w:val="22"/>
                <w:lang w:val="en-AU" w:eastAsia="en-AU"/>
              </w:rPr>
              <w:tab/>
            </w:r>
            <w:r w:rsidR="00284118" w:rsidRPr="000C1C17">
              <w:rPr>
                <w:rStyle w:val="Hyperlink"/>
              </w:rPr>
              <w:t>Return on debt implementation</w:t>
            </w:r>
            <w:r w:rsidR="00284118">
              <w:rPr>
                <w:webHidden/>
              </w:rPr>
              <w:tab/>
            </w:r>
            <w:r w:rsidR="00284118">
              <w:rPr>
                <w:webHidden/>
              </w:rPr>
              <w:fldChar w:fldCharType="begin"/>
            </w:r>
            <w:r w:rsidR="00284118">
              <w:rPr>
                <w:webHidden/>
              </w:rPr>
              <w:instrText xml:space="preserve"> PAGEREF _Toc481057502 \h </w:instrText>
            </w:r>
            <w:r w:rsidR="00284118">
              <w:rPr>
                <w:webHidden/>
              </w:rPr>
            </w:r>
            <w:r w:rsidR="00284118">
              <w:rPr>
                <w:webHidden/>
              </w:rPr>
              <w:fldChar w:fldCharType="separate"/>
            </w:r>
            <w:r w:rsidR="00A40DE9">
              <w:rPr>
                <w:webHidden/>
              </w:rPr>
              <w:t>3-329</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3" w:history="1">
            <w:r w:rsidR="00284118" w:rsidRPr="000C1C17">
              <w:rPr>
                <w:rStyle w:val="Hyperlink"/>
                <w14:scene3d>
                  <w14:camera w14:prst="orthographicFront"/>
                  <w14:lightRig w14:rig="threePt" w14:dir="t">
                    <w14:rot w14:lat="0" w14:lon="0" w14:rev="0"/>
                  </w14:lightRig>
                </w14:scene3d>
              </w:rPr>
              <w:t>I.1</w:t>
            </w:r>
            <w:r w:rsidR="00284118">
              <w:rPr>
                <w:rFonts w:asciiTheme="minorHAnsi" w:eastAsiaTheme="minorEastAsia" w:hAnsiTheme="minorHAnsi"/>
                <w:b w:val="0"/>
                <w:color w:val="auto"/>
                <w:sz w:val="22"/>
                <w:lang w:eastAsia="en-AU"/>
              </w:rPr>
              <w:tab/>
            </w:r>
            <w:r w:rsidR="00284118" w:rsidRPr="000C1C17">
              <w:rPr>
                <w:rStyle w:val="Hyperlink"/>
              </w:rPr>
              <w:t>Criticisms of our current approach</w:t>
            </w:r>
            <w:r w:rsidR="00284118">
              <w:rPr>
                <w:webHidden/>
              </w:rPr>
              <w:tab/>
            </w:r>
            <w:r w:rsidR="00284118">
              <w:rPr>
                <w:webHidden/>
              </w:rPr>
              <w:fldChar w:fldCharType="begin"/>
            </w:r>
            <w:r w:rsidR="00284118">
              <w:rPr>
                <w:webHidden/>
              </w:rPr>
              <w:instrText xml:space="preserve"> PAGEREF _Toc481057503 \h </w:instrText>
            </w:r>
            <w:r w:rsidR="00284118">
              <w:rPr>
                <w:webHidden/>
              </w:rPr>
            </w:r>
            <w:r w:rsidR="00284118">
              <w:rPr>
                <w:webHidden/>
              </w:rPr>
              <w:fldChar w:fldCharType="separate"/>
            </w:r>
            <w:r w:rsidR="00A40DE9">
              <w:rPr>
                <w:webHidden/>
              </w:rPr>
              <w:t>3-329</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4" w:history="1">
            <w:r w:rsidR="00284118" w:rsidRPr="000C1C17">
              <w:rPr>
                <w:rStyle w:val="Hyperlink"/>
                <w14:scene3d>
                  <w14:camera w14:prst="orthographicFront"/>
                  <w14:lightRig w14:rig="threePt" w14:dir="t">
                    <w14:rot w14:lat="0" w14:lon="0" w14:rev="0"/>
                  </w14:lightRig>
                </w14:scene3d>
              </w:rPr>
              <w:t>I.2</w:t>
            </w:r>
            <w:r w:rsidR="00284118">
              <w:rPr>
                <w:rFonts w:asciiTheme="minorHAnsi" w:eastAsiaTheme="minorEastAsia" w:hAnsiTheme="minorHAnsi"/>
                <w:b w:val="0"/>
                <w:color w:val="auto"/>
                <w:sz w:val="22"/>
                <w:lang w:eastAsia="en-AU"/>
              </w:rPr>
              <w:tab/>
            </w:r>
            <w:r w:rsidR="00284118" w:rsidRPr="000C1C17">
              <w:rPr>
                <w:rStyle w:val="Hyperlink"/>
              </w:rPr>
              <w:t>The Thomson Reuters curve</w:t>
            </w:r>
            <w:r w:rsidR="00284118">
              <w:rPr>
                <w:webHidden/>
              </w:rPr>
              <w:tab/>
            </w:r>
            <w:r w:rsidR="00284118">
              <w:rPr>
                <w:webHidden/>
              </w:rPr>
              <w:fldChar w:fldCharType="begin"/>
            </w:r>
            <w:r w:rsidR="00284118">
              <w:rPr>
                <w:webHidden/>
              </w:rPr>
              <w:instrText xml:space="preserve"> PAGEREF _Toc481057504 \h </w:instrText>
            </w:r>
            <w:r w:rsidR="00284118">
              <w:rPr>
                <w:webHidden/>
              </w:rPr>
            </w:r>
            <w:r w:rsidR="00284118">
              <w:rPr>
                <w:webHidden/>
              </w:rPr>
              <w:fldChar w:fldCharType="separate"/>
            </w:r>
            <w:r w:rsidR="00A40DE9">
              <w:rPr>
                <w:webHidden/>
              </w:rPr>
              <w:t>3-340</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5" w:history="1">
            <w:r w:rsidR="00284118" w:rsidRPr="000C1C17">
              <w:rPr>
                <w:rStyle w:val="Hyperlink"/>
                <w14:scene3d>
                  <w14:camera w14:prst="orthographicFront"/>
                  <w14:lightRig w14:rig="threePt" w14:dir="t">
                    <w14:rot w14:lat="0" w14:lon="0" w14:rev="0"/>
                  </w14:lightRig>
                </w14:scene3d>
              </w:rPr>
              <w:t>I.3</w:t>
            </w:r>
            <w:r w:rsidR="00284118">
              <w:rPr>
                <w:rFonts w:asciiTheme="minorHAnsi" w:eastAsiaTheme="minorEastAsia" w:hAnsiTheme="minorHAnsi"/>
                <w:b w:val="0"/>
                <w:color w:val="auto"/>
                <w:sz w:val="22"/>
                <w:lang w:eastAsia="en-AU"/>
              </w:rPr>
              <w:tab/>
            </w:r>
            <w:r w:rsidR="00284118" w:rsidRPr="000C1C17">
              <w:rPr>
                <w:rStyle w:val="Hyperlink"/>
              </w:rPr>
              <w:t>Other issues</w:t>
            </w:r>
            <w:r w:rsidR="00284118">
              <w:rPr>
                <w:webHidden/>
              </w:rPr>
              <w:tab/>
            </w:r>
            <w:r w:rsidR="00284118">
              <w:rPr>
                <w:webHidden/>
              </w:rPr>
              <w:fldChar w:fldCharType="begin"/>
            </w:r>
            <w:r w:rsidR="00284118">
              <w:rPr>
                <w:webHidden/>
              </w:rPr>
              <w:instrText xml:space="preserve"> PAGEREF _Toc481057505 \h </w:instrText>
            </w:r>
            <w:r w:rsidR="00284118">
              <w:rPr>
                <w:webHidden/>
              </w:rPr>
            </w:r>
            <w:r w:rsidR="00284118">
              <w:rPr>
                <w:webHidden/>
              </w:rPr>
              <w:fldChar w:fldCharType="separate"/>
            </w:r>
            <w:r w:rsidR="00A40DE9">
              <w:rPr>
                <w:webHidden/>
              </w:rPr>
              <w:t>3-346</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6" w:history="1">
            <w:r w:rsidR="00284118" w:rsidRPr="000C1C17">
              <w:rPr>
                <w:rStyle w:val="Hyperlink"/>
                <w14:scene3d>
                  <w14:camera w14:prst="orthographicFront"/>
                  <w14:lightRig w14:rig="threePt" w14:dir="t">
                    <w14:rot w14:lat="0" w14:lon="0" w14:rev="0"/>
                  </w14:lightRig>
                </w14:scene3d>
              </w:rPr>
              <w:t>I.4</w:t>
            </w:r>
            <w:r w:rsidR="00284118">
              <w:rPr>
                <w:rFonts w:asciiTheme="minorHAnsi" w:eastAsiaTheme="minorEastAsia" w:hAnsiTheme="minorHAnsi"/>
                <w:b w:val="0"/>
                <w:color w:val="auto"/>
                <w:sz w:val="22"/>
                <w:lang w:eastAsia="en-AU"/>
              </w:rPr>
              <w:tab/>
            </w:r>
            <w:r w:rsidR="00284118" w:rsidRPr="000C1C17">
              <w:rPr>
                <w:rStyle w:val="Hyperlink"/>
              </w:rPr>
              <w:t>Credit rating</w:t>
            </w:r>
            <w:r w:rsidR="00284118">
              <w:rPr>
                <w:webHidden/>
              </w:rPr>
              <w:tab/>
            </w:r>
            <w:r w:rsidR="00284118">
              <w:rPr>
                <w:webHidden/>
              </w:rPr>
              <w:fldChar w:fldCharType="begin"/>
            </w:r>
            <w:r w:rsidR="00284118">
              <w:rPr>
                <w:webHidden/>
              </w:rPr>
              <w:instrText xml:space="preserve"> PAGEREF _Toc481057506 \h </w:instrText>
            </w:r>
            <w:r w:rsidR="00284118">
              <w:rPr>
                <w:webHidden/>
              </w:rPr>
            </w:r>
            <w:r w:rsidR="00284118">
              <w:rPr>
                <w:webHidden/>
              </w:rPr>
              <w:fldChar w:fldCharType="separate"/>
            </w:r>
            <w:r w:rsidR="00A40DE9">
              <w:rPr>
                <w:webHidden/>
              </w:rPr>
              <w:t>3-347</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507" w:history="1">
            <w:r w:rsidR="00284118" w:rsidRPr="000C1C17">
              <w:rPr>
                <w:rStyle w:val="Hyperlink"/>
              </w:rPr>
              <w:t>J</w:t>
            </w:r>
            <w:r w:rsidR="00284118">
              <w:rPr>
                <w:rFonts w:asciiTheme="minorHAnsi" w:eastAsiaTheme="minorEastAsia" w:hAnsiTheme="minorHAnsi"/>
                <w:b w:val="0"/>
                <w:color w:val="auto"/>
                <w:sz w:val="22"/>
                <w:lang w:val="en-AU" w:eastAsia="en-AU"/>
              </w:rPr>
              <w:tab/>
            </w:r>
            <w:r w:rsidR="00284118" w:rsidRPr="000C1C17">
              <w:rPr>
                <w:rStyle w:val="Hyperlink"/>
              </w:rPr>
              <w:t>Annually updating the return on debt</w:t>
            </w:r>
            <w:r w:rsidR="00284118">
              <w:rPr>
                <w:webHidden/>
              </w:rPr>
              <w:tab/>
            </w:r>
            <w:r w:rsidR="00284118">
              <w:rPr>
                <w:webHidden/>
              </w:rPr>
              <w:fldChar w:fldCharType="begin"/>
            </w:r>
            <w:r w:rsidR="00284118">
              <w:rPr>
                <w:webHidden/>
              </w:rPr>
              <w:instrText xml:space="preserve"> PAGEREF _Toc481057507 \h </w:instrText>
            </w:r>
            <w:r w:rsidR="00284118">
              <w:rPr>
                <w:webHidden/>
              </w:rPr>
            </w:r>
            <w:r w:rsidR="00284118">
              <w:rPr>
                <w:webHidden/>
              </w:rPr>
              <w:fldChar w:fldCharType="separate"/>
            </w:r>
            <w:r w:rsidR="00A40DE9">
              <w:rPr>
                <w:webHidden/>
              </w:rPr>
              <w:t>3-353</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8" w:history="1">
            <w:r w:rsidR="00284118" w:rsidRPr="000C1C17">
              <w:rPr>
                <w:rStyle w:val="Hyperlink"/>
                <w14:scene3d>
                  <w14:camera w14:prst="orthographicFront"/>
                  <w14:lightRig w14:rig="threePt" w14:dir="t">
                    <w14:rot w14:lat="0" w14:lon="0" w14:rev="0"/>
                  </w14:lightRig>
                </w14:scene3d>
              </w:rPr>
              <w:t>J.1</w:t>
            </w:r>
            <w:r w:rsidR="00284118">
              <w:rPr>
                <w:rFonts w:asciiTheme="minorHAnsi" w:eastAsiaTheme="minorEastAsia" w:hAnsiTheme="minorHAnsi"/>
                <w:b w:val="0"/>
                <w:color w:val="auto"/>
                <w:sz w:val="22"/>
                <w:lang w:eastAsia="en-AU"/>
              </w:rPr>
              <w:tab/>
            </w:r>
            <w:r w:rsidR="00284118" w:rsidRPr="000C1C17">
              <w:rPr>
                <w:rStyle w:val="Hyperlink"/>
              </w:rPr>
              <w:t>Approach to estimating the return on debt</w:t>
            </w:r>
            <w:r w:rsidR="00284118">
              <w:rPr>
                <w:webHidden/>
              </w:rPr>
              <w:tab/>
            </w:r>
            <w:r w:rsidR="00284118">
              <w:rPr>
                <w:webHidden/>
              </w:rPr>
              <w:fldChar w:fldCharType="begin"/>
            </w:r>
            <w:r w:rsidR="00284118">
              <w:rPr>
                <w:webHidden/>
              </w:rPr>
              <w:instrText xml:space="preserve"> PAGEREF _Toc481057508 \h </w:instrText>
            </w:r>
            <w:r w:rsidR="00284118">
              <w:rPr>
                <w:webHidden/>
              </w:rPr>
            </w:r>
            <w:r w:rsidR="00284118">
              <w:rPr>
                <w:webHidden/>
              </w:rPr>
              <w:fldChar w:fldCharType="separate"/>
            </w:r>
            <w:r w:rsidR="00A40DE9">
              <w:rPr>
                <w:webHidden/>
              </w:rPr>
              <w:t>3-353</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09" w:history="1">
            <w:r w:rsidR="00284118" w:rsidRPr="000C1C17">
              <w:rPr>
                <w:rStyle w:val="Hyperlink"/>
                <w14:scene3d>
                  <w14:camera w14:prst="orthographicFront"/>
                  <w14:lightRig w14:rig="threePt" w14:dir="t">
                    <w14:rot w14:lat="0" w14:lon="0" w14:rev="0"/>
                  </w14:lightRig>
                </w14:scene3d>
              </w:rPr>
              <w:t>J.2</w:t>
            </w:r>
            <w:r w:rsidR="00284118">
              <w:rPr>
                <w:rFonts w:asciiTheme="minorHAnsi" w:eastAsiaTheme="minorEastAsia" w:hAnsiTheme="minorHAnsi"/>
                <w:b w:val="0"/>
                <w:color w:val="auto"/>
                <w:sz w:val="22"/>
                <w:lang w:eastAsia="en-AU"/>
              </w:rPr>
              <w:tab/>
            </w:r>
            <w:r w:rsidR="00284118" w:rsidRPr="000C1C17">
              <w:rPr>
                <w:rStyle w:val="Hyperlink"/>
              </w:rPr>
              <w:t>Implementing the return on debt approach</w:t>
            </w:r>
            <w:r w:rsidR="00284118">
              <w:rPr>
                <w:webHidden/>
              </w:rPr>
              <w:tab/>
            </w:r>
            <w:r w:rsidR="00284118">
              <w:rPr>
                <w:webHidden/>
              </w:rPr>
              <w:fldChar w:fldCharType="begin"/>
            </w:r>
            <w:r w:rsidR="00284118">
              <w:rPr>
                <w:webHidden/>
              </w:rPr>
              <w:instrText xml:space="preserve"> PAGEREF _Toc481057509 \h </w:instrText>
            </w:r>
            <w:r w:rsidR="00284118">
              <w:rPr>
                <w:webHidden/>
              </w:rPr>
            </w:r>
            <w:r w:rsidR="00284118">
              <w:rPr>
                <w:webHidden/>
              </w:rPr>
              <w:fldChar w:fldCharType="separate"/>
            </w:r>
            <w:r w:rsidR="00A40DE9">
              <w:rPr>
                <w:webHidden/>
              </w:rPr>
              <w:t>3-355</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510" w:history="1">
            <w:r w:rsidR="00284118" w:rsidRPr="000C1C17">
              <w:rPr>
                <w:rStyle w:val="Hyperlink"/>
              </w:rPr>
              <w:t>K</w:t>
            </w:r>
            <w:r w:rsidR="00284118">
              <w:rPr>
                <w:rFonts w:asciiTheme="minorHAnsi" w:eastAsiaTheme="minorEastAsia" w:hAnsiTheme="minorHAnsi"/>
                <w:b w:val="0"/>
                <w:color w:val="auto"/>
                <w:sz w:val="22"/>
                <w:lang w:val="en-AU" w:eastAsia="en-AU"/>
              </w:rPr>
              <w:tab/>
            </w:r>
            <w:r w:rsidR="00284118" w:rsidRPr="000C1C17">
              <w:rPr>
                <w:rStyle w:val="Hyperlink"/>
              </w:rPr>
              <w:t>Expected inflation</w:t>
            </w:r>
            <w:r w:rsidR="00284118">
              <w:rPr>
                <w:webHidden/>
              </w:rPr>
              <w:tab/>
            </w:r>
            <w:r w:rsidR="00284118">
              <w:rPr>
                <w:webHidden/>
              </w:rPr>
              <w:fldChar w:fldCharType="begin"/>
            </w:r>
            <w:r w:rsidR="00284118">
              <w:rPr>
                <w:webHidden/>
              </w:rPr>
              <w:instrText xml:space="preserve"> PAGEREF _Toc481057510 \h </w:instrText>
            </w:r>
            <w:r w:rsidR="00284118">
              <w:rPr>
                <w:webHidden/>
              </w:rPr>
            </w:r>
            <w:r w:rsidR="00284118">
              <w:rPr>
                <w:webHidden/>
              </w:rPr>
              <w:fldChar w:fldCharType="separate"/>
            </w:r>
            <w:r w:rsidR="00A40DE9">
              <w:rPr>
                <w:webHidden/>
              </w:rPr>
              <w:t>3-369</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1" w:history="1">
            <w:r w:rsidR="00284118" w:rsidRPr="000C1C17">
              <w:rPr>
                <w:rStyle w:val="Hyperlink"/>
                <w14:scene3d>
                  <w14:camera w14:prst="orthographicFront"/>
                  <w14:lightRig w14:rig="threePt" w14:dir="t">
                    <w14:rot w14:lat="0" w14:lon="0" w14:rev="0"/>
                  </w14:lightRig>
                </w14:scene3d>
              </w:rPr>
              <w:t>K.1</w:t>
            </w:r>
            <w:r w:rsidR="00284118">
              <w:rPr>
                <w:rFonts w:asciiTheme="minorHAnsi" w:eastAsiaTheme="minorEastAsia" w:hAnsiTheme="minorHAnsi"/>
                <w:b w:val="0"/>
                <w:color w:val="auto"/>
                <w:sz w:val="22"/>
                <w:lang w:eastAsia="en-AU"/>
              </w:rPr>
              <w:tab/>
            </w:r>
            <w:r w:rsidR="00284118" w:rsidRPr="000C1C17">
              <w:rPr>
                <w:rStyle w:val="Hyperlink"/>
              </w:rPr>
              <w:t>Issues with the RBA approach</w:t>
            </w:r>
            <w:r w:rsidR="00284118">
              <w:rPr>
                <w:webHidden/>
              </w:rPr>
              <w:tab/>
            </w:r>
            <w:r w:rsidR="00284118">
              <w:rPr>
                <w:webHidden/>
              </w:rPr>
              <w:fldChar w:fldCharType="begin"/>
            </w:r>
            <w:r w:rsidR="00284118">
              <w:rPr>
                <w:webHidden/>
              </w:rPr>
              <w:instrText xml:space="preserve"> PAGEREF _Toc481057511 \h </w:instrText>
            </w:r>
            <w:r w:rsidR="00284118">
              <w:rPr>
                <w:webHidden/>
              </w:rPr>
            </w:r>
            <w:r w:rsidR="00284118">
              <w:rPr>
                <w:webHidden/>
              </w:rPr>
              <w:fldChar w:fldCharType="separate"/>
            </w:r>
            <w:r w:rsidR="00A40DE9">
              <w:rPr>
                <w:webHidden/>
              </w:rPr>
              <w:t>3-369</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2" w:history="1">
            <w:r w:rsidR="00284118" w:rsidRPr="000C1C17">
              <w:rPr>
                <w:rStyle w:val="Hyperlink"/>
                <w14:scene3d>
                  <w14:camera w14:prst="orthographicFront"/>
                  <w14:lightRig w14:rig="threePt" w14:dir="t">
                    <w14:rot w14:lat="0" w14:lon="0" w14:rev="0"/>
                  </w14:lightRig>
                </w14:scene3d>
              </w:rPr>
              <w:t>K.2</w:t>
            </w:r>
            <w:r w:rsidR="00284118">
              <w:rPr>
                <w:rFonts w:asciiTheme="minorHAnsi" w:eastAsiaTheme="minorEastAsia" w:hAnsiTheme="minorHAnsi"/>
                <w:b w:val="0"/>
                <w:color w:val="auto"/>
                <w:sz w:val="22"/>
                <w:lang w:eastAsia="en-AU"/>
              </w:rPr>
              <w:tab/>
            </w:r>
            <w:r w:rsidR="00284118" w:rsidRPr="000C1C17">
              <w:rPr>
                <w:rStyle w:val="Hyperlink"/>
              </w:rPr>
              <w:t>Break-even estimates as a direct market measure</w:t>
            </w:r>
            <w:r w:rsidR="00284118">
              <w:rPr>
                <w:webHidden/>
              </w:rPr>
              <w:tab/>
            </w:r>
            <w:r w:rsidR="00284118">
              <w:rPr>
                <w:webHidden/>
              </w:rPr>
              <w:fldChar w:fldCharType="begin"/>
            </w:r>
            <w:r w:rsidR="00284118">
              <w:rPr>
                <w:webHidden/>
              </w:rPr>
              <w:instrText xml:space="preserve"> PAGEREF _Toc481057512 \h </w:instrText>
            </w:r>
            <w:r w:rsidR="00284118">
              <w:rPr>
                <w:webHidden/>
              </w:rPr>
            </w:r>
            <w:r w:rsidR="00284118">
              <w:rPr>
                <w:webHidden/>
              </w:rPr>
              <w:fldChar w:fldCharType="separate"/>
            </w:r>
            <w:r w:rsidR="00A40DE9">
              <w:rPr>
                <w:webHidden/>
              </w:rPr>
              <w:t>3-379</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3" w:history="1">
            <w:r w:rsidR="00284118" w:rsidRPr="000C1C17">
              <w:rPr>
                <w:rStyle w:val="Hyperlink"/>
                <w14:scene3d>
                  <w14:camera w14:prst="orthographicFront"/>
                  <w14:lightRig w14:rig="threePt" w14:dir="t">
                    <w14:rot w14:lat="0" w14:lon="0" w14:rev="0"/>
                  </w14:lightRig>
                </w14:scene3d>
              </w:rPr>
              <w:t>K.3</w:t>
            </w:r>
            <w:r w:rsidR="00284118">
              <w:rPr>
                <w:rFonts w:asciiTheme="minorHAnsi" w:eastAsiaTheme="minorEastAsia" w:hAnsiTheme="minorHAnsi"/>
                <w:b w:val="0"/>
                <w:color w:val="auto"/>
                <w:sz w:val="22"/>
                <w:lang w:eastAsia="en-AU"/>
              </w:rPr>
              <w:tab/>
            </w:r>
            <w:r w:rsidR="00284118" w:rsidRPr="000C1C17">
              <w:rPr>
                <w:rStyle w:val="Hyperlink"/>
              </w:rPr>
              <w:t>Biases and premia in the break-even and swaps estimates</w:t>
            </w:r>
            <w:r w:rsidR="00284118">
              <w:rPr>
                <w:webHidden/>
              </w:rPr>
              <w:tab/>
            </w:r>
            <w:r w:rsidR="00284118">
              <w:rPr>
                <w:webHidden/>
              </w:rPr>
              <w:fldChar w:fldCharType="begin"/>
            </w:r>
            <w:r w:rsidR="00284118">
              <w:rPr>
                <w:webHidden/>
              </w:rPr>
              <w:instrText xml:space="preserve"> PAGEREF _Toc481057513 \h </w:instrText>
            </w:r>
            <w:r w:rsidR="00284118">
              <w:rPr>
                <w:webHidden/>
              </w:rPr>
            </w:r>
            <w:r w:rsidR="00284118">
              <w:rPr>
                <w:webHidden/>
              </w:rPr>
              <w:fldChar w:fldCharType="separate"/>
            </w:r>
            <w:r w:rsidR="00A40DE9">
              <w:rPr>
                <w:webHidden/>
              </w:rPr>
              <w:t>3-381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4" w:history="1">
            <w:r w:rsidR="00284118" w:rsidRPr="000C1C17">
              <w:rPr>
                <w:rStyle w:val="Hyperlink"/>
                <w14:scene3d>
                  <w14:camera w14:prst="orthographicFront"/>
                  <w14:lightRig w14:rig="threePt" w14:dir="t">
                    <w14:rot w14:lat="0" w14:lon="0" w14:rev="0"/>
                  </w14:lightRig>
                </w14:scene3d>
              </w:rPr>
              <w:t>K.4</w:t>
            </w:r>
            <w:r w:rsidR="00284118">
              <w:rPr>
                <w:rFonts w:asciiTheme="minorHAnsi" w:eastAsiaTheme="minorEastAsia" w:hAnsiTheme="minorHAnsi"/>
                <w:b w:val="0"/>
                <w:color w:val="auto"/>
                <w:sz w:val="22"/>
                <w:lang w:eastAsia="en-AU"/>
              </w:rPr>
              <w:tab/>
            </w:r>
            <w:r w:rsidR="00284118" w:rsidRPr="000C1C17">
              <w:rPr>
                <w:rStyle w:val="Hyperlink"/>
              </w:rPr>
              <w:t>Effect of inflation outcomes on inflation expectations</w:t>
            </w:r>
            <w:r w:rsidR="00284118">
              <w:rPr>
                <w:webHidden/>
              </w:rPr>
              <w:tab/>
            </w:r>
            <w:r w:rsidR="00284118">
              <w:rPr>
                <w:webHidden/>
              </w:rPr>
              <w:fldChar w:fldCharType="begin"/>
            </w:r>
            <w:r w:rsidR="00284118">
              <w:rPr>
                <w:webHidden/>
              </w:rPr>
              <w:instrText xml:space="preserve"> PAGEREF _Toc481057514 \h </w:instrText>
            </w:r>
            <w:r w:rsidR="00284118">
              <w:rPr>
                <w:webHidden/>
              </w:rPr>
            </w:r>
            <w:r w:rsidR="00284118">
              <w:rPr>
                <w:webHidden/>
              </w:rPr>
              <w:fldChar w:fldCharType="separate"/>
            </w:r>
            <w:r w:rsidR="00A40DE9">
              <w:rPr>
                <w:webHidden/>
              </w:rPr>
              <w:t>3-392</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5" w:history="1">
            <w:r w:rsidR="00284118" w:rsidRPr="000C1C17">
              <w:rPr>
                <w:rStyle w:val="Hyperlink"/>
                <w14:scene3d>
                  <w14:camera w14:prst="orthographicFront"/>
                  <w14:lightRig w14:rig="threePt" w14:dir="t">
                    <w14:rot w14:lat="0" w14:lon="0" w14:rev="0"/>
                  </w14:lightRig>
                </w14:scene3d>
              </w:rPr>
              <w:t>K.5</w:t>
            </w:r>
            <w:r w:rsidR="00284118">
              <w:rPr>
                <w:rFonts w:asciiTheme="minorHAnsi" w:eastAsiaTheme="minorEastAsia" w:hAnsiTheme="minorHAnsi"/>
                <w:b w:val="0"/>
                <w:color w:val="auto"/>
                <w:sz w:val="22"/>
                <w:lang w:eastAsia="en-AU"/>
              </w:rPr>
              <w:tab/>
            </w:r>
            <w:r w:rsidR="00284118" w:rsidRPr="000C1C17">
              <w:rPr>
                <w:rStyle w:val="Hyperlink"/>
              </w:rPr>
              <w:t>Break-even estimates are a statistically significant predictor of nominal CGS yields</w:t>
            </w:r>
            <w:r w:rsidR="00284118">
              <w:rPr>
                <w:webHidden/>
              </w:rPr>
              <w:tab/>
            </w:r>
            <w:r w:rsidR="00284118">
              <w:rPr>
                <w:webHidden/>
              </w:rPr>
              <w:fldChar w:fldCharType="begin"/>
            </w:r>
            <w:r w:rsidR="00284118">
              <w:rPr>
                <w:webHidden/>
              </w:rPr>
              <w:instrText xml:space="preserve"> PAGEREF _Toc481057515 \h </w:instrText>
            </w:r>
            <w:r w:rsidR="00284118">
              <w:rPr>
                <w:webHidden/>
              </w:rPr>
            </w:r>
            <w:r w:rsidR="00284118">
              <w:rPr>
                <w:webHidden/>
              </w:rPr>
              <w:fldChar w:fldCharType="separate"/>
            </w:r>
            <w:r w:rsidR="00A40DE9">
              <w:rPr>
                <w:webHidden/>
              </w:rPr>
              <w:t>3-396</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6" w:history="1">
            <w:r w:rsidR="00284118" w:rsidRPr="000C1C17">
              <w:rPr>
                <w:rStyle w:val="Hyperlink"/>
                <w14:scene3d>
                  <w14:camera w14:prst="orthographicFront"/>
                  <w14:lightRig w14:rig="threePt" w14:dir="t">
                    <w14:rot w14:lat="0" w14:lon="0" w14:rev="0"/>
                  </w14:lightRig>
                </w14:scene3d>
              </w:rPr>
              <w:t>K.6</w:t>
            </w:r>
            <w:r w:rsidR="00284118">
              <w:rPr>
                <w:rFonts w:asciiTheme="minorHAnsi" w:eastAsiaTheme="minorEastAsia" w:hAnsiTheme="minorHAnsi"/>
                <w:b w:val="0"/>
                <w:color w:val="auto"/>
                <w:sz w:val="22"/>
                <w:lang w:eastAsia="en-AU"/>
              </w:rPr>
              <w:tab/>
            </w:r>
            <w:r w:rsidR="00284118" w:rsidRPr="000C1C17">
              <w:rPr>
                <w:rStyle w:val="Hyperlink"/>
              </w:rPr>
              <w:t>Reviewing the Post-Tax Revenue Model</w:t>
            </w:r>
            <w:r w:rsidR="00284118">
              <w:rPr>
                <w:webHidden/>
              </w:rPr>
              <w:tab/>
            </w:r>
            <w:r w:rsidR="00284118">
              <w:rPr>
                <w:webHidden/>
              </w:rPr>
              <w:fldChar w:fldCharType="begin"/>
            </w:r>
            <w:r w:rsidR="00284118">
              <w:rPr>
                <w:webHidden/>
              </w:rPr>
              <w:instrText xml:space="preserve"> PAGEREF _Toc481057516 \h </w:instrText>
            </w:r>
            <w:r w:rsidR="00284118">
              <w:rPr>
                <w:webHidden/>
              </w:rPr>
            </w:r>
            <w:r w:rsidR="00284118">
              <w:rPr>
                <w:webHidden/>
              </w:rPr>
              <w:fldChar w:fldCharType="separate"/>
            </w:r>
            <w:r w:rsidR="00A40DE9">
              <w:rPr>
                <w:webHidden/>
              </w:rPr>
              <w:t>3-398</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517" w:history="1">
            <w:r w:rsidR="00284118" w:rsidRPr="000C1C17">
              <w:rPr>
                <w:rStyle w:val="Hyperlink"/>
              </w:rPr>
              <w:t>L</w:t>
            </w:r>
            <w:r w:rsidR="00284118">
              <w:rPr>
                <w:rFonts w:asciiTheme="minorHAnsi" w:eastAsiaTheme="minorEastAsia" w:hAnsiTheme="minorHAnsi"/>
                <w:b w:val="0"/>
                <w:color w:val="auto"/>
                <w:sz w:val="22"/>
                <w:lang w:val="en-AU" w:eastAsia="en-AU"/>
              </w:rPr>
              <w:tab/>
            </w:r>
            <w:r w:rsidR="00284118" w:rsidRPr="000C1C17">
              <w:rPr>
                <w:rStyle w:val="Hyperlink"/>
              </w:rPr>
              <w:t>Equity and debt raising costs</w:t>
            </w:r>
            <w:r w:rsidR="00284118">
              <w:rPr>
                <w:webHidden/>
              </w:rPr>
              <w:tab/>
            </w:r>
            <w:r w:rsidR="00284118">
              <w:rPr>
                <w:webHidden/>
              </w:rPr>
              <w:fldChar w:fldCharType="begin"/>
            </w:r>
            <w:r w:rsidR="00284118">
              <w:rPr>
                <w:webHidden/>
              </w:rPr>
              <w:instrText xml:space="preserve"> PAGEREF _Toc481057517 \h </w:instrText>
            </w:r>
            <w:r w:rsidR="00284118">
              <w:rPr>
                <w:webHidden/>
              </w:rPr>
            </w:r>
            <w:r w:rsidR="00284118">
              <w:rPr>
                <w:webHidden/>
              </w:rPr>
              <w:fldChar w:fldCharType="separate"/>
            </w:r>
            <w:r w:rsidR="00A40DE9">
              <w:rPr>
                <w:webHidden/>
              </w:rPr>
              <w:t>3-401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8" w:history="1">
            <w:r w:rsidR="00284118" w:rsidRPr="000C1C17">
              <w:rPr>
                <w:rStyle w:val="Hyperlink"/>
                <w14:scene3d>
                  <w14:camera w14:prst="orthographicFront"/>
                  <w14:lightRig w14:rig="threePt" w14:dir="t">
                    <w14:rot w14:lat="0" w14:lon="0" w14:rev="0"/>
                  </w14:lightRig>
                </w14:scene3d>
              </w:rPr>
              <w:t>L.1</w:t>
            </w:r>
            <w:r w:rsidR="00284118">
              <w:rPr>
                <w:rFonts w:asciiTheme="minorHAnsi" w:eastAsiaTheme="minorEastAsia" w:hAnsiTheme="minorHAnsi"/>
                <w:b w:val="0"/>
                <w:color w:val="auto"/>
                <w:sz w:val="22"/>
                <w:lang w:eastAsia="en-AU"/>
              </w:rPr>
              <w:tab/>
            </w:r>
            <w:r w:rsidR="00284118" w:rsidRPr="000C1C17">
              <w:rPr>
                <w:rStyle w:val="Hyperlink"/>
              </w:rPr>
              <w:t>Equity raising costs</w:t>
            </w:r>
            <w:r w:rsidR="00284118">
              <w:rPr>
                <w:webHidden/>
              </w:rPr>
              <w:tab/>
            </w:r>
            <w:r w:rsidR="00284118">
              <w:rPr>
                <w:webHidden/>
              </w:rPr>
              <w:fldChar w:fldCharType="begin"/>
            </w:r>
            <w:r w:rsidR="00284118">
              <w:rPr>
                <w:webHidden/>
              </w:rPr>
              <w:instrText xml:space="preserve"> PAGEREF _Toc481057518 \h </w:instrText>
            </w:r>
            <w:r w:rsidR="00284118">
              <w:rPr>
                <w:webHidden/>
              </w:rPr>
            </w:r>
            <w:r w:rsidR="00284118">
              <w:rPr>
                <w:webHidden/>
              </w:rPr>
              <w:fldChar w:fldCharType="separate"/>
            </w:r>
            <w:r w:rsidR="00A40DE9">
              <w:rPr>
                <w:webHidden/>
              </w:rPr>
              <w:t>3-401</w:t>
            </w:r>
            <w:r w:rsidR="00284118">
              <w:rPr>
                <w:webHidden/>
              </w:rPr>
              <w:fldChar w:fldCharType="end"/>
            </w:r>
          </w:hyperlink>
        </w:p>
        <w:p w:rsidR="00284118" w:rsidRDefault="00334917">
          <w:pPr>
            <w:pStyle w:val="TOC2"/>
            <w:rPr>
              <w:rFonts w:asciiTheme="minorHAnsi" w:eastAsiaTheme="minorEastAsia" w:hAnsiTheme="minorHAnsi"/>
              <w:b w:val="0"/>
              <w:color w:val="auto"/>
              <w:sz w:val="22"/>
              <w:lang w:eastAsia="en-AU"/>
            </w:rPr>
          </w:pPr>
          <w:hyperlink w:anchor="_Toc481057519" w:history="1">
            <w:r w:rsidR="00284118" w:rsidRPr="000C1C17">
              <w:rPr>
                <w:rStyle w:val="Hyperlink"/>
                <w14:scene3d>
                  <w14:camera w14:prst="orthographicFront"/>
                  <w14:lightRig w14:rig="threePt" w14:dir="t">
                    <w14:rot w14:lat="0" w14:lon="0" w14:rev="0"/>
                  </w14:lightRig>
                </w14:scene3d>
              </w:rPr>
              <w:t>L.2</w:t>
            </w:r>
            <w:r w:rsidR="00284118">
              <w:rPr>
                <w:rFonts w:asciiTheme="minorHAnsi" w:eastAsiaTheme="minorEastAsia" w:hAnsiTheme="minorHAnsi"/>
                <w:b w:val="0"/>
                <w:color w:val="auto"/>
                <w:sz w:val="22"/>
                <w:lang w:eastAsia="en-AU"/>
              </w:rPr>
              <w:tab/>
            </w:r>
            <w:r w:rsidR="00284118" w:rsidRPr="000C1C17">
              <w:rPr>
                <w:rStyle w:val="Hyperlink"/>
              </w:rPr>
              <w:t>Debt raising costs</w:t>
            </w:r>
            <w:r w:rsidR="00284118">
              <w:rPr>
                <w:webHidden/>
              </w:rPr>
              <w:tab/>
            </w:r>
            <w:r w:rsidR="00284118">
              <w:rPr>
                <w:webHidden/>
              </w:rPr>
              <w:fldChar w:fldCharType="begin"/>
            </w:r>
            <w:r w:rsidR="00284118">
              <w:rPr>
                <w:webHidden/>
              </w:rPr>
              <w:instrText xml:space="preserve"> PAGEREF _Toc481057519 \h </w:instrText>
            </w:r>
            <w:r w:rsidR="00284118">
              <w:rPr>
                <w:webHidden/>
              </w:rPr>
            </w:r>
            <w:r w:rsidR="00284118">
              <w:rPr>
                <w:webHidden/>
              </w:rPr>
              <w:fldChar w:fldCharType="separate"/>
            </w:r>
            <w:r w:rsidR="00A40DE9">
              <w:rPr>
                <w:webHidden/>
              </w:rPr>
              <w:t>3-402</w:t>
            </w:r>
            <w:r w:rsidR="00284118">
              <w:rPr>
                <w:webHidden/>
              </w:rPr>
              <w:fldChar w:fldCharType="end"/>
            </w:r>
          </w:hyperlink>
        </w:p>
        <w:p w:rsidR="00284118" w:rsidRDefault="00334917">
          <w:pPr>
            <w:pStyle w:val="TOC1"/>
            <w:rPr>
              <w:rFonts w:asciiTheme="minorHAnsi" w:eastAsiaTheme="minorEastAsia" w:hAnsiTheme="minorHAnsi"/>
              <w:b w:val="0"/>
              <w:color w:val="auto"/>
              <w:sz w:val="22"/>
              <w:lang w:val="en-AU" w:eastAsia="en-AU"/>
            </w:rPr>
          </w:pPr>
          <w:hyperlink w:anchor="_Toc481057520" w:history="1">
            <w:r w:rsidR="00284118" w:rsidRPr="000C1C17">
              <w:rPr>
                <w:rStyle w:val="Hyperlink"/>
              </w:rPr>
              <w:t>M</w:t>
            </w:r>
            <w:r w:rsidR="00284118">
              <w:rPr>
                <w:rFonts w:asciiTheme="minorHAnsi" w:eastAsiaTheme="minorEastAsia" w:hAnsiTheme="minorHAnsi"/>
                <w:b w:val="0"/>
                <w:color w:val="auto"/>
                <w:sz w:val="22"/>
                <w:lang w:val="en-AU" w:eastAsia="en-AU"/>
              </w:rPr>
              <w:tab/>
            </w:r>
            <w:r w:rsidR="00284118" w:rsidRPr="000C1C17">
              <w:rPr>
                <w:rStyle w:val="Hyperlink"/>
              </w:rPr>
              <w:t>Averaging periods - confidential appendix</w:t>
            </w:r>
            <w:r w:rsidR="00284118">
              <w:rPr>
                <w:webHidden/>
              </w:rPr>
              <w:tab/>
            </w:r>
            <w:r w:rsidR="00284118">
              <w:rPr>
                <w:webHidden/>
              </w:rPr>
              <w:fldChar w:fldCharType="begin"/>
            </w:r>
            <w:r w:rsidR="00284118">
              <w:rPr>
                <w:webHidden/>
              </w:rPr>
              <w:instrText xml:space="preserve"> PAGEREF _Toc481057520 \h </w:instrText>
            </w:r>
            <w:r w:rsidR="00284118">
              <w:rPr>
                <w:webHidden/>
              </w:rPr>
            </w:r>
            <w:r w:rsidR="00284118">
              <w:rPr>
                <w:webHidden/>
              </w:rPr>
              <w:fldChar w:fldCharType="separate"/>
            </w:r>
            <w:r w:rsidR="00A40DE9">
              <w:rPr>
                <w:webHidden/>
              </w:rPr>
              <w:t>3-404</w:t>
            </w:r>
            <w:r w:rsidR="00284118">
              <w:rPr>
                <w:webHidden/>
              </w:rPr>
              <w:fldChar w:fldCharType="end"/>
            </w:r>
          </w:hyperlink>
        </w:p>
        <w:p w:rsidR="00DE563D" w:rsidRDefault="00076F97" w:rsidP="00F8112D">
          <w:pPr>
            <w:pStyle w:val="TOC1"/>
          </w:pPr>
          <w:r>
            <w:fldChar w:fldCharType="end"/>
          </w:r>
        </w:p>
      </w:sdtContent>
    </w:sdt>
    <w:p w:rsidR="00DE563D" w:rsidRDefault="00C84560">
      <w:pPr>
        <w:spacing w:line="240" w:lineRule="auto"/>
      </w:pPr>
      <w:r>
        <w:t xml:space="preserve"> </w:t>
      </w:r>
    </w:p>
    <w:p w:rsidR="00DE563D" w:rsidRDefault="00DE563D" w:rsidP="00CC7A1C">
      <w:pPr>
        <w:pStyle w:val="UnnumberedHeading"/>
        <w:numPr>
          <w:ilvl w:val="0"/>
          <w:numId w:val="23"/>
        </w:numPr>
      </w:pPr>
      <w:bookmarkStart w:id="8" w:name="_Toc404700925"/>
      <w:bookmarkStart w:id="9" w:name="_Toc481057459"/>
      <w:r>
        <w:t>Shortened forms</w:t>
      </w:r>
      <w:bookmarkEnd w:id="8"/>
      <w:bookmarkEnd w:id="9"/>
    </w:p>
    <w:p w:rsidR="00DE563D" w:rsidRDefault="00DE563D" w:rsidP="00415F31"/>
    <w:tbl>
      <w:tblPr>
        <w:tblStyle w:val="AERtable-numbers"/>
        <w:tblW w:w="0" w:type="auto"/>
        <w:tblLook w:val="04A0" w:firstRow="1" w:lastRow="0" w:firstColumn="1" w:lastColumn="0" w:noHBand="0" w:noVBand="1"/>
      </w:tblPr>
      <w:tblGrid>
        <w:gridCol w:w="4340"/>
        <w:gridCol w:w="4353"/>
      </w:tblGrid>
      <w:tr w:rsidR="00415F31" w:rsidTr="002656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Shortened form</w:t>
            </w:r>
          </w:p>
        </w:tc>
        <w:tc>
          <w:tcPr>
            <w:tcW w:w="4621" w:type="dxa"/>
          </w:tcPr>
          <w:p w:rsidR="00415F31" w:rsidRDefault="00415F31" w:rsidP="00CC7A1C">
            <w:pPr>
              <w:numPr>
                <w:ilvl w:val="0"/>
                <w:numId w:val="24"/>
              </w:numPr>
              <w:spacing w:after="240" w:line="288" w:lineRule="auto"/>
              <w:jc w:val="both"/>
              <w:cnfStyle w:val="100000000000" w:firstRow="1" w:lastRow="0" w:firstColumn="0" w:lastColumn="0" w:oddVBand="0" w:evenVBand="0" w:oddHBand="0" w:evenHBand="0" w:firstRowFirstColumn="0" w:firstRowLastColumn="0" w:lastRowFirstColumn="0" w:lastRowLastColumn="0"/>
            </w:pPr>
            <w:r>
              <w:t>Extended form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AARR</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AEMC</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AEMO</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Australian Energy Market Operator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AER</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Regulator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ASRR</w:t>
            </w:r>
          </w:p>
        </w:tc>
        <w:tc>
          <w:tcPr>
            <w:tcW w:w="4621" w:type="dxa"/>
          </w:tcPr>
          <w:p w:rsidR="00415F31" w:rsidRDefault="009D3906"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annual</w:t>
            </w:r>
            <w:r w:rsidR="00415F31">
              <w:t xml:space="preserve"> service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augex</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augmentation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capex</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CCP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Challenge Panel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CESS</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 sharing scheme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CPI</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price index</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DRP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debt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EBSS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efficiency benefit sharing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ERP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equity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MAR</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maximum allowed revenue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MRP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market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NEL</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law</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NEM</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market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NEO</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objective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NER</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rules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NSP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network service provider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NTSC</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negotiated transmission service criteria</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opex</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operating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PPI</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partial performance indicators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PTRM</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post-tax revenue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RAB</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asset base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RBA</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Reserve Bank of Australia</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repex</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replacement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RFM</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roll forward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RIN</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information notice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RPP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 xml:space="preserve">revenue </w:t>
            </w:r>
            <w:r w:rsidR="002D72E8">
              <w:t xml:space="preserve">and </w:t>
            </w:r>
            <w:r>
              <w:t>pricing principles</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SLCAPM</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Sharpe-Lintner capital asset pricing model</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STPIS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service target performance incentive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TNSP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transmission network service provider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TUoS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transmission use of system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WACC</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weighted average cost of capital</w:t>
            </w:r>
          </w:p>
        </w:tc>
      </w:tr>
    </w:tbl>
    <w:p w:rsidR="00415F31" w:rsidRPr="00271F7C" w:rsidRDefault="00415F31" w:rsidP="00415F31"/>
    <w:p w:rsidR="00DE563D" w:rsidRPr="00436A39" w:rsidRDefault="00DE563D" w:rsidP="00CC7A1C">
      <w:pPr>
        <w:numPr>
          <w:ilvl w:val="0"/>
          <w:numId w:val="24"/>
        </w:numPr>
      </w:pPr>
    </w:p>
    <w:p w:rsidR="00DE563D" w:rsidRDefault="00DE563D" w:rsidP="00DE563D"/>
    <w:p w:rsidR="00351675" w:rsidRDefault="00351675" w:rsidP="00351675">
      <w:pPr>
        <w:pStyle w:val="Heading1"/>
      </w:pPr>
      <w:bookmarkStart w:id="10" w:name="_Toc481057460"/>
      <w:bookmarkStart w:id="11" w:name="_Toc403144138"/>
      <w:r>
        <w:t>Rate of return</w:t>
      </w:r>
      <w:bookmarkEnd w:id="10"/>
    </w:p>
    <w:p w:rsidR="00351675" w:rsidRPr="00874B16" w:rsidRDefault="00351675" w:rsidP="00351675">
      <w:bookmarkStart w:id="12" w:name="_Toc403144136"/>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w:t>
      </w:r>
      <w:r>
        <w:t>d</w:t>
      </w:r>
      <w:r w:rsidRPr="00796C00">
        <w:t xml:space="preserve"> as a product of the rate of return and the value of the regulatory asset base (RAB). The rate of return is discussed in this attachment.</w:t>
      </w:r>
    </w:p>
    <w:p w:rsidR="00351675" w:rsidRPr="001754EE" w:rsidRDefault="00351675" w:rsidP="00351675">
      <w:pPr>
        <w:pStyle w:val="Heading2"/>
      </w:pPr>
      <w:bookmarkStart w:id="13" w:name="_Toc481057461"/>
      <w:r>
        <w:t>Final</w:t>
      </w:r>
      <w:r w:rsidRPr="001754EE">
        <w:t xml:space="preserve"> decision</w:t>
      </w:r>
      <w:bookmarkEnd w:id="12"/>
      <w:bookmarkEnd w:id="13"/>
    </w:p>
    <w:p w:rsidR="00351675" w:rsidRDefault="00351675" w:rsidP="00CC7A1C">
      <w:pPr>
        <w:numPr>
          <w:ilvl w:val="0"/>
          <w:numId w:val="24"/>
        </w:numPr>
      </w:pPr>
      <w:bookmarkStart w:id="14" w:name="_Toc403144137"/>
      <w:r>
        <w:t xml:space="preserve">We are satisfied that the allowed rate of return of </w:t>
      </w:r>
      <w:r w:rsidR="00640B09">
        <w:t xml:space="preserve">5.8 </w:t>
      </w:r>
      <w:r>
        <w:t xml:space="preserve">per cent (nominal vanilla) we determined achieves the </w:t>
      </w:r>
      <w:r w:rsidRPr="00E75E61">
        <w:t xml:space="preserve">allowed </w:t>
      </w:r>
      <w:r>
        <w:t>rate of return objective (ARORO).</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w:t>
      </w:r>
      <w:r w:rsidR="00C75E74">
        <w:t>AusNet Services</w:t>
      </w:r>
      <w:r>
        <w:t xml:space="preserve"> in providing </w:t>
      </w:r>
      <w:r w:rsidR="00C75E74">
        <w:t>prescribed transmission services</w:t>
      </w:r>
      <w:r>
        <w:t>.</w:t>
      </w:r>
      <w:r>
        <w:rPr>
          <w:rStyle w:val="FootnoteReference"/>
        </w:rPr>
        <w:footnoteReference w:id="3"/>
      </w:r>
    </w:p>
    <w:p w:rsidR="00351675" w:rsidRDefault="00351675" w:rsidP="00CC7A1C">
      <w:pPr>
        <w:numPr>
          <w:ilvl w:val="0"/>
          <w:numId w:val="24"/>
        </w:numPr>
      </w:pPr>
      <w:r>
        <w:t xml:space="preserve">This allowed rate of return will apply to AusNet Services for </w:t>
      </w:r>
      <w:r w:rsidR="00076F97">
        <w:t>2017–18</w:t>
      </w:r>
      <w:r>
        <w:t>. A different rate of return will apply to AusNet Services for the remaining regulatory years of the</w:t>
      </w:r>
      <w:r w:rsidR="00C75E74">
        <w:t xml:space="preserve"> </w:t>
      </w:r>
      <w:r w:rsidR="00076F97">
        <w:t>2017–22</w:t>
      </w:r>
      <w:r w:rsidR="00C75E74">
        <w:t xml:space="preserve"> regulatory control period</w:t>
      </w:r>
      <w:r>
        <w:t xml:space="preserve">. This is because we will update the return on debt component of the rate of return each year to partially reflect prevailing debt market conditions in each year. We discuss this annual update further below. </w:t>
      </w:r>
    </w:p>
    <w:p w:rsidR="00E85C2D" w:rsidRDefault="00351675" w:rsidP="00E85C2D">
      <w:r>
        <w:t xml:space="preserve">We are not satisfied that AusNet Services' proposed (indicative) </w:t>
      </w:r>
      <w:r w:rsidR="00014C58">
        <w:t xml:space="preserve">7.41 </w:t>
      </w:r>
      <w:r>
        <w:t>per cent rate of return for</w:t>
      </w:r>
      <w:r w:rsidR="00014C58">
        <w:t xml:space="preserve"> </w:t>
      </w:r>
      <w:r w:rsidR="00076F97">
        <w:t>2017–18</w:t>
      </w:r>
      <w:r>
        <w:t xml:space="preserve"> has been determined such that it achieves the ARORO.</w:t>
      </w:r>
      <w:r>
        <w:rPr>
          <w:rStyle w:val="FootnoteReference"/>
        </w:rPr>
        <w:footnoteReference w:id="4"/>
      </w:r>
      <w:r>
        <w:t xml:space="preserve"> </w:t>
      </w:r>
    </w:p>
    <w:p w:rsidR="00351675" w:rsidRDefault="00F35251" w:rsidP="00A164C0">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We are to determine the allowed rate of return such that it </w:t>
      </w:r>
      <w:r w:rsidRPr="003248EB">
        <w:t xml:space="preserve">achieves the </w:t>
      </w:r>
      <w:r>
        <w:t>ARORO.</w:t>
      </w:r>
      <w:r>
        <w:rPr>
          <w:rStyle w:val="FootnoteReference"/>
        </w:rPr>
        <w:footnoteReference w:id="6"/>
      </w:r>
      <w:r>
        <w:t xml:space="preserve"> Also, in arriving at our decision we have taken into account the revenue and pricing principles (RPPs) and are also satisfied that our decision will or is likely to contribute to the achievement of the National Electricity Objective (NEO).</w:t>
      </w:r>
      <w:r>
        <w:rPr>
          <w:rStyle w:val="FootnoteReference"/>
        </w:rPr>
        <w:footnoteReference w:id="7"/>
      </w:r>
      <w:r>
        <w:t xml:space="preserve"> Our rate of return and AusNet Services' proposed rate of return is set out in the following Table 3–1</w:t>
      </w:r>
      <w:r w:rsidR="00351675">
        <w:t>.</w:t>
      </w:r>
    </w:p>
    <w:p w:rsidR="00351675" w:rsidRDefault="00351675" w:rsidP="00CC7A1C">
      <w:pPr>
        <w:pStyle w:val="Caption"/>
        <w:numPr>
          <w:ilvl w:val="0"/>
          <w:numId w:val="24"/>
        </w:numPr>
      </w:pPr>
      <w:bookmarkStart w:id="15" w:name="_Ref451439268"/>
    </w:p>
    <w:p w:rsidR="00351675" w:rsidRDefault="00351675" w:rsidP="00CC7A1C">
      <w:pPr>
        <w:pStyle w:val="Caption"/>
        <w:numPr>
          <w:ilvl w:val="0"/>
          <w:numId w:val="24"/>
        </w:numPr>
      </w:pPr>
      <w:r>
        <w:t xml:space="preserve">Table </w:t>
      </w:r>
      <w:fldSimple w:instr=" STYLEREF 1 \s ">
        <w:r w:rsidR="006B4A74">
          <w:rPr>
            <w:noProof/>
          </w:rPr>
          <w:t>3</w:t>
        </w:r>
      </w:fldSimple>
      <w:r w:rsidR="008F29C8">
        <w:noBreakHyphen/>
      </w:r>
      <w:fldSimple w:instr=" SEQ Table \* ARABIC \s 1 ">
        <w:r w:rsidR="006B4A74">
          <w:rPr>
            <w:noProof/>
          </w:rPr>
          <w:t>1</w:t>
        </w:r>
      </w:fldSimple>
      <w:bookmarkEnd w:id="15"/>
      <w:r>
        <w:tab/>
        <w:t>Final decision on AusNet Services' 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351675" w:rsidRPr="0036067E" w:rsidTr="0084079E">
        <w:trPr>
          <w:cnfStyle w:val="100000000000" w:firstRow="1" w:lastRow="0" w:firstColumn="0" w:lastColumn="0" w:oddVBand="0" w:evenVBand="0" w:oddHBand="0" w:evenHBand="0" w:firstRowFirstColumn="0" w:firstRowLastColumn="0" w:lastRowFirstColumn="0" w:lastRowLastColumn="0"/>
        </w:trPr>
        <w:tc>
          <w:tcPr>
            <w:tcW w:w="1123" w:type="pct"/>
          </w:tcPr>
          <w:p w:rsidR="00351675" w:rsidRPr="00796C00" w:rsidRDefault="00351675" w:rsidP="00351675"/>
        </w:tc>
        <w:tc>
          <w:tcPr>
            <w:tcW w:w="970" w:type="pct"/>
          </w:tcPr>
          <w:p w:rsidR="00351675" w:rsidRPr="00351675" w:rsidRDefault="002E20F1" w:rsidP="002E20F1">
            <w:r>
              <w:t>Previous allowed return</w:t>
            </w:r>
            <w:r w:rsidRPr="000954D7">
              <w:t xml:space="preserve"> </w:t>
            </w:r>
            <w:r w:rsidR="00351675" w:rsidRPr="00351675">
              <w:t>(2014–17)</w:t>
            </w:r>
          </w:p>
        </w:tc>
        <w:tc>
          <w:tcPr>
            <w:tcW w:w="1067" w:type="pct"/>
          </w:tcPr>
          <w:p w:rsidR="00351675" w:rsidRPr="00351675" w:rsidRDefault="00351675" w:rsidP="00351675">
            <w:r>
              <w:t>AusNet Services'</w:t>
            </w:r>
            <w:r w:rsidRPr="00351675">
              <w:t xml:space="preserve"> revised proposal (</w:t>
            </w:r>
            <w:r w:rsidR="00076F97">
              <w:t>2017–18</w:t>
            </w:r>
            <w:r w:rsidRPr="00351675">
              <w:t>)</w:t>
            </w:r>
          </w:p>
        </w:tc>
        <w:tc>
          <w:tcPr>
            <w:tcW w:w="736" w:type="pct"/>
          </w:tcPr>
          <w:p w:rsidR="00351675" w:rsidRPr="00351675" w:rsidRDefault="00351675" w:rsidP="00351675">
            <w:r w:rsidRPr="00381B0E">
              <w:t>AER final decision</w:t>
            </w:r>
            <w:r w:rsidRPr="00351675">
              <w:t xml:space="preserve"> (</w:t>
            </w:r>
            <w:r w:rsidR="00076F97">
              <w:t>2017–18</w:t>
            </w:r>
            <w:r w:rsidRPr="00351675">
              <w:t>)</w:t>
            </w:r>
          </w:p>
        </w:tc>
        <w:tc>
          <w:tcPr>
            <w:tcW w:w="1104" w:type="pct"/>
          </w:tcPr>
          <w:p w:rsidR="00351675" w:rsidRPr="00351675" w:rsidRDefault="00351675" w:rsidP="00351675">
            <w:r>
              <w:t>Allowed r</w:t>
            </w:r>
            <w:r w:rsidRPr="00351675">
              <w:t>eturn over 2017–22 regulatory  control period</w:t>
            </w:r>
          </w:p>
        </w:tc>
      </w:tr>
      <w:tr w:rsidR="00351675" w:rsidRPr="00BD56F3" w:rsidTr="0084079E">
        <w:tc>
          <w:tcPr>
            <w:tcW w:w="1123" w:type="pct"/>
          </w:tcPr>
          <w:p w:rsidR="00351675" w:rsidRPr="00351675" w:rsidRDefault="00351675" w:rsidP="00351675">
            <w:r>
              <w:t>R</w:t>
            </w:r>
            <w:r w:rsidRPr="00351675">
              <w:t xml:space="preserve">eturn on equity    (nominal post–tax) </w:t>
            </w:r>
          </w:p>
        </w:tc>
        <w:tc>
          <w:tcPr>
            <w:tcW w:w="970" w:type="pct"/>
          </w:tcPr>
          <w:p w:rsidR="00351675" w:rsidRPr="00351675" w:rsidRDefault="00351675" w:rsidP="00351675">
            <w:r>
              <w:t>9.51</w:t>
            </w:r>
          </w:p>
        </w:tc>
        <w:tc>
          <w:tcPr>
            <w:tcW w:w="1067" w:type="pct"/>
          </w:tcPr>
          <w:p w:rsidR="00351675" w:rsidRPr="00351675" w:rsidRDefault="00526EAA" w:rsidP="00351675">
            <w:r>
              <w:t>7.20</w:t>
            </w:r>
          </w:p>
        </w:tc>
        <w:tc>
          <w:tcPr>
            <w:tcW w:w="736" w:type="pct"/>
          </w:tcPr>
          <w:p w:rsidR="00351675" w:rsidRPr="00351675" w:rsidRDefault="002E20F1" w:rsidP="00351675">
            <w:r>
              <w:t>7.1</w:t>
            </w:r>
          </w:p>
        </w:tc>
        <w:tc>
          <w:tcPr>
            <w:tcW w:w="1104" w:type="pct"/>
          </w:tcPr>
          <w:p w:rsidR="00351675" w:rsidRPr="00351675" w:rsidRDefault="00351675" w:rsidP="00526EAA">
            <w:r>
              <w:t>Constant</w:t>
            </w:r>
            <w:r w:rsidRPr="00351675">
              <w:t xml:space="preserve">   </w:t>
            </w:r>
            <w:r w:rsidR="002E20F1">
              <w:t>(7.1</w:t>
            </w:r>
            <w:r w:rsidRPr="00351675">
              <w:t>%)</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tcW w:w="1123" w:type="pct"/>
          </w:tcPr>
          <w:p w:rsidR="00351675" w:rsidRPr="00351675" w:rsidRDefault="00351675" w:rsidP="00351675">
            <w:r>
              <w:t>Return on debt</w:t>
            </w:r>
            <w:r w:rsidRPr="00351675">
              <w:t xml:space="preserve">      (nominal pre–tax)</w:t>
            </w:r>
          </w:p>
        </w:tc>
        <w:tc>
          <w:tcPr>
            <w:tcW w:w="970" w:type="pct"/>
          </w:tcPr>
          <w:p w:rsidR="00351675" w:rsidRPr="00351675" w:rsidRDefault="00351675" w:rsidP="00351675">
            <w:r>
              <w:t>6.79</w:t>
            </w:r>
          </w:p>
        </w:tc>
        <w:tc>
          <w:tcPr>
            <w:tcW w:w="1067" w:type="pct"/>
          </w:tcPr>
          <w:p w:rsidR="00351675" w:rsidRPr="00351675" w:rsidRDefault="00526EAA" w:rsidP="00351675">
            <w:r>
              <w:t>7.56</w:t>
            </w:r>
          </w:p>
        </w:tc>
        <w:tc>
          <w:tcPr>
            <w:tcW w:w="736" w:type="pct"/>
          </w:tcPr>
          <w:p w:rsidR="00351675" w:rsidRPr="00351675" w:rsidRDefault="008748DA" w:rsidP="00351675">
            <w:r>
              <w:t>4.94</w:t>
            </w:r>
          </w:p>
        </w:tc>
        <w:tc>
          <w:tcPr>
            <w:tcW w:w="1104" w:type="pct"/>
          </w:tcPr>
          <w:p w:rsidR="00351675" w:rsidRPr="00351675" w:rsidRDefault="00351675" w:rsidP="00351675">
            <w:r>
              <w:t>Updated annually</w:t>
            </w:r>
          </w:p>
        </w:tc>
      </w:tr>
      <w:tr w:rsidR="00351675" w:rsidRPr="00BD56F3" w:rsidTr="0084079E">
        <w:tc>
          <w:tcPr>
            <w:tcW w:w="1123" w:type="pct"/>
          </w:tcPr>
          <w:p w:rsidR="00351675" w:rsidRPr="00351675" w:rsidRDefault="00351675" w:rsidP="00351675">
            <w:r>
              <w:t>Gearing</w:t>
            </w:r>
          </w:p>
        </w:tc>
        <w:tc>
          <w:tcPr>
            <w:tcW w:w="970" w:type="pct"/>
          </w:tcPr>
          <w:p w:rsidR="00351675" w:rsidRPr="00351675" w:rsidRDefault="00351675" w:rsidP="00351675">
            <w:r>
              <w:t>60</w:t>
            </w:r>
          </w:p>
        </w:tc>
        <w:tc>
          <w:tcPr>
            <w:tcW w:w="1067" w:type="pct"/>
          </w:tcPr>
          <w:p w:rsidR="00351675" w:rsidRPr="00351675" w:rsidRDefault="00351675" w:rsidP="00351675">
            <w:r>
              <w:t>60</w:t>
            </w:r>
          </w:p>
        </w:tc>
        <w:tc>
          <w:tcPr>
            <w:tcW w:w="736" w:type="pct"/>
          </w:tcPr>
          <w:p w:rsidR="00351675" w:rsidRPr="00351675" w:rsidRDefault="00351675" w:rsidP="00351675">
            <w:r>
              <w:t>60</w:t>
            </w:r>
          </w:p>
        </w:tc>
        <w:tc>
          <w:tcPr>
            <w:tcW w:w="1104" w:type="pct"/>
          </w:tcPr>
          <w:p w:rsidR="00351675" w:rsidRPr="00351675" w:rsidRDefault="00351675" w:rsidP="00351675">
            <w:r>
              <w:t>C</w:t>
            </w:r>
            <w:r w:rsidRPr="00351675">
              <w:t>onstant   (60%)</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tcW w:w="1123" w:type="pct"/>
          </w:tcPr>
          <w:p w:rsidR="00351675" w:rsidRPr="00351675" w:rsidRDefault="00351675" w:rsidP="00351675">
            <w:r w:rsidRPr="00796C00">
              <w:t xml:space="preserve">Nominal vanilla </w:t>
            </w:r>
            <w:r w:rsidRPr="00351675">
              <w:t>WACC</w:t>
            </w:r>
          </w:p>
        </w:tc>
        <w:tc>
          <w:tcPr>
            <w:tcW w:w="970" w:type="pct"/>
          </w:tcPr>
          <w:p w:rsidR="00351675" w:rsidRPr="00351675" w:rsidRDefault="00351675" w:rsidP="00351675">
            <w:r>
              <w:t>7.87</w:t>
            </w:r>
          </w:p>
        </w:tc>
        <w:tc>
          <w:tcPr>
            <w:tcW w:w="1067" w:type="pct"/>
          </w:tcPr>
          <w:p w:rsidR="00351675" w:rsidRPr="00351675" w:rsidRDefault="00895145" w:rsidP="00351675">
            <w:r>
              <w:t>7.41</w:t>
            </w:r>
          </w:p>
        </w:tc>
        <w:tc>
          <w:tcPr>
            <w:tcW w:w="736" w:type="pct"/>
          </w:tcPr>
          <w:p w:rsidR="00351675" w:rsidRPr="00351675" w:rsidRDefault="002E20F1" w:rsidP="00351675">
            <w:r>
              <w:t>5.80</w:t>
            </w:r>
          </w:p>
        </w:tc>
        <w:tc>
          <w:tcPr>
            <w:tcW w:w="1104" w:type="pct"/>
          </w:tcPr>
          <w:p w:rsidR="00351675" w:rsidRPr="00351675" w:rsidRDefault="00351675" w:rsidP="00351675">
            <w:r>
              <w:t xml:space="preserve">Updated </w:t>
            </w:r>
            <w:r w:rsidRPr="00351675">
              <w:t>annually for return on debt</w:t>
            </w:r>
          </w:p>
        </w:tc>
      </w:tr>
      <w:tr w:rsidR="00351675" w:rsidRPr="00BD56F3" w:rsidTr="0084079E">
        <w:tc>
          <w:tcPr>
            <w:tcW w:w="1123" w:type="pct"/>
          </w:tcPr>
          <w:p w:rsidR="00351675" w:rsidRPr="00351675" w:rsidRDefault="00351675" w:rsidP="00351675">
            <w:r>
              <w:t>Forecast inflation</w:t>
            </w:r>
          </w:p>
        </w:tc>
        <w:tc>
          <w:tcPr>
            <w:tcW w:w="970" w:type="pct"/>
          </w:tcPr>
          <w:p w:rsidR="00351675" w:rsidRPr="00351675" w:rsidRDefault="00351675" w:rsidP="00351675">
            <w:r>
              <w:t>2.</w:t>
            </w:r>
            <w:r w:rsidRPr="00351675">
              <w:t>45</w:t>
            </w:r>
          </w:p>
        </w:tc>
        <w:tc>
          <w:tcPr>
            <w:tcW w:w="1067" w:type="pct"/>
          </w:tcPr>
          <w:p w:rsidR="00351675" w:rsidRPr="00351675" w:rsidRDefault="00033F56" w:rsidP="00351675">
            <w:r>
              <w:t>1.65</w:t>
            </w:r>
          </w:p>
        </w:tc>
        <w:tc>
          <w:tcPr>
            <w:tcW w:w="736" w:type="pct"/>
          </w:tcPr>
          <w:p w:rsidR="00351675" w:rsidRPr="00351675" w:rsidRDefault="008748DA" w:rsidP="00351675">
            <w:r>
              <w:t>2.40</w:t>
            </w:r>
          </w:p>
        </w:tc>
        <w:tc>
          <w:tcPr>
            <w:tcW w:w="1104" w:type="pct"/>
          </w:tcPr>
          <w:p w:rsidR="00351675" w:rsidRPr="00351675" w:rsidRDefault="00351675" w:rsidP="00526EAA">
            <w:r>
              <w:t>C</w:t>
            </w:r>
            <w:r w:rsidRPr="00351675">
              <w:t>onstant   (%)</w:t>
            </w:r>
          </w:p>
        </w:tc>
      </w:tr>
    </w:tbl>
    <w:p w:rsidR="00351675" w:rsidRDefault="00351675" w:rsidP="00351675">
      <w:pPr>
        <w:pStyle w:val="AERtablesource"/>
      </w:pPr>
      <w:r>
        <w:t>Source:</w:t>
      </w:r>
      <w:r>
        <w:tab/>
        <w:t xml:space="preserve">AER analysis; AusNet Services, </w:t>
      </w:r>
      <w:r>
        <w:rPr>
          <w:rStyle w:val="AERtextitalic"/>
        </w:rPr>
        <w:t>Transmission Revenue Review 2017-2022 - Revised Revenue Proposal</w:t>
      </w:r>
      <w:r>
        <w:t xml:space="preserve">, 21 September 2016; </w:t>
      </w:r>
      <w:r>
        <w:rPr>
          <w:rStyle w:val="AERtextsize8"/>
        </w:rPr>
        <w:t xml:space="preserve">AER, </w:t>
      </w:r>
      <w:r>
        <w:rPr>
          <w:rStyle w:val="AERtextitalic"/>
        </w:rPr>
        <w:t>Final Decision: SP AusNet Transmission determination 2014-2017,</w:t>
      </w:r>
      <w:r w:rsidRPr="0045568E">
        <w:rPr>
          <w:rStyle w:val="AERtextitalic"/>
        </w:rPr>
        <w:t xml:space="preserve"> </w:t>
      </w:r>
      <w:r>
        <w:rPr>
          <w:rStyle w:val="AERtextsize8"/>
        </w:rPr>
        <w:t xml:space="preserve"> January 2014</w:t>
      </w:r>
      <w:r>
        <w:t>.</w:t>
      </w:r>
    </w:p>
    <w:p w:rsidR="00351675" w:rsidRDefault="00351675" w:rsidP="00351675">
      <w:r>
        <w:t xml:space="preserve">Our return on equity estimate is </w:t>
      </w:r>
      <w:r w:rsidR="00640B09">
        <w:t>7.</w:t>
      </w:r>
      <w:r w:rsidR="008748DA">
        <w:t xml:space="preserve">1 </w:t>
      </w:r>
      <w:r>
        <w:t xml:space="preserve">per cent. This rate will apply to AusNet Services in each regulatory year. Our return on debt estimate for the </w:t>
      </w:r>
      <w:r w:rsidR="00076F97">
        <w:t>2017–18</w:t>
      </w:r>
      <w:r>
        <w:t xml:space="preserve"> regulatory year is 4.94 per cent. This estimate will change each year as we partially update the return on debt to reflect prevailing interest rates over AusNet Services' debt averaging period in each year. Our return on debt estimate for future regulatory years will be determined in accordance with the methodology and formulae we have specified in this decision. Due to updating the return on debt each year, the overall rate of return and AusNet Services' revenue will also be updated.</w:t>
      </w:r>
    </w:p>
    <w:p w:rsidR="00351675" w:rsidRDefault="00351675" w:rsidP="00CC7A1C">
      <w:pPr>
        <w:numPr>
          <w:ilvl w:val="0"/>
          <w:numId w:val="24"/>
        </w:numPr>
      </w:pPr>
      <w:r>
        <w:t>We agree with the following aspects of AusNet Services' revised rate of return proposal:</w:t>
      </w:r>
      <w:r>
        <w:rPr>
          <w:rStyle w:val="FootnoteReference"/>
        </w:rPr>
        <w:footnoteReference w:id="8"/>
      </w:r>
    </w:p>
    <w:p w:rsidR="00351675" w:rsidRPr="00796C00" w:rsidRDefault="00351675" w:rsidP="00351675">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351675" w:rsidRDefault="00351675" w:rsidP="00351675">
      <w:pPr>
        <w:pStyle w:val="AERbulletlistfirststyle"/>
      </w:pPr>
      <w:r>
        <w:t>adopting a 60</w:t>
      </w:r>
      <w:r w:rsidRPr="00796C00">
        <w:t xml:space="preserve"> per cent gearing ratio</w:t>
      </w:r>
    </w:p>
    <w:p w:rsidR="00351675" w:rsidRDefault="00351675" w:rsidP="00351675">
      <w:pPr>
        <w:pStyle w:val="AERbulletlistfirststyle"/>
      </w:pPr>
      <w:r>
        <w:t>adopting a 10 year term for the return on debt</w:t>
      </w:r>
    </w:p>
    <w:p w:rsidR="00351675" w:rsidRDefault="00351675" w:rsidP="00351675">
      <w:pPr>
        <w:pStyle w:val="AERbulletlistfirststyle"/>
      </w:pPr>
      <w:r>
        <w:t>applying our method of extrapolating third party data series and updating the return on debt each year</w:t>
      </w:r>
    </w:p>
    <w:p w:rsidR="00351675" w:rsidRDefault="00351675" w:rsidP="00351675">
      <w:pPr>
        <w:pStyle w:val="AERbulletlistfirststyle"/>
      </w:pPr>
      <w:r>
        <w:t>estimating the return on debt by reference to a third party data series.</w:t>
      </w:r>
    </w:p>
    <w:p w:rsidR="00351675" w:rsidRDefault="00125A18" w:rsidP="00351675">
      <w:pPr>
        <w:pStyle w:val="AERbulletlistfirststyle"/>
      </w:pPr>
      <w:r>
        <w:t xml:space="preserve">estimating </w:t>
      </w:r>
      <w:r w:rsidR="00351675">
        <w:t xml:space="preserve">the risk free rate used in the return on equity with nominal Commonwealth government securities (CGS) averaged over 20 business days as close as practical to the commencement of the regulatory control period. </w:t>
      </w:r>
    </w:p>
    <w:p w:rsidR="00351675" w:rsidRDefault="00351675" w:rsidP="00CC7A1C">
      <w:pPr>
        <w:numPr>
          <w:ilvl w:val="0"/>
          <w:numId w:val="24"/>
        </w:numPr>
      </w:pPr>
      <w:r>
        <w:t xml:space="preserve">We disagree with AusNet Services on a number of other components of the rate of return. </w:t>
      </w:r>
    </w:p>
    <w:p w:rsidR="00351675" w:rsidRDefault="00351675" w:rsidP="00CC7A1C">
      <w:pPr>
        <w:numPr>
          <w:ilvl w:val="0"/>
          <w:numId w:val="24"/>
        </w:numPr>
      </w:pPr>
      <w:r>
        <w:t xml:space="preserve">Our </w:t>
      </w:r>
      <w:r w:rsidRPr="00B174EF">
        <w:t>return on equity estimate</w:t>
      </w:r>
      <w:r>
        <w:t xml:space="preserve"> for this final decision</w:t>
      </w:r>
      <w:r w:rsidRPr="00B174EF">
        <w:t xml:space="preserve"> </w:t>
      </w:r>
      <w:r>
        <w:t xml:space="preserve">is </w:t>
      </w:r>
      <w:r w:rsidR="00640B09">
        <w:t>7.1</w:t>
      </w:r>
      <w:r w:rsidR="008748DA">
        <w:t xml:space="preserve"> </w:t>
      </w:r>
      <w:r w:rsidRPr="00B174EF">
        <w:t>per cent</w:t>
      </w:r>
      <w:r>
        <w:t>.</w:t>
      </w:r>
      <w:r w:rsidRPr="0083677A">
        <w:t xml:space="preserve"> </w:t>
      </w:r>
      <w:r>
        <w:t>We derived this estimate by applying the same approach we applied to determine the allowed return on equity in our most recent final decisions.</w:t>
      </w:r>
      <w:r>
        <w:rPr>
          <w:rStyle w:val="FootnoteReference"/>
        </w:rPr>
        <w:footnoteReference w:id="9"/>
      </w:r>
      <w:r>
        <w:t xml:space="preserve"> The Australian Competition Tribunal (Tribunal) recently upheld this approach.</w:t>
      </w:r>
      <w:r>
        <w:rPr>
          <w:rStyle w:val="FootnoteReference"/>
        </w:rPr>
        <w:footnoteReference w:id="10"/>
      </w:r>
      <w:r>
        <w:t xml:space="preserve"> This approach entails applying the Guideline approach referred to as the foundation model approach.</w:t>
      </w:r>
      <w:r>
        <w:rPr>
          <w:rStyle w:val="FootnoteReference"/>
        </w:rPr>
        <w:footnoteReference w:id="11"/>
      </w:r>
      <w:r>
        <w:t xml:space="preserve"> We applied this same approach in the </w:t>
      </w:r>
      <w:r w:rsidR="00A13D81">
        <w:t xml:space="preserve">draft </w:t>
      </w:r>
      <w:r>
        <w:t>decision.</w:t>
      </w:r>
      <w:r>
        <w:rPr>
          <w:rStyle w:val="FootnoteReference"/>
        </w:rPr>
        <w:footnoteReference w:id="12"/>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AE05A6" w:rsidRPr="00A164C0" w:rsidRDefault="004046B2" w:rsidP="004046B2">
      <w:pPr>
        <w:rPr>
          <w:b/>
          <w:bCs/>
          <w:color w:val="076A92" w:themeColor="text1"/>
          <w:sz w:val="24"/>
          <w:szCs w:val="18"/>
        </w:rPr>
      </w:pPr>
      <w:r>
        <w:t xml:space="preserve">Our return on equity point estimate and the parameter inputs are set </w:t>
      </w:r>
      <w:r w:rsidR="00410AB6">
        <w:t>out</w:t>
      </w:r>
      <w:r>
        <w:t xml:space="preserve"> in table 3-2. </w:t>
      </w:r>
      <w:r w:rsidR="00351675" w:rsidRPr="004046B2">
        <w:t>AusNet Services proposed departing from the approach in the Guideline</w:t>
      </w:r>
      <w:r w:rsidR="00351675">
        <w:t xml:space="preserve">. </w:t>
      </w:r>
      <w:r w:rsidR="00351675" w:rsidRPr="00185E39">
        <w:t xml:space="preserve">We are not satisfied </w:t>
      </w:r>
      <w:r w:rsidR="00351675">
        <w:t xml:space="preserve">that doing so </w:t>
      </w:r>
      <w:r w:rsidR="00351675" w:rsidRPr="00185E39">
        <w:t xml:space="preserve">would result in an outcome that better achieves the </w:t>
      </w:r>
      <w:r w:rsidR="00351675">
        <w:t>ARORO</w:t>
      </w:r>
      <w:r w:rsidR="00351675" w:rsidRPr="00185E39">
        <w:t>.</w:t>
      </w:r>
      <w:r w:rsidR="00351675" w:rsidRPr="00185E39">
        <w:rPr>
          <w:rStyle w:val="FootnoteReference"/>
        </w:rPr>
        <w:footnoteReference w:id="13"/>
      </w:r>
      <w:r w:rsidR="00351675" w:rsidRPr="00185E39">
        <w:t xml:space="preserve"> We do not agree with </w:t>
      </w:r>
      <w:r w:rsidR="00351675">
        <w:t xml:space="preserve">AusNet Services that our method applied in the </w:t>
      </w:r>
      <w:r w:rsidR="000D56E0">
        <w:t xml:space="preserve">draft </w:t>
      </w:r>
      <w:r w:rsidR="00351675">
        <w:t>decision will result in a return on equity which is inconsistent with the ARORO.</w:t>
      </w:r>
      <w:r w:rsidR="00351675">
        <w:rPr>
          <w:rStyle w:val="FootnoteReference"/>
        </w:rPr>
        <w:footnoteReference w:id="14"/>
      </w:r>
      <w:r w:rsidR="00351675">
        <w:t xml:space="preserve"> </w:t>
      </w:r>
      <w:r w:rsidR="00351675" w:rsidRPr="00185E39">
        <w:t xml:space="preserve">Our </w:t>
      </w:r>
      <w:r w:rsidR="00351675">
        <w:t xml:space="preserve">return on equity </w:t>
      </w:r>
      <w:r w:rsidR="000D56E0">
        <w:t xml:space="preserve">draft </w:t>
      </w:r>
      <w:r w:rsidR="00351675">
        <w:t xml:space="preserve">decision and this final decision </w:t>
      </w:r>
      <w:r w:rsidR="00351675" w:rsidRPr="00185E39">
        <w:t xml:space="preserve">is largely consistent with the </w:t>
      </w:r>
      <w:r w:rsidR="00351675">
        <w:t xml:space="preserve">views in the </w:t>
      </w:r>
      <w:r w:rsidR="00351675" w:rsidRPr="00185E39">
        <w:t>Guideline</w:t>
      </w:r>
      <w:r w:rsidR="00351675">
        <w:t>.</w:t>
      </w:r>
      <w:r w:rsidR="00351675" w:rsidRPr="00796C00">
        <w:t xml:space="preserve"> </w:t>
      </w:r>
    </w:p>
    <w:p w:rsidR="00AE05A6" w:rsidRDefault="00AE05A6" w:rsidP="0030019B"/>
    <w:p w:rsidR="00AE05A6" w:rsidRDefault="00AE05A6" w:rsidP="0030019B"/>
    <w:p w:rsidR="00AE05A6" w:rsidRDefault="00AE05A6" w:rsidP="0030019B"/>
    <w:p w:rsidR="00AE05A6" w:rsidRDefault="00AE05A6" w:rsidP="0030019B"/>
    <w:p w:rsidR="00AE05A6" w:rsidRDefault="00AE05A6" w:rsidP="0030019B"/>
    <w:p w:rsidR="00351675" w:rsidRPr="00351675" w:rsidRDefault="00351675" w:rsidP="0030019B">
      <w:pPr>
        <w:rPr>
          <w:b/>
          <w:bCs/>
          <w:color w:val="076A92" w:themeColor="text1"/>
          <w:sz w:val="24"/>
          <w:szCs w:val="18"/>
        </w:rPr>
      </w:pPr>
      <w:bookmarkStart w:id="16" w:name="_Ref451344737"/>
    </w:p>
    <w:p w:rsidR="00351675" w:rsidRDefault="00351675" w:rsidP="00351675">
      <w:pPr>
        <w:pStyle w:val="Caption"/>
      </w:pPr>
      <w:r>
        <w:t xml:space="preserve">Table </w:t>
      </w:r>
      <w:fldSimple w:instr=" STYLEREF 1 \s ">
        <w:r w:rsidR="006B4A74">
          <w:rPr>
            <w:noProof/>
          </w:rPr>
          <w:t>3</w:t>
        </w:r>
      </w:fldSimple>
      <w:r w:rsidR="008F29C8">
        <w:noBreakHyphen/>
      </w:r>
      <w:fldSimple w:instr=" SEQ Table \* ARABIC \s 1 ">
        <w:r w:rsidR="006B4A74">
          <w:rPr>
            <w:noProof/>
          </w:rPr>
          <w:t>2</w:t>
        </w:r>
      </w:fldSimple>
      <w:bookmarkEnd w:id="16"/>
      <w:r>
        <w:tab/>
        <w:t>Final decision on AusNet Services'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351675" w:rsidRPr="0036067E" w:rsidTr="00840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796C00" w:rsidRDefault="00351675" w:rsidP="00351675"/>
        </w:tc>
        <w:tc>
          <w:tcPr>
            <w:tcW w:w="1177" w:type="pct"/>
          </w:tcPr>
          <w:p w:rsidR="00351675" w:rsidRPr="00351675" w:rsidRDefault="00351675" w:rsidP="00351675">
            <w:pPr>
              <w:cnfStyle w:val="100000000000" w:firstRow="1" w:lastRow="0" w:firstColumn="0" w:lastColumn="0" w:oddVBand="0" w:evenVBand="0" w:oddHBand="0" w:evenHBand="0" w:firstRowFirstColumn="0" w:firstRowLastColumn="0" w:lastRowFirstColumn="0" w:lastRowLastColumn="0"/>
            </w:pPr>
            <w:r w:rsidRPr="000954D7">
              <w:t xml:space="preserve">AER </w:t>
            </w:r>
            <w:r w:rsidRPr="00351675">
              <w:t>previous decision (2014–17)</w:t>
            </w:r>
          </w:p>
        </w:tc>
        <w:tc>
          <w:tcPr>
            <w:tcW w:w="1386" w:type="pct"/>
          </w:tcPr>
          <w:p w:rsidR="00351675" w:rsidRPr="00351675" w:rsidRDefault="00351675" w:rsidP="00351675">
            <w:pPr>
              <w:cnfStyle w:val="100000000000" w:firstRow="1" w:lastRow="0" w:firstColumn="0" w:lastColumn="0" w:oddVBand="0" w:evenVBand="0" w:oddHBand="0" w:evenHBand="0" w:firstRowFirstColumn="0" w:firstRowLastColumn="0" w:lastRowFirstColumn="0" w:lastRowLastColumn="0"/>
            </w:pPr>
            <w:r>
              <w:t>AusNet Services</w:t>
            </w:r>
            <w:r w:rsidRPr="00351675">
              <w:t xml:space="preserve"> revised proposal (</w:t>
            </w:r>
            <w:r w:rsidR="00076F97">
              <w:t>2017–22</w:t>
            </w:r>
            <w:r w:rsidRPr="00351675">
              <w:t>)</w:t>
            </w:r>
          </w:p>
        </w:tc>
        <w:tc>
          <w:tcPr>
            <w:tcW w:w="1187" w:type="pct"/>
          </w:tcPr>
          <w:p w:rsidR="00351675" w:rsidRPr="00351675" w:rsidRDefault="00351675" w:rsidP="00351675">
            <w:pPr>
              <w:cnfStyle w:val="100000000000" w:firstRow="1" w:lastRow="0" w:firstColumn="0" w:lastColumn="0" w:oddVBand="0" w:evenVBand="0" w:oddHBand="0" w:evenHBand="0" w:firstRowFirstColumn="0" w:firstRowLastColumn="0" w:lastRowFirstColumn="0" w:lastRowLastColumn="0"/>
            </w:pPr>
            <w:r w:rsidRPr="00381B0E">
              <w:t>AER final decision</w:t>
            </w:r>
            <w:r w:rsidRPr="00351675">
              <w:t xml:space="preserve"> (2017–22)</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Nominal risk free rate</w:t>
            </w:r>
            <w:r w:rsidRPr="00351675">
              <w:t xml:space="preserve"> (return on equity only)</w:t>
            </w:r>
          </w:p>
        </w:tc>
        <w:tc>
          <w:tcPr>
            <w:tcW w:w="1177" w:type="pct"/>
          </w:tcPr>
          <w:p w:rsidR="00351675" w:rsidRPr="00351675" w:rsidRDefault="00351675" w:rsidP="00351675">
            <w:pPr>
              <w:cnfStyle w:val="000000000000" w:firstRow="0" w:lastRow="0" w:firstColumn="0" w:lastColumn="0" w:oddVBand="0" w:evenVBand="0" w:oddHBand="0" w:evenHBand="0" w:firstRowFirstColumn="0" w:firstRowLastColumn="0" w:lastRowFirstColumn="0" w:lastRowLastColumn="0"/>
            </w:pPr>
            <w:r>
              <w:t>4.31</w:t>
            </w:r>
            <w:r w:rsidRPr="00351675">
              <w:t>%</w:t>
            </w:r>
          </w:p>
        </w:tc>
        <w:tc>
          <w:tcPr>
            <w:tcW w:w="1386" w:type="pct"/>
          </w:tcPr>
          <w:p w:rsidR="00351675" w:rsidRPr="00351675" w:rsidRDefault="00A914F3" w:rsidP="00351675">
            <w:pPr>
              <w:cnfStyle w:val="000000000000" w:firstRow="0" w:lastRow="0" w:firstColumn="0" w:lastColumn="0" w:oddVBand="0" w:evenVBand="0" w:oddHBand="0" w:evenHBand="0" w:firstRowFirstColumn="0" w:firstRowLastColumn="0" w:lastRowFirstColumn="0" w:lastRowLastColumn="0"/>
              <w:rPr>
                <w:rStyle w:val="AERsuperscript"/>
              </w:rPr>
            </w:pPr>
            <w:r>
              <w:t>1.97</w:t>
            </w:r>
            <w:r w:rsidR="00351675" w:rsidRPr="00351675">
              <w:t>%</w:t>
            </w:r>
          </w:p>
        </w:tc>
        <w:tc>
          <w:tcPr>
            <w:tcW w:w="1187" w:type="pct"/>
          </w:tcPr>
          <w:p w:rsidR="00351675" w:rsidRPr="00351675" w:rsidRDefault="00222E5F" w:rsidP="00351675">
            <w:pPr>
              <w:cnfStyle w:val="000000000000" w:firstRow="0" w:lastRow="0" w:firstColumn="0" w:lastColumn="0" w:oddVBand="0" w:evenVBand="0" w:oddHBand="0" w:evenHBand="0" w:firstRowFirstColumn="0" w:firstRowLastColumn="0" w:lastRowFirstColumn="0" w:lastRowLastColumn="0"/>
              <w:rPr>
                <w:rStyle w:val="AERsuperscript"/>
              </w:rPr>
            </w:pPr>
            <w:r>
              <w:t>2.52%</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 xml:space="preserve">Equity risk premium </w:t>
            </w:r>
          </w:p>
        </w:tc>
        <w:tc>
          <w:tcPr>
            <w:tcW w:w="1177" w:type="pct"/>
          </w:tcPr>
          <w:p w:rsidR="00351675" w:rsidRPr="00351675" w:rsidRDefault="00351675" w:rsidP="00351675">
            <w:pPr>
              <w:cnfStyle w:val="000000010000" w:firstRow="0" w:lastRow="0" w:firstColumn="0" w:lastColumn="0" w:oddVBand="0" w:evenVBand="0" w:oddHBand="0" w:evenHBand="1" w:firstRowFirstColumn="0" w:firstRowLastColumn="0" w:lastRowFirstColumn="0" w:lastRowLastColumn="0"/>
            </w:pPr>
            <w:r>
              <w:t>5.20</w:t>
            </w:r>
            <w:r w:rsidRPr="00351675">
              <w:t>%</w:t>
            </w:r>
          </w:p>
        </w:tc>
        <w:tc>
          <w:tcPr>
            <w:tcW w:w="1386" w:type="pct"/>
          </w:tcPr>
          <w:p w:rsidR="00351675" w:rsidRPr="00351675" w:rsidRDefault="00EE70B8" w:rsidP="00351675">
            <w:pPr>
              <w:cnfStyle w:val="000000010000" w:firstRow="0" w:lastRow="0" w:firstColumn="0" w:lastColumn="0" w:oddVBand="0" w:evenVBand="0" w:oddHBand="0" w:evenHBand="1" w:firstRowFirstColumn="0" w:firstRowLastColumn="0" w:lastRowFirstColumn="0" w:lastRowLastColumn="0"/>
            </w:pPr>
            <w:r>
              <w:t>5.23</w:t>
            </w:r>
            <w:r w:rsidR="00351675" w:rsidRPr="00351675">
              <w:t>%</w:t>
            </w:r>
          </w:p>
        </w:tc>
        <w:tc>
          <w:tcPr>
            <w:tcW w:w="1187" w:type="pct"/>
          </w:tcPr>
          <w:p w:rsidR="00351675" w:rsidRPr="00351675" w:rsidRDefault="00222E5F" w:rsidP="00351675">
            <w:pPr>
              <w:cnfStyle w:val="000000010000" w:firstRow="0" w:lastRow="0" w:firstColumn="0" w:lastColumn="0" w:oddVBand="0" w:evenVBand="0" w:oddHBand="0" w:evenHBand="1" w:firstRowFirstColumn="0" w:firstRowLastColumn="0" w:lastRowFirstColumn="0" w:lastRowLastColumn="0"/>
            </w:pPr>
            <w:r>
              <w:t>4.55%</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MRP</w:t>
            </w:r>
          </w:p>
        </w:tc>
        <w:tc>
          <w:tcPr>
            <w:tcW w:w="1177" w:type="pct"/>
          </w:tcPr>
          <w:p w:rsidR="00351675" w:rsidRPr="00351675" w:rsidRDefault="00351675" w:rsidP="00351675">
            <w:pPr>
              <w:cnfStyle w:val="000000000000" w:firstRow="0" w:lastRow="0" w:firstColumn="0" w:lastColumn="0" w:oddVBand="0" w:evenVBand="0" w:oddHBand="0" w:evenHBand="0" w:firstRowFirstColumn="0" w:firstRowLastColumn="0" w:lastRowFirstColumn="0" w:lastRowLastColumn="0"/>
            </w:pPr>
            <w:r w:rsidRPr="00796C00">
              <w:t>6.</w:t>
            </w:r>
            <w:r w:rsidRPr="00351675">
              <w:t>50%</w:t>
            </w:r>
          </w:p>
        </w:tc>
        <w:tc>
          <w:tcPr>
            <w:tcW w:w="1386" w:type="pct"/>
          </w:tcPr>
          <w:p w:rsidR="00351675" w:rsidRPr="00351675" w:rsidRDefault="00351675" w:rsidP="00351675">
            <w:pPr>
              <w:cnfStyle w:val="000000000000" w:firstRow="0" w:lastRow="0" w:firstColumn="0" w:lastColumn="0" w:oddVBand="0" w:evenVBand="0" w:oddHBand="0" w:evenHBand="0" w:firstRowFirstColumn="0" w:firstRowLastColumn="0" w:lastRowFirstColumn="0" w:lastRowLastColumn="0"/>
            </w:pPr>
            <w:r>
              <w:t>7.</w:t>
            </w:r>
            <w:r w:rsidR="00A914F3">
              <w:t>5</w:t>
            </w:r>
            <w:r>
              <w:t>0</w:t>
            </w:r>
            <w:r w:rsidRPr="00351675">
              <w:t>%</w:t>
            </w:r>
          </w:p>
        </w:tc>
        <w:tc>
          <w:tcPr>
            <w:tcW w:w="1187" w:type="pct"/>
          </w:tcPr>
          <w:p w:rsidR="00351675" w:rsidRPr="00351675" w:rsidRDefault="00222E5F" w:rsidP="00351675">
            <w:pPr>
              <w:cnfStyle w:val="000000000000" w:firstRow="0" w:lastRow="0" w:firstColumn="0" w:lastColumn="0" w:oddVBand="0" w:evenVBand="0" w:oddHBand="0" w:evenHBand="0" w:firstRowFirstColumn="0" w:firstRowLastColumn="0" w:lastRowFirstColumn="0" w:lastRowLastColumn="0"/>
            </w:pPr>
            <w:r>
              <w:t>6.5%</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Equity beta</w:t>
            </w:r>
          </w:p>
        </w:tc>
        <w:tc>
          <w:tcPr>
            <w:tcW w:w="1177" w:type="pct"/>
          </w:tcPr>
          <w:p w:rsidR="00351675" w:rsidRPr="00351675" w:rsidRDefault="00351675" w:rsidP="00351675">
            <w:pPr>
              <w:cnfStyle w:val="000000010000" w:firstRow="0" w:lastRow="0" w:firstColumn="0" w:lastColumn="0" w:oddVBand="0" w:evenVBand="0" w:oddHBand="0" w:evenHBand="1" w:firstRowFirstColumn="0" w:firstRowLastColumn="0" w:lastRowFirstColumn="0" w:lastRowLastColumn="0"/>
            </w:pPr>
            <w:r>
              <w:t>0.8</w:t>
            </w:r>
          </w:p>
        </w:tc>
        <w:tc>
          <w:tcPr>
            <w:tcW w:w="1386" w:type="pct"/>
          </w:tcPr>
          <w:p w:rsidR="00351675" w:rsidRPr="00351675" w:rsidRDefault="00222E5F" w:rsidP="00222E5F">
            <w:pPr>
              <w:cnfStyle w:val="000000010000" w:firstRow="0" w:lastRow="0" w:firstColumn="0" w:lastColumn="0" w:oddVBand="0" w:evenVBand="0" w:oddHBand="0" w:evenHBand="1" w:firstRowFirstColumn="0" w:firstRowLastColumn="0" w:lastRowFirstColumn="0" w:lastRowLastColumn="0"/>
            </w:pPr>
            <w:r>
              <w:t>0.7</w:t>
            </w:r>
          </w:p>
        </w:tc>
        <w:tc>
          <w:tcPr>
            <w:tcW w:w="1187" w:type="pct"/>
          </w:tcPr>
          <w:p w:rsidR="00351675" w:rsidRPr="00351675" w:rsidRDefault="00222E5F" w:rsidP="00351675">
            <w:pPr>
              <w:cnfStyle w:val="000000010000" w:firstRow="0" w:lastRow="0" w:firstColumn="0" w:lastColumn="0" w:oddVBand="0" w:evenVBand="0" w:oddHBand="0" w:evenHBand="1" w:firstRowFirstColumn="0" w:firstRowLastColumn="0" w:lastRowFirstColumn="0" w:lastRowLastColumn="0"/>
            </w:pPr>
            <w:r>
              <w:t>0.7</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 xml:space="preserve">Nominal post–tax return on equity </w:t>
            </w:r>
          </w:p>
        </w:tc>
        <w:tc>
          <w:tcPr>
            <w:tcW w:w="1177" w:type="pct"/>
          </w:tcPr>
          <w:p w:rsidR="00351675" w:rsidRPr="00351675" w:rsidRDefault="00351675" w:rsidP="00351675">
            <w:pPr>
              <w:cnfStyle w:val="000000000000" w:firstRow="0" w:lastRow="0" w:firstColumn="0" w:lastColumn="0" w:oddVBand="0" w:evenVBand="0" w:oddHBand="0" w:evenHBand="0" w:firstRowFirstColumn="0" w:firstRowLastColumn="0" w:lastRowFirstColumn="0" w:lastRowLastColumn="0"/>
            </w:pPr>
            <w:r>
              <w:t>9.51</w:t>
            </w:r>
            <w:r w:rsidRPr="00351675">
              <w:t>%</w:t>
            </w:r>
          </w:p>
        </w:tc>
        <w:tc>
          <w:tcPr>
            <w:tcW w:w="1386" w:type="pct"/>
          </w:tcPr>
          <w:p w:rsidR="00351675" w:rsidRPr="00351675" w:rsidRDefault="008A451E" w:rsidP="00351675">
            <w:pPr>
              <w:cnfStyle w:val="000000000000" w:firstRow="0" w:lastRow="0" w:firstColumn="0" w:lastColumn="0" w:oddVBand="0" w:evenVBand="0" w:oddHBand="0" w:evenHBand="0" w:firstRowFirstColumn="0" w:firstRowLastColumn="0" w:lastRowFirstColumn="0" w:lastRowLastColumn="0"/>
            </w:pPr>
            <w:r>
              <w:t>7</w:t>
            </w:r>
            <w:r w:rsidRPr="008A451E">
              <w:t>.20</w:t>
            </w:r>
            <w:r w:rsidR="008D2F88">
              <w:t>%</w:t>
            </w:r>
          </w:p>
        </w:tc>
        <w:tc>
          <w:tcPr>
            <w:tcW w:w="1187" w:type="pct"/>
          </w:tcPr>
          <w:p w:rsidR="00351675" w:rsidRPr="00351675" w:rsidRDefault="00222E5F" w:rsidP="00351675">
            <w:pPr>
              <w:cnfStyle w:val="000000000000" w:firstRow="0" w:lastRow="0" w:firstColumn="0" w:lastColumn="0" w:oddVBand="0" w:evenVBand="0" w:oddHBand="0" w:evenHBand="0" w:firstRowFirstColumn="0" w:firstRowLastColumn="0" w:lastRowFirstColumn="0" w:lastRowLastColumn="0"/>
            </w:pPr>
            <w:r>
              <w:t>7.07%</w:t>
            </w:r>
          </w:p>
        </w:tc>
      </w:tr>
    </w:tbl>
    <w:p w:rsidR="00B656A7" w:rsidRDefault="00B656A7" w:rsidP="0030019B">
      <w:pPr>
        <w:pStyle w:val="AERtablesource"/>
      </w:pPr>
      <w:r>
        <w:t>Source:</w:t>
      </w:r>
      <w:r>
        <w:tab/>
        <w:t xml:space="preserve">AER analysis; AusNet Services, </w:t>
      </w:r>
      <w:r>
        <w:rPr>
          <w:rStyle w:val="AERtextitalic"/>
        </w:rPr>
        <w:t>Transmission Revenue Review 2017-2022 - Revised Revenue Proposal</w:t>
      </w:r>
      <w:r>
        <w:t xml:space="preserve">, 21 September 2016; </w:t>
      </w:r>
      <w:r>
        <w:rPr>
          <w:rStyle w:val="AERtextsize8"/>
        </w:rPr>
        <w:t xml:space="preserve">AER, </w:t>
      </w:r>
      <w:r>
        <w:rPr>
          <w:rStyle w:val="AERtextitalic"/>
        </w:rPr>
        <w:t>Final Decision: SP AusNet Transmission determination 2014-2017,</w:t>
      </w:r>
      <w:r>
        <w:rPr>
          <w:rStyle w:val="AERtextsize8"/>
        </w:rPr>
        <w:t xml:space="preserve"> January 2014</w:t>
      </w:r>
      <w:r>
        <w:t>.</w:t>
      </w:r>
    </w:p>
    <w:p w:rsidR="00351675" w:rsidRDefault="0030019B" w:rsidP="0030019B">
      <w:pPr>
        <w:pStyle w:val="AERtablesource"/>
      </w:pPr>
      <w:r>
        <w:rPr>
          <w:rStyle w:val="AERtextsize8"/>
        </w:rPr>
        <w:tab/>
      </w:r>
      <w:r w:rsidR="008748DA">
        <w:rPr>
          <w:rStyle w:val="AERtextsize8"/>
        </w:rPr>
        <w:t>*</w:t>
      </w:r>
      <w:r w:rsidR="008748DA" w:rsidRPr="00063EEC">
        <w:rPr>
          <w:rStyle w:val="AERtextsize8"/>
        </w:rPr>
        <w:t xml:space="preserve">Calculated with an averaging period of 20 business days up to </w:t>
      </w:r>
      <w:r w:rsidR="00092F0E" w:rsidRPr="00063EEC">
        <w:rPr>
          <w:rStyle w:val="AERtextsize8"/>
        </w:rPr>
        <w:t xml:space="preserve">25 November 2016 </w:t>
      </w:r>
      <w:r w:rsidR="00E64C45" w:rsidRPr="00063EEC">
        <w:rPr>
          <w:rStyle w:val="AERtextsize8"/>
        </w:rPr>
        <w:t>agreed upon in advance of its commencement.</w:t>
      </w:r>
      <w:r w:rsidR="00451C27" w:rsidRPr="00063EEC">
        <w:t xml:space="preserve"> </w:t>
      </w:r>
    </w:p>
    <w:p w:rsidR="00351675" w:rsidRPr="00BF711B" w:rsidRDefault="00351675" w:rsidP="00351675">
      <w:pPr>
        <w:rPr>
          <w:rStyle w:val="AERbody"/>
        </w:rPr>
      </w:pPr>
      <w:r w:rsidRPr="00BF711B">
        <w:rPr>
          <w:rStyle w:val="AERbody"/>
        </w:rPr>
        <w:t>Our final decision on the return on debt approach is to:</w:t>
      </w:r>
    </w:p>
    <w:p w:rsidR="00351675" w:rsidRDefault="00351675" w:rsidP="00351675">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regulatory control period</w:t>
      </w:r>
      <w:r w:rsidRPr="00F17A9D">
        <w:t xml:space="preserve">) in </w:t>
      </w:r>
      <w:r w:rsidR="00076F97">
        <w:t>2017–18</w:t>
      </w:r>
      <w:r w:rsidR="008D18DD">
        <w:t xml:space="preserve"> </w:t>
      </w:r>
      <w:r w:rsidRPr="00F17A9D">
        <w:t>of</w:t>
      </w:r>
      <w:r>
        <w:t xml:space="preserve"> the 2017–22</w:t>
      </w:r>
      <w:r w:rsidRPr="00F17A9D">
        <w:t xml:space="preserve"> </w:t>
      </w:r>
      <w:r>
        <w:t xml:space="preserve">regulatory control </w:t>
      </w:r>
      <w:r w:rsidRPr="00F17A9D">
        <w:t>period</w:t>
      </w:r>
      <w:r>
        <w:t>, and</w:t>
      </w:r>
    </w:p>
    <w:p w:rsidR="00351675" w:rsidRDefault="00351675" w:rsidP="00351675">
      <w:pPr>
        <w:pStyle w:val="AERbulletlistfirststyle"/>
      </w:pPr>
      <w:r>
        <w:t>gradually transit</w:t>
      </w:r>
      <w:r w:rsidR="00B00051">
        <w:t>ion</w:t>
      </w:r>
      <w:r w:rsidRPr="00F17A9D">
        <w:t xml:space="preserve"> this</w:t>
      </w:r>
      <w:r>
        <w:t xml:space="preserve"> approach </w:t>
      </w:r>
      <w:r w:rsidRPr="00F17A9D">
        <w:t>into a trailing average approach (</w:t>
      </w:r>
      <w:r>
        <w:t xml:space="preserve">that is, </w:t>
      </w:r>
      <w:r w:rsidRPr="00F17A9D">
        <w:t>a moving historical average) over 10 years.</w:t>
      </w:r>
      <w:r>
        <w:rPr>
          <w:rStyle w:val="FootnoteReference"/>
        </w:rPr>
        <w:footnoteReference w:id="15"/>
      </w:r>
    </w:p>
    <w:p w:rsidR="00351675" w:rsidRPr="00235F75" w:rsidRDefault="00351675" w:rsidP="00351675">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6"/>
      </w:r>
      <w:r>
        <w:t xml:space="preserve"> This approach is consistent with the approached we proposed in the Guideline and adopted in the </w:t>
      </w:r>
      <w:r w:rsidR="00DD2C3C">
        <w:t xml:space="preserve">draft </w:t>
      </w:r>
      <w:r>
        <w:t xml:space="preserve">decision. </w:t>
      </w:r>
      <w:r w:rsidRPr="00235F75">
        <w:t xml:space="preserve">Our </w:t>
      </w:r>
      <w:r>
        <w:t>final decision is to estimate the return on debt in each regulatory year by reference to</w:t>
      </w:r>
      <w:r w:rsidRPr="00235F75">
        <w:t>:</w:t>
      </w:r>
    </w:p>
    <w:p w:rsidR="00351675" w:rsidRPr="00CC2262" w:rsidRDefault="00351675" w:rsidP="00351675">
      <w:pPr>
        <w:pStyle w:val="AERbulletlistfirststyle"/>
      </w:pPr>
      <w:r w:rsidRPr="00235F75">
        <w:t>a benchmark credit rating of BBB+</w:t>
      </w:r>
    </w:p>
    <w:p w:rsidR="00351675" w:rsidRPr="00CC2262" w:rsidRDefault="00351675" w:rsidP="00351675">
      <w:pPr>
        <w:pStyle w:val="AERbulletlistfirststyle"/>
      </w:pPr>
      <w:r w:rsidRPr="00235F75">
        <w:t>a benchmark term of debt of 10 years</w:t>
      </w:r>
    </w:p>
    <w:p w:rsidR="00351675" w:rsidRPr="00CC2262" w:rsidRDefault="00351675" w:rsidP="00351675">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7"/>
      </w:r>
    </w:p>
    <w:p w:rsidR="00351675" w:rsidRPr="00CC2262" w:rsidRDefault="00351675" w:rsidP="00351675">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8"/>
      </w:r>
    </w:p>
    <w:p w:rsidR="00351675" w:rsidRDefault="009D0037" w:rsidP="00CC7A1C">
      <w:pPr>
        <w:numPr>
          <w:ilvl w:val="0"/>
          <w:numId w:val="24"/>
        </w:numPr>
      </w:pPr>
      <w:r>
        <w:t>The</w:t>
      </w:r>
      <w:r w:rsidR="00351675">
        <w:t xml:space="preserve"> Tribunal recently reviewed several aspects of our approach to estimating the allowed return on debt in decisions for ActewAGL, Jemena Gas Networks and Networks NSW</w:t>
      </w:r>
      <w:r w:rsidR="00954A0B">
        <w:t>.</w:t>
      </w:r>
      <w:r w:rsidR="00955B8B">
        <w:rPr>
          <w:rStyle w:val="FootnoteReference"/>
        </w:rPr>
        <w:footnoteReference w:id="19"/>
      </w:r>
      <w:r w:rsidR="00954A0B" w:rsidRPr="002656D9">
        <w:rPr>
          <w:rStyle w:val="AERsuperscript"/>
        </w:rPr>
        <w:t>,</w:t>
      </w:r>
      <w:r w:rsidR="00D22444">
        <w:rPr>
          <w:rStyle w:val="FootnoteReference"/>
        </w:rPr>
        <w:footnoteReference w:id="20"/>
      </w:r>
      <w:r w:rsidR="00351675">
        <w:t xml:space="preserve"> Specifically, the Tribunal was asked to review:</w:t>
      </w:r>
    </w:p>
    <w:p w:rsidR="00351675" w:rsidRPr="00454ED0" w:rsidRDefault="00351675" w:rsidP="00351675">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21"/>
      </w:r>
    </w:p>
    <w:p w:rsidR="00351675" w:rsidRPr="00454ED0" w:rsidRDefault="00351675" w:rsidP="00351675">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00615485">
        <w:t xml:space="preserve"> [debt risk premium]</w:t>
      </w:r>
      <w:r>
        <w:t>'.</w:t>
      </w:r>
      <w:r w:rsidRPr="00454ED0">
        <w:rPr>
          <w:rStyle w:val="FootnoteReference"/>
        </w:rPr>
        <w:t xml:space="preserve"> </w:t>
      </w:r>
      <w:r w:rsidRPr="00454ED0">
        <w:rPr>
          <w:rStyle w:val="FootnoteReference"/>
        </w:rPr>
        <w:footnoteReference w:id="22"/>
      </w:r>
    </w:p>
    <w:p w:rsidR="00351675" w:rsidRPr="00454ED0" w:rsidRDefault="00351675" w:rsidP="00351675">
      <w:pPr>
        <w:pStyle w:val="AERbulletlistfirststyle"/>
      </w:pPr>
      <w:r>
        <w:t>Whether we should transition all of the return on debt</w:t>
      </w:r>
      <w:r>
        <w:rPr>
          <w:rStyle w:val="FootnoteReference"/>
        </w:rPr>
        <w:footnoteReference w:id="23"/>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24"/>
      </w:r>
      <w:r>
        <w:t xml:space="preserve"> We note the Tribunal's decision in section </w:t>
      </w:r>
      <w:r w:rsidR="004C69BA">
        <w:fldChar w:fldCharType="begin"/>
      </w:r>
      <w:r w:rsidR="004C69BA">
        <w:instrText xml:space="preserve"> REF _Ref478718271 \r \h </w:instrText>
      </w:r>
      <w:r w:rsidR="004C69BA">
        <w:fldChar w:fldCharType="separate"/>
      </w:r>
      <w:r w:rsidR="006B4A74">
        <w:t>3.4.2</w:t>
      </w:r>
      <w:r w:rsidR="004C69BA">
        <w:fldChar w:fldCharType="end"/>
      </w:r>
      <w:r w:rsidR="004C69BA">
        <w:t xml:space="preserve"> </w:t>
      </w:r>
      <w:r>
        <w:t xml:space="preserve">and Appendix </w:t>
      </w:r>
      <w:r w:rsidR="008D18DD">
        <w:t>A</w:t>
      </w:r>
      <w:r>
        <w:t>.</w:t>
      </w:r>
    </w:p>
    <w:p w:rsidR="00783A3A" w:rsidRDefault="00783A3A" w:rsidP="00CC7A1C">
      <w:pPr>
        <w:numPr>
          <w:ilvl w:val="0"/>
          <w:numId w:val="24"/>
        </w:numPr>
      </w:pPr>
      <w:r>
        <w:t>The Tribunal</w:t>
      </w:r>
      <w:r w:rsidR="00D22444">
        <w:t xml:space="preserve"> </w:t>
      </w:r>
      <w:r>
        <w:t>confirmed our use of a BBB+ credit rating and use of a simple average of debt yields (interpolated or extrapolated as set out in our decision) from the RBA and Bloomberg. While the Tribunal found error in our approach to debt transition, we appealed the Tribunal decision on this point to the F</w:t>
      </w:r>
      <w:r w:rsidR="00C71E6B">
        <w:t>ull F</w:t>
      </w:r>
      <w:r>
        <w:t xml:space="preserve">ederal Court </w:t>
      </w:r>
      <w:r w:rsidR="00C71E6B">
        <w:t xml:space="preserve">and its decision </w:t>
      </w:r>
      <w:r>
        <w:t xml:space="preserve">is currently reserved. </w:t>
      </w:r>
    </w:p>
    <w:p w:rsidR="006F789C" w:rsidRDefault="009D0037" w:rsidP="00CC7A1C">
      <w:pPr>
        <w:numPr>
          <w:ilvl w:val="0"/>
          <w:numId w:val="24"/>
        </w:numPr>
      </w:pPr>
      <w:r>
        <w:t>Following confirmation of our approach in the Tribunal</w:t>
      </w:r>
      <w:r w:rsidR="00783A3A">
        <w:t xml:space="preserve"> in relation to our choice of credit rating and averaging of the RBA and Bloomberg yields</w:t>
      </w:r>
      <w:r>
        <w:t>, we have continued to apply th</w:t>
      </w:r>
      <w:r w:rsidR="00783A3A">
        <w:t>ese</w:t>
      </w:r>
      <w:r>
        <w:t xml:space="preserve"> approach</w:t>
      </w:r>
      <w:r w:rsidR="00783A3A">
        <w:t>es</w:t>
      </w:r>
      <w:r>
        <w:t xml:space="preserve"> in our revenue determinations for network businesses. </w:t>
      </w:r>
      <w:r w:rsidR="00783A3A">
        <w:t>We have also co</w:t>
      </w:r>
      <w:r w:rsidR="006F789C">
        <w:t>n</w:t>
      </w:r>
      <w:r w:rsidR="00783A3A">
        <w:t>tinued to apply our</w:t>
      </w:r>
      <w:r w:rsidR="006F789C">
        <w:t xml:space="preserve"> </w:t>
      </w:r>
      <w:r w:rsidR="00783A3A">
        <w:t xml:space="preserve">(full) debt </w:t>
      </w:r>
      <w:r w:rsidR="00410AB6">
        <w:t>transition</w:t>
      </w:r>
      <w:r w:rsidR="00783A3A">
        <w:t xml:space="preserve"> approach given we remain of the view it is required to achieve the ARORO and we have appealed the Tribunal's decision on this point.</w:t>
      </w:r>
      <w:r>
        <w:t xml:space="preserve"> Th</w:t>
      </w:r>
      <w:r w:rsidR="00D22444">
        <w:t>erefore,</w:t>
      </w:r>
      <w:r>
        <w:t xml:space="preserve"> the approach to estimating debt </w:t>
      </w:r>
      <w:r w:rsidR="00D22444">
        <w:t>used in this decision</w:t>
      </w:r>
      <w:r>
        <w:t xml:space="preserve"> is currently operating for most network businesses including privately owned network businesses.  </w:t>
      </w:r>
    </w:p>
    <w:p w:rsidR="006F789C" w:rsidRDefault="00D22444" w:rsidP="00CC7A1C">
      <w:pPr>
        <w:numPr>
          <w:ilvl w:val="0"/>
          <w:numId w:val="24"/>
        </w:numPr>
      </w:pPr>
      <w:r>
        <w:t>More r</w:t>
      </w:r>
      <w:r w:rsidR="009D0037">
        <w:t xml:space="preserve">ecently, </w:t>
      </w:r>
      <w:r w:rsidR="006F789C">
        <w:t xml:space="preserve">the following </w:t>
      </w:r>
      <w:r>
        <w:t xml:space="preserve">legal </w:t>
      </w:r>
      <w:r w:rsidR="006F789C">
        <w:t>events have occurred:</w:t>
      </w:r>
    </w:p>
    <w:p w:rsidR="006F789C" w:rsidRDefault="006F789C" w:rsidP="002656D9">
      <w:pPr>
        <w:pStyle w:val="AERbulletlistfirststyle"/>
      </w:pPr>
      <w:r>
        <w:t xml:space="preserve">The Tribunal in </w:t>
      </w:r>
      <w:r w:rsidR="00955B8B">
        <w:t>October 2016</w:t>
      </w:r>
      <w:r w:rsidR="00D22444">
        <w:t>, affirmed our decision to apply</w:t>
      </w:r>
      <w:r>
        <w:t xml:space="preserve"> a full </w:t>
      </w:r>
      <w:r w:rsidR="00D22444">
        <w:t xml:space="preserve">debt </w:t>
      </w:r>
      <w:r>
        <w:t>transition</w:t>
      </w:r>
      <w:r w:rsidR="0089473C">
        <w:t xml:space="preserve"> in our determination for SAPN</w:t>
      </w:r>
      <w:r w:rsidR="00D22444">
        <w:t>,</w:t>
      </w:r>
      <w:r w:rsidR="00955B8B">
        <w:rPr>
          <w:rStyle w:val="FootnoteReference"/>
        </w:rPr>
        <w:footnoteReference w:id="25"/>
      </w:r>
      <w:r>
        <w:t xml:space="preserve"> altho</w:t>
      </w:r>
      <w:r w:rsidR="00D22444">
        <w:t>u</w:t>
      </w:r>
      <w:r>
        <w:t>gh we note SAPN has appealed this to the Federal Court with the hearing scheduled for early May 2017</w:t>
      </w:r>
      <w:r w:rsidR="00D22444">
        <w:t>;</w:t>
      </w:r>
      <w:r w:rsidR="00955B8B">
        <w:rPr>
          <w:rStyle w:val="FootnoteReference"/>
        </w:rPr>
        <w:footnoteReference w:id="26"/>
      </w:r>
      <w:r w:rsidR="00D22444">
        <w:t xml:space="preserve"> and</w:t>
      </w:r>
    </w:p>
    <w:p w:rsidR="009D0037" w:rsidRDefault="009D0037" w:rsidP="002656D9">
      <w:pPr>
        <w:pStyle w:val="AERbulletlistfirststyle"/>
      </w:pPr>
      <w:r>
        <w:t>AusNet Services electricity distribution</w:t>
      </w:r>
      <w:r w:rsidR="00D22444">
        <w:t>, ActewAGL Gas Networks, and Jemena Distribution</w:t>
      </w:r>
      <w:r>
        <w:t xml:space="preserve"> brought application</w:t>
      </w:r>
      <w:r w:rsidR="00D22444">
        <w:t>s</w:t>
      </w:r>
      <w:r>
        <w:t xml:space="preserve"> for review by the Tribunal of certain aspects of the approach to determining the return on debt for further consideration by the Tribunal.</w:t>
      </w:r>
      <w:r w:rsidR="006F789C">
        <w:rPr>
          <w:rStyle w:val="FootnoteReference"/>
        </w:rPr>
        <w:footnoteReference w:id="27"/>
      </w:r>
      <w:r>
        <w:t xml:space="preserve"> The Tribunal has not </w:t>
      </w:r>
      <w:r w:rsidR="0074257E">
        <w:t xml:space="preserve">yet </w:t>
      </w:r>
      <w:r>
        <w:t xml:space="preserve">handed down its decision on those issues.  </w:t>
      </w:r>
    </w:p>
    <w:p w:rsidR="0074257E" w:rsidRDefault="0074257E" w:rsidP="00CC7A1C">
      <w:pPr>
        <w:numPr>
          <w:ilvl w:val="0"/>
          <w:numId w:val="24"/>
        </w:numPr>
      </w:pPr>
      <w:r>
        <w:t>In relation to the choice of data series</w:t>
      </w:r>
      <w:r w:rsidR="009D0037">
        <w:t xml:space="preserve"> we note that in </w:t>
      </w:r>
      <w:r w:rsidR="009D0037" w:rsidRPr="00235F75">
        <w:t xml:space="preserve">the </w:t>
      </w:r>
      <w:r w:rsidR="009D0037">
        <w:t>Guideline</w:t>
      </w:r>
      <w:r w:rsidR="009D0037" w:rsidRPr="00235F75">
        <w:t xml:space="preserve"> </w:t>
      </w:r>
      <w:r w:rsidR="00351675" w:rsidRPr="00235F75">
        <w:t>we proposed to use one or more third party data series to estimate the return on debt.</w:t>
      </w:r>
      <w:r w:rsidR="00351675" w:rsidRPr="00135F86">
        <w:rPr>
          <w:rStyle w:val="FootnoteReference"/>
        </w:rPr>
        <w:footnoteReference w:id="28"/>
      </w:r>
      <w:r w:rsidR="00351675" w:rsidRPr="00235F75">
        <w:t xml:space="preserve"> </w:t>
      </w:r>
      <w:r w:rsidR="00351675">
        <w:t>A</w:t>
      </w:r>
      <w:r w:rsidR="00351675" w:rsidRPr="00235F75">
        <w:t>t that time</w:t>
      </w:r>
      <w:r w:rsidR="00351675">
        <w:t>, however,</w:t>
      </w:r>
      <w:r w:rsidR="00351675" w:rsidRPr="00235F75">
        <w:t xml:space="preserve"> we had not formed a view on which data series to use. </w:t>
      </w:r>
      <w:r w:rsidR="00351675">
        <w:t>Our</w:t>
      </w:r>
      <w:r w:rsidR="00351675" w:rsidRPr="00235F75">
        <w:t xml:space="preserve"> April 2014 issues paper </w:t>
      </w:r>
      <w:r w:rsidR="00351675">
        <w:t>outlined how we would make</w:t>
      </w:r>
      <w:r w:rsidR="00351675" w:rsidRPr="00235F75">
        <w:t xml:space="preserve"> this choice and sought submissions from service providers.</w:t>
      </w:r>
      <w:r w:rsidR="00351675">
        <w:rPr>
          <w:rStyle w:val="FootnoteReference"/>
        </w:rPr>
        <w:footnoteReference w:id="29"/>
      </w:r>
      <w:r w:rsidR="00351675" w:rsidRPr="00235F75">
        <w:t xml:space="preserve"> </w:t>
      </w:r>
      <w:r w:rsidR="00C71E6B">
        <w:t>As noted above, w</w:t>
      </w:r>
      <w:r w:rsidR="00E10E75">
        <w:t xml:space="preserve">e </w:t>
      </w:r>
      <w:r w:rsidR="00351675">
        <w:t>adopted a simple average of the RBA and Bloomberg data series</w:t>
      </w:r>
      <w:r w:rsidR="00C71E6B">
        <w:t xml:space="preserve"> and our choice was affirmed by the Tribunal. </w:t>
      </w:r>
      <w:r w:rsidR="00351675">
        <w:t xml:space="preserve">Since then, </w:t>
      </w:r>
      <w:r>
        <w:t xml:space="preserve">however, </w:t>
      </w:r>
      <w:r w:rsidR="00E10E75">
        <w:t>some</w:t>
      </w:r>
      <w:r w:rsidR="00E10E75" w:rsidRPr="002E41F8">
        <w:t xml:space="preserve"> </w:t>
      </w:r>
      <w:r w:rsidR="00351675" w:rsidRPr="002E41F8">
        <w:t xml:space="preserve">service providers </w:t>
      </w:r>
      <w:r>
        <w:t xml:space="preserve">have proposed </w:t>
      </w:r>
      <w:r w:rsidR="00E10E75">
        <w:t>making use of the</w:t>
      </w:r>
      <w:r w:rsidR="00351675" w:rsidRPr="002E41F8">
        <w:t xml:space="preserve"> Thomson Reuters 10 year yield curve in addition to or in place of </w:t>
      </w:r>
      <w:r w:rsidR="00351675">
        <w:t xml:space="preserve">the </w:t>
      </w:r>
      <w:r w:rsidR="00351675" w:rsidRPr="002E41F8">
        <w:t xml:space="preserve">Bloomberg </w:t>
      </w:r>
      <w:r w:rsidR="00351675">
        <w:t>data series</w:t>
      </w:r>
      <w:r w:rsidR="00351675" w:rsidRPr="002E41F8">
        <w:t>.</w:t>
      </w:r>
      <w:r w:rsidR="00615485">
        <w:rPr>
          <w:rStyle w:val="FootnoteReference"/>
        </w:rPr>
        <w:footnoteReference w:id="30"/>
      </w:r>
      <w:r w:rsidR="00351675" w:rsidRPr="002E41F8">
        <w:t xml:space="preserve"> </w:t>
      </w:r>
      <w:r w:rsidR="00351675">
        <w:t xml:space="preserve">We have considered these proposals but maintain our position </w:t>
      </w:r>
      <w:r w:rsidR="00E10E75">
        <w:t xml:space="preserve">of using a simple average of the Bloomberg and RBA curves </w:t>
      </w:r>
      <w:r w:rsidR="00351675">
        <w:t>for reasons discussed in section</w:t>
      </w:r>
      <w:r w:rsidR="00956D15">
        <w:t xml:space="preserve"> </w:t>
      </w:r>
      <w:r w:rsidR="00956D15">
        <w:rPr>
          <w:b/>
          <w:bCs/>
          <w:lang w:val="en-US"/>
        </w:rPr>
        <w:fldChar w:fldCharType="begin"/>
      </w:r>
      <w:r w:rsidR="00956D15">
        <w:instrText xml:space="preserve"> REF _Ref478718271 \r \h </w:instrText>
      </w:r>
      <w:r w:rsidR="00956D15">
        <w:rPr>
          <w:b/>
          <w:bCs/>
          <w:lang w:val="en-US"/>
        </w:rPr>
      </w:r>
      <w:r w:rsidR="00956D15">
        <w:rPr>
          <w:b/>
          <w:bCs/>
          <w:lang w:val="en-US"/>
        </w:rPr>
        <w:fldChar w:fldCharType="separate"/>
      </w:r>
      <w:r w:rsidR="006B4A74">
        <w:t>3.4.2</w:t>
      </w:r>
      <w:r w:rsidR="00956D15">
        <w:rPr>
          <w:b/>
          <w:bCs/>
          <w:lang w:val="en-US"/>
        </w:rPr>
        <w:fldChar w:fldCharType="end"/>
      </w:r>
      <w:r w:rsidR="00351675">
        <w:t>.</w:t>
      </w:r>
    </w:p>
    <w:p w:rsidR="0074257E" w:rsidRDefault="0074257E" w:rsidP="0074257E">
      <w:r>
        <w:t xml:space="preserve">Our formula for automatically updating </w:t>
      </w:r>
      <w:r w:rsidRPr="00C6581F">
        <w:t>the return on debt</w:t>
      </w:r>
      <w:r w:rsidRPr="006C2A62">
        <w:t xml:space="preserve"> </w:t>
      </w:r>
      <w:r>
        <w:t xml:space="preserve">annually is set out in </w:t>
      </w:r>
      <w:r w:rsidRPr="009114E9">
        <w:rPr>
          <w:rStyle w:val="AERbody"/>
        </w:rPr>
        <w:t xml:space="preserve">Appendix </w:t>
      </w:r>
      <w:r>
        <w:rPr>
          <w:rStyle w:val="AERbody"/>
        </w:rPr>
        <w:t xml:space="preserve">H </w:t>
      </w:r>
      <w:r w:rsidRPr="009114E9">
        <w:rPr>
          <w:rStyle w:val="AERbody"/>
        </w:rPr>
        <w:t>of</w:t>
      </w:r>
      <w:r>
        <w:t xml:space="preserve"> this decision.</w:t>
      </w:r>
    </w:p>
    <w:p w:rsidR="0089473C" w:rsidRPr="00874B16" w:rsidRDefault="0089473C" w:rsidP="0089473C">
      <w:r>
        <w:t xml:space="preserve">We note that in this decision, we have considered and responded to relevant submissions and issues raised in relation to past regulatory determination processes, and concurrent determination processes forTasNetworks' distribution services and Powerlink's transmission services revenue proposals. </w:t>
      </w:r>
    </w:p>
    <w:p w:rsidR="00BC2F8E" w:rsidRPr="00874B16" w:rsidRDefault="00615485" w:rsidP="00351675">
      <w:r>
        <w:t xml:space="preserve"> </w:t>
      </w:r>
      <w:r w:rsidR="00101608">
        <w:t xml:space="preserve"> </w:t>
      </w:r>
    </w:p>
    <w:p w:rsidR="00351675" w:rsidRPr="001754EE" w:rsidRDefault="00351675" w:rsidP="00351675">
      <w:pPr>
        <w:pStyle w:val="Heading2"/>
      </w:pPr>
      <w:bookmarkStart w:id="17" w:name="_Toc481057462"/>
      <w:r>
        <w:t>AusNet Services</w:t>
      </w:r>
      <w:r w:rsidRPr="001754EE">
        <w:t>’</w:t>
      </w:r>
      <w:r>
        <w:t xml:space="preserve"> revised</w:t>
      </w:r>
      <w:r w:rsidRPr="001754EE">
        <w:t xml:space="preserve"> proposal</w:t>
      </w:r>
      <w:bookmarkEnd w:id="14"/>
      <w:bookmarkEnd w:id="17"/>
    </w:p>
    <w:p w:rsidR="003D1D59" w:rsidRDefault="003D1D59" w:rsidP="003D1D59">
      <w:pPr>
        <w:pStyle w:val="HeadingBoldBlue"/>
      </w:pPr>
      <w:bookmarkStart w:id="18" w:name="_Toc480460758"/>
      <w:bookmarkStart w:id="19" w:name="_Toc451171515"/>
      <w:r>
        <w:t>Return on equity</w:t>
      </w:r>
      <w:bookmarkEnd w:id="18"/>
    </w:p>
    <w:p w:rsidR="00DA1CF9" w:rsidRDefault="003D1D59" w:rsidP="00CC7A1C">
      <w:pPr>
        <w:numPr>
          <w:ilvl w:val="0"/>
          <w:numId w:val="24"/>
        </w:numPr>
      </w:pPr>
      <w:r>
        <w:t xml:space="preserve">In its revised proposal </w:t>
      </w:r>
      <w:r w:rsidR="00DA1CF9">
        <w:t>AusNet Services</w:t>
      </w:r>
      <w:r w:rsidR="00DA1CF9" w:rsidRPr="00F1535D">
        <w:t xml:space="preserve"> </w:t>
      </w:r>
      <w:r w:rsidR="00DA1CF9">
        <w:t>proposed</w:t>
      </w:r>
      <w:r w:rsidR="00DA1CF9" w:rsidRPr="00F1535D">
        <w:t xml:space="preserve"> a</w:t>
      </w:r>
      <w:r w:rsidR="00DA1CF9">
        <w:t xml:space="preserve"> return on equity estimate of 7.2 </w:t>
      </w:r>
      <w:r w:rsidR="00DA1CF9" w:rsidRPr="00F1535D">
        <w:t>per cent</w:t>
      </w:r>
      <w:r w:rsidR="00DA1CF9">
        <w:rPr>
          <w:rStyle w:val="FootnoteReference"/>
        </w:rPr>
        <w:footnoteReference w:id="31"/>
      </w:r>
      <w:r w:rsidR="00DA1CF9">
        <w:t xml:space="preserve">. This is based on </w:t>
      </w:r>
      <w:r w:rsidR="00A2305F">
        <w:t>our</w:t>
      </w:r>
      <w:r w:rsidR="00DA1CF9">
        <w:t xml:space="preserve"> foundation model approach</w:t>
      </w:r>
      <w:r>
        <w:t xml:space="preserve">. Whilst AusNet Services </w:t>
      </w:r>
      <w:r w:rsidR="00E10E75">
        <w:t>applied our estimate of equity beta of 0.7</w:t>
      </w:r>
      <w:r w:rsidR="00A2305F">
        <w:t>, its market risk premium was uplifted to</w:t>
      </w:r>
      <w:r>
        <w:t xml:space="preserve"> </w:t>
      </w:r>
      <w:r w:rsidR="005D2377">
        <w:t>7.5 per cent.</w:t>
      </w:r>
      <w:r w:rsidR="001E4D2A">
        <w:rPr>
          <w:rStyle w:val="FootnoteReference"/>
        </w:rPr>
        <w:footnoteReference w:id="32"/>
      </w:r>
      <w:r w:rsidR="005D2377">
        <w:t xml:space="preserve"> </w:t>
      </w:r>
    </w:p>
    <w:p w:rsidR="00351675" w:rsidRDefault="00351675" w:rsidP="00CC7A1C">
      <w:pPr>
        <w:pStyle w:val="HeadingBoldBlue"/>
        <w:numPr>
          <w:ilvl w:val="0"/>
          <w:numId w:val="24"/>
        </w:numPr>
      </w:pPr>
      <w:bookmarkStart w:id="20" w:name="_Toc480460759"/>
      <w:r>
        <w:t>Return on debt</w:t>
      </w:r>
      <w:bookmarkEnd w:id="20"/>
    </w:p>
    <w:p w:rsidR="00E10E75" w:rsidRPr="00E10E75" w:rsidRDefault="00E10E75" w:rsidP="00CC7A1C">
      <w:pPr>
        <w:pStyle w:val="ListParagraph"/>
        <w:numPr>
          <w:ilvl w:val="0"/>
          <w:numId w:val="24"/>
        </w:numPr>
      </w:pPr>
      <w:r w:rsidRPr="00E10E75">
        <w:t>In its revised regulatory proposal, AusNet Services proposed an immediate transition to the trailing average cost of debt. However, in a letter dated 9 December 2016 and again in a more detailed submission dated 20 December 2016, AusNet Services confirmed that it no longer maintained that position. AusNet accepts the application of the AER's approach of a full transition to the trailing average from the on the day approach.</w:t>
      </w:r>
      <w:r w:rsidRPr="00E10E75">
        <w:rPr>
          <w:rStyle w:val="FootnoteReference"/>
        </w:rPr>
        <w:footnoteReference w:id="33"/>
      </w:r>
      <w:r w:rsidRPr="00E10E75">
        <w:t xml:space="preserve"> </w:t>
      </w:r>
    </w:p>
    <w:p w:rsidR="0052093D" w:rsidRDefault="0052093D" w:rsidP="00351675">
      <w:r>
        <w:t>In implementing the return on debt, AusNet Services proposed:</w:t>
      </w:r>
    </w:p>
    <w:p w:rsidR="0021305D" w:rsidRDefault="0021305D" w:rsidP="0021305D">
      <w:pPr>
        <w:pStyle w:val="AERbulletlistfirststyle"/>
      </w:pPr>
      <w:r>
        <w:t>A 10 year term and BBB to BBB+ credit rating be used which is different to the BBB+ rating we proposed in the Guideline.</w:t>
      </w:r>
      <w:r>
        <w:rPr>
          <w:rStyle w:val="FootnoteReference"/>
        </w:rPr>
        <w:footnoteReference w:id="34"/>
      </w:r>
    </w:p>
    <w:p w:rsidR="0021305D" w:rsidRDefault="00615485" w:rsidP="0021305D">
      <w:pPr>
        <w:pStyle w:val="AERbulletlistfirststyle"/>
      </w:pPr>
      <w:r>
        <w:t xml:space="preserve">Solely </w:t>
      </w:r>
      <w:r w:rsidR="0021305D">
        <w:t xml:space="preserve">using </w:t>
      </w:r>
      <w:r w:rsidR="00F06031">
        <w:t xml:space="preserve">yield </w:t>
      </w:r>
      <w:r w:rsidR="0021305D">
        <w:t>data from the RBA</w:t>
      </w:r>
      <w:r w:rsidR="00F06031">
        <w:t xml:space="preserve">, or </w:t>
      </w:r>
      <w:r w:rsidR="007967C0">
        <w:t xml:space="preserve">alternatively, if </w:t>
      </w:r>
      <w:r w:rsidR="00F06031">
        <w:t xml:space="preserve">Bloomberg yield data </w:t>
      </w:r>
      <w:r w:rsidR="007967C0">
        <w:t>is</w:t>
      </w:r>
      <w:r w:rsidR="00F06031">
        <w:t xml:space="preserve"> </w:t>
      </w:r>
      <w:r w:rsidR="007967C0">
        <w:t xml:space="preserve">to be </w:t>
      </w:r>
      <w:r w:rsidR="00F06031">
        <w:t xml:space="preserve">used, </w:t>
      </w:r>
      <w:r w:rsidR="007967C0">
        <w:t>proposing</w:t>
      </w:r>
      <w:r w:rsidR="00F06031">
        <w:t xml:space="preserve"> yield data from Thomson Reuters</w:t>
      </w:r>
      <w:r w:rsidR="007967C0">
        <w:t xml:space="preserve"> should also be used and that it should be given equal weight to Bloomberg yield data</w:t>
      </w:r>
      <w:r w:rsidR="0021305D">
        <w:t>.</w:t>
      </w:r>
      <w:r w:rsidR="0021305D">
        <w:rPr>
          <w:rStyle w:val="FootnoteReference"/>
        </w:rPr>
        <w:footnoteReference w:id="35"/>
      </w:r>
      <w:r w:rsidR="0021305D">
        <w:t xml:space="preserve"> </w:t>
      </w:r>
    </w:p>
    <w:p w:rsidR="00DE563D" w:rsidRDefault="00DE563D" w:rsidP="00351675">
      <w:pPr>
        <w:pStyle w:val="Heading2"/>
      </w:pPr>
      <w:bookmarkStart w:id="21" w:name="_Toc481057463"/>
      <w:bookmarkEnd w:id="19"/>
      <w:r w:rsidRPr="001754EE">
        <w:t>AER’s</w:t>
      </w:r>
      <w:r>
        <w:t xml:space="preserve"> assessment approach</w:t>
      </w:r>
      <w:bookmarkEnd w:id="11"/>
      <w:bookmarkEnd w:id="21"/>
    </w:p>
    <w:p w:rsidR="00F90257" w:rsidRDefault="00F90257" w:rsidP="00CC7A1C">
      <w:pPr>
        <w:numPr>
          <w:ilvl w:val="0"/>
          <w:numId w:val="24"/>
        </w:numPr>
      </w:pPr>
      <w:r>
        <w:t>The National Electricity Law/National Gas Law (NEL/NGL) and rules (NER/NGR) form our framework for determining the rate of return. The key components of this framework include:</w:t>
      </w:r>
    </w:p>
    <w:p w:rsidR="00F90257" w:rsidRDefault="00F90257" w:rsidP="00F90257">
      <w:pPr>
        <w:pStyle w:val="AERbulletlistfirststyle"/>
      </w:pPr>
      <w:r>
        <w:t>national electricity/gas objective (NEO/NGO) and the RPPs in the</w:t>
      </w:r>
      <w:r w:rsidRPr="004919CC">
        <w:t xml:space="preserve"> </w:t>
      </w:r>
      <w:r>
        <w:t>NEL/NGL</w:t>
      </w:r>
    </w:p>
    <w:p w:rsidR="00F90257" w:rsidRDefault="00F90257" w:rsidP="00F90257">
      <w:pPr>
        <w:pStyle w:val="AERbulletlistfirststyle"/>
      </w:pPr>
      <w:r>
        <w:t>the overall rate of return</w:t>
      </w:r>
      <w:r w:rsidRPr="003337B3">
        <w:t>―</w:t>
      </w:r>
      <w:r>
        <w:t>consisting of the allowed return on equity and debt</w:t>
      </w:r>
    </w:p>
    <w:p w:rsidR="00F90257" w:rsidRDefault="00F90257" w:rsidP="00F90257">
      <w:pPr>
        <w:pStyle w:val="AERbulletlistfirststyle"/>
      </w:pPr>
      <w:r>
        <w:t>the ARORO and its elements</w:t>
      </w:r>
    </w:p>
    <w:p w:rsidR="00F90257" w:rsidRDefault="00F90257" w:rsidP="00F90257">
      <w:pPr>
        <w:pStyle w:val="AERbulletlistfirststyle"/>
      </w:pPr>
      <w:r>
        <w:t>return on debt factors</w:t>
      </w:r>
    </w:p>
    <w:p w:rsidR="00F90257" w:rsidRDefault="00F90257" w:rsidP="00F90257">
      <w:pPr>
        <w:pStyle w:val="AERbulletlistfirststyle"/>
      </w:pPr>
      <w:r>
        <w:t>considering i</w:t>
      </w:r>
      <w:r w:rsidRPr="009A2092">
        <w:t>nterrelationships within the rate of return</w:t>
      </w:r>
    </w:p>
    <w:p w:rsidR="00F90257" w:rsidRPr="00A77770" w:rsidRDefault="00F90257" w:rsidP="00F90257">
      <w:pPr>
        <w:pStyle w:val="AERbulletlistfirststyle"/>
      </w:pPr>
      <w:r>
        <w:t xml:space="preserve">use of the </w:t>
      </w:r>
      <w:r w:rsidRPr="00A77770">
        <w:t xml:space="preserve">Guideline </w:t>
      </w:r>
    </w:p>
    <w:p w:rsidR="00F90257" w:rsidRDefault="00F90257" w:rsidP="00F90257">
      <w:pPr>
        <w:pStyle w:val="AERbulletlistfirststyle"/>
      </w:pPr>
      <w:r>
        <w:t>consideration of information before us.</w:t>
      </w:r>
    </w:p>
    <w:p w:rsidR="00F90257" w:rsidRPr="00F90257" w:rsidRDefault="00F90257" w:rsidP="00F90257">
      <w:pPr>
        <w:pStyle w:val="Heading3"/>
      </w:pPr>
      <w:bookmarkStart w:id="22" w:name="_Toc451171518"/>
      <w:bookmarkStart w:id="23" w:name="_Toc451947990"/>
      <w:r>
        <w:t>National electricity and gas laws</w:t>
      </w:r>
      <w:bookmarkEnd w:id="22"/>
      <w:bookmarkEnd w:id="23"/>
    </w:p>
    <w:p w:rsidR="00F90257" w:rsidRPr="00762AAF" w:rsidRDefault="00F90257" w:rsidP="00CC7A1C">
      <w:pPr>
        <w:numPr>
          <w:ilvl w:val="0"/>
          <w:numId w:val="24"/>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36"/>
      </w:r>
      <w:r w:rsidRPr="00762AAF">
        <w:t xml:space="preserve"> The </w:t>
      </w:r>
      <w:r>
        <w:t>NEO</w:t>
      </w:r>
      <w:r w:rsidRPr="00762AAF">
        <w:t xml:space="preserve"> states:</w:t>
      </w:r>
    </w:p>
    <w:p w:rsidR="00F90257" w:rsidRPr="00BF711B" w:rsidRDefault="00F90257" w:rsidP="00F90257">
      <w:pPr>
        <w:pStyle w:val="AERquote"/>
      </w:pPr>
      <w:r w:rsidRPr="00BF711B">
        <w:t>The objective of this Law is to promote efficient investment in, and efficient operation and use of, electricity services for the long term interests of consumers of electricity with respect to —</w:t>
      </w:r>
    </w:p>
    <w:p w:rsidR="00F90257" w:rsidRPr="00BF711B" w:rsidRDefault="00F90257" w:rsidP="00F90257">
      <w:pPr>
        <w:pStyle w:val="AERquote"/>
      </w:pPr>
      <w:r w:rsidRPr="00BF711B">
        <w:tab/>
        <w:t xml:space="preserve">(a) price, quality, safety, reliability and security of supply of electricity; </w:t>
      </w:r>
    </w:p>
    <w:p w:rsidR="00F90257" w:rsidRPr="00BF711B" w:rsidRDefault="00F90257" w:rsidP="00F90257">
      <w:pPr>
        <w:pStyle w:val="AERquote"/>
      </w:pPr>
      <w:r w:rsidRPr="00BF711B">
        <w:tab/>
        <w:t xml:space="preserve">(b) and the reliability, safety and security of the national electricity system. </w:t>
      </w:r>
    </w:p>
    <w:p w:rsidR="00F90257" w:rsidRDefault="00F90257" w:rsidP="00CC7A1C">
      <w:pPr>
        <w:numPr>
          <w:ilvl w:val="0"/>
          <w:numId w:val="24"/>
        </w:numPr>
      </w:pPr>
      <w:r>
        <w:t>When we make a</w:t>
      </w:r>
      <w:r w:rsidRPr="00762AAF">
        <w:t xml:space="preserve"> distribution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F90257" w:rsidRPr="00762AAF" w:rsidRDefault="00F90257" w:rsidP="00CC7A1C">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7"/>
      </w:r>
      <w:r w:rsidRPr="00762AAF">
        <w:t xml:space="preserve"> In the context of the rate of return decision, we take particular account of the following </w:t>
      </w:r>
      <w:r>
        <w:t>RPPs</w:t>
      </w:r>
      <w:r w:rsidRPr="00762AAF">
        <w:t xml:space="preserve">: </w:t>
      </w:r>
    </w:p>
    <w:p w:rsidR="00F90257" w:rsidRPr="00762AAF" w:rsidRDefault="00F90257" w:rsidP="00F90257">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38"/>
      </w:r>
    </w:p>
    <w:p w:rsidR="00F90257" w:rsidRPr="00762AAF" w:rsidRDefault="00F90257" w:rsidP="00F90257">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39"/>
      </w:r>
      <w:r w:rsidRPr="00762AAF">
        <w:rPr>
          <w:rStyle w:val="FootnoteReference"/>
        </w:rPr>
        <w:t xml:space="preserve"> </w:t>
      </w:r>
    </w:p>
    <w:p w:rsidR="00F90257" w:rsidRPr="00762AAF" w:rsidRDefault="00F90257" w:rsidP="00F90257">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40"/>
      </w:r>
    </w:p>
    <w:p w:rsidR="00F90257" w:rsidRPr="00762AAF" w:rsidRDefault="00F90257" w:rsidP="00F90257">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41"/>
      </w:r>
      <w:r w:rsidRPr="00762AAF">
        <w:t xml:space="preserve"> </w:t>
      </w:r>
    </w:p>
    <w:p w:rsidR="00F90257" w:rsidRDefault="00F90257" w:rsidP="00F90257">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42"/>
      </w:r>
      <w:r w:rsidRPr="00762AAF">
        <w:t xml:space="preserve"> </w:t>
      </w:r>
    </w:p>
    <w:p w:rsidR="00F90257" w:rsidRPr="00F90257" w:rsidRDefault="00F90257" w:rsidP="00F90257">
      <w:pPr>
        <w:pStyle w:val="Heading3"/>
      </w:pPr>
      <w:bookmarkStart w:id="24" w:name="_Toc451171519"/>
      <w:bookmarkStart w:id="25" w:name="_Toc451947991"/>
      <w:r>
        <w:t>The overall rate of return</w:t>
      </w:r>
      <w:bookmarkEnd w:id="24"/>
      <w:bookmarkEnd w:id="25"/>
    </w:p>
    <w:p w:rsidR="00F90257" w:rsidRDefault="00D369E5" w:rsidP="00CC7A1C">
      <w:pPr>
        <w:numPr>
          <w:ilvl w:val="0"/>
          <w:numId w:val="24"/>
        </w:numPr>
      </w:pPr>
      <w:r>
        <w:t>We</w:t>
      </w:r>
      <w:r w:rsidR="00F90257">
        <w:t xml:space="preserve"> determine the</w:t>
      </w:r>
      <w:r w:rsidR="00F90257" w:rsidRPr="003248EB">
        <w:t xml:space="preserve"> allowed rate of return for a regulatory year </w:t>
      </w:r>
      <w:r w:rsidR="00F90257">
        <w:t xml:space="preserve">as </w:t>
      </w:r>
      <w:r w:rsidR="00F90257" w:rsidRPr="003248EB">
        <w:t xml:space="preserve">a weighted average of the return on equity for the </w:t>
      </w:r>
      <w:r w:rsidR="00F90257">
        <w:t xml:space="preserve">regulatory control period </w:t>
      </w:r>
      <w:r w:rsidR="00F90257" w:rsidRPr="003248EB">
        <w:t>in which that regulatory year occurs and the return o</w:t>
      </w:r>
      <w:r w:rsidR="00F90257">
        <w:t>n debt for that regulatory year. This must be determined on a nominal vanilla basis that is consistent with the estimate of the value of imputation credits.</w:t>
      </w:r>
      <w:r w:rsidR="00F90257" w:rsidRPr="00D5405B">
        <w:rPr>
          <w:rStyle w:val="FootnoteReference"/>
        </w:rPr>
        <w:footnoteReference w:id="43"/>
      </w:r>
      <w:r w:rsidR="00F90257">
        <w:t xml:space="preserve"> </w:t>
      </w:r>
      <w:r w:rsidR="00F90257" w:rsidRPr="00E75E61">
        <w:t xml:space="preserve">In </w:t>
      </w:r>
      <w:r w:rsidR="00F90257">
        <w:t>determining</w:t>
      </w:r>
      <w:r w:rsidR="00F90257" w:rsidRPr="00E75E61">
        <w:t xml:space="preserve"> the allowed rate of return, </w:t>
      </w:r>
      <w:r w:rsidR="00F90257">
        <w:t xml:space="preserve">we must have regard to </w:t>
      </w:r>
      <w:r w:rsidR="00F90257" w:rsidRPr="00E75E61">
        <w:t>the desirability of consistent application of financi</w:t>
      </w:r>
      <w:r w:rsidR="00F90257">
        <w:t xml:space="preserve">al parameters that are relevant </w:t>
      </w:r>
      <w:r>
        <w:t xml:space="preserve">and </w:t>
      </w:r>
      <w:r w:rsidR="00F90257">
        <w:t>common to</w:t>
      </w:r>
      <w:r w:rsidR="00F90257" w:rsidRPr="00E75E61">
        <w:t xml:space="preserve"> the return on equity and debt</w:t>
      </w:r>
      <w:r w:rsidR="00F90257">
        <w:t>.</w:t>
      </w:r>
      <w:r w:rsidR="00F90257">
        <w:rPr>
          <w:rStyle w:val="FootnoteReference"/>
        </w:rPr>
        <w:footnoteReference w:id="44"/>
      </w:r>
    </w:p>
    <w:p w:rsidR="00F90257" w:rsidRDefault="00F90257" w:rsidP="00CC7A1C">
      <w:pPr>
        <w:numPr>
          <w:ilvl w:val="0"/>
          <w:numId w:val="24"/>
        </w:numPr>
      </w:pPr>
      <w:r>
        <w:t>The rules require that we estimate the return on equity</w:t>
      </w:r>
      <w:r w:rsidRPr="00D14E31">
        <w:t xml:space="preserve"> for a regulatory</w:t>
      </w:r>
      <w:r>
        <w:t xml:space="preserve"> control</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5"/>
      </w:r>
    </w:p>
    <w:p w:rsidR="00F90257" w:rsidRPr="00762AAF" w:rsidRDefault="00F90257" w:rsidP="00CC7A1C">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6"/>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47"/>
      </w:r>
      <w:r>
        <w:t xml:space="preserve"> </w:t>
      </w:r>
      <w:r w:rsidRPr="00762AAF">
        <w:t>In estimating the return on debt we have regard to the following factors:</w:t>
      </w:r>
    </w:p>
    <w:p w:rsidR="00F90257" w:rsidRPr="00762AAF" w:rsidRDefault="00F90257" w:rsidP="00F90257">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F90257" w:rsidRPr="00762AAF" w:rsidRDefault="00F90257" w:rsidP="00F90257">
      <w:pPr>
        <w:pStyle w:val="AERbulletlistfirststyle"/>
      </w:pPr>
      <w:r>
        <w:t>t</w:t>
      </w:r>
      <w:r w:rsidRPr="00762AAF">
        <w:t>he interrelationship between the return on equity and the return on debt</w:t>
      </w:r>
      <w:r>
        <w:t>.</w:t>
      </w:r>
    </w:p>
    <w:p w:rsidR="00F90257" w:rsidRPr="00762AAF" w:rsidRDefault="00F90257" w:rsidP="00F90257">
      <w:pPr>
        <w:pStyle w:val="AERbulletlistfirststyle"/>
      </w:pPr>
      <w:r>
        <w:t>t</w:t>
      </w:r>
      <w:r w:rsidRPr="00762AAF">
        <w:t>he incentive</w:t>
      </w:r>
      <w:r w:rsidR="00D369E5">
        <w:t>s</w:t>
      </w:r>
      <w:r w:rsidRPr="00762AAF">
        <w:t xml:space="preserve"> that the return on debt may provide in relation to capital expenditure over the regulatory control period, including as to the timing of capital expenditure</w:t>
      </w:r>
      <w:r>
        <w:t>.</w:t>
      </w:r>
    </w:p>
    <w:p w:rsidR="00F90257" w:rsidRPr="00796C00" w:rsidRDefault="00F90257" w:rsidP="00F90257">
      <w:pPr>
        <w:pStyle w:val="AERbulletlistfirststyle"/>
      </w:pPr>
      <w:r>
        <w:t>a</w:t>
      </w:r>
      <w:r w:rsidRPr="00762AAF">
        <w:t>ny impacts (including in relation to the costs of servicing debt across regulatory control periods) on a benchmark efficient en</w:t>
      </w:r>
      <w:r>
        <w:t>tity referred to in the 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48"/>
      </w:r>
      <w:r w:rsidRPr="00762AAF">
        <w:t xml:space="preserve"> </w:t>
      </w:r>
    </w:p>
    <w:p w:rsidR="00F90257" w:rsidRPr="00F90257" w:rsidRDefault="00F90257" w:rsidP="00F90257">
      <w:pPr>
        <w:pStyle w:val="Heading3"/>
      </w:pPr>
      <w:bookmarkStart w:id="26" w:name="_Toc451171520"/>
      <w:bookmarkStart w:id="27" w:name="_Ref451345117"/>
      <w:bookmarkStart w:id="28" w:name="_Ref451541367"/>
      <w:bookmarkStart w:id="29" w:name="_Ref451542323"/>
      <w:bookmarkStart w:id="30" w:name="_Ref451730547"/>
      <w:bookmarkStart w:id="31" w:name="_Toc451947992"/>
      <w:bookmarkStart w:id="32" w:name="_Ref479168317"/>
      <w:bookmarkStart w:id="33" w:name="_Ref479168847"/>
      <w:r w:rsidRPr="00BB2CB7">
        <w:t>Allowed rate of return objective</w:t>
      </w:r>
      <w:bookmarkEnd w:id="26"/>
      <w:bookmarkEnd w:id="27"/>
      <w:bookmarkEnd w:id="28"/>
      <w:bookmarkEnd w:id="29"/>
      <w:bookmarkEnd w:id="30"/>
      <w:bookmarkEnd w:id="31"/>
      <w:bookmarkEnd w:id="32"/>
      <w:bookmarkEnd w:id="33"/>
    </w:p>
    <w:p w:rsidR="00F90257" w:rsidRPr="005100A9" w:rsidRDefault="00F90257" w:rsidP="00CC7A1C">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9"/>
      </w:r>
    </w:p>
    <w:p w:rsidR="00F90257" w:rsidRDefault="00F90257" w:rsidP="00F90257">
      <w:pPr>
        <w:pStyle w:val="AERquote"/>
      </w:pPr>
      <w:r w:rsidRPr="005100A9">
        <w:t xml:space="preserve">…that the rate of return for a </w:t>
      </w:r>
      <w:r w:rsidR="00763E2F">
        <w:t xml:space="preserve">transmission </w:t>
      </w:r>
      <w:r>
        <w:t>network service provider</w:t>
      </w:r>
      <w:r w:rsidRPr="005100A9">
        <w:t xml:space="preserve"> is to be commensurate with the efficient financing costs of a benchmark efficient entity with a similar degree of ris</w:t>
      </w:r>
      <w:r>
        <w:t xml:space="preserve">k as that which applies to the </w:t>
      </w:r>
      <w:r w:rsidR="00763E2F">
        <w:t xml:space="preserve">transmission </w:t>
      </w:r>
      <w:r>
        <w:t xml:space="preserve">network </w:t>
      </w:r>
      <w:r w:rsidRPr="005100A9">
        <w:t>service</w:t>
      </w:r>
      <w:r>
        <w:t xml:space="preserve"> provider</w:t>
      </w:r>
      <w:r w:rsidRPr="005100A9">
        <w:t xml:space="preserve"> in respect of the provision of </w:t>
      </w:r>
      <w:r w:rsidR="00763E2F">
        <w:t>prescribed transmission services</w:t>
      </w:r>
      <w:r w:rsidRPr="005100A9">
        <w:t>.</w:t>
      </w:r>
    </w:p>
    <w:p w:rsidR="00F90257" w:rsidRDefault="00F90257" w:rsidP="00F90257">
      <w:r w:rsidRPr="00F21B32">
        <w:t>The regulat</w:t>
      </w:r>
      <w:r>
        <w:t>ory regime is an ex-ante (forward looking) regime.</w:t>
      </w:r>
      <w:r>
        <w:rPr>
          <w:rStyle w:val="FootnoteReference"/>
        </w:rPr>
        <w:footnoteReference w:id="50"/>
      </w:r>
      <w:r>
        <w:t xml:space="preserve"> As such, we consider a </w:t>
      </w:r>
      <w:r w:rsidRPr="00723710">
        <w:t>rate of return that meets the ARORO must provide ex-ante compensation for efficient financing costs.</w:t>
      </w:r>
      <w:r>
        <w:rPr>
          <w:rStyle w:val="FootnoteReference"/>
        </w:rPr>
        <w:footnoteReference w:id="51"/>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52"/>
      </w:r>
      <w:r>
        <w:t xml:space="preserve"> </w:t>
      </w:r>
    </w:p>
    <w:p w:rsidR="00F90257" w:rsidRDefault="00F90257" w:rsidP="00F90257">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F90257" w:rsidRDefault="00F90257" w:rsidP="00F90257">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53"/>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54"/>
      </w:r>
      <w:r>
        <w:t xml:space="preserve"> </w:t>
      </w:r>
    </w:p>
    <w:p w:rsidR="00E20018" w:rsidRDefault="00E20018" w:rsidP="00E20018">
      <w:pPr>
        <w:pStyle w:val="HeadingBoldBlue"/>
      </w:pPr>
      <w:bookmarkStart w:id="34" w:name="_Toc450922714"/>
      <w:r>
        <w:t>Elements of the ARORO—efficient financing costs</w:t>
      </w:r>
      <w:bookmarkEnd w:id="34"/>
    </w:p>
    <w:p w:rsidR="00E20018" w:rsidRDefault="00E20018" w:rsidP="00E20018">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5"/>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6"/>
      </w:r>
    </w:p>
    <w:p w:rsidR="00E20018" w:rsidRDefault="00E20018" w:rsidP="00E20018">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7"/>
      </w:r>
      <w:r>
        <w:t xml:space="preserve"> Similarly, Partington and Satchell interpret efficient financing costs as the opportunity cost of capital, which is a market rate of return for assets with a given level of risk.</w:t>
      </w:r>
      <w:r>
        <w:rPr>
          <w:rStyle w:val="FootnoteReference"/>
        </w:rPr>
        <w:footnoteReference w:id="58"/>
      </w:r>
      <w:r>
        <w:t xml:space="preserve"> </w:t>
      </w:r>
    </w:p>
    <w:p w:rsidR="00E20018" w:rsidRDefault="00E20018" w:rsidP="00E20018">
      <w:pPr>
        <w:pStyle w:val="HeadingBoldBlue"/>
      </w:pPr>
      <w:bookmarkStart w:id="35" w:name="_Toc450922715"/>
      <w:r>
        <w:t>Elements of the ARORO—benchmark efficient entity</w:t>
      </w:r>
      <w:bookmarkEnd w:id="35"/>
    </w:p>
    <w:p w:rsidR="00E20018" w:rsidRDefault="00E20018" w:rsidP="00CC7A1C">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Pr>
          <w:rStyle w:val="AERtextitalic"/>
        </w:rPr>
        <w:t>prescribed transmission</w:t>
      </w:r>
      <w:r w:rsidRPr="00D85725">
        <w:rPr>
          <w:rStyle w:val="AERtextitalic"/>
        </w:rPr>
        <w:t xml:space="preserve"> services</w:t>
      </w:r>
      <w:r>
        <w:t>. Given this, three important concepts to consider are: 'risk', 'similar' and 'prescribed transmission services'. Having understood these concepts, we can better understand a benchmark efficient entity to give effect to the ARORO.</w:t>
      </w:r>
    </w:p>
    <w:p w:rsidR="00E20018" w:rsidRPr="00E76063" w:rsidRDefault="00E20018" w:rsidP="00E20018">
      <w:pPr>
        <w:pStyle w:val="HeadingBoldItalic"/>
      </w:pPr>
      <w:bookmarkStart w:id="36" w:name="_Toc480460476"/>
      <w:bookmarkStart w:id="37" w:name="_Toc480460766"/>
      <w:r>
        <w:t>'</w:t>
      </w:r>
      <w:r w:rsidRPr="00E76063">
        <w:t>Risk</w:t>
      </w:r>
      <w:r>
        <w:t>'</w:t>
      </w:r>
      <w:bookmarkEnd w:id="36"/>
      <w:bookmarkEnd w:id="37"/>
    </w:p>
    <w:p w:rsidR="00E20018" w:rsidRDefault="00E20018" w:rsidP="00CC7A1C">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9"/>
      </w:r>
      <w:r>
        <w:t xml:space="preserve"> It is strictly a </w:t>
      </w:r>
      <w:r w:rsidRPr="00855447">
        <w:t>forward looking concept</w:t>
      </w:r>
      <w:r>
        <w:t xml:space="preserve"> as no event is uncertain after it has occurred. </w:t>
      </w:r>
    </w:p>
    <w:p w:rsidR="00E20018" w:rsidRDefault="00E20018" w:rsidP="00CC7A1C">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60"/>
      </w:r>
    </w:p>
    <w:p w:rsidR="00E20018" w:rsidRDefault="00E20018" w:rsidP="00E20018">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E20018" w:rsidRDefault="00E20018" w:rsidP="00E20018">
      <w:r>
        <w:t>Similarly, McKenzie and Partington advise:</w:t>
      </w:r>
      <w:r>
        <w:rPr>
          <w:rStyle w:val="FootnoteReference"/>
        </w:rPr>
        <w:footnoteReference w:id="61"/>
      </w:r>
    </w:p>
    <w:p w:rsidR="00E20018" w:rsidRPr="0039604A" w:rsidRDefault="00E20018" w:rsidP="00E20018">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E20018" w:rsidRDefault="00E20018" w:rsidP="00E20018">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6B4A74">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62"/>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63"/>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64"/>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5"/>
      </w:r>
    </w:p>
    <w:p w:rsidR="00E20018" w:rsidRDefault="00E20018" w:rsidP="00E20018">
      <w:r>
        <w:t xml:space="preserve">As such, </w:t>
      </w:r>
      <w:r w:rsidRPr="00CF5809">
        <w:t xml:space="preserve">when looking at the risks of supplying </w:t>
      </w:r>
      <w:r>
        <w:t>prescribed transmission</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6"/>
      </w:r>
      <w:r>
        <w:t xml:space="preserve">    </w:t>
      </w:r>
    </w:p>
    <w:p w:rsidR="00E20018" w:rsidRPr="00CF5809" w:rsidRDefault="00E20018" w:rsidP="00E20018">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E20018" w:rsidRPr="004F02FD" w:rsidRDefault="00E20018" w:rsidP="00E20018">
      <w:pPr>
        <w:pStyle w:val="HeadingBoldItalic"/>
      </w:pPr>
      <w:bookmarkStart w:id="38" w:name="_Toc480460477"/>
      <w:bookmarkStart w:id="39" w:name="_Toc480460767"/>
      <w:r w:rsidRPr="00E76063">
        <w:t>'</w:t>
      </w:r>
      <w:r w:rsidRPr="004F02FD">
        <w:t>Similar'</w:t>
      </w:r>
      <w:bookmarkEnd w:id="38"/>
      <w:bookmarkEnd w:id="39"/>
    </w:p>
    <w:p w:rsidR="00E20018" w:rsidRDefault="00E20018" w:rsidP="00E20018">
      <w:pPr>
        <w:rPr>
          <w:rStyle w:val="AERbody"/>
        </w:rPr>
      </w:pPr>
      <w:r>
        <w:t xml:space="preserve">A benchmark efficient entity </w:t>
      </w:r>
      <w:r w:rsidR="0080518E">
        <w:t>has</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7"/>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8"/>
      </w:r>
      <w:r>
        <w:t xml:space="preserve"> We concluded the compensable risks facing the different service providers</w:t>
      </w:r>
      <w:r>
        <w:rPr>
          <w:rStyle w:val="FootnoteReference"/>
        </w:rPr>
        <w:footnoteReference w:id="69"/>
      </w:r>
      <w:r>
        <w:t xml:space="preserve"> were 'similar' for the purposes of characterising a benchmark efficient entity.</w:t>
      </w:r>
      <w:r>
        <w:rPr>
          <w:rStyle w:val="FootnoteReference"/>
        </w:rPr>
        <w:footnoteReference w:id="70"/>
      </w:r>
      <w:r>
        <w:t xml:space="preserve"> For this analysis, see chapter three of the Guideline's explanatory statement.</w:t>
      </w:r>
      <w:r>
        <w:rPr>
          <w:rStyle w:val="FootnoteReference"/>
        </w:rPr>
        <w:footnoteReference w:id="71"/>
      </w:r>
    </w:p>
    <w:p w:rsidR="00E20018" w:rsidRDefault="00E20018" w:rsidP="00E20018">
      <w:pPr>
        <w:pStyle w:val="HeadingBoldItalic"/>
        <w:rPr>
          <w:rStyle w:val="AERbody"/>
        </w:rPr>
      </w:pPr>
      <w:bookmarkStart w:id="40" w:name="_Toc480460478"/>
      <w:bookmarkStart w:id="41" w:name="_Toc480460768"/>
      <w:r w:rsidRPr="00785554">
        <w:rPr>
          <w:rStyle w:val="AERbody"/>
        </w:rPr>
        <w:t>'</w:t>
      </w:r>
      <w:r>
        <w:rPr>
          <w:rStyle w:val="AERbody"/>
        </w:rPr>
        <w:t xml:space="preserve">Prescribed transmission </w:t>
      </w:r>
      <w:r w:rsidRPr="00785554">
        <w:rPr>
          <w:rStyle w:val="AERbody"/>
        </w:rPr>
        <w:t>services'</w:t>
      </w:r>
      <w:bookmarkEnd w:id="40"/>
      <w:bookmarkEnd w:id="41"/>
    </w:p>
    <w:p w:rsidR="00E20018" w:rsidRPr="00785554" w:rsidRDefault="00E20018" w:rsidP="00E20018">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t>prescribed transmission</w:t>
      </w:r>
      <w:r w:rsidRPr="00785554">
        <w:t xml:space="preserve"> services.</w:t>
      </w:r>
      <w:r w:rsidRPr="00785554">
        <w:rPr>
          <w:rStyle w:val="FootnoteReference"/>
        </w:rPr>
        <w:footnoteReference w:id="72"/>
      </w:r>
      <w:r w:rsidRPr="00785554">
        <w:t xml:space="preserve"> As such, it is important to understand how the rules characterise '</w:t>
      </w:r>
      <w:r>
        <w:t>prescribed transmission</w:t>
      </w:r>
      <w:r w:rsidRPr="00785554">
        <w:t xml:space="preserve"> services'.</w:t>
      </w:r>
    </w:p>
    <w:p w:rsidR="00E20018" w:rsidRDefault="00E20018" w:rsidP="00E20018">
      <w:r w:rsidRPr="005772E3">
        <w:rPr>
          <w:rStyle w:val="AERbody"/>
        </w:rPr>
        <w:t xml:space="preserve">The rules define standard control services as a </w:t>
      </w:r>
      <w:r>
        <w:rPr>
          <w:rStyle w:val="AERbody"/>
        </w:rPr>
        <w:t>prescribed transmission</w:t>
      </w:r>
      <w:r w:rsidRPr="005772E3">
        <w:rPr>
          <w:rStyle w:val="AERbody"/>
        </w:rPr>
        <w:t xml:space="preserve"> service that is subject to a control mechanism based on a service</w:t>
      </w:r>
      <w:r>
        <w:t xml:space="preserve"> provider's</w:t>
      </w:r>
      <w:r w:rsidRPr="000466C9">
        <w:t xml:space="preserve"> total revenue requirement</w:t>
      </w:r>
      <w:r>
        <w:t>.</w:t>
      </w:r>
      <w:r>
        <w:rPr>
          <w:rStyle w:val="FootnoteReference"/>
        </w:rPr>
        <w:footnoteReference w:id="73"/>
      </w:r>
      <w:r>
        <w:t xml:space="preserve"> The rules define a prescribed transmission</w:t>
      </w:r>
      <w:r w:rsidRPr="000466C9">
        <w:t xml:space="preserve"> service</w:t>
      </w:r>
      <w:r>
        <w:t xml:space="preserve"> as </w:t>
      </w:r>
      <w:r w:rsidRPr="000466C9">
        <w:t xml:space="preserve">a direct control network service within the meaning of section 2B of the </w:t>
      </w:r>
      <w:r>
        <w:t>NEL.</w:t>
      </w:r>
      <w:r>
        <w:rPr>
          <w:rStyle w:val="FootnoteReference"/>
        </w:rPr>
        <w:footnoteReference w:id="74"/>
      </w:r>
      <w:r>
        <w:t xml:space="preserve"> The NEL then specifies (underline added):</w:t>
      </w:r>
      <w:r>
        <w:rPr>
          <w:rStyle w:val="FootnoteReference"/>
        </w:rPr>
        <w:footnoteReference w:id="75"/>
      </w:r>
    </w:p>
    <w:p w:rsidR="00E20018" w:rsidRPr="003C2B73" w:rsidRDefault="00E20018" w:rsidP="00E20018">
      <w:pPr>
        <w:pStyle w:val="AERquote"/>
      </w:pPr>
      <w:r w:rsidRPr="003C2B73">
        <w:t>A direct control network service is an electricity network service—</w:t>
      </w:r>
    </w:p>
    <w:p w:rsidR="00E20018" w:rsidRPr="003C2B73" w:rsidRDefault="00E20018" w:rsidP="00E20018">
      <w:pPr>
        <w:pStyle w:val="AERquoteindent2"/>
      </w:pPr>
      <w:r w:rsidRPr="003C2B73">
        <w:t xml:space="preserve">(a) the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E20018" w:rsidRPr="00785554" w:rsidRDefault="00E20018" w:rsidP="00E20018">
      <w:pPr>
        <w:pStyle w:val="AERquoteindent2"/>
        <w:rPr>
          <w:rStyle w:val="AERbody"/>
        </w:rPr>
      </w:pPr>
      <w:r w:rsidRPr="003C2B73">
        <w:t>(b) if the Rules do not do so, the AER specifies, in a distribution determination or transmission determination, as a service the price for which, or the revenue to be earned from which, must be regulated under the distribution determination or transmission determination.</w:t>
      </w:r>
    </w:p>
    <w:p w:rsidR="00E20018" w:rsidRPr="00785554" w:rsidRDefault="00E20018" w:rsidP="00E20018">
      <w:pPr>
        <w:pStyle w:val="HeadingBoldItalic"/>
        <w:rPr>
          <w:rStyle w:val="AERbody"/>
        </w:rPr>
      </w:pPr>
      <w:bookmarkStart w:id="42" w:name="_Toc480460479"/>
      <w:bookmarkStart w:id="43" w:name="_Toc480460769"/>
      <w:r w:rsidRPr="00785554">
        <w:rPr>
          <w:rStyle w:val="AERbody"/>
        </w:rPr>
        <w:t>Risk, regulation and a benchmark efficient entity</w:t>
      </w:r>
      <w:bookmarkEnd w:id="42"/>
      <w:bookmarkEnd w:id="43"/>
    </w:p>
    <w:p w:rsidR="00E20018" w:rsidRDefault="00E20018" w:rsidP="00E20018">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6"/>
      </w:r>
    </w:p>
    <w:p w:rsidR="00E20018" w:rsidRDefault="00E20018" w:rsidP="00E20018">
      <w:pPr>
        <w:pStyle w:val="AERbulletlistfirststyle"/>
      </w:pPr>
      <w:r w:rsidRPr="005F4630">
        <w:t xml:space="preserve"> to the </w:t>
      </w:r>
      <w:r>
        <w:t xml:space="preserve">service provider in which the decision relates (which will always be a business that is regulated under the rules and NEL/NGL) </w:t>
      </w:r>
    </w:p>
    <w:p w:rsidR="00E20018" w:rsidRDefault="00E20018" w:rsidP="00E20018">
      <w:pPr>
        <w:pStyle w:val="AERbulletlistfirststyle"/>
      </w:pPr>
      <w:r w:rsidRPr="005F4630">
        <w:t xml:space="preserve">in respect to the provision of </w:t>
      </w:r>
      <w:r>
        <w:t>prescribed transmission</w:t>
      </w:r>
      <w:r w:rsidRPr="005F4630">
        <w:t xml:space="preserve"> services</w:t>
      </w:r>
      <w:r>
        <w:t xml:space="preserve"> (which are regulated services by definition),</w:t>
      </w:r>
      <w:r>
        <w:rPr>
          <w:rStyle w:val="FootnoteReference"/>
        </w:rPr>
        <w:footnoteReference w:id="77"/>
      </w:r>
      <w:r>
        <w:t xml:space="preserve"> which can only be provided by businesses regulated under the rules.</w:t>
      </w:r>
    </w:p>
    <w:p w:rsidR="00E20018" w:rsidRPr="00785554" w:rsidRDefault="00E20018" w:rsidP="00E20018">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78"/>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79"/>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80"/>
      </w:r>
      <w:r w:rsidRPr="00785554">
        <w:t xml:space="preserve"> </w:t>
      </w:r>
    </w:p>
    <w:p w:rsidR="00E20018" w:rsidRPr="00785554" w:rsidRDefault="00E20018" w:rsidP="00E20018">
      <w:r>
        <w:t xml:space="preserve">Brealey et.al. use the figure </w:t>
      </w:r>
      <w:r w:rsidRPr="00785554">
        <w:t xml:space="preserve">we have presented as </w:t>
      </w:r>
      <w:r>
        <w:fldChar w:fldCharType="begin"/>
      </w:r>
      <w:r>
        <w:instrText xml:space="preserve"> REF  _Ref451345901 \* Lower \h </w:instrText>
      </w:r>
      <w:r>
        <w:fldChar w:fldCharType="separate"/>
      </w:r>
      <w:r w:rsidR="006B4A74">
        <w:t xml:space="preserve">figure </w:t>
      </w:r>
      <w:r w:rsidR="006B4A74">
        <w:rPr>
          <w:noProof/>
        </w:rPr>
        <w:t>3</w:t>
      </w:r>
      <w:r w:rsidR="006B4A74">
        <w:noBreakHyphen/>
      </w:r>
      <w:r w:rsidR="006B4A74">
        <w:rPr>
          <w:noProof/>
        </w:rPr>
        <w:t>1</w:t>
      </w:r>
      <w:r>
        <w:fldChar w:fldCharType="end"/>
      </w:r>
      <w:r>
        <w:t xml:space="preserve"> </w:t>
      </w:r>
      <w:r w:rsidRPr="00785554">
        <w:t>to illustrate the following.</w:t>
      </w:r>
      <w:r w:rsidRPr="00785554">
        <w:rPr>
          <w:rStyle w:val="FootnoteReference"/>
        </w:rPr>
        <w:footnoteReference w:id="81"/>
      </w:r>
    </w:p>
    <w:p w:rsidR="00E20018" w:rsidRDefault="00E20018" w:rsidP="00E20018">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E20018" w:rsidRPr="00C75038" w:rsidRDefault="00E20018" w:rsidP="00E20018">
      <w:pPr>
        <w:pStyle w:val="Caption"/>
      </w:pPr>
      <w:bookmarkStart w:id="44" w:name="_Ref451345901"/>
      <w:r>
        <w:t xml:space="preserve">Figure </w:t>
      </w:r>
      <w:fldSimple w:instr=" STYLEREF 1 \s ">
        <w:r w:rsidR="006B4A74">
          <w:rPr>
            <w:noProof/>
          </w:rPr>
          <w:t>3</w:t>
        </w:r>
      </w:fldSimple>
      <w:r w:rsidR="008A2B2B">
        <w:noBreakHyphen/>
      </w:r>
      <w:fldSimple w:instr=" SEQ Figure \* ARABIC \s 1 ">
        <w:r w:rsidR="006B4A74">
          <w:rPr>
            <w:noProof/>
          </w:rPr>
          <w:t>1</w:t>
        </w:r>
      </w:fldSimple>
      <w:bookmarkEnd w:id="44"/>
      <w:r>
        <w:tab/>
        <w:t>Risk versus expected return</w:t>
      </w:r>
    </w:p>
    <w:p w:rsidR="00E20018" w:rsidRPr="00785554" w:rsidRDefault="00E20018" w:rsidP="00E20018">
      <w:r w:rsidRPr="00E20018">
        <w:rPr>
          <w:noProof/>
          <w:lang w:eastAsia="en-AU"/>
        </w:rPr>
        <w:drawing>
          <wp:inline distT="0" distB="0" distL="0" distR="0" wp14:anchorId="1BD5CAC2" wp14:editId="73D03A9C">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7706511"/>
                    </a:xfrm>
                    <a:prstGeom prst="rect">
                      <a:avLst/>
                    </a:prstGeom>
                  </pic:spPr>
                </pic:pic>
              </a:graphicData>
            </a:graphic>
          </wp:inline>
        </w:drawing>
      </w:r>
    </w:p>
    <w:p w:rsidR="00E20018" w:rsidRDefault="00E20018" w:rsidP="00E20018">
      <w:pPr>
        <w:pStyle w:val="AERtablesource"/>
      </w:pPr>
      <w:r>
        <w:t xml:space="preserve">Source: </w:t>
      </w:r>
      <w:r>
        <w:tab/>
        <w:t>Brealey</w:t>
      </w:r>
      <w:r w:rsidRPr="001326E8">
        <w:t>, Myers, Allen</w:t>
      </w:r>
      <w:r>
        <w:t xml:space="preserve"> (2011), </w:t>
      </w:r>
      <w:r w:rsidRPr="001326E8">
        <w:t>Figure 8.2</w:t>
      </w:r>
      <w:r>
        <w:t>.</w:t>
      </w:r>
    </w:p>
    <w:p w:rsidR="00E20018" w:rsidRDefault="00E20018" w:rsidP="00E20018">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CE1A2A" w:rsidRDefault="00E20018" w:rsidP="00E20018">
      <w:pPr>
        <w:rPr>
          <w:rStyle w:val="AERbody"/>
        </w:rPr>
      </w:pPr>
      <w:r>
        <w:t xml:space="preserve">We consider </w:t>
      </w:r>
      <w:r w:rsidRPr="00785554">
        <w:t xml:space="preserve">a benchmark efficient entity </w:t>
      </w:r>
      <w:r w:rsidRPr="00785554">
        <w:rPr>
          <w:rStyle w:val="AERtextitalic"/>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82"/>
      </w:r>
      <w:r w:rsidRPr="00785554">
        <w:t xml:space="preserve"> </w:t>
      </w:r>
      <w:r w:rsidRPr="00785554">
        <w:rPr>
          <w:rStyle w:val="AERbody"/>
        </w:rPr>
        <w:t xml:space="preserve"> </w:t>
      </w:r>
      <w:r w:rsidR="00CE1A2A">
        <w:rPr>
          <w:rStyle w:val="AERbody"/>
        </w:rPr>
        <w:t xml:space="preserve">In any case, it would be an entity, whether it is conceived as regulated or not, that has a similar degree of systematic risk as that which applies to AusNet </w:t>
      </w:r>
      <w:r w:rsidR="0034344E">
        <w:rPr>
          <w:rStyle w:val="AERbody"/>
        </w:rPr>
        <w:t>S</w:t>
      </w:r>
      <w:r w:rsidR="00CE1A2A">
        <w:rPr>
          <w:rStyle w:val="AERbody"/>
        </w:rPr>
        <w:t>ervices in the provision of its regulated services.</w:t>
      </w:r>
    </w:p>
    <w:p w:rsidR="00E20018" w:rsidRPr="00785554" w:rsidRDefault="00E20018" w:rsidP="00E20018">
      <w:r w:rsidRPr="00785554">
        <w:rPr>
          <w:rStyle w:val="AERbody"/>
        </w:rPr>
        <w:t xml:space="preserve">To understand this position, </w:t>
      </w:r>
      <w:r w:rsidRPr="00785554">
        <w:t xml:space="preserve">it is essential to understand the relationship and distinction between risk and expected returns. All else being equal, we consider an </w:t>
      </w:r>
      <w:r w:rsidR="00CE1A2A">
        <w:t>entity providing unregulated services</w:t>
      </w:r>
      <w:r w:rsidRPr="00785554">
        <w:t xml:space="preserve"> will have </w:t>
      </w:r>
      <w:r w:rsidR="00CE1A2A">
        <w:t xml:space="preserve">a </w:t>
      </w:r>
      <w:r w:rsidRPr="00785554">
        <w:t xml:space="preserve">higher risk and </w:t>
      </w:r>
      <w:r w:rsidR="00CE1A2A">
        <w:t>more variable</w:t>
      </w:r>
      <w:r w:rsidR="00CE1A2A" w:rsidRPr="00785554">
        <w:t xml:space="preserve"> </w:t>
      </w:r>
      <w:r w:rsidRPr="00785554">
        <w:t>expected returns than a monopoly</w:t>
      </w:r>
      <w:r w:rsidR="00CE1A2A">
        <w:t xml:space="preserve"> business such as AusNet Services in its provision of prescribed transmission services</w:t>
      </w:r>
      <w:r w:rsidRPr="00785554">
        <w:t>. This is because regulation:</w:t>
      </w:r>
    </w:p>
    <w:p w:rsidR="00E20018" w:rsidRDefault="00E20018" w:rsidP="00E20018">
      <w:pPr>
        <w:pStyle w:val="AERbulletlistfirststyle"/>
      </w:pPr>
      <w:r>
        <w:t>mitigates monopolies from being able to extract monopoly rents, thereby constraining potential profits</w:t>
      </w:r>
    </w:p>
    <w:p w:rsidR="00E20018" w:rsidRDefault="00E20018" w:rsidP="00E20018">
      <w:pPr>
        <w:pStyle w:val="AERbulletlistfirststyle"/>
      </w:pPr>
      <w:r>
        <w:t>increases the certainty of the revenue stream, thereby reducing risk.</w:t>
      </w:r>
    </w:p>
    <w:p w:rsidR="00E20018" w:rsidRPr="00785554" w:rsidRDefault="00E20018" w:rsidP="00E20018">
      <w:r>
        <w:t xml:space="preserve">For clarity, </w:t>
      </w:r>
      <w:r w:rsidRPr="00785554">
        <w:t>regulation</w:t>
      </w:r>
      <w:r w:rsidR="00CE1A2A">
        <w:t xml:space="preserve"> of the kind embodied in the national electricity and gas legislation</w:t>
      </w:r>
      <w:r w:rsidRPr="00785554">
        <w:t xml:space="preserve">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E20018" w:rsidRPr="00785554" w:rsidRDefault="00E20018" w:rsidP="00E20018">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83"/>
      </w:r>
      <w:r w:rsidRPr="00785554">
        <w:t xml:space="preserve"> Frontier has also recognised the role of regulation in affecting risk in advising:</w:t>
      </w:r>
      <w:r w:rsidRPr="00785554">
        <w:rPr>
          <w:rStyle w:val="FootnoteReference"/>
        </w:rPr>
        <w:footnoteReference w:id="84"/>
      </w:r>
    </w:p>
    <w:p w:rsidR="00E20018" w:rsidRPr="00F23C1C" w:rsidRDefault="00E20018" w:rsidP="00E20018">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E20018" w:rsidRDefault="00E20018" w:rsidP="00E20018">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85"/>
      </w:r>
    </w:p>
    <w:p w:rsidR="00E20018" w:rsidRPr="003E0036" w:rsidRDefault="00E20018" w:rsidP="00E20018">
      <w:pPr>
        <w:pStyle w:val="AERbulletlistfirststyle"/>
      </w:pPr>
      <w:r w:rsidRPr="003E0036">
        <w:t>a revenue cap</w:t>
      </w:r>
      <w:r>
        <w:t>,</w:t>
      </w:r>
      <w:r w:rsidRPr="003E0036">
        <w:t xml:space="preserve"> which removes volume risk</w:t>
      </w:r>
    </w:p>
    <w:p w:rsidR="00E20018" w:rsidRPr="003E0036" w:rsidRDefault="00E20018" w:rsidP="00E20018">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E20018" w:rsidRPr="003E0036" w:rsidRDefault="00E20018" w:rsidP="00E20018">
      <w:pPr>
        <w:pStyle w:val="AERbulletlistfirststyle"/>
      </w:pPr>
      <w:r w:rsidRPr="003E0036">
        <w:t>the progressive transition to a 10</w:t>
      </w:r>
      <w:r w:rsidRPr="00E20018">
        <w:rPr>
          <w:rFonts w:ascii="Cambria Math" w:hAnsi="Cambria Math" w:cs="Cambria Math"/>
        </w:rPr>
        <w:t>‐</w:t>
      </w:r>
      <w:r w:rsidRPr="003E0036">
        <w:t xml:space="preserve">year trailing average, including annual updating of the </w:t>
      </w:r>
      <w:r>
        <w:t>return on debt.</w:t>
      </w:r>
    </w:p>
    <w:p w:rsidR="00E20018" w:rsidRDefault="00E20018" w:rsidP="00E20018">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36289C" w:rsidRDefault="0036289C" w:rsidP="0036289C">
      <w:pPr>
        <w:rPr>
          <w:rStyle w:val="AERbody"/>
        </w:rPr>
      </w:pPr>
      <w:r>
        <w:rPr>
          <w:rStyle w:val="AERbody"/>
        </w:rPr>
        <w:t>Significantly then, even if the benchmark efficient entity is envisioned as an unregulated entity, in order to achieve the allowed rate of return objective, we must consider it has a similar degree of risk as that which applies to the service provider in the provision of its regulated services.</w:t>
      </w:r>
    </w:p>
    <w:p w:rsidR="00E20018" w:rsidRPr="00785554" w:rsidRDefault="00E20018" w:rsidP="00E20018">
      <w:r>
        <w:rPr>
          <w:rStyle w:val="AERbody"/>
        </w:rPr>
        <w:t xml:space="preserve">Some systematic risks that regulation </w:t>
      </w:r>
      <w:r w:rsidRPr="00785554">
        <w:rPr>
          <w:rStyle w:val="AERbody"/>
        </w:rPr>
        <w:t>reduces include:</w:t>
      </w:r>
    </w:p>
    <w:p w:rsidR="00E20018" w:rsidRDefault="00E20018" w:rsidP="00E20018">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transmission service provider will determine prices based on historical demand which reduces intra year revenue variations. This effectively mitigates the risk associated with demand volatility.</w:t>
      </w:r>
    </w:p>
    <w:p w:rsidR="00E20018" w:rsidRDefault="00E20018" w:rsidP="00E20018">
      <w:pPr>
        <w:pStyle w:val="AERbulletlistfirststyle"/>
      </w:pPr>
      <w:r>
        <w:t xml:space="preserve">Inflation risk: Regulated service providers face less inflation risk than unregulated businesses. Under the regulatory framework, they effectively expect to receive </w:t>
      </w:r>
      <w:r w:rsidR="00410AB6">
        <w:t>a real</w:t>
      </w:r>
      <w:r>
        <w:t xml:space="preserve"> return on their investments in their RABs.</w:t>
      </w:r>
    </w:p>
    <w:p w:rsidR="00E20018" w:rsidRDefault="00E20018" w:rsidP="00E20018">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E20018" w:rsidRDefault="00E20018" w:rsidP="00E20018">
      <w:r>
        <w:fldChar w:fldCharType="begin"/>
      </w:r>
      <w:r>
        <w:instrText xml:space="preserve"> REF _Ref451345798 \h </w:instrText>
      </w:r>
      <w:r>
        <w:fldChar w:fldCharType="separate"/>
      </w:r>
      <w:r w:rsidR="006B4A74">
        <w:t xml:space="preserve">Table </w:t>
      </w:r>
      <w:r w:rsidR="006B4A74">
        <w:rPr>
          <w:noProof/>
        </w:rPr>
        <w:t>3</w:t>
      </w:r>
      <w:r w:rsidR="006B4A74">
        <w:noBreakHyphen/>
      </w:r>
      <w:r w:rsidR="006B4A74">
        <w:rPr>
          <w:noProof/>
        </w:rPr>
        <w:t>3</w:t>
      </w:r>
      <w:r>
        <w:fldChar w:fldCharType="end"/>
      </w:r>
      <w:r>
        <w:t xml:space="preserve"> summarises a selection of provisions in the rules that have the effect of mitigating various systematic and non-systematic risks.</w:t>
      </w:r>
    </w:p>
    <w:p w:rsidR="00E20018" w:rsidRDefault="00E20018" w:rsidP="00E20018">
      <w:pPr>
        <w:pStyle w:val="Caption"/>
      </w:pPr>
      <w:bookmarkStart w:id="45" w:name="_Ref451345798"/>
      <w:r>
        <w:t xml:space="preserve">Table </w:t>
      </w:r>
      <w:fldSimple w:instr=" STYLEREF 1 \s ">
        <w:r w:rsidR="006B4A74">
          <w:rPr>
            <w:noProof/>
          </w:rPr>
          <w:t>3</w:t>
        </w:r>
      </w:fldSimple>
      <w:r w:rsidR="008F29C8">
        <w:noBreakHyphen/>
      </w:r>
      <w:fldSimple w:instr=" SEQ Table \* ARABIC \s 1 ">
        <w:r w:rsidR="006B4A74">
          <w:rPr>
            <w:noProof/>
          </w:rPr>
          <w:t>3</w:t>
        </w:r>
      </w:fldSimple>
      <w:bookmarkEnd w:id="45"/>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E20018" w:rsidTr="002656D9">
        <w:trPr>
          <w:cnfStyle w:val="100000000000" w:firstRow="1" w:lastRow="0" w:firstColumn="0" w:lastColumn="0" w:oddVBand="0" w:evenVBand="0" w:oddHBand="0" w:evenHBand="0" w:firstRowFirstColumn="0" w:firstRowLastColumn="0" w:lastRowFirstColumn="0" w:lastRowLastColumn="0"/>
          <w:tblHeader/>
        </w:trPr>
        <w:tc>
          <w:tcPr>
            <w:tcW w:w="1526" w:type="dxa"/>
          </w:tcPr>
          <w:p w:rsidR="00E20018" w:rsidRPr="00E20018" w:rsidRDefault="00E20018" w:rsidP="00E20018">
            <w:r>
              <w:t>Rule</w:t>
            </w:r>
          </w:p>
        </w:tc>
        <w:tc>
          <w:tcPr>
            <w:tcW w:w="7167" w:type="dxa"/>
          </w:tcPr>
          <w:p w:rsidR="00E20018" w:rsidRPr="00E20018" w:rsidRDefault="00E20018" w:rsidP="00E20018">
            <w:r>
              <w:t>Effect on risk</w:t>
            </w:r>
          </w:p>
        </w:tc>
      </w:tr>
      <w:tr w:rsidR="00E20018" w:rsidTr="00E20018">
        <w:tc>
          <w:tcPr>
            <w:tcW w:w="1526" w:type="dxa"/>
            <w:vAlign w:val="top"/>
          </w:tcPr>
          <w:p w:rsidR="00E20018" w:rsidRPr="00E20018" w:rsidRDefault="00E20018" w:rsidP="00E20018">
            <w:r w:rsidRPr="009378AE">
              <w:t>6.3.2(b)</w:t>
            </w:r>
          </w:p>
          <w:p w:rsidR="00E20018" w:rsidRPr="00E20018" w:rsidRDefault="00E20018" w:rsidP="00E20018">
            <w:r>
              <w:t>6A.4.2(c)</w:t>
            </w:r>
          </w:p>
        </w:tc>
        <w:tc>
          <w:tcPr>
            <w:tcW w:w="7167" w:type="dxa"/>
            <w:vAlign w:val="top"/>
          </w:tcPr>
          <w:p w:rsidR="00E20018" w:rsidRPr="00E20018" w:rsidRDefault="00E20018" w:rsidP="00E20018">
            <w:r w:rsidRPr="009378AE">
              <w:t xml:space="preserve">The term of </w:t>
            </w:r>
            <w:r w:rsidRPr="00E20018">
              <w:t>each regulatory control period is at least 5 years, providing a fixed duration in which a service provider has a regulated return on its assets, revenue certainty, and fixed terms of access for its services.</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6.2.6</w:t>
            </w:r>
          </w:p>
          <w:p w:rsidR="00E20018" w:rsidRPr="00E20018" w:rsidRDefault="00E20018" w:rsidP="00E20018">
            <w:r>
              <w:t>6A.3</w:t>
            </w:r>
          </w:p>
        </w:tc>
        <w:tc>
          <w:tcPr>
            <w:tcW w:w="7167" w:type="dxa"/>
            <w:vAlign w:val="top"/>
          </w:tcPr>
          <w:p w:rsidR="00E20018" w:rsidRPr="00E20018" w:rsidRDefault="00E20018" w:rsidP="00E20018">
            <w:r>
              <w:t xml:space="preserve">The AER adopts a </w:t>
            </w:r>
            <w:r w:rsidRPr="00E20018">
              <w:t xml:space="preserve">control mechanism formula to calculate the total revenue that service providers may collect over a regulatory control period (and for each year of a regulatory control 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 control period, regardless of unexpected changes in demand.  This significantly limits risks to revenue. </w:t>
            </w:r>
          </w:p>
        </w:tc>
      </w:tr>
      <w:tr w:rsidR="00E20018" w:rsidTr="00E20018">
        <w:tc>
          <w:tcPr>
            <w:tcW w:w="1526" w:type="dxa"/>
            <w:vAlign w:val="top"/>
          </w:tcPr>
          <w:p w:rsidR="00E20018" w:rsidRPr="00E20018" w:rsidRDefault="00E20018" w:rsidP="00E20018">
            <w:r w:rsidRPr="009378AE">
              <w:t>6.5.9</w:t>
            </w:r>
          </w:p>
          <w:p w:rsidR="00E20018" w:rsidRPr="00E20018" w:rsidRDefault="00E20018" w:rsidP="00E20018">
            <w:r>
              <w:t>6A.6.8</w:t>
            </w:r>
          </w:p>
        </w:tc>
        <w:tc>
          <w:tcPr>
            <w:tcW w:w="7167" w:type="dxa"/>
            <w:vAlign w:val="top"/>
          </w:tcPr>
          <w:p w:rsidR="00E20018" w:rsidRPr="00E20018" w:rsidRDefault="00E20018" w:rsidP="00E20018">
            <w:r w:rsidRPr="009378AE">
              <w:t xml:space="preserve">X factors </w:t>
            </w:r>
            <w:r w:rsidRPr="00E20018">
              <w:t>in the control mechanism smooth revenues across the regulatory control period and limit shocks from the last year of a regulatory control period before the start of the next. The AER sets X factors, among other things, to allow service providers to recover a revenue shortfall in one year in a subsequent year. Through X factors, service providers have a stable and certain level of revenue over each regulatory control period, with reduced risks of short term revenue volatility.</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6.18</w:t>
            </w:r>
          </w:p>
          <w:p w:rsidR="00E20018" w:rsidRPr="00E20018" w:rsidRDefault="00E20018" w:rsidP="00E20018">
            <w:r>
              <w:t>6A.23</w:t>
            </w:r>
          </w:p>
        </w:tc>
        <w:tc>
          <w:tcPr>
            <w:tcW w:w="7167" w:type="dxa"/>
            <w:vAlign w:val="top"/>
          </w:tcPr>
          <w:p w:rsidR="00E20018" w:rsidRPr="00E20018" w:rsidRDefault="00E20018" w:rsidP="00E20018">
            <w:r w:rsidRPr="009378AE">
              <w:t xml:space="preserve">The prices </w:t>
            </w:r>
            <w:r w:rsidRPr="00E20018">
              <w:t xml:space="preserve">service providers may charge annually are certain.  They are set through a regulatory process to approve annual pricing proposals. </w:t>
            </w:r>
          </w:p>
        </w:tc>
      </w:tr>
      <w:tr w:rsidR="00E20018" w:rsidTr="00E20018">
        <w:tc>
          <w:tcPr>
            <w:tcW w:w="1526" w:type="dxa"/>
            <w:vAlign w:val="top"/>
          </w:tcPr>
          <w:p w:rsidR="00E20018" w:rsidRPr="00E20018" w:rsidRDefault="00E20018" w:rsidP="00E20018">
            <w:r w:rsidRPr="009378AE">
              <w:t xml:space="preserve">6.4.3(a)(1)-(3), 6.5.1, </w:t>
            </w:r>
            <w:r w:rsidRPr="00E20018">
              <w:t>6.5.2, 6.5.5, S6.2.1, S6.2.2B, S6.2.3,</w:t>
            </w:r>
          </w:p>
          <w:p w:rsidR="00E20018" w:rsidRPr="00E20018" w:rsidRDefault="00E20018" w:rsidP="00E20018">
            <w:r>
              <w:t>6A.5.4(a)(1)-(3), 6A.6.1, 6A.6.2, 6A.6.3, S6A.2.1, S6A.2.2B, S6A.2.4</w:t>
            </w:r>
            <w:r w:rsidRPr="00E20018">
              <w:t xml:space="preserve"> </w:t>
            </w:r>
          </w:p>
        </w:tc>
        <w:tc>
          <w:tcPr>
            <w:tcW w:w="7167" w:type="dxa"/>
            <w:vAlign w:val="top"/>
          </w:tcPr>
          <w:p w:rsidR="00E20018" w:rsidRPr="00E20018" w:rsidRDefault="00E20018" w:rsidP="00E20018">
            <w:r w:rsidRPr="009378AE">
              <w:t>The total revenue</w:t>
            </w:r>
            <w:r w:rsidRPr="00E20018">
              <w:t xml:space="preserve"> that the AER determines incorporates a return on and of the service provider's asset base.  The historical asset base rolls forward from one regulatory control period to the next and from year to year within each regulatory control 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6.5.2</w:t>
            </w:r>
          </w:p>
          <w:p w:rsidR="00E20018" w:rsidRPr="00E20018" w:rsidRDefault="00E20018" w:rsidP="00E20018">
            <w:r>
              <w:t>6A.6.2</w:t>
            </w:r>
          </w:p>
        </w:tc>
        <w:tc>
          <w:tcPr>
            <w:tcW w:w="7167" w:type="dxa"/>
            <w:vAlign w:val="top"/>
          </w:tcPr>
          <w:p w:rsidR="00E20018" w:rsidRPr="00E20018" w:rsidRDefault="00E20018" w:rsidP="00E20018">
            <w:r>
              <w:t>T</w:t>
            </w:r>
            <w:r w:rsidRPr="00E20018">
              <w:t>he AER sets the rate of return on the asset base by reference to the risks faced by the service provider.  The AER updates this each regulatory control period to account for changed market conditions.</w:t>
            </w:r>
          </w:p>
        </w:tc>
      </w:tr>
      <w:tr w:rsidR="00E20018" w:rsidTr="00E20018">
        <w:tc>
          <w:tcPr>
            <w:tcW w:w="1526" w:type="dxa"/>
            <w:vAlign w:val="top"/>
          </w:tcPr>
          <w:p w:rsidR="00E20018" w:rsidRPr="00E20018" w:rsidRDefault="00E20018" w:rsidP="00E20018">
            <w:r w:rsidRPr="009378AE">
              <w:t>6.5.3</w:t>
            </w:r>
          </w:p>
          <w:p w:rsidR="00E20018" w:rsidRPr="00E20018" w:rsidRDefault="00E20018" w:rsidP="00E20018">
            <w:r>
              <w:t>6A.6.4</w:t>
            </w:r>
          </w:p>
        </w:tc>
        <w:tc>
          <w:tcPr>
            <w:tcW w:w="7167" w:type="dxa"/>
            <w:vAlign w:val="top"/>
          </w:tcPr>
          <w:p w:rsidR="00E20018" w:rsidRPr="00E20018" w:rsidRDefault="00E20018" w:rsidP="00E20018">
            <w:r>
              <w:t>Provision for tax in</w:t>
            </w:r>
            <w:r w:rsidRPr="00E20018">
              <w:t xml:space="preserve"> determining total revenue is required regardless of whether the service provider pays tax.</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6.5.6 and 6.5.7</w:t>
            </w:r>
          </w:p>
          <w:p w:rsidR="00E20018" w:rsidRPr="00E20018" w:rsidRDefault="00E20018" w:rsidP="00E20018">
            <w:r>
              <w:t>6A.6.6 and 6A.6.7</w:t>
            </w:r>
          </w:p>
        </w:tc>
        <w:tc>
          <w:tcPr>
            <w:tcW w:w="7167" w:type="dxa"/>
            <w:vAlign w:val="top"/>
          </w:tcPr>
          <w:p w:rsidR="00E20018" w:rsidRPr="00E20018" w:rsidRDefault="00E20018" w:rsidP="00E20018">
            <w:r w:rsidRPr="009378AE">
              <w:t>The</w:t>
            </w:r>
            <w:r w:rsidRPr="00E20018">
              <w:t xml:space="preserve"> AER assesses expenditure requirements for each service provider by reference to the amount necessary to meet a set of standards and objectives.  These include the need to meet the 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control period to account for changes in market conditions and trends.</w:t>
            </w:r>
          </w:p>
        </w:tc>
      </w:tr>
      <w:tr w:rsidR="00E20018" w:rsidTr="00E20018">
        <w:tc>
          <w:tcPr>
            <w:tcW w:w="1526" w:type="dxa"/>
            <w:vAlign w:val="top"/>
          </w:tcPr>
          <w:p w:rsidR="00E20018" w:rsidRPr="00E20018" w:rsidRDefault="00E20018" w:rsidP="00E20018">
            <w:r w:rsidRPr="009378AE">
              <w:t>6.5.10</w:t>
            </w:r>
          </w:p>
          <w:p w:rsidR="00E20018" w:rsidRPr="00E20018" w:rsidRDefault="00E20018" w:rsidP="00E20018">
            <w:r>
              <w:t>6A.6.9</w:t>
            </w:r>
          </w:p>
        </w:tc>
        <w:tc>
          <w:tcPr>
            <w:tcW w:w="7167" w:type="dxa"/>
            <w:vAlign w:val="top"/>
          </w:tcPr>
          <w:p w:rsidR="00E20018" w:rsidRPr="00E20018" w:rsidRDefault="00E20018" w:rsidP="00E20018">
            <w:r>
              <w:t>Allows service providers to pass through c</w:t>
            </w:r>
            <w:r w:rsidRPr="00E20018">
              <w:t>ertain costs to consumers in circumstances where this might not be possible in a workably competitive market.  For instance, the pass through provisions provide for a pass through of costs that arise through regulatory change.</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6.5.7(f), 6.6A, chapter 5</w:t>
            </w:r>
          </w:p>
          <w:p w:rsidR="00E20018" w:rsidRPr="00E20018" w:rsidRDefault="00E20018" w:rsidP="00E20018">
            <w:r>
              <w:t>6A.6.7(g), 6A.8, chapter 5</w:t>
            </w:r>
          </w:p>
        </w:tc>
        <w:tc>
          <w:tcPr>
            <w:tcW w:w="7167" w:type="dxa"/>
            <w:vAlign w:val="top"/>
          </w:tcPr>
          <w:p w:rsidR="00E20018" w:rsidRPr="00E20018" w:rsidRDefault="00E20018" w:rsidP="00E20018">
            <w:r>
              <w:t>E</w:t>
            </w:r>
            <w:r w:rsidRPr="00E20018">
              <w:t>stablishes a planning regime for DNSPs that assists in predicting future costs and appropriate planning for changes in the commercial environment.  This includes provision for contingent projects during a regulatory control period and longer term projects through the RIT-D process.</w:t>
            </w:r>
          </w:p>
        </w:tc>
      </w:tr>
      <w:tr w:rsidR="00E20018" w:rsidTr="00E20018">
        <w:tc>
          <w:tcPr>
            <w:tcW w:w="1526" w:type="dxa"/>
            <w:vAlign w:val="top"/>
          </w:tcPr>
          <w:p w:rsidR="00E20018" w:rsidRPr="00E20018" w:rsidRDefault="00E20018" w:rsidP="00E20018">
            <w:r w:rsidRPr="009378AE">
              <w:t xml:space="preserve">6.20, </w:t>
            </w:r>
            <w:r w:rsidRPr="00E20018">
              <w:t>6.21, 6.6.1(a1)(d), and RoLR provisions</w:t>
            </w:r>
          </w:p>
          <w:p w:rsidR="00E20018" w:rsidRPr="00E20018" w:rsidRDefault="00E20018" w:rsidP="00E20018">
            <w:r>
              <w:t>6A.27, 6A.28, 6A.7.3</w:t>
            </w:r>
          </w:p>
        </w:tc>
        <w:tc>
          <w:tcPr>
            <w:tcW w:w="7167" w:type="dxa"/>
            <w:vAlign w:val="top"/>
          </w:tcPr>
          <w:p w:rsidR="00E20018" w:rsidRPr="00E20018" w:rsidRDefault="00E20018" w:rsidP="00E20018">
            <w:r>
              <w:t>Provides</w:t>
            </w:r>
            <w:r w:rsidRPr="00E20018">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E20018" w:rsidRDefault="00E20018" w:rsidP="00E20018">
      <w:pPr>
        <w:pStyle w:val="AERtablesource"/>
      </w:pPr>
      <w:r>
        <w:t xml:space="preserve">Source: </w:t>
      </w:r>
      <w:r>
        <w:tab/>
        <w:t>NER, AER analysis.</w:t>
      </w:r>
    </w:p>
    <w:p w:rsidR="00E20018" w:rsidRPr="00785554" w:rsidRDefault="00E20018" w:rsidP="00E20018">
      <w:pPr>
        <w:pStyle w:val="HeadingBoldItalic"/>
        <w:rPr>
          <w:rStyle w:val="AERbody"/>
        </w:rPr>
      </w:pPr>
      <w:bookmarkStart w:id="46" w:name="_Toc480460480"/>
      <w:bookmarkStart w:id="47" w:name="_Toc480460770"/>
      <w:r w:rsidRPr="00785554">
        <w:rPr>
          <w:rStyle w:val="AERbody"/>
        </w:rPr>
        <w:t>Outcomes of a workably competitive market</w:t>
      </w:r>
      <w:bookmarkEnd w:id="46"/>
      <w:bookmarkEnd w:id="47"/>
    </w:p>
    <w:p w:rsidR="00E20018" w:rsidRDefault="00E20018" w:rsidP="00CC7A1C">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6"/>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7"/>
      </w:r>
    </w:p>
    <w:p w:rsidR="00E20018" w:rsidRDefault="00E20018" w:rsidP="00CC7A1C">
      <w:pPr>
        <w:numPr>
          <w:ilvl w:val="0"/>
          <w:numId w:val="24"/>
        </w:numPr>
      </w:pPr>
      <w:r>
        <w:t>Incentive regulation aims to replicate workably competitive market outcomes by:</w:t>
      </w:r>
    </w:p>
    <w:p w:rsidR="00E20018" w:rsidRDefault="00BC5F49" w:rsidP="00E20018">
      <w:pPr>
        <w:pStyle w:val="AERbulletlistfirststyle"/>
      </w:pPr>
      <w:r>
        <w:t>c</w:t>
      </w:r>
      <w:r w:rsidR="00E20018">
        <w:t>onstraining monopoly rents by seeking for customers to only pay for efficient costs of providing the service. This results in service providers having a lower rate of return than if they were unregulated.</w:t>
      </w:r>
    </w:p>
    <w:p w:rsidR="00E20018" w:rsidRPr="00E64F99" w:rsidRDefault="00BC5F49" w:rsidP="00E20018">
      <w:pPr>
        <w:pStyle w:val="AERbulletlistfirststyle"/>
      </w:pPr>
      <w:r>
        <w:t>i</w:t>
      </w:r>
      <w:r w:rsidR="00E20018">
        <w:t>ncentivising service providers to operate efficiently.</w:t>
      </w:r>
    </w:p>
    <w:p w:rsidR="00E20018" w:rsidRDefault="00E20018" w:rsidP="00E20018">
      <w:r>
        <w:t>Applying the first point to the allowed rate of return, the allowed rate of return should be consistent with the efficient financing cost of providing regulated services.</w:t>
      </w:r>
      <w:r>
        <w:rPr>
          <w:rStyle w:val="FootnoteReference"/>
        </w:rPr>
        <w:footnoteReference w:id="88"/>
      </w:r>
      <w:r>
        <w:t xml:space="preserve"> As we discuss above and in Appendix </w:t>
      </w:r>
      <w:r w:rsidR="004C69BA">
        <w:fldChar w:fldCharType="begin"/>
      </w:r>
      <w:r w:rsidR="004C69BA">
        <w:instrText xml:space="preserve"> REF _Ref448871343 \r \h </w:instrText>
      </w:r>
      <w:r w:rsidR="004C69BA">
        <w:fldChar w:fldCharType="separate"/>
      </w:r>
      <w:r w:rsidR="006B4A74">
        <w:t>A</w:t>
      </w:r>
      <w:r w:rsidR="004C69BA">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9"/>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90"/>
      </w:r>
    </w:p>
    <w:p w:rsidR="00E20018" w:rsidRDefault="00E20018" w:rsidP="00E20018">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E20018" w:rsidRDefault="00BC5F49" w:rsidP="00E20018">
      <w:pPr>
        <w:pStyle w:val="AERbulletlistfirststyle"/>
        <w:rPr>
          <w:rStyle w:val="AERbody"/>
        </w:rPr>
      </w:pPr>
      <w:r>
        <w:rPr>
          <w:rStyle w:val="AERbody"/>
        </w:rPr>
        <w:t>d</w:t>
      </w:r>
      <w:r w:rsidR="00E20018" w:rsidRPr="00650403">
        <w:rPr>
          <w:rStyle w:val="AERbody"/>
        </w:rPr>
        <w:t xml:space="preserve">oes not distort investment decisions. </w:t>
      </w:r>
      <w:r w:rsidR="00E20018">
        <w:rPr>
          <w:rStyle w:val="AERbody"/>
        </w:rPr>
        <w:t xml:space="preserve">This differs from </w:t>
      </w:r>
      <w:r w:rsidR="00E20018" w:rsidRPr="00650403">
        <w:rPr>
          <w:rStyle w:val="AERbody"/>
        </w:rPr>
        <w:t>cost of service regulation</w:t>
      </w:r>
      <w:r w:rsidR="00E20018">
        <w:rPr>
          <w:rStyle w:val="AERbody"/>
        </w:rPr>
        <w:t>, which entails</w:t>
      </w:r>
      <w:r w:rsidR="00E20018" w:rsidRPr="00650403">
        <w:rPr>
          <w:rStyle w:val="AERbody"/>
        </w:rPr>
        <w:t xml:space="preserve"> </w:t>
      </w:r>
      <w:r w:rsidR="00E20018">
        <w:rPr>
          <w:rStyle w:val="AERbody"/>
        </w:rPr>
        <w:t>compensating</w:t>
      </w:r>
      <w:r w:rsidR="00E20018" w:rsidRPr="00650403">
        <w:rPr>
          <w:rStyle w:val="AERbody"/>
        </w:rPr>
        <w:t xml:space="preserve"> service provider</w:t>
      </w:r>
      <w:r w:rsidR="00E20018">
        <w:rPr>
          <w:rStyle w:val="AERbody"/>
        </w:rPr>
        <w:t>s</w:t>
      </w:r>
      <w:r w:rsidR="00E20018" w:rsidRPr="00650403">
        <w:rPr>
          <w:rStyle w:val="AERbody"/>
        </w:rPr>
        <w:t xml:space="preserve"> for </w:t>
      </w:r>
      <w:r w:rsidR="00E20018">
        <w:rPr>
          <w:rStyle w:val="AERbody"/>
        </w:rPr>
        <w:t>their</w:t>
      </w:r>
      <w:r w:rsidR="00E20018" w:rsidRPr="00650403">
        <w:rPr>
          <w:rStyle w:val="AERbody"/>
        </w:rPr>
        <w:t xml:space="preserve"> actual costs no matter how inefficient.</w:t>
      </w:r>
    </w:p>
    <w:p w:rsidR="00E20018" w:rsidRDefault="00BC5F49" w:rsidP="00E20018">
      <w:pPr>
        <w:pStyle w:val="AERbulletlistfirststyle"/>
        <w:rPr>
          <w:rStyle w:val="AERbody"/>
        </w:rPr>
      </w:pPr>
      <w:r>
        <w:rPr>
          <w:rStyle w:val="AERbody"/>
        </w:rPr>
        <w:t>i</w:t>
      </w:r>
      <w:r w:rsidR="00E20018">
        <w:rPr>
          <w:rStyle w:val="AERbody"/>
        </w:rPr>
        <w:t xml:space="preserve">s </w:t>
      </w:r>
      <w:r w:rsidR="00E20018" w:rsidRPr="00650403">
        <w:rPr>
          <w:rStyle w:val="AERbody"/>
        </w:rPr>
        <w:t>consistent with the expected return in the competitive capital market (determined by demand and supply) for an investment of similar degree of risk as a service provider supplying regulated services.</w:t>
      </w:r>
    </w:p>
    <w:p w:rsidR="00E20018" w:rsidRDefault="00BC5F49" w:rsidP="00E20018">
      <w:pPr>
        <w:pStyle w:val="AERbulletlistfirststyle"/>
      </w:pPr>
      <w:r>
        <w:rPr>
          <w:rStyle w:val="AERbody"/>
        </w:rPr>
        <w:t>i</w:t>
      </w:r>
      <w:r w:rsidR="00E20018" w:rsidRPr="00650403">
        <w:rPr>
          <w:rStyle w:val="AERbody"/>
        </w:rPr>
        <w:t>ncentivises service providers to seek the lowest cost financing (all else being equal).</w:t>
      </w:r>
    </w:p>
    <w:p w:rsidR="00E20018" w:rsidRPr="00E64F99" w:rsidRDefault="0036289C" w:rsidP="00E20018">
      <w:r>
        <w:t>P</w:t>
      </w:r>
      <w:r w:rsidR="00E20018">
        <w:t xml:space="preserve">romoting an efficient competitive outcome would not necessarily </w:t>
      </w:r>
      <w:r w:rsidR="00E20018" w:rsidRPr="00E64F99">
        <w:t xml:space="preserve">entail </w:t>
      </w:r>
      <w:r w:rsidR="00E20018">
        <w:t>assuming a benchmark efficient entity would</w:t>
      </w:r>
      <w:r w:rsidR="00E20018" w:rsidRPr="00E64F99">
        <w:t xml:space="preserve"> conduct </w:t>
      </w:r>
      <w:r w:rsidR="00E20018">
        <w:t>all of its</w:t>
      </w:r>
      <w:r w:rsidR="00E20018" w:rsidRPr="00E64F99">
        <w:t xml:space="preserve"> </w:t>
      </w:r>
      <w:r w:rsidR="00E20018">
        <w:t>activities</w:t>
      </w:r>
      <w:r w:rsidR="00E20018" w:rsidRPr="00E64F99">
        <w:t xml:space="preserve"> as we would imagine an unregulated firm would. </w:t>
      </w:r>
      <w:r w:rsidR="00DB15A8">
        <w:t>We must consider, after all, that our benchmark entity is 'efficient' in the context of the national electricity objective.  It is investing efficiently,</w:t>
      </w:r>
      <w:r w:rsidR="0034344E">
        <w:t xml:space="preserve"> incurring costs efficiently,</w:t>
      </w:r>
      <w:r w:rsidR="00DB15A8">
        <w:t xml:space="preserve"> charging prices that are efficient, in a system where the use and provision of services is efficient and it earns an efficient return. As Partington and Satchell advise, an unregulated benchmark with monopoly power is not appropriate because, '</w:t>
      </w:r>
      <w:r w:rsidR="00DB15A8" w:rsidRPr="00247802">
        <w:t>if the benchmark entity is an unregulated firm which has monopoly power, then it will be extracting economic rents</w:t>
      </w:r>
      <w:r w:rsidR="00DB15A8">
        <w:t>'.</w:t>
      </w:r>
      <w:r w:rsidR="00DB15A8">
        <w:rPr>
          <w:rStyle w:val="FootnoteReference"/>
        </w:rPr>
        <w:footnoteReference w:id="91"/>
      </w:r>
      <w:r w:rsidR="00DB15A8">
        <w:t xml:space="preserve">  It will not be a benchmark 'efficient' entity.  An unregulated monopoly service provider would therefore be unlikely to have the characteristics of a benchmark efficient entity with a similar degree of risk as a service provider in the provision of its regulated services.</w:t>
      </w:r>
    </w:p>
    <w:p w:rsidR="00E20018" w:rsidRPr="00B575CE" w:rsidRDefault="00E20018" w:rsidP="00E20018">
      <w:pPr>
        <w:pStyle w:val="Heading3"/>
      </w:pPr>
      <w:bookmarkStart w:id="48" w:name="_Toc450922716"/>
      <w:bookmarkStart w:id="49" w:name="_Toc451938951"/>
      <w:bookmarkStart w:id="50" w:name="_Toc456686699"/>
      <w:r>
        <w:t>Return on debt factors in the rules</w:t>
      </w:r>
      <w:bookmarkEnd w:id="48"/>
      <w:bookmarkEnd w:id="49"/>
      <w:bookmarkEnd w:id="50"/>
    </w:p>
    <w:p w:rsidR="00E20018" w:rsidRPr="002F1CCA" w:rsidRDefault="00E20018" w:rsidP="00CC7A1C">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92"/>
      </w:r>
    </w:p>
    <w:p w:rsidR="00E20018" w:rsidRPr="002F1CCA" w:rsidRDefault="00E20018" w:rsidP="00E20018">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93"/>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r w:rsidR="001E2BC8">
        <w:t xml:space="preserve"> having the relevant degree of risk</w:t>
      </w:r>
      <w:r w:rsidR="001E2BC8" w:rsidRPr="002F1CCA">
        <w:t>.</w:t>
      </w:r>
    </w:p>
    <w:p w:rsidR="00E20018" w:rsidRPr="002F1CCA" w:rsidRDefault="00E20018" w:rsidP="00E20018">
      <w:pPr>
        <w:pStyle w:val="AERbulletlistfirststyle"/>
      </w:pPr>
      <w:r w:rsidRPr="002F1CCA">
        <w:t>The interrelationship between the return on equity and the return on debt.</w:t>
      </w:r>
      <w:r w:rsidRPr="001437CB">
        <w:rPr>
          <w:rStyle w:val="AERsuperscript"/>
        </w:rPr>
        <w:footnoteReference w:id="94"/>
      </w:r>
    </w:p>
    <w:p w:rsidR="00E20018" w:rsidRPr="002F1CCA" w:rsidRDefault="00E20018" w:rsidP="00E20018">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95"/>
      </w:r>
    </w:p>
    <w:p w:rsidR="00E20018" w:rsidRPr="002F1CCA" w:rsidRDefault="00E20018" w:rsidP="00E20018">
      <w:pPr>
        <w:pStyle w:val="AERbulletlistfirststyle"/>
      </w:pPr>
      <w:r w:rsidRPr="002F1CCA">
        <w:t xml:space="preserve">Any impacts (including in relation to the costs of servicing debt across </w:t>
      </w:r>
      <w:r>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t>control</w:t>
      </w:r>
      <w:r w:rsidRPr="002F1CCA">
        <w:t xml:space="preserve"> period to the next.</w:t>
      </w:r>
      <w:r w:rsidRPr="001437CB">
        <w:rPr>
          <w:rStyle w:val="AERsuperscript"/>
        </w:rPr>
        <w:footnoteReference w:id="96"/>
      </w:r>
    </w:p>
    <w:p w:rsidR="00E20018" w:rsidRDefault="00E20018" w:rsidP="00E20018">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control </w:t>
      </w:r>
      <w:r w:rsidRPr="002F1CCA">
        <w:t>period.</w:t>
      </w:r>
      <w:r w:rsidRPr="001437CB">
        <w:rPr>
          <w:rStyle w:val="AERsuperscript"/>
        </w:rPr>
        <w:footnoteReference w:id="97"/>
      </w:r>
      <w:r w:rsidRPr="001437CB">
        <w:rPr>
          <w:rStyle w:val="AERsuperscript"/>
        </w:rPr>
        <w:t xml:space="preserve"> </w:t>
      </w:r>
      <w:r w:rsidRPr="00FA6A21">
        <w:rPr>
          <w:rStyle w:val="AERbody"/>
        </w:rPr>
        <w:t xml:space="preserve"> </w:t>
      </w:r>
    </w:p>
    <w:p w:rsidR="00E20018" w:rsidRDefault="00E20018" w:rsidP="00E20018">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8"/>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Pr="002F1CCA">
        <w:t xml:space="preserve"> </w:t>
      </w:r>
      <w:r>
        <w:t xml:space="preserve">control </w:t>
      </w:r>
      <w:r w:rsidRPr="002F1CCA">
        <w:t>period to the next</w:t>
      </w:r>
      <w:r>
        <w:rPr>
          <w:rStyle w:val="AERbody"/>
        </w:rPr>
        <w:t xml:space="preserve">. </w:t>
      </w:r>
    </w:p>
    <w:p w:rsidR="00E20018" w:rsidRDefault="00E20018" w:rsidP="00E20018">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E20018" w:rsidRPr="008D480D" w:rsidRDefault="00E20018" w:rsidP="00E20018">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control period</w:t>
      </w:r>
      <w:r w:rsidRPr="002F1CCA">
        <w:t>.</w:t>
      </w:r>
      <w:r w:rsidRPr="002F1CCA">
        <w:rPr>
          <w:rStyle w:val="AERsuperscript"/>
        </w:rPr>
        <w:footnoteReference w:id="99"/>
      </w:r>
      <w:r>
        <w:t xml:space="preserve"> We address this in our section on debt implementation.</w:t>
      </w:r>
    </w:p>
    <w:p w:rsidR="008520A5" w:rsidRPr="008520A5" w:rsidRDefault="008520A5" w:rsidP="008520A5">
      <w:pPr>
        <w:pStyle w:val="Heading3"/>
      </w:pPr>
      <w:bookmarkStart w:id="51" w:name="_Toc450922718"/>
      <w:r w:rsidRPr="008520A5">
        <w:t>Rate of return Guideline</w:t>
      </w:r>
    </w:p>
    <w:p w:rsidR="008520A5" w:rsidRPr="008520A5" w:rsidRDefault="008520A5" w:rsidP="008520A5">
      <w:r w:rsidRPr="008520A5">
        <w:t>This section sets out the role and key elements of the Guideline. The explanatory statement (and appendices) to the Guideline explain our proposed approach in detail which we adopt for this section.</w:t>
      </w:r>
      <w:r w:rsidRPr="008520A5">
        <w:rPr>
          <w:rStyle w:val="FootnoteReference"/>
        </w:rPr>
        <w:footnoteReference w:id="100"/>
      </w:r>
    </w:p>
    <w:p w:rsidR="00E20018" w:rsidRDefault="00E20018" w:rsidP="00E20018">
      <w:pPr>
        <w:pStyle w:val="HeadingBoldBlue"/>
      </w:pPr>
      <w:r>
        <w:t>Role of the Guideline</w:t>
      </w:r>
      <w:bookmarkEnd w:id="51"/>
    </w:p>
    <w:p w:rsidR="00E20018" w:rsidRDefault="00E20018" w:rsidP="00CC7A1C">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101"/>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102"/>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E20018" w:rsidRDefault="00E20018" w:rsidP="00CC7A1C">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103"/>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104"/>
      </w:r>
    </w:p>
    <w:p w:rsidR="00E20018" w:rsidRPr="00762AAF" w:rsidRDefault="00E20018" w:rsidP="00CC7A1C">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105"/>
      </w:r>
      <w:r w:rsidRPr="00762AAF">
        <w:t xml:space="preserve"> </w:t>
      </w:r>
      <w:r>
        <w:t>The Guideline specifies</w:t>
      </w:r>
      <w:r w:rsidRPr="00762AAF">
        <w:t>:</w:t>
      </w:r>
      <w:r w:rsidRPr="00762AAF">
        <w:rPr>
          <w:rStyle w:val="FootnoteReference"/>
        </w:rPr>
        <w:footnoteReference w:id="106"/>
      </w:r>
    </w:p>
    <w:p w:rsidR="00E20018" w:rsidRPr="00762AAF" w:rsidRDefault="00E20018" w:rsidP="00E20018">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E20018" w:rsidRPr="00762AAF" w:rsidRDefault="00E20018" w:rsidP="00E20018">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E20018" w:rsidRDefault="00E20018" w:rsidP="00E20018">
      <w:pPr>
        <w:pStyle w:val="AERbulletlistfirststyle"/>
      </w:pPr>
      <w:r>
        <w:t>h</w:t>
      </w:r>
      <w:r w:rsidRPr="00762AAF">
        <w:t xml:space="preserve">ow these methods will result in an allowed return on equity and return on debt which we are satisfied achieves the </w:t>
      </w:r>
      <w:r>
        <w:t>ARORO</w:t>
      </w:r>
      <w:r w:rsidRPr="00762AAF">
        <w:t>.</w:t>
      </w:r>
    </w:p>
    <w:p w:rsidR="00E20018" w:rsidRDefault="00E20018" w:rsidP="00CC7A1C">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E20018" w:rsidRDefault="00E20018" w:rsidP="00CC7A1C">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7"/>
      </w:r>
      <w:r>
        <w:t xml:space="preserve"> Details of the Guideline development process are also on our website.</w:t>
      </w:r>
      <w:r>
        <w:rPr>
          <w:rStyle w:val="FootnoteReference"/>
        </w:rPr>
        <w:footnoteReference w:id="108"/>
      </w:r>
      <w:r>
        <w:t xml:space="preserve"> </w:t>
      </w:r>
    </w:p>
    <w:p w:rsidR="00E20018" w:rsidRDefault="00E20018" w:rsidP="00E20018">
      <w:pPr>
        <w:pStyle w:val="HeadingBoldBlue"/>
      </w:pPr>
      <w:bookmarkStart w:id="52" w:name="_Toc450922719"/>
      <w:r>
        <w:t>Key elements of the Guideline</w:t>
      </w:r>
      <w:bookmarkEnd w:id="52"/>
      <w:r>
        <w:t xml:space="preserve"> </w:t>
      </w:r>
    </w:p>
    <w:p w:rsidR="00E20018" w:rsidRDefault="00E20018" w:rsidP="00E20018">
      <w:pPr>
        <w:rPr>
          <w:rStyle w:val="AERbody"/>
        </w:rPr>
      </w:pPr>
      <w:r>
        <w:rPr>
          <w:rStyle w:val="AERbody"/>
        </w:rPr>
        <w:t>The Guideline provides transparency on how we propose to estimate key components of the allowed rate of return. We summarise these below.</w:t>
      </w:r>
    </w:p>
    <w:p w:rsidR="00E20018" w:rsidRPr="00762AAF" w:rsidRDefault="00E20018" w:rsidP="00E20018">
      <w:pPr>
        <w:pStyle w:val="HeadingBoldItalic"/>
      </w:pPr>
      <w:bookmarkStart w:id="53" w:name="_Toc480460485"/>
      <w:bookmarkStart w:id="54" w:name="_Toc480460775"/>
      <w:r w:rsidRPr="00762AAF">
        <w:t>Application of criteria for assessing information</w:t>
      </w:r>
      <w:bookmarkEnd w:id="53"/>
      <w:bookmarkEnd w:id="54"/>
    </w:p>
    <w:p w:rsidR="00E20018" w:rsidRPr="00762AAF" w:rsidRDefault="00E20018" w:rsidP="00CC7A1C">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9"/>
      </w:r>
      <w:r w:rsidRPr="00762AAF">
        <w:t xml:space="preserve"> </w:t>
      </w:r>
    </w:p>
    <w:p w:rsidR="00E20018" w:rsidRPr="00762AAF" w:rsidRDefault="00E20018" w:rsidP="00CC7A1C">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E20018" w:rsidRPr="00762AAF" w:rsidRDefault="00E20018" w:rsidP="00CC7A1C">
      <w:pPr>
        <w:numPr>
          <w:ilvl w:val="4"/>
          <w:numId w:val="24"/>
        </w:numPr>
      </w:pPr>
      <w:r w:rsidRPr="00762AAF">
        <w:t>where applicable, reflective of economic and finance principles and market information</w:t>
      </w:r>
    </w:p>
    <w:p w:rsidR="00E20018" w:rsidRPr="00762AAF" w:rsidRDefault="00E20018" w:rsidP="00CC7A1C">
      <w:pPr>
        <w:numPr>
          <w:ilvl w:val="5"/>
          <w:numId w:val="24"/>
        </w:numPr>
      </w:pPr>
      <w:r w:rsidRPr="00762AAF">
        <w:t>estimation methods and financial models are consistent with well accepted economic and finance principles and informed by sound empirical analysis and robust data</w:t>
      </w:r>
    </w:p>
    <w:p w:rsidR="00E20018" w:rsidRPr="00762AAF" w:rsidRDefault="00E20018" w:rsidP="00CC7A1C">
      <w:pPr>
        <w:numPr>
          <w:ilvl w:val="4"/>
          <w:numId w:val="24"/>
        </w:numPr>
      </w:pPr>
      <w:r w:rsidRPr="00762AAF">
        <w:t>fit for purpose</w:t>
      </w:r>
    </w:p>
    <w:p w:rsidR="00E20018" w:rsidRPr="00762AAF" w:rsidRDefault="00E20018" w:rsidP="00CC7A1C">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E20018" w:rsidRPr="00762AAF" w:rsidRDefault="00E20018" w:rsidP="00CC7A1C">
      <w:pPr>
        <w:numPr>
          <w:ilvl w:val="5"/>
          <w:numId w:val="24"/>
        </w:numPr>
      </w:pPr>
      <w:r w:rsidRPr="00762AAF">
        <w:t xml:space="preserve">promote simple over complex approaches where appropriate </w:t>
      </w:r>
    </w:p>
    <w:p w:rsidR="00E20018" w:rsidRPr="00762AAF" w:rsidRDefault="00E20018" w:rsidP="00CC7A1C">
      <w:pPr>
        <w:numPr>
          <w:ilvl w:val="4"/>
          <w:numId w:val="24"/>
        </w:numPr>
      </w:pPr>
      <w:r w:rsidRPr="00762AAF">
        <w:t>implemented in accordance with good practice</w:t>
      </w:r>
    </w:p>
    <w:p w:rsidR="00E20018" w:rsidRPr="00762AAF" w:rsidRDefault="00E20018" w:rsidP="00CC7A1C">
      <w:pPr>
        <w:numPr>
          <w:ilvl w:val="5"/>
          <w:numId w:val="24"/>
        </w:numPr>
      </w:pPr>
      <w:r w:rsidRPr="00762AAF">
        <w:t>supported by robust, transparent and replicable analysis that is derived from available credible datasets</w:t>
      </w:r>
    </w:p>
    <w:p w:rsidR="00E20018" w:rsidRPr="00762AAF" w:rsidRDefault="00E20018" w:rsidP="00CC7A1C">
      <w:pPr>
        <w:numPr>
          <w:ilvl w:val="4"/>
          <w:numId w:val="24"/>
        </w:numPr>
      </w:pPr>
      <w:r w:rsidRPr="00762AAF">
        <w:t>where models of the return on equity and debt are used these are</w:t>
      </w:r>
    </w:p>
    <w:p w:rsidR="00E20018" w:rsidRPr="00762AAF" w:rsidRDefault="00E20018" w:rsidP="00CC7A1C">
      <w:pPr>
        <w:numPr>
          <w:ilvl w:val="5"/>
          <w:numId w:val="24"/>
        </w:numPr>
      </w:pPr>
      <w:r w:rsidRPr="00762AAF">
        <w:t>based on quantitative modelling that is sufficiently robust as to not be unduly sensitive to errors in inputs estimation</w:t>
      </w:r>
    </w:p>
    <w:p w:rsidR="00E20018" w:rsidRPr="00762AAF" w:rsidRDefault="00E20018" w:rsidP="00CC7A1C">
      <w:pPr>
        <w:numPr>
          <w:ilvl w:val="5"/>
          <w:numId w:val="24"/>
        </w:numPr>
      </w:pPr>
      <w:r w:rsidRPr="00762AAF">
        <w:t>based on quantitative modelling which avoids arbitrary filtering or adjustment of data, which does not have a sound rationale</w:t>
      </w:r>
    </w:p>
    <w:p w:rsidR="00E20018" w:rsidRPr="00762AAF" w:rsidRDefault="00E20018" w:rsidP="00CC7A1C">
      <w:pPr>
        <w:numPr>
          <w:ilvl w:val="4"/>
          <w:numId w:val="24"/>
        </w:numPr>
      </w:pPr>
      <w:r w:rsidRPr="00762AAF">
        <w:t>where market data and other information is used, this information is</w:t>
      </w:r>
    </w:p>
    <w:p w:rsidR="00E20018" w:rsidRPr="00762AAF" w:rsidRDefault="00E20018" w:rsidP="00CC7A1C">
      <w:pPr>
        <w:numPr>
          <w:ilvl w:val="5"/>
          <w:numId w:val="24"/>
        </w:numPr>
      </w:pPr>
      <w:r w:rsidRPr="00762AAF">
        <w:t>credible and verifiable</w:t>
      </w:r>
    </w:p>
    <w:p w:rsidR="00E20018" w:rsidRPr="00762AAF" w:rsidRDefault="00E20018" w:rsidP="00CC7A1C">
      <w:pPr>
        <w:numPr>
          <w:ilvl w:val="5"/>
          <w:numId w:val="24"/>
        </w:numPr>
      </w:pPr>
      <w:r w:rsidRPr="00762AAF">
        <w:t>comparable and timely</w:t>
      </w:r>
    </w:p>
    <w:p w:rsidR="00E20018" w:rsidRPr="00762AAF" w:rsidRDefault="00E20018" w:rsidP="00CC7A1C">
      <w:pPr>
        <w:numPr>
          <w:ilvl w:val="5"/>
          <w:numId w:val="24"/>
        </w:numPr>
      </w:pPr>
      <w:r w:rsidRPr="00762AAF">
        <w:t>clearly sourced</w:t>
      </w:r>
    </w:p>
    <w:p w:rsidR="00E20018" w:rsidRPr="00762AAF" w:rsidRDefault="00E20018" w:rsidP="00CC7A1C">
      <w:pPr>
        <w:numPr>
          <w:ilvl w:val="4"/>
          <w:numId w:val="24"/>
        </w:numPr>
      </w:pPr>
      <w:r w:rsidRPr="00762AAF">
        <w:t>sufficiently flexible as to allow changing market conditions and new information to be reflected in regulatory outcomes, as appropriate.</w:t>
      </w:r>
    </w:p>
    <w:p w:rsidR="00E20018" w:rsidRPr="00762AAF" w:rsidRDefault="00E20018" w:rsidP="00E20018">
      <w:r>
        <w:t>We applied t</w:t>
      </w:r>
      <w:r w:rsidRPr="00762AAF">
        <w:t>hese criteria in this decision to guide us in deciding on the merits of the material before us and the best place to employ the material (if at all).</w:t>
      </w:r>
    </w:p>
    <w:p w:rsidR="00E20018" w:rsidRPr="00762AAF" w:rsidRDefault="00E20018" w:rsidP="00E20018">
      <w:pPr>
        <w:pStyle w:val="HeadingBoldItalic"/>
      </w:pPr>
      <w:bookmarkStart w:id="55" w:name="_Toc480460486"/>
      <w:bookmarkStart w:id="56" w:name="_Toc480460776"/>
      <w:r w:rsidRPr="00762AAF">
        <w:t>Benchmark efficient entity</w:t>
      </w:r>
      <w:bookmarkEnd w:id="55"/>
      <w:bookmarkEnd w:id="56"/>
      <w:r w:rsidRPr="00762AAF">
        <w:t xml:space="preserve"> </w:t>
      </w:r>
    </w:p>
    <w:p w:rsidR="00DF65C9" w:rsidRDefault="00E20018" w:rsidP="00CC7A1C">
      <w:pPr>
        <w:numPr>
          <w:ilvl w:val="0"/>
          <w:numId w:val="24"/>
        </w:numPr>
      </w:pPr>
      <w:r>
        <w:t>We generally see</w:t>
      </w:r>
      <w:r w:rsidRPr="00762AAF">
        <w:t xml:space="preserve"> a benchmark efficient entity</w:t>
      </w:r>
      <w:r>
        <w:t xml:space="preserve"> with a similar degree of risk as that applying to the service provider in respect of the provision of prescribed transmission services  as being </w:t>
      </w:r>
      <w:r w:rsidRPr="00762AAF">
        <w:t>'a pure play, regulated energy network business operating within Australia'.</w:t>
      </w:r>
      <w:r w:rsidR="00DF65C9">
        <w:t xml:space="preserve"> We say 'generally' because these characteristics are set out for guidance.  They are not applied as if amounting to a fixed rule.  This includes the following components which we think assist in informing us about relevant benchmarks with a similar degree of risk to the service provider in the provision of regulated services:</w:t>
      </w:r>
      <w:r w:rsidR="00DF65C9" w:rsidRPr="00762AAF">
        <w:rPr>
          <w:rStyle w:val="FootnoteReference"/>
        </w:rPr>
        <w:footnoteReference w:id="110"/>
      </w:r>
    </w:p>
    <w:p w:rsidR="00DF65C9" w:rsidRDefault="00DF65C9" w:rsidP="00DF65C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r>
        <w:t xml:space="preserve"> </w:t>
      </w:r>
    </w:p>
    <w:p w:rsidR="00E20018" w:rsidRDefault="00E20018" w:rsidP="00E20018">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E20018" w:rsidRPr="00762AAF" w:rsidRDefault="00E20018" w:rsidP="00E20018">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E20018" w:rsidRPr="006E696E" w:rsidRDefault="00E20018" w:rsidP="00E20018">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E20018" w:rsidRPr="00762AAF" w:rsidRDefault="00E20018" w:rsidP="00E20018">
      <w:pPr>
        <w:pStyle w:val="HeadingBoldItalic"/>
      </w:pPr>
      <w:bookmarkStart w:id="57" w:name="_Toc480460487"/>
      <w:bookmarkStart w:id="58" w:name="_Toc480460777"/>
      <w:r w:rsidRPr="00762AAF">
        <w:t>Gearing</w:t>
      </w:r>
      <w:bookmarkEnd w:id="57"/>
      <w:bookmarkEnd w:id="58"/>
    </w:p>
    <w:p w:rsidR="00E20018" w:rsidRPr="00762AAF" w:rsidRDefault="00E20018" w:rsidP="00CC7A1C">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11"/>
      </w:r>
    </w:p>
    <w:p w:rsidR="00E20018" w:rsidRPr="00762AAF" w:rsidRDefault="00E20018" w:rsidP="00E20018">
      <w:pPr>
        <w:pStyle w:val="HeadingBoldItalic"/>
      </w:pPr>
      <w:bookmarkStart w:id="59" w:name="_Toc480460488"/>
      <w:bookmarkStart w:id="60" w:name="_Toc480460778"/>
      <w:r w:rsidRPr="00762AAF">
        <w:t>Return on equity</w:t>
      </w:r>
      <w:bookmarkEnd w:id="59"/>
      <w:bookmarkEnd w:id="60"/>
    </w:p>
    <w:p w:rsidR="00E20018" w:rsidRPr="00762AAF" w:rsidRDefault="00E20018" w:rsidP="00CC7A1C">
      <w:pPr>
        <w:numPr>
          <w:ilvl w:val="0"/>
          <w:numId w:val="24"/>
        </w:numPr>
      </w:pPr>
      <w:r w:rsidRPr="00762AAF">
        <w:t xml:space="preserve">We estimate the </w:t>
      </w:r>
      <w:r>
        <w:t>allowed</w:t>
      </w:r>
      <w:r w:rsidRPr="00762AAF">
        <w:t xml:space="preserve"> return on equity using the six steps set out in the flow chart in</w:t>
      </w:r>
      <w:r>
        <w:t xml:space="preserve"> </w:t>
      </w:r>
      <w:r>
        <w:fldChar w:fldCharType="begin"/>
      </w:r>
      <w:r>
        <w:instrText xml:space="preserve"> REF  _Ref451351195 \* Lower \h </w:instrText>
      </w:r>
      <w:r>
        <w:fldChar w:fldCharType="separate"/>
      </w:r>
      <w:r w:rsidR="006B4A74" w:rsidRPr="00762AAF">
        <w:t xml:space="preserve">figure </w:t>
      </w:r>
      <w:r w:rsidR="006B4A74">
        <w:rPr>
          <w:noProof/>
        </w:rPr>
        <w:t>3</w:t>
      </w:r>
      <w:r w:rsidR="006B4A74">
        <w:noBreakHyphen/>
      </w:r>
      <w:r w:rsidR="006B4A74">
        <w:rPr>
          <w:noProof/>
        </w:rPr>
        <w:t>2</w:t>
      </w:r>
      <w:r>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12"/>
      </w:r>
    </w:p>
    <w:p w:rsidR="00E20018" w:rsidRPr="00762AAF" w:rsidRDefault="00E20018" w:rsidP="00E20018">
      <w:pPr>
        <w:pStyle w:val="Caption"/>
      </w:pPr>
      <w:bookmarkStart w:id="61" w:name="_Ref451351195"/>
      <w:r w:rsidRPr="00762AAF">
        <w:t xml:space="preserve">Figure </w:t>
      </w:r>
      <w:fldSimple w:instr=" STYLEREF 1 \s ">
        <w:r w:rsidR="006B4A74">
          <w:rPr>
            <w:noProof/>
          </w:rPr>
          <w:t>3</w:t>
        </w:r>
      </w:fldSimple>
      <w:r w:rsidR="008A2B2B">
        <w:noBreakHyphen/>
      </w:r>
      <w:fldSimple w:instr=" SEQ Figure \* ARABIC \s 1 ">
        <w:r w:rsidR="006B4A74">
          <w:rPr>
            <w:noProof/>
          </w:rPr>
          <w:t>2</w:t>
        </w:r>
      </w:fldSimple>
      <w:bookmarkEnd w:id="61"/>
      <w:r w:rsidRPr="00762AAF">
        <w:tab/>
        <w:t xml:space="preserve">Flowchart of the AER’s proposed approach to estimating the </w:t>
      </w:r>
      <w:r>
        <w:t>allowed</w:t>
      </w:r>
      <w:r w:rsidRPr="00762AAF">
        <w:t xml:space="preserve"> return on equity</w:t>
      </w:r>
    </w:p>
    <w:p w:rsidR="00E20018" w:rsidRPr="00762AAF" w:rsidRDefault="00E20018" w:rsidP="00CC7A1C">
      <w:pPr>
        <w:numPr>
          <w:ilvl w:val="0"/>
          <w:numId w:val="24"/>
        </w:numPr>
      </w:pPr>
      <w:r w:rsidRPr="00E20018">
        <w:rPr>
          <w:noProof/>
          <w:lang w:eastAsia="en-AU"/>
        </w:rPr>
        <w:drawing>
          <wp:inline distT="0" distB="0" distL="0" distR="0" wp14:anchorId="1665589D" wp14:editId="49054A56">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8">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E20018" w:rsidRPr="00F06EAD" w:rsidRDefault="00E20018" w:rsidP="00E20018">
      <w:pPr>
        <w:rPr>
          <w:rStyle w:val="AERbody"/>
        </w:rPr>
      </w:pPr>
    </w:p>
    <w:p w:rsidR="00E20018" w:rsidRPr="00762AAF" w:rsidRDefault="00E20018" w:rsidP="00E20018"/>
    <w:p w:rsidR="00E20018" w:rsidRPr="00762AAF" w:rsidRDefault="00E20018" w:rsidP="00E20018">
      <w:pPr>
        <w:pStyle w:val="HeadingBoldItalic"/>
      </w:pPr>
      <w:bookmarkStart w:id="62" w:name="_Toc480460489"/>
      <w:bookmarkStart w:id="63" w:name="_Toc480460779"/>
      <w:r w:rsidRPr="00762AAF">
        <w:t>Return on debt</w:t>
      </w:r>
      <w:bookmarkEnd w:id="62"/>
      <w:bookmarkEnd w:id="63"/>
    </w:p>
    <w:p w:rsidR="00E20018" w:rsidRDefault="00E20018" w:rsidP="00CC7A1C">
      <w:pPr>
        <w:pStyle w:val="ListParagraph"/>
        <w:numPr>
          <w:ilvl w:val="0"/>
          <w:numId w:val="24"/>
        </w:numPr>
      </w:pPr>
      <w:r>
        <w:t>We:</w:t>
      </w:r>
    </w:p>
    <w:p w:rsidR="00E20018" w:rsidRPr="00762AAF" w:rsidRDefault="00E20018" w:rsidP="00E20018">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2017–18</w:t>
      </w:r>
      <w:r w:rsidR="00DD2C3C">
        <w:t xml:space="preserve"> </w:t>
      </w:r>
      <w:r>
        <w:t>of the 2017</w:t>
      </w:r>
      <w:r w:rsidRPr="00762AAF">
        <w:t>–2</w:t>
      </w:r>
      <w:r>
        <w:t>2</w:t>
      </w:r>
      <w:r w:rsidRPr="00762AAF">
        <w:t xml:space="preserve"> </w:t>
      </w:r>
      <w:r>
        <w:t xml:space="preserve">regulatory control </w:t>
      </w:r>
      <w:r w:rsidRPr="00762AAF">
        <w:t>period, and</w:t>
      </w:r>
    </w:p>
    <w:p w:rsidR="00E20018" w:rsidRPr="00762AAF" w:rsidRDefault="00E20018" w:rsidP="00E20018">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13"/>
      </w:r>
    </w:p>
    <w:p w:rsidR="00E20018" w:rsidRPr="00762AAF" w:rsidRDefault="00E20018" w:rsidP="00E20018">
      <w:r>
        <w:t>We also proposed</w:t>
      </w:r>
      <w:r w:rsidRPr="00762AAF">
        <w:t xml:space="preserve"> to estimate the return on debt in each regulatory year by reference to:</w:t>
      </w:r>
    </w:p>
    <w:p w:rsidR="00E20018" w:rsidRPr="00762AAF" w:rsidRDefault="00E20018" w:rsidP="00E20018">
      <w:pPr>
        <w:pStyle w:val="AERbulletlistfirststyle"/>
      </w:pPr>
      <w:r w:rsidRPr="00762AAF">
        <w:t>a benchmark credit rating of BBB+</w:t>
      </w:r>
    </w:p>
    <w:p w:rsidR="00E20018" w:rsidRPr="00762AAF" w:rsidRDefault="00E20018" w:rsidP="00E20018">
      <w:pPr>
        <w:pStyle w:val="AERbulletlistfirststyle"/>
      </w:pPr>
      <w:r w:rsidRPr="00762AAF">
        <w:t>a benchmark term of debt of 10 years</w:t>
      </w:r>
    </w:p>
    <w:p w:rsidR="00E20018" w:rsidRPr="00762AAF" w:rsidRDefault="00E20018" w:rsidP="00E20018">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14"/>
      </w:r>
    </w:p>
    <w:p w:rsidR="00E20018" w:rsidRPr="00762AAF" w:rsidRDefault="00E20018" w:rsidP="00E20018">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15"/>
      </w:r>
    </w:p>
    <w:p w:rsidR="00E20018" w:rsidRPr="00762AAF" w:rsidRDefault="00E20018" w:rsidP="00E20018">
      <w:pPr>
        <w:pStyle w:val="HeadingBoldItalic"/>
      </w:pPr>
      <w:bookmarkStart w:id="64" w:name="_Toc480460490"/>
      <w:bookmarkStart w:id="65" w:name="_Toc480460780"/>
      <w:r w:rsidRPr="00762AAF">
        <w:t>Mid period WACC adjustment</w:t>
      </w:r>
      <w:bookmarkEnd w:id="64"/>
      <w:bookmarkEnd w:id="65"/>
    </w:p>
    <w:p w:rsidR="00E20018" w:rsidRDefault="00E20018" w:rsidP="00CC7A1C">
      <w:pPr>
        <w:numPr>
          <w:ilvl w:val="0"/>
          <w:numId w:val="24"/>
        </w:numPr>
      </w:pPr>
      <w:r w:rsidRPr="00762AAF">
        <w:t>We 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6"/>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7"/>
      </w:r>
    </w:p>
    <w:p w:rsidR="00BC5F49" w:rsidRDefault="00BC5F49" w:rsidP="00CC7A1C">
      <w:pPr>
        <w:numPr>
          <w:ilvl w:val="0"/>
          <w:numId w:val="24"/>
        </w:numPr>
      </w:pPr>
    </w:p>
    <w:p w:rsidR="00E20018" w:rsidRPr="00B575CE" w:rsidRDefault="00E20018" w:rsidP="00E20018">
      <w:pPr>
        <w:pStyle w:val="Heading3"/>
      </w:pPr>
      <w:bookmarkStart w:id="66" w:name="_Toc450922720"/>
      <w:bookmarkStart w:id="67" w:name="_Toc451938953"/>
      <w:bookmarkStart w:id="68" w:name="_Toc456686701"/>
      <w:r>
        <w:t>Interrelationships</w:t>
      </w:r>
      <w:bookmarkEnd w:id="66"/>
      <w:bookmarkEnd w:id="67"/>
      <w:bookmarkEnd w:id="68"/>
    </w:p>
    <w:p w:rsidR="00E20018" w:rsidRPr="00785554" w:rsidRDefault="00E20018" w:rsidP="00E20018">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18"/>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E20018" w:rsidRPr="00762AAF" w:rsidRDefault="00E20018" w:rsidP="00CC7A1C">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9"/>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t>prescribed transmission</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20"/>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21"/>
      </w:r>
    </w:p>
    <w:p w:rsidR="00E20018" w:rsidRPr="00762AAF" w:rsidRDefault="00E20018" w:rsidP="00CC7A1C">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E20018" w:rsidRPr="00762AAF" w:rsidRDefault="00E20018" w:rsidP="00E20018">
      <w:pPr>
        <w:rPr>
          <w:rStyle w:val="Strong"/>
        </w:rPr>
      </w:pPr>
      <w:r>
        <w:rPr>
          <w:rStyle w:val="Strong"/>
        </w:rPr>
        <w:t>A</w:t>
      </w:r>
      <w:r w:rsidRPr="00762AAF">
        <w:rPr>
          <w:rStyle w:val="Strong"/>
        </w:rPr>
        <w:t xml:space="preserve"> benchmark </w:t>
      </w:r>
    </w:p>
    <w:p w:rsidR="00E20018" w:rsidRPr="00762AAF" w:rsidRDefault="00E20018" w:rsidP="00CC7A1C">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w:t>
      </w:r>
      <w:r w:rsidR="00AA15E7">
        <w:t xml:space="preserve"> appropriately</w:t>
      </w:r>
      <w:r w:rsidRPr="00762AAF">
        <w:t xml:space="preserve"> compensated at all.</w:t>
      </w:r>
      <w:r w:rsidRPr="00762AAF">
        <w:rPr>
          <w:rStyle w:val="FootnoteReference"/>
        </w:rPr>
        <w:footnoteReference w:id="122"/>
      </w:r>
      <w:r w:rsidRPr="00762AAF">
        <w:t xml:space="preserve"> These interrelationships between the types of risk and the required compensation via the rate of return are an important factor.</w:t>
      </w:r>
      <w:r w:rsidRPr="00762AAF">
        <w:rPr>
          <w:rStyle w:val="FootnoteReference"/>
        </w:rPr>
        <w:footnoteReference w:id="123"/>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E20018" w:rsidRPr="00762AAF" w:rsidRDefault="00E20018" w:rsidP="00E20018">
      <w:pPr>
        <w:pStyle w:val="AERbulletlistfirststyle"/>
      </w:pPr>
      <w:r w:rsidRPr="00762AAF">
        <w:t>energy type (gas or electricity)</w:t>
      </w:r>
    </w:p>
    <w:p w:rsidR="00E20018" w:rsidRPr="00762AAF" w:rsidRDefault="00E20018" w:rsidP="00E20018">
      <w:pPr>
        <w:pStyle w:val="AERbulletlistfirststyle"/>
      </w:pPr>
      <w:r w:rsidRPr="00762AAF">
        <w:t>network type (distribution or transmission)</w:t>
      </w:r>
    </w:p>
    <w:p w:rsidR="00E20018" w:rsidRPr="00762AAF" w:rsidRDefault="00E20018" w:rsidP="00E20018">
      <w:pPr>
        <w:pStyle w:val="AERbulletlistfirststyle"/>
      </w:pPr>
      <w:r w:rsidRPr="00762AAF">
        <w:t>ownership type (government or private)</w:t>
      </w:r>
    </w:p>
    <w:p w:rsidR="00E20018" w:rsidRPr="00762AAF" w:rsidRDefault="00E20018" w:rsidP="00E20018">
      <w:pPr>
        <w:pStyle w:val="AERbulletlistfirststyle"/>
      </w:pPr>
      <w:r w:rsidRPr="00762AAF">
        <w:t>size of the service provider (big or small).</w:t>
      </w:r>
    </w:p>
    <w:p w:rsidR="00E20018" w:rsidRPr="00762AAF" w:rsidRDefault="00E20018" w:rsidP="00CC7A1C">
      <w:pPr>
        <w:numPr>
          <w:ilvl w:val="0"/>
          <w:numId w:val="24"/>
        </w:numPr>
        <w:rPr>
          <w:rStyle w:val="Strong"/>
        </w:rPr>
      </w:pPr>
      <w:r w:rsidRPr="00762AAF">
        <w:rPr>
          <w:rStyle w:val="Strong"/>
        </w:rPr>
        <w:t>Domestic market</w:t>
      </w:r>
    </w:p>
    <w:p w:rsidR="00E20018" w:rsidRPr="00762AAF" w:rsidRDefault="00E20018" w:rsidP="00CC7A1C">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E20018" w:rsidRPr="00762AAF" w:rsidRDefault="00E20018" w:rsidP="00E20018">
      <w:pPr>
        <w:rPr>
          <w:rStyle w:val="Strong"/>
        </w:rPr>
      </w:pPr>
      <w:r w:rsidRPr="00762AAF">
        <w:rPr>
          <w:rStyle w:val="Strong"/>
        </w:rPr>
        <w:t>Benchmark gearing</w:t>
      </w:r>
    </w:p>
    <w:p w:rsidR="00E20018" w:rsidRPr="00762AAF" w:rsidRDefault="00E20018" w:rsidP="00E20018">
      <w:r w:rsidRPr="00762AAF">
        <w:t>We apply a benchmark efficient level of gearing of 60 per cent, as noted above. This benchmark gearing level is used:</w:t>
      </w:r>
    </w:p>
    <w:p w:rsidR="00E20018" w:rsidRPr="00762AAF" w:rsidRDefault="00E20018" w:rsidP="00E20018">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E20018" w:rsidRPr="00762AAF" w:rsidRDefault="00E20018" w:rsidP="00E20018">
      <w:pPr>
        <w:pStyle w:val="AERbulletlistfirststyle"/>
      </w:pPr>
      <w:r w:rsidRPr="00762AAF">
        <w:t>to re-lever asset betas for the purposes of comparing the levels of systematic risk across businesses which is relevant for the equity beta estimate.</w:t>
      </w:r>
    </w:p>
    <w:p w:rsidR="00E20018" w:rsidRPr="00762AAF" w:rsidRDefault="00E20018" w:rsidP="00E20018">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24"/>
      </w:r>
    </w:p>
    <w:p w:rsidR="00BC5F49" w:rsidRDefault="00BC5F49" w:rsidP="00E20018">
      <w:pPr>
        <w:rPr>
          <w:rStyle w:val="Strong"/>
        </w:rPr>
      </w:pPr>
    </w:p>
    <w:p w:rsidR="00BC5F49" w:rsidRDefault="00BC5F49" w:rsidP="00E20018">
      <w:pPr>
        <w:rPr>
          <w:rStyle w:val="Strong"/>
        </w:rPr>
      </w:pPr>
    </w:p>
    <w:p w:rsidR="00E20018" w:rsidRPr="00762AAF" w:rsidRDefault="00E20018" w:rsidP="00E20018">
      <w:pPr>
        <w:rPr>
          <w:rStyle w:val="Strong"/>
        </w:rPr>
      </w:pPr>
      <w:r w:rsidRPr="00762AAF">
        <w:rPr>
          <w:rStyle w:val="Strong"/>
        </w:rPr>
        <w:t>Term of the rate of return</w:t>
      </w:r>
    </w:p>
    <w:p w:rsidR="00E20018" w:rsidRPr="00762AAF" w:rsidRDefault="00E20018" w:rsidP="00CC7A1C">
      <w:pPr>
        <w:numPr>
          <w:ilvl w:val="0"/>
          <w:numId w:val="24"/>
        </w:numPr>
      </w:pPr>
      <w:r w:rsidRPr="00762AAF">
        <w:t>We adopt a 10 year term for our overall rate of return.</w:t>
      </w:r>
      <w:r w:rsidRPr="00762AAF">
        <w:rPr>
          <w:rStyle w:val="FootnoteReference"/>
        </w:rPr>
        <w:footnoteReference w:id="125"/>
      </w:r>
      <w:r w:rsidRPr="00762AAF">
        <w:t xml:space="preserve"> This results in the following economic interdependencies that impact on the implementation of our return on equity and debt estimation methods:</w:t>
      </w:r>
    </w:p>
    <w:p w:rsidR="00E20018" w:rsidRPr="00762AAF" w:rsidRDefault="00E20018" w:rsidP="00E20018">
      <w:pPr>
        <w:pStyle w:val="AERbulletlistfirststyle"/>
      </w:pPr>
      <w:r>
        <w:t>t</w:t>
      </w:r>
      <w:r w:rsidRPr="00762AAF">
        <w:t>he risk free rate used for estimating the return on equity is a 10 year forward looking rate</w:t>
      </w:r>
    </w:p>
    <w:p w:rsidR="00E20018" w:rsidRPr="00762AAF" w:rsidRDefault="00E20018" w:rsidP="00E20018">
      <w:pPr>
        <w:pStyle w:val="AERbulletlistfirststyle"/>
      </w:pPr>
      <w:r>
        <w:t>t</w:t>
      </w:r>
      <w:r w:rsidRPr="00762AAF">
        <w:t>he market risk premium (MRP) estimate is for a 10 year forward looking period</w:t>
      </w:r>
    </w:p>
    <w:p w:rsidR="00E20018" w:rsidRPr="003337B3" w:rsidRDefault="00E20018" w:rsidP="00E20018">
      <w:pPr>
        <w:pStyle w:val="AERbulletlistfirststyle"/>
      </w:pPr>
      <w:r>
        <w:t>w</w:t>
      </w:r>
      <w:r w:rsidRPr="00762AAF">
        <w:t>e adopt a 10 year debt term for estimating the return on debt.</w:t>
      </w:r>
    </w:p>
    <w:p w:rsidR="00E20018" w:rsidRPr="00B575CE" w:rsidRDefault="00E20018" w:rsidP="00E20018">
      <w:pPr>
        <w:pStyle w:val="Heading3"/>
      </w:pPr>
      <w:bookmarkStart w:id="69" w:name="_Toc450922721"/>
      <w:bookmarkStart w:id="70" w:name="_Toc451938954"/>
      <w:bookmarkStart w:id="71" w:name="_Toc456686702"/>
      <w:r>
        <w:t>Consideration of relevant material</w:t>
      </w:r>
      <w:bookmarkEnd w:id="69"/>
      <w:bookmarkEnd w:id="70"/>
      <w:bookmarkEnd w:id="71"/>
    </w:p>
    <w:p w:rsidR="00E20018" w:rsidRDefault="00E20018" w:rsidP="00E20018">
      <w:r>
        <w:t>In making regulatory decisions, we are to have regard to information provided in regulatory proposals and submissions.</w:t>
      </w:r>
      <w:r>
        <w:rPr>
          <w:rStyle w:val="FootnoteReference"/>
        </w:rPr>
        <w:footnoteReference w:id="126"/>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7"/>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8"/>
      </w:r>
      <w:r w:rsidRPr="00284B79">
        <w:t xml:space="preserve"> </w:t>
      </w:r>
    </w:p>
    <w:p w:rsidR="00E20018" w:rsidRDefault="00E20018" w:rsidP="00E20018">
      <w:r>
        <w:t>In the following sections, we summarise how we have considered a large range of material. This includes, but is not limited to:</w:t>
      </w:r>
    </w:p>
    <w:p w:rsidR="00E20018" w:rsidRDefault="00E20018" w:rsidP="00E20018">
      <w:pPr>
        <w:pStyle w:val="AERbulletlistfirststyle"/>
      </w:pPr>
      <w:r>
        <w:t>service provider proposals</w:t>
      </w:r>
    </w:p>
    <w:p w:rsidR="00E20018" w:rsidRDefault="00E20018" w:rsidP="00E20018">
      <w:pPr>
        <w:pStyle w:val="AERbulletlistfirststyle"/>
      </w:pPr>
      <w:r>
        <w:t>expert reports</w:t>
      </w:r>
    </w:p>
    <w:p w:rsidR="00E20018" w:rsidRDefault="00E20018" w:rsidP="00E20018">
      <w:pPr>
        <w:pStyle w:val="AERbulletlistfirststyle"/>
      </w:pPr>
      <w:r>
        <w:t>stakeholder submissions</w:t>
      </w:r>
    </w:p>
    <w:p w:rsidR="00E20018" w:rsidRPr="00A77770" w:rsidRDefault="00E20018" w:rsidP="00E20018">
      <w:pPr>
        <w:pStyle w:val="AERbulletlistfirststyle"/>
      </w:pPr>
      <w:r>
        <w:t>recent Tribunal decisions.</w:t>
      </w:r>
    </w:p>
    <w:p w:rsidR="00E20018" w:rsidRDefault="00E20018" w:rsidP="00E20018">
      <w:pPr>
        <w:pStyle w:val="HeadingBoldBlue"/>
      </w:pPr>
      <w:bookmarkStart w:id="72" w:name="_Toc450922722"/>
      <w:r>
        <w:t>Service providers' proposals</w:t>
      </w:r>
      <w:bookmarkEnd w:id="72"/>
    </w:p>
    <w:p w:rsidR="00E20018" w:rsidRDefault="00063EEC" w:rsidP="00E20018">
      <w:r>
        <w:t>We observe two different approaches in service providers' proposals</w:t>
      </w:r>
      <w:r w:rsidR="0065573A">
        <w:t xml:space="preserve"> for the return on equity</w:t>
      </w:r>
      <w:r>
        <w:t>. TasNetworks and Powerlink fully adopt the Guideline foundation model approach (that is, for all parameters) in their revised regulatory proposal.</w:t>
      </w:r>
      <w:r w:rsidR="005B24D0">
        <w:rPr>
          <w:rStyle w:val="FootnoteReference"/>
        </w:rPr>
        <w:footnoteReference w:id="129"/>
      </w:r>
      <w:r w:rsidR="0031162C">
        <w:t xml:space="preserve"> </w:t>
      </w:r>
      <w:r w:rsidR="00E20018">
        <w:t>AusNet Services in its revised transmission proposal</w:t>
      </w:r>
      <w:r w:rsidR="001D12C1">
        <w:t>,</w:t>
      </w:r>
      <w:r w:rsidR="0031162C">
        <w:rPr>
          <w:rStyle w:val="FootnoteReference"/>
        </w:rPr>
        <w:footnoteReference w:id="130"/>
      </w:r>
      <w:r w:rsidR="00621BB0">
        <w:t xml:space="preserve"> claim reliance on our Guideline for estimating </w:t>
      </w:r>
      <w:r w:rsidR="001D12C1">
        <w:t>the return on equity. While they have</w:t>
      </w:r>
      <w:r w:rsidR="00621BB0">
        <w:t xml:space="preserve"> departed from the multi-model approach proposed in previous regulatory determinations, they </w:t>
      </w:r>
      <w:r w:rsidR="00E20018">
        <w:t xml:space="preserve">continue to challenge </w:t>
      </w:r>
      <w:r w:rsidR="00621BB0">
        <w:t xml:space="preserve">key </w:t>
      </w:r>
      <w:r w:rsidR="00E20018">
        <w:t>aspects of the Guideline approach (and methods) to estimating the return on equity.</w:t>
      </w:r>
      <w:r w:rsidR="00E20018">
        <w:rPr>
          <w:rStyle w:val="FootnoteReference"/>
        </w:rPr>
        <w:footnoteReference w:id="131"/>
      </w:r>
      <w:r w:rsidR="00E20018">
        <w:t xml:space="preserve"> We have reviewed the material submitted and considered the reasons for the proposed departures from the Guideline. We have taken into account stakeholder submissions on our decisions, and on service providers' revised and initial proposals.</w:t>
      </w:r>
    </w:p>
    <w:p w:rsidR="00E20018" w:rsidRDefault="00E20018" w:rsidP="00CC7A1C">
      <w:pPr>
        <w:numPr>
          <w:ilvl w:val="0"/>
          <w:numId w:val="24"/>
        </w:numPr>
      </w:pPr>
      <w:r>
        <w:t>In doing so, we have undertaken two interdependent tasks as required by the rules:</w:t>
      </w:r>
    </w:p>
    <w:p w:rsidR="00E20018" w:rsidRPr="00796C00" w:rsidRDefault="00E20018" w:rsidP="00E20018">
      <w:pPr>
        <w:pStyle w:val="AERbulletlistfirststyle"/>
      </w:pPr>
      <w:r>
        <w:t xml:space="preserve">consider whether the proposed departures would better achieve the ARORO such that we should depart from the </w:t>
      </w:r>
      <w:r w:rsidRPr="00796C00">
        <w:t>Guideline</w:t>
      </w:r>
    </w:p>
    <w:p w:rsidR="00E20018" w:rsidRDefault="00E20018" w:rsidP="00E20018">
      <w:pPr>
        <w:pStyle w:val="AERbulletlistfirststyle"/>
      </w:pPr>
      <w:r>
        <w:t xml:space="preserve">determine a rate of return that we are satisfied achieves the ARORO.  </w:t>
      </w:r>
    </w:p>
    <w:p w:rsidR="00E20018" w:rsidRPr="00785554" w:rsidRDefault="007C3536" w:rsidP="00E20018">
      <w:r>
        <w:t>AusNet Services Transmission</w:t>
      </w:r>
      <w:r w:rsidR="00E20018" w:rsidRPr="00785554">
        <w:t xml:space="preserve"> submitted a large volume of material in support of </w:t>
      </w:r>
      <w:r>
        <w:t>its</w:t>
      </w:r>
      <w:r w:rsidR="00E20018" w:rsidRPr="00785554">
        <w:t xml:space="preserve"> proposal. </w:t>
      </w:r>
      <w:r w:rsidR="002A118C">
        <w:t>We</w:t>
      </w:r>
      <w:r w:rsidR="00E20018" w:rsidRPr="00785554">
        <w:t xml:space="preserve"> reviewed this and considered its implications in determining the return that meets the ARORO and whether we should depart from the Guideline. We also referred material to our consultants for their consideration prior to making our preliminary</w:t>
      </w:r>
      <w:r w:rsidR="00E20018">
        <w:t>/draft</w:t>
      </w:r>
      <w:r w:rsidR="00E20018" w:rsidRPr="00785554">
        <w:t xml:space="preserve"> and final decisions. Our considerations are</w:t>
      </w:r>
      <w:r w:rsidR="002A118C">
        <w:t xml:space="preserve"> set out</w:t>
      </w:r>
      <w:r w:rsidR="00E20018" w:rsidRPr="00785554">
        <w:t xml:space="preserve"> throughout this rate of return attachment and relevant appendices.</w:t>
      </w:r>
    </w:p>
    <w:p w:rsidR="002A118C" w:rsidRDefault="00E20018" w:rsidP="00E20018">
      <w:r>
        <w:t>W</w:t>
      </w:r>
      <w:r w:rsidRPr="00785554">
        <w:t xml:space="preserve">hile we consider each regulatory proposal afresh, much of the material currently before us is the same material we </w:t>
      </w:r>
      <w:r w:rsidR="002A118C">
        <w:t xml:space="preserve">have </w:t>
      </w:r>
      <w:r w:rsidRPr="00785554">
        <w:t>considered in making our</w:t>
      </w:r>
      <w:r w:rsidR="002A118C">
        <w:t xml:space="preserve"> various</w:t>
      </w:r>
      <w:r w:rsidRPr="00785554">
        <w:t xml:space="preserve"> decisions </w:t>
      </w:r>
      <w:r w:rsidR="002A118C">
        <w:t>since</w:t>
      </w:r>
      <w:r w:rsidR="002A118C" w:rsidRPr="00785554">
        <w:t xml:space="preserve"> </w:t>
      </w:r>
      <w:r w:rsidRPr="00785554">
        <w:t>2015.</w:t>
      </w:r>
      <w:r w:rsidRPr="00785554">
        <w:rPr>
          <w:rStyle w:val="FootnoteReference"/>
        </w:rPr>
        <w:footnoteReference w:id="132"/>
      </w:r>
      <w:r w:rsidRPr="00785554">
        <w:t xml:space="preserve"> </w:t>
      </w:r>
    </w:p>
    <w:p w:rsidR="002A118C" w:rsidRPr="00785554" w:rsidRDefault="002A118C" w:rsidP="002A118C">
      <w:r w:rsidRPr="00785554">
        <w:t xml:space="preserve">For this </w:t>
      </w:r>
      <w:r>
        <w:t>final</w:t>
      </w:r>
      <w:r w:rsidRPr="00785554">
        <w:t xml:space="preserve"> decision, unless stated otherwise, we </w:t>
      </w:r>
      <w:r>
        <w:t>have built on</w:t>
      </w:r>
      <w:r w:rsidRPr="00785554">
        <w:t xml:space="preserve"> the rate of return analysis and reasoning as set out in our</w:t>
      </w:r>
      <w:r>
        <w:t xml:space="preserve"> draft decision, and our other recent decisions on rate return since 2015.  These earlier decisions are still relevant to understanding the changes in approaches that have been proposed by different service providers and stakeholders, and how our analysis and reasoning has developed</w:t>
      </w:r>
      <w:r w:rsidRPr="00785554">
        <w:t>.</w:t>
      </w:r>
      <w:r w:rsidRPr="00785554">
        <w:rPr>
          <w:rStyle w:val="FootnoteReference"/>
        </w:rPr>
        <w:footnoteReference w:id="133"/>
      </w:r>
    </w:p>
    <w:p w:rsidR="00BC5F49" w:rsidRDefault="00BC5F49" w:rsidP="00CC7A1C">
      <w:pPr>
        <w:pStyle w:val="HeadingBoldBlue"/>
        <w:numPr>
          <w:ilvl w:val="0"/>
          <w:numId w:val="24"/>
        </w:numPr>
      </w:pPr>
      <w:bookmarkStart w:id="73" w:name="_Toc450922723"/>
    </w:p>
    <w:p w:rsidR="00E20018" w:rsidRPr="00FC3B81" w:rsidRDefault="00E20018" w:rsidP="00CC7A1C">
      <w:pPr>
        <w:pStyle w:val="HeadingBoldBlue"/>
        <w:numPr>
          <w:ilvl w:val="0"/>
          <w:numId w:val="24"/>
        </w:numPr>
      </w:pPr>
      <w:r>
        <w:t>Expert reports</w:t>
      </w:r>
      <w:bookmarkEnd w:id="73"/>
    </w:p>
    <w:p w:rsidR="00E20018" w:rsidRPr="00AC1D0D" w:rsidRDefault="00E20018" w:rsidP="00CC7A1C">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E20018" w:rsidRDefault="00E20018" w:rsidP="00E20018">
      <w:pPr>
        <w:pStyle w:val="AERbulletlistfirststyle"/>
      </w:pPr>
      <w:r>
        <w:t>Professor Michael McKenzie, University of Liverpool</w:t>
      </w:r>
      <w:r w:rsidRPr="00796C00">
        <w:t>.</w:t>
      </w:r>
      <w:r w:rsidRPr="00796C00">
        <w:rPr>
          <w:rStyle w:val="FootnoteReference"/>
        </w:rPr>
        <w:footnoteReference w:id="134"/>
      </w:r>
    </w:p>
    <w:p w:rsidR="00E20018" w:rsidRPr="00796C00" w:rsidRDefault="00E20018" w:rsidP="00E20018">
      <w:pPr>
        <w:pStyle w:val="AERbulletlistfirststyle"/>
      </w:pPr>
      <w:r>
        <w:t>Professor Stephen Satchell, Trinity College, Cambridge University</w:t>
      </w:r>
      <w:r>
        <w:rPr>
          <w:rStyle w:val="FootnoteReference"/>
        </w:rPr>
        <w:footnoteReference w:id="135"/>
      </w:r>
    </w:p>
    <w:p w:rsidR="00E20018" w:rsidRPr="00796C00" w:rsidRDefault="00E20018" w:rsidP="00E20018">
      <w:pPr>
        <w:pStyle w:val="AERbulletlistfirststyle"/>
      </w:pPr>
      <w:r>
        <w:t>Associate professor Graham Partington, University of Sydney</w:t>
      </w:r>
      <w:r w:rsidRPr="00796C00">
        <w:t>.</w:t>
      </w:r>
      <w:r w:rsidRPr="00796C00">
        <w:rPr>
          <w:rStyle w:val="FootnoteReference"/>
        </w:rPr>
        <w:footnoteReference w:id="136"/>
      </w:r>
    </w:p>
    <w:p w:rsidR="00E20018" w:rsidRDefault="00E20018" w:rsidP="00E20018">
      <w:pPr>
        <w:pStyle w:val="AERbulletlistfirststyle"/>
      </w:pPr>
      <w:r>
        <w:t>Associate professor John Handley, University of Melbourne</w:t>
      </w:r>
      <w:r w:rsidRPr="00796C00">
        <w:t>.</w:t>
      </w:r>
      <w:r w:rsidRPr="00796C00">
        <w:rPr>
          <w:rStyle w:val="FootnoteReference"/>
        </w:rPr>
        <w:footnoteReference w:id="137"/>
      </w:r>
    </w:p>
    <w:p w:rsidR="00E20018" w:rsidRDefault="00E20018" w:rsidP="00E20018">
      <w:pPr>
        <w:pStyle w:val="AERbulletlistfirststyle"/>
      </w:pPr>
      <w:r>
        <w:t>Dr Martin Lally, Capital Financial Consultants</w:t>
      </w:r>
      <w:r w:rsidRPr="00796C00">
        <w:t>.</w:t>
      </w:r>
      <w:r w:rsidRPr="00796C00">
        <w:rPr>
          <w:rStyle w:val="FootnoteReference"/>
        </w:rPr>
        <w:footnoteReference w:id="138"/>
      </w:r>
    </w:p>
    <w:p w:rsidR="00E20018" w:rsidRPr="00796C00" w:rsidRDefault="00E20018" w:rsidP="00E20018">
      <w:pPr>
        <w:pStyle w:val="AERbulletlistfirststyle"/>
      </w:pPr>
      <w:r>
        <w:t>Chairmont, a financial market practitioner.</w:t>
      </w:r>
      <w:r>
        <w:rPr>
          <w:rStyle w:val="FootnoteReference"/>
        </w:rPr>
        <w:footnoteReference w:id="139"/>
      </w:r>
    </w:p>
    <w:p w:rsidR="00E20018" w:rsidRDefault="00E20018" w:rsidP="00CC7A1C">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40"/>
      </w:r>
      <w:r>
        <w:t xml:space="preserve"> We also received advice on return on debt estimation from the ACCC Regulatory Economic Unit (REU).</w:t>
      </w:r>
      <w:r>
        <w:rPr>
          <w:rStyle w:val="FootnoteReference"/>
        </w:rPr>
        <w:footnoteReference w:id="141"/>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BC5F49" w:rsidRDefault="00BC5F49" w:rsidP="00CC7A1C">
      <w:pPr>
        <w:numPr>
          <w:ilvl w:val="0"/>
          <w:numId w:val="24"/>
        </w:numPr>
      </w:pPr>
    </w:p>
    <w:p w:rsidR="00E20018" w:rsidRDefault="00E20018" w:rsidP="00CC7A1C">
      <w:pPr>
        <w:pStyle w:val="HeadingBoldBlue"/>
        <w:numPr>
          <w:ilvl w:val="0"/>
          <w:numId w:val="24"/>
        </w:numPr>
      </w:pPr>
      <w:bookmarkStart w:id="74" w:name="_Toc450922724"/>
      <w:r>
        <w:t>Stakeholder submissions</w:t>
      </w:r>
      <w:bookmarkEnd w:id="74"/>
    </w:p>
    <w:p w:rsidR="00E20018" w:rsidRPr="002E5985" w:rsidRDefault="00E20018" w:rsidP="00CC7A1C">
      <w:pPr>
        <w:pStyle w:val="ListParagraph"/>
        <w:numPr>
          <w:ilvl w:val="0"/>
          <w:numId w:val="24"/>
        </w:numPr>
      </w:pPr>
      <w:r w:rsidRPr="00A164C0">
        <w:rPr>
          <w:rStyle w:val="AERbody"/>
        </w:rPr>
        <w:t>Stakeholders made submissions specific to AusNet Services which we have considered. In making this decision, we have also considered material that was submitted for the recent decisions published in April, June and October 2015 and in May 2016</w:t>
      </w:r>
      <w:r w:rsidR="00CD2633">
        <w:rPr>
          <w:rStyle w:val="AERbody"/>
        </w:rPr>
        <w:t xml:space="preserve"> that may remain relevant</w:t>
      </w:r>
      <w:r w:rsidRPr="00A164C0">
        <w:rPr>
          <w:rStyle w:val="AERbody"/>
        </w:rPr>
        <w:t>. Overall, in making these recent decisions we received a large number of submissions on the original proposals, preliminary</w:t>
      </w:r>
      <w:r w:rsidR="00DD2C3C" w:rsidRPr="00A164C0">
        <w:rPr>
          <w:rStyle w:val="AERbody"/>
        </w:rPr>
        <w:t>/draft</w:t>
      </w:r>
      <w:r w:rsidRPr="00A164C0">
        <w:rPr>
          <w:rStyle w:val="AERbody"/>
        </w:rPr>
        <w:t xml:space="preserve"> decisions and revised rate of return proposals.</w:t>
      </w:r>
      <w:r w:rsidRPr="007A3121">
        <w:rPr>
          <w:rStyle w:val="FootnoteReference"/>
        </w:rPr>
        <w:footnoteReference w:id="142"/>
      </w:r>
      <w:r w:rsidRPr="00A164C0">
        <w:rPr>
          <w:rStyle w:val="AERbody"/>
        </w:rPr>
        <w:t xml:space="preserve"> A range of submissions, including those on AusNet Services' proposal had commentary relating to the rate of return.</w:t>
      </w:r>
      <w:r>
        <w:rPr>
          <w:rStyle w:val="FootnoteReference"/>
        </w:rPr>
        <w:footnoteReference w:id="143"/>
      </w:r>
      <w:r w:rsidRPr="002E5985">
        <w:t xml:space="preserve"> </w:t>
      </w:r>
    </w:p>
    <w:p w:rsidR="00E20018" w:rsidRDefault="00E20018" w:rsidP="00E20018">
      <w:pPr>
        <w:pStyle w:val="HeadingBoldBlue"/>
      </w:pPr>
      <w:bookmarkStart w:id="75" w:name="_Toc450922725"/>
      <w:r>
        <w:t>Consideration of recent Tribunal decisions</w:t>
      </w:r>
      <w:bookmarkEnd w:id="75"/>
    </w:p>
    <w:p w:rsidR="00E20018" w:rsidRDefault="00E20018" w:rsidP="00CC7A1C">
      <w:pPr>
        <w:numPr>
          <w:ilvl w:val="0"/>
          <w:numId w:val="24"/>
        </w:numPr>
      </w:pPr>
      <w:r>
        <w:t>The Tribunal recently reviewed and upheld several aspects of our approach to estimating the rate of return. These included:</w:t>
      </w:r>
      <w:r>
        <w:rPr>
          <w:rStyle w:val="FootnoteReference"/>
        </w:rPr>
        <w:footnoteReference w:id="144"/>
      </w:r>
    </w:p>
    <w:p w:rsidR="00E20018" w:rsidRDefault="00E20018" w:rsidP="00E20018">
      <w:pPr>
        <w:pStyle w:val="AERbulletlistfirststyle"/>
      </w:pPr>
      <w:r>
        <w:t xml:space="preserve">our approach to estimating the return on equity by applying the Guideline approach referred to as the foundation model approach </w:t>
      </w:r>
    </w:p>
    <w:p w:rsidR="00E20018" w:rsidRPr="00454ED0" w:rsidRDefault="00E20018" w:rsidP="00E20018">
      <w:pPr>
        <w:pStyle w:val="AERbulletlistfirststyle"/>
      </w:pPr>
      <w:r>
        <w:t>our approach to specifying t</w:t>
      </w:r>
      <w:r w:rsidRPr="00454ED0">
        <w:t xml:space="preserve">he benchmark credit rating </w:t>
      </w:r>
      <w:r>
        <w:t>at BBB+ rather than BBB as preferred by some of the service providers</w:t>
      </w:r>
    </w:p>
    <w:p w:rsidR="00E20018" w:rsidRDefault="00E20018" w:rsidP="00E20018">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867D79" w:rsidRPr="00867D79" w:rsidRDefault="00867D79" w:rsidP="00A164C0">
      <w:pPr>
        <w:pStyle w:val="AERbulletlistfirststyle"/>
        <w:numPr>
          <w:ilvl w:val="0"/>
          <w:numId w:val="0"/>
        </w:numPr>
      </w:pPr>
      <w:r w:rsidRPr="00867D79">
        <w:t xml:space="preserve">The Tribunal is </w:t>
      </w:r>
      <w:r w:rsidR="00270218">
        <w:t xml:space="preserve">also </w:t>
      </w:r>
      <w:r w:rsidRPr="00867D79">
        <w:t>considering but is yet to hand down its decision on one further review of our approach to estimating return on debt parameters.</w:t>
      </w:r>
      <w:r w:rsidR="007E21A1">
        <w:rPr>
          <w:rStyle w:val="FootnoteReference"/>
        </w:rPr>
        <w:footnoteReference w:id="145"/>
      </w:r>
      <w:r w:rsidRPr="00867D79">
        <w:t xml:space="preserve">  That decision is due on or before 2</w:t>
      </w:r>
      <w:r w:rsidR="00270218">
        <w:t>4</w:t>
      </w:r>
      <w:r w:rsidRPr="00867D79">
        <w:t xml:space="preserve"> May 2017.</w:t>
      </w:r>
    </w:p>
    <w:p w:rsidR="00E20018" w:rsidRPr="00785554" w:rsidRDefault="00E20018" w:rsidP="00E20018">
      <w:r>
        <w:t>We have maintained our approach to estimating these components of the allowed rate of return in th</w:t>
      </w:r>
      <w:r w:rsidRPr="00785554">
        <w:t>is decision.</w:t>
      </w:r>
    </w:p>
    <w:p w:rsidR="00E20018" w:rsidRPr="00785554" w:rsidRDefault="00E20018" w:rsidP="00E20018">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46"/>
      </w:r>
      <w:r w:rsidRPr="00785554">
        <w:t xml:space="preserve"> On 24 March 2016, we applied to the Federal Court for judicial review of this aspect of the Tribunal's decision. In particular, we have applied for review on:</w:t>
      </w:r>
    </w:p>
    <w:p w:rsidR="00E20018" w:rsidRDefault="00E20018" w:rsidP="00E20018">
      <w:pPr>
        <w:pStyle w:val="AERbulletlistfirststyle"/>
      </w:pPr>
      <w:r>
        <w:t>the Tribunal's 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47"/>
      </w:r>
      <w:r>
        <w:t xml:space="preserve"> </w:t>
      </w:r>
    </w:p>
    <w:p w:rsidR="00E20018" w:rsidRDefault="00E20018" w:rsidP="00E20018">
      <w:pPr>
        <w:pStyle w:val="AERbulletlistfirststyle"/>
      </w:pPr>
      <w:r>
        <w:t>t</w:t>
      </w:r>
      <w:r w:rsidRPr="00323742">
        <w:t>he Tribunal's rejection of a single benchmark efficient entity for those service providers</w:t>
      </w:r>
    </w:p>
    <w:p w:rsidR="00867D79" w:rsidRDefault="00867D79" w:rsidP="00867D79">
      <w:pPr>
        <w:pStyle w:val="AERbulletlistfirststyle"/>
      </w:pPr>
      <w:r>
        <w:t>t</w:t>
      </w:r>
      <w:r w:rsidRPr="00323742">
        <w:t>he Tribunal's approach to the interpretation of cl.</w:t>
      </w:r>
      <w:r>
        <w:t xml:space="preserve"> 6.5.2(k)(4) of the NER</w:t>
      </w:r>
      <w:r w:rsidRPr="001F6E19">
        <w:t>.</w:t>
      </w:r>
      <w:r>
        <w:rPr>
          <w:rStyle w:val="FootnoteReference"/>
        </w:rPr>
        <w:footnoteReference w:id="148"/>
      </w:r>
      <w:r w:rsidRPr="001F6E19">
        <w:t xml:space="preserve"> </w:t>
      </w:r>
    </w:p>
    <w:p w:rsidR="00867D79" w:rsidRPr="00867D79" w:rsidRDefault="00867D79" w:rsidP="00A164C0">
      <w:pPr>
        <w:pStyle w:val="AERbulletlistfirststyle"/>
        <w:numPr>
          <w:ilvl w:val="0"/>
          <w:numId w:val="0"/>
        </w:numPr>
      </w:pPr>
      <w:r>
        <w:t>The Full Federal Court has not</w:t>
      </w:r>
      <w:r w:rsidRPr="00867D79">
        <w:t xml:space="preserve"> yet handed down its decision on these issues.</w:t>
      </w:r>
    </w:p>
    <w:p w:rsidR="00867D79" w:rsidRPr="00867D79" w:rsidRDefault="00867D79" w:rsidP="00A164C0">
      <w:pPr>
        <w:pStyle w:val="AERbulletlistfirststyle"/>
        <w:numPr>
          <w:ilvl w:val="0"/>
          <w:numId w:val="0"/>
        </w:numPr>
      </w:pPr>
      <w:r>
        <w:t xml:space="preserve">The Tribunal </w:t>
      </w:r>
      <w:r w:rsidRPr="00867D79">
        <w:t>has upheld our approach to transitioning to a trailing average approach following a review brought by SAPN.  However, SAPN has sought a review of the Tribunal's decision in the Full Federal Court. That review is scheduled to be heard on 1-3 May 2017.</w:t>
      </w:r>
    </w:p>
    <w:p w:rsidR="00867D79" w:rsidRPr="00867D79" w:rsidRDefault="00867D79" w:rsidP="00A164C0">
      <w:pPr>
        <w:pStyle w:val="AERbulletlistfirststyle"/>
        <w:numPr>
          <w:ilvl w:val="0"/>
          <w:numId w:val="0"/>
        </w:numPr>
      </w:pPr>
      <w:r>
        <w:t>Overall</w:t>
      </w:r>
      <w:r w:rsidRPr="00867D79">
        <w:t xml:space="preserve">, </w:t>
      </w:r>
      <w:r w:rsidR="00BE7ED0">
        <w:t>the majority of</w:t>
      </w:r>
      <w:r w:rsidRPr="00867D79">
        <w:t xml:space="preserve"> businesses have accepted our approach to transitioning to a trailing average to estimate the allowed return on debt, including most private businesses. However, Jemena Electricity and ActewAGL gas recently sought review of our approach in the Tribunal on similar issues and the Tribunals' decisions are due to be released on or before 2</w:t>
      </w:r>
      <w:r w:rsidR="007E21A1">
        <w:t>4</w:t>
      </w:r>
      <w:r w:rsidRPr="00867D79">
        <w:t xml:space="preserve"> May 2017.</w:t>
      </w:r>
    </w:p>
    <w:p w:rsidR="00DE563D" w:rsidRDefault="00DE563D" w:rsidP="001754EE">
      <w:pPr>
        <w:pStyle w:val="Heading2"/>
      </w:pPr>
      <w:bookmarkStart w:id="76" w:name="_Toc403144140"/>
      <w:bookmarkStart w:id="77" w:name="_Toc481057464"/>
      <w:r w:rsidRPr="001754EE">
        <w:t>Reasons</w:t>
      </w:r>
      <w:r>
        <w:t xml:space="preserve"> for </w:t>
      </w:r>
      <w:r w:rsidR="00122F86">
        <w:t>final</w:t>
      </w:r>
      <w:r>
        <w:t xml:space="preserve"> decision</w:t>
      </w:r>
      <w:bookmarkEnd w:id="76"/>
      <w:bookmarkEnd w:id="77"/>
      <w:r>
        <w:t xml:space="preserve"> </w:t>
      </w:r>
    </w:p>
    <w:p w:rsidR="00345EDF" w:rsidRPr="00D67998" w:rsidRDefault="00345EDF" w:rsidP="00CC7A1C">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9"/>
      </w:r>
      <w:r w:rsidRPr="00D67998">
        <w:rPr>
          <w:rStyle w:val="FootnoteReference"/>
        </w:rPr>
        <w:t xml:space="preserve"> </w:t>
      </w:r>
      <w:r w:rsidRPr="00D67998">
        <w:t xml:space="preserve"> </w:t>
      </w:r>
    </w:p>
    <w:p w:rsidR="00345EDF" w:rsidRPr="00D67998" w:rsidRDefault="00345EDF" w:rsidP="00CC7A1C">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50"/>
      </w:r>
      <w:r w:rsidRPr="00D67998">
        <w:t xml:space="preserve"> </w:t>
      </w:r>
    </w:p>
    <w:p w:rsidR="00345EDF" w:rsidRDefault="00345EDF" w:rsidP="00345EDF">
      <w:r>
        <w:t>In making this decision we have considered issues that have been raised by AusNet Services as well as different service providers and stakeholders in our recently published regulatory determinations.</w:t>
      </w:r>
      <w:r w:rsidR="00E31239">
        <w:rPr>
          <w:rStyle w:val="FootnoteReference"/>
        </w:rPr>
        <w:footnoteReference w:id="151"/>
      </w:r>
      <w:r>
        <w:t xml:space="preserve"> While we have addressed matters specifically raised by AusNet Services</w:t>
      </w:r>
      <w:r w:rsidRPr="00D67998">
        <w:t xml:space="preserve"> </w:t>
      </w:r>
      <w:r>
        <w:t>and/or stakeholders in this decision process, much of our analysis and reasoning also addresses mat</w:t>
      </w:r>
      <w:r w:rsidR="00907B76">
        <w:t>t</w:t>
      </w:r>
      <w:r>
        <w:t xml:space="preserve">ers raised by </w:t>
      </w:r>
      <w:r w:rsidR="007E21A1">
        <w:t xml:space="preserve">other </w:t>
      </w:r>
      <w:r>
        <w:t xml:space="preserve">service providers (and stakeholders) in </w:t>
      </w:r>
      <w:r w:rsidR="0089473C">
        <w:t>past and concurrent</w:t>
      </w:r>
      <w:r>
        <w:t xml:space="preserve"> regulatory determination processes. </w:t>
      </w:r>
    </w:p>
    <w:p w:rsidR="00345EDF" w:rsidRDefault="00345EDF" w:rsidP="00345EDF">
      <w:r>
        <w:t>All of this material informs our view on AusNet Services' proposal and also underpins our decision on the return on equity that contributes to the achievement of the ARORO. That is, a return commensurate with the efficient financing costs of a benchmark efficient entity with a similar degree of risk as that which applies to AusNet Services</w:t>
      </w:r>
      <w:r w:rsidRPr="00D67998">
        <w:t xml:space="preserve"> </w:t>
      </w:r>
      <w:r>
        <w:t>in respect of the provision of prescribed transmission services.</w:t>
      </w:r>
      <w:r>
        <w:rPr>
          <w:rStyle w:val="FootnoteReference"/>
        </w:rPr>
        <w:footnoteReference w:id="152"/>
      </w:r>
    </w:p>
    <w:p w:rsidR="00345EDF" w:rsidRDefault="00345EDF" w:rsidP="00CC7A1C">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6B4A74">
        <w:t>3.4.1</w:t>
      </w:r>
      <w:r>
        <w:fldChar w:fldCharType="end"/>
      </w:r>
      <w:r w:rsidR="004C69BA">
        <w:t>,</w:t>
      </w:r>
      <w:r>
        <w:t xml:space="preserve"> and </w:t>
      </w:r>
      <w:r w:rsidR="001A7089">
        <w:fldChar w:fldCharType="begin"/>
      </w:r>
      <w:r w:rsidR="001A7089">
        <w:instrText xml:space="preserve"> REF _Ref478718271 \r \h </w:instrText>
      </w:r>
      <w:r w:rsidR="001A7089">
        <w:fldChar w:fldCharType="separate"/>
      </w:r>
      <w:r w:rsidR="006B4A74">
        <w:t>3.4.2</w:t>
      </w:r>
      <w:r w:rsidR="001A7089">
        <w:fldChar w:fldCharType="end"/>
      </w:r>
      <w:r>
        <w:t xml:space="preserve">, respectively. Subsections </w:t>
      </w:r>
      <w:r w:rsidR="009211CA">
        <w:t>3.4.</w:t>
      </w:r>
      <w:r w:rsidR="00B31FB8">
        <w:t>3</w:t>
      </w:r>
      <w:r>
        <w:t xml:space="preserve"> and </w:t>
      </w:r>
      <w:r w:rsidR="009211CA">
        <w:t>3.4.</w:t>
      </w:r>
      <w:r>
        <w:t xml:space="preserve"> set out the gearing ratio and our expected inflation rate for the 2017–22 regulatory control period.</w:t>
      </w:r>
    </w:p>
    <w:p w:rsidR="00345EDF" w:rsidRDefault="00345EDF" w:rsidP="00345EDF">
      <w:pPr>
        <w:pStyle w:val="Heading3"/>
      </w:pPr>
      <w:bookmarkStart w:id="78" w:name="_Ref430958591"/>
      <w:bookmarkStart w:id="79" w:name="_Toc433446503"/>
      <w:bookmarkStart w:id="80" w:name="_Ref451345947"/>
      <w:bookmarkStart w:id="81" w:name="_Toc451938956"/>
      <w:bookmarkStart w:id="82" w:name="_Toc456686704"/>
      <w:r w:rsidRPr="00796C00">
        <w:t>Return on equity</w:t>
      </w:r>
      <w:bookmarkEnd w:id="78"/>
      <w:bookmarkEnd w:id="79"/>
      <w:bookmarkEnd w:id="80"/>
      <w:bookmarkEnd w:id="81"/>
      <w:bookmarkEnd w:id="82"/>
      <w:r w:rsidRPr="00796C00">
        <w:t xml:space="preserve"> </w:t>
      </w:r>
    </w:p>
    <w:p w:rsidR="00D24E42" w:rsidRPr="00D24E42" w:rsidRDefault="00345EDF" w:rsidP="00654111">
      <w:r>
        <w:t>Our return on equity estimate is 7.1 per cent</w:t>
      </w:r>
      <w:r w:rsidR="00654111">
        <w:t xml:space="preserve"> based on an</w:t>
      </w:r>
      <w:r w:rsidR="00D24E42">
        <w:t xml:space="preserve"> application of the Guideline foundation model approach </w:t>
      </w:r>
      <w:r w:rsidR="00654111">
        <w:t>(a</w:t>
      </w:r>
      <w:r w:rsidR="00D24E42" w:rsidRPr="00D24E42">
        <w:t xml:space="preserve"> more detailed </w:t>
      </w:r>
      <w:r w:rsidR="00123E0C">
        <w:t>discussion of why we use</w:t>
      </w:r>
      <w:r w:rsidR="00D24E42" w:rsidRPr="00D24E42">
        <w:t xml:space="preserve"> the Guideline foundation model approach to estimate the return on equity is in Appendix A</w:t>
      </w:r>
      <w:r w:rsidR="00654111">
        <w:t>)</w:t>
      </w:r>
      <w:r w:rsidR="00D24E42" w:rsidRPr="00D24E42">
        <w:t>.</w:t>
      </w:r>
    </w:p>
    <w:p w:rsidR="00345EDF" w:rsidRDefault="00345EDF" w:rsidP="00CC7A1C">
      <w:pPr>
        <w:numPr>
          <w:ilvl w:val="0"/>
          <w:numId w:val="24"/>
        </w:numPr>
      </w:pPr>
      <w:r>
        <w:t>We consider that 7.1 per cent is the best estimate to combine with a return on debt estimate to form an overall allowed rate of return that achieves the ARORO. We also consider that 7.1 per cent is consistent with the prevailing conditions in the market for equity funds.</w:t>
      </w:r>
    </w:p>
    <w:p w:rsidR="00345EDF" w:rsidRDefault="00345EDF" w:rsidP="00CC7A1C">
      <w:pPr>
        <w:numPr>
          <w:ilvl w:val="0"/>
          <w:numId w:val="24"/>
        </w:numPr>
      </w:pPr>
      <w:r>
        <w:t>We hold these views because:</w:t>
      </w:r>
    </w:p>
    <w:p w:rsidR="00345EDF" w:rsidRDefault="00345EDF" w:rsidP="00345EDF">
      <w:pPr>
        <w:pStyle w:val="AERbulletlistfirststyle"/>
      </w:pPr>
      <w:r>
        <w:t>We derive our estimate using the Sharpe–Lintner CAPM</w:t>
      </w:r>
      <w:r w:rsidR="00F84447">
        <w:t xml:space="preserve"> as our foundation model</w:t>
      </w:r>
      <w:r>
        <w:t>, which:</w:t>
      </w:r>
    </w:p>
    <w:p w:rsidR="00345EDF" w:rsidRDefault="00345EDF" w:rsidP="00345EDF">
      <w:pPr>
        <w:pStyle w:val="AERbulletlistsecondstyle"/>
      </w:pPr>
      <w:r w:rsidRPr="001174B8">
        <w:t>transparently presents the key risk and reward trade-off</w:t>
      </w:r>
      <w:r>
        <w:rPr>
          <w:rStyle w:val="FootnoteReference"/>
        </w:rPr>
        <w:footnoteReference w:id="153"/>
      </w:r>
      <w:r w:rsidRPr="001174B8">
        <w:t xml:space="preserve"> that is at the heart of our task</w:t>
      </w:r>
      <w:r>
        <w:rPr>
          <w:rStyle w:val="FootnoteReference"/>
        </w:rPr>
        <w:footnoteReference w:id="154"/>
      </w:r>
    </w:p>
    <w:p w:rsidR="00345EDF" w:rsidRDefault="00345EDF" w:rsidP="00345EDF">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55"/>
      </w:r>
    </w:p>
    <w:p w:rsidR="00345EDF" w:rsidRDefault="00345EDF" w:rsidP="00345EDF">
      <w:pPr>
        <w:pStyle w:val="AERbulletlistsecondstyle"/>
      </w:pPr>
      <w:r>
        <w:t>has well-accepted and unbiased methods for estimating its parameters, and these parameters can be estimated with tolerable accuracy, unlike the alternative models</w:t>
      </w:r>
      <w:r w:rsidR="00F84447">
        <w:t xml:space="preserve"> that have been proposed in the past (such as the dividend growth model, the Black CAPM and the Fama-French model)</w:t>
      </w:r>
      <w:r>
        <w:t>.</w:t>
      </w:r>
    </w:p>
    <w:p w:rsidR="00345EDF" w:rsidRPr="00345EDF" w:rsidRDefault="00345EDF" w:rsidP="00345EDF">
      <w:pPr>
        <w:pStyle w:val="AERbulletlistfirststyle"/>
        <w:rPr>
          <w:rStyle w:val="AERtexthighlight"/>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Pr="002F6FA6">
        <w:t>Appendix D and E for more discussions).</w:t>
      </w:r>
    </w:p>
    <w:p w:rsidR="00345EDF" w:rsidRPr="00146770" w:rsidRDefault="00345EDF" w:rsidP="00BE7E8C">
      <w:pPr>
        <w:pStyle w:val="AERbulletlistfirststyle"/>
        <w:rPr>
          <w:rStyle w:val="AERtexthighlight"/>
          <w:shd w:val="clear" w:color="auto" w:fill="auto"/>
        </w:rPr>
      </w:pPr>
      <w:r w:rsidRPr="002C045A">
        <w:rPr>
          <w:rStyle w:val="AERtexthighlight"/>
          <w:shd w:val="clear" w:color="auto" w:fill="auto"/>
        </w:rPr>
        <w:t>Our estimate is supported by comparison to estimates from the Wright specification of the CA</w:t>
      </w:r>
      <w:r w:rsidRPr="00146770">
        <w:rPr>
          <w:rStyle w:val="AERtexthighlight"/>
          <w:shd w:val="clear" w:color="auto" w:fill="auto"/>
        </w:rPr>
        <w:t>PM, broker reports, valuation reports, and other regulators' decisions.</w:t>
      </w:r>
    </w:p>
    <w:p w:rsidR="00345EDF" w:rsidRDefault="00345EDF" w:rsidP="00345EDF">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56"/>
      </w:r>
      <w:r w:rsidRPr="002F6FA6">
        <w:t xml:space="preserve"> service providers have continued to invest</w:t>
      </w:r>
      <w:r>
        <w:t xml:space="preserve"> in their networks and propose to continue to grow their asset bases.</w:t>
      </w:r>
      <w:r w:rsidRPr="00B005DF">
        <w:rPr>
          <w:rStyle w:val="FootnoteReference"/>
        </w:rPr>
        <w:footnoteReference w:id="157"/>
      </w:r>
      <w:r>
        <w:rPr>
          <w:rStyle w:val="AERtexthighlight"/>
        </w:rPr>
        <w:t xml:space="preserve"> </w:t>
      </w:r>
    </w:p>
    <w:p w:rsidR="00345EDF" w:rsidRPr="00B005DF" w:rsidRDefault="00345EDF" w:rsidP="00345EDF">
      <w:pPr>
        <w:pStyle w:val="AERbulletlistfirststyle"/>
      </w:pPr>
      <w:r>
        <w:t xml:space="preserve">Our return on equity estimate is approximately </w:t>
      </w:r>
      <w:r w:rsidR="00F84447">
        <w:t>21</w:t>
      </w:r>
      <w:r w:rsidR="00665696">
        <w:t>6</w:t>
      </w:r>
      <w:r w:rsidR="00F84447">
        <w:t xml:space="preserve"> </w:t>
      </w:r>
      <w:r>
        <w:t>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t>AusNet Services</w:t>
      </w:r>
      <w:r w:rsidRPr="00B005DF">
        <w:t>, we would not expect the return on equity to be a long way above the prevailing return on debt.</w:t>
      </w:r>
      <w:r w:rsidRPr="00B005DF">
        <w:rPr>
          <w:rStyle w:val="FootnoteReference"/>
        </w:rPr>
        <w:footnoteReference w:id="158"/>
      </w:r>
    </w:p>
    <w:p w:rsidR="00345EDF" w:rsidRDefault="00345EDF" w:rsidP="00345EDF">
      <w:pPr>
        <w:pStyle w:val="AERbulletlistfirststyle"/>
      </w:pPr>
      <w:r>
        <w:t>We have come to this estimate following the application of our foundation model approach, which:</w:t>
      </w:r>
    </w:p>
    <w:p w:rsidR="00345EDF" w:rsidRDefault="00345EDF" w:rsidP="00345EDF">
      <w:pPr>
        <w:pStyle w:val="AERbulletlistsecondstyle"/>
      </w:pPr>
      <w:r>
        <w:t>involves consideration of all relevant material submitted to us, and the role for each piece of material that would best achieve the ARORO; and</w:t>
      </w:r>
    </w:p>
    <w:p w:rsidR="00345EDF" w:rsidRDefault="00345EDF" w:rsidP="00345EDF">
      <w:pPr>
        <w:pStyle w:val="AERbulletlistsecondstyle"/>
      </w:pPr>
      <w:r>
        <w:t>was developed through extensive consultation during our Guideline review process.</w:t>
      </w:r>
    </w:p>
    <w:p w:rsidR="00D94CDE" w:rsidRPr="00D94CDE" w:rsidRDefault="00D94CDE" w:rsidP="00D94CDE">
      <w:pPr>
        <w:pStyle w:val="AERbulletlistsecondstyle"/>
      </w:pPr>
      <w:r w:rsidRPr="00D94CDE">
        <w:t>Was reviewed and upheld by the Tribunal</w:t>
      </w:r>
      <w:r w:rsidRPr="00D94CDE">
        <w:rPr>
          <w:rStyle w:val="FootnoteReference"/>
        </w:rPr>
        <w:footnoteReference w:id="159"/>
      </w:r>
    </w:p>
    <w:p w:rsidR="00C23EDE" w:rsidRDefault="00345EDF" w:rsidP="00CC7A1C">
      <w:pPr>
        <w:numPr>
          <w:ilvl w:val="0"/>
          <w:numId w:val="24"/>
        </w:numPr>
      </w:pPr>
      <w:r>
        <w:t xml:space="preserve">The Sharpe-Lintner CAPM provides that the return on equity can be calculated as the risk-free return and a premium for risk above the risk-free rate, with the risk premium </w:t>
      </w:r>
      <w:r w:rsidRPr="00033144">
        <w:t>calculated as the product of the market risk premium and equity beta.</w:t>
      </w:r>
      <w:r w:rsidRPr="00033144">
        <w:rPr>
          <w:rStyle w:val="FootnoteReference"/>
        </w:rPr>
        <w:footnoteReference w:id="160"/>
      </w:r>
      <w:r w:rsidRPr="00033144">
        <w:t xml:space="preserve"> </w:t>
      </w:r>
    </w:p>
    <w:p w:rsidR="00345EDF" w:rsidRPr="00033144" w:rsidRDefault="00345EDF" w:rsidP="00CC7A1C">
      <w:pPr>
        <w:numPr>
          <w:ilvl w:val="0"/>
          <w:numId w:val="24"/>
        </w:numPr>
      </w:pPr>
      <w:r w:rsidRPr="00033144">
        <w:t>Our Sharpe-Lintner CAPM estimate is based on:</w:t>
      </w:r>
    </w:p>
    <w:p w:rsidR="00345EDF" w:rsidRPr="002F6FA6" w:rsidRDefault="00345EDF" w:rsidP="00345EDF">
      <w:pPr>
        <w:pStyle w:val="AERbulletlistfirststyle"/>
      </w:pPr>
      <w:r w:rsidRPr="00033144">
        <w:t>a risk free rate estimate of 2.</w:t>
      </w:r>
      <w:r w:rsidRPr="002F6FA6">
        <w:t>5</w:t>
      </w:r>
      <w:r w:rsidR="000B5500">
        <w:t>2</w:t>
      </w:r>
      <w:r w:rsidRPr="002F6FA6">
        <w:t xml:space="preserve"> per cent</w:t>
      </w:r>
    </w:p>
    <w:p w:rsidR="00345EDF" w:rsidRPr="002F6FA6" w:rsidRDefault="00345EDF" w:rsidP="00345EDF">
      <w:pPr>
        <w:pStyle w:val="AERbulletlistfirststyle"/>
      </w:pPr>
      <w:r w:rsidRPr="00033144">
        <w:t xml:space="preserve">a market risk premium estimate of 6.5 per cent, and </w:t>
      </w:r>
    </w:p>
    <w:p w:rsidR="00345EDF" w:rsidRPr="002F6FA6" w:rsidRDefault="00345EDF" w:rsidP="00345EDF">
      <w:pPr>
        <w:pStyle w:val="AERbulletlistfirststyle"/>
      </w:pPr>
      <w:r w:rsidRPr="00033144">
        <w:t>an equity beta estimate of 0.7.</w:t>
      </w:r>
      <w:r w:rsidRPr="002F6FA6">
        <w:rPr>
          <w:rStyle w:val="FootnoteReference"/>
        </w:rPr>
        <w:footnoteReference w:id="161"/>
      </w:r>
      <w:r w:rsidRPr="002F6FA6">
        <w:t xml:space="preserve"> </w:t>
      </w:r>
    </w:p>
    <w:p w:rsidR="00345EDF" w:rsidRDefault="00345EDF" w:rsidP="00CC7A1C">
      <w:pPr>
        <w:numPr>
          <w:ilvl w:val="0"/>
          <w:numId w:val="24"/>
        </w:numPr>
      </w:pPr>
      <w:r>
        <w:t xml:space="preserve">Our derivation of these parameter estimates </w:t>
      </w:r>
      <w:r w:rsidR="00FD5DFE">
        <w:t xml:space="preserve">for AusNet Services' final decision </w:t>
      </w:r>
      <w:r>
        <w:t xml:space="preserve">is outlined in the subsections below. </w:t>
      </w:r>
    </w:p>
    <w:p w:rsidR="00345EDF" w:rsidRDefault="00345EDF" w:rsidP="00CC7A1C">
      <w:pPr>
        <w:numPr>
          <w:ilvl w:val="0"/>
          <w:numId w:val="24"/>
        </w:numPr>
      </w:pPr>
      <w:r>
        <w:t xml:space="preserve">The following aspects of our return on equity estimate have </w:t>
      </w:r>
      <w:r w:rsidR="00FD5DFE">
        <w:t xml:space="preserve">had </w:t>
      </w:r>
      <w:r>
        <w:t>broad agreement from both service providers and consumer groups:</w:t>
      </w:r>
    </w:p>
    <w:p w:rsidR="00345EDF" w:rsidRDefault="00345EDF" w:rsidP="00345EDF">
      <w:pPr>
        <w:pStyle w:val="AERbulletlistfirststyle"/>
      </w:pPr>
      <w:r>
        <w:t xml:space="preserve">The Sharpe-Lintner CAPM, at least in combination with other relevant material, </w:t>
      </w:r>
      <w:r w:rsidR="0025059A">
        <w:t xml:space="preserve"> </w:t>
      </w:r>
      <w:r>
        <w:t>is valuable for estimating return on equity</w:t>
      </w:r>
      <w:r w:rsidR="00665696">
        <w:rPr>
          <w:rStyle w:val="FootnoteReference"/>
        </w:rPr>
        <w:footnoteReference w:id="162"/>
      </w:r>
    </w:p>
    <w:p w:rsidR="00345EDF" w:rsidRDefault="00345EDF" w:rsidP="00345EDF">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63"/>
      </w:r>
    </w:p>
    <w:p w:rsidR="00345EDF" w:rsidRDefault="00345EDF" w:rsidP="00345EDF">
      <w:pPr>
        <w:pStyle w:val="AERbulletlistfirststyle"/>
      </w:pPr>
      <w:r>
        <w:t>Market risk premium estimates should be informed by historical stock returns and (to some extent) dividend growth model estimates.</w:t>
      </w:r>
      <w:r w:rsidR="00665696">
        <w:rPr>
          <w:rStyle w:val="FootnoteReference"/>
        </w:rPr>
        <w:footnoteReference w:id="164"/>
      </w:r>
    </w:p>
    <w:p w:rsidR="00345EDF" w:rsidRDefault="00345EDF" w:rsidP="00345EDF">
      <w:pPr>
        <w:pStyle w:val="AERbulletlistfirststyle"/>
      </w:pPr>
      <w:r>
        <w:t>Equity beta estimates should be informed by regression estimates of the equity beta of relevant Australian and, to some extent, international energy network businesses.</w:t>
      </w:r>
      <w:r w:rsidR="00665696">
        <w:rPr>
          <w:rStyle w:val="FootnoteReference"/>
        </w:rPr>
        <w:footnoteReference w:id="165"/>
      </w:r>
    </w:p>
    <w:p w:rsidR="00345EDF" w:rsidRDefault="0089473C" w:rsidP="00950EA8">
      <w:pPr>
        <w:pStyle w:val="AERbulletlistfirststyle"/>
        <w:numPr>
          <w:ilvl w:val="0"/>
          <w:numId w:val="0"/>
        </w:numPr>
      </w:pPr>
      <w:r>
        <w:t xml:space="preserve">Some </w:t>
      </w:r>
      <w:r w:rsidR="004972C2">
        <w:t>services providers have also submitted that t</w:t>
      </w:r>
      <w:r w:rsidR="00345EDF">
        <w:t>he Wright specification of the CAPM, and return on equity estimates from broker and valuation reports, are relevant material that can inform return on equity estimation.</w:t>
      </w:r>
      <w:r w:rsidR="004972C2">
        <w:rPr>
          <w:rStyle w:val="FootnoteReference"/>
        </w:rPr>
        <w:footnoteReference w:id="166"/>
      </w:r>
    </w:p>
    <w:p w:rsidR="00345EDF" w:rsidRDefault="00345EDF" w:rsidP="00345EDF">
      <w:r>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Pr>
          <w:rStyle w:val="FootnoteReference"/>
        </w:rPr>
        <w:footnoteReference w:id="167"/>
      </w:r>
      <w:r>
        <w:t xml:space="preserve"> while others submitted that these parameters should be lower.</w:t>
      </w:r>
      <w:r>
        <w:rPr>
          <w:rStyle w:val="FootnoteReference"/>
        </w:rPr>
        <w:footnoteReference w:id="168"/>
      </w:r>
    </w:p>
    <w:p w:rsidR="0087773E" w:rsidRDefault="0087773E" w:rsidP="00CC7A1C">
      <w:pPr>
        <w:numPr>
          <w:ilvl w:val="0"/>
          <w:numId w:val="24"/>
        </w:numPr>
      </w:pPr>
      <w:r>
        <w:t>We note</w:t>
      </w:r>
      <w:r w:rsidR="0089473C">
        <w:t xml:space="preserve"> some</w:t>
      </w:r>
      <w:r>
        <w:t xml:space="preserve"> service providers </w:t>
      </w:r>
      <w:r w:rsidR="0089473C">
        <w:t xml:space="preserve">have </w:t>
      </w:r>
      <w:r>
        <w:t xml:space="preserve">previously </w:t>
      </w:r>
      <w:r w:rsidRPr="0029294F">
        <w:t>propose</w:t>
      </w:r>
      <w:r>
        <w:t>d</w:t>
      </w:r>
      <w:r w:rsidRPr="0029294F">
        <w:t xml:space="preserve"> </w:t>
      </w:r>
      <w:r>
        <w:t xml:space="preserve">the </w:t>
      </w:r>
      <w:r w:rsidRPr="0029294F">
        <w:t>multi-model approach</w:t>
      </w:r>
      <w:r w:rsidRPr="005E2D1E">
        <w:rPr>
          <w:rStyle w:val="FootnoteReference"/>
        </w:rPr>
        <w:footnoteReference w:id="169"/>
      </w:r>
      <w:r w:rsidRPr="0029294F">
        <w:t xml:space="preserve"> </w:t>
      </w:r>
      <w:r>
        <w:t>(</w:t>
      </w:r>
      <w:r w:rsidRPr="001D35A1">
        <w:t>seen in previous regulatory processes</w:t>
      </w:r>
      <w:r>
        <w:t>)</w:t>
      </w:r>
      <w:r w:rsidRPr="001D35A1">
        <w:rPr>
          <w:rStyle w:val="FootnoteReference"/>
        </w:rPr>
        <w:footnoteReference w:id="170"/>
      </w:r>
      <w:r w:rsidRPr="001D35A1">
        <w:t xml:space="preserve"> </w:t>
      </w:r>
      <w:r w:rsidRPr="0029294F">
        <w:t>for estimating the return on equity</w:t>
      </w:r>
      <w:r>
        <w:t>. We have consistently rejected this approach for a range of reasons including:</w:t>
      </w:r>
    </w:p>
    <w:p w:rsidR="0087773E" w:rsidRDefault="0087773E" w:rsidP="0087773E">
      <w:pPr>
        <w:pStyle w:val="AERbulletlistfirststyle"/>
      </w:pPr>
      <w:r>
        <w:t>Our foundation model approach uses the Sharpe-Lintner CAPM as the foundation model. This model is widely and consistently used, and has well-accepted and unbiased methods for estimating its parameters.</w:t>
      </w:r>
    </w:p>
    <w:p w:rsidR="0087773E" w:rsidRDefault="0087773E" w:rsidP="0087773E">
      <w:pPr>
        <w:pStyle w:val="AERbulletlistfirststyle"/>
      </w:pPr>
      <w:r>
        <w:t xml:space="preserve">Models other the Sharpe-Lintner CAPM are too reliable and at risk of potential bias to be relied upon for determining the return on equity. </w:t>
      </w:r>
    </w:p>
    <w:p w:rsidR="0087773E" w:rsidRPr="0087773E" w:rsidRDefault="0087773E" w:rsidP="0087773E">
      <w:pPr>
        <w:pStyle w:val="AERbulletlistfirststyle"/>
      </w:pPr>
      <w:r>
        <w:t>And the Tribunal has upheld our approach.</w:t>
      </w:r>
      <w:r w:rsidRPr="0087773E">
        <w:rPr>
          <w:rStyle w:val="FootnoteReference"/>
        </w:rPr>
        <w:footnoteReference w:id="171"/>
      </w:r>
    </w:p>
    <w:p w:rsidR="0087773E" w:rsidRPr="0087773E" w:rsidRDefault="0087773E" w:rsidP="007C7B20">
      <w:pPr>
        <w:pStyle w:val="AERbulletlistfirststyle"/>
        <w:numPr>
          <w:ilvl w:val="0"/>
          <w:numId w:val="0"/>
        </w:numPr>
      </w:pPr>
      <w:r w:rsidRPr="0087773E">
        <w:t xml:space="preserve">Following this, the current service providers' </w:t>
      </w:r>
      <w:r w:rsidR="001A63AF">
        <w:t xml:space="preserve">(including AusNet Services') </w:t>
      </w:r>
      <w:r w:rsidRPr="0087773E">
        <w:t>proposals all adopt (or claim guidance from) the Guideline foundation model approach for estimating the return on equity.</w:t>
      </w:r>
      <w:r w:rsidRPr="0087773E">
        <w:rPr>
          <w:rStyle w:val="FootnoteReference"/>
        </w:rPr>
        <w:footnoteReference w:id="172"/>
      </w:r>
      <w:r>
        <w:t xml:space="preserve"> We discuss the current service providers' application of the Guideline approach below.</w:t>
      </w:r>
      <w:r w:rsidRPr="0087773E">
        <w:t xml:space="preserve"> </w:t>
      </w:r>
    </w:p>
    <w:p w:rsidR="0087773E" w:rsidRPr="002656D9" w:rsidRDefault="0087773E" w:rsidP="004B005B">
      <w:pPr>
        <w:pStyle w:val="HeadingBoldBlue"/>
      </w:pPr>
      <w:r w:rsidRPr="002656D9">
        <w:t>Service providers' proposed application of the Guideline</w:t>
      </w:r>
    </w:p>
    <w:p w:rsidR="0087773E" w:rsidRDefault="006F0977" w:rsidP="00A164C0">
      <w:pPr>
        <w:pStyle w:val="AERbulletlistfirststyle"/>
        <w:numPr>
          <w:ilvl w:val="0"/>
          <w:numId w:val="0"/>
        </w:numPr>
      </w:pPr>
      <w:r>
        <w:t>In applying the Guideline foundation model approach, we note only</w:t>
      </w:r>
      <w:r w:rsidR="0087773E">
        <w:t xml:space="preserve"> </w:t>
      </w:r>
      <w:r w:rsidR="0087773E" w:rsidRPr="0087773E">
        <w:t>TasNetworks and Powerlink</w:t>
      </w:r>
      <w:r>
        <w:t xml:space="preserve"> have</w:t>
      </w:r>
      <w:r w:rsidR="0087773E" w:rsidRPr="0087773E">
        <w:t xml:space="preserve"> adopt</w:t>
      </w:r>
      <w:r>
        <w:t>ed</w:t>
      </w:r>
      <w:r w:rsidR="0087773E" w:rsidRPr="0087773E">
        <w:t xml:space="preserve"> the</w:t>
      </w:r>
      <w:r w:rsidR="0087773E">
        <w:t xml:space="preserve"> Guideline</w:t>
      </w:r>
      <w:r w:rsidR="0087773E" w:rsidRPr="0087773E">
        <w:t xml:space="preserve"> approach in full (that is, for all parameters). We </w:t>
      </w:r>
      <w:r>
        <w:t>observe</w:t>
      </w:r>
      <w:r w:rsidR="0087773E" w:rsidRPr="0087773E">
        <w:t xml:space="preserve"> departures from the Guideline arise at the parameter level in AusNet </w:t>
      </w:r>
      <w:r w:rsidR="007C4678">
        <w:t>Services' proposal</w:t>
      </w:r>
      <w:r>
        <w:t>.</w:t>
      </w:r>
    </w:p>
    <w:p w:rsidR="00666644" w:rsidRDefault="00CF13CB" w:rsidP="00A164C0">
      <w:pPr>
        <w:pStyle w:val="AERbulletlistfirststyle"/>
        <w:numPr>
          <w:ilvl w:val="0"/>
          <w:numId w:val="0"/>
        </w:numPr>
      </w:pPr>
      <w:r>
        <w:t xml:space="preserve">We </w:t>
      </w:r>
      <w:r w:rsidR="008F49AA">
        <w:t xml:space="preserve">note </w:t>
      </w:r>
      <w:r w:rsidR="00666644">
        <w:t>(and accept)</w:t>
      </w:r>
      <w:r w:rsidR="001A63AF">
        <w:t xml:space="preserve"> that</w:t>
      </w:r>
      <w:r w:rsidR="00666644">
        <w:t xml:space="preserve"> </w:t>
      </w:r>
      <w:r w:rsidR="008F49AA">
        <w:t xml:space="preserve">AusNet Services adopted the Guideline foundation model approach for the following parameters: </w:t>
      </w:r>
      <w:r w:rsidR="001A63AF">
        <w:t>the Sharpe-Lintner CAPM as the foundation model</w:t>
      </w:r>
      <w:r w:rsidR="008F49AA">
        <w:t xml:space="preserve"> and risk free rate.</w:t>
      </w:r>
      <w:r w:rsidRPr="00CF13CB">
        <w:rPr>
          <w:rStyle w:val="FootnoteReference"/>
        </w:rPr>
        <w:footnoteReference w:id="173"/>
      </w:r>
      <w:r w:rsidR="008F49AA">
        <w:t xml:space="preserve"> Although it </w:t>
      </w:r>
      <w:r w:rsidR="00666644">
        <w:t>adopted</w:t>
      </w:r>
      <w:r w:rsidR="008F49AA">
        <w:t xml:space="preserve"> the Guideline's equity beta of 0.7 </w:t>
      </w:r>
      <w:r w:rsidR="00666644">
        <w:t xml:space="preserve">(which we accept) </w:t>
      </w:r>
      <w:r w:rsidR="00C566E8">
        <w:t>AusNet Services</w:t>
      </w:r>
      <w:r w:rsidR="008F49AA">
        <w:t xml:space="preserve"> submitted a CEG report (dated September 2016) suggesting a higher value.</w:t>
      </w:r>
      <w:r w:rsidR="007E1FD6">
        <w:rPr>
          <w:rStyle w:val="FootnoteReference"/>
        </w:rPr>
        <w:footnoteReference w:id="174"/>
      </w:r>
      <w:r w:rsidR="008F49AA">
        <w:t xml:space="preserve"> </w:t>
      </w:r>
      <w:r w:rsidR="00666644">
        <w:t>We discuss th</w:t>
      </w:r>
      <w:r w:rsidR="001A63AF">
        <w:t>e CEG report</w:t>
      </w:r>
      <w:r w:rsidR="00666644">
        <w:t xml:space="preserve"> in the equity beta subsection below.</w:t>
      </w:r>
    </w:p>
    <w:p w:rsidR="00066857" w:rsidRDefault="00442B70" w:rsidP="00950EA8">
      <w:pPr>
        <w:pStyle w:val="AERbulletlistfirststyle"/>
        <w:numPr>
          <w:ilvl w:val="0"/>
          <w:numId w:val="0"/>
        </w:numPr>
      </w:pPr>
      <w:r w:rsidRPr="00442B70">
        <w:t xml:space="preserve">We </w:t>
      </w:r>
      <w:r w:rsidR="008F49AA">
        <w:t>also note</w:t>
      </w:r>
      <w:r w:rsidRPr="00442B70">
        <w:t xml:space="preserve"> AusNet Services proposed</w:t>
      </w:r>
      <w:r w:rsidR="008F49AA">
        <w:t xml:space="preserve"> a</w:t>
      </w:r>
      <w:r w:rsidRPr="00442B70">
        <w:t xml:space="preserve"> market risk premium of 7.5 per cent</w:t>
      </w:r>
      <w:r w:rsidR="00666644">
        <w:t>.</w:t>
      </w:r>
      <w:r w:rsidRPr="00442B70">
        <w:t xml:space="preserve"> </w:t>
      </w:r>
      <w:r w:rsidR="00666644">
        <w:t>However, this</w:t>
      </w:r>
      <w:r w:rsidRPr="00442B70">
        <w:t xml:space="preserve"> </w:t>
      </w:r>
      <w:r w:rsidR="008F49AA">
        <w:t>appears</w:t>
      </w:r>
      <w:r w:rsidRPr="00442B70">
        <w:t xml:space="preserve"> </w:t>
      </w:r>
      <w:r w:rsidR="00666644">
        <w:t xml:space="preserve">to be </w:t>
      </w:r>
      <w:r w:rsidRPr="00442B70">
        <w:t>largely based on a mischaracterised</w:t>
      </w:r>
      <w:r w:rsidR="001A63AF">
        <w:t xml:space="preserve"> (and mechanistic)</w:t>
      </w:r>
      <w:r w:rsidRPr="00442B70">
        <w:t xml:space="preserve"> application of the Guideline</w:t>
      </w:r>
      <w:r w:rsidR="00666644">
        <w:t xml:space="preserve"> which we reject</w:t>
      </w:r>
      <w:r w:rsidRPr="00442B70">
        <w:t>.</w:t>
      </w:r>
      <w:r w:rsidR="00666644">
        <w:t xml:space="preserve"> We consider the correct application of the Guideline approach (as upheld by the Tribunal) results in a market risk premium of 6.5 per cent</w:t>
      </w:r>
      <w:r w:rsidR="001A63AF">
        <w:t xml:space="preserve"> after considering all the relevant evidence in accordance with their relative merits and suitability for our regulatory task</w:t>
      </w:r>
      <w:r w:rsidR="00666644">
        <w:t xml:space="preserve">. We discuss this in the market risk premium subsection </w:t>
      </w:r>
      <w:r w:rsidR="00410AB6">
        <w:t>below. Overall</w:t>
      </w:r>
      <w:r w:rsidR="00EE15B9">
        <w:t>, w</w:t>
      </w:r>
      <w:r w:rsidR="00CF13CB" w:rsidRPr="00B005DF">
        <w:t>e are not satisfied that</w:t>
      </w:r>
      <w:r w:rsidR="00CF13CB">
        <w:t xml:space="preserve"> </w:t>
      </w:r>
      <w:r w:rsidR="00CF13CB" w:rsidRPr="00B005DF">
        <w:t xml:space="preserve">information </w:t>
      </w:r>
      <w:r w:rsidR="00CF13CB">
        <w:t xml:space="preserve">submitted to us </w:t>
      </w:r>
      <w:r w:rsidR="00CF13CB" w:rsidRPr="00B005DF">
        <w:t xml:space="preserve">indicates </w:t>
      </w:r>
      <w:r w:rsidR="00CF13CB">
        <w:t xml:space="preserve">that </w:t>
      </w:r>
      <w:r w:rsidR="00CF13CB" w:rsidRPr="00B005DF">
        <w:t>a departure from</w:t>
      </w:r>
      <w:r w:rsidR="00CF13CB">
        <w:t xml:space="preserve"> </w:t>
      </w:r>
      <w:r w:rsidR="00CF13CB" w:rsidRPr="00B005DF">
        <w:t xml:space="preserve">the </w:t>
      </w:r>
      <w:r w:rsidR="00CF13CB">
        <w:t>G</w:t>
      </w:r>
      <w:r w:rsidR="00CF13CB" w:rsidRPr="00B005DF">
        <w:t xml:space="preserve">uideline would </w:t>
      </w:r>
      <w:r w:rsidR="00CF13CB">
        <w:t>contribute to the achievement of</w:t>
      </w:r>
      <w:r w:rsidR="00CF13CB" w:rsidRPr="00B005DF">
        <w:t xml:space="preserve"> the </w:t>
      </w:r>
      <w:r w:rsidR="00CF13CB">
        <w:t>ARORO</w:t>
      </w:r>
      <w:r w:rsidR="00CF13CB" w:rsidRPr="00B005DF">
        <w:t xml:space="preserve">. </w:t>
      </w:r>
      <w:r w:rsidR="00CF13CB">
        <w:t>In addition to the reasons outlined in the subsections below, w</w:t>
      </w:r>
      <w:r w:rsidR="00CF13CB" w:rsidRPr="00B005DF">
        <w:t xml:space="preserve">e </w:t>
      </w:r>
      <w:r w:rsidR="00CF13CB">
        <w:t>consider</w:t>
      </w:r>
      <w:r w:rsidR="00CF13CB" w:rsidRPr="00B005DF">
        <w:t xml:space="preserve"> the importance placed by all stakeholders on predictability and </w:t>
      </w:r>
      <w:r w:rsidR="00CF13CB">
        <w:t>transparency</w:t>
      </w:r>
      <w:r w:rsidR="00CF13CB" w:rsidRPr="00B005DF">
        <w:t xml:space="preserve"> </w:t>
      </w:r>
      <w:r w:rsidR="00CF13CB">
        <w:t>in</w:t>
      </w:r>
      <w:r w:rsidR="00CF13CB" w:rsidRPr="00B005DF">
        <w:t xml:space="preserve"> </w:t>
      </w:r>
      <w:r w:rsidR="00CF13CB">
        <w:t xml:space="preserve">contributing to the </w:t>
      </w:r>
      <w:r w:rsidR="00CF13CB" w:rsidRPr="00B005DF">
        <w:t>achiev</w:t>
      </w:r>
      <w:r w:rsidR="00CF13CB">
        <w:t>ement of</w:t>
      </w:r>
      <w:r w:rsidR="00CF13CB" w:rsidRPr="00B005DF">
        <w:t xml:space="preserve"> the </w:t>
      </w:r>
      <w:r w:rsidR="00CF13CB">
        <w:t>ARORO.</w:t>
      </w:r>
      <w:r w:rsidR="00CF13CB">
        <w:rPr>
          <w:rStyle w:val="FootnoteReference"/>
        </w:rPr>
        <w:footnoteReference w:id="175"/>
      </w:r>
    </w:p>
    <w:p w:rsidR="00066857" w:rsidRDefault="00066857" w:rsidP="00A164C0">
      <w:r>
        <w:t xml:space="preserve">We step through </w:t>
      </w:r>
      <w:r w:rsidR="00010955">
        <w:t>the six-step foundation model approach below.</w:t>
      </w:r>
    </w:p>
    <w:p w:rsidR="00066857" w:rsidRPr="002656D9" w:rsidRDefault="00066857" w:rsidP="004B005B">
      <w:pPr>
        <w:pStyle w:val="HeadingBoldBlue"/>
      </w:pPr>
      <w:r w:rsidRPr="002656D9">
        <w:t>Step one and two: identify relevant material and role</w:t>
      </w:r>
    </w:p>
    <w:p w:rsidR="00066857" w:rsidRDefault="00066857" w:rsidP="007C7B20">
      <w:r w:rsidRPr="007C7B20">
        <w:rPr>
          <w:rStyle w:val="AERbody"/>
        </w:rPr>
        <w:t xml:space="preserve">We have had regard to a large amount of material including estimation methods, financial models, market data and other evidence and determined the role we consider that each piece of material should play in estimating the return on equity. </w:t>
      </w:r>
      <w:r w:rsidR="00FA0354">
        <w:rPr>
          <w:rStyle w:val="AERbody"/>
        </w:rPr>
        <w:t xml:space="preserve">In previous regulatory decisions, we set out in detail </w:t>
      </w:r>
      <w:r w:rsidRPr="007C7B20">
        <w:rPr>
          <w:rStyle w:val="AERbody"/>
        </w:rPr>
        <w:t>the way in which the information is used either as the foundation model, to inform our foundation model input parameters</w:t>
      </w:r>
      <w:r w:rsidR="0031715E">
        <w:rPr>
          <w:rStyle w:val="AERbody"/>
        </w:rPr>
        <w:t>,</w:t>
      </w:r>
      <w:r w:rsidRPr="007C7B20">
        <w:rPr>
          <w:rStyle w:val="AERbody"/>
        </w:rPr>
        <w:t xml:space="preserve"> or as other information—other than as the foundation model, to inform our return on equity estimate.</w:t>
      </w:r>
      <w:r w:rsidR="00FA0354">
        <w:rPr>
          <w:rStyle w:val="FootnoteReference"/>
        </w:rPr>
        <w:footnoteReference w:id="176"/>
      </w:r>
      <w:r w:rsidRPr="00066857">
        <w:t xml:space="preserve"> </w:t>
      </w:r>
      <w:r w:rsidR="00853443">
        <w:t xml:space="preserve">We also discuss this in the subsections below and appendices B to G of this decision. </w:t>
      </w:r>
      <w:r w:rsidR="00FA0354">
        <w:t>We do not repeat the</w:t>
      </w:r>
      <w:r w:rsidR="00853443">
        <w:t>se discussions</w:t>
      </w:r>
      <w:r w:rsidR="00FA0354">
        <w:t xml:space="preserve"> here and progress to step three of the Guideline foundation model approach.</w:t>
      </w:r>
      <w:r w:rsidRPr="00066857">
        <w:t xml:space="preserve"> </w:t>
      </w:r>
    </w:p>
    <w:p w:rsidR="00066857" w:rsidRPr="002656D9" w:rsidRDefault="00066857" w:rsidP="004B005B">
      <w:pPr>
        <w:pStyle w:val="HeadingBoldBlue"/>
      </w:pPr>
      <w:r w:rsidRPr="002656D9">
        <w:t>Step three: implementing the foundation model</w:t>
      </w:r>
    </w:p>
    <w:p w:rsidR="006A07DE" w:rsidRPr="00E31230" w:rsidRDefault="006A07DE" w:rsidP="00E31230">
      <w:pPr>
        <w:pStyle w:val="HeadingBoldItalic"/>
        <w:rPr>
          <w:rStyle w:val="AERtextorange"/>
          <w:color w:val="51626F"/>
        </w:rPr>
      </w:pPr>
      <w:bookmarkStart w:id="83" w:name="_Toc480460502"/>
      <w:bookmarkStart w:id="84" w:name="_Toc480460792"/>
      <w:r w:rsidRPr="0034234A">
        <w:rPr>
          <w:rStyle w:val="AERtextorange"/>
          <w:color w:val="51626F"/>
        </w:rPr>
        <w:t>Choice of equity models</w:t>
      </w:r>
      <w:bookmarkEnd w:id="83"/>
      <w:bookmarkEnd w:id="84"/>
    </w:p>
    <w:p w:rsidR="000D24A6" w:rsidRDefault="00066857" w:rsidP="000D24A6">
      <w:r>
        <w:t>We apply the</w:t>
      </w:r>
      <w:r w:rsidR="000D24A6">
        <w:t xml:space="preserve"> Sharpe-Lintner CAPM as our foundation model. We consider the Sharpe-Lintner CAPM is the best model for estimating the efficient costs of equity financing because it:</w:t>
      </w:r>
    </w:p>
    <w:p w:rsidR="000D24A6" w:rsidRDefault="000D24A6" w:rsidP="000D24A6">
      <w:pPr>
        <w:pStyle w:val="AERbulletlistfirststyle"/>
      </w:pPr>
      <w:r w:rsidRPr="001174B8">
        <w:t>transparently presents the key risk and reward trade-off</w:t>
      </w:r>
      <w:r w:rsidR="00D60AEA">
        <w:rPr>
          <w:rStyle w:val="FootnoteReference"/>
        </w:rPr>
        <w:footnoteReference w:id="177"/>
      </w:r>
      <w:r w:rsidRPr="001174B8">
        <w:t xml:space="preserve"> that is at the heart of our task</w:t>
      </w:r>
      <w:r w:rsidR="00D60AEA">
        <w:rPr>
          <w:rStyle w:val="FootnoteReference"/>
        </w:rPr>
        <w:footnoteReference w:id="178"/>
      </w:r>
    </w:p>
    <w:p w:rsidR="000D24A6" w:rsidRDefault="000D24A6" w:rsidP="000D24A6">
      <w:pPr>
        <w:pStyle w:val="AERbulletlistfirst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00D60AEA">
        <w:rPr>
          <w:rStyle w:val="FootnoteReference"/>
        </w:rPr>
        <w:footnoteReference w:id="179"/>
      </w:r>
    </w:p>
    <w:p w:rsidR="000D24A6" w:rsidRDefault="000D24A6" w:rsidP="000D24A6">
      <w:pPr>
        <w:pStyle w:val="AERbulletlistfirststyle"/>
      </w:pPr>
      <w:r>
        <w:t>has well-accepted and unbiased methods for estimating its parameters, and these parameters can be estimated with tolerable accuracy, unlike the alternative models proposed by</w:t>
      </w:r>
      <w:r w:rsidR="0089473C">
        <w:t xml:space="preserve"> some</w:t>
      </w:r>
      <w:r>
        <w:t xml:space="preserve"> service providers.</w:t>
      </w:r>
    </w:p>
    <w:p w:rsidR="000D24A6" w:rsidRPr="0051262A" w:rsidRDefault="000D24A6" w:rsidP="000D24A6">
      <w:r w:rsidRPr="0051262A">
        <w:t>Our consultants have also agreed with our use of the Sharpe-Lintner CAPM as the foundation model. Handley stated:</w:t>
      </w:r>
      <w:r w:rsidR="00D60AEA">
        <w:rPr>
          <w:rStyle w:val="FootnoteReference"/>
        </w:rPr>
        <w:footnoteReference w:id="180"/>
      </w:r>
    </w:p>
    <w:p w:rsidR="000D24A6" w:rsidRPr="00D50D12" w:rsidRDefault="000D24A6" w:rsidP="000D24A6">
      <w:pPr>
        <w:pStyle w:val="AERquote"/>
      </w:pPr>
      <w:r w:rsidRPr="00D50D12">
        <w:t>[t]he AER's choice of the Sharpe-CAPM as foundation model</w:t>
      </w:r>
      <w:r>
        <w:t xml:space="preserve"> is</w:t>
      </w:r>
      <w:r w:rsidRPr="00D50D12">
        <w:t xml:space="preserve"> entirely appropriate and reasonable for this purpose. The Sharpe-CAPM is the standa</w:t>
      </w:r>
      <w:r w:rsidR="00D60AEA">
        <w:tab/>
      </w:r>
      <w:r w:rsidRPr="00D50D12">
        <w:t>rd (equilibrium) asset pricing model. It has a long established and well understood theoretical foundation and is a transparent representation of one of the most fundamental paradigms of finan</w:t>
      </w:r>
      <w:r>
        <w:t>ce - the risk-return trade off.</w:t>
      </w:r>
    </w:p>
    <w:p w:rsidR="000D24A6" w:rsidRPr="0051262A" w:rsidRDefault="000D24A6" w:rsidP="000D24A6">
      <w:r w:rsidRPr="0051262A">
        <w:t>McKenzie and Partington indicated with respect to the Sharpe–Lintner CAPM:</w:t>
      </w:r>
      <w:r w:rsidR="00D60AEA">
        <w:rPr>
          <w:rStyle w:val="FootnoteReference"/>
        </w:rPr>
        <w:footnoteReference w:id="181"/>
      </w:r>
    </w:p>
    <w:p w:rsidR="000D24A6" w:rsidRDefault="000D24A6" w:rsidP="000D24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2479C8" w:rsidRDefault="002479C8" w:rsidP="002479C8">
      <w:r>
        <w:t xml:space="preserve">The current service providers have all adopted the Sharpe-Lintner CAPM as the foundation model for estimating the return on equity. </w:t>
      </w:r>
    </w:p>
    <w:p w:rsidR="000D24A6" w:rsidRDefault="002479C8" w:rsidP="000D24A6">
      <w:r>
        <w:t>We note s</w:t>
      </w:r>
      <w:r w:rsidR="000D24A6">
        <w:t xml:space="preserve">ince publishing our Guideline </w:t>
      </w:r>
      <w:r w:rsidR="0089473C">
        <w:t xml:space="preserve">some </w:t>
      </w:r>
      <w:r w:rsidR="000D24A6">
        <w:t>service providers have submitted that the use of additional models</w:t>
      </w:r>
      <w:r w:rsidR="000D24A6" w:rsidRPr="0051262A">
        <w:t xml:space="preserve"> </w:t>
      </w:r>
      <w:r w:rsidR="000D24A6">
        <w:t xml:space="preserve">for estimating the return on equity, and various methods for combining the models, would result in an improved estimate. The additional models submitted by </w:t>
      </w:r>
      <w:r w:rsidR="0089473C">
        <w:t xml:space="preserve">some </w:t>
      </w:r>
      <w:r w:rsidR="000D24A6">
        <w:t>service providers are the Black CAPM, Fama-French model, the dividend growth model, and the historical and Wright specifications to the Sharpe-Lintner CAPM.</w:t>
      </w:r>
      <w:r w:rsidR="000D24A6" w:rsidRPr="00050D2D">
        <w:t xml:space="preserve"> </w:t>
      </w:r>
      <w:r w:rsidR="000D24A6">
        <w:t xml:space="preserve"> </w:t>
      </w:r>
    </w:p>
    <w:p w:rsidR="00F65A1C" w:rsidRDefault="00F65A1C" w:rsidP="00F65A1C">
      <w:r>
        <w:t xml:space="preserve">We note that similar arguments </w:t>
      </w:r>
      <w:r w:rsidR="0089473C">
        <w:t xml:space="preserve">have been raised </w:t>
      </w:r>
      <w:r>
        <w:t>in previous submissions and revenue determinations.</w:t>
      </w:r>
      <w:r>
        <w:rPr>
          <w:rStyle w:val="FootnoteReference"/>
        </w:rPr>
        <w:footnoteReference w:id="182"/>
      </w:r>
      <w:r w:rsidRPr="00177FBB">
        <w:rPr>
          <w:rStyle w:val="FootnoteReference"/>
        </w:rPr>
        <w:t xml:space="preserve"> </w:t>
      </w:r>
      <w:r>
        <w:t xml:space="preserve">They effectively revolve around the following claims: </w:t>
      </w:r>
    </w:p>
    <w:p w:rsidR="00F65A1C" w:rsidRDefault="00F65A1C" w:rsidP="00F65A1C">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00C77169">
        <w:rPr>
          <w:rStyle w:val="FootnoteReference"/>
        </w:rPr>
        <w:footnoteReference w:id="183"/>
      </w:r>
      <w:r w:rsidRPr="00177FBB">
        <w:t xml:space="preserve"> </w:t>
      </w:r>
      <w:r>
        <w:t>specifically:</w:t>
      </w:r>
    </w:p>
    <w:p w:rsidR="00F65A1C" w:rsidRDefault="00F65A1C" w:rsidP="00F65A1C">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F65A1C" w:rsidRDefault="00F65A1C" w:rsidP="00F65A1C">
      <w:pPr>
        <w:pStyle w:val="AERbulletlistsecondstyle"/>
      </w:pPr>
      <w:r>
        <w:t>the Fama-French model can address book-to-market bias in the Sharpe-Lintner CAPM (a tendency for the Sharpe-Lintner CAPM to estimate a downwardly-biased return on equity for stocks with low book-to-market ratios)</w:t>
      </w:r>
    </w:p>
    <w:p w:rsidR="00F65A1C" w:rsidRPr="00A75D2F" w:rsidRDefault="00F65A1C" w:rsidP="00F65A1C">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F65A1C" w:rsidRDefault="00F65A1C" w:rsidP="00CC7A1C">
      <w:pPr>
        <w:numPr>
          <w:ilvl w:val="0"/>
          <w:numId w:val="24"/>
        </w:numPr>
      </w:pPr>
      <w:r>
        <w:t xml:space="preserve">We are not satisfied that </w:t>
      </w:r>
      <w:r w:rsidR="00AB32EC">
        <w:t xml:space="preserve">the previously </w:t>
      </w:r>
      <w:r>
        <w:t>proposed application of other equity models</w:t>
      </w:r>
      <w:r w:rsidR="00C77169">
        <w:rPr>
          <w:rStyle w:val="FootnoteReference"/>
        </w:rPr>
        <w:footnoteReference w:id="184"/>
      </w:r>
      <w:r>
        <w:t xml:space="preserve"> will result in a return on equity that is commensurate with efficient financing costs (given the risk of AusNet Services' regulated services).</w:t>
      </w:r>
      <w:r w:rsidR="00C77169">
        <w:rPr>
          <w:rStyle w:val="FootnoteReference"/>
        </w:rPr>
        <w:footnoteReference w:id="185"/>
      </w:r>
      <w:r>
        <w:t xml:space="preserve"> We consider there is overwhelming evidence that the Sharpe-Lintner CAPM is the current standard-bearer for estimating expected equity returns. </w:t>
      </w:r>
    </w:p>
    <w:p w:rsidR="000D24A6" w:rsidRDefault="000D24A6" w:rsidP="000D24A6">
      <w:r>
        <w:t>We consider</w:t>
      </w:r>
      <w:r w:rsidR="00A10224">
        <w:t>ed</w:t>
      </w:r>
      <w:r>
        <w:t xml:space="preserve"> the relative merits of this material in detail in section </w:t>
      </w:r>
      <w:r>
        <w:fldChar w:fldCharType="begin"/>
      </w:r>
      <w:r>
        <w:instrText xml:space="preserve"> REF _Ref451685041 \r \h </w:instrText>
      </w:r>
      <w:r>
        <w:fldChar w:fldCharType="separate"/>
      </w:r>
      <w:r w:rsidR="006B4A74">
        <w:t>B</w:t>
      </w:r>
      <w:r>
        <w:fldChar w:fldCharType="end"/>
      </w:r>
      <w:r>
        <w:t xml:space="preserve"> of this attachment. </w:t>
      </w:r>
      <w:r w:rsidRPr="00CB12BC">
        <w:t>G</w:t>
      </w:r>
      <w:r>
        <w:t xml:space="preserve">iven the limitations of the other equity models proposed by </w:t>
      </w:r>
      <w:r w:rsidR="00CD2633">
        <w:t xml:space="preserve">some </w:t>
      </w:r>
      <w:r>
        <w:t>service providers, we consider that:</w:t>
      </w:r>
    </w:p>
    <w:p w:rsidR="000D24A6" w:rsidRPr="00B005DF" w:rsidRDefault="000D24A6" w:rsidP="000D24A6">
      <w:pPr>
        <w:pStyle w:val="AERbulletlistfirststyle"/>
      </w:pPr>
      <w:r>
        <w:t>These models should not form part of our approach, either as the sole model or as part of a multi-model approach</w:t>
      </w:r>
      <w:r w:rsidRPr="00B005DF">
        <w:t>.</w:t>
      </w:r>
    </w:p>
    <w:p w:rsidR="000D24A6" w:rsidRPr="00B005DF" w:rsidRDefault="000D24A6" w:rsidP="000D24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00C77169">
        <w:rPr>
          <w:rStyle w:val="FootnoteReference"/>
        </w:rPr>
        <w:footnoteReference w:id="186"/>
      </w:r>
    </w:p>
    <w:p w:rsidR="000D24A6" w:rsidRDefault="000D24A6" w:rsidP="000D24A6">
      <w:pPr>
        <w:pStyle w:val="AERbulletlistfirststyle"/>
      </w:pPr>
      <w:r>
        <w:t xml:space="preserve">The Fama-French model and historical specification of the Sharpe-Lintner CAPM should not be used to inform our return on equity estimate in any capacity. </w:t>
      </w:r>
    </w:p>
    <w:p w:rsidR="000D24A6" w:rsidRDefault="000D24A6" w:rsidP="000D24A6">
      <w:r>
        <w:t xml:space="preserve">Consumers and other stakeholders </w:t>
      </w:r>
      <w:r w:rsidR="00CD2633">
        <w:t xml:space="preserve">have </w:t>
      </w:r>
      <w:r>
        <w:t>generally supported our use of the Sharp-Lintner CAPM and our foundation model approach.</w:t>
      </w:r>
      <w:r w:rsidR="00C77169">
        <w:rPr>
          <w:rStyle w:val="FootnoteReference"/>
        </w:rPr>
        <w:footnoteReference w:id="187"/>
      </w:r>
      <w:r>
        <w:t xml:space="preserve"> </w:t>
      </w:r>
    </w:p>
    <w:p w:rsidR="000D24A6" w:rsidRDefault="000D24A6" w:rsidP="00CC7A1C">
      <w:pPr>
        <w:numPr>
          <w:ilvl w:val="0"/>
          <w:numId w:val="24"/>
        </w:numPr>
      </w:pPr>
      <w:r>
        <w:t>Partington and Satchell</w:t>
      </w:r>
      <w:r w:rsidR="007C6250">
        <w:t xml:space="preserve"> has</w:t>
      </w:r>
      <w:r>
        <w:t xml:space="preserve">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sidR="00C77169">
        <w:rPr>
          <w:rStyle w:val="FootnoteReference"/>
        </w:rPr>
        <w:footnoteReference w:id="188"/>
      </w:r>
    </w:p>
    <w:p w:rsidR="000D24A6" w:rsidRDefault="000D24A6" w:rsidP="00CC7A1C">
      <w:pPr>
        <w:numPr>
          <w:ilvl w:val="0"/>
          <w:numId w:val="24"/>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sidR="00C77169">
        <w:rPr>
          <w:rStyle w:val="FootnoteReference"/>
        </w:rPr>
        <w:footnoteReference w:id="189"/>
      </w:r>
    </w:p>
    <w:p w:rsidR="000D24A6" w:rsidRDefault="000D24A6" w:rsidP="00CC7A1C">
      <w:pPr>
        <w:numPr>
          <w:ilvl w:val="0"/>
          <w:numId w:val="24"/>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0D24A6" w:rsidRDefault="000D24A6" w:rsidP="00CC7A1C">
      <w:pPr>
        <w:numPr>
          <w:ilvl w:val="0"/>
          <w:numId w:val="24"/>
        </w:numPr>
      </w:pPr>
      <w:r>
        <w:t>We have considered these issues and the associated supporting material in our previous decisions.</w:t>
      </w:r>
      <w:r>
        <w:rPr>
          <w:rStyle w:val="FootnoteReference"/>
        </w:rPr>
        <w:footnoteReference w:id="190"/>
      </w:r>
      <w:r>
        <w:t xml:space="preserve"> </w:t>
      </w:r>
    </w:p>
    <w:p w:rsidR="000D24A6" w:rsidRDefault="000D24A6" w:rsidP="000D24A6">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sidR="005E5104">
        <w:rPr>
          <w:rStyle w:val="FootnoteReference"/>
        </w:rPr>
        <w:footnoteReference w:id="191"/>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009211CA">
        <w:rPr>
          <w:rStyle w:val="AERbody"/>
        </w:rPr>
        <w:t>'Steps four and five: other information and evaluation of information set on overall return on equity' subsection</w:t>
      </w:r>
      <w:r w:rsidRPr="007D2133">
        <w:rPr>
          <w:rStyle w:val="AERbody"/>
        </w:rPr>
        <w:t>).</w:t>
      </w:r>
    </w:p>
    <w:p w:rsidR="00BF5906" w:rsidRPr="00E31230" w:rsidRDefault="00BF5906" w:rsidP="00E31230">
      <w:pPr>
        <w:pStyle w:val="HeadingBoldItalic"/>
        <w:rPr>
          <w:rStyle w:val="Emphasis"/>
        </w:rPr>
      </w:pPr>
      <w:bookmarkStart w:id="85" w:name="_Toc480460503"/>
      <w:bookmarkStart w:id="86" w:name="_Toc480460793"/>
      <w:r w:rsidRPr="00E31230">
        <w:rPr>
          <w:rStyle w:val="Emphasis"/>
        </w:rPr>
        <w:t>Risk free rate</w:t>
      </w:r>
      <w:bookmarkEnd w:id="85"/>
      <w:bookmarkEnd w:id="86"/>
    </w:p>
    <w:p w:rsidR="002C045A" w:rsidRDefault="002C045A" w:rsidP="00CC7A1C">
      <w:pPr>
        <w:pStyle w:val="AERbulletlistfirststyle"/>
        <w:numPr>
          <w:ilvl w:val="0"/>
          <w:numId w:val="24"/>
        </w:numPr>
      </w:pPr>
      <w:r>
        <w:t>Applying the Sharpe-Lintner CAPM requires estimating the risk free rate.</w:t>
      </w:r>
    </w:p>
    <w:p w:rsidR="008B2351" w:rsidRDefault="008B2351" w:rsidP="00CC7A1C">
      <w:pPr>
        <w:pStyle w:val="ListParagraph"/>
        <w:numPr>
          <w:ilvl w:val="0"/>
          <w:numId w:val="24"/>
        </w:numPr>
      </w:pPr>
      <w:r w:rsidRPr="008B2351">
        <w:t>Th</w:t>
      </w:r>
      <w:r>
        <w:t>e risk free rate</w:t>
      </w:r>
      <w:r w:rsidRPr="008B2351">
        <w:t xml:space="preserve"> compensates investors for the time value of money. That is, committing funds for a period of time and therefore forgoing the opportunity to immediately spend money or consume goods.</w:t>
      </w:r>
      <w:r w:rsidR="00664F75">
        <w:rPr>
          <w:rStyle w:val="FootnoteReference"/>
        </w:rPr>
        <w:footnoteReference w:id="192"/>
      </w:r>
      <w:r w:rsidRPr="008B2351">
        <w:t xml:space="preserve"> For the benchmark efficient entity, we estimate this period of time to be 10 years.</w:t>
      </w:r>
      <w:r w:rsidRPr="008B2351">
        <w:rPr>
          <w:rStyle w:val="FootnoteReference"/>
        </w:rPr>
        <w:footnoteReference w:id="193"/>
      </w:r>
      <w:r w:rsidRPr="008B2351">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146770" w:rsidRDefault="00385F4D" w:rsidP="00CC7A1C">
      <w:pPr>
        <w:pStyle w:val="ListParagraph"/>
        <w:numPr>
          <w:ilvl w:val="0"/>
          <w:numId w:val="24"/>
        </w:numPr>
      </w:pPr>
      <w:r w:rsidRPr="00385F4D">
        <w:t>We consider 10 year CGS yields are the most suitable proxy for the risk free rate. CGSs are low default risk securities issued by the Australian Government, and are therefore an appropriate proxy for the risk free rate.</w:t>
      </w:r>
      <w:r w:rsidRPr="00385F4D">
        <w:rPr>
          <w:rStyle w:val="FootnoteReference"/>
        </w:rPr>
        <w:footnoteReference w:id="194"/>
      </w:r>
      <w:r w:rsidRPr="00385F4D">
        <w:t xml:space="preserve"> The three major credit rating agencies issued their highest possible ratings to the Australian Government.</w:t>
      </w:r>
      <w:r w:rsidRPr="00385F4D">
        <w:rPr>
          <w:rStyle w:val="FootnoteReference"/>
        </w:rPr>
        <w:footnoteReference w:id="195"/>
      </w:r>
      <w:r w:rsidRPr="00385F4D">
        <w:t xml:space="preserve"> There is broad consensus with this position. For instance, market practitioners widely use CGS yields to proxy the risk free rate.</w:t>
      </w:r>
      <w:r w:rsidRPr="00385F4D">
        <w:rPr>
          <w:rStyle w:val="FootnoteReference"/>
        </w:rPr>
        <w:footnoteReference w:id="196"/>
      </w:r>
      <w:r w:rsidRPr="00385F4D">
        <w:t xml:space="preserve"> Stakeholders also widely supported using CGS yields as a proxy during the Guideline development process.</w:t>
      </w:r>
      <w:r w:rsidRPr="00385F4D">
        <w:rPr>
          <w:rStyle w:val="FootnoteReference"/>
        </w:rPr>
        <w:footnoteReference w:id="197"/>
      </w:r>
      <w:r w:rsidRPr="00385F4D">
        <w:t xml:space="preserve"> We use 10 year CGS yields because we adopt a 10 year term. A 10 year term emphasises the long term nature of cash flows in equity investments and the long lived nature the benchmark efficient entity's assets.</w:t>
      </w:r>
      <w:r w:rsidRPr="00385F4D">
        <w:rPr>
          <w:rStyle w:val="FootnoteReference"/>
        </w:rPr>
        <w:footnoteReference w:id="198"/>
      </w:r>
    </w:p>
    <w:p w:rsidR="00C91BAB" w:rsidRDefault="002C045A" w:rsidP="00E31230">
      <w:pPr>
        <w:pStyle w:val="AERbulletlistfirststyle"/>
        <w:numPr>
          <w:ilvl w:val="0"/>
          <w:numId w:val="0"/>
        </w:numPr>
      </w:pPr>
      <w:r>
        <w:t xml:space="preserve">We </w:t>
      </w:r>
      <w:r w:rsidR="008B2351">
        <w:t>apply</w:t>
      </w:r>
      <w:r>
        <w:t xml:space="preserve"> a risk free rate of </w:t>
      </w:r>
      <w:r w:rsidR="00853443">
        <w:t>2.52</w:t>
      </w:r>
      <w:r>
        <w:t xml:space="preserve"> per cent in this decision.</w:t>
      </w:r>
      <w:r w:rsidR="00E147BE">
        <w:t xml:space="preserve"> This risk free rate is based on a 20 business day averaging period, from </w:t>
      </w:r>
      <w:r w:rsidR="00C663E7">
        <w:t>3</w:t>
      </w:r>
      <w:r w:rsidR="00C663E7" w:rsidRPr="00C663E7">
        <w:t>1 October 2016 to 25 November 2016</w:t>
      </w:r>
      <w:r w:rsidR="00E147BE">
        <w:t xml:space="preserve">. </w:t>
      </w:r>
      <w:r w:rsidR="00C91BAB">
        <w:t>We use this to inform our final decision on the return on equity</w:t>
      </w:r>
      <w:r w:rsidR="00C91BAB" w:rsidRPr="00C91BAB">
        <w:t xml:space="preserve"> for AusNet Services' regulatory period (2017–2022). This is consistent with AusNet Services'</w:t>
      </w:r>
      <w:r w:rsidR="00CD2633">
        <w:t xml:space="preserve"> revised</w:t>
      </w:r>
      <w:r w:rsidR="00C91BAB" w:rsidRPr="00C91BAB">
        <w:t xml:space="preserve"> proposal.</w:t>
      </w:r>
      <w:r w:rsidR="00C91BAB" w:rsidRPr="00C91BAB">
        <w:rPr>
          <w:rStyle w:val="FootnoteReference"/>
        </w:rPr>
        <w:footnoteReference w:id="199"/>
      </w:r>
      <w:r w:rsidR="00C91BAB" w:rsidRPr="00C91BAB">
        <w:t xml:space="preserve"> We accepted this approach in our draft decision.</w:t>
      </w:r>
      <w:r w:rsidR="00C91BAB" w:rsidRPr="00C91BAB">
        <w:rPr>
          <w:rStyle w:val="FootnoteReference"/>
        </w:rPr>
        <w:footnoteReference w:id="200"/>
      </w:r>
      <w:r w:rsidR="00C91BAB">
        <w:t xml:space="preserve"> </w:t>
      </w:r>
    </w:p>
    <w:p w:rsidR="008B2351" w:rsidRDefault="008B2351" w:rsidP="00CC7A1C">
      <w:pPr>
        <w:pStyle w:val="ListParagraph"/>
        <w:numPr>
          <w:ilvl w:val="0"/>
          <w:numId w:val="24"/>
        </w:numPr>
      </w:pPr>
      <w:r w:rsidRPr="001174B8">
        <w:t>We are satisfied the risk free rate we apply provides for a return on equity that contributes to the achievement of the al</w:t>
      </w:r>
      <w:r>
        <w:t>lowed rate of return objective.</w:t>
      </w:r>
      <w:r>
        <w:rPr>
          <w:rStyle w:val="FootnoteReference"/>
        </w:rPr>
        <w:footnoteReference w:id="201"/>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202"/>
      </w:r>
      <w:r w:rsidRPr="001174B8">
        <w:t xml:space="preserve"> As such, this risk free rate also has regard to the prevailing conditions in the market for equity funds, as the rules require.</w:t>
      </w:r>
      <w:r w:rsidRPr="00587384">
        <w:rPr>
          <w:rStyle w:val="FootnoteReference"/>
        </w:rPr>
        <w:footnoteReference w:id="203"/>
      </w:r>
      <w:r w:rsidRPr="001174B8">
        <w:t xml:space="preserve">  </w:t>
      </w:r>
    </w:p>
    <w:p w:rsidR="00C663E7" w:rsidRDefault="00C663E7" w:rsidP="00CC7A1C">
      <w:pPr>
        <w:pStyle w:val="AERbulletlistfirststyle"/>
        <w:numPr>
          <w:ilvl w:val="0"/>
          <w:numId w:val="24"/>
        </w:numPr>
      </w:pPr>
      <w:r>
        <w:t xml:space="preserve">While we recognise that the 10 year CGS yields have changed since </w:t>
      </w:r>
      <w:r w:rsidR="00D21595">
        <w:t>25 November 2016</w:t>
      </w:r>
      <w:r w:rsidRPr="00C91BAB">
        <w:t>, these rates after the averaging period do not inform our decision.</w:t>
      </w:r>
    </w:p>
    <w:p w:rsidR="008B2351" w:rsidRDefault="008B2351" w:rsidP="00CC7A1C">
      <w:pPr>
        <w:numPr>
          <w:ilvl w:val="0"/>
          <w:numId w:val="24"/>
        </w:numPr>
      </w:pPr>
      <w:r>
        <w:t>We are satisfied with our estimate of the risk free rate, and how this informs our estimate of the return on equity. This is because of the following:</w:t>
      </w:r>
    </w:p>
    <w:p w:rsidR="008B2351" w:rsidRDefault="008B2351" w:rsidP="008B2351">
      <w:pPr>
        <w:pStyle w:val="AERbulletlistfirststyle"/>
      </w:pPr>
      <w:r>
        <w:t xml:space="preserve">We are satisfied that our risk free rate, based on an averaging period of </w:t>
      </w:r>
      <w:r w:rsidR="00C663E7">
        <w:t>31 October 2016</w:t>
      </w:r>
      <w:r w:rsidRPr="00760BFA">
        <w:t xml:space="preserve"> to </w:t>
      </w:r>
      <w:r w:rsidR="00C663E7">
        <w:t>25 November 2016</w:t>
      </w:r>
      <w:r>
        <w:t xml:space="preserve"> contributes to the achievement of the allowed rate of return objective.</w:t>
      </w:r>
      <w:r>
        <w:rPr>
          <w:rStyle w:val="FootnoteReference"/>
        </w:rPr>
        <w:footnoteReference w:id="204"/>
      </w:r>
      <w:r>
        <w:t xml:space="preserve"> </w:t>
      </w:r>
    </w:p>
    <w:p w:rsidR="008B2351" w:rsidRDefault="008B2351" w:rsidP="008B2351">
      <w:pPr>
        <w:pStyle w:val="AERbulletlistfirststyle"/>
      </w:pPr>
      <w:r>
        <w:t xml:space="preserve">The averaging period of </w:t>
      </w:r>
      <w:r w:rsidR="00C663E7">
        <w:t>31 October 2016</w:t>
      </w:r>
      <w:r w:rsidR="00C663E7" w:rsidRPr="00760BFA">
        <w:t xml:space="preserve"> to </w:t>
      </w:r>
      <w:r w:rsidR="00C663E7">
        <w:t xml:space="preserve">25 November 2016 </w:t>
      </w:r>
      <w:r>
        <w:t>is consistent with the conditions set out in the Guideline.</w:t>
      </w:r>
      <w:r>
        <w:rPr>
          <w:rStyle w:val="FootnoteReference"/>
        </w:rPr>
        <w:footnoteReference w:id="205"/>
      </w:r>
    </w:p>
    <w:p w:rsidR="008B2351" w:rsidRDefault="008B2351" w:rsidP="008B2351">
      <w:pPr>
        <w:pStyle w:val="AERbulletlistfirststyle"/>
      </w:pPr>
      <w:r w:rsidRPr="00266149">
        <w:t xml:space="preserve">Our approach to estimating the </w:t>
      </w:r>
      <w:r w:rsidR="00C91BAB">
        <w:t>market risk premium</w:t>
      </w:r>
      <w:r w:rsidRPr="00266149">
        <w:t xml:space="preserve"> and risk free rate is internally </w:t>
      </w:r>
      <w:r>
        <w:t xml:space="preserve">consistent </w:t>
      </w:r>
      <w:r w:rsidRPr="00B3368A">
        <w:t>bec</w:t>
      </w:r>
      <w:r>
        <w:t>ause both are 10 year forward</w:t>
      </w:r>
      <w:r w:rsidRPr="00B3368A">
        <w:t xml:space="preserve"> looking estimates.</w:t>
      </w:r>
      <w:r w:rsidRPr="00B3368A">
        <w:rPr>
          <w:rStyle w:val="FootnoteReference"/>
        </w:rPr>
        <w:footnoteReference w:id="206"/>
      </w:r>
      <w:r w:rsidRPr="005C299E">
        <w:t xml:space="preserve"> </w:t>
      </w:r>
    </w:p>
    <w:p w:rsidR="008B2351" w:rsidRDefault="008B2351" w:rsidP="008B2351">
      <w:pPr>
        <w:pStyle w:val="AERbulletlistfirststyle"/>
      </w:pPr>
      <w:r>
        <w:t xml:space="preserve">We are satisfied that an estimate of </w:t>
      </w:r>
      <w:r w:rsidRPr="00E43E1A">
        <w:t>2.</w:t>
      </w:r>
      <w:r w:rsidR="00AB6832">
        <w:t xml:space="preserve">52 </w:t>
      </w:r>
      <w:r>
        <w:t>per cent is the best estimate of the risk free rate at this time (over the specified averaging period).</w:t>
      </w:r>
    </w:p>
    <w:p w:rsidR="008B2351" w:rsidRPr="00C81BBE" w:rsidRDefault="008B2351" w:rsidP="008B2351">
      <w:r w:rsidRPr="00C81BBE">
        <w:t xml:space="preserve">We consider an averaging period of </w:t>
      </w:r>
      <w:r w:rsidR="00C663E7">
        <w:t>31 October 2016</w:t>
      </w:r>
      <w:r w:rsidR="00C663E7" w:rsidRPr="00760BFA">
        <w:t xml:space="preserve"> to </w:t>
      </w:r>
      <w:r w:rsidR="00C663E7">
        <w:t xml:space="preserve">25 November 2016 </w:t>
      </w:r>
      <w:r w:rsidRPr="00C81BBE">
        <w:t>contribute</w:t>
      </w:r>
      <w:r>
        <w:t>s</w:t>
      </w:r>
      <w:r w:rsidRPr="00C81BBE">
        <w:t xml:space="preserve"> to the achievement of the allowed rate of return objective and ha</w:t>
      </w:r>
      <w:r>
        <w:t>s</w:t>
      </w:r>
      <w:r w:rsidRPr="00C81BBE">
        <w:t xml:space="preserve"> regard to the prevailing conditions in the market for equity funds.</w:t>
      </w:r>
      <w:r w:rsidRPr="00C81BBE">
        <w:rPr>
          <w:rStyle w:val="FootnoteReference"/>
        </w:rPr>
        <w:footnoteReference w:id="207"/>
      </w:r>
      <w:r w:rsidRPr="00C81BBE">
        <w:t xml:space="preserve"> This is because:</w:t>
      </w:r>
    </w:p>
    <w:p w:rsidR="008B2351" w:rsidRDefault="008B2351" w:rsidP="008B2351">
      <w:pPr>
        <w:pStyle w:val="AERbulletlistfirststyle"/>
      </w:pPr>
      <w:r w:rsidRPr="0086086E">
        <w:t>It is an unbiased estimate</w:t>
      </w:r>
      <w:r>
        <w:t xml:space="preserve"> because</w:t>
      </w:r>
      <w:r w:rsidRPr="0086086E">
        <w:t xml:space="preserve"> </w:t>
      </w:r>
      <w:r>
        <w:t xml:space="preserve">the </w:t>
      </w:r>
      <w:r w:rsidRPr="0086086E">
        <w:t>averaging period was chosen in advance of it occurring.</w:t>
      </w:r>
      <w:r w:rsidRPr="003B6A08">
        <w:rPr>
          <w:rStyle w:val="FootnoteReference"/>
        </w:rPr>
        <w:t xml:space="preserve"> </w:t>
      </w:r>
      <w:r>
        <w:rPr>
          <w:rStyle w:val="FootnoteReference"/>
        </w:rPr>
        <w:footnoteReference w:id="208"/>
      </w:r>
      <w:r>
        <w:t xml:space="preserve"> </w:t>
      </w:r>
      <w:r w:rsidRPr="0094233D">
        <w:t xml:space="preserve">If an averaging period is chosen after the period </w:t>
      </w:r>
      <w:r>
        <w:t>occurs</w:t>
      </w:r>
      <w:r w:rsidRPr="0094233D">
        <w:t>, the knowledge of the risk free rate at any past point of time influences the choice</w:t>
      </w:r>
      <w:r>
        <w:t>, creating an inherent bias</w:t>
      </w:r>
      <w:r w:rsidRPr="0094233D">
        <w:t xml:space="preserve">. It would not matter if the period were chosen by the AER, the service provider, a user or consumer, the Australian Competition Tribunal or another stakeholder. </w:t>
      </w:r>
      <w:r>
        <w:t>This view has been recognised by consultants and in the G</w:t>
      </w:r>
      <w:r w:rsidRPr="0094233D">
        <w:t>uideline.</w:t>
      </w:r>
      <w:r w:rsidRPr="0094233D">
        <w:rPr>
          <w:rStyle w:val="FootnoteReference"/>
        </w:rPr>
        <w:footnoteReference w:id="209"/>
      </w:r>
      <w:r w:rsidRPr="0094233D">
        <w:t xml:space="preserve"> </w:t>
      </w:r>
      <w:r>
        <w:t>We consider a</w:t>
      </w:r>
      <w:r w:rsidRPr="0094233D">
        <w:t xml:space="preserve">n unbiased estimate </w:t>
      </w:r>
      <w:r>
        <w:t xml:space="preserve">contributes to estimating a </w:t>
      </w:r>
      <w:r w:rsidRPr="0094233D">
        <w:t xml:space="preserve">rate of return </w:t>
      </w:r>
      <w:r>
        <w:t>that is</w:t>
      </w:r>
      <w:r w:rsidRPr="0094233D">
        <w:t xml:space="preserve"> commensurate with the efficient financing costs of a benchmark efficient entity. </w:t>
      </w:r>
      <w:r>
        <w:t>Setting a risk free rate with foreknowledge of the outcome does not reward efficient decision making or allow a comparison to benchmark performance. It does not provide the appropriate incentive for efficient investment, as contemplated in both the NEO/NGO and the revenue and pricing principles.</w:t>
      </w:r>
      <w:r>
        <w:rPr>
          <w:rStyle w:val="FootnoteReference"/>
        </w:rPr>
        <w:footnoteReference w:id="210"/>
      </w:r>
      <w:r>
        <w:t xml:space="preserve"> This is because regulated service providers are to use the forward looking allowed rate of return to value their investment decisions.</w:t>
      </w:r>
      <w:r>
        <w:rPr>
          <w:rStyle w:val="FootnoteReference"/>
        </w:rPr>
        <w:footnoteReference w:id="211"/>
      </w:r>
      <w:r>
        <w:t xml:space="preserve"> </w:t>
      </w:r>
    </w:p>
    <w:p w:rsidR="008B2351" w:rsidRDefault="008B2351" w:rsidP="008B2351">
      <w:pPr>
        <w:pStyle w:val="AERbulletlistfirststyle"/>
      </w:pPr>
      <w:r>
        <w:t>It is a fair estimate because we gave service providers the opportunity to submit different periods and to formalise any arrangements for their financing needs resulting from our determination. In this way</w:t>
      </w:r>
      <w:r w:rsidRPr="0094233D">
        <w:t>, we consider this promotes efficient decision making in a manner that also fairly respects the interests of service providers and other stakeholders.</w:t>
      </w:r>
    </w:p>
    <w:p w:rsidR="008B2351" w:rsidRDefault="008B2351" w:rsidP="008B2351">
      <w:pPr>
        <w:pStyle w:val="AERbulletlistfirststyle"/>
      </w:pPr>
      <w:r>
        <w:t xml:space="preserve">This produces a risk free rate that informs a </w:t>
      </w:r>
      <w:r w:rsidRPr="00B3368A">
        <w:t>return on equity estimate</w:t>
      </w:r>
      <w:r>
        <w:t xml:space="preserve"> that</w:t>
      </w:r>
      <w:r w:rsidRPr="00B3368A">
        <w:t xml:space="preserve"> has regard to the prevailing conditions in the ma</w:t>
      </w:r>
      <w:r>
        <w:t>rket for equity funds, as the rules</w:t>
      </w:r>
      <w:r w:rsidRPr="00B3368A">
        <w:t xml:space="preserve"> require.</w:t>
      </w:r>
      <w:r w:rsidRPr="00B3368A">
        <w:rPr>
          <w:rStyle w:val="FootnoteReference"/>
        </w:rPr>
        <w:footnoteReference w:id="212"/>
      </w:r>
      <w:r w:rsidRPr="00B3368A">
        <w:t xml:space="preserve"> </w:t>
      </w:r>
      <w:r>
        <w:t>This is because:</w:t>
      </w:r>
    </w:p>
    <w:p w:rsidR="008B2351" w:rsidRDefault="008B2351" w:rsidP="008B2351">
      <w:pPr>
        <w:pStyle w:val="AERbulletlistsecondstyle"/>
      </w:pPr>
      <w:r>
        <w:t xml:space="preserve">It is based on </w:t>
      </w:r>
      <w:r w:rsidRPr="00B3368A">
        <w:t>a short term (20 consecutive business days) averaging period close to the time at which we make our decision.</w:t>
      </w:r>
      <w:r w:rsidRPr="00B3368A">
        <w:rPr>
          <w:rStyle w:val="FootnoteReference"/>
        </w:rPr>
        <w:footnoteReference w:id="213"/>
      </w:r>
      <w:r w:rsidRPr="00B3368A">
        <w:t xml:space="preserve"> </w:t>
      </w:r>
      <w:r w:rsidRPr="00BB442C">
        <w:t xml:space="preserve">We use a short term averaging period as a </w:t>
      </w:r>
      <w:r>
        <w:t>pragmatic alternative to using the</w:t>
      </w:r>
      <w:r w:rsidRPr="00BB442C">
        <w:t xml:space="preserve"> </w:t>
      </w:r>
      <w:r>
        <w:t>prevailing rate</w:t>
      </w:r>
      <w:r w:rsidRPr="00BB442C">
        <w:t>.</w:t>
      </w:r>
      <w:r w:rsidRPr="00BB442C">
        <w:rPr>
          <w:rStyle w:val="AERsuperscript"/>
        </w:rPr>
        <w:footnoteReference w:id="214"/>
      </w:r>
      <w:r w:rsidRPr="00BB442C">
        <w:rPr>
          <w:rStyle w:val="AERsuperscript"/>
        </w:rPr>
        <w:t xml:space="preserve"> </w:t>
      </w:r>
      <w:r>
        <w:t>This recognises that t</w:t>
      </w:r>
      <w:r w:rsidRPr="00BB442C">
        <w:t>he prevailing risk free rate is the benchmark that returns on risky investments must outperform.</w:t>
      </w:r>
      <w:r w:rsidRPr="00BB442C">
        <w:rPr>
          <w:rStyle w:val="FootnoteReference"/>
        </w:rPr>
        <w:footnoteReference w:id="215"/>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216"/>
      </w:r>
      <w:r w:rsidRPr="00BB442C">
        <w:t xml:space="preserve"> </w:t>
      </w:r>
    </w:p>
    <w:p w:rsidR="008B2351" w:rsidRDefault="008B2351" w:rsidP="008B2351">
      <w:pPr>
        <w:pStyle w:val="AERbulletlistsecondstyle"/>
      </w:pPr>
      <w:r>
        <w:t>When using this estimate to inform our return on equity, we also had regard to a range of other prevailing market information. This included but was not limited to comparisons with the prevailing return on debt and a range of information to inform our MRP estimate, including DGM estimates and conditioning variables. Under step four and five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217"/>
      </w:r>
      <w:r>
        <w:t xml:space="preserve"> </w:t>
      </w:r>
    </w:p>
    <w:p w:rsidR="002A4528" w:rsidRDefault="002A4528" w:rsidP="002A4528">
      <w:pPr>
        <w:pStyle w:val="AERbulletlistsecondstyle"/>
      </w:pPr>
      <w:r>
        <w:t xml:space="preserve">The agreed averaging period ends as close as practically possible to the commencement of the regulatory control period given the uncertainty with the date the final decision would be released and the time needed for modelling to be completed. </w:t>
      </w:r>
    </w:p>
    <w:p w:rsidR="008B2351" w:rsidRDefault="008B2351" w:rsidP="008B2351">
      <w:r>
        <w:t>O</w:t>
      </w:r>
      <w:r w:rsidRPr="00AF6956">
        <w:t>ur practice is to keep the dates of averaging periods confidential until they have expired</w:t>
      </w:r>
      <w:r>
        <w:t>. This</w:t>
      </w:r>
      <w:r w:rsidRPr="00AF6956">
        <w:t xml:space="preserve"> allows </w:t>
      </w:r>
      <w:r>
        <w:t>service providers</w:t>
      </w:r>
      <w:r w:rsidRPr="00AF6956">
        <w:t xml:space="preserve"> to manage </w:t>
      </w:r>
      <w:r>
        <w:t>their</w:t>
      </w:r>
      <w:r w:rsidRPr="00AF6956">
        <w:t xml:space="preserve"> financing arrangements without </w:t>
      </w:r>
      <w:r>
        <w:t>the possibility of the public announcement of the potential timing of their arrangements putting them in a disadvantaged bargaining position</w:t>
      </w:r>
      <w:r w:rsidRPr="00AF6956">
        <w:t>.</w:t>
      </w:r>
      <w:r>
        <w:t xml:space="preserve"> </w:t>
      </w:r>
    </w:p>
    <w:p w:rsidR="003379AF" w:rsidRPr="00A42F74" w:rsidRDefault="003379AF" w:rsidP="00E31230">
      <w:pPr>
        <w:pStyle w:val="HeadingBoldItalic"/>
        <w:rPr>
          <w:rStyle w:val="AERtextorange"/>
          <w:rFonts w:eastAsiaTheme="minorHAnsi" w:cstheme="minorBidi"/>
          <w:b w:val="0"/>
          <w:bCs w:val="0"/>
          <w:color w:val="51626F"/>
          <w:sz w:val="22"/>
        </w:rPr>
      </w:pPr>
      <w:bookmarkStart w:id="87" w:name="_Toc443923184"/>
      <w:bookmarkStart w:id="88" w:name="_Toc480460504"/>
      <w:bookmarkStart w:id="89" w:name="_Toc480460794"/>
      <w:r w:rsidRPr="00A42F74">
        <w:rPr>
          <w:rStyle w:val="AERtextorange"/>
          <w:color w:val="51626F"/>
        </w:rPr>
        <w:t>Estimating equity beta</w:t>
      </w:r>
      <w:bookmarkEnd w:id="87"/>
      <w:bookmarkEnd w:id="88"/>
      <w:bookmarkEnd w:id="89"/>
    </w:p>
    <w:p w:rsidR="001D4715" w:rsidRDefault="001D4715" w:rsidP="00CC7A1C">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18"/>
      </w:r>
      <w:r>
        <w:t xml:space="preserve"> </w:t>
      </w:r>
    </w:p>
    <w:p w:rsidR="001D4715" w:rsidRDefault="001D4715" w:rsidP="00CC7A1C">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Our equity beta estimate is required to be commensurate with a similar degree of risk as that which applies to AusNet Services provision of prescribed transmission services.</w:t>
      </w:r>
      <w:r>
        <w:rPr>
          <w:rStyle w:val="FootnoteReference"/>
        </w:rPr>
        <w:footnoteReference w:id="219"/>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Pr>
          <w:rStyle w:val="AERbody"/>
        </w:rPr>
        <w:t>AusNet Services</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1D4715" w:rsidRDefault="001D4715" w:rsidP="001D4715">
      <w:pPr>
        <w:pStyle w:val="AERbulletlistfirststyle"/>
      </w:pPr>
      <w:r>
        <w:t xml:space="preserve">Our range and point estimate are based on direct measurements (that is, empirical estimates) of the equity beta that businesses with a similar degree of risk as AusNet Services have exhibited in the past. We consider these are reliable indicators of the prevailing, forward-looking equity beta for an efficient business (or benchmark efficient entity) with a similar degree of risk as AusNet Services. </w:t>
      </w:r>
    </w:p>
    <w:p w:rsidR="001D4715" w:rsidRDefault="001D4715" w:rsidP="001D4715">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Pr>
          <w:rStyle w:val="AERbody"/>
        </w:rPr>
        <w:t>AusNet Services</w:t>
      </w:r>
      <w:r>
        <w:rPr>
          <w:rStyle w:val="FootnoteReference"/>
        </w:rPr>
        <w:footnoteReference w:id="220"/>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21"/>
      </w:r>
    </w:p>
    <w:p w:rsidR="001D4715" w:rsidRDefault="001D4715" w:rsidP="001D4715">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those estimated from businesses with a similar degree of risk as AusNet Ser</w:t>
      </w:r>
      <w:r w:rsidR="003E6448">
        <w:rPr>
          <w:rStyle w:val="AERbody"/>
        </w:rPr>
        <w:t>v</w:t>
      </w:r>
      <w:r>
        <w:rPr>
          <w:rStyle w:val="AERbody"/>
        </w:rPr>
        <w:t>i</w:t>
      </w:r>
      <w:r w:rsidR="003E6448">
        <w:rPr>
          <w:rStyle w:val="AERbody"/>
        </w:rPr>
        <w:t>c</w:t>
      </w:r>
      <w:r>
        <w:rPr>
          <w:rStyle w:val="AERbody"/>
        </w:rPr>
        <w:t>es 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22"/>
      </w:r>
      <w:r w:rsidRPr="00482D74">
        <w:rPr>
          <w:rStyle w:val="AERbody"/>
        </w:rPr>
        <w:t xml:space="preserve"> However, we do not consider the theory underlying the Black CAPM warrants a specific uplift or adjustment to the equity beta point estimate. </w:t>
      </w:r>
      <w:r>
        <w:rPr>
          <w:rStyle w:val="AERbody"/>
        </w:rPr>
        <w:t>The reasons for our use of the Black CAPM theory are set out in more detail in section</w:t>
      </w:r>
      <w:r w:rsidR="004B005B">
        <w:rPr>
          <w:rStyle w:val="AERbody"/>
        </w:rPr>
        <w:t xml:space="preserve"> </w:t>
      </w:r>
      <w:r w:rsidR="00395B78">
        <w:rPr>
          <w:rStyle w:val="AERbody"/>
        </w:rPr>
        <w:fldChar w:fldCharType="begin"/>
      </w:r>
      <w:r w:rsidR="00395B78">
        <w:rPr>
          <w:rStyle w:val="AERbody"/>
        </w:rPr>
        <w:instrText xml:space="preserve"> REF _Ref449007419 \r \h </w:instrText>
      </w:r>
      <w:r w:rsidR="00395B78">
        <w:rPr>
          <w:rStyle w:val="AERbody"/>
        </w:rPr>
      </w:r>
      <w:r w:rsidR="00395B78">
        <w:rPr>
          <w:rStyle w:val="AERbody"/>
        </w:rPr>
        <w:fldChar w:fldCharType="separate"/>
      </w:r>
      <w:r w:rsidR="006B4A74">
        <w:rPr>
          <w:rStyle w:val="AERbody"/>
        </w:rPr>
        <w:t>B.2</w:t>
      </w:r>
      <w:r w:rsidR="00395B78">
        <w:rPr>
          <w:rStyle w:val="AERbody"/>
        </w:rPr>
        <w:fldChar w:fldCharType="end"/>
      </w:r>
      <w:r>
        <w:rPr>
          <w:rStyle w:val="AERbody"/>
        </w:rPr>
        <w:t>.</w:t>
      </w:r>
    </w:p>
    <w:p w:rsidR="001D4715" w:rsidRDefault="001D4715" w:rsidP="001D4715">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t>ARORO</w:t>
      </w:r>
      <w:r>
        <w:rPr>
          <w:rStyle w:val="AERbody"/>
        </w:rPr>
        <w:t>.</w:t>
      </w:r>
      <w:r>
        <w:rPr>
          <w:rStyle w:val="FootnoteReference"/>
        </w:rPr>
        <w:footnoteReference w:id="223"/>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24"/>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1D4715" w:rsidRDefault="001D4715" w:rsidP="001D4715">
      <w:r>
        <w:t xml:space="preserve">Our direct measurements of the equity beta for businesses with a similar degree of risk as AusNet Services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25"/>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26"/>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AusNet Services. More information on empirical estimates can be found in section </w:t>
      </w:r>
      <w:r w:rsidR="009211CA">
        <w:fldChar w:fldCharType="begin"/>
      </w:r>
      <w:r w:rsidR="009211CA">
        <w:instrText xml:space="preserve"> REF _Ref478460051 \r \h </w:instrText>
      </w:r>
      <w:r w:rsidR="009211CA">
        <w:fldChar w:fldCharType="separate"/>
      </w:r>
      <w:r w:rsidR="006B4A74">
        <w:t>G</w:t>
      </w:r>
      <w:r w:rsidR="009211CA">
        <w:fldChar w:fldCharType="end"/>
      </w:r>
      <w:r>
        <w:t>.</w:t>
      </w:r>
    </w:p>
    <w:p w:rsidR="001D4715" w:rsidRPr="002D3111" w:rsidRDefault="001D4715" w:rsidP="001D4715">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27"/>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rsidR="00884E51">
        <w:t>figure 3–3</w:t>
      </w:r>
      <w:r>
        <w:t xml:space="preserve">. </w:t>
      </w:r>
    </w:p>
    <w:p w:rsidR="001D4715" w:rsidRDefault="001D4715" w:rsidP="001D4715">
      <w:pPr>
        <w:pStyle w:val="Caption"/>
      </w:pPr>
      <w:r>
        <w:t xml:space="preserve">Figure </w:t>
      </w:r>
      <w:fldSimple w:instr=" STYLEREF 1 \s ">
        <w:r w:rsidR="006B4A74">
          <w:rPr>
            <w:noProof/>
          </w:rPr>
          <w:t>3</w:t>
        </w:r>
      </w:fldSimple>
      <w:r w:rsidR="008A2B2B">
        <w:noBreakHyphen/>
      </w:r>
      <w:fldSimple w:instr=" SEQ Figure \* ARABIC \s 1 ">
        <w:r w:rsidR="006B4A74">
          <w:rPr>
            <w:noProof/>
          </w:rPr>
          <w:t>3</w:t>
        </w:r>
      </w:fldSimple>
      <w:r>
        <w:tab/>
        <w:t xml:space="preserve">Submissions on the value of the equity beta </w:t>
      </w:r>
    </w:p>
    <w:p w:rsidR="00B31FB8" w:rsidRPr="00B31FB8" w:rsidRDefault="00B31FB8" w:rsidP="003F025A">
      <w:r w:rsidRPr="003F025A">
        <w:rPr>
          <w:noProof/>
          <w:lang w:eastAsia="en-AU"/>
        </w:rPr>
        <w:drawing>
          <wp:inline distT="0" distB="0" distL="0" distR="0" wp14:anchorId="6B01B422" wp14:editId="3B6875F6">
            <wp:extent cx="4974590" cy="3517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4590" cy="3517900"/>
                    </a:xfrm>
                    <a:prstGeom prst="rect">
                      <a:avLst/>
                    </a:prstGeom>
                    <a:noFill/>
                  </pic:spPr>
                </pic:pic>
              </a:graphicData>
            </a:graphic>
          </wp:inline>
        </w:drawing>
      </w:r>
    </w:p>
    <w:p w:rsidR="00C557AE" w:rsidRPr="00C557AE" w:rsidRDefault="00C557AE" w:rsidP="00950EA8"/>
    <w:p w:rsidR="001D4715" w:rsidRPr="00812033" w:rsidRDefault="001D4715" w:rsidP="00CC7A1C">
      <w:pPr>
        <w:numPr>
          <w:ilvl w:val="0"/>
          <w:numId w:val="24"/>
        </w:numPr>
        <w:rPr>
          <w:rStyle w:val="AERbody"/>
        </w:rPr>
      </w:pPr>
    </w:p>
    <w:p w:rsidR="001D4715" w:rsidRPr="00F474B9" w:rsidRDefault="001D4715" w:rsidP="001D4715">
      <w:pPr>
        <w:pStyle w:val="AERtablesource"/>
      </w:pPr>
      <w:r>
        <w:t>Source:</w:t>
      </w:r>
      <w:r>
        <w:tab/>
      </w:r>
      <w:r w:rsidRPr="00F474B9">
        <w:t>AER analysis</w:t>
      </w:r>
      <w:r w:rsidRPr="00F474B9">
        <w:rPr>
          <w:rStyle w:val="FootnoteReference"/>
        </w:rPr>
        <w:footnoteReference w:id="228"/>
      </w:r>
    </w:p>
    <w:p w:rsidR="001D4715" w:rsidRDefault="001D4715" w:rsidP="001D4715">
      <w:pPr>
        <w:pStyle w:val="AERtablesource"/>
      </w:pPr>
      <w:r w:rsidRPr="00F474B9">
        <w:t>Note:</w:t>
      </w:r>
      <w:r w:rsidRPr="00F474B9">
        <w:tab/>
      </w:r>
      <w:r w:rsidRPr="00E04BEF">
        <w:t xml:space="preserve">Henry 2014 presents the range specified in Henry’s 2014 report (0.3 to 0.8). The stakeholder submissions range is intended to reflect the views of consumer groups and those who use/engage with the energy network (or pipeline).  The lower bound of this range is based on the CCP4 </w:t>
      </w:r>
      <w:r w:rsidR="00C557AE">
        <w:t xml:space="preserve">(Hugh Grant) submission to Powerlink's revised proposal </w:t>
      </w:r>
      <w:r w:rsidRPr="00E04BEF">
        <w:t xml:space="preserve">and CCP5's submissions </w:t>
      </w:r>
      <w:r w:rsidR="00C557AE">
        <w:t xml:space="preserve">to AusNet Services revised proposal </w:t>
      </w:r>
      <w:r w:rsidRPr="00E04BEF">
        <w:t xml:space="preserve">and the upper bound is based on </w:t>
      </w:r>
      <w:r w:rsidR="00125D20">
        <w:t>multiple submissions accepting the use of Guideline foundation model</w:t>
      </w:r>
      <w:r w:rsidRPr="00E04BEF">
        <w:t>. The SFG 2014 and 2015 range lower bound is based on multiple model regression analysis of Australian and US firms and the upper bound is based on SFG multiple model based equity beta estimates (under its ‘foundation model' approach for the return on equity).</w:t>
      </w:r>
      <w:r>
        <w:t xml:space="preserve"> CEG 2015 figures are from CEG January 2015 paper on estimating the cost of equity, equity beta and MRP.  CEG 2016 beta range is the result of the CEG re-estimation of the Henry 2014 paper with extension to 30 June 2016 submitted with AusNet Services Revised revenue proposal in September 2016. The CEG 2016 range is a shaded because the original Henry 2014 results were not replicated.  </w:t>
      </w:r>
      <w:r w:rsidRPr="00E04BEF">
        <w:t>Frontier Economics range is drawn from their Jan</w:t>
      </w:r>
      <w:r>
        <w:t>uary</w:t>
      </w:r>
      <w:r w:rsidRPr="00E04BEF">
        <w:t xml:space="preserve"> 2016 reports for Jemena, ActewAGL, AusNet Services, Australian Gas Networks, </w:t>
      </w:r>
      <w:r w:rsidR="00410AB6" w:rsidRPr="00E04BEF">
        <w:t>CitiPower</w:t>
      </w:r>
      <w:r w:rsidRPr="00E04BEF">
        <w:t>, Powercor and United Energy on beta estimations.</w:t>
      </w:r>
    </w:p>
    <w:p w:rsidR="001D4715" w:rsidRDefault="001D4715" w:rsidP="00CC7A1C">
      <w:pPr>
        <w:numPr>
          <w:ilvl w:val="0"/>
          <w:numId w:val="24"/>
        </w:numPr>
      </w:pPr>
      <w:r>
        <w:t xml:space="preserve">We note </w:t>
      </w:r>
      <w:r w:rsidR="0031715E">
        <w:t>all</w:t>
      </w:r>
      <w:r>
        <w:t xml:space="preserve"> of the current service providers (TasNetworks, Powerlink and AusNet Services) accepted our Guideline equity beta of 0.7. </w:t>
      </w:r>
    </w:p>
    <w:p w:rsidR="001D4715" w:rsidRDefault="001D4715" w:rsidP="00CC7A1C">
      <w:pPr>
        <w:numPr>
          <w:ilvl w:val="0"/>
          <w:numId w:val="24"/>
        </w:numPr>
      </w:pPr>
      <w:r>
        <w:t>However, AusNet Services noted its preference for a higher equity beta and submitted a report from CEG.</w:t>
      </w:r>
      <w:r>
        <w:rPr>
          <w:rStyle w:val="FootnoteReference"/>
        </w:rPr>
        <w:footnoteReference w:id="229"/>
      </w:r>
      <w:r>
        <w:t xml:space="preserve">  This report attempted to replicate and extend results from the Henry (2014) paper to 2016 to show a material increase in beta estimates. CEG raised a number of issues in support of a higher equity beta, for example:</w:t>
      </w:r>
      <w:r>
        <w:rPr>
          <w:rStyle w:val="FootnoteReference"/>
        </w:rPr>
        <w:footnoteReference w:id="230"/>
      </w:r>
    </w:p>
    <w:p w:rsidR="001D4715" w:rsidRPr="001D4715" w:rsidRDefault="001D4715" w:rsidP="00F54369">
      <w:pPr>
        <w:pStyle w:val="AERbulletlistfirststyle"/>
      </w:pPr>
      <w:r w:rsidRPr="001D4715">
        <w:t>CEG's extension of Henry's estimates to June 2016 suggest that empirical estimates of equity have increased since Henry's 2014 report</w:t>
      </w:r>
    </w:p>
    <w:p w:rsidR="001D4715" w:rsidRPr="001D4715" w:rsidRDefault="001D4715" w:rsidP="00F54369">
      <w:pPr>
        <w:pStyle w:val="AERbulletlistfirststyle"/>
      </w:pPr>
      <w:r>
        <w:t>CEG</w:t>
      </w:r>
      <w:r w:rsidRPr="001D4715">
        <w:t>'s more recent estimates (one year and five year estimates to June 2016) for still listed firms indicate a more prominent increase in the equity beta</w:t>
      </w:r>
    </w:p>
    <w:p w:rsidR="001D4715" w:rsidRDefault="001D4715" w:rsidP="00CC7A1C">
      <w:pPr>
        <w:numPr>
          <w:ilvl w:val="0"/>
          <w:numId w:val="24"/>
        </w:numPr>
      </w:pPr>
      <w:r>
        <w:t>We have carefully consider</w:t>
      </w:r>
      <w:r w:rsidR="007C4678">
        <w:t>ed AusNet Services’</w:t>
      </w:r>
      <w:r>
        <w:t xml:space="preserve"> new material. </w:t>
      </w:r>
    </w:p>
    <w:p w:rsidR="001D4715" w:rsidRDefault="001D4715" w:rsidP="00CC7A1C">
      <w:pPr>
        <w:numPr>
          <w:ilvl w:val="0"/>
          <w:numId w:val="24"/>
        </w:numPr>
      </w:pPr>
      <w:r>
        <w:t xml:space="preserve">We acknowledge there is some change in empirical estimates of equity beta since 2014. However, this small change is not significant evidence of a material increase to warrant adjusting our empirical range of 0.4–0.7 or point estimate 0.7. We have reservations about </w:t>
      </w:r>
      <w:r w:rsidRPr="00994793">
        <w:t>CEG</w:t>
      </w:r>
      <w:r>
        <w:t>’s report for a number of reasons including:</w:t>
      </w:r>
    </w:p>
    <w:p w:rsidR="001D4715" w:rsidRPr="001D4715" w:rsidRDefault="001D4715" w:rsidP="00F07C14">
      <w:pPr>
        <w:pStyle w:val="AERbulletlistfirststyle"/>
      </w:pPr>
      <w:r w:rsidRPr="001D4715">
        <w:t xml:space="preserve">CEG's extension does not indicate a significant change in empirical estimates of the equity beta. For example, the average re-levered firm-level estimates </w:t>
      </w:r>
      <w:r w:rsidR="00B556DC">
        <w:t xml:space="preserve">(using Henry's longest sampling period extended until June 2016 using weekly data) </w:t>
      </w:r>
      <w:r w:rsidRPr="001D4715">
        <w:t>increased slightly (by 0.042) from 0.554 to 0.596. The average re-levered portfolio estimates increased by a similar magnitude.</w:t>
      </w:r>
    </w:p>
    <w:p w:rsidR="001D4715" w:rsidRPr="001D4715" w:rsidRDefault="001D4715" w:rsidP="00950EA8">
      <w:pPr>
        <w:pStyle w:val="AERbulletlistfirststyle"/>
      </w:pPr>
      <w:r>
        <w:t xml:space="preserve">The </w:t>
      </w:r>
      <w:r w:rsidRPr="001D4715">
        <w:t xml:space="preserve">57 per cent discrepancy in SKI's gearing assumption would be a key contributor to the higher estimates in CEG's extension.    </w:t>
      </w:r>
    </w:p>
    <w:p w:rsidR="001D4715" w:rsidRPr="001D4715" w:rsidRDefault="001D4715" w:rsidP="00F07C14">
      <w:pPr>
        <w:pStyle w:val="AERbulletlistfirststyle"/>
      </w:pPr>
      <w:r>
        <w:t>Partington and Satchell ha</w:t>
      </w:r>
      <w:r w:rsidR="007C3536">
        <w:t>ve</w:t>
      </w:r>
      <w:r>
        <w:t xml:space="preserve"> advised that they are not ‘convinced that there has been material change in beta’ due to some weak evidence of increased beta</w:t>
      </w:r>
      <w:r w:rsidRPr="001D4715">
        <w:rPr>
          <w:rStyle w:val="FootnoteReference"/>
        </w:rPr>
        <w:footnoteReference w:id="231"/>
      </w:r>
    </w:p>
    <w:p w:rsidR="001D4715" w:rsidRPr="001D4715" w:rsidRDefault="007C4678" w:rsidP="00F07C14">
      <w:r>
        <w:t>We discuss CEG’s</w:t>
      </w:r>
      <w:r w:rsidR="001D4715">
        <w:t xml:space="preserve"> material in more detail in Table </w:t>
      </w:r>
      <w:r w:rsidR="00A24DED">
        <w:t>3–4</w:t>
      </w:r>
      <w:r w:rsidR="001D4715" w:rsidRPr="001D4715">
        <w:t xml:space="preserve">. We note that some stakeholders submitted that we place too much reliance on some material, that we did not have appropriate regard to information from other relevant sources, or that we made inappropriate methodological choices in our empirical analysis. </w:t>
      </w:r>
      <w:r w:rsidR="009211CA">
        <w:t xml:space="preserve">Table 3–4 </w:t>
      </w:r>
      <w:r w:rsidR="001D4715" w:rsidRPr="001D4715">
        <w:t>sets out stakeholder views on our use of relevant material.</w:t>
      </w:r>
    </w:p>
    <w:p w:rsidR="001D4715" w:rsidRDefault="001D4715" w:rsidP="00CC7A1C">
      <w:pPr>
        <w:numPr>
          <w:ilvl w:val="0"/>
          <w:numId w:val="24"/>
        </w:numPr>
      </w:pPr>
      <w:r w:rsidRPr="00B005DF">
        <w:t xml:space="preserve">Having considered the overall information and </w:t>
      </w:r>
      <w:r>
        <w:t xml:space="preserve">all </w:t>
      </w:r>
      <w:r w:rsidRPr="00B005DF">
        <w:t>material</w:t>
      </w:r>
      <w:r>
        <w:t xml:space="preserve"> currently</w:t>
      </w:r>
      <w:r w:rsidRPr="00B005DF">
        <w:t xml:space="preserve"> before us, at this time we are not satisfied that </w:t>
      </w:r>
      <w:r>
        <w:t>an increase to our equity beta estimate of 0.7 will better contribute to the achievement of the ARORO</w:t>
      </w:r>
      <w:r w:rsidRPr="00762AAF">
        <w:t xml:space="preserve"> </w:t>
      </w:r>
      <w:r>
        <w:t>and the NEO.</w:t>
      </w:r>
      <w:r>
        <w:rPr>
          <w:rStyle w:val="FootnoteReference"/>
        </w:rPr>
        <w:footnoteReference w:id="232"/>
      </w:r>
    </w:p>
    <w:p w:rsidR="00A24DED" w:rsidRPr="00A24DED" w:rsidRDefault="00A24DED" w:rsidP="00CC7A1C">
      <w:pPr>
        <w:pStyle w:val="Caption"/>
        <w:numPr>
          <w:ilvl w:val="0"/>
          <w:numId w:val="24"/>
        </w:numPr>
      </w:pPr>
      <w:bookmarkStart w:id="90" w:name="_Ref478718840"/>
      <w:r w:rsidRPr="00A24DED">
        <w:t xml:space="preserve">Table </w:t>
      </w:r>
      <w:fldSimple w:instr=" STYLEREF 1 \s ">
        <w:r w:rsidR="006B4A74">
          <w:rPr>
            <w:noProof/>
          </w:rPr>
          <w:t>3</w:t>
        </w:r>
      </w:fldSimple>
      <w:r w:rsidR="008F29C8">
        <w:noBreakHyphen/>
      </w:r>
      <w:fldSimple w:instr=" SEQ Table \* ARABIC \s 1 ">
        <w:r w:rsidR="006B4A74">
          <w:rPr>
            <w:noProof/>
          </w:rPr>
          <w:t>4</w:t>
        </w:r>
      </w:fldSimple>
      <w:r w:rsidRPr="00A24DED">
        <w:tab/>
      </w:r>
      <w:r>
        <w:t>Issues raised on the estimation of equity beta</w:t>
      </w:r>
      <w:bookmarkEnd w:id="90"/>
    </w:p>
    <w:tbl>
      <w:tblPr>
        <w:tblStyle w:val="AERtable-text0"/>
        <w:tblW w:w="0" w:type="auto"/>
        <w:tblLook w:val="04A0" w:firstRow="1" w:lastRow="0" w:firstColumn="1" w:lastColumn="0" w:noHBand="0" w:noVBand="1"/>
      </w:tblPr>
      <w:tblGrid>
        <w:gridCol w:w="3785"/>
        <w:gridCol w:w="4908"/>
      </w:tblGrid>
      <w:tr w:rsidR="001D4715" w:rsidTr="002656D9">
        <w:trPr>
          <w:cnfStyle w:val="100000000000" w:firstRow="1" w:lastRow="0" w:firstColumn="0" w:lastColumn="0" w:oddVBand="0" w:evenVBand="0" w:oddHBand="0" w:evenHBand="0" w:firstRowFirstColumn="0" w:firstRowLastColumn="0" w:lastRowFirstColumn="0" w:lastRowLastColumn="0"/>
          <w:tblHeader/>
        </w:trPr>
        <w:tc>
          <w:tcPr>
            <w:tcW w:w="0" w:type="auto"/>
          </w:tcPr>
          <w:p w:rsidR="001D4715" w:rsidRPr="001D4715" w:rsidRDefault="001D4715" w:rsidP="001D4715">
            <w:r>
              <w:t>Issue</w:t>
            </w:r>
          </w:p>
        </w:tc>
        <w:tc>
          <w:tcPr>
            <w:tcW w:w="0" w:type="auto"/>
          </w:tcPr>
          <w:p w:rsidR="001D4715" w:rsidRPr="001D4715" w:rsidRDefault="001D4715" w:rsidP="001D4715">
            <w:r>
              <w:t>Our response</w:t>
            </w:r>
          </w:p>
        </w:tc>
      </w:tr>
      <w:tr w:rsidR="001D4715" w:rsidTr="00A164C0">
        <w:tc>
          <w:tcPr>
            <w:tcW w:w="0" w:type="auto"/>
            <w:gridSpan w:val="2"/>
          </w:tcPr>
          <w:p w:rsidR="001D4715" w:rsidRPr="001D4715" w:rsidRDefault="001D4715" w:rsidP="001D4715">
            <w:pPr>
              <w:rPr>
                <w:rStyle w:val="AERtextsize8"/>
              </w:rPr>
            </w:pPr>
            <w:r>
              <w:rPr>
                <w:rStyle w:val="Strong"/>
              </w:rPr>
              <w:t>E</w:t>
            </w:r>
            <w:r w:rsidRPr="001D4715">
              <w:rPr>
                <w:rStyle w:val="Strong"/>
              </w:rPr>
              <w:t>mpirical analysis</w:t>
            </w:r>
          </w:p>
        </w:tc>
      </w:tr>
      <w:tr w:rsidR="001D4715" w:rsidTr="00A164C0">
        <w:trPr>
          <w:cnfStyle w:val="000000010000" w:firstRow="0" w:lastRow="0" w:firstColumn="0" w:lastColumn="0" w:oddVBand="0" w:evenVBand="0" w:oddHBand="0" w:evenHBand="1" w:firstRowFirstColumn="0" w:firstRowLastColumn="0" w:lastRowFirstColumn="0" w:lastRowLastColumn="0"/>
        </w:trPr>
        <w:tc>
          <w:tcPr>
            <w:tcW w:w="0" w:type="auto"/>
          </w:tcPr>
          <w:p w:rsidR="001D4715" w:rsidRPr="001D4715" w:rsidRDefault="001D4715" w:rsidP="001D4715">
            <w:pPr>
              <w:rPr>
                <w:rStyle w:val="AERtextsize8"/>
              </w:rPr>
            </w:pPr>
            <w:r>
              <w:rPr>
                <w:rStyle w:val="AERtextsize8"/>
              </w:rPr>
              <w:t>Our comparator set of Australian energy network firms is too small and results in unreliable equity beta estimates</w:t>
            </w:r>
            <w:r w:rsidRPr="001D4715">
              <w:rPr>
                <w:rStyle w:val="FootnoteReference"/>
              </w:rPr>
              <w:footnoteReference w:id="233"/>
            </w:r>
          </w:p>
        </w:tc>
        <w:tc>
          <w:tcPr>
            <w:tcW w:w="0" w:type="auto"/>
          </w:tcPr>
          <w:p w:rsidR="001D4715" w:rsidRDefault="001D4715" w:rsidP="00CC7A1C">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1D4715" w:rsidRDefault="001D4715" w:rsidP="00CC7A1C">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t>ARORO</w:t>
            </w:r>
            <w:r w:rsidRPr="00DF4B12">
              <w:rPr>
                <w:rStyle w:val="AERtextsize8"/>
              </w:rPr>
              <w:t>.</w:t>
            </w:r>
            <w:r>
              <w:t xml:space="preserve"> The comparator set contains firms with a similar degree of risk as that which applies to AusNet Services'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1D4715" w:rsidRPr="007C153E" w:rsidRDefault="001D4715" w:rsidP="00CC7A1C">
            <w:pPr>
              <w:numPr>
                <w:ilvl w:val="0"/>
                <w:numId w:val="24"/>
              </w:numPr>
              <w:rPr>
                <w:rStyle w:val="AERtextsize8"/>
              </w:rPr>
            </w:pPr>
            <w:r>
              <w:rPr>
                <w:rStyle w:val="AERtextsize8"/>
              </w:rPr>
              <w:t xml:space="preserve">We consider this issue in more detail in section </w:t>
            </w:r>
            <w:r w:rsidR="00884E51">
              <w:rPr>
                <w:rStyle w:val="AERtextsize8"/>
              </w:rPr>
              <w:fldChar w:fldCharType="begin"/>
            </w:r>
            <w:r w:rsidR="00884E51">
              <w:rPr>
                <w:rStyle w:val="AERtextsize8"/>
              </w:rPr>
              <w:instrText xml:space="preserve"> REF _Ref478460051 \r \h </w:instrText>
            </w:r>
            <w:r w:rsidR="00884E51">
              <w:rPr>
                <w:rStyle w:val="AERtextsize8"/>
              </w:rPr>
            </w:r>
            <w:r w:rsidR="00884E51">
              <w:rPr>
                <w:rStyle w:val="AERtextsize8"/>
              </w:rPr>
              <w:fldChar w:fldCharType="separate"/>
            </w:r>
            <w:r w:rsidR="006B4A74">
              <w:rPr>
                <w:rStyle w:val="AERtextsize8"/>
              </w:rPr>
              <w:t>G</w:t>
            </w:r>
            <w:r w:rsidR="00884E51">
              <w:rPr>
                <w:rStyle w:val="AERtextsize8"/>
              </w:rPr>
              <w:fldChar w:fldCharType="end"/>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6B4A74">
              <w:rPr>
                <w:rStyle w:val="AERtextsize8"/>
              </w:rPr>
              <w:t>G.4.2</w:t>
            </w:r>
            <w:r>
              <w:rPr>
                <w:rStyle w:val="AERtextsize8"/>
              </w:rPr>
              <w:fldChar w:fldCharType="end"/>
            </w:r>
            <w:r>
              <w:rPr>
                <w:rStyle w:val="AERtextsize8"/>
              </w:rPr>
              <w:t xml:space="preserve"> of this attachment. We also considered this issue in detail in sections D.2.1, D.2.3, and D.5.1 of Attachment 3 to SAPN' final decision and section G.4 of AusNet Services' final decision for its distribution services. Those reasoning remain relevant.</w:t>
            </w:r>
            <w:r w:rsidR="002E1F4A">
              <w:rPr>
                <w:rStyle w:val="FootnoteReference"/>
              </w:rPr>
              <w:footnoteReference w:id="234"/>
            </w:r>
          </w:p>
        </w:tc>
      </w:tr>
      <w:tr w:rsidR="001D4715" w:rsidTr="002F5AB4">
        <w:tc>
          <w:tcPr>
            <w:tcW w:w="0" w:type="auto"/>
          </w:tcPr>
          <w:p w:rsidR="001D4715" w:rsidRPr="001D4715" w:rsidRDefault="001D4715" w:rsidP="001D4715">
            <w:pPr>
              <w:rPr>
                <w:rStyle w:val="AERtextsize8"/>
              </w:rPr>
            </w:pPr>
          </w:p>
        </w:tc>
        <w:tc>
          <w:tcPr>
            <w:tcW w:w="0" w:type="auto"/>
          </w:tcPr>
          <w:p w:rsidR="001D4715" w:rsidRPr="00A164C0" w:rsidRDefault="001D4715" w:rsidP="00CC7A1C">
            <w:pPr>
              <w:numPr>
                <w:ilvl w:val="0"/>
                <w:numId w:val="24"/>
              </w:numPr>
              <w:rPr>
                <w:rStyle w:val="AERtextsize8"/>
              </w:rPr>
            </w:pPr>
          </w:p>
        </w:tc>
      </w:tr>
      <w:tr w:rsidR="001D4715"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1D4715" w:rsidRPr="001D4715" w:rsidRDefault="001D4715" w:rsidP="001D4715">
            <w:pPr>
              <w:rPr>
                <w:rStyle w:val="AERtextsize8"/>
              </w:rPr>
            </w:pPr>
            <w:r>
              <w:rPr>
                <w:rStyle w:val="AERtextsize8"/>
              </w:rPr>
              <w:t xml:space="preserve">An equity beta estimate </w:t>
            </w:r>
            <w:r w:rsidRPr="001D4715">
              <w:rPr>
                <w:rStyle w:val="AERtextsize8"/>
              </w:rPr>
              <w:t>implied from SFG's construction of the dividend growth model should be used as a cross check on our foundation model equity beta estimate</w:t>
            </w:r>
            <w:r w:rsidRPr="001D4715">
              <w:rPr>
                <w:rStyle w:val="FootnoteReference"/>
              </w:rPr>
              <w:footnoteReference w:id="235"/>
            </w:r>
          </w:p>
        </w:tc>
        <w:tc>
          <w:tcPr>
            <w:tcW w:w="0" w:type="auto"/>
          </w:tcPr>
          <w:p w:rsidR="001D4715" w:rsidRPr="001D4715" w:rsidRDefault="001D4715" w:rsidP="002E1F4A">
            <w:pPr>
              <w:rPr>
                <w:rStyle w:val="AERtextsize8"/>
              </w:rPr>
            </w:pPr>
            <w:r w:rsidRPr="00716187">
              <w:rPr>
                <w:rStyle w:val="AERtextsize8"/>
              </w:rPr>
              <w:t xml:space="preserve">SFG's </w:t>
            </w:r>
            <w:r w:rsidRPr="001D4715">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1D4715">
              <w:t xml:space="preserve"> </w:t>
            </w:r>
            <w:r w:rsidRPr="001D4715">
              <w:rPr>
                <w:rStyle w:val="AERtextsize8"/>
              </w:rPr>
              <w:t xml:space="preserve">weightings in the estimation process. For more detail see sections B.3 and D.5.3 of Attachment 3 to SAPN's final decision and section 3.4.1 of AusNet Services' final decision for its distribution services. </w:t>
            </w:r>
            <w:r w:rsidR="002E1F4A">
              <w:rPr>
                <w:rStyle w:val="FootnoteReference"/>
              </w:rPr>
              <w:footnoteReference w:id="236"/>
            </w:r>
          </w:p>
        </w:tc>
      </w:tr>
      <w:tr w:rsidR="001D4715" w:rsidTr="002F5AB4">
        <w:tc>
          <w:tcPr>
            <w:tcW w:w="0" w:type="auto"/>
          </w:tcPr>
          <w:p w:rsidR="001D4715" w:rsidRPr="001D4715" w:rsidRDefault="001D4715" w:rsidP="001D4715">
            <w:pPr>
              <w:rPr>
                <w:rStyle w:val="AERtextsize8"/>
              </w:rPr>
            </w:pPr>
            <w:r>
              <w:rPr>
                <w:rStyle w:val="AERtextsize8"/>
              </w:rPr>
              <w:t>O</w:t>
            </w:r>
            <w:r w:rsidRPr="001D4715">
              <w:rPr>
                <w:rStyle w:val="AERtextsize8"/>
              </w:rPr>
              <w:t>ur approach is inconsistent with the approach we used to estimate equity beta in the 2009 WACC review because we have selected a different point estimate from the same range</w:t>
            </w:r>
            <w:r w:rsidRPr="001D4715">
              <w:rPr>
                <w:rStyle w:val="FootnoteReference"/>
              </w:rPr>
              <w:footnoteReference w:id="237"/>
            </w:r>
          </w:p>
        </w:tc>
        <w:tc>
          <w:tcPr>
            <w:tcW w:w="0" w:type="auto"/>
          </w:tcPr>
          <w:p w:rsidR="001D4715" w:rsidRPr="001D4715" w:rsidRDefault="001D4715" w:rsidP="001D4715">
            <w:pPr>
              <w:rPr>
                <w:rStyle w:val="AERtextsize8"/>
              </w:rPr>
            </w:pPr>
            <w:r>
              <w:rPr>
                <w:rStyle w:val="AERtextsize8"/>
              </w:rPr>
              <w:t xml:space="preserve">We disagree. </w:t>
            </w:r>
            <w:r w:rsidRPr="001D4715">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1D4715">
              <w:rPr>
                <w:rStyle w:val="FootnoteReference"/>
              </w:rPr>
              <w:footnoteReference w:id="238"/>
            </w:r>
          </w:p>
          <w:p w:rsidR="001D4715" w:rsidRPr="001D4715" w:rsidRDefault="001D4715" w:rsidP="001D4715">
            <w:pPr>
              <w:rPr>
                <w:rStyle w:val="AERtextsize8"/>
              </w:rPr>
            </w:pPr>
            <w:r w:rsidRPr="00C42F32">
              <w:rPr>
                <w:rStyle w:val="AERtextsize8"/>
              </w:rPr>
              <w:t xml:space="preserve"> For more detail see section D.5.2 of Attachment 3 to </w:t>
            </w:r>
            <w:r w:rsidRPr="001D4715">
              <w:rPr>
                <w:rStyle w:val="AERtextsize8"/>
              </w:rPr>
              <w:t>SAPN's final decision.</w:t>
            </w:r>
            <w:r w:rsidR="00543A5B">
              <w:rPr>
                <w:rStyle w:val="FootnoteReference"/>
              </w:rPr>
              <w:footnoteReference w:id="239"/>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Our multi-stage approach to estimating the equity beta</w:t>
            </w:r>
            <w:r w:rsidRPr="00BA1869">
              <w:t xml:space="preserve"> </w:t>
            </w:r>
            <w:r w:rsidRPr="00BA1869">
              <w:rPr>
                <w:rStyle w:val="AERtextsize8"/>
              </w:rPr>
              <w:t>pre-emptively dilutes or eliminates the impact of other relevant evidence</w:t>
            </w:r>
            <w:r w:rsidRPr="00BA1869">
              <w:rPr>
                <w:rStyle w:val="FootnoteReference"/>
              </w:rPr>
              <w:footnoteReference w:id="240"/>
            </w:r>
          </w:p>
        </w:tc>
        <w:tc>
          <w:tcPr>
            <w:tcW w:w="0" w:type="auto"/>
          </w:tcPr>
          <w:p w:rsidR="00BA1869" w:rsidRPr="00BA1869" w:rsidRDefault="00BA1869" w:rsidP="00BA1869">
            <w:pPr>
              <w:rPr>
                <w:rStyle w:val="AERtextsize8"/>
              </w:rPr>
            </w:pPr>
            <w:r>
              <w:rPr>
                <w:rStyle w:val="AERtextsize8"/>
              </w:rPr>
              <w:t>O</w:t>
            </w:r>
            <w:r w:rsidRPr="00BA1869">
              <w:rPr>
                <w:rStyle w:val="AERtextsize8"/>
              </w:rPr>
              <w:t>ur use of relevant material is based on their relative merits (see section D.5.3 of Attachment 3 to SAPN's final decision and section 3.4.1 of AusNet Services' final decision for its distribution services</w:t>
            </w:r>
            <w:r w:rsidRPr="00BA1869">
              <w:t>)</w:t>
            </w:r>
            <w:r w:rsidRPr="00BA1869">
              <w:rPr>
                <w:rStyle w:val="AERtextsize8"/>
              </w:rPr>
              <w:t>.</w:t>
            </w:r>
            <w:r w:rsidR="00543A5B">
              <w:rPr>
                <w:rStyle w:val="FootnoteReference"/>
              </w:rPr>
              <w:footnoteReference w:id="241"/>
            </w:r>
          </w:p>
        </w:tc>
      </w:tr>
      <w:tr w:rsidR="00BA1869" w:rsidTr="002F5AB4">
        <w:tc>
          <w:tcPr>
            <w:tcW w:w="0" w:type="auto"/>
          </w:tcPr>
          <w:p w:rsidR="00BA1869" w:rsidRPr="00BA1869" w:rsidRDefault="00BA1869" w:rsidP="00BA1869">
            <w:pPr>
              <w:rPr>
                <w:rStyle w:val="AERtextsize8"/>
              </w:rPr>
            </w:pPr>
            <w:r>
              <w:rPr>
                <w:rStyle w:val="AERtextsize8"/>
              </w:rPr>
              <w:t xml:space="preserve">Our comparator set should include </w:t>
            </w:r>
            <w:r w:rsidRPr="00BA1869">
              <w:rPr>
                <w:rStyle w:val="AERtextsize8"/>
              </w:rPr>
              <w:t>international energy firms (specifically, 56 US firms) and Australian non-energy infrastructure firms</w:t>
            </w:r>
            <w:r w:rsidRPr="00BA1869">
              <w:rPr>
                <w:rStyle w:val="FootnoteReference"/>
              </w:rPr>
              <w:footnoteReference w:id="242"/>
            </w:r>
          </w:p>
        </w:tc>
        <w:tc>
          <w:tcPr>
            <w:tcW w:w="0" w:type="auto"/>
          </w:tcPr>
          <w:p w:rsidR="00BA1869" w:rsidRPr="00BA1869" w:rsidRDefault="00BA1869" w:rsidP="00BA1869">
            <w:pPr>
              <w:rPr>
                <w:rStyle w:val="AERtextsize8"/>
              </w:rPr>
            </w:pPr>
            <w:r w:rsidRPr="00DF4B12">
              <w:rPr>
                <w:rStyle w:val="AERtextsize8"/>
              </w:rPr>
              <w:t xml:space="preserve">We consider international energy firms are </w:t>
            </w:r>
            <w:r w:rsidRPr="00BA1869">
              <w:rPr>
                <w:rStyle w:val="AERtextsize8"/>
              </w:rPr>
              <w:t xml:space="preserve">unlikely to have a similar degree of risk as AusNet Services (in the provision of regulated services), for several reasons set out in section </w:t>
            </w:r>
            <w:r w:rsidRPr="00BA1869">
              <w:rPr>
                <w:rStyle w:val="AERtextsize8"/>
              </w:rPr>
              <w:fldChar w:fldCharType="begin"/>
            </w:r>
            <w:r w:rsidRPr="00BA1869">
              <w:rPr>
                <w:rStyle w:val="AERtextsize8"/>
              </w:rPr>
              <w:instrText xml:space="preserve"> REF _Ref446254445 \r \h </w:instrText>
            </w:r>
            <w:r w:rsidRPr="00BA1869">
              <w:rPr>
                <w:rStyle w:val="AERtextsize8"/>
              </w:rPr>
            </w:r>
            <w:r w:rsidRPr="00BA1869">
              <w:rPr>
                <w:rStyle w:val="AERtextsize8"/>
              </w:rPr>
              <w:fldChar w:fldCharType="separate"/>
            </w:r>
            <w:r w:rsidR="006B4A74">
              <w:rPr>
                <w:rStyle w:val="AERtextsize8"/>
              </w:rPr>
              <w:t>G.4.3</w:t>
            </w:r>
            <w:r w:rsidRPr="00BA1869">
              <w:rPr>
                <w:rStyle w:val="AERtextsize8"/>
              </w:rPr>
              <w:fldChar w:fldCharType="end"/>
            </w:r>
            <w:r w:rsidRPr="00BA1869">
              <w:rPr>
                <w:rStyle w:val="AERtextsize8"/>
              </w:rPr>
              <w:t xml:space="preserve"> of this attachment. We also considered this issue in detail in section D.2.1 of Attachment 3 to SAPN's final decision.</w:t>
            </w:r>
            <w:r w:rsidR="00543A5B">
              <w:rPr>
                <w:rStyle w:val="FootnoteReference"/>
              </w:rPr>
              <w:footnoteReference w:id="243"/>
            </w:r>
            <w:r w:rsidRPr="00BA1869">
              <w:rPr>
                <w:rStyle w:val="CommentReference"/>
              </w:rPr>
              <w:t xml:space="preserve"> </w:t>
            </w:r>
          </w:p>
          <w:p w:rsidR="00BA1869" w:rsidRPr="00BA1869" w:rsidRDefault="00BA1869" w:rsidP="00BA1869">
            <w:pPr>
              <w:rPr>
                <w:rStyle w:val="AERtextsize8"/>
              </w:rPr>
            </w:pPr>
            <w:r>
              <w:rPr>
                <w:rStyle w:val="AERtextsize8"/>
              </w:rPr>
              <w:t>W</w:t>
            </w:r>
            <w:r w:rsidRPr="00BA1869">
              <w:rPr>
                <w:rStyle w:val="AERtextsize8"/>
              </w:rPr>
              <w:t xml:space="preserve">e also consider other (Australian) infrastructure firms are not suitable comparators to the benchmark efficient entity in this case, for several reasons set out in section </w:t>
            </w:r>
            <w:r w:rsidRPr="00BA1869">
              <w:rPr>
                <w:rStyle w:val="AERtextsize8"/>
              </w:rPr>
              <w:fldChar w:fldCharType="begin"/>
            </w:r>
            <w:r w:rsidRPr="00BA1869">
              <w:rPr>
                <w:rStyle w:val="AERtextsize8"/>
              </w:rPr>
              <w:instrText xml:space="preserve"> REF _Ref446254437 \r \h </w:instrText>
            </w:r>
            <w:r w:rsidRPr="00BA1869">
              <w:rPr>
                <w:rStyle w:val="AERtextsize8"/>
              </w:rPr>
            </w:r>
            <w:r w:rsidRPr="00BA1869">
              <w:rPr>
                <w:rStyle w:val="AERtextsize8"/>
              </w:rPr>
              <w:fldChar w:fldCharType="separate"/>
            </w:r>
            <w:r w:rsidR="006B4A74">
              <w:rPr>
                <w:rStyle w:val="AERtextsize8"/>
              </w:rPr>
              <w:t>G.4.4</w:t>
            </w:r>
            <w:r w:rsidRPr="00BA1869">
              <w:rPr>
                <w:rStyle w:val="AERtextsize8"/>
              </w:rPr>
              <w:fldChar w:fldCharType="end"/>
            </w:r>
            <w:r w:rsidRPr="00BA1869">
              <w:rPr>
                <w:rStyle w:val="AERtextsize8"/>
              </w:rPr>
              <w:t xml:space="preserve"> of this attachment.</w:t>
            </w:r>
            <w:r w:rsidR="00543A5B">
              <w:rPr>
                <w:rStyle w:val="FootnoteReference"/>
              </w:rPr>
              <w:footnoteReference w:id="244"/>
            </w:r>
            <w:r w:rsidRPr="00BA1869">
              <w:rPr>
                <w:rStyle w:val="AERtextsize8"/>
              </w:rPr>
              <w:t xml:space="preserve"> </w:t>
            </w:r>
          </w:p>
        </w:tc>
      </w:tr>
      <w:tr w:rsidR="00BA1869" w:rsidTr="00A164C0">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w:t>
            </w:r>
            <w:r w:rsidRPr="00BA1869">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BA1869">
              <w:rPr>
                <w:rStyle w:val="FootnoteReference"/>
              </w:rPr>
              <w:footnoteReference w:id="245"/>
            </w:r>
          </w:p>
        </w:tc>
        <w:tc>
          <w:tcPr>
            <w:tcW w:w="0" w:type="auto"/>
          </w:tcPr>
          <w:p w:rsidR="00BA1869" w:rsidRPr="00BA1869" w:rsidRDefault="00BA1869" w:rsidP="00BA1869">
            <w:pPr>
              <w:rPr>
                <w:rStyle w:val="AERtextsize8"/>
              </w:rPr>
            </w:pPr>
            <w:r w:rsidRPr="00245C96">
              <w:rPr>
                <w:rStyle w:val="AERtextsize8"/>
              </w:rPr>
              <w:t>We do not consider our use of the S</w:t>
            </w:r>
            <w:r w:rsidRPr="00BA1869">
              <w:rPr>
                <w:rStyle w:val="AERtextsize8"/>
              </w:rPr>
              <w:t>harpe-Lintner CAPM in our foundation model approach will result in a downward biased estimate of the return on equity.</w:t>
            </w:r>
            <w:r w:rsidRPr="00BA1869">
              <w:t xml:space="preserve"> </w:t>
            </w:r>
            <w:r w:rsidRPr="00BA1869">
              <w:rPr>
                <w:rStyle w:val="AERtextsize8"/>
              </w:rPr>
              <w:t>We provide extensive reasoning for these views in the 'service providers' proposed multi-model approach' subsection in section 3.4.1</w:t>
            </w:r>
            <w:r w:rsidRPr="00BA1869">
              <w:rPr>
                <w:rStyle w:val="AERtextsize8"/>
              </w:rPr>
              <w:fldChar w:fldCharType="begin"/>
            </w:r>
            <w:r w:rsidRPr="00BA1869">
              <w:rPr>
                <w:rStyle w:val="AERtextsize8"/>
              </w:rPr>
              <w:instrText xml:space="preserve"> REF _Ref430958591 \r \h </w:instrText>
            </w:r>
            <w:r w:rsidRPr="00BA1869">
              <w:rPr>
                <w:rStyle w:val="AERtextsize8"/>
              </w:rPr>
            </w:r>
            <w:r w:rsidRPr="00BA1869">
              <w:rPr>
                <w:rStyle w:val="AERtextsize8"/>
              </w:rPr>
              <w:fldChar w:fldCharType="separate"/>
            </w:r>
            <w:r w:rsidR="006B4A74">
              <w:rPr>
                <w:rStyle w:val="AERtextsize8"/>
              </w:rPr>
              <w:t>3.4.1</w:t>
            </w:r>
            <w:r w:rsidRPr="00BA1869">
              <w:rPr>
                <w:rStyle w:val="AERtextsize8"/>
              </w:rPr>
              <w:fldChar w:fldCharType="end"/>
            </w:r>
            <w:r w:rsidRPr="00BA1869">
              <w:rPr>
                <w:rStyle w:val="AERtextsize8"/>
              </w:rPr>
              <w:t xml:space="preserve"> of this attachment. Also see sections </w:t>
            </w:r>
            <w:r w:rsidRPr="00BA1869">
              <w:t>D.5.3, A.2, A.3 of Attachment 3 to SAPN's final decision, and section 3.4.1 and Appendix G of AusNet Services' final decision for its distribution services.</w:t>
            </w:r>
            <w:r w:rsidR="00543A5B">
              <w:rPr>
                <w:rStyle w:val="FootnoteReference"/>
              </w:rPr>
              <w:footnoteReference w:id="246"/>
            </w:r>
          </w:p>
        </w:tc>
      </w:tr>
      <w:tr w:rsidR="00BA1869" w:rsidTr="002F5AB4">
        <w:tc>
          <w:tcPr>
            <w:tcW w:w="0" w:type="auto"/>
          </w:tcPr>
          <w:p w:rsidR="00BA1869" w:rsidRPr="00BA1869" w:rsidRDefault="00BA1869" w:rsidP="00BA1869">
            <w:pPr>
              <w:rPr>
                <w:rStyle w:val="AERtextsize8"/>
              </w:rPr>
            </w:pPr>
            <w:r>
              <w:rPr>
                <w:rStyle w:val="AERtextsize8"/>
              </w:rPr>
              <w:t xml:space="preserve">Our comparator set should not be restricted to regulated entities as the benchmark efficient entity should </w:t>
            </w:r>
            <w:r w:rsidRPr="00BA1869">
              <w:rPr>
                <w:rStyle w:val="AERtextsize8"/>
              </w:rPr>
              <w:t>be defined as an unregulated entity operating in a workably competitive market</w:t>
            </w:r>
            <w:r w:rsidRPr="00BA1869">
              <w:rPr>
                <w:rStyle w:val="FootnoteReference"/>
              </w:rPr>
              <w:footnoteReference w:id="247"/>
            </w:r>
            <w:r w:rsidRPr="00BA1869">
              <w:rPr>
                <w:rStyle w:val="AERtextsize8"/>
              </w:rPr>
              <w:t xml:space="preserve"> </w:t>
            </w:r>
          </w:p>
        </w:tc>
        <w:tc>
          <w:tcPr>
            <w:tcW w:w="0" w:type="auto"/>
          </w:tcPr>
          <w:p w:rsidR="00BA1869" w:rsidRPr="00BA1869" w:rsidRDefault="00BA1869" w:rsidP="00543A5B">
            <w:pPr>
              <w:rPr>
                <w:rStyle w:val="AERtextsize8"/>
              </w:rPr>
            </w:pPr>
            <w:r w:rsidRPr="00FB32AD">
              <w:rPr>
                <w:rStyle w:val="AERtextsize8"/>
              </w:rPr>
              <w:t>We do not agree</w:t>
            </w:r>
            <w:r w:rsidRPr="00BA1869">
              <w:rPr>
                <w:rStyle w:val="AERtextsize8"/>
              </w:rPr>
              <w:t xml:space="preserve">. </w:t>
            </w:r>
            <w:r w:rsidRPr="00BA1869">
              <w:t>We consider the regulatory framework for the provision of prescribed transmission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Our comparator set should exclude firms that are less comparable to the benchmark efficient </w:t>
            </w:r>
            <w:r w:rsidRPr="00BA1869">
              <w:rPr>
                <w:rStyle w:val="AERtextsize8"/>
              </w:rPr>
              <w:t>entity (e.g. have a low proportion of regulated assets)</w:t>
            </w:r>
            <w:r w:rsidRPr="00BA1869">
              <w:rPr>
                <w:rStyle w:val="FootnoteReference"/>
              </w:rPr>
              <w:footnoteReference w:id="248"/>
            </w:r>
          </w:p>
        </w:tc>
        <w:tc>
          <w:tcPr>
            <w:tcW w:w="0" w:type="auto"/>
          </w:tcPr>
          <w:p w:rsidR="00BA1869" w:rsidRPr="00BA1869" w:rsidRDefault="00BA1869" w:rsidP="00BA1869">
            <w:pPr>
              <w:rPr>
                <w:rStyle w:val="AERtextsize8"/>
              </w:rPr>
            </w:pPr>
            <w:r w:rsidRPr="00FB32AD">
              <w:rPr>
                <w:rStyle w:val="AERtextsize8"/>
              </w:rPr>
              <w:t>We are satisfied</w:t>
            </w:r>
            <w:r w:rsidRPr="00BA1869">
              <w:rPr>
                <w:rStyle w:val="AERtextsize8"/>
              </w:rPr>
              <w:t xml:space="preserve"> at this time that our comparator set is sufficiently reflective of the benchmark efficient entity, given the trade-off between increased statistical precision from a larger comparator set and comparability of the firms to the benchmark efficient entity. For more detail, see section D.2.1 of Attachment 3 to SAPN's final decision and Appendix G of Attachment 3 to AusNet Services' final decision for its distribution services.</w:t>
            </w:r>
            <w:r w:rsidR="00543A5B">
              <w:rPr>
                <w:rStyle w:val="FootnoteReference"/>
              </w:rPr>
              <w:footnoteReference w:id="249"/>
            </w:r>
          </w:p>
        </w:tc>
      </w:tr>
      <w:tr w:rsidR="00BA1869" w:rsidTr="002F5AB4">
        <w:tc>
          <w:tcPr>
            <w:tcW w:w="0" w:type="auto"/>
          </w:tcPr>
          <w:p w:rsidR="00BA1869" w:rsidRPr="00BA1869" w:rsidRDefault="00BA1869" w:rsidP="00BA1869">
            <w:pPr>
              <w:rPr>
                <w:rStyle w:val="AERtextsize8"/>
              </w:rPr>
            </w:pPr>
            <w:r>
              <w:rPr>
                <w:rStyle w:val="AERtextsize8"/>
              </w:rPr>
              <w:t xml:space="preserve">Our comparator set should exclude delisted </w:t>
            </w:r>
            <w:r w:rsidRPr="00BA1869">
              <w:rPr>
                <w:rStyle w:val="AERtextsize8"/>
              </w:rPr>
              <w:t>firms whose data are outdated</w:t>
            </w:r>
            <w:r w:rsidRPr="00BA1869">
              <w:rPr>
                <w:rStyle w:val="FootnoteReference"/>
              </w:rPr>
              <w:footnoteReference w:id="250"/>
            </w:r>
          </w:p>
        </w:tc>
        <w:tc>
          <w:tcPr>
            <w:tcW w:w="0" w:type="auto"/>
          </w:tcPr>
          <w:p w:rsidR="00BA1869" w:rsidRPr="00BA1869" w:rsidRDefault="00BA1869" w:rsidP="00543A5B">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BA1869">
              <w:t xml:space="preserve">d and GasNet (who only have relevant data to 2006 or 2007). The average estimate from this estimation period is not substantially different from the longer estimation periods (in fact, it is slightly lower, see </w:t>
            </w:r>
            <w:r w:rsidRPr="00BA1869">
              <w:fldChar w:fldCharType="begin"/>
            </w:r>
            <w:r w:rsidRPr="00BA1869">
              <w:instrText xml:space="preserve"> REF _Ref446197185 \h </w:instrText>
            </w:r>
            <w:r w:rsidRPr="00BA1869">
              <w:fldChar w:fldCharType="separate"/>
            </w:r>
            <w:r w:rsidR="006B4A74">
              <w:t xml:space="preserve">Table </w:t>
            </w:r>
            <w:r w:rsidR="006B4A74">
              <w:rPr>
                <w:noProof/>
              </w:rPr>
              <w:t>3</w:t>
            </w:r>
            <w:r w:rsidR="006B4A74">
              <w:noBreakHyphen/>
            </w:r>
            <w:r w:rsidR="006B4A74">
              <w:rPr>
                <w:noProof/>
              </w:rPr>
              <w:t>31</w:t>
            </w:r>
            <w:r w:rsidRPr="00BA1869">
              <w:fldChar w:fldCharType="end"/>
            </w:r>
            <w:r w:rsidRPr="00BA1869">
              <w:t xml:space="preserve">). The two most recent portfolios we consider (P4 and P5) also provide estimates that are, overall, not substantially different from the portfolios that include older data (see </w:t>
            </w:r>
            <w:r w:rsidR="00543A5B" w:rsidRPr="00543A5B">
              <w:fldChar w:fldCharType="begin"/>
            </w:r>
            <w:r w:rsidR="00543A5B" w:rsidRPr="00543A5B">
              <w:instrText xml:space="preserve"> REF _Ref446197185 \h </w:instrText>
            </w:r>
            <w:r w:rsidR="00543A5B" w:rsidRPr="00543A5B">
              <w:fldChar w:fldCharType="separate"/>
            </w:r>
            <w:r w:rsidR="006B4A74">
              <w:t xml:space="preserve">Table </w:t>
            </w:r>
            <w:r w:rsidR="006B4A74">
              <w:rPr>
                <w:noProof/>
              </w:rPr>
              <w:t>3</w:t>
            </w:r>
            <w:r w:rsidR="006B4A74">
              <w:noBreakHyphen/>
            </w:r>
            <w:r w:rsidR="006B4A74">
              <w:rPr>
                <w:noProof/>
              </w:rPr>
              <w:t>31</w:t>
            </w:r>
            <w:r w:rsidR="00543A5B" w:rsidRPr="00543A5B">
              <w:fldChar w:fldCharType="end"/>
            </w:r>
            <w:r w:rsidRPr="00BA1869">
              <w:t>). We consider these results suggest that including older data in our empirical analysis (which increases the size of our dataset) does not bias the results.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The </w:t>
            </w:r>
            <w:r w:rsidRPr="00BA1869">
              <w:rPr>
                <w:rStyle w:val="AERtextsize8"/>
              </w:rPr>
              <w:t>Least Absolute Deviations (LAD) estimation method produces systematically downward biased equity beta estimates and should not be used</w:t>
            </w:r>
            <w:r w:rsidRPr="00BA1869">
              <w:rPr>
                <w:rStyle w:val="FootnoteReference"/>
              </w:rPr>
              <w:footnoteReference w:id="251"/>
            </w:r>
          </w:p>
        </w:tc>
        <w:tc>
          <w:tcPr>
            <w:tcW w:w="0" w:type="auto"/>
          </w:tcPr>
          <w:p w:rsidR="00BA1869" w:rsidRPr="00BA1869" w:rsidRDefault="00BA1869" w:rsidP="00543A5B">
            <w:pPr>
              <w:rPr>
                <w:rStyle w:val="AERtextsize8"/>
              </w:rPr>
            </w:pPr>
            <w:r>
              <w:t>We are not satisfied that SFG has produced compelling evidence to infer the LAD estimator produces systematically downward biased estimates of equity beta.</w:t>
            </w:r>
            <w:r w:rsidRPr="00BA1869">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BA1869">
              <w:rPr>
                <w:rStyle w:val="AERtextsize8"/>
              </w:rPr>
              <w:t>We considered this issue in section D.2.2 of Attachment 3 to SAPN's final decision and sections 3.4.1 and G.1 of Attachment 3 to AusNet Services' final decision for its distribution services. Those reasoning remain relevant.</w:t>
            </w:r>
            <w:r w:rsidR="00543A5B">
              <w:rPr>
                <w:rStyle w:val="FootnoteReference"/>
              </w:rPr>
              <w:footnoteReference w:id="252"/>
            </w:r>
          </w:p>
        </w:tc>
      </w:tr>
      <w:tr w:rsidR="00BA1869" w:rsidTr="002F5AB4">
        <w:tc>
          <w:tcPr>
            <w:tcW w:w="0" w:type="auto"/>
          </w:tcPr>
          <w:p w:rsidR="00BA1869" w:rsidRPr="00BA1869" w:rsidRDefault="00BA1869" w:rsidP="00BA1869">
            <w:pPr>
              <w:rPr>
                <w:rStyle w:val="AERtextsize8"/>
              </w:rPr>
            </w:pPr>
            <w:r>
              <w:rPr>
                <w:rStyle w:val="AERtextsize8"/>
              </w:rPr>
              <w:t>The mining boom should be excluded from the estimation periods</w:t>
            </w:r>
            <w:r w:rsidRPr="00BA1869">
              <w:rPr>
                <w:rStyle w:val="FootnoteReference"/>
              </w:rPr>
              <w:footnoteReference w:id="253"/>
            </w:r>
          </w:p>
        </w:tc>
        <w:tc>
          <w:tcPr>
            <w:tcW w:w="0" w:type="auto"/>
          </w:tcPr>
          <w:p w:rsidR="00BA1869" w:rsidRPr="00BA1869" w:rsidRDefault="00BA1869" w:rsidP="00543A5B">
            <w:pPr>
              <w:rPr>
                <w:rStyle w:val="AERtextsize8"/>
              </w:rPr>
            </w:pPr>
            <w:r>
              <w:rPr>
                <w:rStyle w:val="AERtextsize8"/>
              </w:rPr>
              <w:t>W</w:t>
            </w:r>
            <w:r w:rsidRPr="00BA1869">
              <w:rPr>
                <w:rStyle w:val="AERtextsize8"/>
              </w:rPr>
              <w:t>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w:t>
            </w:r>
            <w:r w:rsidR="00543A5B">
              <w:rPr>
                <w:rStyle w:val="FootnoteReference"/>
              </w:rPr>
              <w:footnoteReference w:id="254"/>
            </w:r>
            <w:r w:rsidRPr="00BA1869">
              <w:rPr>
                <w:rStyle w:val="AERtextsize8"/>
              </w:rPr>
              <w:t xml:space="preserve"> For more detail see section D.2.2 of Attachment 3 to SAPN's final decision.</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We do not </w:t>
            </w:r>
            <w:r w:rsidRPr="00BA1869">
              <w:rPr>
                <w:rStyle w:val="AERtextsize8"/>
              </w:rPr>
              <w:t>account for variation in equity beta estimates based on how the return interval is defined (in particular, what reference day is chosen to calculate weekly or monthly returns)</w:t>
            </w:r>
            <w:r w:rsidRPr="00BA1869">
              <w:rPr>
                <w:rStyle w:val="FootnoteReference"/>
              </w:rPr>
              <w:footnoteReference w:id="255"/>
            </w:r>
          </w:p>
        </w:tc>
        <w:tc>
          <w:tcPr>
            <w:tcW w:w="0" w:type="auto"/>
          </w:tcPr>
          <w:p w:rsidR="00BA1869" w:rsidRPr="00BA1869" w:rsidRDefault="00BA1869" w:rsidP="00BA1869">
            <w:pPr>
              <w:rPr>
                <w:rStyle w:val="AERtextsize8"/>
              </w:rPr>
            </w:pPr>
            <w:r w:rsidRPr="00F62774">
              <w:rPr>
                <w:rStyle w:val="AERtextsize8"/>
              </w:rPr>
              <w:t xml:space="preserve">We do not consider that SFG has provided any basis to expect that returns based </w:t>
            </w:r>
            <w:r w:rsidRPr="00BA1869">
              <w:rPr>
                <w:rStyle w:val="AERtextsize8"/>
              </w:rPr>
              <w:t>on a particular day of the week will underestimate or overestimate equity beta for the benchmark efficient entity.</w:t>
            </w:r>
            <w:r w:rsidR="00543A5B">
              <w:rPr>
                <w:rStyle w:val="FootnoteReference"/>
              </w:rPr>
              <w:footnoteReference w:id="256"/>
            </w:r>
            <w:r w:rsidRPr="00BA1869">
              <w:rPr>
                <w:rStyle w:val="AERtextsize8"/>
              </w:rPr>
              <w:t xml:space="preserve"> For more detail see section D.2.2 of Attachment 3 to SAPN's final decision and section 3.4.1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Only re-levered equity beta estimates should be relied on</w:t>
            </w:r>
            <w:r w:rsidRPr="00BA1869">
              <w:rPr>
                <w:rStyle w:val="FootnoteReference"/>
              </w:rPr>
              <w:footnoteReference w:id="257"/>
            </w:r>
          </w:p>
        </w:tc>
        <w:tc>
          <w:tcPr>
            <w:tcW w:w="0" w:type="auto"/>
          </w:tcPr>
          <w:p w:rsidR="00BA1869" w:rsidRPr="00BA1869" w:rsidRDefault="00BA1869" w:rsidP="00BA1869">
            <w:pPr>
              <w:rPr>
                <w:rStyle w:val="AERtextsize8"/>
              </w:rPr>
            </w:pPr>
            <w:r>
              <w:rPr>
                <w:rStyle w:val="AERtextsize8"/>
              </w:rPr>
              <w:t xml:space="preserve">We consider </w:t>
            </w:r>
            <w:r w:rsidRPr="00BA1869">
              <w:rPr>
                <w:rStyle w:val="AERtextsize8"/>
              </w:rPr>
              <w:t>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w:t>
            </w:r>
            <w:r w:rsidR="00543A5B">
              <w:rPr>
                <w:rStyle w:val="FootnoteReference"/>
              </w:rPr>
              <w:footnoteReference w:id="258"/>
            </w:r>
            <w:r w:rsidRPr="00BA1869">
              <w:rPr>
                <w:rStyle w:val="AERtextsize8"/>
              </w:rPr>
              <w:t xml:space="preserve"> For more detail see sections D.2.2 and D.3 of Attachment 3 to SAPN's final decision and section 3.4.1 of Attachment 3 in AusNet Services' final decision for its distribution services. Partington and Satchell also advised that re-levering equity betas is problematic.</w:t>
            </w:r>
            <w:r w:rsidRPr="00BA1869">
              <w:rPr>
                <w:rStyle w:val="FootnoteReference"/>
              </w:rPr>
              <w:footnoteReference w:id="259"/>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Averages of individual firm estimates are largely meaningless</w:t>
            </w:r>
            <w:r w:rsidRPr="00BA1869">
              <w:rPr>
                <w:rStyle w:val="FootnoteReference"/>
              </w:rPr>
              <w:footnoteReference w:id="260"/>
            </w:r>
            <w:r w:rsidRPr="00BA1869">
              <w:rPr>
                <w:rStyle w:val="AERtextsize8"/>
              </w:rPr>
              <w:t xml:space="preserve"> </w:t>
            </w:r>
          </w:p>
        </w:tc>
        <w:tc>
          <w:tcPr>
            <w:tcW w:w="0" w:type="auto"/>
          </w:tcPr>
          <w:p w:rsidR="00BA1869" w:rsidRPr="00BA1869" w:rsidRDefault="00BA1869" w:rsidP="00BA1869">
            <w:pPr>
              <w:rPr>
                <w:rStyle w:val="AERtextsize8"/>
              </w:rPr>
            </w:pPr>
            <w:r w:rsidRPr="00B14F38">
              <w:rPr>
                <w:rStyle w:val="AERtextsize8"/>
              </w:rPr>
              <w:t xml:space="preserve">Because no one comparator firm is perfectly reflective of </w:t>
            </w:r>
            <w:r w:rsidRPr="00BA1869">
              <w:rPr>
                <w:rStyle w:val="AERtextsize8"/>
              </w:rPr>
              <w:t>a benchmark efficient entity with a similar degree of risk as that which applies to AusNet Services in providing regulated services, we rely on averages of individual firm estimates to determine an equity beta range. SFG, Frontier Economics, CEG and NERA, in their reports for several service providers, also rely on averages of individual firm estimates.</w:t>
            </w:r>
            <w:r w:rsidRPr="00BA1869">
              <w:rPr>
                <w:rStyle w:val="FootnoteReference"/>
              </w:rPr>
              <w:footnoteReference w:id="261"/>
            </w:r>
            <w:r w:rsidRPr="00BA1869">
              <w:rPr>
                <w:rStyle w:val="AERtextsize8"/>
              </w:rPr>
              <w:t xml:space="preserve"> For more detail see section D.2.2 of Attachment 3 to SAPN's final decision and section 3.4.1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The basis of the portfolio formations in Henry's 2014 report is unclear</w:t>
            </w:r>
            <w:r w:rsidRPr="00BA1869">
              <w:rPr>
                <w:rStyle w:val="FootnoteReference"/>
              </w:rPr>
              <w:footnoteReference w:id="262"/>
            </w:r>
          </w:p>
        </w:tc>
        <w:tc>
          <w:tcPr>
            <w:tcW w:w="0" w:type="auto"/>
          </w:tcPr>
          <w:p w:rsidR="00BA1869" w:rsidRPr="00BA1869" w:rsidRDefault="003707F4" w:rsidP="00BA1869">
            <w:pPr>
              <w:rPr>
                <w:rStyle w:val="AERtextsize8"/>
              </w:rPr>
            </w:pPr>
            <w:r>
              <w:rPr>
                <w:rStyle w:val="AERtextsize8"/>
              </w:rPr>
              <w:t>W</w:t>
            </w:r>
            <w:r w:rsidR="00B556DC">
              <w:rPr>
                <w:rStyle w:val="AERtextsize8"/>
              </w:rPr>
              <w:t>e consider e</w:t>
            </w:r>
            <w:r w:rsidR="00BA1869" w:rsidRPr="00B428B6">
              <w:rPr>
                <w:rStyle w:val="AERtextsize8"/>
              </w:rPr>
              <w:t xml:space="preserve">ach firm </w:t>
            </w:r>
            <w:r w:rsidR="00BA1869" w:rsidRPr="00BA1869">
              <w:rPr>
                <w:rStyle w:val="AERtextsize8"/>
              </w:rPr>
              <w:t xml:space="preserve">in a particular portfolio </w:t>
            </w:r>
            <w:r w:rsidR="00B556DC">
              <w:rPr>
                <w:rStyle w:val="AERtextsize8"/>
              </w:rPr>
              <w:t>should</w:t>
            </w:r>
            <w:r w:rsidR="00BA1869" w:rsidRPr="00BA1869">
              <w:rPr>
                <w:rStyle w:val="AERtextsize8"/>
              </w:rPr>
              <w:t xml:space="preserve"> have returns data over the same period. For example, we </w:t>
            </w:r>
            <w:r w:rsidR="00B556DC">
              <w:rPr>
                <w:rStyle w:val="AERtextsize8"/>
              </w:rPr>
              <w:t xml:space="preserve">consider you should </w:t>
            </w:r>
            <w:r w:rsidR="00BA1869" w:rsidRPr="00BA1869">
              <w:rPr>
                <w:rStyle w:val="AERtextsize8"/>
              </w:rPr>
              <w:t>not include a firm with data from 2000 to 2007 in a portfolio with another firm with data from 2005 to 2013. A portfolio can only be formed in this scenario if common data from 2005 to 2007 is used.</w:t>
            </w:r>
          </w:p>
          <w:p w:rsidR="00BA1869" w:rsidRPr="00BA1869" w:rsidRDefault="00BA1869" w:rsidP="00BA1869">
            <w:pPr>
              <w:rPr>
                <w:rStyle w:val="AERtextsize8"/>
              </w:rPr>
            </w:pPr>
            <w:r>
              <w:rPr>
                <w:rStyle w:val="AERtextsize8"/>
              </w:rPr>
              <w:t>T</w:t>
            </w:r>
            <w:r w:rsidRPr="00BA1869">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BA1869">
              <w:rPr>
                <w:rStyle w:val="FootnoteReference"/>
              </w:rPr>
              <w:footnoteReference w:id="263"/>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The Vasicek adjustment mitigates systematic estimation error</w:t>
            </w:r>
            <w:r w:rsidRPr="00BA1869">
              <w:rPr>
                <w:rStyle w:val="FootnoteReference"/>
              </w:rPr>
              <w:footnoteReference w:id="264"/>
            </w:r>
          </w:p>
        </w:tc>
        <w:tc>
          <w:tcPr>
            <w:tcW w:w="0" w:type="auto"/>
          </w:tcPr>
          <w:p w:rsidR="00BA1869" w:rsidRPr="00BA1869" w:rsidRDefault="00BA1869" w:rsidP="00BA1869">
            <w:pPr>
              <w:rPr>
                <w:rStyle w:val="AERtextsize8"/>
              </w:rPr>
            </w:pPr>
            <w:r w:rsidRPr="00A357BE">
              <w:rPr>
                <w:rStyle w:val="AERtextsize8"/>
              </w:rPr>
              <w:t xml:space="preserve">We do not apply </w:t>
            </w:r>
            <w:r w:rsidRPr="00BA1869">
              <w:rPr>
                <w:rStyle w:val="AERtextsize8"/>
              </w:rPr>
              <w:t>a Vasicek adjustment. We note that SFG has applied the Vasicek adjustment in their beta estimates however report that this makes less difference due to the increasing size of the data set.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w:t>
            </w:r>
            <w:r w:rsidR="00543A5B">
              <w:rPr>
                <w:rStyle w:val="FootnoteReference"/>
              </w:rPr>
              <w:footnoteReference w:id="265"/>
            </w:r>
            <w:r w:rsidRPr="00BA1869">
              <w:rPr>
                <w:rStyle w:val="AERtextsize8"/>
              </w:rPr>
              <w:t xml:space="preserve"> For more detail see section D.2.2 of Attachment 3 to SAPN's final decision.</w:t>
            </w:r>
          </w:p>
        </w:tc>
      </w:tr>
      <w:tr w:rsidR="00BA1869" w:rsidTr="002F5AB4">
        <w:tc>
          <w:tcPr>
            <w:tcW w:w="0" w:type="auto"/>
          </w:tcPr>
          <w:p w:rsidR="00BA1869" w:rsidRPr="00BA1869" w:rsidRDefault="00BA1869" w:rsidP="00BA1869">
            <w:pPr>
              <w:rPr>
                <w:rStyle w:val="AERtextsize8"/>
              </w:rPr>
            </w:pPr>
            <w:r w:rsidRPr="001D4715">
              <w:t xml:space="preserve">CEG compared its estimates with the 'Raw beta' from Bloomberg’s 'Historical Beta' field and found that its estimates are consistent with the figures from Bloomberg based on Henry’s sample and benchmark index </w:t>
            </w:r>
            <w:r w:rsidRPr="00BA1869">
              <w:rPr>
                <w:rStyle w:val="FootnoteReference"/>
              </w:rPr>
              <w:footnoteReference w:id="266"/>
            </w:r>
          </w:p>
        </w:tc>
        <w:tc>
          <w:tcPr>
            <w:tcW w:w="0" w:type="auto"/>
          </w:tcPr>
          <w:p w:rsidR="00BA1869" w:rsidRPr="00BA1869" w:rsidRDefault="00BA1869" w:rsidP="00BA1869">
            <w:pPr>
              <w:rPr>
                <w:rStyle w:val="AERtextsize8"/>
              </w:rPr>
            </w:pPr>
            <w:r w:rsidRPr="003379AF">
              <w:rPr>
                <w:rStyle w:val="AERtextsize8"/>
              </w:rPr>
              <w:t xml:space="preserve">CEG </w:t>
            </w:r>
            <w:r w:rsidRPr="00BA1869">
              <w:rPr>
                <w:rStyle w:val="AERtextsize8"/>
              </w:rPr>
              <w:t xml:space="preserve">was not able to completely replicated Henry’s 2014 estimations. </w:t>
            </w:r>
            <w:r w:rsidR="00FB3200">
              <w:rPr>
                <w:rStyle w:val="AERtextsize8"/>
              </w:rPr>
              <w:t>I</w:t>
            </w:r>
            <w:r w:rsidRPr="00BA1869">
              <w:rPr>
                <w:rStyle w:val="AERtextsize8"/>
              </w:rPr>
              <w:t>t</w:t>
            </w:r>
            <w:r w:rsidR="00FB3200">
              <w:rPr>
                <w:rStyle w:val="AERtextsize8"/>
              </w:rPr>
              <w:t xml:space="preserve"> has</w:t>
            </w:r>
            <w:r w:rsidRPr="00BA1869">
              <w:rPr>
                <w:rStyle w:val="AERtextsize8"/>
              </w:rPr>
              <w:t xml:space="preserve"> acknowledged that this is due to gearing estimates.</w:t>
            </w:r>
            <w:r w:rsidRPr="00BA1869">
              <w:rPr>
                <w:rStyle w:val="FootnoteReference"/>
              </w:rPr>
              <w:footnoteReference w:id="267"/>
            </w:r>
          </w:p>
          <w:p w:rsidR="00BA1869" w:rsidRPr="00BA1869" w:rsidRDefault="00BA1869" w:rsidP="00BA1869">
            <w:pPr>
              <w:rPr>
                <w:rStyle w:val="AERtextsize8"/>
              </w:rPr>
            </w:pPr>
            <w:r w:rsidRPr="003379AF">
              <w:rPr>
                <w:rStyle w:val="AERtextsize8"/>
              </w:rPr>
              <w:t>Once the differences between CEG replication and Henry 2014 estimations is accounted for the difference between CEG extension and Henry 2014 results is not significant</w:t>
            </w:r>
            <w:r w:rsidRPr="00BA1869">
              <w:rPr>
                <w:rStyle w:val="AERtextsize8"/>
              </w:rPr>
              <w:t>.  We do not take a mechanistic approach to the estimation of beta.  There are other factors that require consideration in CEG’s report for example. whether the difference is due to higher gearing or whether there may be other explanations for changes in systematic risk.</w:t>
            </w:r>
          </w:p>
          <w:p w:rsidR="00BA1869" w:rsidRPr="00BA1869" w:rsidRDefault="00BA1869" w:rsidP="00BA1869">
            <w:pPr>
              <w:rPr>
                <w:rStyle w:val="AERtextsize8"/>
              </w:rPr>
            </w:pPr>
            <w:r w:rsidRPr="003379AF">
              <w:rPr>
                <w:rStyle w:val="AERtextsize8"/>
              </w:rPr>
              <w:t xml:space="preserve">We discuss in more detail in appendix </w:t>
            </w:r>
            <w:r w:rsidRPr="00BA1869">
              <w:rPr>
                <w:rStyle w:val="AERtextsize8"/>
              </w:rPr>
              <w:t>G</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Strong"/>
              </w:rPr>
            </w:pPr>
            <w:r w:rsidRPr="007353C8">
              <w:rPr>
                <w:rStyle w:val="Strong"/>
              </w:rPr>
              <w:t>Australian empirical estimates</w:t>
            </w:r>
          </w:p>
        </w:tc>
        <w:tc>
          <w:tcPr>
            <w:tcW w:w="0" w:type="auto"/>
          </w:tcPr>
          <w:p w:rsidR="00BA1869" w:rsidRDefault="00BA1869" w:rsidP="00BA1869">
            <w:pPr>
              <w:rPr>
                <w:rStyle w:val="AERtextsize8"/>
              </w:rPr>
            </w:pPr>
          </w:p>
        </w:tc>
      </w:tr>
      <w:tr w:rsidR="00BA1869" w:rsidTr="002F5AB4">
        <w:tc>
          <w:tcPr>
            <w:tcW w:w="0" w:type="auto"/>
          </w:tcPr>
          <w:p w:rsidR="00BA1869" w:rsidRPr="00BA1869" w:rsidRDefault="00BA1869" w:rsidP="00BA1869">
            <w:pPr>
              <w:rPr>
                <w:rStyle w:val="AERtextsize8"/>
              </w:rPr>
            </w:pPr>
            <w:r>
              <w:rPr>
                <w:rStyle w:val="AERtextsize8"/>
              </w:rPr>
              <w:t>Our range derived from Australian empirical estimates (0.4 to 0.7) is incorrect and inconsistent with Henry's 2014 report</w:t>
            </w:r>
            <w:r w:rsidRPr="00BA1869">
              <w:rPr>
                <w:rStyle w:val="FootnoteReference"/>
              </w:rPr>
              <w:footnoteReference w:id="268"/>
            </w:r>
          </w:p>
        </w:tc>
        <w:tc>
          <w:tcPr>
            <w:tcW w:w="0" w:type="auto"/>
          </w:tcPr>
          <w:p w:rsidR="00BA1869" w:rsidRPr="00BA1869" w:rsidRDefault="00BA1869" w:rsidP="00BA1869">
            <w:pPr>
              <w:rPr>
                <w:rStyle w:val="AERtextsize8"/>
              </w:rPr>
            </w:pPr>
            <w:r>
              <w:rPr>
                <w:rStyle w:val="AERtextsize8"/>
              </w:rPr>
              <w:t xml:space="preserve">We recognise </w:t>
            </w:r>
            <w:r w:rsidRPr="00BA1869">
              <w:rPr>
                <w:rStyle w:val="AERtextsize8"/>
              </w:rPr>
              <w:t>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w:t>
            </w:r>
            <w:r w:rsidR="00543A5B">
              <w:rPr>
                <w:rStyle w:val="FootnoteReference"/>
              </w:rPr>
              <w:footnoteReference w:id="269"/>
            </w:r>
            <w:r w:rsidRPr="00BA1869">
              <w:rPr>
                <w:rStyle w:val="AERtextsize8"/>
              </w:rPr>
              <w:t xml:space="preserve"> For more detail see section D.5.1 of Attachment 3 to SAPN's final decision and Appendix G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sidRPr="001D4715">
              <w:rPr>
                <w:rStyle w:val="AERtextsize8"/>
              </w:rPr>
              <w:t>The equity beta estimates in Henry's 2014 report are highly variable and imprecise</w:t>
            </w:r>
            <w:r w:rsidRPr="00BA1869">
              <w:rPr>
                <w:rStyle w:val="FootnoteReference"/>
              </w:rPr>
              <w:footnoteReference w:id="270"/>
            </w:r>
          </w:p>
          <w:p w:rsidR="00BA1869" w:rsidRPr="00BA1869" w:rsidRDefault="00BA1869" w:rsidP="00BA1869">
            <w:pPr>
              <w:rPr>
                <w:rStyle w:val="AERtextsize8"/>
              </w:rPr>
            </w:pPr>
            <w:r>
              <w:rPr>
                <w:rStyle w:val="AERtextsize8"/>
              </w:rPr>
              <w:t>Other stakeholders submit that t</w:t>
            </w:r>
            <w:r w:rsidRPr="00BA1869">
              <w:rPr>
                <w:rStyle w:val="AERtextsize8"/>
              </w:rPr>
              <w:t>he equity beta estimates in Henry's 2014 report are clustered around a range of 0.3 to 0.5</w:t>
            </w:r>
            <w:r w:rsidRPr="00BA1869">
              <w:rPr>
                <w:rStyle w:val="FootnoteReference"/>
              </w:rPr>
              <w:footnoteReference w:id="271"/>
            </w:r>
          </w:p>
        </w:tc>
        <w:tc>
          <w:tcPr>
            <w:tcW w:w="0" w:type="auto"/>
          </w:tcPr>
          <w:p w:rsidR="00BA1869" w:rsidRPr="00BA1869" w:rsidRDefault="00BA1869" w:rsidP="00BA1869">
            <w:pPr>
              <w:rPr>
                <w:rStyle w:val="AERtextsize8"/>
              </w:rPr>
            </w:pPr>
            <w:r>
              <w:rPr>
                <w:rStyle w:val="AERtextsize8"/>
              </w:rPr>
              <w:t>Both</w:t>
            </w:r>
            <w:r w:rsidRPr="00BA1869">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SAPN's final decision and sections G.4.1 and G.4.2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 xml:space="preserve">Australian empirical estimates support an equity beta </w:t>
            </w:r>
            <w:r w:rsidRPr="00BA1869">
              <w:rPr>
                <w:rStyle w:val="AERtextsize8"/>
              </w:rPr>
              <w:t>within the range of 0.5 to 0.6</w:t>
            </w:r>
            <w:r w:rsidRPr="00BA1869">
              <w:rPr>
                <w:rStyle w:val="FootnoteReference"/>
              </w:rPr>
              <w:footnoteReference w:id="272"/>
            </w:r>
          </w:p>
        </w:tc>
        <w:tc>
          <w:tcPr>
            <w:tcW w:w="0" w:type="auto"/>
          </w:tcPr>
          <w:p w:rsidR="00BA1869" w:rsidRPr="00BA1869" w:rsidRDefault="00BA1869" w:rsidP="00BA1869">
            <w:pPr>
              <w:rPr>
                <w:rStyle w:val="AERtextsize8"/>
              </w:rPr>
            </w:pPr>
            <w:r>
              <w:rPr>
                <w:rStyle w:val="AERtextsize8"/>
              </w:rPr>
              <w:t>We are satisfied the Australian empirical estimates we consider support an equity beta range of 0.4 to</w:t>
            </w:r>
            <w:r w:rsidRPr="00BA1869">
              <w:rPr>
                <w:rStyle w:val="AERtextsize8"/>
              </w:rPr>
              <w:t xml:space="preserve"> 0.7. Our range is based on averages of individual firm estimates and fixed weight portfolio estimates from Henry's 2014 report. We also consider equity beta estimates from a number of other Australia empirical studies.</w:t>
            </w:r>
            <w:r w:rsidR="00543A5B">
              <w:rPr>
                <w:rStyle w:val="FootnoteReference"/>
              </w:rPr>
              <w:footnoteReference w:id="273"/>
            </w:r>
            <w:r w:rsidRPr="00BA1869">
              <w:rPr>
                <w:rStyle w:val="AERtextsize8"/>
              </w:rPr>
              <w:t xml:space="preserve"> This includes the ERA's 2013 study, which appears to contain the same estimates as the Vo, Mero and Gellard study discussed in the Consumer Challenge Panel's report.</w:t>
            </w:r>
            <w:r w:rsidRPr="00BA1869">
              <w:rPr>
                <w:rStyle w:val="FootnoteReference"/>
              </w:rPr>
              <w:footnoteReference w:id="274"/>
            </w:r>
            <w:r w:rsidRPr="00BA1869">
              <w:rPr>
                <w:rStyle w:val="AERtextsize8"/>
              </w:rPr>
              <w:t xml:space="preserve"> See sections G.1 </w:t>
            </w:r>
            <w:r w:rsidRPr="00BA1869">
              <w:rPr>
                <w:rStyle w:val="AERtextsize8"/>
              </w:rPr>
              <w:fldChar w:fldCharType="begin"/>
            </w:r>
            <w:r w:rsidRPr="00BA1869">
              <w:rPr>
                <w:rStyle w:val="AERtextsize8"/>
              </w:rPr>
              <w:instrText xml:space="preserve"> REF _Ref446255169 \r \h </w:instrText>
            </w:r>
            <w:r w:rsidRPr="00BA1869">
              <w:rPr>
                <w:rStyle w:val="AERtextsize8"/>
              </w:rPr>
            </w:r>
            <w:r w:rsidRPr="00BA1869">
              <w:rPr>
                <w:rStyle w:val="AERtextsize8"/>
              </w:rPr>
              <w:fldChar w:fldCharType="separate"/>
            </w:r>
            <w:r w:rsidR="006B4A74">
              <w:rPr>
                <w:rStyle w:val="AERtextsize8"/>
              </w:rPr>
              <w:t>G.1</w:t>
            </w:r>
            <w:r w:rsidRPr="00BA1869">
              <w:rPr>
                <w:rStyle w:val="AERtextsize8"/>
              </w:rPr>
              <w:fldChar w:fldCharType="end"/>
            </w:r>
            <w:r w:rsidRPr="00BA1869">
              <w:rPr>
                <w:rStyle w:val="AERtextsize8"/>
              </w:rPr>
              <w:t xml:space="preserve"> and G.2.</w:t>
            </w:r>
          </w:p>
          <w:p w:rsidR="00BA1869" w:rsidRPr="00BA1869" w:rsidRDefault="00BA1869" w:rsidP="00BA1869">
            <w:pPr>
              <w:rPr>
                <w:rStyle w:val="AERtextsize8"/>
              </w:rPr>
            </w:pPr>
            <w:r>
              <w:rPr>
                <w:rStyle w:val="AERtextsize8"/>
              </w:rPr>
              <w:t xml:space="preserve">We have regard to other information when selecting our equity beta point estimate from within this range. </w:t>
            </w:r>
            <w:r w:rsidRPr="00BA1869">
              <w:rPr>
                <w:rStyle w:val="AERtextsize8"/>
              </w:rPr>
              <w:t>This includes international empirical estimates and the theoretical principles underpinning the Black CAPM. See section D.5 of Attachment 3 to SAPN's final decision and section G.1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sidRPr="00AD5FDC">
              <w:rPr>
                <w:rStyle w:val="AERtextsize8"/>
              </w:rPr>
              <w:t xml:space="preserve">We have incorrectly analysed the </w:t>
            </w:r>
            <w:r w:rsidRPr="00BA1869">
              <w:rPr>
                <w:rStyle w:val="AERtextsize8"/>
              </w:rPr>
              <w:t>equity beta estimates in Grant Samuel's 2014 independent expert report</w:t>
            </w:r>
            <w:r w:rsidRPr="00BA1869">
              <w:rPr>
                <w:rStyle w:val="FootnoteReference"/>
              </w:rPr>
              <w:footnoteReference w:id="275"/>
            </w:r>
          </w:p>
        </w:tc>
        <w:tc>
          <w:tcPr>
            <w:tcW w:w="0" w:type="auto"/>
          </w:tcPr>
          <w:p w:rsidR="00BA1869" w:rsidRPr="00BA1869" w:rsidRDefault="00BA1869" w:rsidP="00BA1869">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BA1869">
              <w:rPr>
                <w:rStyle w:val="AERtextsize8"/>
              </w:rPr>
              <w:t>.</w:t>
            </w:r>
            <w:r w:rsidR="00543A5B">
              <w:rPr>
                <w:rStyle w:val="FootnoteReference"/>
              </w:rPr>
              <w:footnoteReference w:id="276"/>
            </w:r>
            <w:r w:rsidRPr="00BA1869">
              <w:rPr>
                <w:rStyle w:val="AERtextsize8"/>
              </w:rPr>
              <w:t xml:space="preserve"> For more detail see section D.2.4 of Attachment 3 to SAPN's final decision and section G.2 of Attachment 3 in AusNet Services' final decision for its distribution services</w:t>
            </w:r>
          </w:p>
        </w:tc>
      </w:tr>
      <w:tr w:rsidR="00BA1869" w:rsidTr="002F5AB4">
        <w:tc>
          <w:tcPr>
            <w:tcW w:w="0" w:type="auto"/>
            <w:vAlign w:val="top"/>
          </w:tcPr>
          <w:p w:rsidR="00BA1869" w:rsidRPr="00BA1869" w:rsidRDefault="00BA1869" w:rsidP="00EE5661">
            <w:r w:rsidRPr="005400CA">
              <w:t>CCP</w:t>
            </w:r>
            <w:r w:rsidR="00EE5661">
              <w:t>5</w:t>
            </w:r>
            <w:r w:rsidRPr="005400CA">
              <w:t xml:space="preserve"> </w:t>
            </w:r>
            <w:r w:rsidRPr="00BA1869">
              <w:t xml:space="preserve">maintained its view that the AER’s value for β of 0.7 is too high, citing the Olan Henry analysis commissioned by the AER in 2014 as rationale for a lower β. The CCP suggested a value of 0.5 would be in the better long term interests of consumers, while still meeting the requirements of the NER. </w:t>
            </w:r>
            <w:r w:rsidRPr="00BA1869">
              <w:rPr>
                <w:rStyle w:val="FootnoteReference"/>
              </w:rPr>
              <w:footnoteReference w:id="277"/>
            </w:r>
            <w:r w:rsidRPr="00BA1869">
              <w:t xml:space="preserve"> </w:t>
            </w:r>
          </w:p>
        </w:tc>
        <w:tc>
          <w:tcPr>
            <w:tcW w:w="0" w:type="auto"/>
            <w:vAlign w:val="top"/>
          </w:tcPr>
          <w:p w:rsidR="00BA1869" w:rsidRPr="00BA1869" w:rsidRDefault="00BA1869" w:rsidP="00BA1869">
            <w:r w:rsidRPr="003379AF">
              <w:t>We have considered the CCP’s submission however this is based on only one source of relevant evidence. Our consideration of the relevant evidence for the equity beta is based on all the relevant information follo</w:t>
            </w:r>
            <w:r w:rsidRPr="00BA1869">
              <w:t>wing an assessment of their relative merits and suitability for our regulatory task: conceptual analysis, Australian empirical estimates, international empirical estimates and theory of the Black CAPM.</w:t>
            </w:r>
            <w:r w:rsidRPr="00BA1869">
              <w:rPr>
                <w:rStyle w:val="FootnoteReference"/>
              </w:rPr>
              <w:footnoteReference w:id="278"/>
            </w:r>
          </w:p>
          <w:p w:rsidR="00BA1869" w:rsidRPr="00BA1869" w:rsidRDefault="00BA1869" w:rsidP="00BA1869">
            <w:r>
              <w:t xml:space="preserve">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w:t>
            </w:r>
            <w:r w:rsidR="003707F4">
              <w:t>of</w:t>
            </w:r>
            <w:r>
              <w:t xml:space="preserve"> an estimate towards the top of our range.</w:t>
            </w:r>
            <w:r w:rsidRPr="00BA1869">
              <w:rPr>
                <w:rStyle w:val="FootnoteReference"/>
              </w:rPr>
              <w:footnoteReference w:id="279"/>
            </w:r>
            <w:r w:rsidRPr="00BA1869">
              <w:t xml:space="preserve">  </w:t>
            </w:r>
          </w:p>
          <w:p w:rsidR="00BA1869" w:rsidRPr="00BA1869" w:rsidRDefault="00BA1869" w:rsidP="00BA1869">
            <w:r>
              <w:t>We consider our approach and estimate contributes to the ARORO and this has been upheld by the Tribunal.</w:t>
            </w:r>
            <w:r w:rsidRPr="00BA1869">
              <w:rPr>
                <w:rStyle w:val="FootnoteReference"/>
              </w:rPr>
              <w:footnoteReference w:id="280"/>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t xml:space="preserve">CEG considered that its </w:t>
            </w:r>
            <w:r w:rsidRPr="00BA1869">
              <w:t>replication of Henry’s original results is sufficiently close so as to warrant using its methodology to extend results to 2016.</w:t>
            </w:r>
            <w:r w:rsidRPr="00BA1869">
              <w:rPr>
                <w:rStyle w:val="FootnoteReference"/>
              </w:rPr>
              <w:footnoteReference w:id="281"/>
            </w:r>
          </w:p>
        </w:tc>
        <w:tc>
          <w:tcPr>
            <w:tcW w:w="0" w:type="auto"/>
            <w:vAlign w:val="top"/>
          </w:tcPr>
          <w:p w:rsidR="00BA1869" w:rsidRPr="00BA1869" w:rsidRDefault="00BA1869" w:rsidP="00BA1869">
            <w:r>
              <w:rPr>
                <w:rStyle w:val="AERtextsize8"/>
              </w:rPr>
              <w:t>We note that CEG was not able to completely replicate Henry’s original results.</w:t>
            </w:r>
            <w:r w:rsidRPr="00BA1869">
              <w:rPr>
                <w:rStyle w:val="AERtextsize8"/>
              </w:rPr>
              <w:t xml:space="preserve"> In particular, there is a 57 per cent discrepancy in SKI’s gearing estimate which would materially affect re-levered betas at the firm and portfolio level. </w:t>
            </w:r>
          </w:p>
        </w:tc>
      </w:tr>
      <w:tr w:rsidR="00BA1869" w:rsidTr="002F5AB4">
        <w:tc>
          <w:tcPr>
            <w:tcW w:w="0" w:type="auto"/>
            <w:vAlign w:val="top"/>
          </w:tcPr>
          <w:p w:rsidR="00BA1869" w:rsidRPr="00BA1869" w:rsidRDefault="00BA1869" w:rsidP="00BA1869">
            <w:r>
              <w:t xml:space="preserve">CEG’s </w:t>
            </w:r>
            <w:r w:rsidRPr="00BA1869">
              <w:t>extension of Henry’s estimates to June 2016 suggest that empirical estimates of equity beta have increased since Henry’s 2014 report.</w:t>
            </w:r>
            <w:r w:rsidRPr="00BA1869">
              <w:rPr>
                <w:rStyle w:val="FootnoteReference"/>
              </w:rPr>
              <w:footnoteReference w:id="282"/>
            </w:r>
            <w:r w:rsidRPr="00BA1869">
              <w:t xml:space="preserve"> </w:t>
            </w:r>
          </w:p>
          <w:p w:rsidR="00BA1869" w:rsidRPr="001D4715" w:rsidRDefault="00BA1869" w:rsidP="00950EA8">
            <w:pPr>
              <w:pStyle w:val="AERbulletlistfirststyle"/>
              <w:numPr>
                <w:ilvl w:val="0"/>
                <w:numId w:val="0"/>
              </w:numPr>
              <w:ind w:left="357" w:hanging="357"/>
            </w:pPr>
          </w:p>
          <w:p w:rsidR="00BA1869" w:rsidRPr="003379AF" w:rsidRDefault="00BA1869" w:rsidP="00950EA8">
            <w:pPr>
              <w:pStyle w:val="AERbulletlistsecondstyle"/>
              <w:numPr>
                <w:ilvl w:val="0"/>
                <w:numId w:val="0"/>
              </w:numPr>
              <w:ind w:left="998"/>
            </w:pPr>
          </w:p>
        </w:tc>
        <w:tc>
          <w:tcPr>
            <w:tcW w:w="0" w:type="auto"/>
            <w:vAlign w:val="top"/>
          </w:tcPr>
          <w:p w:rsidR="00BA1869" w:rsidRPr="00BA1869" w:rsidRDefault="00BA1869" w:rsidP="00BA1869">
            <w:pPr>
              <w:rPr>
                <w:rStyle w:val="AERtextsize8"/>
              </w:rPr>
            </w:pPr>
            <w:r>
              <w:rPr>
                <w:rStyle w:val="AERtextsize8"/>
              </w:rPr>
              <w:t xml:space="preserve">Having analysed CEG’s results, </w:t>
            </w:r>
            <w:r w:rsidRPr="00BA1869">
              <w:rPr>
                <w:rStyle w:val="AERtextsize8"/>
              </w:rPr>
              <w:t xml:space="preserve">we do not consider that CEG’s extension provides satisfactory evidence of a material change in equity beta estimates. We note CEG's extension are still consistent with Henry's original estimates such that our empirical range remains 0.4–0.7 and our point estimate 0.7. </w:t>
            </w:r>
          </w:p>
          <w:p w:rsidR="00BA1869" w:rsidRPr="00BA1869" w:rsidRDefault="00BA1869" w:rsidP="00BA1869">
            <w:r>
              <w:rPr>
                <w:rStyle w:val="AERtextsize8"/>
              </w:rPr>
              <w:t xml:space="preserve">Our views are supported by </w:t>
            </w:r>
            <w:r w:rsidRPr="00BA1869">
              <w:t>Partington and Satchell who also noted that they ‘are not convinced that there has been material change in beta’ after reviewing CEG’s estimates.</w:t>
            </w:r>
            <w:r w:rsidR="00F35251">
              <w:rPr>
                <w:rStyle w:val="FootnoteReference"/>
              </w:rPr>
              <w:footnoteReference w:id="283"/>
            </w:r>
            <w:r w:rsidRPr="00BA1869">
              <w:t xml:space="preserve"> </w:t>
            </w:r>
          </w:p>
          <w:p w:rsidR="00BA1869" w:rsidRPr="00BA1869" w:rsidRDefault="00BA1869" w:rsidP="00BA1869">
            <w:r>
              <w:t xml:space="preserve">We discuss this in more detail in Appendix </w:t>
            </w:r>
            <w:r w:rsidRPr="00BA1869">
              <w:t>G.</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t>CEG submitted that more recent estimates</w:t>
            </w:r>
            <w:r w:rsidRPr="00BA1869">
              <w:t xml:space="preserve"> (one year and five year estimates) of equity beta for still-listed firms indicate a more prominent increase in the equity beta.</w:t>
            </w:r>
            <w:r w:rsidRPr="00BA1869">
              <w:rPr>
                <w:rStyle w:val="FootnoteReference"/>
              </w:rPr>
              <w:footnoteReference w:id="284"/>
            </w:r>
          </w:p>
          <w:p w:rsidR="00BA1869" w:rsidRPr="001D4715" w:rsidDel="000551F3" w:rsidRDefault="00BA1869" w:rsidP="00950EA8">
            <w:pPr>
              <w:pStyle w:val="AERbulletlistfirststyle"/>
              <w:numPr>
                <w:ilvl w:val="0"/>
                <w:numId w:val="0"/>
              </w:numPr>
              <w:ind w:left="357"/>
            </w:pPr>
          </w:p>
        </w:tc>
        <w:tc>
          <w:tcPr>
            <w:tcW w:w="0" w:type="auto"/>
            <w:vAlign w:val="top"/>
          </w:tcPr>
          <w:p w:rsidR="00BA1869" w:rsidRPr="00BA1869" w:rsidRDefault="00BA1869" w:rsidP="00BA1869">
            <w:pPr>
              <w:rPr>
                <w:rStyle w:val="AERtextsize8"/>
              </w:rPr>
            </w:pPr>
            <w:r w:rsidRPr="00BA1869">
              <w:rPr>
                <w:rStyle w:val="AERtextsize8"/>
              </w:rPr>
              <w:t>We do not consider, as proposed by CEG, that more recent estimates of equity sufficiently justify an increase to our range and/or point estimates because short term data is more prone to one-off events, fluctuations and volatility which may obscure the 'true' equity beta for a benchmark efficient entity.</w:t>
            </w:r>
          </w:p>
          <w:p w:rsidR="00BA1869" w:rsidRPr="00BA1869" w:rsidRDefault="00BA1869" w:rsidP="00BA1869">
            <w:r w:rsidRPr="00180347">
              <w:rPr>
                <w:rStyle w:val="AERtextsize8"/>
              </w:rPr>
              <w:t>We discuss this in more detail in Appendix G.</w:t>
            </w:r>
          </w:p>
        </w:tc>
      </w:tr>
      <w:tr w:rsidR="00BA1869" w:rsidTr="002F5AB4">
        <w:tc>
          <w:tcPr>
            <w:tcW w:w="0" w:type="auto"/>
            <w:vAlign w:val="top"/>
          </w:tcPr>
          <w:p w:rsidR="00BA1869" w:rsidRPr="00BA1869" w:rsidRDefault="00BA1869" w:rsidP="003F025A">
            <w:pPr>
              <w:pStyle w:val="AERbulletlistfirststyle"/>
              <w:numPr>
                <w:ilvl w:val="0"/>
                <w:numId w:val="0"/>
              </w:numPr>
              <w:rPr>
                <w:rFonts w:eastAsiaTheme="minorHAnsi"/>
                <w:sz w:val="22"/>
                <w:szCs w:val="22"/>
                <w:lang w:eastAsia="en-US"/>
              </w:rPr>
            </w:pPr>
            <w:r>
              <w:t xml:space="preserve">CEG compared results of its extension against Henry's </w:t>
            </w:r>
            <w:r w:rsidRPr="00BA1869">
              <w:t>original results and note that beta has increased by around 0.1 or more since the end of Henry's sampling period</w:t>
            </w:r>
            <w:r w:rsidRPr="00BA1869">
              <w:rPr>
                <w:rStyle w:val="FootnoteReference"/>
              </w:rPr>
              <w:footnoteReference w:id="285"/>
            </w:r>
          </w:p>
        </w:tc>
        <w:tc>
          <w:tcPr>
            <w:tcW w:w="0" w:type="auto"/>
            <w:vAlign w:val="top"/>
          </w:tcPr>
          <w:p w:rsidR="00BA1869" w:rsidRPr="00BA1869" w:rsidRDefault="00BA1869" w:rsidP="00BA1869">
            <w:r>
              <w:t xml:space="preserve">We note CEG compares results of its extension against Henry's original results in Table 13 and 14 of its report as support of a material increase in </w:t>
            </w:r>
            <w:r w:rsidRPr="00BA1869">
              <w:t>the equity beta.</w:t>
            </w:r>
          </w:p>
          <w:p w:rsidR="00BA1869" w:rsidRPr="00BA1869" w:rsidRDefault="00BA1869" w:rsidP="00FB3200">
            <w:r>
              <w:t>However, th</w:t>
            </w:r>
            <w:r w:rsidRPr="00BA1869">
              <w:t xml:space="preserve">is is misleading because CEG is not making the correct comparison. CEG should have compared its extension results against its own replication instead of Henry's original results. As observed in CEG's report, its re-levered betas (from the replication) are generally higher than Henry's results. </w:t>
            </w:r>
            <w:r w:rsidR="00FB3200">
              <w:t>T</w:t>
            </w:r>
            <w:r w:rsidRPr="00BA1869">
              <w:t xml:space="preserve">his difference would overstate </w:t>
            </w:r>
            <w:r w:rsidR="00FB3200">
              <w:t>any</w:t>
            </w:r>
            <w:r w:rsidRPr="00BA1869">
              <w:t xml:space="preserve"> increase </w:t>
            </w:r>
            <w:r w:rsidR="00FB3200">
              <w:t>from</w:t>
            </w:r>
            <w:r w:rsidR="00FB3200" w:rsidRPr="00BA1869">
              <w:t xml:space="preserve"> </w:t>
            </w:r>
            <w:r w:rsidRPr="00BA1869">
              <w:t>Henry's original's results.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3F025A">
            <w:pPr>
              <w:pStyle w:val="AERbulletlistfirststyle"/>
              <w:numPr>
                <w:ilvl w:val="0"/>
                <w:numId w:val="0"/>
              </w:numPr>
              <w:rPr>
                <w:rFonts w:eastAsiaTheme="minorHAnsi"/>
                <w:sz w:val="22"/>
                <w:szCs w:val="22"/>
                <w:lang w:eastAsia="en-US"/>
              </w:rPr>
            </w:pPr>
            <w:r>
              <w:t>CEG stated</w:t>
            </w:r>
            <w:r w:rsidRPr="00BA1869">
              <w:t xml:space="preserve"> increases in the most recent 5 year data  reflected increases in the raw equity betas, decreases in gearing ratios of the remaining listed stocks (APA, DUE, SKI, AST) increase and an increase in the weighting of high-beta stocks (APA) in the value-weighted portfolios.</w:t>
            </w:r>
            <w:r w:rsidRPr="00BA1869">
              <w:rPr>
                <w:rStyle w:val="FootnoteReference"/>
              </w:rPr>
              <w:footnoteReference w:id="286"/>
            </w:r>
            <w:r w:rsidRPr="00BA1869">
              <w:t xml:space="preserve">  </w:t>
            </w:r>
          </w:p>
        </w:tc>
        <w:tc>
          <w:tcPr>
            <w:tcW w:w="0" w:type="auto"/>
            <w:vAlign w:val="top"/>
          </w:tcPr>
          <w:p w:rsidR="00BA1869" w:rsidRDefault="00BA1869" w:rsidP="00E94930">
            <w:pPr>
              <w:rPr>
                <w:rStyle w:val="AERtextsize8"/>
              </w:rPr>
            </w:pPr>
            <w:r>
              <w:rPr>
                <w:rStyle w:val="AERtextsize8"/>
              </w:rPr>
              <w:t>Since the Guideline</w:t>
            </w:r>
            <w:r w:rsidRPr="00BA1869">
              <w:rPr>
                <w:rStyle w:val="AERtextsize8"/>
              </w:rPr>
              <w:t xml:space="preserve">, some of the still-listed firms have undertaken a range of transactions </w:t>
            </w:r>
            <w:r w:rsidR="00BD353A">
              <w:rPr>
                <w:rStyle w:val="AERtextsize8"/>
              </w:rPr>
              <w:t xml:space="preserve">(some of these transactions </w:t>
            </w:r>
            <w:r w:rsidRPr="00BA1869">
              <w:rPr>
                <w:rStyle w:val="AERtextsize8"/>
              </w:rPr>
              <w:t xml:space="preserve">would </w:t>
            </w:r>
            <w:r w:rsidR="00E94930">
              <w:rPr>
                <w:rStyle w:val="AERtextsize8"/>
              </w:rPr>
              <w:t xml:space="preserve">be expected to </w:t>
            </w:r>
            <w:r w:rsidRPr="00BA1869">
              <w:rPr>
                <w:rStyle w:val="AERtextsize8"/>
              </w:rPr>
              <w:t>increase the</w:t>
            </w:r>
            <w:r w:rsidR="00E94930">
              <w:rPr>
                <w:rStyle w:val="AERtextsize8"/>
              </w:rPr>
              <w:t>ir</w:t>
            </w:r>
            <w:r w:rsidRPr="00BA1869">
              <w:rPr>
                <w:rStyle w:val="AERtextsize8"/>
              </w:rPr>
              <w:t xml:space="preserve"> exposure to systematic risk from unregulated assets</w:t>
            </w:r>
            <w:r w:rsidR="00BD353A">
              <w:rPr>
                <w:rStyle w:val="AERtextsize8"/>
              </w:rPr>
              <w:t xml:space="preserve"> </w:t>
            </w:r>
            <w:r w:rsidR="000745F9">
              <w:rPr>
                <w:rStyle w:val="AERtextsize8"/>
              </w:rPr>
              <w:t>and/</w:t>
            </w:r>
            <w:r w:rsidR="00BD353A">
              <w:rPr>
                <w:rStyle w:val="AERtextsize8"/>
              </w:rPr>
              <w:t xml:space="preserve">or assets </w:t>
            </w:r>
            <w:r w:rsidR="000745F9">
              <w:rPr>
                <w:rStyle w:val="AERtextsize8"/>
              </w:rPr>
              <w:t>that are different from the regulated services</w:t>
            </w:r>
            <w:r w:rsidR="00BD353A">
              <w:rPr>
                <w:rStyle w:val="AERtextsize8"/>
              </w:rPr>
              <w:t>)</w:t>
            </w:r>
            <w:r w:rsidRPr="00BA1869">
              <w:rPr>
                <w:rStyle w:val="AERtextsize8"/>
              </w:rPr>
              <w:t xml:space="preserve"> </w:t>
            </w:r>
            <w:r w:rsidR="00E94930">
              <w:rPr>
                <w:rStyle w:val="AERtextsize8"/>
              </w:rPr>
              <w:t>that should not</w:t>
            </w:r>
            <w:r w:rsidRPr="00BA1869">
              <w:rPr>
                <w:rStyle w:val="AERtextsize8"/>
              </w:rPr>
              <w:t xml:space="preserve"> affect the</w:t>
            </w:r>
            <w:r w:rsidR="00E94930">
              <w:rPr>
                <w:rStyle w:val="AERtextsize8"/>
              </w:rPr>
              <w:t>ir</w:t>
            </w:r>
            <w:r w:rsidRPr="00BA1869">
              <w:rPr>
                <w:rStyle w:val="AERtextsize8"/>
              </w:rPr>
              <w:t xml:space="preserve"> systematic risk of supplying regulated services.</w:t>
            </w:r>
            <w:r w:rsidRPr="00BA1869">
              <w:rPr>
                <w:rStyle w:val="FootnoteReference"/>
              </w:rPr>
              <w:footnoteReference w:id="287"/>
            </w:r>
            <w:r w:rsidRPr="00BA1869">
              <w:rPr>
                <w:rStyle w:val="AERtextsize8"/>
              </w:rPr>
              <w:t xml:space="preserve"> Therefore it is not clear that CEG’s result</w:t>
            </w:r>
            <w:r w:rsidR="00E94930">
              <w:rPr>
                <w:rStyle w:val="AERtextsize8"/>
              </w:rPr>
              <w:t>, even if reflective of a true increase in the underlying beta of the sample,</w:t>
            </w:r>
            <w:r w:rsidRPr="00BA1869">
              <w:rPr>
                <w:rStyle w:val="AERtextsize8"/>
              </w:rPr>
              <w:t xml:space="preserve"> is indicative of a material change in the equity beta of a benchmark efficient entity in providing regulated services. </w:t>
            </w:r>
          </w:p>
          <w:p w:rsidR="00F35251" w:rsidRPr="00BA1869" w:rsidRDefault="00F35251" w:rsidP="00E94930">
            <w:pPr>
              <w:rPr>
                <w:rStyle w:val="AERtextsize8"/>
              </w:rPr>
            </w:pPr>
            <w:r>
              <w:rPr>
                <w:rStyle w:val="AERtextsize8"/>
              </w:rPr>
              <w:t xml:space="preserve">Partington and Satchell has also advised that there is overall only 'weak evidence of increased </w:t>
            </w:r>
            <w:r w:rsidR="00410AB6">
              <w:rPr>
                <w:rStyle w:val="AERtextsize8"/>
              </w:rPr>
              <w:t>beta</w:t>
            </w:r>
            <w:r>
              <w:rPr>
                <w:rStyle w:val="AERtextsize8"/>
              </w:rPr>
              <w:t xml:space="preserve"> at the individual firm level based on last five years data set'.</w:t>
            </w:r>
            <w:r>
              <w:rPr>
                <w:rStyle w:val="FootnoteReference"/>
              </w:rPr>
              <w:footnoteReference w:id="288"/>
            </w:r>
          </w:p>
        </w:tc>
      </w:tr>
      <w:tr w:rsidR="00BA1869" w:rsidTr="002F5AB4">
        <w:tc>
          <w:tcPr>
            <w:tcW w:w="0" w:type="auto"/>
            <w:vAlign w:val="top"/>
          </w:tcPr>
          <w:p w:rsidR="00BA1869" w:rsidRPr="00BA1869" w:rsidRDefault="00BA1869" w:rsidP="00BA1869">
            <w:r w:rsidRPr="003379AF">
              <w:t>The AER could set a lower return on equity by specifying an equity beta closer to 0.4 than 0.7, which would be within the AER’s range but lower than that set</w:t>
            </w:r>
            <w:r w:rsidRPr="00BA1869">
              <w:t xml:space="preserve"> by the AER to date.</w:t>
            </w:r>
            <w:r w:rsidRPr="00BA1869">
              <w:rPr>
                <w:rStyle w:val="FootnoteReference"/>
              </w:rPr>
              <w:footnoteReference w:id="289"/>
            </w:r>
            <w:r w:rsidRPr="00BA1869">
              <w:t xml:space="preserve">  </w:t>
            </w:r>
          </w:p>
        </w:tc>
        <w:tc>
          <w:tcPr>
            <w:tcW w:w="0" w:type="auto"/>
            <w:vAlign w:val="top"/>
          </w:tcPr>
          <w:p w:rsidR="00BA1869" w:rsidRPr="00BA1869" w:rsidRDefault="00BA1869" w:rsidP="00BA1869">
            <w:pPr>
              <w:rPr>
                <w:rStyle w:val="AERtextsize8"/>
              </w:rPr>
            </w:pPr>
            <w:r>
              <w:rPr>
                <w:rStyle w:val="AERtextsize8"/>
              </w:rPr>
              <w:t xml:space="preserve">As noted above, we apply the Guideline approach to setting the equity beta. </w:t>
            </w:r>
            <w:r w:rsidRPr="00BA1869">
              <w:rPr>
                <w:rStyle w:val="AERtextsize8"/>
              </w:rPr>
              <w:t xml:space="preserve">We outline our analysis and consideration of the relevant evidence in this chapter and do not only rely on one piece of material. </w:t>
            </w:r>
          </w:p>
          <w:p w:rsidR="00BA1869" w:rsidRPr="00BA1869" w:rsidRDefault="00BA1869" w:rsidP="00FB3200">
            <w:r>
              <w:rPr>
                <w:rStyle w:val="AERtextsize8"/>
              </w:rPr>
              <w:t xml:space="preserve">Our analysis of Australian empirical estimates indicates an empirical range of 0.4–0.7. </w:t>
            </w:r>
            <w:r w:rsidR="00FB3200">
              <w:rPr>
                <w:rStyle w:val="AERtextsize8"/>
              </w:rPr>
              <w:t>Our</w:t>
            </w:r>
            <w:r>
              <w:rPr>
                <w:rStyle w:val="AERtextsize8"/>
              </w:rPr>
              <w:t xml:space="preserve"> considerations of the theory of the Black CAPM and international empirical estimates lead us </w:t>
            </w:r>
            <w:r w:rsidRPr="00BA1869">
              <w:rPr>
                <w:rStyle w:val="AERtextsize8"/>
              </w:rPr>
              <w:t xml:space="preserve">to set a point estimate </w:t>
            </w:r>
            <w:r w:rsidR="00E94930">
              <w:rPr>
                <w:rStyle w:val="AERtextsize8"/>
              </w:rPr>
              <w:t>towards</w:t>
            </w:r>
            <w:r w:rsidRPr="00BA1869">
              <w:rPr>
                <w:rStyle w:val="AERtextsize8"/>
              </w:rPr>
              <w:t xml:space="preserve"> the top of our range of 0.7.  </w:t>
            </w:r>
          </w:p>
        </w:tc>
      </w:tr>
      <w:tr w:rsidR="00BA1869" w:rsidDel="00667282"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Del="00667282" w:rsidRDefault="00BA1869" w:rsidP="00BA1869">
            <w:r w:rsidRPr="00742E6B">
              <w:rPr>
                <w:rStyle w:val="AERtextsize8"/>
              </w:rPr>
              <w:t xml:space="preserve">Henry’s (2014) paper commissioned by </w:t>
            </w:r>
            <w:r w:rsidR="00E94930">
              <w:rPr>
                <w:rStyle w:val="AERtextsize8"/>
              </w:rPr>
              <w:t xml:space="preserve">the </w:t>
            </w:r>
            <w:r w:rsidRPr="00742E6B">
              <w:rPr>
                <w:rStyle w:val="AERtextsize8"/>
              </w:rPr>
              <w:t>AER provide evidence that the AER should be applying an equity beta of 0.4 or lower. Of the nineteen calculations on which Henry (2014) based his recommended range on, most are at the lower end with fourteen calculations between 0.3 and 0.5.</w:t>
            </w:r>
            <w:r w:rsidRPr="00BA1869">
              <w:rPr>
                <w:rStyle w:val="FootnoteReference"/>
              </w:rPr>
              <w:footnoteReference w:id="290"/>
            </w:r>
          </w:p>
        </w:tc>
        <w:tc>
          <w:tcPr>
            <w:tcW w:w="0" w:type="auto"/>
            <w:vAlign w:val="top"/>
          </w:tcPr>
          <w:p w:rsidR="00BA1869" w:rsidRPr="00BA1869" w:rsidRDefault="00BA1869" w:rsidP="00BA1869">
            <w:r>
              <w:t xml:space="preserve">As noted above, </w:t>
            </w:r>
            <w:r w:rsidRPr="00BA1869">
              <w:t>we do not only use empirical Australian estimates to inform our equity beta decision. We consider all the relevant evidence and assign them roles following an assessment of their relative merits and suitability for our regulatory task.</w:t>
            </w:r>
            <w:r w:rsidRPr="00BA1869">
              <w:rPr>
                <w:rStyle w:val="FootnoteReference"/>
              </w:rPr>
              <w:footnoteReference w:id="291"/>
            </w:r>
            <w:r w:rsidRPr="00BA1869">
              <w:t xml:space="preserve"> </w:t>
            </w:r>
          </w:p>
          <w:p w:rsidR="00BA1869" w:rsidRPr="00BA1869" w:rsidDel="00667282" w:rsidRDefault="00BA1869" w:rsidP="00BA1869">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BA1869">
              <w:rPr>
                <w:rStyle w:val="FootnoteReference"/>
              </w:rPr>
              <w:footnoteReference w:id="292"/>
            </w:r>
            <w:r w:rsidRPr="00BA1869">
              <w:t xml:space="preserve">  </w:t>
            </w:r>
          </w:p>
        </w:tc>
      </w:tr>
      <w:tr w:rsidR="00BA1869" w:rsidTr="002F5AB4">
        <w:tc>
          <w:tcPr>
            <w:tcW w:w="0" w:type="auto"/>
            <w:vAlign w:val="top"/>
          </w:tcPr>
          <w:p w:rsidR="00BA1869" w:rsidRPr="00BA1869" w:rsidRDefault="00BA1869" w:rsidP="00BA1869">
            <w:r w:rsidRPr="007353C8">
              <w:rPr>
                <w:rStyle w:val="Strong"/>
              </w:rPr>
              <w:t>International empirical estimates</w:t>
            </w:r>
          </w:p>
        </w:tc>
        <w:tc>
          <w:tcPr>
            <w:tcW w:w="0" w:type="auto"/>
            <w:vAlign w:val="top"/>
          </w:tcPr>
          <w:p w:rsidR="00BA1869" w:rsidRPr="00BA79D8" w:rsidRDefault="00BA1869" w:rsidP="00BA1869"/>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Our analysis of international empirical estimates is incorrect</w:t>
            </w:r>
            <w:r w:rsidRPr="00BA1869">
              <w:rPr>
                <w:rStyle w:val="AERtextsize8"/>
              </w:rPr>
              <w:t xml:space="preserve"> because we do not consider the relative reliability of different studies</w:t>
            </w:r>
            <w:r w:rsidRPr="00BA1869">
              <w:rPr>
                <w:rStyle w:val="FootnoteReference"/>
              </w:rPr>
              <w:footnoteReference w:id="293"/>
            </w:r>
          </w:p>
        </w:tc>
        <w:tc>
          <w:tcPr>
            <w:tcW w:w="0" w:type="auto"/>
          </w:tcPr>
          <w:p w:rsidR="00BA1869" w:rsidRPr="00BA1869" w:rsidRDefault="00BA1869" w:rsidP="00BA1869">
            <w:pPr>
              <w:rPr>
                <w:rStyle w:val="AERtextsize8"/>
              </w:rPr>
            </w:pPr>
            <w:r w:rsidRPr="0084394E">
              <w:rPr>
                <w:rStyle w:val="AERtextsize8"/>
              </w:rPr>
              <w:t>The reports we review above are from reputable sources.</w:t>
            </w:r>
            <w:r w:rsidRPr="00BA1869">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w:t>
            </w:r>
            <w:r w:rsidR="00543A5B">
              <w:rPr>
                <w:rStyle w:val="FootnoteReference"/>
              </w:rPr>
              <w:footnoteReference w:id="294"/>
            </w:r>
            <w:r w:rsidRPr="00BA1869">
              <w:rPr>
                <w:rStyle w:val="AERtextsize8"/>
              </w:rPr>
              <w:t xml:space="preserve"> For more detail see section D.3 SAPN's final decision and section G.2 and G.4.2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 xml:space="preserve">The international empirical estimates we </w:t>
            </w:r>
            <w:r w:rsidRPr="00BA1869">
              <w:rPr>
                <w:rStyle w:val="AERtextsize8"/>
              </w:rPr>
              <w:t>consider (correctly analysed) are consistent with an equity beta estimate materially above 0.7</w:t>
            </w:r>
            <w:r w:rsidRPr="00BA1869">
              <w:rPr>
                <w:rStyle w:val="FootnoteReference"/>
              </w:rPr>
              <w:footnoteReference w:id="295"/>
            </w:r>
          </w:p>
        </w:tc>
        <w:tc>
          <w:tcPr>
            <w:tcW w:w="0" w:type="auto"/>
          </w:tcPr>
          <w:p w:rsidR="00BA1869" w:rsidRPr="00BA1869" w:rsidRDefault="00BA1869" w:rsidP="00BA1869">
            <w:pPr>
              <w:rPr>
                <w:rStyle w:val="AERtextsize8"/>
              </w:rPr>
            </w:pPr>
            <w:r w:rsidRPr="006A40BF">
              <w:rPr>
                <w:rStyle w:val="AERtextsize8"/>
              </w:rPr>
              <w:t xml:space="preserve">We do not agree with SFG's interpretation of the international evidence we </w:t>
            </w:r>
            <w:r w:rsidRPr="00BA1869">
              <w:rPr>
                <w:rStyle w:val="AERtextsize8"/>
              </w:rPr>
              <w:t>consider. We do not consider this evidence implies an equity beta estimate above 0.7 for the benchmark efficient entity.</w:t>
            </w:r>
            <w:r w:rsidR="00543A5B">
              <w:rPr>
                <w:rStyle w:val="FootnoteReference"/>
              </w:rPr>
              <w:footnoteReference w:id="296"/>
            </w:r>
            <w:r w:rsidRPr="00BA1869">
              <w:rPr>
                <w:rStyle w:val="AERtextsize8"/>
              </w:rPr>
              <w:t xml:space="preserve"> For more detail see section D.3 of Attachment 3 to SAPN's final decision and section G.3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BA1869" w:rsidRPr="00BA1869" w:rsidRDefault="00BA1869" w:rsidP="00BA1869">
            <w:pPr>
              <w:rPr>
                <w:rStyle w:val="Strong"/>
              </w:rPr>
            </w:pPr>
            <w:r w:rsidRPr="00835F59">
              <w:rPr>
                <w:rStyle w:val="Strong"/>
              </w:rPr>
              <w:t>Theoretical principles underpinning the Black CAPM</w:t>
            </w:r>
          </w:p>
        </w:tc>
      </w:tr>
      <w:tr w:rsidR="00BA1869" w:rsidTr="002F5AB4">
        <w:tc>
          <w:tcPr>
            <w:tcW w:w="0" w:type="auto"/>
          </w:tcPr>
          <w:p w:rsidR="00BA1869" w:rsidRPr="00BA1869" w:rsidRDefault="00BA1869" w:rsidP="00BA1869">
            <w:pPr>
              <w:rPr>
                <w:rStyle w:val="AERtextsize8"/>
              </w:rPr>
            </w:pPr>
            <w:r>
              <w:rPr>
                <w:rStyle w:val="AERtextsize8"/>
              </w:rPr>
              <w:t>W</w:t>
            </w:r>
            <w:r w:rsidRPr="00BA1869">
              <w:rPr>
                <w:rStyle w:val="AERtextsize8"/>
              </w:rPr>
              <w:t>e use the theory of the Black CAPM to apply a specific uplift to equity beta to correct for 'low beta bias'—however, the adjustment is insufficient to correct for this bias in the Sharpe-Lintner CAPM</w:t>
            </w:r>
            <w:r w:rsidRPr="00BA1869">
              <w:rPr>
                <w:rStyle w:val="FootnoteReference"/>
              </w:rPr>
              <w:footnoteReference w:id="297"/>
            </w:r>
          </w:p>
        </w:tc>
        <w:tc>
          <w:tcPr>
            <w:tcW w:w="0" w:type="auto"/>
          </w:tcPr>
          <w:p w:rsidR="00BA1869" w:rsidRPr="00BA1869" w:rsidRDefault="00BA1869" w:rsidP="00BA1869">
            <w:pPr>
              <w:rPr>
                <w:rStyle w:val="AERtextsize8"/>
              </w:rPr>
            </w:pPr>
            <w:r w:rsidRPr="006A40BF">
              <w:rPr>
                <w:rStyle w:val="AERtextsize8"/>
              </w:rPr>
              <w:t xml:space="preserve">We do not use the theory underlying the Black CAPM to apply a specific </w:t>
            </w:r>
            <w:r w:rsidRPr="00BA1869">
              <w:rPr>
                <w:rStyle w:val="AERtextsize8"/>
              </w:rPr>
              <w:t>uplift to the equity beta (and we did not do so in the Guideline). We do not consider that the theory of the Black CAPM can reliably support a specific uplift or that it implies that the Sharpe-Lintner CAPM produces biased return on equity estimates.</w:t>
            </w:r>
            <w:r w:rsidR="00543A5B">
              <w:rPr>
                <w:rStyle w:val="FootnoteReference"/>
              </w:rPr>
              <w:footnoteReference w:id="298"/>
            </w:r>
            <w:r w:rsidRPr="00BA1869">
              <w:rPr>
                <w:rStyle w:val="AERtextsize8"/>
              </w:rPr>
              <w:t xml:space="preserve"> For more detail see sections D.4, D.5.3, and A.2 of Attachment 3 to SAPN's final decision and section B.2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Our use of the theory of the Black CAPM to inform the equity beta point estimate is arbitrary</w:t>
            </w:r>
            <w:r w:rsidRPr="00BA1869">
              <w:rPr>
                <w:rStyle w:val="AERtextsize8"/>
              </w:rPr>
              <w:t xml:space="preserve"> and/or convoluted.</w:t>
            </w:r>
            <w:r w:rsidRPr="00BA1869">
              <w:rPr>
                <w:rStyle w:val="FootnoteReference"/>
              </w:rPr>
              <w:footnoteReference w:id="299"/>
            </w:r>
            <w:r w:rsidRPr="00BA1869">
              <w:rPr>
                <w:rStyle w:val="AERtextsize8"/>
              </w:rPr>
              <w:t xml:space="preserve"> The correct use of the Black CAPM (under our foundation model approach) is to use it empirically—this results in an equity beta estimate materially higher than 0.7</w:t>
            </w:r>
            <w:r w:rsidRPr="00BA1869">
              <w:rPr>
                <w:rStyle w:val="FootnoteReference"/>
              </w:rPr>
              <w:footnoteReference w:id="300"/>
            </w:r>
          </w:p>
        </w:tc>
        <w:tc>
          <w:tcPr>
            <w:tcW w:w="0" w:type="auto"/>
          </w:tcPr>
          <w:p w:rsidR="00BA1869" w:rsidRPr="00BA1869" w:rsidRDefault="00BA1869" w:rsidP="00BA1869">
            <w:pPr>
              <w:rPr>
                <w:rStyle w:val="AERtextsize8"/>
              </w:rPr>
            </w:pPr>
            <w:r>
              <w:rPr>
                <w:rStyle w:val="AERtextsize8"/>
              </w:rPr>
              <w:t>We consider</w:t>
            </w:r>
            <w:r w:rsidRPr="00BA1869">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AusNet Services' final decision for its distribution services and this decision.</w:t>
            </w:r>
            <w:r w:rsidR="00543A5B">
              <w:rPr>
                <w:rStyle w:val="FootnoteReference"/>
              </w:rPr>
              <w:footnoteReference w:id="301"/>
            </w:r>
          </w:p>
        </w:tc>
      </w:tr>
      <w:tr w:rsidR="00BA1869" w:rsidTr="002F5AB4">
        <w:tc>
          <w:tcPr>
            <w:tcW w:w="0" w:type="auto"/>
          </w:tcPr>
          <w:p w:rsidR="00BA1869" w:rsidRPr="00BA1869" w:rsidRDefault="001D3C09" w:rsidP="001D3C09">
            <w:pPr>
              <w:rPr>
                <w:rStyle w:val="AERtextsize8"/>
              </w:rPr>
            </w:pPr>
            <w:r>
              <w:rPr>
                <w:rStyle w:val="AERtextsize8"/>
              </w:rPr>
              <w:t>In submissions to previous regulatory processes, CCP2 and CCP3 submitted that n</w:t>
            </w:r>
            <w:r w:rsidR="00BA1869">
              <w:rPr>
                <w:rStyle w:val="AERtextsize8"/>
              </w:rPr>
              <w:t>either the</w:t>
            </w:r>
            <w:r w:rsidR="00BA1869" w:rsidRPr="00BA1869">
              <w:rPr>
                <w:rStyle w:val="AERtextsize8"/>
              </w:rPr>
              <w:t xml:space="preserve"> theory nor empirical evidence from the Black CAPM should be used to inform the equity beta point estimate</w:t>
            </w:r>
            <w:r w:rsidR="00BA1869" w:rsidRPr="00BA1869">
              <w:rPr>
                <w:rStyle w:val="FootnoteReference"/>
              </w:rPr>
              <w:footnoteReference w:id="302"/>
            </w:r>
          </w:p>
        </w:tc>
        <w:tc>
          <w:tcPr>
            <w:tcW w:w="0" w:type="auto"/>
          </w:tcPr>
          <w:p w:rsidR="00BA1869" w:rsidRPr="00BA1869" w:rsidRDefault="00BA1869" w:rsidP="00BA1869">
            <w:pPr>
              <w:rPr>
                <w:rStyle w:val="AERtextsize8"/>
              </w:rPr>
            </w:pPr>
            <w:r w:rsidRPr="00AC0ACE">
              <w:rPr>
                <w:rStyle w:val="AERtextsize8"/>
              </w:rPr>
              <w:t>We consider there are merits to the theoretical principles underpinning the Black CAPM</w:t>
            </w:r>
            <w:r w:rsidRPr="00BA1869">
              <w:rPr>
                <w:rStyle w:val="AERtextsize8"/>
              </w:rPr>
              <w:t xml:space="preserve"> (for example, it relaxes an assumption underlying the Sharpe-Lintner CAPM),</w:t>
            </w:r>
            <w:r w:rsidRPr="00BA1869">
              <w:rPr>
                <w:rStyle w:val="FootnoteReference"/>
              </w:rPr>
              <w:footnoteReference w:id="303"/>
            </w:r>
            <w:r w:rsidRPr="00BA1869">
              <w:rPr>
                <w:rStyle w:val="AERtextsize8"/>
              </w:rPr>
              <w:t xml:space="preserve"> and we have assessed this information against the criteria set out in the Guideline. We consider this theory can be useful in informing our equity beta point estimate.</w:t>
            </w:r>
            <w:r w:rsidR="001D3C09">
              <w:rPr>
                <w:rStyle w:val="FootnoteReference"/>
              </w:rPr>
              <w:footnoteReference w:id="304"/>
            </w:r>
            <w:r w:rsidRPr="00BA1869">
              <w:rPr>
                <w:rStyle w:val="AERtextsize8"/>
              </w:rPr>
              <w:t xml:space="preserve"> For more detail see section D.4 of Attachment 3 to SAPN's final decision and section G.1 of Attachment 3 in AusNet Services' final decision for its distribution services </w:t>
            </w:r>
            <w:r w:rsidR="00FB3200">
              <w:rPr>
                <w:rStyle w:val="AERtextsize8"/>
              </w:rPr>
              <w:t>a</w:t>
            </w:r>
            <w:r w:rsidRPr="00BA1869">
              <w:rPr>
                <w:rStyle w:val="AERtextsize8"/>
              </w:rPr>
              <w:t xml:space="preserve">nd section </w:t>
            </w:r>
            <w:r w:rsidRPr="00BA1869">
              <w:rPr>
                <w:rStyle w:val="AERtextsize8"/>
              </w:rPr>
              <w:fldChar w:fldCharType="begin"/>
            </w:r>
            <w:r w:rsidRPr="00BA1869">
              <w:rPr>
                <w:rStyle w:val="AERtextsize8"/>
              </w:rPr>
              <w:instrText xml:space="preserve"> REF _Ref448924785 \r \h </w:instrText>
            </w:r>
            <w:r w:rsidRPr="00BA1869">
              <w:rPr>
                <w:rStyle w:val="AERtextsize8"/>
              </w:rPr>
            </w:r>
            <w:r w:rsidRPr="00BA1869">
              <w:rPr>
                <w:rStyle w:val="AERtextsize8"/>
              </w:rPr>
              <w:fldChar w:fldCharType="separate"/>
            </w:r>
            <w:r w:rsidR="006B4A74">
              <w:rPr>
                <w:rStyle w:val="AERtextsize8"/>
              </w:rPr>
              <w:t>B.2.3</w:t>
            </w:r>
            <w:r w:rsidRPr="00BA1869">
              <w:rPr>
                <w:rStyle w:val="AERtextsize8"/>
              </w:rPr>
              <w:fldChar w:fldCharType="end"/>
            </w:r>
            <w:r w:rsidRPr="00BA1869">
              <w:rPr>
                <w:rStyle w:val="AERtextsize8"/>
              </w:rPr>
              <w:t xml:space="preserve"> of this decision. </w:t>
            </w:r>
          </w:p>
          <w:p w:rsidR="00BA1869" w:rsidRPr="00BA1869" w:rsidRDefault="00BA1869" w:rsidP="00BA1869">
            <w:pPr>
              <w:rPr>
                <w:rStyle w:val="AERtextsize8"/>
              </w:rPr>
            </w:pPr>
            <w:r>
              <w:rPr>
                <w:rStyle w:val="AERtextsize8"/>
              </w:rPr>
              <w:t xml:space="preserve">We </w:t>
            </w:r>
            <w:r w:rsidRPr="00BA1869">
              <w:rPr>
                <w:rStyle w:val="AERtextsize8"/>
              </w:rPr>
              <w:t>also note that Partington and Handley have both provided support for our foundation model approach.</w:t>
            </w:r>
            <w:r w:rsidRPr="00BA1869">
              <w:rPr>
                <w:rStyle w:val="FootnoteReference"/>
              </w:rPr>
              <w:footnoteReference w:id="305"/>
            </w:r>
            <w:r w:rsidRPr="00BA1869">
              <w:rPr>
                <w:rStyle w:val="AERtextsize8"/>
              </w:rPr>
              <w:t xml:space="preserve"> Our foundation model approach includes our use of the theory of the Black CAPM to inform the equity beta point estimate</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BA1869" w:rsidRPr="00BA1869" w:rsidRDefault="00BA1869" w:rsidP="00BA1869">
            <w:pPr>
              <w:rPr>
                <w:rStyle w:val="AERtextsize8"/>
              </w:rPr>
            </w:pPr>
            <w:r w:rsidRPr="00835F59">
              <w:rPr>
                <w:rStyle w:val="Strong"/>
              </w:rPr>
              <w:t>Conceptual analysis</w:t>
            </w:r>
          </w:p>
        </w:tc>
      </w:tr>
      <w:tr w:rsidR="00BA1869" w:rsidTr="002F5AB4">
        <w:tc>
          <w:tcPr>
            <w:tcW w:w="0" w:type="auto"/>
          </w:tcPr>
          <w:p w:rsidR="00BA1869" w:rsidRPr="00BA1869" w:rsidRDefault="00BA1869" w:rsidP="00BA1869">
            <w:pPr>
              <w:rPr>
                <w:rStyle w:val="AERtextsize8"/>
              </w:rPr>
            </w:pPr>
            <w:r>
              <w:rPr>
                <w:rStyle w:val="AERtextsize8"/>
              </w:rPr>
              <w:t>T</w:t>
            </w:r>
            <w:r w:rsidRPr="00BA1869">
              <w:rPr>
                <w:rStyle w:val="AERtextsize8"/>
              </w:rPr>
              <w:t>he reduction in systematic risk (specifically, demand risk) from transitioning to a revenue cap from a price cap should be reflected in the equity beta</w:t>
            </w:r>
            <w:r w:rsidRPr="00BA1869">
              <w:rPr>
                <w:rStyle w:val="FootnoteReference"/>
              </w:rPr>
              <w:footnoteReference w:id="306"/>
            </w:r>
            <w:r w:rsidRPr="00BA1869">
              <w:rPr>
                <w:rStyle w:val="AERtextsize8"/>
              </w:rPr>
              <w:t xml:space="preserve"> </w:t>
            </w:r>
            <w:r w:rsidRPr="00BA1869">
              <w:rPr>
                <w:rStyle w:val="FootnoteReference"/>
              </w:rPr>
              <w:footnoteReference w:id="307"/>
            </w:r>
          </w:p>
        </w:tc>
        <w:tc>
          <w:tcPr>
            <w:tcW w:w="0" w:type="auto"/>
          </w:tcPr>
          <w:p w:rsidR="00BA1869" w:rsidRPr="00BA1869" w:rsidRDefault="00BA1869" w:rsidP="005422DC">
            <w:pPr>
              <w:rPr>
                <w:rStyle w:val="AERtextsize8"/>
              </w:rPr>
            </w:pPr>
            <w:r>
              <w:rPr>
                <w:rStyle w:val="AERtextsize8"/>
              </w:rPr>
              <w:t>W</w:t>
            </w:r>
            <w:r w:rsidRPr="00BA1869">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BA1869">
              <w:rPr>
                <w:rStyle w:val="FootnoteReference"/>
              </w:rPr>
              <w:footnoteReference w:id="308"/>
            </w:r>
            <w:r w:rsidRPr="00BA1869">
              <w:t xml:space="preserve">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1D3C09" w:rsidP="001D3C09">
            <w:pPr>
              <w:rPr>
                <w:rStyle w:val="AERtextsize8"/>
              </w:rPr>
            </w:pPr>
            <w:r>
              <w:rPr>
                <w:rStyle w:val="AERtextsize8"/>
              </w:rPr>
              <w:t>In previous regulatory processes, services providers have submitted that o</w:t>
            </w:r>
            <w:r w:rsidR="00BA1869">
              <w:rPr>
                <w:rStyle w:val="AERtextsize8"/>
              </w:rPr>
              <w:t xml:space="preserve">ur </w:t>
            </w:r>
            <w:r w:rsidR="00BA1869" w:rsidRPr="00BA1869">
              <w:rPr>
                <w:rStyle w:val="AERtextsize8"/>
              </w:rPr>
              <w:t>assessment of financial risk and its impact on overall systematic risk is incorrect</w:t>
            </w:r>
            <w:r w:rsidR="00BA1869" w:rsidRPr="00BA1869">
              <w:rPr>
                <w:rStyle w:val="FootnoteReference"/>
              </w:rPr>
              <w:footnoteReference w:id="309"/>
            </w:r>
          </w:p>
        </w:tc>
        <w:tc>
          <w:tcPr>
            <w:tcW w:w="0" w:type="auto"/>
          </w:tcPr>
          <w:p w:rsidR="00BA1869" w:rsidRPr="00BA1869" w:rsidRDefault="00BA1869" w:rsidP="00BA1869">
            <w:pPr>
              <w:rPr>
                <w:rStyle w:val="AERtextsize8"/>
              </w:rPr>
            </w:pPr>
            <w:r>
              <w:rPr>
                <w:rStyle w:val="AERtextsize8"/>
              </w:rPr>
              <w:t>We disagree. We</w:t>
            </w:r>
            <w:r w:rsidRPr="00BA1869">
              <w:t xml:space="preserve"> consider </w:t>
            </w:r>
            <w:r w:rsidRPr="00BA1869">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BA1869">
              <w:t xml:space="preserve"> However, </w:t>
            </w:r>
            <w:r w:rsidRPr="00BA1869">
              <w:rPr>
                <w:rStyle w:val="AERtextsize8"/>
              </w:rPr>
              <w:t>the exact relationship between financial risk and financial leverage is not straightforward.</w:t>
            </w:r>
            <w:r w:rsidR="001D3C09">
              <w:rPr>
                <w:rStyle w:val="FootnoteReference"/>
              </w:rPr>
              <w:footnoteReference w:id="310"/>
            </w:r>
          </w:p>
          <w:p w:rsidR="00BA1869" w:rsidRPr="00BA1869" w:rsidRDefault="00BA1869" w:rsidP="004F6D1E">
            <w:pPr>
              <w:rPr>
                <w:rStyle w:val="AERtextsize8"/>
              </w:rPr>
            </w:pPr>
            <w:r>
              <w:rPr>
                <w:rStyle w:val="AERtextsize8"/>
              </w:rPr>
              <w:t xml:space="preserve">We consider our conceptual analysis </w:t>
            </w:r>
            <w:r w:rsidRPr="00BA1869">
              <w:rPr>
                <w:rStyle w:val="AERtextsize8"/>
              </w:rPr>
              <w:t>suggests the intrinsic business risk of a firm is the main driver of its systematic risk. We expect a business with a similar degree of risk as AusNet Services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AusNet Services to be below that of the market average firm. Our views are supported by</w:t>
            </w:r>
            <w:r w:rsidRPr="00BA1869">
              <w:t xml:space="preserve"> </w:t>
            </w:r>
            <w:r w:rsidRPr="00BA1869">
              <w:rPr>
                <w:rStyle w:val="AERtextsize8"/>
              </w:rPr>
              <w:t>McKenzie and Partington. For more detail see section D.1 of Attachment 3 to SAPN's final decision and section 3.4.1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W</w:t>
            </w:r>
            <w:r w:rsidRPr="00BA1869">
              <w:rPr>
                <w:rStyle w:val="AERtextsize8"/>
              </w:rPr>
              <w:t>e have misinterpreted the empirical evidence and expert reports we rely on (including Frontier Economics' 2013 report to the AER)</w:t>
            </w:r>
            <w:r w:rsidRPr="00BA1869">
              <w:rPr>
                <w:rStyle w:val="FootnoteReference"/>
              </w:rPr>
              <w:footnoteReference w:id="311"/>
            </w:r>
          </w:p>
        </w:tc>
        <w:tc>
          <w:tcPr>
            <w:tcW w:w="0" w:type="auto"/>
          </w:tcPr>
          <w:p w:rsidR="00BA1869" w:rsidRPr="00BA1869" w:rsidRDefault="00BA1869" w:rsidP="00BA1869">
            <w:pPr>
              <w:rPr>
                <w:rStyle w:val="AERtextsize8"/>
              </w:rPr>
            </w:pPr>
            <w:r>
              <w:rPr>
                <w:rStyle w:val="AERtextsize8"/>
              </w:rPr>
              <w:t>W</w:t>
            </w:r>
            <w:r w:rsidRPr="00BA1869">
              <w:rPr>
                <w:rStyle w:val="AERtextsize8"/>
              </w:rPr>
              <w:t>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SAPN's final decision and sections G.2 and G.3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Our conceptual analys</w:t>
            </w:r>
            <w:r w:rsidRPr="00BA1869">
              <w:rPr>
                <w:rStyle w:val="AERtextsize8"/>
              </w:rPr>
              <w:t>is is unclear and likely to be counterproductive to good regulatory decisions</w:t>
            </w:r>
            <w:r w:rsidRPr="00BA1869">
              <w:rPr>
                <w:rStyle w:val="FootnoteReference"/>
              </w:rPr>
              <w:footnoteReference w:id="312"/>
            </w:r>
          </w:p>
        </w:tc>
        <w:tc>
          <w:tcPr>
            <w:tcW w:w="0" w:type="auto"/>
          </w:tcPr>
          <w:p w:rsidR="00BA1869" w:rsidRPr="00BA1869" w:rsidRDefault="00BA1869" w:rsidP="00BA1869">
            <w:pPr>
              <w:rPr>
                <w:rStyle w:val="AERtextsize8"/>
              </w:rPr>
            </w:pPr>
            <w:r w:rsidRPr="00635805">
              <w:rPr>
                <w:rStyle w:val="AERtextsize8"/>
              </w:rPr>
              <w:t>We disagree with this view. Frontier's analysis appears to be based on a misunderstanding of the role of our conceptual analysis</w:t>
            </w:r>
            <w:r w:rsidRPr="00BA1869">
              <w:rPr>
                <w:rStyle w:val="AERtextsize8"/>
              </w:rPr>
              <w:t>. For more detail see section D.1.3 of Attachment 3 to SAPN's final decision and section 3.4.1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We have not adequately accounted for the recent risks arising from disruptive technologies</w:t>
            </w:r>
            <w:r w:rsidRPr="00BA1869">
              <w:rPr>
                <w:rStyle w:val="FootnoteReference"/>
              </w:rPr>
              <w:footnoteReference w:id="313"/>
            </w:r>
          </w:p>
        </w:tc>
        <w:tc>
          <w:tcPr>
            <w:tcW w:w="0" w:type="auto"/>
          </w:tcPr>
          <w:p w:rsidR="00BA1869" w:rsidRPr="00BA1869" w:rsidRDefault="00BA1869" w:rsidP="00BA1869">
            <w:pPr>
              <w:rPr>
                <w:rStyle w:val="AERtextsize8"/>
              </w:rPr>
            </w:pPr>
            <w:r w:rsidRPr="00CB54D7">
              <w:rPr>
                <w:rStyle w:val="AERtextsize8"/>
              </w:rPr>
              <w:t>We do not consider the risk arising from disruptive technologies can be reasonably classified as systematic risk</w:t>
            </w:r>
            <w:r w:rsidRPr="00BA1869">
              <w:rPr>
                <w:rStyle w:val="AERtextsize8"/>
              </w:rPr>
              <w:t>, and so should not be compensated for in the return on equity. For more detail see section D.1.4 of Attachment 3 to SAPN's final decision and section 3.4.1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Del="00EA261B" w:rsidRDefault="00BA1869" w:rsidP="00BA1869">
            <w:pPr>
              <w:rPr>
                <w:rStyle w:val="AERtextsize8"/>
              </w:rPr>
            </w:pPr>
            <w:r>
              <w:t xml:space="preserve">The equity beta used by TasNetworks in its cost of equity calculation </w:t>
            </w:r>
            <w:r w:rsidRPr="00BA1869">
              <w:t>should reflect the lower risk produced by being able to transfer risk to customers for pass through events.</w:t>
            </w:r>
            <w:r w:rsidRPr="00BA1869">
              <w:rPr>
                <w:rStyle w:val="FootnoteReference"/>
              </w:rPr>
              <w:footnoteReference w:id="314"/>
            </w:r>
          </w:p>
        </w:tc>
        <w:tc>
          <w:tcPr>
            <w:tcW w:w="0" w:type="auto"/>
          </w:tcPr>
          <w:p w:rsidR="00BA1869" w:rsidRPr="00BA1869" w:rsidDel="00EA261B" w:rsidRDefault="00BA1869" w:rsidP="00BA1869">
            <w:pPr>
              <w:rPr>
                <w:rStyle w:val="AERtextsize8"/>
              </w:rPr>
            </w:pPr>
            <w:r w:rsidRPr="007D21C9">
              <w:t>In determining the equity beta, we focus on risks that are compensated through the return on equity.</w:t>
            </w:r>
            <w:r w:rsidRPr="00BA1869">
              <w:t xml:space="preserve"> </w:t>
            </w:r>
            <w:r w:rsidRPr="00BA1869">
              <w:rPr>
                <w:rStyle w:val="AERtextsize8"/>
              </w:rPr>
              <w:t xml:space="preserve">We note </w:t>
            </w:r>
            <w:r w:rsidRPr="00BA1869">
              <w:t xml:space="preserve">cost pass throughs </w:t>
            </w:r>
            <w:r w:rsidR="005422DC">
              <w:t xml:space="preserve">typically </w:t>
            </w:r>
            <w:r w:rsidRPr="00BA1869">
              <w:t>relate to unsystematic risks such as industry-specific tax changes or geographic-specific natural disasters that are not compensated through the rate of return.</w:t>
            </w:r>
            <w:r w:rsidRPr="00BA1869">
              <w:rPr>
                <w:rStyle w:val="FootnoteReference"/>
              </w:rPr>
              <w:footnoteReference w:id="315"/>
            </w:r>
            <w:r w:rsidRPr="00BA1869">
              <w:t xml:space="preserve"> </w:t>
            </w:r>
          </w:p>
        </w:tc>
      </w:tr>
      <w:tr w:rsidR="00BA1869" w:rsidTr="002F5AB4">
        <w:tc>
          <w:tcPr>
            <w:tcW w:w="0" w:type="auto"/>
            <w:gridSpan w:val="2"/>
          </w:tcPr>
          <w:p w:rsidR="00BA1869" w:rsidRPr="00BA1869" w:rsidRDefault="00BA1869" w:rsidP="00BA1869">
            <w:pPr>
              <w:rPr>
                <w:rStyle w:val="AERtextsize8"/>
              </w:rPr>
            </w:pPr>
            <w:r w:rsidRPr="00835F59">
              <w:rPr>
                <w:rStyle w:val="Strong"/>
              </w:rPr>
              <w:t>Other</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Del="00EA261B" w:rsidRDefault="00BA1869" w:rsidP="00BA1869">
            <w:pPr>
              <w:rPr>
                <w:rStyle w:val="AERtextsize8"/>
              </w:rPr>
            </w:pPr>
            <w:r>
              <w:rPr>
                <w:rStyle w:val="AERtextsize8"/>
              </w:rPr>
              <w:t xml:space="preserve">The AER has been conservative with regard to setting the equity beta and it should set </w:t>
            </w:r>
            <w:r w:rsidRPr="00BA1869">
              <w:rPr>
                <w:rStyle w:val="AERtextsize8"/>
              </w:rPr>
              <w:t>the equity beta towards the lower end of its range.</w:t>
            </w:r>
            <w:r w:rsidRPr="00BA1869">
              <w:rPr>
                <w:rStyle w:val="FootnoteReference"/>
              </w:rPr>
              <w:t xml:space="preserve"> </w:t>
            </w:r>
            <w:r w:rsidRPr="00BA1869">
              <w:rPr>
                <w:rStyle w:val="FootnoteReference"/>
              </w:rPr>
              <w:footnoteReference w:id="316"/>
            </w:r>
            <w:r w:rsidRPr="00BA1869">
              <w:t xml:space="preserve"> </w:t>
            </w:r>
          </w:p>
        </w:tc>
        <w:tc>
          <w:tcPr>
            <w:tcW w:w="0" w:type="auto"/>
          </w:tcPr>
          <w:p w:rsidR="00BA1869" w:rsidRPr="00BA1869" w:rsidRDefault="00BA1869" w:rsidP="00BA1869">
            <w:r>
              <w:t xml:space="preserve">We have considered this submission from stakeholders. However this seems to focus on only one source of the relevant evidence we consider: the empirical 2014 study by </w:t>
            </w:r>
            <w:r w:rsidRPr="00BA1869">
              <w:t>Henry. Our consideration of the relevant evidence for the equity beta is based on all the relevant information identified in the Guideline following an assessment of their relative merits and suitability for our regulatory task: conceptual analysis, Australian empirical estimates, international empirical estimates and theory of the Black CAPM.</w:t>
            </w:r>
            <w:r w:rsidRPr="00BA1869">
              <w:rPr>
                <w:rStyle w:val="FootnoteReference"/>
              </w:rPr>
              <w:footnoteReference w:id="317"/>
            </w:r>
          </w:p>
          <w:p w:rsidR="00BA1869" w:rsidRPr="00BA1869" w:rsidRDefault="00BA1869" w:rsidP="00BA1869">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BA1869">
              <w:rPr>
                <w:rStyle w:val="FootnoteReference"/>
              </w:rPr>
              <w:footnoteReference w:id="318"/>
            </w:r>
            <w:r w:rsidRPr="00BA1869">
              <w:t xml:space="preserve">  </w:t>
            </w:r>
          </w:p>
          <w:p w:rsidR="00BA1869" w:rsidRPr="00BA1869" w:rsidDel="00EA261B" w:rsidRDefault="00BA1869" w:rsidP="00BA1869">
            <w:pPr>
              <w:rPr>
                <w:rStyle w:val="AERtextsize8"/>
              </w:rPr>
            </w:pPr>
            <w:r>
              <w:t>We consider our approach and estimate contributes to the ARORO and this has been upheld by the Tribunal.</w:t>
            </w:r>
            <w:r w:rsidRPr="00BA1869">
              <w:rPr>
                <w:rStyle w:val="FootnoteReference"/>
              </w:rPr>
              <w:footnoteReference w:id="319"/>
            </w:r>
          </w:p>
        </w:tc>
      </w:tr>
      <w:tr w:rsidR="00BA1869" w:rsidTr="002F5AB4">
        <w:tc>
          <w:tcPr>
            <w:tcW w:w="0" w:type="auto"/>
          </w:tcPr>
          <w:p w:rsidR="00BA1869" w:rsidRPr="00BA1869" w:rsidDel="00EA261B" w:rsidRDefault="00BA1869" w:rsidP="00BA1869">
            <w:pPr>
              <w:rPr>
                <w:rStyle w:val="AERtextsize8"/>
              </w:rPr>
            </w:pPr>
            <w:r w:rsidRPr="00742E6B">
              <w:rPr>
                <w:rStyle w:val="AERtextsize8"/>
              </w:rPr>
              <w:t xml:space="preserve">The AER has not provided any substantive evidence that supports its decision to apply an equity beta significantly higher than Henry (2014) </w:t>
            </w:r>
            <w:r w:rsidRPr="00BA1869">
              <w:rPr>
                <w:rStyle w:val="AERtextsize8"/>
              </w:rPr>
              <w:t>estimate of 0.4.</w:t>
            </w:r>
            <w:r w:rsidRPr="00BA1869">
              <w:rPr>
                <w:rStyle w:val="FootnoteReference"/>
              </w:rPr>
              <w:footnoteReference w:id="320"/>
            </w:r>
            <w:r w:rsidRPr="00BA1869">
              <w:rPr>
                <w:rStyle w:val="Strong"/>
              </w:rPr>
              <w:t xml:space="preserve"> </w:t>
            </w:r>
          </w:p>
        </w:tc>
        <w:tc>
          <w:tcPr>
            <w:tcW w:w="0" w:type="auto"/>
          </w:tcPr>
          <w:p w:rsidR="00BA1869" w:rsidRPr="00BA1869" w:rsidRDefault="00BA1869" w:rsidP="00BA1869">
            <w:pPr>
              <w:rPr>
                <w:rStyle w:val="AERtextsize8"/>
              </w:rPr>
            </w:pPr>
            <w:r>
              <w:rPr>
                <w:rStyle w:val="AERtextsize8"/>
              </w:rPr>
              <w:t xml:space="preserve">As noted above, we apply the Guideline approach to setting the equity beta. </w:t>
            </w:r>
            <w:r w:rsidRPr="00BA1869">
              <w:rPr>
                <w:rStyle w:val="AERtextsize8"/>
              </w:rPr>
              <w:t xml:space="preserve">We outline our analysis and consideration of the relevant evidence in this chapter and do not only rely on one piece of material. </w:t>
            </w:r>
          </w:p>
          <w:p w:rsidR="00BA1869" w:rsidRPr="00BA1869" w:rsidDel="00EA261B" w:rsidRDefault="00BA1869" w:rsidP="00FB3200">
            <w:pPr>
              <w:rPr>
                <w:rStyle w:val="AERtextsize8"/>
              </w:rPr>
            </w:pPr>
            <w:r>
              <w:rPr>
                <w:rStyle w:val="AERtextsize8"/>
              </w:rPr>
              <w:t xml:space="preserve">Our analysis of Australian empirical estimates indicates an empirical range of 0.4–0.7. </w:t>
            </w:r>
            <w:r w:rsidR="00FB3200">
              <w:rPr>
                <w:rStyle w:val="AERtextsize8"/>
              </w:rPr>
              <w:t>C</w:t>
            </w:r>
            <w:r>
              <w:rPr>
                <w:rStyle w:val="AERtextsize8"/>
              </w:rPr>
              <w:t xml:space="preserve">onsiderations of the theory of the Black CAPM and international empirical estimates lead us </w:t>
            </w:r>
            <w:r w:rsidRPr="00BA1869">
              <w:rPr>
                <w:rStyle w:val="AERtextsize8"/>
              </w:rPr>
              <w:t xml:space="preserve">to set a point estimate </w:t>
            </w:r>
            <w:r w:rsidR="005422DC">
              <w:rPr>
                <w:rStyle w:val="AERtextsize8"/>
              </w:rPr>
              <w:t>towards</w:t>
            </w:r>
            <w:r w:rsidRPr="00BA1869">
              <w:rPr>
                <w:rStyle w:val="AERtextsize8"/>
              </w:rPr>
              <w:t xml:space="preserve"> the top of our range of 0.7.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Del="00EA261B" w:rsidRDefault="00BA1869" w:rsidP="00BA1869">
            <w:pPr>
              <w:rPr>
                <w:rStyle w:val="AERtextsize8"/>
              </w:rPr>
            </w:pPr>
            <w:r w:rsidRPr="00742E6B">
              <w:rPr>
                <w:rStyle w:val="AERtextsize8"/>
              </w:rPr>
              <w:t xml:space="preserve">The AER needs to have greater regard to </w:t>
            </w:r>
            <w:r w:rsidR="00410AB6" w:rsidRPr="00742E6B">
              <w:rPr>
                <w:rStyle w:val="AERtextsize8"/>
              </w:rPr>
              <w:t>stakeholders’</w:t>
            </w:r>
            <w:r w:rsidRPr="00742E6B">
              <w:rPr>
                <w:rStyle w:val="AERtextsize8"/>
              </w:rPr>
              <w:t xml:space="preserve"> critiques of its equity beta estimation approach and to apply an equity beta at the lower end of the range (i.e. 0.4 or lower).</w:t>
            </w:r>
            <w:r w:rsidRPr="00BA1869">
              <w:rPr>
                <w:rStyle w:val="FootnoteReference"/>
              </w:rPr>
              <w:footnoteReference w:id="321"/>
            </w:r>
          </w:p>
        </w:tc>
        <w:tc>
          <w:tcPr>
            <w:tcW w:w="0" w:type="auto"/>
          </w:tcPr>
          <w:p w:rsidR="00BA1869" w:rsidRPr="00BA1869" w:rsidDel="00EA261B" w:rsidRDefault="00BA1869" w:rsidP="00BA1869">
            <w:pPr>
              <w:rPr>
                <w:rStyle w:val="AERtextsize8"/>
              </w:rPr>
            </w:pPr>
            <w:r>
              <w:rPr>
                <w:rStyle w:val="AERtextsize8"/>
              </w:rPr>
              <w:t xml:space="preserve">We </w:t>
            </w:r>
            <w:r w:rsidRPr="00BA1869">
              <w:rPr>
                <w:rStyle w:val="AERtextsize8"/>
              </w:rPr>
              <w:t xml:space="preserve">consider carefully all submissions to our regulatory processes. We assess them based on their merits like all materials submitted to us.  </w:t>
            </w:r>
          </w:p>
        </w:tc>
      </w:tr>
      <w:tr w:rsidR="00BA1869" w:rsidTr="002F5AB4">
        <w:tc>
          <w:tcPr>
            <w:tcW w:w="0" w:type="auto"/>
          </w:tcPr>
          <w:p w:rsidR="00BA1869" w:rsidRPr="003379AF" w:rsidDel="00EA261B" w:rsidRDefault="00BA1869" w:rsidP="00BA1869">
            <w:pPr>
              <w:rPr>
                <w:rStyle w:val="AERtextsize8"/>
              </w:rPr>
            </w:pPr>
          </w:p>
        </w:tc>
        <w:tc>
          <w:tcPr>
            <w:tcW w:w="0" w:type="auto"/>
          </w:tcPr>
          <w:p w:rsidR="00BA1869" w:rsidDel="00EA261B" w:rsidRDefault="00BA1869" w:rsidP="00BA1869">
            <w:pPr>
              <w:rPr>
                <w:rStyle w:val="AERtextsize8"/>
              </w:rPr>
            </w:pPr>
          </w:p>
        </w:tc>
      </w:tr>
    </w:tbl>
    <w:p w:rsidR="001D4715" w:rsidRDefault="001D4715" w:rsidP="001D4715">
      <w:pPr>
        <w:pStyle w:val="AERtablesource"/>
      </w:pPr>
      <w:r>
        <w:t>Source:</w:t>
      </w:r>
      <w:r>
        <w:tab/>
        <w:t>AER analysis; numerous stakeholder submissions.</w:t>
      </w:r>
    </w:p>
    <w:p w:rsidR="001D4715" w:rsidRPr="00A42F74" w:rsidRDefault="001D4715" w:rsidP="00F07C14">
      <w:pPr>
        <w:pStyle w:val="HeadingBoldItalic"/>
        <w:rPr>
          <w:rStyle w:val="AERtextorange"/>
          <w:rFonts w:eastAsia="Calibri" w:cs="Times New Roman"/>
          <w:b w:val="0"/>
          <w:bCs w:val="0"/>
          <w:color w:val="51626F"/>
          <w:sz w:val="16"/>
          <w:szCs w:val="20"/>
          <w:lang w:eastAsia="en-AU"/>
        </w:rPr>
      </w:pPr>
      <w:bookmarkStart w:id="91" w:name="_Toc480460505"/>
      <w:bookmarkStart w:id="92" w:name="_Toc480460795"/>
      <w:r w:rsidRPr="00A42F74">
        <w:rPr>
          <w:rStyle w:val="AERtextorange"/>
          <w:color w:val="51626F"/>
        </w:rPr>
        <w:t>Estimating the market risk premium</w:t>
      </w:r>
      <w:bookmarkEnd w:id="91"/>
      <w:bookmarkEnd w:id="92"/>
    </w:p>
    <w:p w:rsidR="00772B77" w:rsidRDefault="00772B77" w:rsidP="00772B77">
      <w:r>
        <w:t xml:space="preserve">Our Guideline, developed after extensive consultation with stakeholders, sets out our preferred approach to estimate the market risk premium. We have consistently applied this approach since publication of the Guideline in 2013 which was upheld by the Tribunal in its decision for </w:t>
      </w:r>
      <w:r w:rsidR="00410AB6">
        <w:t>Ausgrid</w:t>
      </w:r>
      <w:r>
        <w:t>.</w:t>
      </w:r>
      <w:r>
        <w:rPr>
          <w:rStyle w:val="FootnoteReference"/>
        </w:rPr>
        <w:footnoteReference w:id="322"/>
      </w:r>
      <w:r>
        <w:t xml:space="preserve"> We also note the Tribunal upheld our use of and decision on the various relevant materials we relied upon in making our estimates.</w:t>
      </w:r>
      <w:r>
        <w:rPr>
          <w:rStyle w:val="FootnoteReference"/>
        </w:rPr>
        <w:footnoteReference w:id="323"/>
      </w:r>
      <w:r>
        <w:t xml:space="preserve"> </w:t>
      </w:r>
    </w:p>
    <w:p w:rsidR="00772B77" w:rsidRDefault="00772B77" w:rsidP="00A164C0">
      <w:pPr>
        <w:pStyle w:val="AERbulletlistfirststyle"/>
        <w:numPr>
          <w:ilvl w:val="0"/>
          <w:numId w:val="0"/>
        </w:numPr>
      </w:pPr>
      <w:r>
        <w:t xml:space="preserve">We have considered </w:t>
      </w:r>
      <w:r w:rsidR="00B31FB8">
        <w:t>AusNet Services'</w:t>
      </w:r>
      <w:r>
        <w:t xml:space="preserve"> proposal to depart from the Guideline when estimating the market risk premium.</w:t>
      </w:r>
      <w:r w:rsidR="00B31FB8">
        <w:rPr>
          <w:rStyle w:val="FootnoteReference"/>
        </w:rPr>
        <w:footnoteReference w:id="324"/>
      </w:r>
      <w:r>
        <w:t xml:space="preserve"> </w:t>
      </w:r>
      <w:r w:rsidR="006E7560">
        <w:rPr>
          <w:rStyle w:val="AERbody"/>
        </w:rPr>
        <w:t xml:space="preserve">We also note that AusNet Services' proposal </w:t>
      </w:r>
      <w:r w:rsidR="006E7560">
        <w:t>is</w:t>
      </w:r>
      <w:r w:rsidR="006E7560" w:rsidRPr="00772B77">
        <w:t xml:space="preserve"> similar</w:t>
      </w:r>
      <w:r w:rsidR="006E7560">
        <w:t xml:space="preserve"> in some respects</w:t>
      </w:r>
      <w:r w:rsidR="006E7560" w:rsidRPr="00772B77">
        <w:t xml:space="preserve"> to those submitted previously by other service providers which we have previously rejected. For example, </w:t>
      </w:r>
      <w:r w:rsidR="006E7560">
        <w:t>AusNet</w:t>
      </w:r>
      <w:r w:rsidR="006E7560" w:rsidRPr="00772B77">
        <w:t xml:space="preserve"> propose</w:t>
      </w:r>
      <w:r w:rsidR="006E7560">
        <w:t>s</w:t>
      </w:r>
      <w:r w:rsidR="006E7560" w:rsidRPr="00772B77">
        <w:t xml:space="preserve"> a higher market risk premium by assigning more weight to dividend growth model estimates of the market risk premium</w:t>
      </w:r>
      <w:r w:rsidR="006E7560">
        <w:t xml:space="preserve"> than we consider appropriate</w:t>
      </w:r>
      <w:r w:rsidR="006E7560" w:rsidRPr="00772B77">
        <w:t>.</w:t>
      </w:r>
      <w:r w:rsidR="006E7560" w:rsidRPr="00772B77">
        <w:rPr>
          <w:rStyle w:val="FootnoteReference"/>
        </w:rPr>
        <w:footnoteReference w:id="325"/>
      </w:r>
      <w:r w:rsidR="006E7560" w:rsidRPr="00772B77">
        <w:t xml:space="preserve"> </w:t>
      </w:r>
    </w:p>
    <w:p w:rsidR="00772B77" w:rsidRDefault="00772B77" w:rsidP="00772B77">
      <w:r>
        <w:t xml:space="preserve">Additional material, that has not been considered by us in our previous determinations has, however, been submitted by stakeholders through the consultation process for making this decision. We have taken all of the relevant information obtained through the determination process into account in making our decision. </w:t>
      </w:r>
      <w:r w:rsidRPr="00BF2229">
        <w:t xml:space="preserve">Our estimate of the prevailing market risk premium for this decision is 6.5 per cent. </w:t>
      </w:r>
      <w:r>
        <w:t>We have applied the approach set out in the Guideline to</w:t>
      </w:r>
      <w:r w:rsidR="00CE7579">
        <w:t xml:space="preserve"> derive</w:t>
      </w:r>
      <w:r>
        <w:t xml:space="preserve"> that estimate. </w:t>
      </w:r>
      <w:r w:rsidRPr="00BF2229">
        <w:t>This is a forward-looking estimate of the risk premium – the</w:t>
      </w:r>
      <w:r>
        <w:t xml:space="preserve"> derived market</w:t>
      </w:r>
      <w:r w:rsidRPr="00BF2229">
        <w:t xml:space="preserve"> return above the risk free rate – on the market portfolio required by investors with a ten-year investment horizon. This is in line with the definition stated in the 2013 Guideline.</w:t>
      </w:r>
    </w:p>
    <w:p w:rsidR="00772B77" w:rsidRDefault="00772B77" w:rsidP="00772B77">
      <w:r>
        <w:t>Having considered all the relevant material before us we do not consider there is satisfactory evidence to warrant departure from the Guideline approach and our 6.5 per cent point estimate. For example, the conditioning variables indicate there has not been a material change in market conditions to warrant adjusting the market risk premium.</w:t>
      </w:r>
      <w:r>
        <w:rPr>
          <w:rStyle w:val="FootnoteReference"/>
        </w:rPr>
        <w:footnoteReference w:id="326"/>
      </w:r>
      <w:r>
        <w:t xml:space="preserve"> We consider that the Guideline approach will best contribute to achieving the rate of return objective. Our reasons are set out below.</w:t>
      </w:r>
    </w:p>
    <w:p w:rsidR="00772B77" w:rsidRPr="00BF2229" w:rsidRDefault="00772B77" w:rsidP="00772B77">
      <w:r w:rsidRPr="00BF2229">
        <w:t>We consider 6.5 per cent to be the best estimate of the market risk premium to contribute to the achievement of the ARORO because:</w:t>
      </w:r>
    </w:p>
    <w:p w:rsidR="00772B77" w:rsidRPr="00BF2229" w:rsidRDefault="00772B77" w:rsidP="00772B77">
      <w:pPr>
        <w:pStyle w:val="AERbulletlistfirststyle"/>
      </w:pPr>
      <w:r w:rsidRPr="00BF2229">
        <w:t>It is supported by our consideration of all relevant material submitted to us (following consideration and scrutiny of their relative merits)</w:t>
      </w:r>
    </w:p>
    <w:p w:rsidR="00772B77" w:rsidRPr="00BF2229" w:rsidRDefault="00772B77" w:rsidP="00772B77">
      <w:pPr>
        <w:pStyle w:val="AERbulletlistfirststyle"/>
      </w:pPr>
      <w:r w:rsidRPr="00BF2229">
        <w:t>It is corroborated and verified by our cross-checks on the overall return on equity and equity risk premium. This further supports our estimate of the equity risk premium (of which the market risk premium is a component)</w:t>
      </w:r>
    </w:p>
    <w:p w:rsidR="00E06308" w:rsidRPr="00BF2229" w:rsidRDefault="00772B77" w:rsidP="00772B77">
      <w:pPr>
        <w:pStyle w:val="AERbulletlistfirststyle"/>
      </w:pPr>
      <w:r w:rsidRPr="00BF2229">
        <w:t xml:space="preserve">It provides a balanced outcome </w:t>
      </w:r>
      <w:r w:rsidR="0089473C">
        <w:t xml:space="preserve">taking into account of submissions from </w:t>
      </w:r>
      <w:r w:rsidRPr="00BF2229">
        <w:t>service providers and other stakeholders.</w:t>
      </w:r>
    </w:p>
    <w:p w:rsidR="00E06308" w:rsidRPr="006051BD" w:rsidRDefault="00772B77" w:rsidP="00A164C0">
      <w:pPr>
        <w:pStyle w:val="AERbulletlistfirststyle"/>
        <w:numPr>
          <w:ilvl w:val="0"/>
          <w:numId w:val="0"/>
        </w:numPr>
      </w:pPr>
      <w:r w:rsidRPr="00BF2229">
        <w:t xml:space="preserve">The next figure shows the market risk premium estimates from the relevant material that we have used to inform our decision. These estimates range from a low of </w:t>
      </w:r>
      <w:r w:rsidR="0031021A">
        <w:rPr>
          <w:rStyle w:val="AERbody"/>
        </w:rPr>
        <w:t>5.1</w:t>
      </w:r>
      <w:r w:rsidRPr="00BF2229">
        <w:t xml:space="preserve"> percent to a high of </w:t>
      </w:r>
      <w:r>
        <w:t>8.5</w:t>
      </w:r>
      <w:r w:rsidR="0031021A">
        <w:t>4</w:t>
      </w:r>
      <w:r w:rsidRPr="00BF2229">
        <w:t xml:space="preserve"> per cent.</w:t>
      </w:r>
    </w:p>
    <w:p w:rsidR="00772B77" w:rsidRDefault="00772B77" w:rsidP="00A164C0">
      <w:pPr>
        <w:pStyle w:val="Caption"/>
      </w:pPr>
      <w:bookmarkStart w:id="93" w:name="_Ref446266907"/>
      <w:bookmarkStart w:id="94" w:name="_Ref417222210"/>
      <w:r w:rsidRPr="00BF2229">
        <w:t xml:space="preserve">Figure </w:t>
      </w:r>
      <w:fldSimple w:instr=" STYLEREF 1 \s ">
        <w:r w:rsidR="006B4A74">
          <w:rPr>
            <w:noProof/>
          </w:rPr>
          <w:t>3</w:t>
        </w:r>
      </w:fldSimple>
      <w:r w:rsidR="008A2B2B">
        <w:noBreakHyphen/>
      </w:r>
      <w:fldSimple w:instr=" SEQ Figure \* ARABIC \s 1 ">
        <w:r w:rsidR="006B4A74">
          <w:rPr>
            <w:noProof/>
          </w:rPr>
          <w:t>4</w:t>
        </w:r>
      </w:fldSimple>
      <w:bookmarkEnd w:id="93"/>
      <w:r w:rsidRPr="00BF2229">
        <w:tab/>
        <w:t xml:space="preserve">Comparison of estimates of the market risk premium </w:t>
      </w:r>
      <w:bookmarkEnd w:id="94"/>
    </w:p>
    <w:p w:rsidR="00B761EF" w:rsidRPr="00B761EF" w:rsidRDefault="00B761EF" w:rsidP="00950EA8"/>
    <w:p w:rsidR="00772B77" w:rsidRDefault="00156301" w:rsidP="00772B77">
      <w:r w:rsidRPr="00156301">
        <w:rPr>
          <w:noProof/>
          <w:lang w:eastAsia="en-AU"/>
        </w:rPr>
        <w:drawing>
          <wp:inline distT="0" distB="0" distL="0" distR="0" wp14:anchorId="318230B7" wp14:editId="6A93A7DB">
            <wp:extent cx="5382895" cy="273170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2731704"/>
                    </a:xfrm>
                    <a:prstGeom prst="rect">
                      <a:avLst/>
                    </a:prstGeom>
                  </pic:spPr>
                </pic:pic>
              </a:graphicData>
            </a:graphic>
          </wp:inline>
        </w:drawing>
      </w:r>
    </w:p>
    <w:p w:rsidR="00772B77" w:rsidRDefault="00772B77" w:rsidP="00772B77">
      <w:pPr>
        <w:pStyle w:val="AERtablesource"/>
      </w:pPr>
      <w:r>
        <w:t xml:space="preserve">Source: </w:t>
      </w:r>
      <w:r w:rsidR="0031021A">
        <w:tab/>
      </w:r>
      <w:r>
        <w:t>AER analysis</w:t>
      </w:r>
    </w:p>
    <w:p w:rsidR="00772B77" w:rsidRPr="00772B77" w:rsidRDefault="00772B77" w:rsidP="00BA392B">
      <w:pPr>
        <w:pStyle w:val="AERtablesource"/>
      </w:pPr>
      <w:r>
        <w:t>Note:</w:t>
      </w:r>
      <w:r w:rsidRPr="00772B77">
        <w:t xml:space="preserve"> </w:t>
      </w:r>
      <w:r w:rsidR="0031021A">
        <w:tab/>
      </w:r>
      <w:r w:rsidRPr="00772B77">
        <w:t xml:space="preserve">The range of regulator's decisions was formed from data from other regulator's most recent decisions. The </w:t>
      </w:r>
      <w:r w:rsidR="0031021A">
        <w:t>t</w:t>
      </w:r>
      <w:r w:rsidRPr="00772B77">
        <w:t>op of the range (7.</w:t>
      </w:r>
      <w:r w:rsidR="00D31428">
        <w:t>7</w:t>
      </w:r>
      <w:r w:rsidRPr="00772B77">
        <w:t>5 per cent) is from IPART and the bottom of the range from ESCV and ESCOSA</w:t>
      </w:r>
      <w:r w:rsidRPr="00772B77">
        <w:rPr>
          <w:rStyle w:val="FootnoteReference"/>
        </w:rPr>
        <w:footnoteReference w:id="327"/>
      </w:r>
      <w:r w:rsidRPr="00772B77">
        <w:t>. The stakeholder submissions range is intended to reflect the views of consumer groups and those who use/engage with the energy network or pipeline, and as such it does not include submissions from service providers. The bottom and top of the stakeholder range comes from the</w:t>
      </w:r>
      <w:r w:rsidR="007004E9">
        <w:t xml:space="preserve"> Consumer Challenger Panel subpanel 4 (CCP4 (Hugh Grant)), CCP5, CCP4 and Queensland Farmers' Federation.</w:t>
      </w:r>
      <w:r w:rsidRPr="00772B77">
        <w:t>.</w:t>
      </w:r>
      <w:r w:rsidRPr="00772B77">
        <w:rPr>
          <w:rStyle w:val="FootnoteReference"/>
        </w:rPr>
        <w:footnoteReference w:id="328"/>
      </w:r>
      <w:r w:rsidRPr="00772B77">
        <w:t xml:space="preserve"> The bottom and top of the service provider proposed range comes from submissions by </w:t>
      </w:r>
      <w:r w:rsidR="00BA392B" w:rsidRPr="00772B77">
        <w:t>TasNetworks and Powerlink</w:t>
      </w:r>
      <w:r w:rsidR="00BA392B">
        <w:t>, and</w:t>
      </w:r>
      <w:r w:rsidR="00BA392B" w:rsidRPr="00BA392B">
        <w:t xml:space="preserve"> </w:t>
      </w:r>
      <w:r w:rsidRPr="00772B77">
        <w:t>AusNet</w:t>
      </w:r>
      <w:r w:rsidR="00475EF7">
        <w:t>.</w:t>
      </w:r>
      <w:r w:rsidRPr="00772B77">
        <w:rPr>
          <w:rStyle w:val="FootnoteReference"/>
        </w:rPr>
        <w:footnoteReference w:id="329"/>
      </w:r>
    </w:p>
    <w:p w:rsidR="00772B77" w:rsidRPr="00BF2229" w:rsidRDefault="00772B77" w:rsidP="00772B77">
      <w:r w:rsidRPr="00BF2229">
        <w:t>We derive our point estimate from within this range by considering the relative merits of all of the relevant material. The application of our approach is set out as follows</w:t>
      </w:r>
      <w:r w:rsidR="00E06308">
        <w:t>:</w:t>
      </w:r>
    </w:p>
    <w:p w:rsidR="00772B77" w:rsidRPr="00BF2229" w:rsidRDefault="00772B77">
      <w:pPr>
        <w:pStyle w:val="AERbulletlistfirststyle"/>
      </w:pPr>
      <w:r w:rsidRPr="00BF2229">
        <w:t>Historical excess returns provide a baseline estimate and indicates a market risk premium of approximately</w:t>
      </w:r>
      <w:r w:rsidR="00E06308">
        <w:t xml:space="preserve"> 5.5–6.0 </w:t>
      </w:r>
      <w:r w:rsidRPr="00BF2229">
        <w:t xml:space="preserve">per cent from a range of </w:t>
      </w:r>
      <w:r w:rsidR="00895FED">
        <w:t>5.1</w:t>
      </w:r>
      <w:r w:rsidR="00E06308">
        <w:t xml:space="preserve"> per cent to 6.3 per cent</w:t>
      </w:r>
      <w:r w:rsidRPr="00BF2229">
        <w:t>. We consider both geometric and arithmetic averages of historical excess returns when considering this result. However we are aware of evidence that there may be a bias in the geometric averages. We take this into account when forming our result and baseline estimate, and as such our range for historical returns is based on arithmetic averages and informed by the geometric averages.</w:t>
      </w:r>
    </w:p>
    <w:p w:rsidR="00772B77" w:rsidRPr="00BF2229" w:rsidRDefault="00772B77" w:rsidP="00772B77">
      <w:pPr>
        <w:pStyle w:val="AERbulletlistfirststyle"/>
      </w:pPr>
      <w:r w:rsidRPr="00BF2229">
        <w:t xml:space="preserve">Dividend growth model estimates indicate a market risk premium estimate above this baseline with a range of </w:t>
      </w:r>
      <w:r>
        <w:t>7.19 to 8.5</w:t>
      </w:r>
      <w:r w:rsidR="0031021A">
        <w:t>4</w:t>
      </w:r>
      <w:r>
        <w:t xml:space="preserve"> per cent, which when conducting sensitivity analysis expands to </w:t>
      </w:r>
      <w:r w:rsidR="00E06308">
        <w:t xml:space="preserve">6.51 to 9.16 per cent. </w:t>
      </w:r>
      <w:r w:rsidRPr="00BF2229">
        <w:t xml:space="preserve">We consider our dividend growth model is theoretically sound but that there are many limitations in practically implementing the model. As previously stated in our assessment of the dividend growth model, it may capture current conditions to a certain extent but fails to adequately provide a 'true' estimate of the forward looking MRP. We consider our, and other, dividend growth models are likely to produce upward biased estimates in the current market due to reasons provided in Section B.4. We also take into consideration that our model, and other models, may not accurately track changes in the return on equity for the market. For these reasons, we do not consider that the dividend growth model estimates are reliable on their own, but they do provide an indication for a point estimate above the range derived from the historical returns, as the guideline method shows. The guideline </w:t>
      </w:r>
      <w:r>
        <w:t>designated</w:t>
      </w:r>
      <w:r w:rsidRPr="00BF2229">
        <w:t xml:space="preserve"> the dividend growth model </w:t>
      </w:r>
      <w:r>
        <w:t>to inform on</w:t>
      </w:r>
      <w:r w:rsidRPr="00BF2229">
        <w:t xml:space="preserve"> whether the market risk premium </w:t>
      </w:r>
      <w:r>
        <w:t>may be</w:t>
      </w:r>
      <w:r w:rsidRPr="00BF2229">
        <w:t xml:space="preserve"> above or below the historical estimates.</w:t>
      </w:r>
      <w:r w:rsidRPr="00BF2229">
        <w:rPr>
          <w:rStyle w:val="FootnoteReference"/>
        </w:rPr>
        <w:footnoteReference w:id="330"/>
      </w:r>
      <w:r w:rsidRPr="00BF2229">
        <w:t xml:space="preserve"> The </w:t>
      </w:r>
      <w:r w:rsidR="00CE7579">
        <w:t xml:space="preserve">substantial </w:t>
      </w:r>
      <w:r>
        <w:t>widening</w:t>
      </w:r>
      <w:r w:rsidRPr="00BF2229">
        <w:t xml:space="preserve"> in the range of results</w:t>
      </w:r>
      <w:r w:rsidR="00CE7579">
        <w:t xml:space="preserve"> from the sensitivity analysis</w:t>
      </w:r>
      <w:r w:rsidRPr="00BF2229">
        <w:t xml:space="preserve"> </w:t>
      </w:r>
      <w:r w:rsidR="00CE7579">
        <w:t>is indicative of</w:t>
      </w:r>
      <w:r w:rsidRPr="00BF2229">
        <w:t xml:space="preserve"> the unreliability stressed by the limitations </w:t>
      </w:r>
      <w:r w:rsidR="00CE7579">
        <w:t>we discuss</w:t>
      </w:r>
      <w:r w:rsidRPr="00BF2229">
        <w:t xml:space="preserve"> in Section B.4.</w:t>
      </w:r>
    </w:p>
    <w:p w:rsidR="00772B77" w:rsidRPr="00BF2229" w:rsidRDefault="00772B77" w:rsidP="00772B77">
      <w:pPr>
        <w:pStyle w:val="AERbulletlistfirststyle"/>
      </w:pPr>
      <w:r w:rsidRPr="00BF2229">
        <w:t xml:space="preserve">We also look at other regulator's decisions when considering our estimate of the market risk premium, after we have accounted for differences in objectives and approved calculation methods, as a cross check. Recent decisions indicate a market risk premium estimate of around 6.5 per cent is reasonable. Conditioning variables indicate that there has not been a material change in market conditions since our May and April 2016 decisions. See section </w:t>
      </w:r>
      <w:r w:rsidR="00E06308">
        <w:t xml:space="preserve">F.4 </w:t>
      </w:r>
      <w:r w:rsidRPr="00BF2229">
        <w:t>for more detail on regulators' recent decisions and their estimations</w:t>
      </w:r>
    </w:p>
    <w:p w:rsidR="00772B77" w:rsidRPr="00BF2229" w:rsidRDefault="00772B77" w:rsidP="00772B77">
      <w:pPr>
        <w:pStyle w:val="AERbulletlistfirststyle"/>
      </w:pPr>
      <w:r w:rsidRPr="00BF2229">
        <w:t xml:space="preserve">Survey evidence supports a market risk premium around </w:t>
      </w:r>
      <w:r w:rsidR="00E06308">
        <w:t>6.0 to 6.5 per cent</w:t>
      </w:r>
      <w:r w:rsidRPr="00BF2229">
        <w:t xml:space="preserve">. </w:t>
      </w:r>
    </w:p>
    <w:p w:rsidR="00772B77" w:rsidRPr="00814CDE" w:rsidRDefault="00031C17" w:rsidP="00950EA8">
      <w:pPr>
        <w:pStyle w:val="AERbulletlistfirststyle"/>
        <w:numPr>
          <w:ilvl w:val="0"/>
          <w:numId w:val="0"/>
        </w:numPr>
      </w:pPr>
      <w:r>
        <w:t>Consumers'</w:t>
      </w:r>
      <w:r w:rsidR="00772B77" w:rsidRPr="00BF2229">
        <w:t xml:space="preserve"> submissions have generally supported a market risk premium at or below the 6.5 per cent. </w:t>
      </w:r>
      <w:r w:rsidR="0087675F">
        <w:t xml:space="preserve">We have considered the submissions and our analysis of the relevant evidence and all material before us indicate that </w:t>
      </w:r>
      <w:r>
        <w:t xml:space="preserve">an appropriate estimate of </w:t>
      </w:r>
      <w:r w:rsidR="0087675F">
        <w:t xml:space="preserve">the forward looking 10 year market risk premium is 6.5 per cent. </w:t>
      </w:r>
      <w:r w:rsidR="00772B77">
        <w:t>Th</w:t>
      </w:r>
      <w:r w:rsidR="0087675F">
        <w:t>ese submissions</w:t>
      </w:r>
      <w:r w:rsidR="00772B77">
        <w:t xml:space="preserve"> </w:t>
      </w:r>
      <w:r w:rsidR="0087675F">
        <w:t>are</w:t>
      </w:r>
      <w:r w:rsidR="00772B77">
        <w:t xml:space="preserve"> summarised in table </w:t>
      </w:r>
      <w:r w:rsidR="00A24DED">
        <w:t>3–5</w:t>
      </w:r>
      <w:r w:rsidR="00772B77">
        <w:t xml:space="preserve"> below</w:t>
      </w:r>
      <w:r w:rsidR="004F6D1E">
        <w:t>.</w:t>
      </w:r>
    </w:p>
    <w:p w:rsidR="00772B77" w:rsidRPr="0007286C" w:rsidRDefault="00AC1A83" w:rsidP="00772B77">
      <w:pPr>
        <w:pStyle w:val="Caption"/>
        <w:rPr>
          <w:rStyle w:val="Strong"/>
        </w:rPr>
      </w:pPr>
      <w:r w:rsidRPr="00AC1A83">
        <w:t xml:space="preserve">Table </w:t>
      </w:r>
      <w:fldSimple w:instr=" STYLEREF 1 \s ">
        <w:r w:rsidR="006B4A74">
          <w:rPr>
            <w:noProof/>
          </w:rPr>
          <w:t>3</w:t>
        </w:r>
      </w:fldSimple>
      <w:r w:rsidR="008F29C8">
        <w:noBreakHyphen/>
      </w:r>
      <w:fldSimple w:instr=" SEQ Table \* ARABIC \s 1 ">
        <w:r w:rsidR="006B4A74">
          <w:rPr>
            <w:noProof/>
          </w:rPr>
          <w:t>5</w:t>
        </w:r>
      </w:fldSimple>
      <w:r w:rsidR="00772B77">
        <w:t>: Stakeholder Submissions on the Return on Equity</w:t>
      </w:r>
      <w:r w:rsidR="008D52B7">
        <w:t xml:space="preserve"> and market risk premium</w:t>
      </w:r>
    </w:p>
    <w:tbl>
      <w:tblPr>
        <w:tblStyle w:val="AERtable-text0"/>
        <w:tblW w:w="8977" w:type="dxa"/>
        <w:tblLook w:val="04A0" w:firstRow="1" w:lastRow="0" w:firstColumn="1" w:lastColumn="0" w:noHBand="0" w:noVBand="1"/>
      </w:tblPr>
      <w:tblGrid>
        <w:gridCol w:w="2871"/>
        <w:gridCol w:w="6106"/>
      </w:tblGrid>
      <w:tr w:rsidR="00772B77" w:rsidTr="002656D9">
        <w:trPr>
          <w:cnfStyle w:val="100000000000" w:firstRow="1" w:lastRow="0" w:firstColumn="0" w:lastColumn="0" w:oddVBand="0" w:evenVBand="0" w:oddHBand="0" w:evenHBand="0" w:firstRowFirstColumn="0" w:firstRowLastColumn="0" w:lastRowFirstColumn="0" w:lastRowLastColumn="0"/>
          <w:trHeight w:val="504"/>
          <w:tblHeader/>
        </w:trPr>
        <w:tc>
          <w:tcPr>
            <w:tcW w:w="2871" w:type="dxa"/>
          </w:tcPr>
          <w:p w:rsidR="00772B77" w:rsidRPr="00772B77" w:rsidRDefault="00772B77" w:rsidP="00772B77">
            <w:pPr>
              <w:pStyle w:val="AERtabletextleft"/>
            </w:pPr>
            <w:r>
              <w:t>S</w:t>
            </w:r>
            <w:r w:rsidRPr="00772B77">
              <w:t>takeholder</w:t>
            </w:r>
          </w:p>
        </w:tc>
        <w:tc>
          <w:tcPr>
            <w:tcW w:w="6106" w:type="dxa"/>
          </w:tcPr>
          <w:p w:rsidR="00772B77" w:rsidRPr="00772B77" w:rsidRDefault="00772B77" w:rsidP="00772B77">
            <w:pPr>
              <w:pStyle w:val="AERtabletextleft"/>
            </w:pPr>
            <w:r>
              <w:t>Submission Content</w:t>
            </w:r>
          </w:p>
        </w:tc>
      </w:tr>
      <w:tr w:rsidR="00772B77" w:rsidTr="00772B77">
        <w:trPr>
          <w:trHeight w:val="1935"/>
        </w:trPr>
        <w:tc>
          <w:tcPr>
            <w:tcW w:w="2871" w:type="dxa"/>
          </w:tcPr>
          <w:p w:rsidR="00772B77" w:rsidRPr="00772B77" w:rsidRDefault="00772B77" w:rsidP="00772B77">
            <w:pPr>
              <w:pStyle w:val="AERtabletextleft"/>
            </w:pPr>
            <w:r w:rsidRPr="00BF2229">
              <w:t>Consumer Challenge Panel (CCP</w:t>
            </w:r>
            <w:r w:rsidRPr="00772B77">
              <w:t>5)</w:t>
            </w:r>
          </w:p>
        </w:tc>
        <w:tc>
          <w:tcPr>
            <w:tcW w:w="6106" w:type="dxa"/>
          </w:tcPr>
          <w:p w:rsidR="00772B77" w:rsidRPr="00772B77" w:rsidRDefault="00772B77" w:rsidP="00772B77">
            <w:pPr>
              <w:pStyle w:val="AERtabletextleft"/>
            </w:pPr>
            <w:r>
              <w:t>T</w:t>
            </w:r>
            <w:r w:rsidRPr="00772B77">
              <w:t xml:space="preserve">he AER was “right to reduce” AusNet Service’s proposed Weighted Average Cost of Capital parameters, including the market risk premium which was set as 8.17% in their initial proposal, as the service provider’s parameters were too high for prevailing economic conditions. </w:t>
            </w:r>
            <w:r w:rsidRPr="00772B77">
              <w:rPr>
                <w:rStyle w:val="FootnoteReference"/>
              </w:rPr>
              <w:footnoteReference w:id="331"/>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72B77" w:rsidRPr="00772B77" w:rsidRDefault="00772B77" w:rsidP="00772B77">
            <w:pPr>
              <w:pStyle w:val="AERtabletextleft"/>
            </w:pPr>
            <w:r w:rsidRPr="00BF2229">
              <w:t>Consumer Challenge Panel (CCP</w:t>
            </w:r>
            <w:r w:rsidRPr="00772B77">
              <w:t>5)</w:t>
            </w:r>
          </w:p>
        </w:tc>
        <w:tc>
          <w:tcPr>
            <w:tcW w:w="6106" w:type="dxa"/>
          </w:tcPr>
          <w:p w:rsidR="00772B77" w:rsidRPr="00772B77" w:rsidRDefault="00772B77" w:rsidP="00772B77">
            <w:pPr>
              <w:pStyle w:val="AERtabletextleft"/>
            </w:pPr>
            <w:r>
              <w:t>A</w:t>
            </w:r>
            <w:r w:rsidRPr="00772B77">
              <w:t>ny move from the recommended 6.5 per cent MRP to the service providers’ new recommendation of 7.5 per cent would be a reactionary in light of “short term fluctuation in the risk return relationship”.</w:t>
            </w:r>
            <w:r w:rsidRPr="00772B77">
              <w:rPr>
                <w:rStyle w:val="FootnoteReference"/>
              </w:rPr>
              <w:footnoteReference w:id="332"/>
            </w:r>
          </w:p>
        </w:tc>
      </w:tr>
      <w:tr w:rsidR="00772B77" w:rsidTr="00772B77">
        <w:trPr>
          <w:trHeight w:val="1935"/>
        </w:trPr>
        <w:tc>
          <w:tcPr>
            <w:tcW w:w="2871" w:type="dxa"/>
          </w:tcPr>
          <w:p w:rsidR="00772B77" w:rsidRPr="00772B77" w:rsidRDefault="00772B77" w:rsidP="00772B77">
            <w:pPr>
              <w:pStyle w:val="AERtabletextleft"/>
            </w:pPr>
            <w:r w:rsidRPr="00BF2229">
              <w:t>Consumer Challenge Panel</w:t>
            </w:r>
            <w:r w:rsidR="005F17A2">
              <w:t>-David Headberry</w:t>
            </w:r>
            <w:r w:rsidRPr="00BF2229">
              <w:t xml:space="preserve"> (CCP</w:t>
            </w:r>
            <w:r w:rsidRPr="00772B77">
              <w:t>4</w:t>
            </w:r>
            <w:r w:rsidR="005F17A2">
              <w:t xml:space="preserve"> (David Headberry)</w:t>
            </w:r>
            <w:r w:rsidRPr="00772B77">
              <w:t>)</w:t>
            </w:r>
          </w:p>
        </w:tc>
        <w:tc>
          <w:tcPr>
            <w:tcW w:w="6106" w:type="dxa"/>
          </w:tcPr>
          <w:p w:rsidR="00772B77" w:rsidRPr="00772B77" w:rsidRDefault="00772B77" w:rsidP="005F17A2">
            <w:pPr>
              <w:pStyle w:val="AERtabletextleft"/>
            </w:pPr>
            <w:r>
              <w:t xml:space="preserve">CCP4 </w:t>
            </w:r>
            <w:r w:rsidR="005F17A2">
              <w:t>(David Headberry) submitted</w:t>
            </w:r>
            <w:r>
              <w:t xml:space="preserve"> that with the rising risk free rate the </w:t>
            </w:r>
            <w:r w:rsidRPr="00772B77">
              <w:t>previously acknowledged conservative param</w:t>
            </w:r>
            <w:r w:rsidR="00BA392B">
              <w:t>e</w:t>
            </w:r>
            <w:r w:rsidRPr="00772B77">
              <w:t>ters, namely MRP and Equity Beta, should be adjusted accordingly to take the rise into account.</w:t>
            </w:r>
            <w:r w:rsidRPr="00772B77">
              <w:rPr>
                <w:rStyle w:val="FootnoteReference"/>
              </w:rPr>
              <w:footnoteReference w:id="333"/>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72B77" w:rsidRPr="00772B77" w:rsidRDefault="00772B77" w:rsidP="00772B77">
            <w:pPr>
              <w:pStyle w:val="AERtabletextleft"/>
            </w:pPr>
            <w:r w:rsidRPr="00BF2229">
              <w:t>Consumer Challenge Panel</w:t>
            </w:r>
            <w:r w:rsidR="005F17A2">
              <w:t>-Hugh Grant</w:t>
            </w:r>
            <w:r w:rsidRPr="00BF2229">
              <w:t xml:space="preserve"> (CCP</w:t>
            </w:r>
            <w:r w:rsidRPr="00772B77">
              <w:t>4</w:t>
            </w:r>
            <w:r w:rsidR="005F17A2">
              <w:t xml:space="preserve"> (Hugh Grant)</w:t>
            </w:r>
            <w:r w:rsidRPr="00772B77">
              <w:t>)</w:t>
            </w:r>
          </w:p>
        </w:tc>
        <w:tc>
          <w:tcPr>
            <w:tcW w:w="6106" w:type="dxa"/>
          </w:tcPr>
          <w:p w:rsidR="00772B77" w:rsidRPr="00772B77" w:rsidRDefault="00772B77" w:rsidP="00BA392B">
            <w:pPr>
              <w:pStyle w:val="AERtabletextleft"/>
            </w:pPr>
            <w:r>
              <w:t xml:space="preserve">CCP4 </w:t>
            </w:r>
            <w:r w:rsidR="005F17A2">
              <w:t xml:space="preserve">(Hugh Grant) </w:t>
            </w:r>
            <w:r>
              <w:t xml:space="preserve">also submitted that the AER </w:t>
            </w:r>
            <w:r w:rsidRPr="00772B77">
              <w:t>should propose an MRP closer to 5 per cent.</w:t>
            </w:r>
            <w:r w:rsidRPr="00772B77">
              <w:rPr>
                <w:rStyle w:val="FootnoteReference"/>
              </w:rPr>
              <w:footnoteReference w:id="334"/>
            </w:r>
          </w:p>
        </w:tc>
      </w:tr>
      <w:tr w:rsidR="00E939FE" w:rsidTr="00772B77">
        <w:trPr>
          <w:trHeight w:val="1935"/>
        </w:trPr>
        <w:tc>
          <w:tcPr>
            <w:tcW w:w="2871" w:type="dxa"/>
          </w:tcPr>
          <w:p w:rsidR="00E939FE" w:rsidRPr="00BF2229" w:rsidRDefault="00E939FE" w:rsidP="00772B77">
            <w:pPr>
              <w:pStyle w:val="AERtabletextleft"/>
            </w:pPr>
            <w:r>
              <w:t>Cotton Australia</w:t>
            </w:r>
          </w:p>
        </w:tc>
        <w:tc>
          <w:tcPr>
            <w:tcW w:w="6106" w:type="dxa"/>
          </w:tcPr>
          <w:p w:rsidR="00E939FE" w:rsidRDefault="00E939FE" w:rsidP="00E939FE">
            <w:pPr>
              <w:pStyle w:val="AERtabletextleft"/>
            </w:pPr>
            <w:r>
              <w:t>Cotton Australia were encouraged by the lower rate of return proposed in Powerlink's revised proposal and acknowledges that this is in line with the AER's proposal on the matter.</w:t>
            </w:r>
            <w:r>
              <w:rPr>
                <w:rStyle w:val="FootnoteReference"/>
              </w:rPr>
              <w:footnoteReference w:id="335"/>
            </w:r>
          </w:p>
        </w:tc>
      </w:tr>
      <w:tr w:rsidR="00561DD2"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561DD2" w:rsidRDefault="00561DD2" w:rsidP="00772B77">
            <w:pPr>
              <w:pStyle w:val="AERtabletextleft"/>
            </w:pPr>
            <w:r>
              <w:t>John Herbst</w:t>
            </w:r>
          </w:p>
        </w:tc>
        <w:tc>
          <w:tcPr>
            <w:tcW w:w="6106" w:type="dxa"/>
          </w:tcPr>
          <w:p w:rsidR="00561DD2" w:rsidRDefault="00561DD2" w:rsidP="00561DD2">
            <w:pPr>
              <w:pStyle w:val="AERtabletextleft"/>
            </w:pPr>
            <w:r>
              <w:t xml:space="preserve">Mr Herbst submits that the AER is not holding the </w:t>
            </w:r>
            <w:r w:rsidR="00486EA0">
              <w:t>s</w:t>
            </w:r>
            <w:r>
              <w:t>ervice providers to account in regards to applying the National Electricity Rules and setting a rate of return that allows consumers to pay for the value the network provides to them</w:t>
            </w:r>
            <w:r>
              <w:rPr>
                <w:rStyle w:val="FootnoteReference"/>
              </w:rPr>
              <w:footnoteReference w:id="336"/>
            </w:r>
          </w:p>
        </w:tc>
      </w:tr>
    </w:tbl>
    <w:p w:rsidR="00772B77" w:rsidRPr="00BF2229" w:rsidRDefault="00772B77">
      <w:pPr>
        <w:pStyle w:val="AERbulletlistfirststyle"/>
        <w:numPr>
          <w:ilvl w:val="0"/>
          <w:numId w:val="0"/>
        </w:numPr>
      </w:pPr>
    </w:p>
    <w:p w:rsidR="00772B77" w:rsidRPr="00BF2229" w:rsidRDefault="00772B77" w:rsidP="00950EA8">
      <w:r w:rsidRPr="00BF2229">
        <w:t xml:space="preserve">The current service providers diverge in their proposed market risk premium. Both </w:t>
      </w:r>
      <w:r w:rsidR="00410AB6" w:rsidRPr="00BF2229">
        <w:t>TasNetworks</w:t>
      </w:r>
      <w:r w:rsidRPr="00BF2229">
        <w:t xml:space="preserve"> and Powerlink adopt the Guideline. Whilst AusNet Services depart from the Guideline</w:t>
      </w:r>
      <w:r w:rsidR="0087675F">
        <w:t xml:space="preserve"> foundation model approach</w:t>
      </w:r>
      <w:r w:rsidRPr="00BF2229">
        <w:t xml:space="preserve"> </w:t>
      </w:r>
      <w:r w:rsidR="0087675F">
        <w:t>by</w:t>
      </w:r>
      <w:r w:rsidRPr="00BF2229">
        <w:t xml:space="preserve"> mischaracteris</w:t>
      </w:r>
      <w:r w:rsidR="0087675F">
        <w:t>ing</w:t>
      </w:r>
      <w:r w:rsidRPr="00BF2229">
        <w:t xml:space="preserve"> </w:t>
      </w:r>
      <w:r w:rsidR="0087675F">
        <w:t>it</w:t>
      </w:r>
      <w:r w:rsidRPr="00BF2229">
        <w:t xml:space="preserve"> in proposing a market risk premium of 7.5 per cent. </w:t>
      </w:r>
    </w:p>
    <w:p w:rsidR="00772B77" w:rsidRPr="00BF2229" w:rsidRDefault="00772B77" w:rsidP="00BA392B">
      <w:pPr>
        <w:pStyle w:val="AERbulletlistfirststyle"/>
        <w:numPr>
          <w:ilvl w:val="0"/>
          <w:numId w:val="0"/>
        </w:numPr>
      </w:pPr>
      <w:r w:rsidRPr="00BF2229">
        <w:t>We discuss each of these points below.</w:t>
      </w:r>
    </w:p>
    <w:p w:rsidR="00772B77" w:rsidRPr="00BF2229" w:rsidRDefault="00BF0C3E" w:rsidP="001A7089">
      <w:pPr>
        <w:pStyle w:val="HeadingItalic"/>
      </w:pPr>
      <w:bookmarkStart w:id="95" w:name="_Ref478395602"/>
      <w:bookmarkStart w:id="96" w:name="_Toc480460506"/>
      <w:bookmarkStart w:id="97" w:name="_Toc480460796"/>
      <w:r>
        <w:t>AusNet Services' m</w:t>
      </w:r>
      <w:r w:rsidR="00772B77" w:rsidRPr="00BF2229">
        <w:t>ischaracterisation of the Guideline</w:t>
      </w:r>
      <w:bookmarkEnd w:id="95"/>
      <w:bookmarkEnd w:id="96"/>
      <w:bookmarkEnd w:id="97"/>
    </w:p>
    <w:p w:rsidR="00772B77" w:rsidRDefault="00772B77" w:rsidP="00772B77">
      <w:r w:rsidRPr="00BF2229">
        <w:t>AusNet Services claim</w:t>
      </w:r>
      <w:r>
        <w:t>ed</w:t>
      </w:r>
      <w:r w:rsidRPr="00BF2229">
        <w:t xml:space="preserve"> the December 2013 Guideline </w:t>
      </w:r>
      <w:r>
        <w:t xml:space="preserve">used the simple average </w:t>
      </w:r>
      <w:r w:rsidRPr="00BF2229">
        <w:t>of historical excess returns and dividend growth model estimates to set a market risk premium of 6.5 per cent</w:t>
      </w:r>
      <w:r>
        <w:t xml:space="preserve"> while giving 'little' weight to other relevant material</w:t>
      </w:r>
      <w:r w:rsidRPr="00BF2229">
        <w:t>.</w:t>
      </w:r>
      <w:r w:rsidRPr="00BF2229">
        <w:rPr>
          <w:rStyle w:val="FootnoteReference"/>
        </w:rPr>
        <w:footnoteReference w:id="337"/>
      </w:r>
      <w:r w:rsidRPr="00BF2229">
        <w:t xml:space="preserve"> </w:t>
      </w:r>
      <w:r w:rsidR="00FB3200">
        <w:t>AusNet Services</w:t>
      </w:r>
      <w:r w:rsidR="00FB3200" w:rsidRPr="00BF2229">
        <w:t xml:space="preserve"> </w:t>
      </w:r>
      <w:r w:rsidRPr="00BF2229">
        <w:t>argu</w:t>
      </w:r>
      <w:r>
        <w:t>ed</w:t>
      </w:r>
      <w:r w:rsidRPr="00BF2229">
        <w:t xml:space="preserve"> a consistent application (based on </w:t>
      </w:r>
      <w:r>
        <w:t xml:space="preserve">excess return and </w:t>
      </w:r>
      <w:r w:rsidRPr="00BF2229">
        <w:t>dividend growth model data</w:t>
      </w:r>
      <w:r>
        <w:t xml:space="preserve"> in the May 2016 AusNet Services Transmission draft decision</w:t>
      </w:r>
      <w:r w:rsidRPr="00BF2229">
        <w:t xml:space="preserve">) would lead to a market risk premium of 7.5 per cent. </w:t>
      </w:r>
    </w:p>
    <w:p w:rsidR="004A411C" w:rsidRDefault="004A411C" w:rsidP="004A411C">
      <w:r w:rsidRPr="00BF2229">
        <w:t>This is a mischaracterisation of the Guideline</w:t>
      </w:r>
      <w:r>
        <w:t xml:space="preserve"> approach: </w:t>
      </w:r>
    </w:p>
    <w:p w:rsidR="004A411C" w:rsidRPr="00772B77" w:rsidRDefault="004A411C" w:rsidP="004A411C">
      <w:pPr>
        <w:pStyle w:val="AERbulletlistfirststyle"/>
      </w:pPr>
      <w:r>
        <w:t>T</w:t>
      </w:r>
      <w:r w:rsidRPr="00B97F30">
        <w:t>he Guideline</w:t>
      </w:r>
      <w:r>
        <w:t xml:space="preserve"> approach</w:t>
      </w:r>
      <w:r w:rsidRPr="00B97F30">
        <w:t xml:space="preserve"> </w:t>
      </w:r>
      <w:r>
        <w:t>is not to</w:t>
      </w:r>
      <w:r w:rsidRPr="00B97F30">
        <w:t xml:space="preserve"> simply average estimates across historical excess returns and dividend growth models to inform point estimate selections.</w:t>
      </w:r>
      <w:r>
        <w:t xml:space="preserve"> </w:t>
      </w:r>
    </w:p>
    <w:p w:rsidR="004A411C" w:rsidRDefault="004A411C" w:rsidP="004A411C">
      <w:pPr>
        <w:pStyle w:val="AERbulletlistfirststyle"/>
        <w:rPr>
          <w:rStyle w:val="AERtexthighlight"/>
        </w:rPr>
      </w:pPr>
      <w:r>
        <w:t>T</w:t>
      </w:r>
      <w:r w:rsidRPr="00B97F30">
        <w:t>he mechanistic approach suggested by AusNet Services downplays issues with the reliability of dividend growth models, their suitability for our regulatory task and the consequent role/s the Guideline assigns them</w:t>
      </w:r>
      <w:r>
        <w:t xml:space="preserve"> and the manner in which we take different evidence into account when exercising discretionary judgement.</w:t>
      </w:r>
      <w:r w:rsidRPr="00C26886">
        <w:rPr>
          <w:rStyle w:val="AERtexthighlight"/>
        </w:rPr>
        <w:t xml:space="preserve"> </w:t>
      </w:r>
    </w:p>
    <w:p w:rsidR="004A411C" w:rsidRPr="00772B77" w:rsidRDefault="004A411C" w:rsidP="004A411C">
      <w:pPr>
        <w:pStyle w:val="AERbulletlistfirststyle"/>
      </w:pPr>
      <w:r w:rsidRPr="00BF2229">
        <w:t>We have consistently outlined our considerations and methods in the Guideline, and application of the Guideline in regulatory decisions to date.</w:t>
      </w:r>
      <w:r w:rsidRPr="00772B77">
        <w:rPr>
          <w:rStyle w:val="FootnoteReference"/>
        </w:rPr>
        <w:footnoteReference w:id="338"/>
      </w:r>
      <w:r w:rsidRPr="00772B77">
        <w:t xml:space="preserve"> Our estimation of the market risk premium is informed by a range of relevant material:</w:t>
      </w:r>
      <w:r w:rsidRPr="00772B77">
        <w:rPr>
          <w:rStyle w:val="FootnoteReference"/>
        </w:rPr>
        <w:footnoteReference w:id="339"/>
      </w:r>
      <w:r w:rsidRPr="00772B77">
        <w:t xml:space="preserve"> </w:t>
      </w:r>
    </w:p>
    <w:p w:rsidR="004A411C" w:rsidRDefault="004A411C" w:rsidP="00A164C0">
      <w:pPr>
        <w:pStyle w:val="AERbulletlistsecondstyle"/>
      </w:pPr>
      <w:r>
        <w:t>We place most reliance on historical excess returns. Therefore, we use this information to determine a baseline estimate of the market risk premium. We consider 6.0 per cent</w:t>
      </w:r>
      <w:r w:rsidR="00FC0B7B">
        <w:t xml:space="preserve"> (from a range of </w:t>
      </w:r>
      <w:r w:rsidR="00CE2A08">
        <w:t>5.1</w:t>
      </w:r>
      <w:r w:rsidR="00FC0B7B">
        <w:t>–6.3 per cent)</w:t>
      </w:r>
      <w:r>
        <w:t xml:space="preserve"> is, at this time, a reasonable point estimate based on this source of evidence.</w:t>
      </w:r>
    </w:p>
    <w:p w:rsidR="004A411C" w:rsidRDefault="004A411C" w:rsidP="00A164C0">
      <w:pPr>
        <w:pStyle w:val="AERbulletlistsecondstyle"/>
      </w:pPr>
      <w:r>
        <w:t>We place less reliance on our dividend growth model estimates of the market risk premium. This information indicates whether we should select a market risk premium point estimate above or below the baseline estimate.</w:t>
      </w:r>
    </w:p>
    <w:p w:rsidR="004A411C" w:rsidRDefault="004A411C" w:rsidP="00A164C0">
      <w:pPr>
        <w:pStyle w:val="AERbulletlistsecondstyle"/>
      </w:pPr>
      <w:r>
        <w:t xml:space="preserve">We place some reliance on the other information (survey evidence and conditioning variables). This information, in conjunction with dividend growth model evidence, helps to indicate how far above or below the baseline estimate the market risk premium point estimate should be. We use other Australian regulators' market risk premium estimates as a cross check on how we consider information. </w:t>
      </w:r>
    </w:p>
    <w:p w:rsidR="00772B77" w:rsidRPr="00BF2229" w:rsidRDefault="00772B77" w:rsidP="00772B77">
      <w:r w:rsidRPr="00BF2229">
        <w:t>Our use of relevant material is informed by the roles assigned to them which are based on their relative merits and suitability for our regulatory task</w:t>
      </w:r>
      <w:r>
        <w:t>:</w:t>
      </w:r>
      <w:r w:rsidRPr="00BF2229">
        <w:rPr>
          <w:rStyle w:val="FootnoteReference"/>
        </w:rPr>
        <w:footnoteReference w:id="340"/>
      </w:r>
    </w:p>
    <w:p w:rsidR="00772B77" w:rsidRPr="0007286C" w:rsidRDefault="00AC1A83" w:rsidP="00772B77">
      <w:pPr>
        <w:pStyle w:val="Caption"/>
        <w:rPr>
          <w:rStyle w:val="Strong"/>
        </w:rPr>
      </w:pPr>
      <w:r w:rsidRPr="00AC1A83">
        <w:t xml:space="preserve">Table </w:t>
      </w:r>
      <w:fldSimple w:instr=" STYLEREF 1 \s ">
        <w:r w:rsidR="006B4A74">
          <w:rPr>
            <w:noProof/>
          </w:rPr>
          <w:t>3</w:t>
        </w:r>
      </w:fldSimple>
      <w:r w:rsidR="008F29C8">
        <w:noBreakHyphen/>
      </w:r>
      <w:fldSimple w:instr=" SEQ Table \* ARABIC \s 1 ">
        <w:r w:rsidR="006B4A74">
          <w:rPr>
            <w:noProof/>
          </w:rPr>
          <w:t>6</w:t>
        </w:r>
      </w:fldSimple>
      <w:r w:rsidR="00772B77">
        <w:t>: Role assigned to each source of relevant material in determining the market risk pr</w:t>
      </w:r>
      <w:r w:rsidR="00A24DED">
        <w:t>e</w:t>
      </w:r>
      <w:r w:rsidR="00772B77">
        <w:t>mium</w:t>
      </w:r>
    </w:p>
    <w:tbl>
      <w:tblPr>
        <w:tblStyle w:val="AERtable-text0"/>
        <w:tblW w:w="8755" w:type="dxa"/>
        <w:tblLook w:val="04A0" w:firstRow="1" w:lastRow="0" w:firstColumn="1" w:lastColumn="0" w:noHBand="0" w:noVBand="1"/>
      </w:tblPr>
      <w:tblGrid>
        <w:gridCol w:w="2134"/>
        <w:gridCol w:w="2020"/>
        <w:gridCol w:w="4601"/>
      </w:tblGrid>
      <w:tr w:rsidR="00772B77" w:rsidTr="00A164C0">
        <w:trPr>
          <w:cnfStyle w:val="100000000000" w:firstRow="1" w:lastRow="0" w:firstColumn="0" w:lastColumn="0" w:oddVBand="0" w:evenVBand="0" w:oddHBand="0" w:evenHBand="0" w:firstRowFirstColumn="0" w:firstRowLastColumn="0" w:lastRowFirstColumn="0" w:lastRowLastColumn="0"/>
          <w:tblHeader/>
        </w:trPr>
        <w:tc>
          <w:tcPr>
            <w:tcW w:w="2134" w:type="dxa"/>
          </w:tcPr>
          <w:p w:rsidR="00772B77" w:rsidRPr="00772B77" w:rsidRDefault="00772B77" w:rsidP="00772B77">
            <w:pPr>
              <w:pStyle w:val="AERtabletextleft"/>
            </w:pPr>
            <w:r>
              <w:t>Relevant material</w:t>
            </w:r>
          </w:p>
        </w:tc>
        <w:tc>
          <w:tcPr>
            <w:tcW w:w="2020" w:type="dxa"/>
          </w:tcPr>
          <w:p w:rsidR="00772B77" w:rsidRPr="00772B77" w:rsidRDefault="00772B77" w:rsidP="00772B77">
            <w:pPr>
              <w:pStyle w:val="AERtabletextleft"/>
            </w:pPr>
            <w:r>
              <w:t>Role</w:t>
            </w:r>
          </w:p>
        </w:tc>
        <w:tc>
          <w:tcPr>
            <w:tcW w:w="4601" w:type="dxa"/>
          </w:tcPr>
          <w:p w:rsidR="00772B77" w:rsidRPr="00772B77" w:rsidRDefault="00772B77" w:rsidP="00772B77">
            <w:pPr>
              <w:pStyle w:val="AERtabletextleft"/>
            </w:pPr>
            <w:r>
              <w:t xml:space="preserve">Reasons for </w:t>
            </w:r>
            <w:r w:rsidRPr="00772B77">
              <w:t>chosen role</w:t>
            </w:r>
          </w:p>
        </w:tc>
      </w:tr>
      <w:tr w:rsidR="00772B77" w:rsidTr="00A164C0">
        <w:tc>
          <w:tcPr>
            <w:tcW w:w="2134" w:type="dxa"/>
          </w:tcPr>
          <w:p w:rsidR="00772B77" w:rsidRPr="00772B77" w:rsidRDefault="00772B77" w:rsidP="00772B77">
            <w:pPr>
              <w:pStyle w:val="AERtabletextleft"/>
            </w:pPr>
            <w:r>
              <w:t>Historical excess returns</w:t>
            </w:r>
          </w:p>
        </w:tc>
        <w:tc>
          <w:tcPr>
            <w:tcW w:w="2020" w:type="dxa"/>
          </w:tcPr>
          <w:p w:rsidR="00772B77" w:rsidRPr="00772B77" w:rsidRDefault="00772B77" w:rsidP="00772B77">
            <w:pPr>
              <w:pStyle w:val="AERtabletextleft"/>
            </w:pPr>
            <w:r>
              <w:t xml:space="preserve">Given the most reliance </w:t>
            </w:r>
          </w:p>
        </w:tc>
        <w:tc>
          <w:tcPr>
            <w:tcW w:w="4601" w:type="dxa"/>
          </w:tcPr>
          <w:p w:rsidR="00772B77" w:rsidRPr="00772B77" w:rsidRDefault="00772B77" w:rsidP="00772B77">
            <w:pPr>
              <w:pStyle w:val="AERtabletextleft"/>
            </w:pPr>
            <w:r>
              <w:t xml:space="preserve">Meets most of the criteria. </w:t>
            </w:r>
            <w:r w:rsidRPr="00772B77">
              <w:t>The main potential limitation is slow response to changes in market conditions. This is not a limitation if investor expectations of the 10 year forward looking market risk premium move similarly slowly. Further, considering other sources of evidence reduces this limitation.</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Dividend growth models (AER's construction)</w:t>
            </w:r>
          </w:p>
        </w:tc>
        <w:tc>
          <w:tcPr>
            <w:tcW w:w="2020" w:type="dxa"/>
          </w:tcPr>
          <w:p w:rsidR="00772B77" w:rsidRPr="00772B77" w:rsidRDefault="00772B77" w:rsidP="00772B77">
            <w:pPr>
              <w:pStyle w:val="AERtabletextleft"/>
            </w:pPr>
            <w:r>
              <w:t xml:space="preserve">Given </w:t>
            </w:r>
            <w:r w:rsidRPr="00772B77">
              <w:t>the second most reliance</w:t>
            </w:r>
          </w:p>
        </w:tc>
        <w:tc>
          <w:tcPr>
            <w:tcW w:w="4601" w:type="dxa"/>
          </w:tcPr>
          <w:p w:rsidR="00772B77" w:rsidRPr="00772B77" w:rsidRDefault="00772B77" w:rsidP="00772B77">
            <w:pPr>
              <w:pStyle w:val="AERtabletextleft"/>
            </w:pPr>
            <w:r>
              <w:t>Meets most</w:t>
            </w:r>
            <w:r w:rsidRPr="00772B77">
              <w:t xml:space="preserve"> of the criteria. The main limitation is its sensitivity to assumptions, which is significant. It is also likely to produce upward biased estimates.</w:t>
            </w:r>
            <w:r w:rsidRPr="00772B77">
              <w:rPr>
                <w:rStyle w:val="FootnoteReference"/>
              </w:rPr>
              <w:footnoteReference w:id="341"/>
            </w:r>
            <w:r w:rsidRPr="00772B77">
              <w:t xml:space="preserve"> Since it can readily reflect changes in market conditions, it complements our use of historical excess returns. However, its tracking ability is limited if it produces inaccurate results.</w:t>
            </w:r>
          </w:p>
        </w:tc>
      </w:tr>
      <w:tr w:rsidR="00772B77" w:rsidTr="00A164C0">
        <w:tc>
          <w:tcPr>
            <w:tcW w:w="2134" w:type="dxa"/>
          </w:tcPr>
          <w:p w:rsidR="00772B77" w:rsidRPr="00772B77" w:rsidRDefault="00772B77" w:rsidP="00772B77">
            <w:pPr>
              <w:pStyle w:val="AERtabletextleft"/>
            </w:pPr>
            <w:r>
              <w:t>Survey evidence</w:t>
            </w:r>
          </w:p>
        </w:tc>
        <w:tc>
          <w:tcPr>
            <w:tcW w:w="2020" w:type="dxa"/>
          </w:tcPr>
          <w:p w:rsidR="00772B77" w:rsidRPr="00772B77" w:rsidRDefault="00772B77" w:rsidP="00772B77">
            <w:pPr>
              <w:pStyle w:val="AERtabletextleft"/>
            </w:pPr>
            <w:r>
              <w:t>Given some reliance (point in time estimate)</w:t>
            </w:r>
          </w:p>
        </w:tc>
        <w:tc>
          <w:tcPr>
            <w:tcW w:w="4601" w:type="dxa"/>
          </w:tcPr>
          <w:p w:rsidR="00772B77" w:rsidRPr="00772B77" w:rsidRDefault="00772B77" w:rsidP="00772B77">
            <w:pPr>
              <w:pStyle w:val="AERtabletextleft"/>
            </w:pPr>
            <w:r>
              <w:t>Its main strength is that it estimates investor expectations. However, limitations related to survey design and representativeness of respondents can reduce the value of these estimates. T</w:t>
            </w:r>
            <w:r w:rsidRPr="00772B77">
              <w:t>riangulation of survey evidence may reduce these limitations.</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Conditioning variables (dividend yields, credit spreads, implied volatility)</w:t>
            </w:r>
          </w:p>
        </w:tc>
        <w:tc>
          <w:tcPr>
            <w:tcW w:w="2020" w:type="dxa"/>
          </w:tcPr>
          <w:p w:rsidR="00772B77" w:rsidRPr="00772B77" w:rsidRDefault="00772B77" w:rsidP="00772B77">
            <w:pPr>
              <w:pStyle w:val="AERtabletextleft"/>
            </w:pPr>
            <w:r>
              <w:t>Given some reliance  (directional information only)</w:t>
            </w:r>
          </w:p>
        </w:tc>
        <w:tc>
          <w:tcPr>
            <w:tcW w:w="4601" w:type="dxa"/>
          </w:tcPr>
          <w:p w:rsidR="00772B77" w:rsidRPr="00772B77" w:rsidRDefault="00772B77" w:rsidP="00772B77">
            <w:pPr>
              <w:pStyle w:val="AERtabletextleft"/>
            </w:pPr>
            <w:r>
              <w:t xml:space="preserve">Their main strength is their ability to detect changing market conditions. However, it is difficult to derive an MRP estimate from this information in a robust manner. </w:t>
            </w:r>
            <w:r w:rsidRPr="00772B77">
              <w:t>Academic and empirical evidence on this information is mixed.</w:t>
            </w:r>
          </w:p>
        </w:tc>
      </w:tr>
      <w:tr w:rsidR="00772B77" w:rsidTr="00A164C0">
        <w:tc>
          <w:tcPr>
            <w:tcW w:w="2134" w:type="dxa"/>
          </w:tcPr>
          <w:p w:rsidR="00772B77" w:rsidRPr="00772B77" w:rsidRDefault="00772B77" w:rsidP="00772B77">
            <w:pPr>
              <w:pStyle w:val="AERtabletextleft"/>
            </w:pPr>
            <w:r>
              <w:t>Other Australian regulators' market risk premium</w:t>
            </w:r>
            <w:r w:rsidRPr="00772B77">
              <w:t xml:space="preserve"> estimates</w:t>
            </w:r>
          </w:p>
        </w:tc>
        <w:tc>
          <w:tcPr>
            <w:tcW w:w="2020" w:type="dxa"/>
          </w:tcPr>
          <w:p w:rsidR="00772B77" w:rsidRPr="00772B77" w:rsidRDefault="00772B77" w:rsidP="00772B77">
            <w:pPr>
              <w:pStyle w:val="AERtabletextleft"/>
            </w:pPr>
            <w:r>
              <w:t>Cross check on how we consider information</w:t>
            </w:r>
          </w:p>
        </w:tc>
        <w:tc>
          <w:tcPr>
            <w:tcW w:w="4601" w:type="dxa"/>
          </w:tcPr>
          <w:p w:rsidR="00772B77" w:rsidRPr="00772B77" w:rsidRDefault="00772B77" w:rsidP="00772B77">
            <w:pPr>
              <w:pStyle w:val="AERtabletextleft"/>
            </w:pPr>
            <w:r>
              <w:t>This</w:t>
            </w:r>
            <w:r w:rsidRPr="00772B77">
              <w:t xml:space="preserve"> is indirect evidence of the market risk premium, which we do not use to estimate the market risk premium. However, we consider it useful to have regard to the approaches other regulators are taking to consider the evidence before them. </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Dividend growth models (SFG's construction)</w:t>
            </w:r>
          </w:p>
        </w:tc>
        <w:tc>
          <w:tcPr>
            <w:tcW w:w="2020" w:type="dxa"/>
          </w:tcPr>
          <w:p w:rsidR="00772B77" w:rsidRPr="00772B77" w:rsidRDefault="00772B77" w:rsidP="00772B77">
            <w:pPr>
              <w:pStyle w:val="AERtabletextleft"/>
            </w:pPr>
            <w:r>
              <w:t xml:space="preserve">Does not inform our </w:t>
            </w:r>
            <w:r w:rsidRPr="00772B77">
              <w:t>market risk premium estimate</w:t>
            </w:r>
          </w:p>
        </w:tc>
        <w:tc>
          <w:tcPr>
            <w:tcW w:w="4601" w:type="dxa"/>
          </w:tcPr>
          <w:p w:rsidR="00772B77" w:rsidRPr="00772B77" w:rsidRDefault="00772B77" w:rsidP="00772B77">
            <w:pPr>
              <w:pStyle w:val="AERtabletextleft"/>
            </w:pPr>
            <w:r>
              <w:t xml:space="preserve">We consider this </w:t>
            </w:r>
            <w:r w:rsidRPr="00772B77">
              <w:t>dividend growth model is unnecessarily complex and produces unrealistic growth rates. We consider SFG overstates its benefits because it transfers where one makes assumptions, rather than reducing the need to make assumptions. (see appendix B—DGM)</w:t>
            </w:r>
          </w:p>
        </w:tc>
      </w:tr>
      <w:tr w:rsidR="00772B77" w:rsidTr="00A164C0">
        <w:tc>
          <w:tcPr>
            <w:tcW w:w="2134" w:type="dxa"/>
          </w:tcPr>
          <w:p w:rsidR="00772B77" w:rsidRPr="00772B77" w:rsidRDefault="00772B77" w:rsidP="00772B77">
            <w:pPr>
              <w:pStyle w:val="AERtabletextleft"/>
            </w:pPr>
            <w:r>
              <w:t>Imputation credit adjustment (AER, Brailsford et al</w:t>
            </w:r>
            <w:r w:rsidRPr="00772B77">
              <w:t>.)</w:t>
            </w:r>
          </w:p>
        </w:tc>
        <w:tc>
          <w:tcPr>
            <w:tcW w:w="2020" w:type="dxa"/>
          </w:tcPr>
          <w:p w:rsidR="00772B77" w:rsidRPr="00772B77" w:rsidRDefault="00772B77" w:rsidP="00772B77">
            <w:pPr>
              <w:pStyle w:val="AERtabletextleft"/>
            </w:pPr>
            <w:r>
              <w:t xml:space="preserve">Adjust </w:t>
            </w:r>
            <w:r w:rsidRPr="00772B77">
              <w:t>market risk premium estimate under the dividend growth model and historical excess returns</w:t>
            </w:r>
          </w:p>
        </w:tc>
        <w:tc>
          <w:tcPr>
            <w:tcW w:w="4601" w:type="dxa"/>
          </w:tcPr>
          <w:p w:rsidR="00772B77" w:rsidRPr="00772B77" w:rsidRDefault="00772B77" w:rsidP="005422DC">
            <w:pPr>
              <w:pStyle w:val="AERtabletextleft"/>
            </w:pPr>
            <w:r>
              <w:t xml:space="preserve">This is </w:t>
            </w:r>
            <w:r w:rsidRPr="00772B77">
              <w:t xml:space="preserve">consistent with economic and finance principles and empirical analysis. The adjustment is also transparent and replicable. </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Imputation credit adjustment (SFG)</w:t>
            </w:r>
          </w:p>
        </w:tc>
        <w:tc>
          <w:tcPr>
            <w:tcW w:w="2020" w:type="dxa"/>
          </w:tcPr>
          <w:p w:rsidR="00772B77" w:rsidRPr="00772B77" w:rsidRDefault="00772B77" w:rsidP="00772B77">
            <w:pPr>
              <w:pStyle w:val="AERtabletextleft"/>
            </w:pPr>
            <w:r>
              <w:t>Does not inform our</w:t>
            </w:r>
            <w:r w:rsidRPr="00772B77">
              <w:t xml:space="preserve"> market risk premium estimate</w:t>
            </w:r>
          </w:p>
        </w:tc>
        <w:tc>
          <w:tcPr>
            <w:tcW w:w="4601" w:type="dxa"/>
          </w:tcPr>
          <w:p w:rsidR="00772B77" w:rsidRPr="00772B77" w:rsidRDefault="00772B77" w:rsidP="00772B77">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772B77" w:rsidTr="00A164C0">
        <w:tc>
          <w:tcPr>
            <w:tcW w:w="2134" w:type="dxa"/>
          </w:tcPr>
          <w:p w:rsidR="00772B77" w:rsidRPr="00772B77" w:rsidRDefault="00772B77" w:rsidP="00772B77">
            <w:pPr>
              <w:pStyle w:val="AERtabletextleft"/>
            </w:pPr>
            <w:r w:rsidRPr="007F16A5">
              <w:t>Independent valuation reports</w:t>
            </w:r>
          </w:p>
        </w:tc>
        <w:tc>
          <w:tcPr>
            <w:tcW w:w="2020" w:type="dxa"/>
          </w:tcPr>
          <w:p w:rsidR="00772B77" w:rsidRPr="00772B77" w:rsidRDefault="00772B77" w:rsidP="00772B77">
            <w:pPr>
              <w:pStyle w:val="AERtabletextleft"/>
            </w:pPr>
            <w:r w:rsidRPr="007F16A5">
              <w:t xml:space="preserve">Does not inform our </w:t>
            </w:r>
            <w:r w:rsidRPr="00772B77">
              <w:t>market risk premium estimate</w:t>
            </w:r>
          </w:p>
        </w:tc>
        <w:tc>
          <w:tcPr>
            <w:tcW w:w="4601" w:type="dxa"/>
          </w:tcPr>
          <w:p w:rsidR="00772B77" w:rsidRPr="00772B77" w:rsidRDefault="00772B77" w:rsidP="00772B77">
            <w:pPr>
              <w:pStyle w:val="AERtabletextleft"/>
            </w:pPr>
            <w:r w:rsidRPr="007F16A5">
              <w:t>More suitable for use at the overall return on equity level because writers of these reports can adjust individual parameters to obtain an overall result.</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rsidRPr="007F16A5">
              <w:t xml:space="preserve">The </w:t>
            </w:r>
            <w:r w:rsidRPr="00772B77">
              <w:t>Wright approach</w:t>
            </w:r>
          </w:p>
        </w:tc>
        <w:tc>
          <w:tcPr>
            <w:tcW w:w="2020" w:type="dxa"/>
          </w:tcPr>
          <w:p w:rsidR="00772B77" w:rsidRPr="00772B77" w:rsidRDefault="00772B77" w:rsidP="00772B77">
            <w:pPr>
              <w:pStyle w:val="AERtabletextleft"/>
            </w:pPr>
            <w:r w:rsidRPr="007F16A5">
              <w:t xml:space="preserve">Does not inform our </w:t>
            </w:r>
            <w:r w:rsidRPr="00772B77">
              <w:t>market risk premium estimate</w:t>
            </w:r>
          </w:p>
        </w:tc>
        <w:tc>
          <w:tcPr>
            <w:tcW w:w="4601" w:type="dxa"/>
          </w:tcPr>
          <w:p w:rsidR="00772B77" w:rsidRPr="00D36C21" w:rsidRDefault="00772B77" w:rsidP="00D36C21">
            <w:pPr>
              <w:pStyle w:val="AERtabletextleft"/>
            </w:pPr>
            <w:r w:rsidRPr="00D36C21">
              <w:t xml:space="preserve">More suitable for informing the overall return on equity because it is </w:t>
            </w:r>
            <w:r w:rsidRPr="00FD4060">
              <w:rPr>
                <w:rStyle w:val="AERbody"/>
                <w:sz w:val="20"/>
              </w:rPr>
              <w:t xml:space="preserve">designed to provide information at the return on equity level and does not use a direct estimate of the MRP. </w:t>
            </w:r>
          </w:p>
        </w:tc>
      </w:tr>
    </w:tbl>
    <w:p w:rsidR="00E358C3" w:rsidRDefault="00E358C3" w:rsidP="00772B77">
      <w:pPr>
        <w:pStyle w:val="AERtablesource"/>
      </w:pPr>
    </w:p>
    <w:p w:rsidR="00772B77" w:rsidRPr="00772B77" w:rsidRDefault="00772B77" w:rsidP="00772B77">
      <w:pPr>
        <w:pStyle w:val="AERtablesource"/>
        <w:rPr>
          <w:rStyle w:val="AERbody"/>
        </w:rPr>
      </w:pPr>
      <w:r w:rsidRPr="006B6B29">
        <w:t>Source:</w:t>
      </w:r>
      <w:r w:rsidRPr="006B6B29">
        <w:tab/>
        <w:t>AER analysis.</w:t>
      </w:r>
    </w:p>
    <w:p w:rsidR="00F3278A" w:rsidRPr="00772B77" w:rsidRDefault="00F3278A" w:rsidP="00A164C0">
      <w:pPr>
        <w:pStyle w:val="AERbulletlistfirststyle"/>
        <w:numPr>
          <w:ilvl w:val="0"/>
          <w:numId w:val="0"/>
        </w:numPr>
        <w:rPr>
          <w:rStyle w:val="AERbody"/>
          <w:rFonts w:cstheme="minorBidi"/>
        </w:rPr>
      </w:pPr>
      <w:r>
        <w:rPr>
          <w:rStyle w:val="AERbody"/>
        </w:rPr>
        <w:t xml:space="preserve">We also note that AusNet Services' proposal </w:t>
      </w:r>
      <w:r>
        <w:t>is</w:t>
      </w:r>
      <w:r w:rsidRPr="00772B77">
        <w:t xml:space="preserve"> similar</w:t>
      </w:r>
      <w:r>
        <w:t xml:space="preserve"> in some respects</w:t>
      </w:r>
      <w:r w:rsidRPr="00772B77">
        <w:t xml:space="preserve"> to those submitted previously by other service providers which we have previously rejected. For example, </w:t>
      </w:r>
      <w:r>
        <w:t>AusNet</w:t>
      </w:r>
      <w:r w:rsidRPr="00772B77">
        <w:t xml:space="preserve"> propose</w:t>
      </w:r>
      <w:r>
        <w:t>s</w:t>
      </w:r>
      <w:r w:rsidRPr="00772B77">
        <w:t xml:space="preserve"> a higher market risk premium by assigning more weight to dividend growth model estimates of the market risk premium</w:t>
      </w:r>
      <w:r>
        <w:t xml:space="preserve"> than we consider appropriate</w:t>
      </w:r>
      <w:r w:rsidRPr="00772B77">
        <w:t>.</w:t>
      </w:r>
      <w:r w:rsidRPr="00772B77">
        <w:rPr>
          <w:rStyle w:val="FootnoteReference"/>
        </w:rPr>
        <w:footnoteReference w:id="342"/>
      </w:r>
      <w:r w:rsidRPr="00772B77">
        <w:t xml:space="preserve"> </w:t>
      </w:r>
    </w:p>
    <w:p w:rsidR="00772B77" w:rsidRPr="00C26886" w:rsidRDefault="00772B77" w:rsidP="00772B77">
      <w:pPr>
        <w:rPr>
          <w:rStyle w:val="AERtexthighlight"/>
        </w:rPr>
      </w:pPr>
      <w:r>
        <w:rPr>
          <w:rStyle w:val="AERbody"/>
        </w:rPr>
        <w:t xml:space="preserve">Partington and Satchell advised against giving more weight to dividend growth estimates in </w:t>
      </w:r>
      <w:r w:rsidR="00F3278A">
        <w:rPr>
          <w:rStyle w:val="AERbody"/>
        </w:rPr>
        <w:t xml:space="preserve">the </w:t>
      </w:r>
      <w:r>
        <w:rPr>
          <w:rStyle w:val="AERbody"/>
        </w:rPr>
        <w:t>absence of reliable evidence reviewing the accuracy of dividend growth model estimates.</w:t>
      </w:r>
      <w:r>
        <w:rPr>
          <w:rStyle w:val="FootnoteReference"/>
        </w:rPr>
        <w:footnoteReference w:id="343"/>
      </w:r>
      <w:r>
        <w:rPr>
          <w:rStyle w:val="AERbody"/>
        </w:rPr>
        <w:t xml:space="preserve"> </w:t>
      </w:r>
      <w:r w:rsidR="008520D1">
        <w:rPr>
          <w:rStyle w:val="AERbody"/>
        </w:rPr>
        <w:t>They</w:t>
      </w:r>
      <w:r>
        <w:rPr>
          <w:rStyle w:val="AERbody"/>
        </w:rPr>
        <w:t xml:space="preserve"> noted that 'it is not clear</w:t>
      </w:r>
      <w:r w:rsidR="00BA392B">
        <w:rPr>
          <w:rStyle w:val="AERbody"/>
        </w:rPr>
        <w:t xml:space="preserve"> </w:t>
      </w:r>
      <w:r>
        <w:rPr>
          <w:rStyle w:val="AERbody"/>
        </w:rPr>
        <w:t>that it is appropriate to apply equal weights' to historical excess returns and dividend growth model estimates.</w:t>
      </w:r>
      <w:r>
        <w:rPr>
          <w:rStyle w:val="FootnoteReference"/>
        </w:rPr>
        <w:footnoteReference w:id="344"/>
      </w:r>
      <w:r>
        <w:rPr>
          <w:rStyle w:val="AERbody"/>
        </w:rPr>
        <w:t xml:space="preserve"> Further, </w:t>
      </w:r>
      <w:r w:rsidRPr="005B0AFA">
        <w:rPr>
          <w:rStyle w:val="AERbody"/>
        </w:rPr>
        <w:t xml:space="preserve">Partington and Satchell </w:t>
      </w:r>
      <w:r>
        <w:rPr>
          <w:rStyle w:val="AERbody"/>
        </w:rPr>
        <w:t>noted</w:t>
      </w:r>
      <w:r w:rsidRPr="005B0AFA">
        <w:rPr>
          <w:rStyle w:val="AERbody"/>
        </w:rPr>
        <w:t xml:space="preserve"> that issues with dividend growth forecasts</w:t>
      </w:r>
      <w:r>
        <w:rPr>
          <w:rStyle w:val="AERbody"/>
        </w:rPr>
        <w:t>,</w:t>
      </w:r>
      <w:r w:rsidRPr="005B0AFA">
        <w:rPr>
          <w:rStyle w:val="AERbody"/>
        </w:rPr>
        <w:t xml:space="preserve"> as well as bias within analyst reports</w:t>
      </w:r>
      <w:r>
        <w:rPr>
          <w:rStyle w:val="AERbody"/>
        </w:rPr>
        <w:t>,</w:t>
      </w:r>
      <w:r w:rsidRPr="005B0AFA">
        <w:rPr>
          <w:rStyle w:val="FootnoteReference"/>
        </w:rPr>
        <w:footnoteReference w:id="345"/>
      </w:r>
      <w:r w:rsidRPr="008E4F6D">
        <w:rPr>
          <w:rStyle w:val="AERbody"/>
        </w:rPr>
        <w:t xml:space="preserve"> are </w:t>
      </w:r>
      <w:r w:rsidRPr="005B0AFA">
        <w:rPr>
          <w:rStyle w:val="AERbody"/>
        </w:rPr>
        <w:t>still valid and prominent in the current market conditions</w:t>
      </w:r>
      <w:r w:rsidR="0072561F">
        <w:rPr>
          <w:rStyle w:val="AERbody"/>
        </w:rPr>
        <w:t>.</w:t>
      </w:r>
      <w:r w:rsidRPr="005B0AFA">
        <w:rPr>
          <w:rStyle w:val="FootnoteReference"/>
        </w:rPr>
        <w:footnoteReference w:id="346"/>
      </w:r>
    </w:p>
    <w:p w:rsidR="00772B77" w:rsidRDefault="00772B77" w:rsidP="00772B77">
      <w:pPr>
        <w:rPr>
          <w:rStyle w:val="AERbody"/>
        </w:rPr>
      </w:pPr>
      <w:r>
        <w:rPr>
          <w:rStyle w:val="AERbody"/>
        </w:rPr>
        <w:t xml:space="preserve">AusNet Services effectively propose to estimate the market risk premium using a (simple) average of historical excess returns and dividend growth model estimates. This bears </w:t>
      </w:r>
      <w:r w:rsidR="005B3C75">
        <w:rPr>
          <w:rStyle w:val="AERbody"/>
        </w:rPr>
        <w:t xml:space="preserve">some </w:t>
      </w:r>
      <w:r>
        <w:rPr>
          <w:rStyle w:val="AERbody"/>
        </w:rPr>
        <w:t>resemblance to the previously proposed "multi-model" approach</w:t>
      </w:r>
      <w:r>
        <w:rPr>
          <w:rStyle w:val="FootnoteReference"/>
        </w:rPr>
        <w:footnoteReference w:id="347"/>
      </w:r>
      <w:r>
        <w:rPr>
          <w:rStyle w:val="AERbody"/>
        </w:rPr>
        <w:t xml:space="preserve"> which estimated the return on equity and market risk premium using an average of four different sources.</w:t>
      </w:r>
      <w:r w:rsidR="00327929">
        <w:rPr>
          <w:rStyle w:val="FootnoteReference"/>
        </w:rPr>
        <w:footnoteReference w:id="348"/>
      </w:r>
      <w:r>
        <w:rPr>
          <w:rStyle w:val="AERbody"/>
        </w:rPr>
        <w:t xml:space="preserve"> </w:t>
      </w:r>
    </w:p>
    <w:p w:rsidR="00772B77" w:rsidRDefault="00772B77" w:rsidP="00772B77">
      <w:pPr>
        <w:rPr>
          <w:rStyle w:val="AERbody"/>
        </w:rPr>
      </w:pPr>
      <w:r>
        <w:rPr>
          <w:rStyle w:val="AERbody"/>
        </w:rPr>
        <w:t xml:space="preserve">Our assessment of the relevant evidence in the Guideline and regulatory decisions indicates that the dividend growth model is most suited to inform whether the point estimate lies above or below the historical excess returns. AusNet Services' proposal gives insufficient consideration to the relative merits of the relevant evidence.  </w:t>
      </w:r>
    </w:p>
    <w:p w:rsidR="004F088A" w:rsidRDefault="004F088A" w:rsidP="004F088A">
      <w:r>
        <w:t>Partington and Satchell advised that we should not assign more weight to dividend growth model estimates (as AusNet Services seem to suggest) because of inaccuracy, upward bias of the estimates and sensitivity of the model to inputs and assumptions.</w:t>
      </w:r>
      <w:r>
        <w:rPr>
          <w:rStyle w:val="FootnoteReference"/>
        </w:rPr>
        <w:footnoteReference w:id="349"/>
      </w:r>
      <w:r>
        <w:t xml:space="preserve"> They concluded that it is 'very unlikely that the DGM will produce a forward looking MRP commensurate with the prevailing conditions in the market for funds'.</w:t>
      </w:r>
      <w:r>
        <w:rPr>
          <w:rStyle w:val="FootnoteReference"/>
        </w:rPr>
        <w:footnoteReference w:id="350"/>
      </w:r>
      <w:r>
        <w:t xml:space="preserve"> </w:t>
      </w:r>
      <w:r w:rsidR="00500FB8">
        <w:t xml:space="preserve">Partington and Satchell </w:t>
      </w:r>
      <w:r>
        <w:t>noted that '</w:t>
      </w:r>
      <w:r w:rsidRPr="00135673">
        <w:t>DGM-based estimates of the MRP in a 10 year horizon context, are probably better down-weighted than given more weight</w:t>
      </w:r>
      <w:r>
        <w:t xml:space="preserve">'. </w:t>
      </w:r>
    </w:p>
    <w:p w:rsidR="004F088A" w:rsidRDefault="004F088A" w:rsidP="004F088A">
      <w:r>
        <w:t>Partington and Satchell advised that 'the DGM…</w:t>
      </w:r>
      <w:r w:rsidRPr="00135673">
        <w:t>is more useful as a conceptual tool than a forecasting model</w:t>
      </w:r>
      <w:r>
        <w:t>'.</w:t>
      </w:r>
      <w:r>
        <w:rPr>
          <w:rStyle w:val="FootnoteReference"/>
        </w:rPr>
        <w:footnoteReference w:id="351"/>
      </w:r>
      <w:r>
        <w:t xml:space="preserve"> This is consistent with our Guideline approach of using dividend growth model estimates to inform if a point estimate may be above or below the historical excess estimate.</w:t>
      </w:r>
    </w:p>
    <w:p w:rsidR="00772B77" w:rsidRDefault="00772B77" w:rsidP="00772B77">
      <w:pPr>
        <w:rPr>
          <w:rStyle w:val="AERbody"/>
        </w:rPr>
      </w:pPr>
      <w:r w:rsidRPr="008E4F6D">
        <w:rPr>
          <w:rStyle w:val="AERbody"/>
        </w:rPr>
        <w:t>AusNet Services</w:t>
      </w:r>
      <w:r>
        <w:rPr>
          <w:rStyle w:val="AERbody"/>
        </w:rPr>
        <w:t xml:space="preserve"> also</w:t>
      </w:r>
      <w:r w:rsidRPr="008E4F6D">
        <w:rPr>
          <w:rStyle w:val="AERbody"/>
        </w:rPr>
        <w:t xml:space="preserve"> submitted that </w:t>
      </w:r>
      <w:r>
        <w:rPr>
          <w:rStyle w:val="AERbody"/>
        </w:rPr>
        <w:t>its proposed (7.5 per cent) market risk premium is supported by 'prevailing conditions in the market'</w:t>
      </w:r>
      <w:r w:rsidR="005B3C75">
        <w:rPr>
          <w:rStyle w:val="AERbody"/>
        </w:rPr>
        <w:t xml:space="preserve"> on the basis that</w:t>
      </w:r>
      <w:r>
        <w:rPr>
          <w:rStyle w:val="AERbody"/>
        </w:rPr>
        <w:t>:</w:t>
      </w:r>
    </w:p>
    <w:p w:rsidR="005B3C75" w:rsidRDefault="005B3C75" w:rsidP="005B3C75">
      <w:pPr>
        <w:pStyle w:val="AERbulletlistfirststyle"/>
        <w:rPr>
          <w:rStyle w:val="AERbody"/>
        </w:rPr>
      </w:pPr>
      <w:r>
        <w:rPr>
          <w:rStyle w:val="AERbody"/>
        </w:rPr>
        <w:t xml:space="preserve">Frontier's construction of the historical excess returns and dividend growth model provides an estimate of 7.5 per cent, </w:t>
      </w:r>
      <w:r w:rsidR="0086418D">
        <w:rPr>
          <w:rStyle w:val="AERbody"/>
        </w:rPr>
        <w:t>and</w:t>
      </w:r>
      <w:r>
        <w:rPr>
          <w:rStyle w:val="AERbody"/>
        </w:rPr>
        <w:t xml:space="preserve"> </w:t>
      </w:r>
    </w:p>
    <w:p w:rsidR="005B3C75" w:rsidRDefault="005B3C75" w:rsidP="005B3C75">
      <w:pPr>
        <w:pStyle w:val="AERbulletlistfirststyle"/>
        <w:rPr>
          <w:rStyle w:val="AERbody"/>
        </w:rPr>
      </w:pPr>
      <w:r>
        <w:rPr>
          <w:rStyle w:val="AERbody"/>
        </w:rPr>
        <w:t xml:space="preserve">Frontier's consideration of independent valuation reports, surveys, other regulators' decisions, conditioning variables and market participants </w:t>
      </w:r>
      <w:r w:rsidRPr="00600336">
        <w:rPr>
          <w:rStyle w:val="AERbody"/>
        </w:rPr>
        <w:t>support</w:t>
      </w:r>
      <w:r w:rsidRPr="008E4F6D">
        <w:rPr>
          <w:rStyle w:val="AERbody"/>
        </w:rPr>
        <w:t xml:space="preserve"> a </w:t>
      </w:r>
      <w:r>
        <w:rPr>
          <w:rStyle w:val="AERbody"/>
        </w:rPr>
        <w:t>point estimate</w:t>
      </w:r>
      <w:r w:rsidRPr="008E4F6D">
        <w:rPr>
          <w:rStyle w:val="AERbody"/>
        </w:rPr>
        <w:t xml:space="preserve"> of 7.5 per cent. </w:t>
      </w:r>
    </w:p>
    <w:p w:rsidR="00772B77" w:rsidRPr="00772B77" w:rsidRDefault="00772B77" w:rsidP="00A74F31">
      <w:pPr>
        <w:pStyle w:val="AERbulletlistfirststyle"/>
        <w:numPr>
          <w:ilvl w:val="0"/>
          <w:numId w:val="0"/>
        </w:numPr>
        <w:rPr>
          <w:rStyle w:val="AERbody"/>
          <w:rFonts w:cstheme="minorBidi"/>
        </w:rPr>
      </w:pPr>
      <w:r>
        <w:rPr>
          <w:rStyle w:val="AERbody"/>
        </w:rPr>
        <w:t xml:space="preserve">We </w:t>
      </w:r>
      <w:r w:rsidRPr="00772B77">
        <w:rPr>
          <w:rStyle w:val="AERbody"/>
        </w:rPr>
        <w:t>disagree with AusNet Services view that prevailing market conditions support a market risk premium of 7.5 per cent for the following reasons:</w:t>
      </w:r>
    </w:p>
    <w:p w:rsidR="00772B77" w:rsidRDefault="00772B77" w:rsidP="00772B77">
      <w:pPr>
        <w:pStyle w:val="AERbulletlistfirststyle"/>
        <w:rPr>
          <w:rStyle w:val="AERbody"/>
        </w:rPr>
      </w:pPr>
      <w:r>
        <w:rPr>
          <w:rStyle w:val="AERbody"/>
        </w:rPr>
        <w:t xml:space="preserve">As noted in </w:t>
      </w:r>
      <w:r w:rsidR="005A10AA">
        <w:rPr>
          <w:rStyle w:val="AERbody"/>
        </w:rPr>
        <w:t xml:space="preserve">the 'estimating the market risk premium' </w:t>
      </w:r>
      <w:r>
        <w:rPr>
          <w:rStyle w:val="AERbody"/>
        </w:rPr>
        <w:t>section, AusNet Services has mischaracterised the Guideline approach for estimating the market risk premium. We did not and do not average estimates across historical excess returns and dividend growth model estimates. We have regard to a range of relevant evidence.</w:t>
      </w:r>
    </w:p>
    <w:p w:rsidR="00772B77" w:rsidRDefault="00772B77" w:rsidP="00772B77">
      <w:pPr>
        <w:pStyle w:val="AERbulletlistfirststyle"/>
        <w:rPr>
          <w:rStyle w:val="AERbody"/>
        </w:rPr>
      </w:pPr>
      <w:r>
        <w:rPr>
          <w:rStyle w:val="AERbody"/>
        </w:rPr>
        <w:t>Frontier's historical excess returns are based on computational decisions</w:t>
      </w:r>
      <w:r>
        <w:rPr>
          <w:rStyle w:val="FootnoteReference"/>
        </w:rPr>
        <w:footnoteReference w:id="352"/>
      </w:r>
      <w:r>
        <w:rPr>
          <w:rStyle w:val="AERbody"/>
        </w:rPr>
        <w:t xml:space="preserve"> that we have previously considered and rejected. We continue to consider that historical excess returns should be computed assuming a theta of 0.6, in</w:t>
      </w:r>
      <w:r w:rsidRPr="0092640E">
        <w:rPr>
          <w:rStyle w:val="AERbody"/>
        </w:rPr>
        <w:t>clusion of the post 1980 averaging period</w:t>
      </w:r>
      <w:r w:rsidR="00327929">
        <w:rPr>
          <w:rStyle w:val="AERbody"/>
        </w:rPr>
        <w:t>s</w:t>
      </w:r>
      <w:r w:rsidRPr="0092640E">
        <w:rPr>
          <w:rStyle w:val="AERbody"/>
        </w:rPr>
        <w:t xml:space="preserve"> and </w:t>
      </w:r>
      <w:r>
        <w:rPr>
          <w:rStyle w:val="AERbody"/>
        </w:rPr>
        <w:t xml:space="preserve">without  </w:t>
      </w:r>
      <w:r w:rsidRPr="0092640E">
        <w:rPr>
          <w:rStyle w:val="AERbody"/>
        </w:rPr>
        <w:t>the NERA adjustment.</w:t>
      </w:r>
      <w:r>
        <w:rPr>
          <w:rStyle w:val="FootnoteReference"/>
        </w:rPr>
        <w:footnoteReference w:id="353"/>
      </w:r>
    </w:p>
    <w:p w:rsidR="00772B77" w:rsidRDefault="00772B77" w:rsidP="00772B77">
      <w:pPr>
        <w:pStyle w:val="AERbulletlistfirststyle"/>
        <w:rPr>
          <w:rStyle w:val="AERbody"/>
        </w:rPr>
      </w:pPr>
      <w:r>
        <w:rPr>
          <w:rStyle w:val="AERbody"/>
        </w:rPr>
        <w:t xml:space="preserve">We do not consider the other materials referenced by Frontier support a 7.5 per cent market risk premium. For example, Frontier has </w:t>
      </w:r>
      <w:r w:rsidR="0072561F">
        <w:rPr>
          <w:rStyle w:val="AERbody"/>
        </w:rPr>
        <w:t xml:space="preserve">continued to </w:t>
      </w:r>
      <w:r>
        <w:rPr>
          <w:rStyle w:val="AERbody"/>
        </w:rPr>
        <w:t>depart from the Guideline by using valuation reports to inform the market risk premium.</w:t>
      </w:r>
      <w:r w:rsidR="0072561F">
        <w:rPr>
          <w:rStyle w:val="FootnoteReference"/>
        </w:rPr>
        <w:footnoteReference w:id="354"/>
      </w:r>
      <w:r>
        <w:rPr>
          <w:rStyle w:val="AERbody"/>
        </w:rPr>
        <w:t xml:space="preserve"> The reasons for departing from the guideline in this manner have not been robustly set out and as such we are not satisfied such a movement away from the Guideline is in accordance with the ARORO. This is discussed further in table </w:t>
      </w:r>
      <w:r w:rsidR="00A4295D">
        <w:rPr>
          <w:rStyle w:val="AERbody"/>
        </w:rPr>
        <w:t>3–7</w:t>
      </w:r>
      <w:r>
        <w:rPr>
          <w:rStyle w:val="AERbody"/>
        </w:rPr>
        <w:t>.</w:t>
      </w:r>
    </w:p>
    <w:p w:rsidR="00772B77" w:rsidRPr="00772B77" w:rsidRDefault="00772B77" w:rsidP="00772B77">
      <w:pPr>
        <w:rPr>
          <w:rStyle w:val="AERbody"/>
        </w:rPr>
      </w:pPr>
      <w:r w:rsidRPr="009D1627">
        <w:rPr>
          <w:rStyle w:val="AERbody"/>
        </w:rPr>
        <w:t xml:space="preserve">Expert advice from Partington and Satchell supports our </w:t>
      </w:r>
      <w:r>
        <w:rPr>
          <w:rStyle w:val="AERbody"/>
        </w:rPr>
        <w:t xml:space="preserve">Guideline </w:t>
      </w:r>
      <w:r w:rsidRPr="009D1627">
        <w:rPr>
          <w:rStyle w:val="AERbody"/>
        </w:rPr>
        <w:t xml:space="preserve">approach for estimating the market risk premium. They observe </w:t>
      </w:r>
      <w:r w:rsidRPr="008E4F6D">
        <w:rPr>
          <w:rStyle w:val="AERbody"/>
        </w:rPr>
        <w:t xml:space="preserve">that the evidence provided by Frontier and AusNet is not convincing </w:t>
      </w:r>
      <w:r>
        <w:rPr>
          <w:rStyle w:val="AERbody"/>
        </w:rPr>
        <w:t xml:space="preserve">them </w:t>
      </w:r>
      <w:r w:rsidR="00327929">
        <w:rPr>
          <w:rStyle w:val="AERbody"/>
        </w:rPr>
        <w:t>that</w:t>
      </w:r>
      <w:r w:rsidR="0072561F">
        <w:rPr>
          <w:rStyle w:val="AERbody"/>
        </w:rPr>
        <w:t xml:space="preserve"> </w:t>
      </w:r>
      <w:r w:rsidRPr="009D1627">
        <w:rPr>
          <w:rStyle w:val="AERbody"/>
        </w:rPr>
        <w:t>there should be a current increase in the market risk premium</w:t>
      </w:r>
      <w:r>
        <w:rPr>
          <w:rStyle w:val="AERbody"/>
        </w:rPr>
        <w:t>.</w:t>
      </w:r>
      <w:r w:rsidRPr="008E4F6D">
        <w:rPr>
          <w:rStyle w:val="FootnoteReference"/>
        </w:rPr>
        <w:footnoteReference w:id="355"/>
      </w:r>
      <w:r w:rsidRPr="008E4F6D">
        <w:rPr>
          <w:rStyle w:val="FootnoteReference"/>
        </w:rPr>
        <w:t xml:space="preserve"> </w:t>
      </w:r>
      <w:r w:rsidR="0072561F">
        <w:rPr>
          <w:rStyle w:val="AERbody"/>
        </w:rPr>
        <w:t>Moreover</w:t>
      </w:r>
      <w:r>
        <w:rPr>
          <w:rStyle w:val="AERbody"/>
        </w:rPr>
        <w:t>,</w:t>
      </w:r>
      <w:r w:rsidRPr="008E4F6D">
        <w:rPr>
          <w:rStyle w:val="AERbody"/>
        </w:rPr>
        <w:t xml:space="preserve"> </w:t>
      </w:r>
      <w:r w:rsidRPr="009D1627">
        <w:rPr>
          <w:rStyle w:val="AERbody"/>
        </w:rPr>
        <w:t xml:space="preserve">many of the arguments regarding a stable return on equity since the </w:t>
      </w:r>
      <w:r>
        <w:rPr>
          <w:rStyle w:val="AERbody"/>
        </w:rPr>
        <w:t>2013 Guideline</w:t>
      </w:r>
      <w:r w:rsidRPr="009D1627">
        <w:rPr>
          <w:rStyle w:val="AERbody"/>
        </w:rPr>
        <w:t xml:space="preserve"> are reforg</w:t>
      </w:r>
      <w:r>
        <w:rPr>
          <w:rStyle w:val="AERbody"/>
        </w:rPr>
        <w:t>ed</w:t>
      </w:r>
      <w:r w:rsidRPr="009D1627">
        <w:rPr>
          <w:rStyle w:val="AERbody"/>
        </w:rPr>
        <w:t xml:space="preserve"> arguments </w:t>
      </w:r>
      <w:r>
        <w:rPr>
          <w:rStyle w:val="AERbody"/>
        </w:rPr>
        <w:t xml:space="preserve">from </w:t>
      </w:r>
      <w:r w:rsidRPr="009D1627">
        <w:rPr>
          <w:rStyle w:val="AERbody"/>
        </w:rPr>
        <w:t>previous</w:t>
      </w:r>
      <w:r>
        <w:rPr>
          <w:rStyle w:val="AERbody"/>
        </w:rPr>
        <w:t xml:space="preserve"> </w:t>
      </w:r>
      <w:r w:rsidRPr="009D1627">
        <w:rPr>
          <w:rStyle w:val="AERbody"/>
        </w:rPr>
        <w:t>Frontier</w:t>
      </w:r>
      <w:r>
        <w:rPr>
          <w:rStyle w:val="AERbody"/>
        </w:rPr>
        <w:t xml:space="preserve"> submissions.</w:t>
      </w:r>
      <w:r w:rsidRPr="009D1627">
        <w:rPr>
          <w:rStyle w:val="FootnoteReference"/>
        </w:rPr>
        <w:footnoteReference w:id="356"/>
      </w:r>
      <w:r w:rsidR="004F6D1E">
        <w:rPr>
          <w:rStyle w:val="AERbody"/>
        </w:rPr>
        <w:t xml:space="preserve"> For example</w:t>
      </w:r>
      <w:r>
        <w:rPr>
          <w:rStyle w:val="AERbody"/>
        </w:rPr>
        <w:t xml:space="preserve">, </w:t>
      </w:r>
      <w:r w:rsidRPr="009D1627">
        <w:rPr>
          <w:rStyle w:val="AERbody"/>
        </w:rPr>
        <w:t xml:space="preserve">Partington and Satchell </w:t>
      </w:r>
      <w:r>
        <w:rPr>
          <w:rStyle w:val="AERbody"/>
        </w:rPr>
        <w:t>noted</w:t>
      </w:r>
      <w:r w:rsidRPr="009D1627">
        <w:rPr>
          <w:rStyle w:val="AERbody"/>
        </w:rPr>
        <w:t xml:space="preserve"> Frontier's continued reliance on earnings yield and PE based evidence</w:t>
      </w:r>
      <w:r>
        <w:rPr>
          <w:rStyle w:val="AERbody"/>
        </w:rPr>
        <w:t xml:space="preserve"> to argue the required return on equity has remained stable since the Guideline.</w:t>
      </w:r>
      <w:r w:rsidRPr="009D1627">
        <w:rPr>
          <w:rStyle w:val="FootnoteReference"/>
        </w:rPr>
        <w:footnoteReference w:id="357"/>
      </w:r>
      <w:r>
        <w:rPr>
          <w:rStyle w:val="AERbody"/>
        </w:rPr>
        <w:t xml:space="preserve"> Partington and Satchell continue to show that the relationship between the earnings yield </w:t>
      </w:r>
      <w:r w:rsidR="00A6098D">
        <w:rPr>
          <w:rStyle w:val="AERbody"/>
        </w:rPr>
        <w:t xml:space="preserve">(and PE ratio) </w:t>
      </w:r>
      <w:r>
        <w:rPr>
          <w:rStyle w:val="AERbody"/>
        </w:rPr>
        <w:t>and the cost of equity is not a simple linear one but a complex one that does not allow for the assumptions Frontier have made.</w:t>
      </w:r>
      <w:r>
        <w:rPr>
          <w:rStyle w:val="FootnoteReference"/>
        </w:rPr>
        <w:footnoteReference w:id="358"/>
      </w:r>
    </w:p>
    <w:p w:rsidR="00772B77" w:rsidRPr="00BF2229" w:rsidRDefault="00772B77" w:rsidP="001A7089">
      <w:pPr>
        <w:pStyle w:val="HeadingItalic"/>
      </w:pPr>
      <w:bookmarkStart w:id="98" w:name="_Toc480460507"/>
      <w:bookmarkStart w:id="99" w:name="_Toc480460797"/>
      <w:r w:rsidRPr="00BF2229">
        <w:t>Issues addressed in previous decisions</w:t>
      </w:r>
      <w:bookmarkEnd w:id="98"/>
      <w:bookmarkEnd w:id="99"/>
    </w:p>
    <w:p w:rsidR="00772B77" w:rsidRDefault="00772B77" w:rsidP="00772B77">
      <w:r>
        <w:t xml:space="preserve">We note that some stakeholders continue to submit on a range of issues we discussed and addressed in previous regulatory decisions. That is, they submitted that we place too much reliance on some material, that we did not have appropriate regard to information from other relevant sources, or that we made inappropriate methodological choices in our empirical analysis. </w:t>
      </w:r>
    </w:p>
    <w:p w:rsidR="00772B77" w:rsidRDefault="00772B77" w:rsidP="00772B77">
      <w:r>
        <w:t xml:space="preserve">The following table </w:t>
      </w:r>
      <w:r w:rsidR="004F6D1E">
        <w:t xml:space="preserve">3-7 </w:t>
      </w:r>
      <w:r>
        <w:t xml:space="preserve">sets out stakeholder views on our use of relevant material and our responses. </w:t>
      </w:r>
      <w:r w:rsidR="001516D1">
        <w:t>We have considered the majority of these views in previous regulatory decisions.</w:t>
      </w:r>
      <w:r w:rsidR="001516D1">
        <w:rPr>
          <w:rStyle w:val="FootnoteReference"/>
        </w:rPr>
        <w:footnoteReference w:id="359"/>
      </w:r>
      <w:r w:rsidR="001516D1">
        <w:t xml:space="preserve"> </w:t>
      </w:r>
      <w:r>
        <w:t>Having considered</w:t>
      </w:r>
      <w:r w:rsidR="00EC03D8">
        <w:t xml:space="preserve"> these views,</w:t>
      </w:r>
      <w:r>
        <w:t xml:space="preserve"> the overall information and all material before us, at this time we are not satisfied that these submissions indicate a departure from the Guideline would contribute to the achievement of the ARORO and the National Electricity Objective.</w:t>
      </w:r>
    </w:p>
    <w:p w:rsidR="00772B77" w:rsidRDefault="00772B77" w:rsidP="000A1E5B">
      <w:pPr>
        <w:pStyle w:val="Caption"/>
      </w:pPr>
      <w:bookmarkStart w:id="100" w:name="_Ref446275314"/>
      <w:bookmarkStart w:id="101" w:name="_Ref444171050"/>
      <w:r w:rsidRPr="00D02C72">
        <w:t xml:space="preserve">Table </w:t>
      </w:r>
      <w:fldSimple w:instr=" STYLEREF 1 \s ">
        <w:r w:rsidR="006B4A74">
          <w:rPr>
            <w:noProof/>
          </w:rPr>
          <w:t>3</w:t>
        </w:r>
      </w:fldSimple>
      <w:r w:rsidR="008F29C8">
        <w:noBreakHyphen/>
      </w:r>
      <w:fldSimple w:instr=" SEQ Table \* ARABIC \s 1 ">
        <w:r w:rsidR="006B4A74">
          <w:rPr>
            <w:noProof/>
          </w:rPr>
          <w:t>7</w:t>
        </w:r>
      </w:fldSimple>
      <w:bookmarkEnd w:id="100"/>
      <w:r w:rsidRPr="00D02C72">
        <w:tab/>
        <w:t>Issues raised about estimating market risk premium</w:t>
      </w:r>
      <w:bookmarkEnd w:id="101"/>
    </w:p>
    <w:tbl>
      <w:tblPr>
        <w:tblStyle w:val="AERtable-text0"/>
        <w:tblW w:w="0" w:type="auto"/>
        <w:tblLook w:val="04A0" w:firstRow="1" w:lastRow="0" w:firstColumn="1" w:lastColumn="0" w:noHBand="0" w:noVBand="1"/>
      </w:tblPr>
      <w:tblGrid>
        <w:gridCol w:w="1951"/>
        <w:gridCol w:w="6742"/>
      </w:tblGrid>
      <w:tr w:rsidR="00772B77" w:rsidTr="002656D9">
        <w:trPr>
          <w:cnfStyle w:val="100000000000" w:firstRow="1" w:lastRow="0" w:firstColumn="0" w:lastColumn="0" w:oddVBand="0" w:evenVBand="0" w:oddHBand="0" w:evenHBand="0" w:firstRowFirstColumn="0" w:firstRowLastColumn="0" w:lastRowFirstColumn="0" w:lastRowLastColumn="0"/>
          <w:tblHeader/>
        </w:trPr>
        <w:tc>
          <w:tcPr>
            <w:tcW w:w="1951" w:type="dxa"/>
          </w:tcPr>
          <w:p w:rsidR="00772B77" w:rsidRPr="00772B77" w:rsidRDefault="00772B77" w:rsidP="00772B77">
            <w:r>
              <w:t>Issue</w:t>
            </w:r>
          </w:p>
        </w:tc>
        <w:tc>
          <w:tcPr>
            <w:tcW w:w="6742" w:type="dxa"/>
          </w:tcPr>
          <w:p w:rsidR="00772B77" w:rsidRPr="00772B77" w:rsidRDefault="00772B77" w:rsidP="00772B77">
            <w:r>
              <w:t>O</w:t>
            </w:r>
            <w:r w:rsidRPr="00772B77">
              <w:t>ur response</w:t>
            </w:r>
          </w:p>
        </w:tc>
      </w:tr>
      <w:tr w:rsidR="00772B77" w:rsidTr="00772B77">
        <w:tc>
          <w:tcPr>
            <w:tcW w:w="1951" w:type="dxa"/>
          </w:tcPr>
          <w:p w:rsidR="00772B77" w:rsidRPr="00772B77" w:rsidRDefault="00772B77" w:rsidP="00772B77">
            <w:pPr>
              <w:rPr>
                <w:rStyle w:val="AERtextsize8"/>
              </w:rPr>
            </w:pPr>
            <w:r>
              <w:rPr>
                <w:rStyle w:val="AERtextsize8"/>
              </w:rPr>
              <w:t xml:space="preserve">Our approach </w:t>
            </w:r>
            <w:r w:rsidRPr="00772B77">
              <w:rPr>
                <w:rStyle w:val="AERtextsize8"/>
              </w:rPr>
              <w:t>provides no real regard to the dividend growth model and assigns consistently less weight to them</w:t>
            </w:r>
            <w:r w:rsidRPr="00772B77">
              <w:rPr>
                <w:rStyle w:val="FootnoteReference"/>
              </w:rPr>
              <w:footnoteReference w:id="360"/>
            </w:r>
          </w:p>
        </w:tc>
        <w:tc>
          <w:tcPr>
            <w:tcW w:w="6742" w:type="dxa"/>
          </w:tcPr>
          <w:p w:rsidR="00772B77" w:rsidRPr="00772B77" w:rsidRDefault="00772B77" w:rsidP="00A164C0">
            <w:pPr>
              <w:rPr>
                <w:rStyle w:val="AERtextsize8"/>
                <w:rFonts w:eastAsiaTheme="minorHAnsi" w:cstheme="minorBidi"/>
                <w:szCs w:val="22"/>
                <w:lang w:eastAsia="en-US"/>
              </w:rPr>
            </w:pPr>
            <w:r w:rsidRPr="00133A9B">
              <w:t xml:space="preserve">Consistent </w:t>
            </w:r>
            <w:r w:rsidRPr="00772B77">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They inform if a point estimate should be set above or below the baseline estimate. The extent to how much it informs the decision is appropriate given the limitations of dividend growth models. </w:t>
            </w:r>
            <w:r w:rsidRPr="00772B77">
              <w:rPr>
                <w:rStyle w:val="AERtextsize8"/>
              </w:rPr>
              <w:t xml:space="preserve">See </w:t>
            </w:r>
            <w:r w:rsidRPr="0086418D">
              <w:rPr>
                <w:rStyle w:val="AERtextsize8"/>
              </w:rPr>
              <w:t xml:space="preserve">section </w:t>
            </w:r>
            <w:r w:rsidR="008520D1">
              <w:rPr>
                <w:rStyle w:val="AERtextsize8"/>
              </w:rPr>
              <w:t xml:space="preserve">B.4 </w:t>
            </w:r>
            <w:r w:rsidRPr="0086418D">
              <w:rPr>
                <w:rStyle w:val="AERtextsize8"/>
              </w:rPr>
              <w:t>for</w:t>
            </w:r>
            <w:r w:rsidRPr="00772B77">
              <w:rPr>
                <w:rStyle w:val="AERtextsize8"/>
              </w:rPr>
              <w:t xml:space="preserve"> details on the models limitations. </w:t>
            </w:r>
          </w:p>
          <w:p w:rsidR="00772B77" w:rsidRPr="00772B77" w:rsidRDefault="00C33F1F" w:rsidP="00772B77">
            <w:pPr>
              <w:rPr>
                <w:rStyle w:val="AERtextsize8"/>
              </w:rPr>
            </w:pPr>
            <w:r>
              <w:rPr>
                <w:rStyle w:val="AERtextsize8"/>
              </w:rPr>
              <w:t xml:space="preserve">Partington and Satchell </w:t>
            </w:r>
            <w:r w:rsidRPr="00C33F1F">
              <w:rPr>
                <w:rStyle w:val="AERtextsize8"/>
              </w:rPr>
              <w:t>have also advised that the dividend growth model is "unlikely" to produce a 'forward looking MRP commensurate with the prevailing conditions'.'</w:t>
            </w:r>
            <w:r w:rsidRPr="00C33F1F">
              <w:rPr>
                <w:rStyle w:val="FootnoteReference"/>
              </w:rPr>
              <w:footnoteReference w:id="361"/>
            </w:r>
            <w:r w:rsidRPr="00C33F1F">
              <w:rPr>
                <w:rStyle w:val="AERtextsize8"/>
              </w:rPr>
              <w:t xml:space="preserve"> We believe that it provides the evidence from the dividend growth model as much weight as is appropriate at the current time</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7C153E">
              <w:rPr>
                <w:rStyle w:val="AERtextsize8"/>
              </w:rPr>
              <w:t>The Wright approach to estimating historical stock returns is useful for estimating market risk premium</w:t>
            </w:r>
            <w:r w:rsidRPr="00772B77">
              <w:rPr>
                <w:rStyle w:val="FootnoteReference"/>
              </w:rPr>
              <w:footnoteReference w:id="362"/>
            </w:r>
            <w:r w:rsidRPr="00772B77">
              <w:rPr>
                <w:rStyle w:val="AERtextsize8"/>
              </w:rPr>
              <w:t xml:space="preserve"> and has remained stable since the Guideline implementation</w:t>
            </w:r>
          </w:p>
        </w:tc>
        <w:tc>
          <w:tcPr>
            <w:tcW w:w="6742" w:type="dxa"/>
          </w:tcPr>
          <w:p w:rsidR="00772B77" w:rsidRPr="007C153E" w:rsidRDefault="00772B77" w:rsidP="00CC7A1C">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w:t>
            </w:r>
            <w:r w:rsidR="00826060">
              <w:rPr>
                <w:rStyle w:val="FootnoteReference"/>
              </w:rPr>
              <w:footnoteReference w:id="363"/>
            </w:r>
            <w:r w:rsidRPr="007C153E">
              <w:rPr>
                <w:rStyle w:val="AERtextsize8"/>
              </w:rPr>
              <w:t xml:space="preserve"> The CAPM is a forward looking asset pricing model.</w:t>
            </w:r>
            <w:r w:rsidRPr="007A10C2">
              <w:rPr>
                <w:rStyle w:val="FootnoteReference"/>
              </w:rPr>
              <w:footnoteReference w:id="364"/>
            </w:r>
            <w:r w:rsidRPr="007C153E">
              <w:rPr>
                <w:rStyle w:val="AERtextsize8"/>
              </w:rPr>
              <w:t xml:space="preserve"> Historical data (such as historical excess returns on the market) may be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Pr>
                <w:rStyle w:val="AERtextsize8"/>
              </w:rPr>
              <w:fldChar w:fldCharType="begin"/>
            </w:r>
            <w:r>
              <w:rPr>
                <w:rStyle w:val="AERtextsize8"/>
              </w:rPr>
              <w:instrText xml:space="preserve"> REF _Ref449018117 \r \h </w:instrText>
            </w:r>
            <w:r>
              <w:rPr>
                <w:rStyle w:val="AERtextsize8"/>
              </w:rPr>
            </w:r>
            <w:r>
              <w:rPr>
                <w:rStyle w:val="AERtextsize8"/>
              </w:rPr>
              <w:fldChar w:fldCharType="separate"/>
            </w:r>
            <w:r w:rsidR="006B4A74">
              <w:rPr>
                <w:rStyle w:val="AERtextsize8"/>
              </w:rPr>
              <w:t>B.5</w:t>
            </w:r>
            <w:r>
              <w:rPr>
                <w:rStyle w:val="AERtextsize8"/>
              </w:rPr>
              <w:fldChar w:fldCharType="end"/>
            </w:r>
            <w:r>
              <w:rPr>
                <w:rStyle w:val="AERtextsize8"/>
              </w:rPr>
              <w:t xml:space="preserve"> of this attachment.</w:t>
            </w:r>
          </w:p>
        </w:tc>
      </w:tr>
      <w:tr w:rsidR="00772B77" w:rsidTr="00772B77">
        <w:tc>
          <w:tcPr>
            <w:tcW w:w="1951" w:type="dxa"/>
          </w:tcPr>
          <w:p w:rsidR="00772B77" w:rsidRPr="00772B77" w:rsidRDefault="00772B77" w:rsidP="00772B77">
            <w:pPr>
              <w:rPr>
                <w:rStyle w:val="AERtextsize8"/>
              </w:rPr>
            </w:pPr>
            <w:r w:rsidRPr="007C153E">
              <w:rPr>
                <w:rStyle w:val="AERtextsize8"/>
              </w:rPr>
              <w:t>Information from valuation reports is useful for estimating market risk premium</w:t>
            </w:r>
            <w:r w:rsidRPr="00772B77">
              <w:rPr>
                <w:rStyle w:val="FootnoteReference"/>
              </w:rPr>
              <w:footnoteReference w:id="365"/>
            </w:r>
            <w:r w:rsidRPr="00772B77">
              <w:rPr>
                <w:rStyle w:val="AERtextsize8"/>
              </w:rPr>
              <w:t xml:space="preserve"> </w:t>
            </w:r>
          </w:p>
        </w:tc>
        <w:tc>
          <w:tcPr>
            <w:tcW w:w="6742" w:type="dxa"/>
          </w:tcPr>
          <w:p w:rsidR="00772B77" w:rsidRPr="00772B77" w:rsidRDefault="00772B77" w:rsidP="004F6D1E">
            <w:pPr>
              <w:rPr>
                <w:rStyle w:val="AERtextsize8"/>
              </w:rPr>
            </w:pPr>
            <w:r>
              <w:rPr>
                <w:rStyle w:val="AERtextsize8"/>
              </w:rPr>
              <w:t>Our consideration of valuation reports is informative of our market risk premium estimate: as a cross-check on our overall ret</w:t>
            </w:r>
            <w:r w:rsidRPr="00772B77">
              <w:rPr>
                <w:rStyle w:val="AERtextsize8"/>
              </w:rPr>
              <w:t xml:space="preserve">urn on equity. They are a cross-check on our return on equity parameters, including the market risk premium. </w:t>
            </w:r>
            <w:r w:rsidRPr="00772B77">
              <w:t>Valuation reports have a different objective to the ARORO, which may make their estimates unsuitable for our purpose.</w:t>
            </w:r>
            <w:r w:rsidR="00452704">
              <w:rPr>
                <w:rStyle w:val="FootnoteReference"/>
              </w:rPr>
              <w:footnoteReference w:id="366"/>
            </w:r>
            <w:r w:rsidRPr="00772B77">
              <w:t xml:space="preserve"> This effect is likely more prevalent for input parameters than the overall return on equity. A lack of transparency on the derivation of return on equity estimates prevents adjusting for these effects. Partington and Satchell has also noted that analysts' beliefs 'can seem somewhat unreliable'.</w:t>
            </w:r>
            <w:r w:rsidRPr="00772B77">
              <w:rPr>
                <w:rStyle w:val="FootnoteReference"/>
              </w:rPr>
              <w:footnoteReference w:id="367"/>
            </w:r>
            <w:r w:rsidR="001516D1">
              <w:t xml:space="preserve"> </w:t>
            </w:r>
            <w:r w:rsidRPr="00D02C72">
              <w:t xml:space="preserve">See section </w:t>
            </w:r>
            <w:r w:rsidR="004F6D1E">
              <w:t>F.5</w:t>
            </w:r>
            <w:r w:rsidRPr="00772B77">
              <w:t>for further discussion on these limitations.</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Pr>
                <w:rStyle w:val="AERtextsize8"/>
              </w:rPr>
              <w:t>Valuation report</w:t>
            </w:r>
            <w:r w:rsidRPr="00772B77">
              <w:rPr>
                <w:rStyle w:val="AERtextsize8"/>
              </w:rPr>
              <w:t>s indicate a market risk premium higher than 6.5 per cent.</w:t>
            </w:r>
            <w:r w:rsidRPr="00772B77">
              <w:rPr>
                <w:rStyle w:val="FootnoteReference"/>
              </w:rPr>
              <w:footnoteReference w:id="368"/>
            </w:r>
          </w:p>
        </w:tc>
        <w:tc>
          <w:tcPr>
            <w:tcW w:w="6742" w:type="dxa"/>
          </w:tcPr>
          <w:p w:rsidR="00772B77" w:rsidRPr="00772B77" w:rsidRDefault="00772B77" w:rsidP="00772B77">
            <w:pPr>
              <w:rPr>
                <w:rStyle w:val="AERtextsize8"/>
              </w:rPr>
            </w:pPr>
            <w:r>
              <w:rPr>
                <w:rStyle w:val="AERtextsize8"/>
              </w:rPr>
              <w:t xml:space="preserve">As noted above, </w:t>
            </w:r>
            <w:r w:rsidRPr="00772B77">
              <w:rPr>
                <w:rStyle w:val="AERtextsize8"/>
              </w:rPr>
              <w:t>our assessment of valuation reports is that they should be used to cross-check our overall return on equity.</w:t>
            </w:r>
          </w:p>
          <w:p w:rsidR="00772B77" w:rsidRPr="00772B77" w:rsidRDefault="00772B77" w:rsidP="00772B77">
            <w:r>
              <w:rPr>
                <w:rStyle w:val="AERtextsize8"/>
              </w:rPr>
              <w:t>We</w:t>
            </w:r>
            <w:r w:rsidRPr="00772B77">
              <w:rPr>
                <w:rStyle w:val="AERtextsize8"/>
              </w:rPr>
              <w:t xml:space="preserve"> also observe that </w:t>
            </w:r>
            <w:r w:rsidR="00E81300">
              <w:rPr>
                <w:rStyle w:val="AERtextsize8"/>
              </w:rPr>
              <w:t>Frontier's observation</w:t>
            </w:r>
            <w:r w:rsidRPr="00772B77">
              <w:rPr>
                <w:rStyle w:val="AERtextsize8"/>
              </w:rPr>
              <w:t xml:space="preserve"> is based on uplifted parameters and/or return on equity estimates from valuation reports.</w:t>
            </w:r>
            <w:r w:rsidRPr="00772B77">
              <w:rPr>
                <w:rStyle w:val="FootnoteReference"/>
              </w:rPr>
              <w:footnoteReference w:id="369"/>
            </w:r>
            <w:r w:rsidRPr="00772B77">
              <w:rPr>
                <w:rStyle w:val="AERtextsize8"/>
              </w:rPr>
              <w:t xml:space="preserve"> We have greater regard to unadjusted parameters. This is due to u</w:t>
            </w:r>
            <w:r w:rsidRPr="00772B77">
              <w:t xml:space="preserve">plifts applied by brokers and valuers to initial estimates may be inconsistent with the ARORO. As a result, we prefer to have greater regard to estimates exclusive of these uplifts. </w:t>
            </w:r>
          </w:p>
          <w:p w:rsidR="00772B77" w:rsidRPr="00772B77" w:rsidRDefault="00772B77" w:rsidP="00772B77">
            <w:r>
              <w:t xml:space="preserve">Further, </w:t>
            </w:r>
            <w:r w:rsidRPr="00772B77">
              <w:t>Partington and Satchell has advised that 'there is evidence that valuation practitioners are using an MRP lower than the 6% favoured in Australia and there is no evidence that the MRP being used is going up.'</w:t>
            </w:r>
            <w:r w:rsidRPr="00772B77">
              <w:rPr>
                <w:rStyle w:val="FootnoteReference"/>
              </w:rPr>
              <w:footnoteReference w:id="370"/>
            </w:r>
          </w:p>
          <w:p w:rsidR="00772B77" w:rsidRPr="00772B77" w:rsidRDefault="00772B77" w:rsidP="00772B77">
            <w:pPr>
              <w:rPr>
                <w:rStyle w:val="AERtextsize8"/>
              </w:rPr>
            </w:pPr>
            <w:r w:rsidRPr="0087746B">
              <w:t>For more detail, see sections E.3, E.4 and E.6 in Attachment 3 to our preliminary decision for AusNet Services' 2016-20 distribution determination</w:t>
            </w:r>
            <w:r w:rsidR="00226E14">
              <w:t xml:space="preserve"> and previous decisions</w:t>
            </w:r>
            <w:r w:rsidR="00226E14">
              <w:rPr>
                <w:rStyle w:val="FootnoteReference"/>
              </w:rPr>
              <w:footnoteReference w:id="371"/>
            </w:r>
            <w:r w:rsidRPr="0087746B">
              <w:t>.</w:t>
            </w:r>
          </w:p>
        </w:tc>
      </w:tr>
      <w:tr w:rsidR="00772B77" w:rsidTr="00772B77">
        <w:tc>
          <w:tcPr>
            <w:tcW w:w="1951" w:type="dxa"/>
          </w:tcPr>
          <w:p w:rsidR="00772B77" w:rsidRPr="00772B77" w:rsidRDefault="00772B77" w:rsidP="00772B77">
            <w:pPr>
              <w:rPr>
                <w:rStyle w:val="AERtextsize8"/>
              </w:rPr>
            </w:pPr>
            <w:r w:rsidRPr="007C153E">
              <w:rPr>
                <w:rStyle w:val="AERtextsize8"/>
              </w:rPr>
              <w:t>Surveys should not be relied upon</w:t>
            </w:r>
            <w:r w:rsidRPr="00772B77">
              <w:rPr>
                <w:rStyle w:val="FootnoteReference"/>
              </w:rPr>
              <w:footnoteReference w:id="372"/>
            </w:r>
          </w:p>
        </w:tc>
        <w:tc>
          <w:tcPr>
            <w:tcW w:w="6742" w:type="dxa"/>
          </w:tcPr>
          <w:p w:rsidR="00772B77" w:rsidRPr="00772B77" w:rsidRDefault="00772B77" w:rsidP="00772B77">
            <w:pPr>
              <w:rPr>
                <w:rStyle w:val="AERtextsize8"/>
              </w:rPr>
            </w:pPr>
            <w:r w:rsidRPr="0048679F">
              <w:rPr>
                <w:rStyle w:val="AERtextsize8"/>
              </w:rPr>
              <w:t xml:space="preserve">While survey estimates </w:t>
            </w:r>
            <w:r w:rsidRPr="00772B77">
              <w:rPr>
                <w:rStyle w:val="AERtextsize8"/>
              </w:rPr>
              <w:t>intend to provide an arm’s length assessment, we would not expect them to necessarily have complete impartiality. Survey estimates may strive for objective views but it seems unlikely that they will be entirely uninfluenced by commercial and other external interests. 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We consider this remains useful for informing our market risk premium estimate.</w:t>
            </w:r>
            <w:r w:rsidR="00226E14">
              <w:rPr>
                <w:rStyle w:val="FootnoteReference"/>
              </w:rPr>
              <w:footnoteReference w:id="373"/>
            </w:r>
          </w:p>
        </w:tc>
      </w:tr>
      <w:tr w:rsidR="00772B77" w:rsidTr="00772B77">
        <w:trPr>
          <w:cnfStyle w:val="000000010000" w:firstRow="0" w:lastRow="0" w:firstColumn="0" w:lastColumn="0" w:oddVBand="0" w:evenVBand="0" w:oddHBand="0" w:evenHBand="1" w:firstRowFirstColumn="0" w:firstRowLastColumn="0" w:lastRowFirstColumn="0" w:lastRowLastColumn="0"/>
          <w:trHeight w:val="1274"/>
        </w:trPr>
        <w:tc>
          <w:tcPr>
            <w:tcW w:w="1951" w:type="dxa"/>
          </w:tcPr>
          <w:p w:rsidR="00772B77" w:rsidRPr="00772B77" w:rsidRDefault="00772B77" w:rsidP="00772B77">
            <w:pPr>
              <w:rPr>
                <w:rStyle w:val="AERtextsize8"/>
              </w:rPr>
            </w:pPr>
            <w:r>
              <w:rPr>
                <w:rStyle w:val="AERtextsize8"/>
              </w:rPr>
              <w:t>Surveys require</w:t>
            </w:r>
            <w:r w:rsidRPr="00772B77">
              <w:rPr>
                <w:rStyle w:val="AERtextsize8"/>
              </w:rPr>
              <w:t xml:space="preserve"> grossing-up for imputation credits</w:t>
            </w:r>
            <w:r w:rsidRPr="00772B77">
              <w:rPr>
                <w:rStyle w:val="FootnoteReference"/>
              </w:rPr>
              <w:footnoteReference w:id="374"/>
            </w:r>
          </w:p>
        </w:tc>
        <w:tc>
          <w:tcPr>
            <w:tcW w:w="6742" w:type="dxa"/>
          </w:tcPr>
          <w:p w:rsidR="00772B77" w:rsidRPr="00772B77" w:rsidRDefault="00772B77" w:rsidP="00772B77">
            <w:r>
              <w:t>I</w:t>
            </w:r>
            <w:r w:rsidRPr="00772B77">
              <w:t>t is not clear whether survey estimates should be adjusted for imputation credits. This was also noted in the QCA's 2014 draft decision for Aurizon.</w:t>
            </w:r>
            <w:r w:rsidRPr="00772B77">
              <w:rPr>
                <w:rStyle w:val="FootnoteReference"/>
              </w:rPr>
              <w:footnoteReference w:id="375"/>
            </w:r>
            <w:r w:rsidRPr="00772B77">
              <w:t xml:space="preserve">   </w:t>
            </w:r>
          </w:p>
          <w:p w:rsidR="00772B77" w:rsidRPr="00772B77" w:rsidRDefault="00772B77" w:rsidP="00772B77">
            <w:r>
              <w:t>W</w:t>
            </w:r>
            <w:r w:rsidRPr="00772B77">
              <w:t>e are inclined to agree with the QCA's view that 'as participants can be considered sophisticated investors and/or market observers (including academics) it seems as likely they would have taken account of all factors, including the need to implicitly adjust for dividend imputation credits'.</w:t>
            </w:r>
            <w:r w:rsidRPr="00772B77">
              <w:rPr>
                <w:rStyle w:val="FootnoteReference"/>
              </w:rPr>
              <w:footnoteReference w:id="376"/>
            </w:r>
            <w:r w:rsidRPr="00772B77">
              <w:t xml:space="preserve"> </w:t>
            </w:r>
          </w:p>
        </w:tc>
      </w:tr>
      <w:tr w:rsidR="00772B77" w:rsidTr="00772B77">
        <w:tc>
          <w:tcPr>
            <w:tcW w:w="1951" w:type="dxa"/>
          </w:tcPr>
          <w:p w:rsidR="00772B77" w:rsidRPr="00772B77" w:rsidRDefault="00772B77" w:rsidP="00772B77">
            <w:pPr>
              <w:rPr>
                <w:rStyle w:val="AERtextsize8"/>
              </w:rPr>
            </w:pPr>
            <w:r w:rsidRPr="00F825D9">
              <w:rPr>
                <w:rStyle w:val="AERtextsize8"/>
              </w:rPr>
              <w:t xml:space="preserve">Our concern about sticky dividends creating bias in the dividend growth model is not material in the current </w:t>
            </w:r>
            <w:r w:rsidRPr="00772B77">
              <w:rPr>
                <w:rStyle w:val="AERtextsize8"/>
              </w:rPr>
              <w:t>market as dividends are forecast to grow from 2015 to 2017</w:t>
            </w:r>
            <w:r w:rsidRPr="00772B77">
              <w:rPr>
                <w:rStyle w:val="FootnoteReference"/>
              </w:rPr>
              <w:footnoteReference w:id="377"/>
            </w:r>
          </w:p>
        </w:tc>
        <w:tc>
          <w:tcPr>
            <w:tcW w:w="6742" w:type="dxa"/>
          </w:tcPr>
          <w:p w:rsidR="00772B77" w:rsidRPr="00772B77" w:rsidRDefault="00772B77" w:rsidP="00772B77">
            <w:r>
              <w:t xml:space="preserve">We consider that sticky dividends </w:t>
            </w:r>
            <w:r w:rsidRPr="00772B77">
              <w:t>may create bias in the dividend growth model, and there is no reason to believe that this bias is not material in the current market.</w:t>
            </w:r>
            <w:r w:rsidR="00AC26B1">
              <w:rPr>
                <w:rStyle w:val="FootnoteReference"/>
              </w:rPr>
              <w:footnoteReference w:id="378"/>
            </w:r>
            <w:r w:rsidRPr="00772B77">
              <w:t xml:space="preserve"> </w:t>
            </w:r>
          </w:p>
          <w:p w:rsidR="00772B77" w:rsidRPr="00D02C72" w:rsidRDefault="00772B77" w:rsidP="00772B77">
            <w:r w:rsidRPr="00D02C72">
              <w:t xml:space="preserve">We </w:t>
            </w:r>
            <w:r w:rsidRPr="00772B77">
              <w:t>continue to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2016-17 financial year.</w:t>
            </w:r>
            <w:r w:rsidRPr="00772B77">
              <w:rPr>
                <w:rStyle w:val="FootnoteReference"/>
              </w:rPr>
              <w:footnoteReference w:id="379"/>
            </w:r>
            <w:r w:rsidRPr="00772B77">
              <w:t xml:space="preserve"> See Appendix </w:t>
            </w:r>
            <w:r w:rsidR="00A4295D">
              <w:fldChar w:fldCharType="begin"/>
            </w:r>
            <w:r w:rsidR="00A4295D">
              <w:instrText xml:space="preserve"> REF _Ref478395910 \r \h </w:instrText>
            </w:r>
            <w:r w:rsidR="00A4295D">
              <w:fldChar w:fldCharType="separate"/>
            </w:r>
            <w:r w:rsidR="006B4A74">
              <w:t>D</w:t>
            </w:r>
            <w:r w:rsidR="00A4295D">
              <w:fldChar w:fldCharType="end"/>
            </w:r>
            <w:r w:rsidRPr="00772B77">
              <w:t xml:space="preserve"> for more discussion.</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F825D9">
              <w:rPr>
                <w:rStyle w:val="AERtextsize8"/>
              </w:rPr>
              <w:t>Our concern about upwards bias in analysts' dividend forecasts is not material in the current market</w:t>
            </w:r>
            <w:r w:rsidRPr="00772B77">
              <w:rPr>
                <w:rStyle w:val="FootnoteReference"/>
              </w:rPr>
              <w:footnoteReference w:id="380"/>
            </w:r>
          </w:p>
        </w:tc>
        <w:tc>
          <w:tcPr>
            <w:tcW w:w="6742" w:type="dxa"/>
          </w:tcPr>
          <w:p w:rsidR="00772B77" w:rsidRPr="001135E9" w:rsidRDefault="00C33F1F" w:rsidP="00CC7A1C">
            <w:pPr>
              <w:numPr>
                <w:ilvl w:val="0"/>
                <w:numId w:val="24"/>
              </w:numPr>
            </w:pPr>
            <w:r w:rsidRPr="00B4711B">
              <w:t>Analyst forecasts are well understood to be upward</w:t>
            </w:r>
            <w:r>
              <w:t>ly</w:t>
            </w:r>
            <w:r w:rsidRPr="00B4711B">
              <w:t xml:space="preserve"> biased.</w:t>
            </w:r>
            <w:r>
              <w:rPr>
                <w:rStyle w:val="FootnoteReference"/>
              </w:rPr>
              <w:footnoteReference w:id="381"/>
            </w:r>
            <w:r w:rsidRPr="00B4711B">
              <w:t xml:space="preserve"> </w:t>
            </w:r>
            <w:r>
              <w:t xml:space="preserve">Although we show the effect of potential bias of ten percent (see section in the sensitivity analysis), the extent of any bias is unclear. No stakeholder has proposed methods to estimate the extent of any bias, and such methods may be complex, without widespread acceptance, and open to gaming. For this reason, we do not apply an adjustment. </w:t>
            </w:r>
          </w:p>
        </w:tc>
      </w:tr>
      <w:tr w:rsidR="00772B77" w:rsidTr="00772B77">
        <w:tc>
          <w:tcPr>
            <w:tcW w:w="1951" w:type="dxa"/>
          </w:tcPr>
          <w:p w:rsidR="00772B77" w:rsidRPr="00772B77" w:rsidRDefault="00772B77" w:rsidP="00772B77">
            <w:pPr>
              <w:rPr>
                <w:rStyle w:val="AERtextsize8"/>
              </w:rPr>
            </w:pPr>
            <w:r w:rsidRPr="00F825D9">
              <w:rPr>
                <w:rStyle w:val="AERtextsize8"/>
              </w:rPr>
              <w:t xml:space="preserve">Our concern about upwards bias in analysts' dividend </w:t>
            </w:r>
            <w:r w:rsidRPr="00772B77">
              <w:rPr>
                <w:rStyle w:val="AERtextsize8"/>
              </w:rPr>
              <w:t>forecasts is not relevant as the forecasts reflect analysts' implied discount rates</w:t>
            </w:r>
            <w:r w:rsidRPr="00772B77">
              <w:rPr>
                <w:rStyle w:val="FootnoteReference"/>
              </w:rPr>
              <w:footnoteReference w:id="382"/>
            </w:r>
          </w:p>
        </w:tc>
        <w:tc>
          <w:tcPr>
            <w:tcW w:w="6742" w:type="dxa"/>
          </w:tcPr>
          <w:p w:rsidR="00772B77" w:rsidRDefault="00772B77" w:rsidP="00CC7A1C">
            <w:pPr>
              <w:numPr>
                <w:ilvl w:val="0"/>
                <w:numId w:val="24"/>
              </w:numPr>
            </w:pPr>
            <w:r>
              <w:t>Frontier noted our concern and responded that the AER should focus on estimating the implied return that equates the dividend forecast to the actual stock price, and not on the dividend forecast that the AER thinks the market should have used.</w:t>
            </w:r>
            <w:r>
              <w:rPr>
                <w:rStyle w:val="FootnoteReference"/>
              </w:rPr>
              <w:footnoteReference w:id="383"/>
            </w:r>
          </w:p>
          <w:p w:rsidR="00772B77" w:rsidRPr="00CE0902" w:rsidRDefault="00772B77" w:rsidP="00CC7A1C">
            <w:pPr>
              <w:numPr>
                <w:ilvl w:val="0"/>
                <w:numId w:val="24"/>
              </w:numPr>
            </w:pPr>
            <w:r>
              <w:t>Partington and Satchell noted Frontier's survey of analysts' forecasts for the ASX 20 by stating they would "place little weight on a non-random sample of twenty firms and one year's observations" when assessing the reliability of analyst's forecasts.</w:t>
            </w:r>
            <w:r>
              <w:rPr>
                <w:rStyle w:val="FootnoteReference"/>
              </w:rPr>
              <w:footnoteReference w:id="384"/>
            </w:r>
          </w:p>
          <w:p w:rsidR="00772B77" w:rsidRDefault="00772B77" w:rsidP="00CC7A1C">
            <w:pPr>
              <w:numPr>
                <w:ilvl w:val="0"/>
                <w:numId w:val="24"/>
              </w:numPr>
            </w:pPr>
            <w:r>
              <w:t>We remain of the view that i</w:t>
            </w:r>
            <w:r w:rsidRPr="00952754">
              <w:t>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385"/>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772B77" w:rsidRPr="001566F2" w:rsidRDefault="00772B77" w:rsidP="00CC7A1C">
            <w:pPr>
              <w:numPr>
                <w:ilvl w:val="0"/>
                <w:numId w:val="24"/>
              </w:numPr>
            </w:pPr>
            <w:r>
              <w:t xml:space="preserve">See </w:t>
            </w:r>
            <w:r w:rsidR="00F1397D">
              <w:t>'other information and evaluation of information set on overall return on equity' sub</w:t>
            </w:r>
            <w:r>
              <w:t>section</w:t>
            </w:r>
            <w:r w:rsidR="00F1397D">
              <w:t xml:space="preserve"> of section</w:t>
            </w:r>
            <w:r>
              <w:t xml:space="preserve"> </w:t>
            </w:r>
            <w:r w:rsidR="00F1397D">
              <w:t xml:space="preserve">3.4.2 </w:t>
            </w:r>
            <w:r>
              <w:t xml:space="preserve"> </w:t>
            </w:r>
            <w:r w:rsidR="00A4295D">
              <w:t>and Appendi</w:t>
            </w:r>
            <w:r w:rsidR="00F1397D">
              <w:t>ces B.4 and</w:t>
            </w:r>
            <w:r w:rsidR="00A4295D">
              <w:t xml:space="preserve"> </w:t>
            </w:r>
            <w:r w:rsidR="00F1397D">
              <w:t xml:space="preserve">D </w:t>
            </w:r>
            <w:r>
              <w:t>for more detail.</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F825D9">
              <w:rPr>
                <w:rStyle w:val="AERtextsize8"/>
              </w:rPr>
              <w:t>NERA's adjustment to historical stock returns is more reliable than the ASX's adjustment</w:t>
            </w:r>
            <w:r w:rsidRPr="00772B77">
              <w:rPr>
                <w:rStyle w:val="FootnoteReference"/>
              </w:rPr>
              <w:footnoteReference w:id="386"/>
            </w:r>
          </w:p>
        </w:tc>
        <w:tc>
          <w:tcPr>
            <w:tcW w:w="6742" w:type="dxa"/>
          </w:tcPr>
          <w:p w:rsidR="00772B77" w:rsidRPr="00772B77" w:rsidRDefault="00772B77" w:rsidP="00DB7AA8">
            <w:r>
              <w:rPr>
                <w:rStyle w:val="AERtextsize8"/>
              </w:rPr>
              <w:t xml:space="preserve">We do not consider </w:t>
            </w:r>
            <w:r w:rsidRPr="00772B77">
              <w:rPr>
                <w:rStyle w:val="AERtextsize8"/>
              </w:rPr>
              <w:t>NERA's adjustment, which is based on less than ten data points out of 300, represents a material improvement in reliability</w:t>
            </w:r>
            <w:r w:rsidRPr="00772B77">
              <w:t>.</w:t>
            </w:r>
            <w:r w:rsidR="00F56847">
              <w:rPr>
                <w:rStyle w:val="FootnoteReference"/>
              </w:rPr>
              <w:footnoteReference w:id="387"/>
            </w:r>
            <w:r w:rsidRPr="00772B77">
              <w:t xml:space="preserve"> NERA has also not reconciled the data it uses for its adjustment to the data of the original series. Further details of our reasons are in section </w:t>
            </w:r>
            <w:r w:rsidR="00DB7AA8">
              <w:t>B.4</w:t>
            </w:r>
            <w:r w:rsidRPr="00772B77">
              <w:t xml:space="preserve">of this attachment.   </w:t>
            </w:r>
          </w:p>
        </w:tc>
      </w:tr>
      <w:tr w:rsidR="00772B77" w:rsidTr="00772B77">
        <w:tc>
          <w:tcPr>
            <w:tcW w:w="1951" w:type="dxa"/>
          </w:tcPr>
          <w:p w:rsidR="00772B77" w:rsidRPr="00772B77" w:rsidRDefault="00772B77" w:rsidP="00772B77">
            <w:r>
              <w:t>Arithmetic averaging of historical stock returns is more appropriate than geometric averaging</w:t>
            </w:r>
            <w:r w:rsidRPr="00772B77">
              <w:rPr>
                <w:rStyle w:val="FootnoteReference"/>
              </w:rPr>
              <w:footnoteReference w:id="388"/>
            </w:r>
          </w:p>
        </w:tc>
        <w:tc>
          <w:tcPr>
            <w:tcW w:w="6742" w:type="dxa"/>
          </w:tcPr>
          <w:p w:rsidR="00772B77" w:rsidRPr="00772B77" w:rsidRDefault="00772B77" w:rsidP="00DB7AA8">
            <w:pPr>
              <w:rPr>
                <w:rStyle w:val="AERtextsize8"/>
              </w:rPr>
            </w:pPr>
            <w:r>
              <w:t xml:space="preserve">In estimating the </w:t>
            </w:r>
            <w:r w:rsidRPr="00772B77">
              <w:t>market risk premium, we have regard to both arithmetic and geometric average historical excess returns.</w:t>
            </w:r>
            <w:r w:rsidR="00F56847">
              <w:rPr>
                <w:rStyle w:val="FootnoteReference"/>
              </w:rPr>
              <w:footnoteReference w:id="389"/>
            </w:r>
            <w:r w:rsidRPr="00772B77">
              <w:t xml:space="preserve"> Partington and Satchell recommended the consideration of both arithmetic and geometric averages, tempered by an understanding of the potential biases in both.</w:t>
            </w:r>
            <w:r w:rsidRPr="00772B77">
              <w:rPr>
                <w:rStyle w:val="FootnoteReference"/>
              </w:rPr>
              <w:footnoteReference w:id="390"/>
            </w:r>
            <w:r w:rsidRPr="00772B77">
              <w:t xml:space="preserve"> Also, they supported this position in their most recent 2016 report.</w:t>
            </w:r>
            <w:r w:rsidRPr="00772B77">
              <w:rPr>
                <w:rStyle w:val="FootnoteReference"/>
              </w:rPr>
              <w:footnoteReference w:id="391"/>
            </w:r>
            <w:r w:rsidRPr="00772B77">
              <w:t xml:space="preserve"> Further details of our reasons are in section </w:t>
            </w:r>
            <w:r w:rsidR="00DB7AA8">
              <w:t>C.3</w:t>
            </w:r>
            <w:r w:rsidRPr="00772B77">
              <w:t xml:space="preserve">of this attachment.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We should </w:t>
            </w:r>
            <w:r w:rsidRPr="00772B77">
              <w:t>use sample periods that begin pre-1980s, when estimating historical stock returns</w:t>
            </w:r>
            <w:r w:rsidRPr="00772B77">
              <w:rPr>
                <w:rStyle w:val="FootnoteReference"/>
              </w:rPr>
              <w:footnoteReference w:id="392"/>
            </w:r>
          </w:p>
        </w:tc>
        <w:tc>
          <w:tcPr>
            <w:tcW w:w="6742" w:type="dxa"/>
          </w:tcPr>
          <w:p w:rsidR="00772B77" w:rsidRPr="00772B77" w:rsidRDefault="00772B77" w:rsidP="00DB7AA8">
            <w:pPr>
              <w:rPr>
                <w:rStyle w:val="AERtextsize8"/>
              </w:rPr>
            </w:pPr>
            <w:r w:rsidRPr="006B7989">
              <w:rPr>
                <w:rStyle w:val="AERtextsize8"/>
              </w:rPr>
              <w:t xml:space="preserve">Partington and Satchell </w:t>
            </w:r>
            <w:r w:rsidRPr="00772B77">
              <w:rPr>
                <w:rStyle w:val="AERtextsize8"/>
              </w:rPr>
              <w:t>considered that, although it reduces the precision of the estimates, there are reasons for using multiple sampling periods, such as possible structural breaks in the data and issues regarding data quality.</w:t>
            </w:r>
            <w:r w:rsidRPr="00772B77">
              <w:rPr>
                <w:rStyle w:val="FootnoteReference"/>
              </w:rPr>
              <w:footnoteReference w:id="393"/>
            </w:r>
            <w:r w:rsidRPr="00772B77">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w:t>
            </w:r>
            <w:r w:rsidR="00DB7AA8">
              <w:rPr>
                <w:rStyle w:val="AERtextsize8"/>
              </w:rPr>
              <w:t>C.1.2</w:t>
            </w:r>
            <w:r w:rsidRPr="00772B77">
              <w:rPr>
                <w:rStyle w:val="AERtextsize8"/>
              </w:rPr>
              <w:t xml:space="preserve">of Attachment 3 to our preliminary decision on AusNet Services' 2016-20 distribution determination </w:t>
            </w:r>
            <w:r w:rsidR="00FB3200">
              <w:rPr>
                <w:rStyle w:val="AERtextsize8"/>
              </w:rPr>
              <w:t>a</w:t>
            </w:r>
            <w:r w:rsidRPr="00772B77">
              <w:rPr>
                <w:rStyle w:val="AERtextsize8"/>
              </w:rPr>
              <w:t xml:space="preserve">nd section </w:t>
            </w:r>
            <w:r w:rsidR="00DB7AA8">
              <w:rPr>
                <w:rStyle w:val="AERtextsize8"/>
              </w:rPr>
              <w:t>3.4.1</w:t>
            </w:r>
            <w:r w:rsidRPr="00772B77">
              <w:rPr>
                <w:rStyle w:val="AERtextsize8"/>
              </w:rPr>
              <w:t>of our May 2016 final decision on AusNet Services' 2016-20 distribution determination.</w:t>
            </w:r>
          </w:p>
        </w:tc>
      </w:tr>
      <w:tr w:rsidR="00772B77" w:rsidTr="00772B77">
        <w:tc>
          <w:tcPr>
            <w:tcW w:w="1951" w:type="dxa"/>
          </w:tcPr>
          <w:p w:rsidR="00772B77" w:rsidRPr="00772B77" w:rsidRDefault="00772B77" w:rsidP="00772B77">
            <w:r w:rsidRPr="00A13F56">
              <w:t xml:space="preserve">Other regulators are currently adopting higher </w:t>
            </w:r>
            <w:r w:rsidRPr="00772B77">
              <w:t>market risk premium estimates</w:t>
            </w:r>
            <w:r w:rsidRPr="00772B77">
              <w:rPr>
                <w:rStyle w:val="FootnoteReference"/>
              </w:rPr>
              <w:footnoteReference w:id="394"/>
            </w:r>
          </w:p>
        </w:tc>
        <w:tc>
          <w:tcPr>
            <w:tcW w:w="6742" w:type="dxa"/>
          </w:tcPr>
          <w:p w:rsidR="00772B77" w:rsidRPr="00772B77" w:rsidRDefault="00772B77" w:rsidP="00772B77">
            <w:r w:rsidRPr="00D02C72">
              <w:t xml:space="preserve">Other regulators adopt </w:t>
            </w:r>
            <w:r w:rsidRPr="00772B77">
              <w:t xml:space="preserve">different approaches, have different regulatory tasks (and regimes) and regulate different businesses.  Hence we assign less weight to this material and do not use it to directly estimate the market risk premium after assessing its merits in the Guideline and subsequent regulatory decisions. We use information from other regulators' decision as a cross check to the market risk premium and return on equity point estimate. Further detail of our reasons can be found in Appendix F. </w:t>
            </w:r>
          </w:p>
          <w:p w:rsidR="00772B77" w:rsidRPr="00772B77" w:rsidRDefault="00772B77" w:rsidP="00772B77">
            <w:r>
              <w:t>It is not clear that other regulators are adopting a higher market risk premium.</w:t>
            </w:r>
            <w:r w:rsidRPr="00772B77">
              <w:t xml:space="preserve"> If decisions by foreign regulators and the ERA are excluded, Frontier's submission indicates that most Australian regulators are adopting a market risk premium of 6.5 per cent or below.</w:t>
            </w:r>
          </w:p>
          <w:p w:rsidR="00772B77" w:rsidRPr="00772B77" w:rsidRDefault="00772B77" w:rsidP="00772B77">
            <w:r>
              <w:t>We note that t</w:t>
            </w:r>
            <w:r w:rsidRPr="00772B77">
              <w:t>he ERA has acknowledged that its estimate</w:t>
            </w:r>
            <w:r w:rsidR="00BA1218">
              <w:t xml:space="preserve"> (7.4 per cent)</w:t>
            </w:r>
            <w:r w:rsidRPr="00772B77">
              <w:t xml:space="preserve"> is </w:t>
            </w:r>
            <w:r w:rsidR="00410AB6" w:rsidRPr="00772B77">
              <w:t>com</w:t>
            </w:r>
            <w:r w:rsidR="00410AB6">
              <w:t>parable</w:t>
            </w:r>
            <w:r w:rsidRPr="00772B77">
              <w:t xml:space="preserve"> with our 6.5 per cent market risk premium</w:t>
            </w:r>
            <w:r w:rsidR="00E72090">
              <w:t xml:space="preserve"> once differences in parameter estimates and judgement are accounted for</w:t>
            </w:r>
            <w:r w:rsidRPr="00772B77">
              <w:t>.</w:t>
            </w:r>
            <w:r w:rsidR="00927F59">
              <w:rPr>
                <w:rStyle w:val="FootnoteReference"/>
              </w:rPr>
              <w:footnoteReference w:id="395"/>
            </w:r>
            <w:r w:rsidRPr="00772B77">
              <w:t xml:space="preserve"> We do not consider regulatory decisions by foreign regulators to be useful for informing the market risk premium for the benchmark efficient entity with a similar degree of risk as AusNet Services for supplying </w:t>
            </w:r>
            <w:r w:rsidR="00E81300">
              <w:t>the regulated</w:t>
            </w:r>
            <w:r w:rsidRPr="00772B77">
              <w:t xml:space="preserve"> services.</w:t>
            </w:r>
            <w:r w:rsidRPr="00772B77">
              <w:rPr>
                <w:rStyle w:val="FootnoteReference"/>
              </w:rPr>
              <w:footnoteReference w:id="396"/>
            </w:r>
            <w:r w:rsidRPr="00772B77">
              <w:t xml:space="preserve"> This is because the required return on the market may differ across countries</w:t>
            </w:r>
            <w:r w:rsidRPr="00772B77">
              <w:rPr>
                <w:rStyle w:val="FootnoteReference"/>
              </w:rPr>
              <w:footnoteReference w:id="397"/>
            </w:r>
            <w:r w:rsidRPr="00772B77">
              <w:t xml:space="preserve"> in addition to other caveats we note about other regulators' decisions.</w:t>
            </w:r>
            <w:r w:rsidRPr="00772B77">
              <w:rPr>
                <w:rStyle w:val="FootnoteReference"/>
              </w:rPr>
              <w:footnoteReference w:id="398"/>
            </w:r>
          </w:p>
          <w:p w:rsidR="00772B77" w:rsidRPr="00772B77" w:rsidRDefault="00772B77" w:rsidP="00772B77">
            <w:r>
              <w:t>Partington and Satchell</w:t>
            </w:r>
            <w:r w:rsidRPr="00772B77">
              <w:t xml:space="preserve"> has also advised that "overseas regulators decisions are not likely to be convincing unless one can show great similarities between the economies considered."</w:t>
            </w:r>
            <w:r w:rsidRPr="00772B77">
              <w:rPr>
                <w:rStyle w:val="FootnoteReference"/>
              </w:rPr>
              <w:footnoteReference w:id="399"/>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AER </w:t>
            </w:r>
            <w:r w:rsidRPr="00772B77">
              <w:t>uses a constant market risk premium for each decision</w:t>
            </w:r>
            <w:r w:rsidRPr="00772B77">
              <w:rPr>
                <w:rStyle w:val="FootnoteReference"/>
              </w:rPr>
              <w:footnoteReference w:id="400"/>
            </w:r>
            <w:r w:rsidRPr="00772B77">
              <w:t xml:space="preserve"> </w:t>
            </w:r>
          </w:p>
        </w:tc>
        <w:tc>
          <w:tcPr>
            <w:tcW w:w="6742" w:type="dxa"/>
          </w:tcPr>
          <w:p w:rsidR="00772B77" w:rsidRPr="00772B77" w:rsidRDefault="00772B77" w:rsidP="00772B77">
            <w:r>
              <w:t>Our market risk premium is informed by</w:t>
            </w:r>
            <w:r w:rsidRPr="00772B77">
              <w:t xml:space="preserve"> a range of relevant materials. Our assessment of all these materials is informed by the roles assigned to them based on their relative merits and suitability for our regulatory task (see Table </w:t>
            </w:r>
            <w:r w:rsidR="00A4295D">
              <w:t xml:space="preserve">3–5 </w:t>
            </w:r>
            <w:r w:rsidRPr="00772B77">
              <w:t xml:space="preserve">for a summary). The relevant evidence indicates that the forward looking 10-year market risk premium continues to be 6.5 per cent. </w:t>
            </w:r>
          </w:p>
          <w:p w:rsidR="00772B77" w:rsidRPr="00772B77" w:rsidRDefault="00113EAF" w:rsidP="00772B77">
            <w:r>
              <w:t xml:space="preserve">Partington and Satchell </w:t>
            </w:r>
            <w:r w:rsidR="00772B77" w:rsidRPr="00772B77">
              <w:t>noted 'to consider changes in the MRP requires some statistical evidence'.</w:t>
            </w:r>
            <w:r w:rsidR="00772B77" w:rsidRPr="00772B77">
              <w:rPr>
                <w:rStyle w:val="FootnoteReference"/>
              </w:rPr>
              <w:footnoteReference w:id="401"/>
            </w:r>
            <w:r w:rsidR="00772B77" w:rsidRPr="00772B77">
              <w:t xml:space="preserve"> Service providers have not provided satisfactory evidence to indicate a different estimate. </w:t>
            </w:r>
          </w:p>
          <w:p w:rsidR="00772B77" w:rsidRPr="00772B77" w:rsidRDefault="00834500" w:rsidP="00772B77">
            <w:r>
              <w:t>Frontier's</w:t>
            </w:r>
            <w:r w:rsidRPr="00772B77">
              <w:t xml:space="preserve"> </w:t>
            </w:r>
            <w:r w:rsidR="00772B77" w:rsidRPr="00772B77">
              <w:t>submissions seem to be mainly premised on estimates from dividend growth models and alternative specifications of the Sharpe-Lintner CAPM.</w:t>
            </w:r>
          </w:p>
          <w:p w:rsidR="00772B77" w:rsidRPr="00772B77" w:rsidRDefault="00772B77" w:rsidP="00772B77">
            <w:r>
              <w:t xml:space="preserve">We have reservations about over-reliance on </w:t>
            </w:r>
            <w:r w:rsidRPr="00772B77">
              <w:t>dividend growth model estimates of the market risk premium due to weaknesses in the model. Hence, our Guideline (and decisions) assigns less weight to this material. Submissions to date have not provided sufficient evidence for us to depart from this view.</w:t>
            </w:r>
          </w:p>
          <w:p w:rsidR="00772B77" w:rsidRPr="00772B77" w:rsidRDefault="00772B77" w:rsidP="00772B77">
            <w:r>
              <w:t xml:space="preserve">Further, the increasing </w:t>
            </w:r>
            <w:r w:rsidRPr="00772B77">
              <w:t>dividend growth model estimates of the market risk premium are a function of the model’s construction. The model deducts the prevailing risk free rate from an estimated implied cost/return on equity to estimate the market risk premium; as the risk free rate falls, market risk premium rises. Our consideration of other relevant evidence do</w:t>
            </w:r>
            <w:r w:rsidR="00BA1218">
              <w:t>es</w:t>
            </w:r>
            <w:r w:rsidRPr="00772B77">
              <w:t xml:space="preserve"> not suggest a significant departure from long term values. Together they do not necessarily reflect an increase in the true expected 10 year forward looking market risk premium.</w:t>
            </w:r>
            <w:r w:rsidRPr="00772B77">
              <w:rPr>
                <w:rStyle w:val="FootnoteReference"/>
              </w:rPr>
              <w:footnoteReference w:id="402"/>
            </w:r>
            <w:r w:rsidRPr="00772B77">
              <w:t xml:space="preserve"> </w:t>
            </w:r>
          </w:p>
          <w:p w:rsidR="00772B77" w:rsidRPr="00772B77" w:rsidRDefault="00772B77" w:rsidP="00772B77">
            <w:r>
              <w:t xml:space="preserve">Our assessment of </w:t>
            </w:r>
            <w:r w:rsidRPr="00772B77">
              <w:t>alternative specifications of the Sharpe-Lintner CAPM is that they should not be used to inform the market risk premium due to their limitations.</w:t>
            </w:r>
            <w:r w:rsidRPr="00772B77">
              <w:rPr>
                <w:rStyle w:val="FootnoteReference"/>
              </w:rPr>
              <w:footnoteReference w:id="403"/>
            </w:r>
            <w:r w:rsidRPr="00772B77">
              <w:t xml:space="preserve"> </w:t>
            </w:r>
          </w:p>
        </w:tc>
      </w:tr>
      <w:tr w:rsidR="00772B77" w:rsidTr="00772B77">
        <w:tc>
          <w:tcPr>
            <w:tcW w:w="1951" w:type="dxa"/>
          </w:tcPr>
          <w:p w:rsidR="00772B77" w:rsidRPr="00772B77" w:rsidRDefault="00772B77" w:rsidP="00772B77">
            <w:r>
              <w:t xml:space="preserve">The </w:t>
            </w:r>
            <w:r w:rsidRPr="00772B77">
              <w:t>market risk premium varies over time and the AER’s historically anchored estimate is unlikely to lead to a forward looking estimate</w:t>
            </w:r>
            <w:r w:rsidRPr="00772B77">
              <w:rPr>
                <w:rStyle w:val="FootnoteReference"/>
              </w:rPr>
              <w:footnoteReference w:id="404"/>
            </w:r>
          </w:p>
        </w:tc>
        <w:tc>
          <w:tcPr>
            <w:tcW w:w="6742" w:type="dxa"/>
          </w:tcPr>
          <w:p w:rsidR="00772B77" w:rsidRPr="00772B77" w:rsidRDefault="00772B77" w:rsidP="00772B77">
            <w:r>
              <w:t>We</w:t>
            </w:r>
            <w:r w:rsidRPr="00772B77">
              <w:t xml:space="preserve"> acknowledge that the market risk premium may vary over time</w:t>
            </w:r>
            <w:r w:rsidRPr="00772B77">
              <w:rPr>
                <w:rStyle w:val="FootnoteReference"/>
              </w:rPr>
              <w:footnoteReference w:id="405"/>
            </w:r>
            <w:r w:rsidRPr="00772B77">
              <w:t xml:space="preserve">. </w:t>
            </w:r>
          </w:p>
          <w:p w:rsidR="00772B77" w:rsidRPr="00772B77" w:rsidRDefault="00772B77" w:rsidP="00772B77">
            <w:r>
              <w:t>However,</w:t>
            </w:r>
            <w:r w:rsidRPr="00772B77">
              <w:t xml:space="preserve"> our assessment of all the relevant material indicates (when applying the Guideline) that 6.5 per cent is the forward looking 10-year market risk premium that contributes to the ARORO and commensurate with the prevailing condition in the market for equity funds. Partington and Satchell has advised that the current conditions in Australia are not at all dissimilar to the historical interest rates in the periods which the AER calculates the historical excess returns from</w:t>
            </w:r>
            <w:r w:rsidRPr="00772B77">
              <w:rPr>
                <w:rStyle w:val="FootnoteReference"/>
              </w:rPr>
              <w:footnoteReference w:id="406"/>
            </w:r>
            <w:r w:rsidRPr="00772B77">
              <w:t xml:space="preserve"> and 'common in Australia and elsewhere'</w:t>
            </w:r>
            <w:r w:rsidRPr="00772B77">
              <w:rPr>
                <w:rStyle w:val="FootnoteReference"/>
              </w:rPr>
              <w:footnoteReference w:id="407"/>
            </w:r>
            <w:r w:rsidRPr="00772B77">
              <w:t>.</w:t>
            </w:r>
          </w:p>
          <w:p w:rsidR="00772B77" w:rsidRPr="00772B77" w:rsidRDefault="00772B77" w:rsidP="00772B77">
            <w:r>
              <w:t xml:space="preserve">Further, Partington and Satchell has advised </w:t>
            </w:r>
            <w:r w:rsidRPr="00772B77">
              <w:t>that 'the interest rates in Australia, although at historic lows, are not so dramatically dissimilar to the past as to require a change in the standard method of computing the MRP'</w:t>
            </w:r>
            <w:r w:rsidRPr="00772B77">
              <w:rPr>
                <w:rStyle w:val="FootnoteReference"/>
              </w:rPr>
              <w:footnoteReference w:id="408"/>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Guideline approach of using the mean excess returns over a long historical period is not suitable because </w:t>
            </w:r>
            <w:r w:rsidRPr="00772B77">
              <w:t>past conditions are not likely to hold</w:t>
            </w:r>
            <w:r w:rsidRPr="00772B77">
              <w:rPr>
                <w:rStyle w:val="FootnoteReference"/>
              </w:rPr>
              <w:footnoteReference w:id="409"/>
            </w:r>
          </w:p>
        </w:tc>
        <w:tc>
          <w:tcPr>
            <w:tcW w:w="6742" w:type="dxa"/>
          </w:tcPr>
          <w:p w:rsidR="00772B77" w:rsidRPr="00772B77" w:rsidRDefault="00772B77" w:rsidP="00772B77">
            <w:r>
              <w:t xml:space="preserve">Frontier's </w:t>
            </w:r>
            <w:r w:rsidRPr="00772B77">
              <w:t>main issue seems to be that the average conditions over the period of time analysed are not the same as the current conditions. However, we use multiple time periods to account for different market conditions</w:t>
            </w:r>
            <w:r w:rsidR="00442F6B">
              <w:rPr>
                <w:rStyle w:val="FootnoteReference"/>
              </w:rPr>
              <w:footnoteReference w:id="410"/>
            </w:r>
            <w:r w:rsidRPr="00772B77">
              <w:t xml:space="preserve"> and use other relevant evidence (such as conditioning variables)  to inform our decision. </w:t>
            </w:r>
            <w:r w:rsidR="00442F6B">
              <w:t>I</w:t>
            </w:r>
            <w:r w:rsidRPr="00772B77">
              <w:t>t is important to note that the current market situation is not uncommon for Australia.</w:t>
            </w:r>
            <w:r w:rsidR="002E1F4A">
              <w:rPr>
                <w:rStyle w:val="FootnoteReference"/>
              </w:rPr>
              <w:footnoteReference w:id="411"/>
            </w:r>
            <w:r w:rsidRPr="00772B77">
              <w:t xml:space="preserve"> </w:t>
            </w:r>
          </w:p>
          <w:p w:rsidR="00772B77" w:rsidRPr="00772B77" w:rsidRDefault="00772B77" w:rsidP="00772B77">
            <w:r>
              <w:t>Partington and Satchell</w:t>
            </w:r>
            <w:r w:rsidRPr="00772B77">
              <w:t xml:space="preserve"> have advised that using multiple time periods when assessing excess returns minimises variation to the current timeframe </w:t>
            </w:r>
          </w:p>
          <w:p w:rsidR="00772B77" w:rsidRPr="00772B77" w:rsidRDefault="00772B77" w:rsidP="00FB3200">
            <w:r>
              <w:t>Further,</w:t>
            </w:r>
            <w:r w:rsidRPr="00772B77">
              <w:t xml:space="preserve"> we note the magnitude of current interest rates is not so dissimilar to the past as to invalidate the historic MRP informing an estimate of the current MRP.</w:t>
            </w:r>
            <w:r w:rsidRPr="00772B77">
              <w:rPr>
                <w:rStyle w:val="FootnoteReference"/>
              </w:rPr>
              <w:footnoteReference w:id="412"/>
            </w:r>
            <w:r w:rsidRPr="00772B77">
              <w:t xml:space="preserve"> </w:t>
            </w:r>
            <w:r w:rsidR="00FB3200">
              <w:t>Partington and Satchell has also advised that</w:t>
            </w:r>
            <w:r w:rsidR="00FB3200" w:rsidRPr="00772B77">
              <w:t xml:space="preserve"> </w:t>
            </w:r>
            <w:r w:rsidRPr="00772B77">
              <w:t>the current market situation is not uncommon for Australia.</w:t>
            </w:r>
            <w:r w:rsidRPr="00772B77">
              <w:rPr>
                <w:rStyle w:val="FootnoteReference"/>
              </w:rPr>
              <w:footnoteReference w:id="413"/>
            </w:r>
            <w:r w:rsidRPr="00772B77">
              <w:t xml:space="preserve"> </w:t>
            </w:r>
          </w:p>
        </w:tc>
      </w:tr>
      <w:tr w:rsidR="00772B77" w:rsidTr="00772B77">
        <w:tc>
          <w:tcPr>
            <w:tcW w:w="1951" w:type="dxa"/>
          </w:tcPr>
          <w:p w:rsidR="00772B77" w:rsidRPr="00772B77" w:rsidRDefault="00772B77" w:rsidP="00772B77">
            <w:r>
              <w:t xml:space="preserve">Foreign </w:t>
            </w:r>
            <w:r w:rsidRPr="00772B77">
              <w:t>regulators have noted issues with using historical estimates of the market risk premium</w:t>
            </w:r>
            <w:r w:rsidRPr="00772B77">
              <w:rPr>
                <w:rStyle w:val="FootnoteReference"/>
              </w:rPr>
              <w:footnoteReference w:id="414"/>
            </w:r>
          </w:p>
        </w:tc>
        <w:tc>
          <w:tcPr>
            <w:tcW w:w="6742" w:type="dxa"/>
          </w:tcPr>
          <w:p w:rsidR="00C33F1F" w:rsidRPr="00C33F1F" w:rsidRDefault="00C33F1F" w:rsidP="00C33F1F">
            <w:r>
              <w:t>W</w:t>
            </w:r>
            <w:r w:rsidRPr="00C33F1F">
              <w:t>e do not consider regulatory decisions by foreign regulators to be useful for informing the market risk premium for the benchmark efficient entity with a similar degree of risk as AusNet Services for supplying the regulated services.</w:t>
            </w:r>
            <w:r w:rsidRPr="00C33F1F">
              <w:rPr>
                <w:rStyle w:val="FootnoteReference"/>
              </w:rPr>
              <w:footnoteReference w:id="415"/>
            </w:r>
            <w:r w:rsidRPr="00C33F1F">
              <w:t xml:space="preserve"> This is because the required return on the </w:t>
            </w:r>
            <w:r w:rsidR="00A570A2">
              <w:t xml:space="preserve">domestic </w:t>
            </w:r>
            <w:r w:rsidRPr="00C33F1F">
              <w:t>market may differ across countries</w:t>
            </w:r>
            <w:r w:rsidRPr="00C33F1F">
              <w:rPr>
                <w:rStyle w:val="FootnoteReference"/>
              </w:rPr>
              <w:footnoteReference w:id="416"/>
            </w:r>
            <w:r w:rsidRPr="00C33F1F">
              <w:t xml:space="preserve"> in addition to other caveats we note about other regulators' decisions. </w:t>
            </w:r>
          </w:p>
          <w:p w:rsidR="00772B77" w:rsidRPr="00772B77" w:rsidRDefault="00C33F1F" w:rsidP="00C33F1F">
            <w:r>
              <w:t>This is supported by Partington and Satchell as they noted that '</w:t>
            </w:r>
            <w:r w:rsidRPr="00C33F1F">
              <w:t>overseas regulators decisions are not likely to be convincing unless one can show great similarities in the economies considered'.</w:t>
            </w:r>
            <w:r w:rsidRPr="00C33F1F">
              <w:rPr>
                <w:rStyle w:val="FootnoteReference"/>
              </w:rPr>
              <w:footnoteReference w:id="417"/>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current low interest rates make the </w:t>
            </w:r>
            <w:r w:rsidRPr="00772B77">
              <w:t>historical excess returns method less effective at generating a forward looking MRP estimate</w:t>
            </w:r>
            <w:r w:rsidRPr="00772B77">
              <w:rPr>
                <w:rStyle w:val="FootnoteReference"/>
              </w:rPr>
              <w:footnoteReference w:id="418"/>
            </w:r>
          </w:p>
        </w:tc>
        <w:tc>
          <w:tcPr>
            <w:tcW w:w="6742" w:type="dxa"/>
          </w:tcPr>
          <w:p w:rsidR="00772B77" w:rsidRPr="00772B77" w:rsidRDefault="00772B77" w:rsidP="00772B77">
            <w:r>
              <w:t>Partington and Satchell</w:t>
            </w:r>
            <w:r w:rsidRPr="00772B77">
              <w:t xml:space="preserve"> noted that, despite the low interest rate situation currently prevailing in the market, 'the low interest rates we are currently experiencing are not so unusual for Australia'.</w:t>
            </w:r>
            <w:r w:rsidRPr="00772B77">
              <w:rPr>
                <w:rStyle w:val="FootnoteReference"/>
              </w:rPr>
              <w:footnoteReference w:id="419"/>
            </w:r>
            <w:r w:rsidRPr="00772B77">
              <w:t xml:space="preserve"> They also observed that the magnitude of current interest rates is not so dissimilar to the past as to invalidate the historic MRP information an estimate of the current MRP.</w:t>
            </w:r>
            <w:r w:rsidRPr="00772B77">
              <w:rPr>
                <w:rStyle w:val="FootnoteReference"/>
              </w:rPr>
              <w:footnoteReference w:id="420"/>
            </w:r>
          </w:p>
        </w:tc>
      </w:tr>
      <w:tr w:rsidR="00772B77" w:rsidTr="00772B77">
        <w:tc>
          <w:tcPr>
            <w:tcW w:w="1951" w:type="dxa"/>
          </w:tcPr>
          <w:p w:rsidR="00772B77" w:rsidRPr="00772B77" w:rsidRDefault="00772B77" w:rsidP="00772B77">
            <w:r>
              <w:t>The AER should be using the RBA's chartpack as an indicator that some of its reservations with the DGM are not necessary in the current economic conditions</w:t>
            </w:r>
            <w:r w:rsidRPr="00772B77">
              <w:rPr>
                <w:rStyle w:val="FootnoteReference"/>
              </w:rPr>
              <w:footnoteReference w:id="421"/>
            </w:r>
          </w:p>
        </w:tc>
        <w:tc>
          <w:tcPr>
            <w:tcW w:w="6742" w:type="dxa"/>
          </w:tcPr>
          <w:p w:rsidR="00772B77" w:rsidRPr="00772B77" w:rsidRDefault="00772B77" w:rsidP="00772B77">
            <w:r>
              <w:t>Frontier</w:t>
            </w:r>
            <w:r w:rsidRPr="00772B77">
              <w:t xml:space="preserve"> previously stated that the RBA Chartpack showing an increase in total earnings should mitigate concerns the AER has with the dividend growth model due to strong forecasts for the coming year.</w:t>
            </w:r>
            <w:r w:rsidRPr="00772B77">
              <w:rPr>
                <w:rStyle w:val="FootnoteReference"/>
              </w:rPr>
              <w:footnoteReference w:id="422"/>
            </w:r>
            <w:r w:rsidRPr="00772B77">
              <w:t xml:space="preserve"> However </w:t>
            </w:r>
            <w:r w:rsidR="00A57694">
              <w:t>we</w:t>
            </w:r>
            <w:r w:rsidRPr="00772B77">
              <w:t xml:space="preserve"> noted </w:t>
            </w:r>
            <w:r w:rsidR="00A57694">
              <w:t>that</w:t>
            </w:r>
            <w:r w:rsidRPr="00772B77">
              <w:t xml:space="preserve"> earnings per share as the best indicator going forward regarding dividend payments. We note the chart shows 2017 forecast of earnings per share are higher than 2016 forecasts as Frontier pointed out.</w:t>
            </w:r>
            <w:r w:rsidRPr="00772B77">
              <w:rPr>
                <w:rStyle w:val="FootnoteReference"/>
              </w:rPr>
              <w:t xml:space="preserve"> </w:t>
            </w:r>
            <w:r w:rsidRPr="00772B77">
              <w:rPr>
                <w:rStyle w:val="FootnoteReference"/>
              </w:rPr>
              <w:footnoteReference w:id="423"/>
            </w:r>
            <w:r w:rsidRPr="00772B77">
              <w:t xml:space="preserve"> However, it is not clear </w:t>
            </w:r>
            <w:r w:rsidR="00A57694">
              <w:t xml:space="preserve">that </w:t>
            </w:r>
            <w:r w:rsidRPr="00772B77">
              <w:t>conclusive findings about earnings or dividends can be drawn from the chartpack as it relates to one-year forecasts whereas we estimate a forward looking 10-year market risk premium.</w:t>
            </w:r>
          </w:p>
          <w:p w:rsidR="00772B77" w:rsidRPr="00772B77" w:rsidRDefault="00772B77" w:rsidP="00772B77"/>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The P/E ratio has been</w:t>
            </w:r>
            <w:r w:rsidRPr="00772B77">
              <w:t xml:space="preserve"> declining in recent years, indicating an increase in the return on equity</w:t>
            </w:r>
            <w:r w:rsidRPr="00772B77">
              <w:rPr>
                <w:rStyle w:val="FootnoteReference"/>
              </w:rPr>
              <w:footnoteReference w:id="424"/>
            </w:r>
          </w:p>
        </w:tc>
        <w:tc>
          <w:tcPr>
            <w:tcW w:w="6742" w:type="dxa"/>
          </w:tcPr>
          <w:p w:rsidR="00772B77" w:rsidRPr="00772B77" w:rsidRDefault="00772B77" w:rsidP="00772B77">
            <w:r>
              <w:t>We caution the use of P/E data</w:t>
            </w:r>
            <w:r w:rsidRPr="00772B77">
              <w:t>. It can fluctuate significantly in a single year (20</w:t>
            </w:r>
            <w:r w:rsidR="006E27DA">
              <w:t>15/</w:t>
            </w:r>
            <w:r w:rsidRPr="00772B77">
              <w:t>16 High:16, low 14.5</w:t>
            </w:r>
            <w:r w:rsidRPr="00772B77">
              <w:rPr>
                <w:rStyle w:val="FootnoteReference"/>
              </w:rPr>
              <w:footnoteReference w:id="425"/>
            </w:r>
            <w:r w:rsidRPr="00772B77">
              <w:t>)</w:t>
            </w:r>
            <w:r w:rsidRPr="00772B77">
              <w:rPr>
                <w:rStyle w:val="FootnoteReference"/>
              </w:rPr>
              <w:t xml:space="preserve"> </w:t>
            </w:r>
            <w:r w:rsidRPr="00772B77">
              <w:t xml:space="preserve">and the conclusions one can draw may be significantly impacted by the time period selected. </w:t>
            </w:r>
          </w:p>
          <w:p w:rsidR="00772B77" w:rsidRDefault="00772B77" w:rsidP="00772B77">
            <w:r>
              <w:t>Further</w:t>
            </w:r>
            <w:r w:rsidRPr="00772B77">
              <w:t>, movements in P/E data can be driven by change in the growth rate, dividend payout ratio and the cost of equity.</w:t>
            </w:r>
            <w:r w:rsidRPr="00772B77">
              <w:rPr>
                <w:rStyle w:val="FootnoteReference"/>
              </w:rPr>
              <w:footnoteReference w:id="426"/>
            </w:r>
            <w:r w:rsidRPr="00772B77">
              <w:t xml:space="preserve"> As Partington and Satchell observed, 'inferences about the cost of equity based on plots of earnings yield or P/E ratios are highly suspect'.</w:t>
            </w:r>
            <w:r w:rsidRPr="00772B77">
              <w:rPr>
                <w:rStyle w:val="FootnoteReference"/>
              </w:rPr>
              <w:footnoteReference w:id="427"/>
            </w:r>
          </w:p>
        </w:tc>
      </w:tr>
      <w:tr w:rsidR="00772B77" w:rsidTr="00772B77">
        <w:tc>
          <w:tcPr>
            <w:tcW w:w="1951" w:type="dxa"/>
          </w:tcPr>
          <w:p w:rsidR="00772B77" w:rsidRPr="00772B77" w:rsidRDefault="00772B77" w:rsidP="00772B77">
            <w:r>
              <w:t>Conditioning variables should not be considered as evidence in the absence of formal econometric mapping</w:t>
            </w:r>
            <w:r w:rsidRPr="00772B77">
              <w:rPr>
                <w:rStyle w:val="FootnoteReference"/>
              </w:rPr>
              <w:footnoteReference w:id="428"/>
            </w:r>
          </w:p>
        </w:tc>
        <w:tc>
          <w:tcPr>
            <w:tcW w:w="6742" w:type="dxa"/>
          </w:tcPr>
          <w:p w:rsidR="00772B77" w:rsidRPr="00772B77" w:rsidRDefault="00772B77" w:rsidP="00772B77">
            <w:r>
              <w:t>We disagree.</w:t>
            </w:r>
            <w:r w:rsidR="00DA77DF">
              <w:rPr>
                <w:rStyle w:val="FootnoteReference"/>
              </w:rPr>
              <w:footnoteReference w:id="429"/>
            </w:r>
          </w:p>
          <w:p w:rsidR="00772B77" w:rsidRPr="00772B77" w:rsidRDefault="00772B77" w:rsidP="00772B77">
            <w:r>
              <w:t xml:space="preserve">We are aware </w:t>
            </w:r>
            <w:r w:rsidRPr="00772B77">
              <w:t>of the limitations of conditioning variables. However, our assessment indicates that it still warrants "some consideration" as they can detect changing market conditions.</w:t>
            </w:r>
            <w:r w:rsidRPr="00772B77">
              <w:rPr>
                <w:rStyle w:val="FootnoteReference"/>
              </w:rPr>
              <w:footnoteReference w:id="430"/>
            </w:r>
            <w:r w:rsidRPr="00772B77">
              <w:t xml:space="preserve"> Therefore, we use conditioning variables in a directional role and do not use them to directly estimate the market risk premium. </w:t>
            </w:r>
          </w:p>
          <w:p w:rsidR="00772B77" w:rsidRPr="00772B77" w:rsidRDefault="00772B77" w:rsidP="00772B77">
            <w:r>
              <w:t xml:space="preserve">We also note that </w:t>
            </w:r>
            <w:r w:rsidRPr="00772B77">
              <w:t>other regulators, such as the ERA, use conditioning variables when forming their estimate of the market risk premium in a similar manner. They note their use as "additional evidence" and as an "indication of the relative state of prevailing forward looking expectations".</w:t>
            </w:r>
            <w:r w:rsidRPr="00772B77">
              <w:rPr>
                <w:rStyle w:val="FootnoteReference"/>
              </w:rPr>
              <w:footnoteReference w:id="431"/>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EA20CE" w:rsidP="00EA20CE">
            <w:r>
              <w:t>C</w:t>
            </w:r>
            <w:r w:rsidR="00C33F1F">
              <w:t>hang</w:t>
            </w:r>
            <w:r>
              <w:t>ing</w:t>
            </w:r>
            <w:r w:rsidR="00C33F1F">
              <w:t xml:space="preserve"> the </w:t>
            </w:r>
            <w:r w:rsidR="00C33F1F" w:rsidRPr="00C33F1F">
              <w:t>theta</w:t>
            </w:r>
            <w:r>
              <w:t xml:space="preserve"> used in the estimation of historical excess returns (</w:t>
            </w:r>
            <w:r w:rsidR="00C33F1F" w:rsidRPr="00C33F1F">
              <w:t>from 0.6 to 0.35</w:t>
            </w:r>
            <w:r>
              <w:t>)</w:t>
            </w:r>
            <w:r w:rsidR="00C33F1F" w:rsidRPr="00C33F1F">
              <w:t xml:space="preserve"> would have </w:t>
            </w:r>
            <w:r w:rsidR="00772B77" w:rsidRPr="00772B77">
              <w:t>commensurately small impact, if any, on the market risk premium selected</w:t>
            </w:r>
            <w:r w:rsidR="00772B77" w:rsidRPr="00772B77">
              <w:rPr>
                <w:rStyle w:val="FootnoteReference"/>
              </w:rPr>
              <w:footnoteReference w:id="432"/>
            </w:r>
            <w:r w:rsidR="00772B77" w:rsidRPr="00772B77">
              <w:t xml:space="preserve"> </w:t>
            </w:r>
          </w:p>
        </w:tc>
        <w:tc>
          <w:tcPr>
            <w:tcW w:w="6742" w:type="dxa"/>
          </w:tcPr>
          <w:p w:rsidR="00772B77" w:rsidRPr="00772B77" w:rsidRDefault="00772B77" w:rsidP="00772B77">
            <w:r>
              <w:t>We note that this conclusion is a product of Frontier's estimation of historical excess returns.</w:t>
            </w:r>
            <w:r w:rsidRPr="00772B77">
              <w:t xml:space="preserve"> Frontier used 3 averaging periods: 1883–2015, 1937–2015 and 1958–2015. Given theta only affects data from 1988 onwards, Frontier's choice of averaging periods 'dilutes' theta's impact on the estimates in the following manner:</w:t>
            </w:r>
          </w:p>
          <w:p w:rsidR="00772B77" w:rsidRPr="00772B77" w:rsidRDefault="00772B77" w:rsidP="00772B77">
            <w:pPr>
              <w:pStyle w:val="AERbulletlistfirststyle"/>
            </w:pPr>
            <w:r>
              <w:t>by excluding</w:t>
            </w:r>
            <w:r w:rsidRPr="00772B77">
              <w:t xml:space="preserve"> the averaging periods (1980–2015 and 1988-2015) where theta would have a more pronounced effect </w:t>
            </w:r>
          </w:p>
          <w:p w:rsidR="00772B77" w:rsidRPr="00772B77" w:rsidRDefault="00772B77" w:rsidP="00772B77">
            <w:pPr>
              <w:pStyle w:val="AERbulletlistfirststyle"/>
            </w:pPr>
            <w:r>
              <w:t>retaining</w:t>
            </w:r>
            <w:r w:rsidRPr="00772B77">
              <w:t xml:space="preserve"> averaging periods where the large number of years reduces the impact of theta on the end estimate</w:t>
            </w:r>
          </w:p>
          <w:p w:rsidR="00772B77" w:rsidRPr="00772B77" w:rsidRDefault="00772B77" w:rsidP="00772B77">
            <w:r>
              <w:t xml:space="preserve">We note </w:t>
            </w:r>
            <w:r w:rsidRPr="00772B77">
              <w:t>changing the theta from 0.6 to 0.35 has a marked reduction on the market risk premium estimate for the two excluded averaging periods (1980–2015 and 1988-2015):</w:t>
            </w:r>
          </w:p>
          <w:p w:rsidR="00772B77" w:rsidRPr="00772B77" w:rsidRDefault="00772B77" w:rsidP="00772B77">
            <w:pPr>
              <w:pStyle w:val="AERbulletlistfirststyle"/>
            </w:pPr>
            <w:r>
              <w:t>For the 1980-2015 period, the geometric</w:t>
            </w:r>
            <w:r w:rsidRPr="00772B77">
              <w:t xml:space="preserve"> average changes from 3.9 per cent to 3.5 per cent and the arithmetic average falls from 6.2 per cent to 5.8 per cent. </w:t>
            </w:r>
          </w:p>
          <w:p w:rsidR="00772B77" w:rsidRPr="00772B77" w:rsidRDefault="00772B77" w:rsidP="00772B77">
            <w:pPr>
              <w:pStyle w:val="AERbulletlistfirststyle"/>
            </w:pPr>
            <w:r>
              <w:t>For</w:t>
            </w:r>
            <w:r w:rsidRPr="00772B77">
              <w:t xml:space="preserve"> the 1988-2015 period the geometric average falls from 4 per cent to 3.6 per cent and the arithmetic average from 5.6 per cent from 5.2 per cent. </w:t>
            </w:r>
          </w:p>
          <w:p w:rsidR="00772B77" w:rsidRPr="00772B77" w:rsidRDefault="00772B77" w:rsidP="00772B77">
            <w:r>
              <w:t>Further</w:t>
            </w:r>
            <w:r w:rsidRPr="00772B77">
              <w:t>, as noted in previous decisions,</w:t>
            </w:r>
            <w:r w:rsidRPr="00772B77">
              <w:rPr>
                <w:rStyle w:val="FootnoteReference"/>
              </w:rPr>
              <w:footnoteReference w:id="433"/>
            </w:r>
            <w:r w:rsidRPr="00772B77">
              <w:t xml:space="preserve"> we consider a range of estimation periods (both long term and short term) should be adopted for estimating historical excess returns. We have chosen our averaging periods because to recognise each of these periods has different strengths and weaknesses, and clearly identifiable and material changes in the underlying data determine these periods and.</w:t>
            </w:r>
            <w:r w:rsidRPr="00772B77">
              <w:rPr>
                <w:rStyle w:val="FootnoteReference"/>
              </w:rPr>
              <w:footnoteReference w:id="434"/>
            </w:r>
            <w:r w:rsidRPr="00772B77">
              <w:t xml:space="preserve"> </w:t>
            </w:r>
          </w:p>
        </w:tc>
      </w:tr>
      <w:tr w:rsidR="00772B77" w:rsidTr="00772B77">
        <w:tc>
          <w:tcPr>
            <w:tcW w:w="1951" w:type="dxa"/>
          </w:tcPr>
          <w:p w:rsidR="00772B77" w:rsidRPr="00772B77" w:rsidRDefault="00772B77" w:rsidP="00772B77">
            <w:pPr>
              <w:rPr>
                <w:rStyle w:val="CommentReference"/>
              </w:rPr>
            </w:pPr>
            <w:r>
              <w:rPr>
                <w:rStyle w:val="CommentReference"/>
              </w:rPr>
              <w:t xml:space="preserve">The </w:t>
            </w:r>
            <w:r w:rsidRPr="00772B77">
              <w:rPr>
                <w:rStyle w:val="CommentReference"/>
              </w:rPr>
              <w:t>dividend growth model has shown a jump in the MRP since the draft decision</w:t>
            </w:r>
            <w:r w:rsidRPr="00772B77">
              <w:rPr>
                <w:rStyle w:val="FootnoteReference"/>
              </w:rPr>
              <w:footnoteReference w:id="435"/>
            </w:r>
          </w:p>
        </w:tc>
        <w:tc>
          <w:tcPr>
            <w:tcW w:w="6742" w:type="dxa"/>
          </w:tcPr>
          <w:p w:rsidR="00772B77" w:rsidRPr="00772B77" w:rsidRDefault="00772B77" w:rsidP="00772B77">
            <w:r>
              <w:t>Frontier's</w:t>
            </w:r>
            <w:r w:rsidRPr="00772B77">
              <w:t xml:space="preserve"> use of the dividend growth model estimates is misleading. The 'jump' shown by Frontier</w:t>
            </w:r>
            <w:r w:rsidRPr="00772B77">
              <w:rPr>
                <w:rStyle w:val="FootnoteReference"/>
              </w:rPr>
              <w:footnoteReference w:id="436"/>
            </w:r>
            <w:r w:rsidRPr="00772B77">
              <w:t xml:space="preserve"> comes from the use of a more recent risk free rate in conjunction with older dividend growth model return on equity results. As the risk free rate has fallen and the return on equity has remained the same, the resulting increase to the market risk premium is misleading and erroneous.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 xml:space="preserve">The </w:t>
            </w:r>
            <w:r w:rsidRPr="00772B77">
              <w:rPr>
                <w:rStyle w:val="CommentReference"/>
              </w:rPr>
              <w:t>dividend growth model's estimate for the required return on equity has remained stable since the December 2013 guideline</w:t>
            </w:r>
            <w:r w:rsidRPr="00772B77">
              <w:rPr>
                <w:rStyle w:val="FootnoteReference"/>
              </w:rPr>
              <w:footnoteReference w:id="437"/>
            </w:r>
          </w:p>
        </w:tc>
        <w:tc>
          <w:tcPr>
            <w:tcW w:w="6742" w:type="dxa"/>
          </w:tcPr>
          <w:p w:rsidR="009D35A0" w:rsidRDefault="00772B77" w:rsidP="00772B77">
            <w:r>
              <w:t xml:space="preserve">We have previously considered </w:t>
            </w:r>
            <w:r w:rsidRPr="00772B77">
              <w:t>the use of the 3-stage dividend growth model to provide an estimate for the required return on equity.</w:t>
            </w:r>
            <w:r w:rsidRPr="00772B77">
              <w:rPr>
                <w:rStyle w:val="FootnoteReference"/>
              </w:rPr>
              <w:footnoteReference w:id="438"/>
            </w:r>
            <w:r w:rsidRPr="00772B77">
              <w:t xml:space="preserve"> However, </w:t>
            </w:r>
            <w:r w:rsidR="009D35A0">
              <w:t>limitations such as slow-change dividend forecasts and upward bias in analyst forecasts may</w:t>
            </w:r>
            <w:r w:rsidR="00FC2BB8">
              <w:t xml:space="preserve"> lead to return on equity estimates that are persistent and stable over a period of time.</w:t>
            </w:r>
            <w:r w:rsidR="00FC2BB8">
              <w:rPr>
                <w:rStyle w:val="FootnoteReference"/>
              </w:rPr>
              <w:footnoteReference w:id="439"/>
            </w:r>
            <w:r w:rsidR="00FC2BB8">
              <w:t xml:space="preserve"> </w:t>
            </w:r>
          </w:p>
          <w:p w:rsidR="00772B77" w:rsidRPr="00772B77" w:rsidRDefault="009D35A0" w:rsidP="00DB5658">
            <w:r>
              <w:t>D</w:t>
            </w:r>
            <w:r w:rsidR="00772B77" w:rsidRPr="00772B77">
              <w:t xml:space="preserve">ue the model's sensitivities and limitations, </w:t>
            </w:r>
            <w:r>
              <w:t>we</w:t>
            </w:r>
            <w:r w:rsidR="00772B77" w:rsidRPr="00772B77">
              <w:t xml:space="preserve"> use the model to indicate if the market risk premium lies above or below the historical estimates.</w:t>
            </w:r>
            <w:r w:rsidR="00FC2BB8">
              <w:t xml:space="preserve"> </w:t>
            </w:r>
            <w:r w:rsidR="00772B77">
              <w:t xml:space="preserve">We note that </w:t>
            </w:r>
            <w:r w:rsidR="00772B77" w:rsidRPr="00772B77">
              <w:t>Frontier has not provided, substantively, any new evidence to support the use of the dividend growth model for estimating the overall return on equity. Therefore we continue to be of the view that the dividend growth model estimates should be treated with caution and not used to directly estimate the market risk premium or the return on equity. As such we do not consider the DGM's stable return on equity since the December 2013 Guideline reasonable evidence when considering a departure from the Guideline.</w:t>
            </w:r>
          </w:p>
        </w:tc>
      </w:tr>
      <w:tr w:rsidR="00772B77" w:rsidTr="00772B77">
        <w:tc>
          <w:tcPr>
            <w:tcW w:w="1951" w:type="dxa"/>
          </w:tcPr>
          <w:p w:rsidR="00772B77" w:rsidRPr="00772B77" w:rsidRDefault="00772B77" w:rsidP="00772B77">
            <w:pPr>
              <w:rPr>
                <w:rStyle w:val="CommentReference"/>
              </w:rPr>
            </w:pPr>
            <w:r>
              <w:rPr>
                <w:rStyle w:val="CommentReference"/>
              </w:rPr>
              <w:t>Frontier’s historical excess returns</w:t>
            </w:r>
            <w:r w:rsidRPr="00772B77">
              <w:rPr>
                <w:rStyle w:val="CommentReference"/>
              </w:rPr>
              <w:t xml:space="preserve"> and Wright estimates support an market risk premium of at least 7.5 per cent</w:t>
            </w:r>
          </w:p>
        </w:tc>
        <w:tc>
          <w:tcPr>
            <w:tcW w:w="6742" w:type="dxa"/>
          </w:tcPr>
          <w:p w:rsidR="00772B77" w:rsidRPr="00772B77" w:rsidRDefault="00772B77" w:rsidP="00772B77">
            <w:r>
              <w:t xml:space="preserve">We first note that </w:t>
            </w:r>
            <w:r w:rsidRPr="00772B77">
              <w:t xml:space="preserve">Frontier's use of its historical excess returns and Wright estimates resembles its mischaracterisation of the Guideline as Frontier takes a simple average of the estimates. </w:t>
            </w:r>
          </w:p>
          <w:p w:rsidR="00772B77" w:rsidRPr="00772B77" w:rsidRDefault="00113EAF" w:rsidP="00772B77">
            <w:r>
              <w:t xml:space="preserve">Partington and Satchell has </w:t>
            </w:r>
            <w:r w:rsidR="00772B77" w:rsidRPr="00772B77">
              <w:t>advised that 'the notion that averaging over different estimates of same parameters lead to better outcomes depends on the quality of the additional estimates used in the averaging'.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00772B77" w:rsidRPr="00772B77">
              <w:rPr>
                <w:rStyle w:val="FootnoteReference"/>
              </w:rPr>
              <w:footnoteReference w:id="440"/>
            </w:r>
          </w:p>
          <w:p w:rsidR="00772B77" w:rsidRPr="00772B77" w:rsidRDefault="00772B77" w:rsidP="00772B77">
            <w:r>
              <w:t xml:space="preserve">We disagree with </w:t>
            </w:r>
            <w:r w:rsidRPr="00772B77">
              <w:t>Frontier's historical excess returns and Wright estimates for the following reasons:</w:t>
            </w:r>
          </w:p>
          <w:p w:rsidR="00772B77" w:rsidRPr="00772B77" w:rsidRDefault="00772B77" w:rsidP="00772B77">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441"/>
            </w:r>
          </w:p>
          <w:p w:rsidR="00772B77" w:rsidRPr="00772B77" w:rsidRDefault="00772B77" w:rsidP="00772B77">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442"/>
            </w:r>
          </w:p>
          <w:p w:rsidR="00772B77" w:rsidRPr="00772B77" w:rsidRDefault="00772B77" w:rsidP="00772B77">
            <w:pPr>
              <w:pStyle w:val="AERbulletlistfirststyle"/>
            </w:pPr>
            <w:r>
              <w:t>Changing the theta</w:t>
            </w:r>
            <w:r w:rsidRPr="00772B77">
              <w:t xml:space="preserve"> for the two most recent averaging periods shows a large change in both the arithmetic and geometric average obtained. See above for more details.</w:t>
            </w:r>
          </w:p>
          <w:p w:rsidR="00772B77" w:rsidRPr="00772B77" w:rsidRDefault="00772B77" w:rsidP="00772B77">
            <w:pPr>
              <w:pStyle w:val="AERbulletlistfirststyle"/>
            </w:pPr>
            <w:r>
              <w:t xml:space="preserve">Our assessment of the Wright CAPM in the Guideline and subsequent regulatory decisions </w:t>
            </w:r>
            <w:r w:rsidRPr="00772B77">
              <w:t>shows that it should be used as a cross-check for the overall return on equity</w:t>
            </w:r>
            <w:r w:rsidRPr="00772B77">
              <w:rPr>
                <w:rStyle w:val="FootnoteReference"/>
              </w:rPr>
              <w:footnoteReference w:id="443"/>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Frontier's dividend growth estimates support a market risk premium of at least 7.5 per cent</w:t>
            </w:r>
            <w:r w:rsidRPr="00772B77">
              <w:rPr>
                <w:rStyle w:val="FootnoteReference"/>
              </w:rPr>
              <w:footnoteReference w:id="444"/>
            </w:r>
          </w:p>
        </w:tc>
        <w:tc>
          <w:tcPr>
            <w:tcW w:w="6742" w:type="dxa"/>
          </w:tcPr>
          <w:p w:rsidR="00772B77" w:rsidRPr="00772B77" w:rsidRDefault="00772B77" w:rsidP="00772B77">
            <w:r>
              <w:t>As we discussed in th</w:t>
            </w:r>
            <w:r w:rsidRPr="00772B77">
              <w:t xml:space="preserve">is section and in Appendix </w:t>
            </w:r>
            <w:r w:rsidR="00A4295D">
              <w:fldChar w:fldCharType="begin"/>
            </w:r>
            <w:r w:rsidR="00A4295D">
              <w:instrText xml:space="preserve"> REF _Ref449007421 \r \h </w:instrText>
            </w:r>
            <w:r w:rsidR="00A4295D">
              <w:fldChar w:fldCharType="separate"/>
            </w:r>
            <w:r w:rsidR="006B4A74">
              <w:t>B.4</w:t>
            </w:r>
            <w:r w:rsidR="00A4295D">
              <w:fldChar w:fldCharType="end"/>
            </w:r>
            <w:r w:rsidR="00A4295D">
              <w:t xml:space="preserve"> and Appendix </w:t>
            </w:r>
            <w:r w:rsidR="00A4295D">
              <w:fldChar w:fldCharType="begin"/>
            </w:r>
            <w:r w:rsidR="00A4295D">
              <w:instrText xml:space="preserve"> REF _Ref478396177 \r \h </w:instrText>
            </w:r>
            <w:r w:rsidR="00A4295D">
              <w:fldChar w:fldCharType="separate"/>
            </w:r>
            <w:r w:rsidR="006B4A74">
              <w:t>D</w:t>
            </w:r>
            <w:r w:rsidR="00A4295D">
              <w:fldChar w:fldCharType="end"/>
            </w:r>
            <w:r w:rsidRPr="00772B77">
              <w:t>, there are a range of issues with dividend growth models which makes their results unreliable and upwardly biased. Therefore, the Guideline use their estimates to inform if the point estimate may lay above or below the historical estimates and not directly estimate the market risk premium.</w:t>
            </w:r>
          </w:p>
          <w:p w:rsidR="00772B77" w:rsidRPr="00772B77" w:rsidRDefault="00772B77" w:rsidP="00772B77">
            <w:r>
              <w:t xml:space="preserve">We disagree with </w:t>
            </w:r>
            <w:r w:rsidRPr="00772B77">
              <w:t xml:space="preserve">Frontier using dividend growth model estimates to support a point estimate that is directly estimated from the dividend growth model. This 'double-counts' the material and ignores the fact that this model should not be used to directly estimate the market risk premium.  </w:t>
            </w:r>
          </w:p>
          <w:p w:rsidR="00772B77" w:rsidRPr="00772B77" w:rsidRDefault="00772B77" w:rsidP="00772B77">
            <w:r>
              <w:t xml:space="preserve">We </w:t>
            </w:r>
            <w:r w:rsidRPr="00772B77">
              <w:t>also note Frontier's dividend growth model makes a number of methodological choices we disagree with:</w:t>
            </w:r>
          </w:p>
          <w:p w:rsidR="00772B77" w:rsidRPr="00772B77" w:rsidRDefault="00772B77" w:rsidP="00772B77">
            <w:pPr>
              <w:pStyle w:val="AERbulletlistfirststyle"/>
            </w:pPr>
            <w:r>
              <w:t>Frontier</w:t>
            </w:r>
            <w:r w:rsidRPr="00772B77">
              <w:t xml:space="preserve"> assumes a theta of 0.35. We consider the theta should be set at 0.6, consistent with a gamma of 0.4.</w:t>
            </w:r>
            <w:r w:rsidRPr="00772B77">
              <w:rPr>
                <w:rStyle w:val="FootnoteReference"/>
              </w:rPr>
              <w:footnoteReference w:id="445"/>
            </w:r>
          </w:p>
          <w:p w:rsidR="00772B77" w:rsidRPr="00772B77" w:rsidRDefault="00772B77" w:rsidP="00772B77">
            <w:pPr>
              <w:pStyle w:val="AERbulletlistfirststyle"/>
            </w:pPr>
            <w:r>
              <w:t>Frontier</w:t>
            </w:r>
            <w:r w:rsidRPr="00772B77">
              <w:t xml:space="preserve"> does not include the downward adjustment to the long-run GDP growth. </w:t>
            </w:r>
            <w:r w:rsidR="00113EAF">
              <w:t>Partington and Satchell</w:t>
            </w:r>
            <w:r w:rsidRPr="00772B77">
              <w:t xml:space="preserve"> has advised the need for a downward adjustment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446"/>
            </w:r>
            <w:r w:rsidRPr="00772B77">
              <w:t xml:space="preserve"> We agree and consider that the downward adjustment remains appropriate.</w:t>
            </w:r>
          </w:p>
          <w:p w:rsidR="00772B77" w:rsidRPr="00772B77" w:rsidRDefault="00772B77" w:rsidP="00772B77">
            <w:r>
              <w:t xml:space="preserve"> </w:t>
            </w:r>
          </w:p>
        </w:tc>
      </w:tr>
      <w:tr w:rsidR="00772B77" w:rsidTr="00772B77">
        <w:tc>
          <w:tcPr>
            <w:tcW w:w="1951" w:type="dxa"/>
          </w:tcPr>
          <w:p w:rsidR="00772B77" w:rsidRPr="00772B77" w:rsidRDefault="00772B77" w:rsidP="00772B77">
            <w:pPr>
              <w:rPr>
                <w:rStyle w:val="CommentReference"/>
              </w:rPr>
            </w:pPr>
            <w:r>
              <w:rPr>
                <w:rStyle w:val="CommentReference"/>
              </w:rPr>
              <w:t xml:space="preserve">Recent expert </w:t>
            </w:r>
            <w:r w:rsidRPr="00772B77">
              <w:rPr>
                <w:rStyle w:val="CommentReference"/>
              </w:rPr>
              <w:t>valuation reports support a 7.5 per cent market risk premium</w:t>
            </w:r>
            <w:r w:rsidRPr="00772B77">
              <w:rPr>
                <w:rStyle w:val="FootnoteReference"/>
              </w:rPr>
              <w:footnoteReference w:id="447"/>
            </w:r>
          </w:p>
        </w:tc>
        <w:tc>
          <w:tcPr>
            <w:tcW w:w="6742" w:type="dxa"/>
          </w:tcPr>
          <w:p w:rsidR="00772B77" w:rsidRPr="00772B77" w:rsidRDefault="00772B77" w:rsidP="00772B77">
            <w:r>
              <w:t xml:space="preserve">We disagree with the use of valuation reports to inform the market risk premium. </w:t>
            </w:r>
            <w:r w:rsidRPr="00772B77">
              <w:t>Our Guideline and subsequent regulatory decisions assessed that valuation reports contains a number of limitations which makes them unsuitable for informing the market risk premium:</w:t>
            </w:r>
          </w:p>
          <w:p w:rsidR="00772B77" w:rsidRPr="00772B77" w:rsidRDefault="00772B77" w:rsidP="00772B77">
            <w:pPr>
              <w:pStyle w:val="AERbulletlistfirststyle"/>
            </w:pPr>
            <w:r>
              <w:t xml:space="preserve">The ARORO states that data must be </w:t>
            </w:r>
            <w:r w:rsidRPr="00772B77">
              <w:t>'informed by sound empirical analysis and robust data'</w:t>
            </w:r>
            <w:r w:rsidRPr="00772B77">
              <w:rPr>
                <w:rStyle w:val="FootnoteReference"/>
              </w:rPr>
              <w:footnoteReference w:id="448"/>
            </w:r>
            <w:r w:rsidRPr="00772B77">
              <w:t xml:space="preserve"> however many valuation reports do not state the source of their information or decisions.</w:t>
            </w:r>
          </w:p>
          <w:p w:rsidR="00772B77" w:rsidRPr="00772B77" w:rsidRDefault="00772B77" w:rsidP="00772B77">
            <w:pPr>
              <w:pStyle w:val="AERbulletlistfirststyle"/>
            </w:pPr>
            <w:r>
              <w:t>Our recent consultant report stated that upward adjustments</w:t>
            </w:r>
            <w:r w:rsidRPr="00772B77">
              <w:t xml:space="preserve"> found in valuation reports 'seem too ad-hoc to be a regulatory tool'.</w:t>
            </w:r>
            <w:r w:rsidRPr="00772B77">
              <w:rPr>
                <w:rStyle w:val="FootnoteReference"/>
              </w:rPr>
              <w:footnoteReference w:id="449"/>
            </w:r>
          </w:p>
          <w:p w:rsidR="00772B77" w:rsidRPr="00772B77" w:rsidRDefault="00772B77" w:rsidP="00772B77">
            <w:pPr>
              <w:pStyle w:val="AERbulletlistfirststyle"/>
            </w:pPr>
            <w:r>
              <w:t xml:space="preserve">Using valuation reports as a guide means it is highly susceptible to sampling variation as </w:t>
            </w:r>
            <w:r w:rsidR="00113EAF">
              <w:t>Partington and Satchell</w:t>
            </w:r>
            <w:r>
              <w:t xml:space="preserve"> notes, and whilst some practitioners are</w:t>
            </w:r>
            <w:r w:rsidRPr="00772B77">
              <w:t xml:space="preserve"> using an MRP above 6 per cent there 'is evidence that valuation practitioners are using an MRP lower than the 6% favoured in Australia'.</w:t>
            </w:r>
            <w:r w:rsidRPr="00772B77">
              <w:rPr>
                <w:rStyle w:val="FootnoteReference"/>
              </w:rPr>
              <w:footnoteReference w:id="450"/>
            </w:r>
          </w:p>
          <w:p w:rsidR="00772B77" w:rsidRPr="00772B77" w:rsidRDefault="00772B77" w:rsidP="00772B77">
            <w:r>
              <w:t>It is also important to note that out of the four reports Frontier listed:</w:t>
            </w:r>
          </w:p>
          <w:p w:rsidR="00772B77" w:rsidRPr="00772B77" w:rsidRDefault="00772B77" w:rsidP="00772B77">
            <w:pPr>
              <w:pStyle w:val="AERbulletlistfirststyle"/>
            </w:pPr>
            <w:r>
              <w:t xml:space="preserve">Three of the reports specify an </w:t>
            </w:r>
            <w:r w:rsidRPr="00772B77">
              <w:t>market risk premium of 6 per cent.</w:t>
            </w:r>
            <w:r w:rsidRPr="00772B77">
              <w:rPr>
                <w:rStyle w:val="FootnoteReference"/>
              </w:rPr>
              <w:footnoteReference w:id="451"/>
            </w:r>
            <w:r w:rsidRPr="00772B77">
              <w:t xml:space="preserve"> </w:t>
            </w:r>
          </w:p>
          <w:p w:rsidR="00772B77" w:rsidRPr="00772B77" w:rsidRDefault="00772B77" w:rsidP="00772B77">
            <w:pPr>
              <w:pStyle w:val="AERbulletlistfirststyle"/>
            </w:pPr>
            <w:r>
              <w:t>The Grant Samuel report</w:t>
            </w:r>
            <w:r w:rsidRPr="00772B77">
              <w:t xml:space="preserve"> then goes on to apply uplift on this 6% based on "anecdotal evidence".</w:t>
            </w:r>
            <w:r w:rsidRPr="00772B77">
              <w:rPr>
                <w:rStyle w:val="FootnoteReference"/>
              </w:rPr>
              <w:footnoteReference w:id="452"/>
            </w:r>
          </w:p>
          <w:p w:rsidR="00772B77" w:rsidRPr="00772B77" w:rsidRDefault="00772B77" w:rsidP="00772B77">
            <w:pPr>
              <w:pStyle w:val="AERbulletlistfirststyle"/>
            </w:pPr>
            <w:r>
              <w:t xml:space="preserve">Three of the reports apply </w:t>
            </w:r>
            <w:r w:rsidRPr="00772B77">
              <w:t>uplift to the risk free rate as calculated by the AER.</w:t>
            </w:r>
            <w:r w:rsidRPr="00772B77">
              <w:rPr>
                <w:rStyle w:val="FootnoteReference"/>
              </w:rPr>
              <w:footnoteReference w:id="453"/>
            </w:r>
            <w:r w:rsidRPr="00772B77">
              <w:t xml:space="preserve"> This does not change the market risk premium itself and so should not be compared as such. The AER does not apply any uplift to its risk free rate.</w:t>
            </w:r>
          </w:p>
          <w:p w:rsidR="00772B77" w:rsidRPr="00772B77" w:rsidRDefault="00772B77" w:rsidP="00772B77">
            <w:pPr>
              <w:pStyle w:val="AERbulletlistfirststyle"/>
            </w:pPr>
            <w:r>
              <w:t xml:space="preserve">One of the reports, and the only one which does not </w:t>
            </w:r>
            <w:r w:rsidRPr="00772B77">
              <w:t>use a market risk premium of 6 per cent, does not provide any method as to how the market risk premium was calculated and as such is unsuitable for comparison.</w:t>
            </w:r>
            <w:r w:rsidRPr="00772B77">
              <w:rPr>
                <w:rStyle w:val="FootnoteReference"/>
              </w:rPr>
              <w:footnoteReference w:id="454"/>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Recent regulatory determinations support an market risk premium of 7.5 per cent</w:t>
            </w:r>
            <w:r w:rsidRPr="00772B77">
              <w:rPr>
                <w:rStyle w:val="FootnoteReference"/>
              </w:rPr>
              <w:footnoteReference w:id="455"/>
            </w:r>
          </w:p>
        </w:tc>
        <w:tc>
          <w:tcPr>
            <w:tcW w:w="6742" w:type="dxa"/>
          </w:tcPr>
          <w:p w:rsidR="00772B77" w:rsidRPr="00772B77" w:rsidRDefault="00772B77" w:rsidP="00772B77">
            <w:r>
              <w:t>We note that Frontier's sample of recent regulatory decisions supp</w:t>
            </w:r>
            <w:r w:rsidRPr="00772B77">
              <w:t xml:space="preserve">orts a market risk premium of 6 to 6.5 per cent. </w:t>
            </w:r>
          </w:p>
          <w:p w:rsidR="00772B77" w:rsidRPr="00772B77" w:rsidRDefault="00772B77" w:rsidP="00772B77">
            <w:r>
              <w:t xml:space="preserve">We note most Australian regulators adopted </w:t>
            </w:r>
            <w:r w:rsidRPr="00772B77">
              <w:t xml:space="preserve">a market risk premium of 6 to 6.5 per cent (the ERA has acknowledged that its estimate is comparable to our 6.5 per cent figure).  </w:t>
            </w:r>
          </w:p>
          <w:p w:rsidR="00772B77" w:rsidRPr="00772B77" w:rsidRDefault="00772B77" w:rsidP="00772B77">
            <w:r>
              <w:t xml:space="preserve">We do not consider foreign regulatory decisions useful for informing the market risk premium. </w:t>
            </w:r>
            <w:r w:rsidRPr="00772B77">
              <w:t xml:space="preserve">This is because the required return on the </w:t>
            </w:r>
            <w:r w:rsidR="00A570A2">
              <w:t xml:space="preserve">domestic </w:t>
            </w:r>
            <w:r w:rsidRPr="00772B77">
              <w:t>market may differ across countries</w:t>
            </w:r>
            <w:r w:rsidRPr="00772B77">
              <w:rPr>
                <w:rStyle w:val="FootnoteReference"/>
              </w:rPr>
              <w:footnoteReference w:id="456"/>
            </w:r>
            <w:r w:rsidRPr="00772B77">
              <w:t xml:space="preserve"> in addition to other caveats we note about other regulators' decisions.</w:t>
            </w:r>
            <w:r w:rsidRPr="00772B77">
              <w:rPr>
                <w:rStyle w:val="FootnoteReference"/>
              </w:rPr>
              <w:footnoteReference w:id="457"/>
            </w:r>
            <w:r w:rsidRPr="00772B77">
              <w:t xml:space="preserve"> This is supported by Partington and Satchell as they noted that 'overseas regulators decisions are not likely to be convincing unless one can show great similarities in the economies considered'.</w:t>
            </w:r>
            <w:r w:rsidRPr="00772B77">
              <w:rPr>
                <w:rStyle w:val="FootnoteReference"/>
              </w:rPr>
              <w:footnoteReference w:id="458"/>
            </w:r>
          </w:p>
        </w:tc>
      </w:tr>
      <w:tr w:rsidR="00772B77" w:rsidTr="00772B77">
        <w:tc>
          <w:tcPr>
            <w:tcW w:w="1951" w:type="dxa"/>
          </w:tcPr>
          <w:p w:rsidR="00772B77" w:rsidRPr="00772B77" w:rsidRDefault="00772B77" w:rsidP="00772B77">
            <w:pPr>
              <w:rPr>
                <w:rStyle w:val="CommentReference"/>
              </w:rPr>
            </w:pPr>
            <w:r>
              <w:rPr>
                <w:rStyle w:val="CommentReference"/>
              </w:rPr>
              <w:t xml:space="preserve">Conditioning variable does not support the </w:t>
            </w:r>
            <w:r w:rsidRPr="00772B77">
              <w:rPr>
                <w:rStyle w:val="CommentReference"/>
              </w:rPr>
              <w:t>proposition that the required return on equity has decreased by 25 per cent since the Guideline</w:t>
            </w:r>
            <w:r w:rsidRPr="00772B77">
              <w:rPr>
                <w:rStyle w:val="FootnoteReference"/>
              </w:rPr>
              <w:footnoteReference w:id="459"/>
            </w:r>
          </w:p>
        </w:tc>
        <w:tc>
          <w:tcPr>
            <w:tcW w:w="6742" w:type="dxa"/>
          </w:tcPr>
          <w:p w:rsidR="00772B77" w:rsidRPr="00772B77" w:rsidRDefault="00772B77" w:rsidP="00772B77">
            <w:r>
              <w:t xml:space="preserve">We are </w:t>
            </w:r>
            <w:r w:rsidRPr="00772B77">
              <w:t xml:space="preserve">aware of the limitations of conditioning variables and do not use </w:t>
            </w:r>
            <w:r w:rsidR="00A570A2">
              <w:t>them</w:t>
            </w:r>
            <w:r w:rsidRPr="00772B77">
              <w:t xml:space="preserve"> to directly estimate the market risk premium. Our use of the conditioning variable is as outlined in the Guideline: to provide directional information/change in the market risk premium.</w:t>
            </w:r>
            <w:r w:rsidRPr="00772B77">
              <w:rPr>
                <w:rStyle w:val="FootnoteReference"/>
              </w:rPr>
              <w:footnoteReference w:id="460"/>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Market participants' view supports an market risk premium of 7.5 per cent</w:t>
            </w:r>
            <w:r w:rsidRPr="00772B77">
              <w:rPr>
                <w:rStyle w:val="FootnoteReference"/>
              </w:rPr>
              <w:footnoteReference w:id="461"/>
            </w:r>
            <w:r w:rsidRPr="00772B77">
              <w:rPr>
                <w:rStyle w:val="CommentReference"/>
              </w:rPr>
              <w:t xml:space="preserve"> </w:t>
            </w:r>
          </w:p>
        </w:tc>
        <w:tc>
          <w:tcPr>
            <w:tcW w:w="6742" w:type="dxa"/>
          </w:tcPr>
          <w:p w:rsidR="00772B77" w:rsidRPr="00772B77" w:rsidRDefault="00772B77" w:rsidP="00772B77">
            <w:r>
              <w:t xml:space="preserve">This is premised on </w:t>
            </w:r>
            <w:r w:rsidRPr="00772B77">
              <w:t>Frontier's argument that the return on equity has remained stable on which it submitted a range of material that is substantively similar to its previous submissions:</w:t>
            </w:r>
          </w:p>
          <w:p w:rsidR="00772B77" w:rsidRDefault="00772B77" w:rsidP="00772B77">
            <w:pPr>
              <w:pStyle w:val="AERbulletlistfirststyle"/>
            </w:pPr>
            <w:r>
              <w:t>Reserve bank statement</w:t>
            </w:r>
          </w:p>
          <w:p w:rsidR="00772B77" w:rsidRDefault="00772B77" w:rsidP="00772B77">
            <w:pPr>
              <w:pStyle w:val="AERbulletlistfirststyle"/>
            </w:pPr>
            <w:r>
              <w:t>Foreign regulators' decisions</w:t>
            </w:r>
          </w:p>
          <w:p w:rsidR="00A4295D" w:rsidRDefault="00A4295D" w:rsidP="00A4295D">
            <w:r w:rsidRPr="00A4295D">
              <w:t>We have responded to this material in this decision and previous decisions</w:t>
            </w:r>
            <w:r w:rsidRPr="00A4295D">
              <w:rPr>
                <w:rStyle w:val="FootnoteReference"/>
              </w:rPr>
              <w:footnoteReference w:id="462"/>
            </w:r>
            <w:r w:rsidRPr="00A4295D">
              <w:t xml:space="preserve"> and continue to consider that Frontier has not provided satisfactory evidence to lead us to consider the return on equity has not changed since the Guideline.</w:t>
            </w:r>
          </w:p>
          <w:p w:rsidR="006566E4" w:rsidRPr="006566E4" w:rsidRDefault="006566E4" w:rsidP="006566E4">
            <w:r w:rsidRPr="006566E4">
              <w:t>Partington and Satchell has advised that for the return on equity to remain stable requires implausibly large changes in the market risk premium and the return on market</w:t>
            </w:r>
            <w:r>
              <w:t>.</w:t>
            </w:r>
            <w:r>
              <w:rPr>
                <w:rStyle w:val="FootnoteReference"/>
              </w:rPr>
              <w:footnoteReference w:id="463"/>
            </w:r>
            <w:r w:rsidR="005E6E22">
              <w:t xml:space="preserve"> They have also reiterated that 'it is more likely that the MRP is below the long run historic average'.</w:t>
            </w:r>
            <w:r w:rsidR="005E6E22">
              <w:rPr>
                <w:rStyle w:val="FootnoteReference"/>
              </w:rPr>
              <w:footnoteReference w:id="464"/>
            </w:r>
          </w:p>
          <w:p w:rsidR="00772B77" w:rsidRPr="00772B77" w:rsidRDefault="00A4295D" w:rsidP="00405AF1">
            <w:pPr>
              <w:pStyle w:val="AERbulletlistfirststyle"/>
              <w:numPr>
                <w:ilvl w:val="0"/>
                <w:numId w:val="0"/>
              </w:numPr>
            </w:pPr>
            <w:r w:rsidRPr="00A4295D">
              <w:t xml:space="preserve">See section </w:t>
            </w:r>
            <w:r>
              <w:t xml:space="preserve">'Steps four and five' </w:t>
            </w:r>
            <w:r w:rsidRPr="00A4295D">
              <w:t>for more discussion.</w:t>
            </w:r>
          </w:p>
        </w:tc>
      </w:tr>
    </w:tbl>
    <w:p w:rsidR="0084079E" w:rsidRDefault="0084079E" w:rsidP="008B2351"/>
    <w:p w:rsidR="00E13934" w:rsidRPr="002656D9" w:rsidRDefault="00E13934" w:rsidP="00DB7AA8">
      <w:pPr>
        <w:pStyle w:val="HeadingBoldBlue"/>
      </w:pPr>
      <w:r w:rsidRPr="002656D9">
        <w:t>Steps four and five: other information and evaluation of information set on overall return on equity</w:t>
      </w:r>
    </w:p>
    <w:p w:rsidR="00501F99" w:rsidRDefault="00501F99" w:rsidP="00501F99">
      <w:bookmarkStart w:id="102" w:name="_Ref445927856"/>
      <w:r>
        <w:t xml:space="preserve">To inform the reasonableness of the Guideline's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465"/>
      </w:r>
      <w:r w:rsidRPr="00AD1905">
        <w:t xml:space="preserve"> </w:t>
      </w:r>
      <w:r>
        <w:t>In having regard to prevailing market conditions we have also examined recent movements in the relevant material.</w:t>
      </w:r>
      <w:r w:rsidRPr="00F97967">
        <w:t xml:space="preserve"> </w:t>
      </w:r>
    </w:p>
    <w:p w:rsidR="00501F99" w:rsidRPr="00010BCE" w:rsidRDefault="00501F99" w:rsidP="00501F99">
      <w:r w:rsidRPr="00F97967">
        <w:t xml:space="preserve">Our task is to set the allowed rate of return to be commensurate with a similar degree of risk as that which applies to </w:t>
      </w:r>
      <w:r>
        <w:t>AusNet Services with respect to the provision of prescribed transmission services</w:t>
      </w:r>
      <w:r w:rsidRPr="00F97967">
        <w:t>.</w:t>
      </w:r>
      <w:r w:rsidRPr="00010BCE">
        <w:rPr>
          <w:rStyle w:val="FootnoteReference"/>
        </w:rPr>
        <w:footnoteReference w:id="466"/>
      </w:r>
      <w:r w:rsidRPr="00010BCE">
        <w:t xml:space="preserve"> </w:t>
      </w:r>
      <w:r>
        <w:t>This requires us to consider the additional riskiness of AusNet Services</w:t>
      </w:r>
      <w:r>
        <w:rPr>
          <w:rStyle w:val="FootnoteReference"/>
        </w:rPr>
        <w:footnoteReference w:id="467"/>
      </w:r>
      <w:r>
        <w:t xml:space="preserve"> relative to the risk free asset, and the commensurate return that equity investors require to take on this additional risk. </w:t>
      </w:r>
      <w:r w:rsidRPr="00010BCE">
        <w:t xml:space="preserve">Hence, the critical allowance is the allowed equity risk premium over and above the estimated risk free rate at a given time. </w:t>
      </w:r>
      <w:r>
        <w:fldChar w:fldCharType="begin"/>
      </w:r>
      <w:r>
        <w:instrText xml:space="preserve"> REF _Ref445923478 \h </w:instrText>
      </w:r>
      <w:r>
        <w:fldChar w:fldCharType="separate"/>
      </w:r>
      <w:r w:rsidR="006B4A74" w:rsidRPr="00866A7A">
        <w:t xml:space="preserve">Figure </w:t>
      </w:r>
      <w:r w:rsidR="006B4A74">
        <w:rPr>
          <w:noProof/>
        </w:rPr>
        <w:t>3</w:t>
      </w:r>
      <w:r w:rsidR="006B4A74">
        <w:noBreakHyphen/>
      </w:r>
      <w:r w:rsidR="006B4A74">
        <w:rPr>
          <w:noProof/>
        </w:rPr>
        <w:t>5</w:t>
      </w:r>
      <w:r>
        <w:fldChar w:fldCharType="end"/>
      </w:r>
      <w:r>
        <w:t xml:space="preserve"> compares our foundation model equity risk premium to other relevant material</w:t>
      </w:r>
      <w:r>
        <w:rPr>
          <w:rStyle w:val="FootnoteReference"/>
        </w:rPr>
        <w:footnoteReference w:id="468"/>
      </w:r>
      <w:r>
        <w:t xml:space="preserve"> that can inform our estimate of return on equity and equity risk premium. </w:t>
      </w:r>
    </w:p>
    <w:p w:rsidR="00501F99" w:rsidRPr="00010BCE" w:rsidRDefault="00501F99" w:rsidP="00501F99">
      <w:r>
        <w:t xml:space="preserve">We consider that, on the whole, </w:t>
      </w:r>
      <w:r w:rsidRPr="00010BCE">
        <w:t xml:space="preserve">the other </w:t>
      </w:r>
      <w:r>
        <w:t>material</w:t>
      </w:r>
      <w:r>
        <w:rPr>
          <w:rStyle w:val="FootnoteReference"/>
        </w:rPr>
        <w:footnoteReference w:id="469"/>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p w:rsidR="00501F99" w:rsidRDefault="00501F99" w:rsidP="00501F99">
      <w:pPr>
        <w:pStyle w:val="Caption"/>
      </w:pPr>
      <w:bookmarkStart w:id="103" w:name="_Ref445923478"/>
      <w:r w:rsidRPr="00866A7A">
        <w:t xml:space="preserve">Figure </w:t>
      </w:r>
      <w:fldSimple w:instr=" STYLEREF 1 \s ">
        <w:r w:rsidR="006B4A74">
          <w:rPr>
            <w:noProof/>
          </w:rPr>
          <w:t>3</w:t>
        </w:r>
      </w:fldSimple>
      <w:r w:rsidR="008A2B2B">
        <w:noBreakHyphen/>
      </w:r>
      <w:fldSimple w:instr=" SEQ Figure \* ARABIC \s 1 ">
        <w:r w:rsidR="006B4A74">
          <w:rPr>
            <w:noProof/>
          </w:rPr>
          <w:t>5</w:t>
        </w:r>
      </w:fldSimple>
      <w:bookmarkEnd w:id="103"/>
      <w:r w:rsidRPr="00866A7A">
        <w:tab/>
      </w:r>
      <w:r>
        <w:t>Comparison of our foundation model equity risk premium</w:t>
      </w:r>
    </w:p>
    <w:p w:rsidR="00907506" w:rsidRPr="007C4A3C" w:rsidRDefault="00907506" w:rsidP="00950EA8">
      <w:r w:rsidRPr="00907506">
        <w:rPr>
          <w:noProof/>
          <w:lang w:eastAsia="en-AU"/>
        </w:rPr>
        <w:drawing>
          <wp:inline distT="0" distB="0" distL="0" distR="0" wp14:anchorId="5C5450B9" wp14:editId="29A9C344">
            <wp:extent cx="5382895" cy="4524277"/>
            <wp:effectExtent l="19050" t="19050" r="2730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4524277"/>
                    </a:xfrm>
                    <a:prstGeom prst="rect">
                      <a:avLst/>
                    </a:prstGeom>
                    <a:ln>
                      <a:solidFill>
                        <a:schemeClr val="bg2">
                          <a:lumMod val="65000"/>
                        </a:schemeClr>
                      </a:solidFill>
                    </a:ln>
                  </pic:spPr>
                </pic:pic>
              </a:graphicData>
            </a:graphic>
          </wp:inline>
        </w:drawing>
      </w:r>
    </w:p>
    <w:p w:rsidR="00501F99" w:rsidRPr="00033144" w:rsidRDefault="00501F99" w:rsidP="00501F99"/>
    <w:p w:rsidR="00501F99" w:rsidRPr="00033144" w:rsidRDefault="00501F99" w:rsidP="00501F99">
      <w:pPr>
        <w:pStyle w:val="AERtablesource"/>
      </w:pPr>
      <w:r w:rsidRPr="00033144">
        <w:t>Source:</w:t>
      </w:r>
      <w:r w:rsidRPr="00033144">
        <w:tab/>
        <w:t>AER analysis and various submissions and reports.</w:t>
      </w:r>
    </w:p>
    <w:p w:rsidR="00501F99" w:rsidRPr="00033144" w:rsidRDefault="00501F99" w:rsidP="00501F99">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6B4A74">
        <w:t>C.2</w:t>
      </w:r>
      <w:r w:rsidRPr="00033144">
        <w:fldChar w:fldCharType="end"/>
      </w:r>
      <w:r w:rsidRPr="00033144">
        <w:t>.  The calculation of brokers and other regulators ranges is outlined in Appendix F. The calculation of debt risk premium is in Appendix E.3.</w:t>
      </w:r>
    </w:p>
    <w:p w:rsidR="00501F99" w:rsidRPr="00033144" w:rsidRDefault="00501F99" w:rsidP="00501F99">
      <w:pPr>
        <w:pStyle w:val="AERtablesource"/>
      </w:pPr>
      <w:r w:rsidRPr="00033144">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470"/>
      </w:r>
      <w:r w:rsidRPr="00033144">
        <w:t xml:space="preserve"> </w:t>
      </w:r>
    </w:p>
    <w:p w:rsidR="00501F99" w:rsidRPr="00033144" w:rsidRDefault="00501F99" w:rsidP="00501F99">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501F99" w:rsidRPr="00033144" w:rsidRDefault="00501F99" w:rsidP="00501F99">
      <w:pPr>
        <w:pStyle w:val="AERtablesource"/>
      </w:pPr>
      <w:r w:rsidRPr="00033144">
        <w:tab/>
        <w:t>The service provider proposals range is based on the proposals from businesses</w:t>
      </w:r>
      <w:r w:rsidRPr="00033144">
        <w:rPr>
          <w:rStyle w:val="FootnoteReference"/>
        </w:rPr>
        <w:footnoteReference w:id="471"/>
      </w:r>
      <w:r w:rsidRPr="00033144">
        <w:t xml:space="preserve"> for which we </w:t>
      </w:r>
      <w:r>
        <w:t>will make decisions</w:t>
      </w:r>
      <w:r w:rsidRPr="00033144">
        <w:t xml:space="preserve"> in </w:t>
      </w:r>
      <w:r>
        <w:t>April 2017</w:t>
      </w:r>
      <w:r w:rsidRPr="00033144">
        <w:t xml:space="preserve">. The lower bound of the CCP/stakeholder range is based on the </w:t>
      </w:r>
      <w:r>
        <w:t>CCP5</w:t>
      </w:r>
      <w:r w:rsidRPr="00033144">
        <w:t xml:space="preserve"> submission, </w:t>
      </w:r>
      <w:r w:rsidRPr="00033144">
        <w:rPr>
          <w:rStyle w:val="FootnoteReference"/>
        </w:rPr>
        <w:footnoteReference w:id="472"/>
      </w:r>
      <w:r w:rsidRPr="00033144">
        <w:t xml:space="preserve"> the upper bound is based on </w:t>
      </w:r>
      <w:r>
        <w:t>multiple</w:t>
      </w:r>
      <w:r w:rsidRPr="00033144">
        <w:t xml:space="preserve"> submission</w:t>
      </w:r>
      <w:r>
        <w:t>s which accept the AER's MRP and equity beta</w:t>
      </w:r>
      <w:r w:rsidRPr="00033144">
        <w:t>.</w:t>
      </w:r>
      <w:r w:rsidRPr="00033144">
        <w:rPr>
          <w:rStyle w:val="FootnoteReference"/>
        </w:rPr>
        <w:footnoteReference w:id="473"/>
      </w:r>
    </w:p>
    <w:p w:rsidR="006A3314" w:rsidRPr="00033144" w:rsidRDefault="006A3314" w:rsidP="006A3314">
      <w:r w:rsidRPr="00033144">
        <w:t xml:space="preserve">Our implementation of the foundation model approach results in a return on equity of </w:t>
      </w:r>
      <w:r w:rsidR="00DB7AA8">
        <w:t xml:space="preserve">7.1 </w:t>
      </w:r>
      <w:r w:rsidRPr="00033144">
        <w:t xml:space="preserve">per cent and an equity risk premium of 4.55 per cent. This is consistent with equity risk premium ranges from broker reports, valuation reports, other regulators' decisions, and the Wright approach as shown in </w:t>
      </w:r>
      <w:r w:rsidRPr="00033144">
        <w:fldChar w:fldCharType="begin"/>
      </w:r>
      <w:r w:rsidRPr="00033144">
        <w:instrText xml:space="preserve"> REF _Ref445923478 \h </w:instrText>
      </w:r>
      <w:r w:rsidRPr="00033144">
        <w:fldChar w:fldCharType="separate"/>
      </w:r>
      <w:r w:rsidR="006B4A74" w:rsidRPr="00866A7A">
        <w:t xml:space="preserve">Figure </w:t>
      </w:r>
      <w:r w:rsidR="006B4A74">
        <w:rPr>
          <w:noProof/>
        </w:rPr>
        <w:t>3</w:t>
      </w:r>
      <w:r w:rsidR="006B4A74">
        <w:noBreakHyphen/>
      </w:r>
      <w:r w:rsidR="006B4A74">
        <w:rPr>
          <w:noProof/>
        </w:rPr>
        <w:t>5</w:t>
      </w:r>
      <w:r w:rsidRPr="00033144">
        <w:fldChar w:fldCharType="end"/>
      </w:r>
      <w:r w:rsidRPr="00033144">
        <w:t>.</w:t>
      </w:r>
      <w:r w:rsidRPr="00033144">
        <w:rPr>
          <w:rStyle w:val="FootnoteReference"/>
        </w:rPr>
        <w:footnoteReference w:id="474"/>
      </w:r>
      <w:r w:rsidRPr="00033144">
        <w:t xml:space="preserve">  The range of equity risk premium estimates from valuation reports and other regulators' decisions have not materially changed since our </w:t>
      </w:r>
      <w:r>
        <w:t>May and August 2016 decisions</w:t>
      </w:r>
      <w:r w:rsidRPr="00033144">
        <w:t xml:space="preserve">. The estimated equity risk premium range from the Wright approach has increased since </w:t>
      </w:r>
      <w:r>
        <w:t>we made the October and November 2015</w:t>
      </w:r>
      <w:r w:rsidRPr="00033144">
        <w:t xml:space="preserve"> decision</w:t>
      </w:r>
      <w:r>
        <w:t>s</w:t>
      </w:r>
      <w:r w:rsidRPr="00033144">
        <w:t xml:space="preserve"> as the risk free rate has fallen. As set out in section </w:t>
      </w:r>
      <w:r w:rsidRPr="00033144">
        <w:fldChar w:fldCharType="begin"/>
      </w:r>
      <w:r w:rsidRPr="00033144">
        <w:instrText xml:space="preserve"> REF _Ref449018117 \r \h </w:instrText>
      </w:r>
      <w:r w:rsidRPr="00033144">
        <w:fldChar w:fldCharType="separate"/>
      </w:r>
      <w:r w:rsidR="006B4A74">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501F99" w:rsidRDefault="006A3314" w:rsidP="00501F99">
      <w:r w:rsidRPr="00B005DF">
        <w:t xml:space="preserve">The return on debt material </w:t>
      </w:r>
      <w:r>
        <w:t xml:space="preserve">shown in </w:t>
      </w:r>
      <w:r>
        <w:fldChar w:fldCharType="begin"/>
      </w:r>
      <w:r>
        <w:instrText xml:space="preserve"> REF _Ref445923478 \h </w:instrText>
      </w:r>
      <w:r>
        <w:fldChar w:fldCharType="separate"/>
      </w:r>
      <w:r w:rsidR="006B4A74" w:rsidRPr="00866A7A">
        <w:t xml:space="preserve">Figure </w:t>
      </w:r>
      <w:r w:rsidR="006B4A74">
        <w:rPr>
          <w:noProof/>
        </w:rPr>
        <w:t>3</w:t>
      </w:r>
      <w:r w:rsidR="006B4A74">
        <w:noBreakHyphen/>
      </w:r>
      <w:r w:rsidR="006B4A74">
        <w:rPr>
          <w:noProof/>
        </w:rPr>
        <w:t>5</w:t>
      </w:r>
      <w:r>
        <w:fldChar w:fldCharType="end"/>
      </w:r>
      <w:r>
        <w:t xml:space="preserve"> </w:t>
      </w:r>
      <w:r w:rsidRPr="00B005DF">
        <w:t>does not support any change to our foundation model return on equity estimate.</w:t>
      </w:r>
      <w:r>
        <w:t xml:space="preserve"> </w:t>
      </w:r>
      <w:r w:rsidRPr="00E5005D">
        <w:t xml:space="preserve">Our </w:t>
      </w:r>
      <w:r w:rsidR="006E7560">
        <w:t>analysis indicate that the equity risk premium</w:t>
      </w:r>
      <w:r w:rsidRPr="00E5005D">
        <w:t xml:space="preserve"> is about  </w:t>
      </w:r>
      <w:r w:rsidR="00DB7AA8">
        <w:t xml:space="preserve">216 </w:t>
      </w:r>
      <w:r>
        <w:t>basis points</w:t>
      </w:r>
      <w:r>
        <w:rPr>
          <w:rStyle w:val="FootnoteReference"/>
        </w:rPr>
        <w:footnoteReference w:id="475"/>
      </w:r>
      <w:r w:rsidRPr="00B005DF">
        <w:t xml:space="preserve"> above the prevailing return on debt. The return on </w:t>
      </w:r>
      <w:r w:rsidR="00501F99" w:rsidRPr="00B005DF">
        <w:t>debt is a relative indicator and we expect that</w:t>
      </w:r>
      <w:r w:rsidR="00501F99">
        <w:t>,</w:t>
      </w:r>
      <w:r w:rsidR="00501F99" w:rsidRPr="00B005DF">
        <w:t xml:space="preserve"> most of the time</w:t>
      </w:r>
      <w:r w:rsidR="00501F99">
        <w:t>,</w:t>
      </w:r>
      <w:r w:rsidR="00501F99">
        <w:rPr>
          <w:rStyle w:val="FootnoteReference"/>
        </w:rPr>
        <w:footnoteReference w:id="476"/>
      </w:r>
      <w:r w:rsidR="00501F99" w:rsidRPr="00B005DF">
        <w:t xml:space="preserve"> investors' expected return on equity will exceed the expected return on debt. For our benchmark efficient entity with a similar degree of risk as </w:t>
      </w:r>
      <w:r w:rsidR="00501F99">
        <w:t>AusNet Services</w:t>
      </w:r>
      <w:r w:rsidR="00501F99" w:rsidRPr="00B005DF">
        <w:t>, we would not expect the return on equity to be a large margin above the prevailing return on debt</w:t>
      </w:r>
      <w:r w:rsidR="00501F99">
        <w:t>.</w:t>
      </w:r>
      <w:r w:rsidR="00501F99">
        <w:rPr>
          <w:rStyle w:val="FootnoteReference"/>
        </w:rPr>
        <w:footnoteReference w:id="477"/>
      </w:r>
      <w:r w:rsidR="00501F99">
        <w:t xml:space="preserve"> </w:t>
      </w:r>
    </w:p>
    <w:p w:rsidR="00501F99" w:rsidRDefault="00501F99" w:rsidP="00501F99">
      <w:r>
        <w:t xml:space="preserve">The spread between the equity and debt premiums has widened since the May and August 2016 decisions but it remains above the estimate at the publication of the Guideline in December 2013 (see </w:t>
      </w:r>
      <w:r>
        <w:fldChar w:fldCharType="begin"/>
      </w:r>
      <w:r>
        <w:instrText xml:space="preserve"> REF _Ref456700933 \h </w:instrText>
      </w:r>
      <w:r>
        <w:fldChar w:fldCharType="separate"/>
      </w:r>
      <w:r w:rsidR="006B4A74">
        <w:t xml:space="preserve">Figure </w:t>
      </w:r>
      <w:r w:rsidR="006B4A74">
        <w:rPr>
          <w:noProof/>
        </w:rPr>
        <w:t>3</w:t>
      </w:r>
      <w:r w:rsidR="006B4A74">
        <w:noBreakHyphen/>
      </w:r>
      <w:r w:rsidR="006B4A74">
        <w:rPr>
          <w:noProof/>
        </w:rPr>
        <w:t>11</w:t>
      </w:r>
      <w:r>
        <w:fldChar w:fldCharType="end"/>
      </w:r>
      <w:r>
        <w:t xml:space="preserve"> in section </w:t>
      </w:r>
      <w:r>
        <w:fldChar w:fldCharType="begin"/>
      </w:r>
      <w:r>
        <w:instrText xml:space="preserve"> REF _Ref449052987 \r \h </w:instrText>
      </w:r>
      <w:r>
        <w:fldChar w:fldCharType="separate"/>
      </w:r>
      <w:r w:rsidR="006B4A74">
        <w:t>E.3</w:t>
      </w:r>
      <w:r>
        <w:fldChar w:fldCharType="end"/>
      </w:r>
      <w:r>
        <w:t>). It remains broadly consistent with those observed in previous regulatory decisions.</w:t>
      </w:r>
      <w:r>
        <w:rPr>
          <w:rStyle w:val="FootnoteReference"/>
        </w:rPr>
        <w:footnoteReference w:id="478"/>
      </w:r>
      <w:r>
        <w:t xml:space="preserve"> </w:t>
      </w:r>
      <w:r w:rsidR="0089473C">
        <w:t>W</w:t>
      </w:r>
      <w:r>
        <w:t>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Pr="000F3DDE">
        <w:t>AusNet Services</w:t>
      </w:r>
      <w:r>
        <w:t xml:space="preserve"> in providing regulated services.</w:t>
      </w:r>
      <w:r w:rsidRPr="00B005DF">
        <w:rPr>
          <w:rStyle w:val="FootnoteReference"/>
        </w:rPr>
        <w:footnoteReference w:id="479"/>
      </w:r>
      <w:r>
        <w:t xml:space="preserve"> Further, measured debt yields likely understate the expected yield spread due to default risk</w:t>
      </w:r>
      <w:r w:rsidRPr="00B005DF">
        <w:t>.</w:t>
      </w:r>
      <w:r>
        <w:rPr>
          <w:rStyle w:val="FootnoteReference"/>
        </w:rPr>
        <w:footnoteReference w:id="480"/>
      </w:r>
      <w:r w:rsidRPr="00B75657">
        <w:rPr>
          <w:rStyle w:val="CommentReference"/>
        </w:rPr>
        <w:t xml:space="preserve"> </w:t>
      </w:r>
    </w:p>
    <w:p w:rsidR="006A3314" w:rsidRDefault="00501F99" w:rsidP="00501F99">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481"/>
      </w:r>
      <w:r>
        <w:t xml:space="preserve"> This suggests the allowances set in the past using the Sharpe-Lintner CAPM were at least adequate to recover efficient costs.</w:t>
      </w:r>
      <w:r>
        <w:rPr>
          <w:rStyle w:val="FootnoteReference"/>
        </w:rPr>
        <w:footnoteReference w:id="482"/>
      </w:r>
      <w:r>
        <w:t xml:space="preserve"> We also note that broker reports suggest that our recent </w:t>
      </w:r>
      <w:r w:rsidR="006A3314">
        <w:t>determinations have not removed the ability for listed networks to maintain payment of dividends.</w:t>
      </w:r>
      <w:r w:rsidR="006A3314">
        <w:rPr>
          <w:rStyle w:val="FootnoteReference"/>
        </w:rPr>
        <w:footnoteReference w:id="483"/>
      </w:r>
      <w:r w:rsidR="006A3314">
        <w:t xml:space="preserve"> This provides confidence that our estimate for this decision, while taking account of the downward trends of equity beta and risk free rate, is likely to provide </w:t>
      </w:r>
      <w:r w:rsidR="006A3314" w:rsidRPr="000F3DDE">
        <w:t>AusNet Services</w:t>
      </w:r>
      <w:r w:rsidR="006A3314">
        <w:t xml:space="preserve"> a reasonable opportunity to recover at least the efficient costs of providing regulated services.</w:t>
      </w:r>
    </w:p>
    <w:p w:rsidR="006A3314" w:rsidRDefault="006A3314" w:rsidP="006A3314">
      <w:r>
        <w:t xml:space="preserve">In addition to the equity risk premium ranges shown in </w:t>
      </w:r>
      <w:r>
        <w:fldChar w:fldCharType="begin"/>
      </w:r>
      <w:r>
        <w:instrText xml:space="preserve"> REF _Ref445923478 \h </w:instrText>
      </w:r>
      <w:r>
        <w:fldChar w:fldCharType="separate"/>
      </w:r>
      <w:r w:rsidR="006B4A74" w:rsidRPr="00866A7A">
        <w:t xml:space="preserve">Figure </w:t>
      </w:r>
      <w:r w:rsidR="006B4A74">
        <w:rPr>
          <w:noProof/>
        </w:rPr>
        <w:t>3</w:t>
      </w:r>
      <w:r w:rsidR="006B4A74">
        <w:noBreakHyphen/>
      </w:r>
      <w:r w:rsidR="006B4A74">
        <w:rPr>
          <w:noProof/>
        </w:rPr>
        <w:t>5</w:t>
      </w:r>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484"/>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There was broad agreement from consumer groups on the application of our foundation model approach as set out in our Guideline.</w:t>
      </w:r>
      <w:r>
        <w:rPr>
          <w:rStyle w:val="FootnoteReference"/>
        </w:rPr>
        <w:footnoteReference w:id="485"/>
      </w:r>
      <w:r>
        <w:t xml:space="preserve"> We consider that this means applying the Guideline in its entirety including the overall approach, parameter estimation and use of other information</w:t>
      </w:r>
      <w:r>
        <w:rPr>
          <w:rStyle w:val="FootnoteReference"/>
        </w:rPr>
        <w:footnoteReference w:id="486"/>
      </w:r>
      <w:r>
        <w:t xml:space="preserve"> as relevant cross-checks.  </w:t>
      </w:r>
    </w:p>
    <w:p w:rsidR="006A3314" w:rsidRDefault="006A3314" w:rsidP="006A3314">
      <w:r>
        <w:t>In total, eight consumer groups</w:t>
      </w:r>
      <w:r w:rsidRPr="007A701A">
        <w:rPr>
          <w:rStyle w:val="FootnoteReference"/>
        </w:rPr>
        <w:footnoteReference w:id="487"/>
      </w:r>
      <w:r>
        <w:t xml:space="preserve"> supported our approach during 2016 and some groups noted that they valued the predictability and transparency resulting from the application of our Guideline and foundation model approach.</w:t>
      </w:r>
      <w:r>
        <w:rPr>
          <w:rStyle w:val="FootnoteReference"/>
        </w:rPr>
        <w:footnoteReference w:id="488"/>
      </w:r>
      <w:r>
        <w:t xml:space="preserve"> Consumer groups also submitted support for the AER's implementation of the Guideline in their submissions on the AusNet Services' transmission regulatory process.</w:t>
      </w:r>
      <w:r>
        <w:rPr>
          <w:rStyle w:val="FootnoteReference"/>
        </w:rPr>
        <w:footnoteReference w:id="489"/>
      </w:r>
      <w:r>
        <w:t xml:space="preserve">  We note that applying the foundation model approach, as in the Guideline, results in an equity risk premium of 4.55 per cent. </w:t>
      </w:r>
    </w:p>
    <w:p w:rsidR="00501F99" w:rsidRPr="00501F99" w:rsidRDefault="00501F99" w:rsidP="00CC7A1C">
      <w:pPr>
        <w:pStyle w:val="ListParagraph"/>
        <w:numPr>
          <w:ilvl w:val="0"/>
          <w:numId w:val="24"/>
        </w:numPr>
      </w:pPr>
      <w:r w:rsidRPr="00501F99">
        <w:t>While supporting our Guideline, some consumer groups have submitted that it reflects conservative choices</w:t>
      </w:r>
      <w:r w:rsidRPr="00501F99">
        <w:rPr>
          <w:rStyle w:val="FootnoteReference"/>
        </w:rPr>
        <w:footnoteReference w:id="490"/>
      </w:r>
      <w:r w:rsidRPr="00501F99">
        <w:t xml:space="preserve"> that may result in over-estimating the return on equity and that parameter estimates (and rate of return) can be lowered further.</w:t>
      </w:r>
      <w:r w:rsidRPr="00501F99">
        <w:rPr>
          <w:rStyle w:val="FootnoteReference"/>
        </w:rPr>
        <w:footnoteReference w:id="491"/>
      </w:r>
      <w:r w:rsidRPr="00501F99">
        <w:t xml:space="preserve"> Submissions also noted that we need to give more weight to market data and realised returns such as financial performance and asset sales when considering the overall return on equity.</w:t>
      </w:r>
      <w:r w:rsidRPr="00501F99">
        <w:rPr>
          <w:rStyle w:val="FootnoteReference"/>
        </w:rPr>
        <w:footnoteReference w:id="492"/>
      </w:r>
      <w:r w:rsidRPr="00501F99">
        <w:rPr>
          <w:rStyle w:val="CommentReference"/>
        </w:rPr>
        <w:t xml:space="preserve"> </w:t>
      </w:r>
    </w:p>
    <w:p w:rsidR="00501F99" w:rsidRPr="00501F99" w:rsidRDefault="00501F99" w:rsidP="00CC7A1C">
      <w:pPr>
        <w:pStyle w:val="ListParagraph"/>
        <w:numPr>
          <w:ilvl w:val="0"/>
          <w:numId w:val="24"/>
        </w:numPr>
      </w:pPr>
      <w:r w:rsidRPr="00501F99">
        <w:t xml:space="preserve">We note </w:t>
      </w:r>
      <w:r w:rsidR="0089473C">
        <w:t>that some</w:t>
      </w:r>
      <w:r w:rsidR="002068DC">
        <w:t xml:space="preserve"> </w:t>
      </w:r>
      <w:r w:rsidRPr="00501F99">
        <w:t>service providers</w:t>
      </w:r>
      <w:r w:rsidR="0089473C">
        <w:t xml:space="preserve"> have</w:t>
      </w:r>
      <w:r w:rsidRPr="00501F99">
        <w:t xml:space="preserve"> submitted that we did not have appropriate regard to information from other relevant sources. A summary of these submissions and our responses are provided in </w:t>
      </w:r>
      <w:r w:rsidR="009211CA">
        <w:t>table 3–8</w:t>
      </w:r>
      <w:r w:rsidRPr="00501F99">
        <w:t xml:space="preserve"> below. Having considered the overall information and all material before us, at this time we are not satisfied that this information indicates a departure from the Guideline would contribute to the achievement of the ARORO. </w:t>
      </w:r>
    </w:p>
    <w:p w:rsidR="00501F99" w:rsidRDefault="00501F99" w:rsidP="00CC7A1C">
      <w:pPr>
        <w:pStyle w:val="ListParagraph"/>
        <w:numPr>
          <w:ilvl w:val="0"/>
          <w:numId w:val="24"/>
        </w:numPr>
      </w:pPr>
      <w:r w:rsidRPr="00501F99">
        <w:t>Some service providers continue to disagree with our cross checks on the overall return on equity. They submit material that is substantively similar to previous submissions which we have considered and responded to in previous determinations.</w:t>
      </w:r>
      <w:r w:rsidRPr="00501F99">
        <w:rPr>
          <w:rStyle w:val="FootnoteReference"/>
        </w:rPr>
        <w:footnoteReference w:id="493"/>
      </w:r>
      <w:r w:rsidRPr="00501F99">
        <w:t xml:space="preserve"> We respond to key issues service providers have submitted</w:t>
      </w:r>
      <w:r w:rsidR="00FD1050">
        <w:t xml:space="preserve"> in the past</w:t>
      </w:r>
      <w:r w:rsidRPr="00501F99">
        <w:t xml:space="preserve"> but see Attachment 3 of previous regulatory decisions</w:t>
      </w:r>
      <w:r w:rsidRPr="00501F99">
        <w:rPr>
          <w:rStyle w:val="FootnoteReference"/>
        </w:rPr>
        <w:footnoteReference w:id="494"/>
      </w:r>
      <w:r w:rsidRPr="00501F99">
        <w:t xml:space="preserve"> for more detailed discussions.</w:t>
      </w:r>
    </w:p>
    <w:p w:rsidR="00A85093" w:rsidRPr="00501F99" w:rsidRDefault="00A85093" w:rsidP="002656D9"/>
    <w:p w:rsidR="006A3314" w:rsidRPr="0087746B" w:rsidRDefault="006A3314" w:rsidP="00CC7A1C">
      <w:pPr>
        <w:pStyle w:val="Caption"/>
        <w:numPr>
          <w:ilvl w:val="0"/>
          <w:numId w:val="24"/>
        </w:numPr>
      </w:pPr>
      <w:bookmarkStart w:id="104" w:name="_Ref478718977"/>
      <w:r w:rsidRPr="0087746B">
        <w:t xml:space="preserve">Table </w:t>
      </w:r>
      <w:fldSimple w:instr=" STYLEREF 1 \s ">
        <w:r w:rsidR="006B4A74">
          <w:rPr>
            <w:noProof/>
          </w:rPr>
          <w:t>3</w:t>
        </w:r>
      </w:fldSimple>
      <w:r w:rsidR="008F29C8">
        <w:noBreakHyphen/>
      </w:r>
      <w:fldSimple w:instr=" SEQ Table \* ARABIC \s 1 ">
        <w:r w:rsidR="006B4A74">
          <w:rPr>
            <w:noProof/>
          </w:rPr>
          <w:t>8</w:t>
        </w:r>
      </w:fldSimple>
      <w:bookmarkEnd w:id="102"/>
      <w:r w:rsidRPr="0087746B">
        <w:tab/>
        <w:t>Issues about overall return on equity cross-checks</w:t>
      </w:r>
      <w:bookmarkEnd w:id="104"/>
    </w:p>
    <w:tbl>
      <w:tblPr>
        <w:tblStyle w:val="AERtable-text0"/>
        <w:tblW w:w="0" w:type="auto"/>
        <w:tblLook w:val="04A0" w:firstRow="1" w:lastRow="0" w:firstColumn="1" w:lastColumn="0" w:noHBand="0" w:noVBand="1"/>
      </w:tblPr>
      <w:tblGrid>
        <w:gridCol w:w="2235"/>
        <w:gridCol w:w="6458"/>
      </w:tblGrid>
      <w:tr w:rsidR="006A3314" w:rsidTr="002656D9">
        <w:trPr>
          <w:cnfStyle w:val="100000000000" w:firstRow="1" w:lastRow="0" w:firstColumn="0" w:lastColumn="0" w:oddVBand="0" w:evenVBand="0" w:oddHBand="0" w:evenHBand="0" w:firstRowFirstColumn="0" w:firstRowLastColumn="0" w:lastRowFirstColumn="0" w:lastRowLastColumn="0"/>
          <w:tblHeader/>
        </w:trPr>
        <w:tc>
          <w:tcPr>
            <w:tcW w:w="2235" w:type="dxa"/>
          </w:tcPr>
          <w:p w:rsidR="006A3314" w:rsidRPr="006A3314" w:rsidRDefault="006A3314" w:rsidP="006A3314">
            <w:r w:rsidRPr="0087746B">
              <w:t>Issue</w:t>
            </w:r>
          </w:p>
        </w:tc>
        <w:tc>
          <w:tcPr>
            <w:tcW w:w="6458" w:type="dxa"/>
          </w:tcPr>
          <w:p w:rsidR="006A3314" w:rsidRPr="006A3314" w:rsidRDefault="006A3314" w:rsidP="006A3314">
            <w:r w:rsidRPr="0087746B">
              <w:t>Our response</w:t>
            </w:r>
          </w:p>
        </w:tc>
      </w:tr>
      <w:tr w:rsidR="006A3314" w:rsidTr="00A210B3">
        <w:tc>
          <w:tcPr>
            <w:tcW w:w="2235" w:type="dxa"/>
          </w:tcPr>
          <w:p w:rsidR="006A3314" w:rsidRPr="006A3314" w:rsidRDefault="006A3314" w:rsidP="006A3314">
            <w:r w:rsidRPr="0087746B">
              <w:t xml:space="preserve">Uplifts to market </w:t>
            </w:r>
            <w:r w:rsidRPr="006A3314">
              <w:t>risk premium and risk free rate estimates from broker and valuation reports should be taken into account.</w:t>
            </w:r>
            <w:r w:rsidRPr="006A3314">
              <w:rPr>
                <w:rStyle w:val="FootnoteReference"/>
              </w:rPr>
              <w:t xml:space="preserve"> </w:t>
            </w:r>
            <w:r w:rsidRPr="006A3314">
              <w:rPr>
                <w:rStyle w:val="FootnoteReference"/>
              </w:rPr>
              <w:footnoteReference w:id="495"/>
            </w:r>
          </w:p>
        </w:tc>
        <w:tc>
          <w:tcPr>
            <w:tcW w:w="6458" w:type="dxa"/>
          </w:tcPr>
          <w:p w:rsidR="00894A39" w:rsidRPr="00894A39" w:rsidRDefault="00894A39" w:rsidP="00894A39">
            <w:r w:rsidRPr="0087746B">
              <w:t>Uplifts applied by brokers and valuers to initial estimates may be inconsistent with the ARORO.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control period).</w:t>
            </w:r>
            <w:r w:rsidR="007902A4">
              <w:rPr>
                <w:rStyle w:val="FootnoteReference"/>
              </w:rPr>
              <w:footnoteReference w:id="496"/>
            </w:r>
          </w:p>
          <w:p w:rsidR="00894A39" w:rsidRPr="00894A39" w:rsidRDefault="00894A39" w:rsidP="00894A39">
            <w:r>
              <w:t xml:space="preserve">Partington and Satchell has also advised </w:t>
            </w:r>
            <w:r w:rsidRPr="00894A39">
              <w:t>that due to the nature of these uplifts found worldwide in consultants' reports 'the approach seems too ad-hoc to be a regulatory tool.'</w:t>
            </w:r>
            <w:r w:rsidRPr="00894A39">
              <w:rPr>
                <w:rStyle w:val="FootnoteReference"/>
              </w:rPr>
              <w:footnoteReference w:id="497"/>
            </w:r>
          </w:p>
          <w:p w:rsidR="006A3314" w:rsidRPr="0087746B" w:rsidRDefault="00894A39" w:rsidP="00894A39">
            <w:r w:rsidRPr="0087746B">
              <w:t>As a result, we prefer to have greater regard to estimates exclusive of these uplifts. For more detail, see sections E.3, E.4 and E.6 in Attachment 3 to our preliminary decision for AusNet Services' 2016-20 distribution determination.</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6A3314" w:rsidP="006A3314">
            <w:r w:rsidRPr="0087746B">
              <w:t>Service providers submitted that the relevant estimates from broker and valuation reports are the imputation-adjusted estimates.</w:t>
            </w:r>
            <w:r w:rsidRPr="006A3314">
              <w:rPr>
                <w:rStyle w:val="FootnoteReference"/>
              </w:rPr>
              <w:t xml:space="preserve"> </w:t>
            </w:r>
            <w:r w:rsidRPr="006A3314">
              <w:rPr>
                <w:rStyle w:val="FootnoteReference"/>
              </w:rPr>
              <w:footnoteReference w:id="498"/>
            </w:r>
          </w:p>
        </w:tc>
        <w:tc>
          <w:tcPr>
            <w:tcW w:w="6458" w:type="dxa"/>
          </w:tcPr>
          <w:p w:rsidR="006A3314" w:rsidRPr="006A3314" w:rsidRDefault="006A3314" w:rsidP="006A3314">
            <w:r w:rsidRPr="0087746B">
              <w:t>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AusNet Services' 2016-20 distribution determination.</w:t>
            </w:r>
          </w:p>
        </w:tc>
      </w:tr>
      <w:tr w:rsidR="006A3314" w:rsidTr="00A210B3">
        <w:tc>
          <w:tcPr>
            <w:tcW w:w="2235" w:type="dxa"/>
          </w:tcPr>
          <w:p w:rsidR="006A3314" w:rsidRPr="006A3314" w:rsidRDefault="006A3314" w:rsidP="006A3314">
            <w:r w:rsidRPr="0087746B">
              <w:t>Service providers submitted that it is not appropriate to focus just on the equity risk premium from broker reports.</w:t>
            </w:r>
            <w:r w:rsidRPr="006A3314">
              <w:rPr>
                <w:rStyle w:val="FootnoteReference"/>
              </w:rPr>
              <w:t xml:space="preserve"> </w:t>
            </w:r>
            <w:r w:rsidRPr="006A3314">
              <w:rPr>
                <w:rStyle w:val="FootnoteReference"/>
              </w:rPr>
              <w:footnoteReference w:id="499"/>
            </w:r>
          </w:p>
        </w:tc>
        <w:tc>
          <w:tcPr>
            <w:tcW w:w="6458" w:type="dxa"/>
          </w:tcPr>
          <w:p w:rsidR="006A3314" w:rsidRPr="006A3314" w:rsidRDefault="006A3314" w:rsidP="006A3314">
            <w:r w:rsidRPr="0087746B">
              <w:t xml:space="preserve">This submission indicates a misunderstanding of our approach. We clearly have regard to both equity risk premium and overall return on equity estimates from broker reports. For more details see section </w:t>
            </w:r>
            <w:r w:rsidRPr="006A3314">
              <w:fldChar w:fldCharType="begin"/>
            </w:r>
            <w:r w:rsidRPr="006A3314">
              <w:instrText xml:space="preserve"> REF _Ref445898024 \r \h </w:instrText>
            </w:r>
            <w:r w:rsidRPr="006A3314">
              <w:fldChar w:fldCharType="separate"/>
            </w:r>
            <w:r w:rsidR="006B4A74">
              <w:t>F.2</w:t>
            </w:r>
            <w:r w:rsidRPr="006A3314">
              <w:fldChar w:fldCharType="end"/>
            </w:r>
            <w:r w:rsidRPr="006A3314">
              <w:t xml:space="preserve"> of this attachment.</w:t>
            </w:r>
            <w:r w:rsidR="007902A4">
              <w:rPr>
                <w:rStyle w:val="FootnoteReference"/>
              </w:rPr>
              <w:footnoteReference w:id="500"/>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894A39" w:rsidP="006A3314">
            <w:r>
              <w:t xml:space="preserve">Frontier </w:t>
            </w:r>
            <w:r w:rsidRPr="00894A39">
              <w:t>submitted that the AER's cross checks at the equity risk premium level are ineffectual and are not fit for purpose</w:t>
            </w:r>
            <w:r w:rsidRPr="00894A39">
              <w:rPr>
                <w:rStyle w:val="FootnoteReference"/>
              </w:rPr>
              <w:footnoteReference w:id="501"/>
            </w:r>
          </w:p>
        </w:tc>
        <w:tc>
          <w:tcPr>
            <w:tcW w:w="6458" w:type="dxa"/>
          </w:tcPr>
          <w:p w:rsidR="00894A39" w:rsidRPr="00894A39" w:rsidRDefault="00894A39" w:rsidP="00894A39">
            <w:r>
              <w:t xml:space="preserve">We carry out cross-checks to supplement the information we have already considered in </w:t>
            </w:r>
            <w:r w:rsidRPr="00894A39">
              <w:t xml:space="preserve">the formation of the market risk premium and equity risk premium. The cross check pass or fail adds to the weight of evidence on either side which we consider when putting forward a decision on the estimation. </w:t>
            </w:r>
          </w:p>
          <w:p w:rsidR="00894A39" w:rsidRPr="00894A39" w:rsidRDefault="00113EAF" w:rsidP="00894A39">
            <w:r>
              <w:t xml:space="preserve">Partington and Satchell </w:t>
            </w:r>
            <w:r w:rsidR="00894A39" w:rsidRPr="00894A39">
              <w:t>agrees that cross-checks provide value by 'providing a pause for thought'.</w:t>
            </w:r>
            <w:r w:rsidR="00894A39" w:rsidRPr="00894A39">
              <w:rPr>
                <w:rStyle w:val="FootnoteReference"/>
              </w:rPr>
              <w:footnoteReference w:id="502"/>
            </w:r>
          </w:p>
          <w:p w:rsidR="006A3314" w:rsidRPr="0087746B" w:rsidRDefault="00894A39" w:rsidP="006A3314">
            <w:r>
              <w:t>To claim that our crosschecks are inadequate is to mischaracterise their use in the decision.</w:t>
            </w:r>
          </w:p>
        </w:tc>
      </w:tr>
      <w:tr w:rsidR="006A3314" w:rsidTr="00A210B3">
        <w:tc>
          <w:tcPr>
            <w:tcW w:w="2235" w:type="dxa"/>
          </w:tcPr>
          <w:p w:rsidR="006A3314" w:rsidRPr="006A3314" w:rsidRDefault="00894A39" w:rsidP="006A3314">
            <w:r>
              <w:t xml:space="preserve">Frontier </w:t>
            </w:r>
            <w:r w:rsidRPr="00894A39">
              <w:t>submitted that applying the cross checks at the equity risk premium level is misleading by ignoring uplifts to the risk free rate and the adjustments valuers use to account for prevailing conditions.</w:t>
            </w:r>
            <w:r w:rsidRPr="00894A39">
              <w:rPr>
                <w:rStyle w:val="FootnoteReference"/>
              </w:rPr>
              <w:footnoteReference w:id="503"/>
            </w:r>
          </w:p>
        </w:tc>
        <w:tc>
          <w:tcPr>
            <w:tcW w:w="6458" w:type="dxa"/>
          </w:tcPr>
          <w:p w:rsidR="00894A39" w:rsidRPr="00894A39" w:rsidRDefault="00894A39" w:rsidP="00894A39">
            <w:r w:rsidRPr="00894A39">
              <w:t xml:space="preserve">We have consistently explained why we have greater regard to unadjusted estimates. Expert valuation reports carry a number of limitations that limits their use for our regulatory task. </w:t>
            </w:r>
            <w:r w:rsidR="00FB3200">
              <w:t>A</w:t>
            </w:r>
            <w:r w:rsidRPr="00894A39">
              <w:t>djustments by valuers and brokers may be inconsistent with the ARORO as noted above.</w:t>
            </w:r>
          </w:p>
          <w:p w:rsidR="006A3314" w:rsidRPr="006A3314" w:rsidRDefault="00894A39" w:rsidP="00894A39">
            <w:r w:rsidRPr="0087746B">
              <w:t>For more detail, see sections E.3, E.4 and E.6 in Attachment 3 to our preliminary decision for AusNet Services' 2016-20 distribution determination.</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894A39" w:rsidP="006A3314">
            <w:r>
              <w:t xml:space="preserve">Frontier submitted that </w:t>
            </w:r>
            <w:r w:rsidRPr="00894A39">
              <w:t>cross checks should be at the overall return on equity level and not at the equity risk premium level</w:t>
            </w:r>
            <w:r w:rsidRPr="00894A39">
              <w:rPr>
                <w:rStyle w:val="FootnoteReference"/>
              </w:rPr>
              <w:footnoteReference w:id="504"/>
            </w:r>
          </w:p>
        </w:tc>
        <w:tc>
          <w:tcPr>
            <w:tcW w:w="6458" w:type="dxa"/>
          </w:tcPr>
          <w:p w:rsidR="006A3314" w:rsidRPr="006A3314" w:rsidDel="00962E77" w:rsidRDefault="00894A39" w:rsidP="006A3314">
            <w:r>
              <w:t xml:space="preserve">Our task is to set the allowed rate of return to be commensurate with a similar degree of risk as that which applies to AusNet Services with respect the provision of regulated </w:t>
            </w:r>
            <w:r w:rsidRPr="00894A39">
              <w:t>services. This requires consideration of the additional riskiness of AusNet Services relative to the risk free asset, and the commensurate return that equity investors require to take on this additional risk. Hence the critical allowance is the allowed equity risk premium over and above the estimate of the risk free rate at a given time.</w:t>
            </w:r>
          </w:p>
        </w:tc>
      </w:tr>
    </w:tbl>
    <w:p w:rsidR="006A3314" w:rsidRPr="00A42F74" w:rsidRDefault="006A3314" w:rsidP="008556CC">
      <w:pPr>
        <w:pStyle w:val="HeadingBoldItalic"/>
        <w:rPr>
          <w:rStyle w:val="AERtextorange"/>
          <w:rFonts w:eastAsia="Calibri" w:cs="Times New Roman"/>
          <w:b w:val="0"/>
          <w:bCs w:val="0"/>
          <w:color w:val="51626F"/>
          <w:sz w:val="16"/>
          <w:szCs w:val="20"/>
          <w:lang w:eastAsia="en-AU"/>
        </w:rPr>
      </w:pPr>
      <w:bookmarkStart w:id="105" w:name="_Toc443923182"/>
      <w:bookmarkStart w:id="106" w:name="_Toc480460509"/>
      <w:bookmarkStart w:id="107" w:name="_Toc480460799"/>
      <w:r w:rsidRPr="00A42F74">
        <w:rPr>
          <w:rStyle w:val="AERtextorange"/>
          <w:color w:val="51626F"/>
        </w:rPr>
        <w:t>Movements in the risk free rate and the return on equity</w:t>
      </w:r>
      <w:bookmarkEnd w:id="105"/>
      <w:bookmarkEnd w:id="106"/>
      <w:bookmarkEnd w:id="107"/>
    </w:p>
    <w:p w:rsidR="006A3314" w:rsidRPr="0087746B" w:rsidRDefault="006A3314" w:rsidP="00CC7A1C">
      <w:pPr>
        <w:numPr>
          <w:ilvl w:val="0"/>
          <w:numId w:val="24"/>
        </w:numPr>
      </w:pPr>
      <w:r w:rsidRPr="0087746B">
        <w:t>Applying our foundation model approach, we estimate a return on equity of</w:t>
      </w:r>
      <w:r w:rsidR="00C65A66">
        <w:t xml:space="preserve"> 7.</w:t>
      </w:r>
      <w:r w:rsidR="006E7560">
        <w:t>1</w:t>
      </w:r>
      <w:r w:rsidR="005E6E22">
        <w:t xml:space="preserve"> </w:t>
      </w:r>
      <w:r w:rsidRPr="0087746B">
        <w:t xml:space="preserve">per cent. </w:t>
      </w:r>
    </w:p>
    <w:p w:rsidR="006A3314" w:rsidRPr="0087746B" w:rsidRDefault="006A3314" w:rsidP="006A3314">
      <w:pPr>
        <w:rPr>
          <w:rStyle w:val="AERbody"/>
        </w:rPr>
      </w:pPr>
      <w:r w:rsidRPr="0087746B">
        <w:rPr>
          <w:rStyle w:val="AERbody"/>
        </w:rPr>
        <w:t>We consider capital—</w:t>
      </w:r>
      <w:r>
        <w:rPr>
          <w:rStyle w:val="AERbody"/>
        </w:rPr>
        <w:t xml:space="preserve">both </w:t>
      </w:r>
      <w:r w:rsidRPr="0087746B">
        <w:rPr>
          <w:rStyle w:val="AERbody"/>
        </w:rPr>
        <w:t xml:space="preserve">equity and debt—should provide for a risk premium over a base (risk free) rate. </w:t>
      </w:r>
      <w:r>
        <w:rPr>
          <w:rStyle w:val="AERbody"/>
        </w:rPr>
        <w:t>When</w:t>
      </w:r>
      <w:r w:rsidRPr="0087746B">
        <w:rPr>
          <w:rStyle w:val="AERbody"/>
        </w:rPr>
        <w:t xml:space="preserve"> estimating the allowed rate of return for </w:t>
      </w:r>
      <w:r w:rsidRPr="0087746B">
        <w:t>AusNet Services</w:t>
      </w:r>
      <w:r w:rsidRPr="0087746B">
        <w:rPr>
          <w:rStyle w:val="AERbody"/>
        </w:rPr>
        <w:t xml:space="preserve">, we consider the additional riskiness of </w:t>
      </w:r>
      <w:r w:rsidRPr="0087746B">
        <w:t>AusNet Services</w:t>
      </w:r>
      <w:r w:rsidRPr="0087746B">
        <w:rPr>
          <w:rStyle w:val="FootnoteReference"/>
        </w:rPr>
        <w:footnoteReference w:id="505"/>
      </w:r>
      <w:r w:rsidRPr="0087746B">
        <w:rPr>
          <w:rStyle w:val="AERbody"/>
        </w:rPr>
        <w:t xml:space="preserve"> relative to the risk free asset, and the commensurate risk premium that investors require to take on this additional risk.</w:t>
      </w:r>
      <w:r w:rsidRPr="0087746B">
        <w:rPr>
          <w:rStyle w:val="FootnoteReference"/>
        </w:rPr>
        <w:footnoteReference w:id="506"/>
      </w:r>
      <w:r w:rsidRPr="0087746B">
        <w:rPr>
          <w:rStyle w:val="AERbody"/>
        </w:rPr>
        <w:t xml:space="preserve"> </w:t>
      </w:r>
    </w:p>
    <w:p w:rsidR="006A3314" w:rsidRPr="0087746B" w:rsidRDefault="003E6694" w:rsidP="008556CC">
      <w:pPr>
        <w:rPr>
          <w:rStyle w:val="AERbody"/>
        </w:rPr>
      </w:pPr>
      <w:r>
        <w:rPr>
          <w:rStyle w:val="AERbody"/>
        </w:rPr>
        <w:t>Similar to what s</w:t>
      </w:r>
      <w:r w:rsidR="00FD1050">
        <w:rPr>
          <w:rStyle w:val="AERbody"/>
        </w:rPr>
        <w:t>ome</w:t>
      </w:r>
      <w:r w:rsidR="00FD1050" w:rsidRPr="0087746B">
        <w:rPr>
          <w:rStyle w:val="AERbody"/>
        </w:rPr>
        <w:t xml:space="preserve"> </w:t>
      </w:r>
      <w:r w:rsidR="006A3314" w:rsidRPr="0087746B">
        <w:rPr>
          <w:rStyle w:val="AERbody"/>
        </w:rPr>
        <w:t>service providers</w:t>
      </w:r>
      <w:r w:rsidR="00FD1050">
        <w:rPr>
          <w:rStyle w:val="AERbody"/>
        </w:rPr>
        <w:t xml:space="preserve"> have</w:t>
      </w:r>
      <w:r w:rsidR="006A3314" w:rsidRPr="0087746B">
        <w:rPr>
          <w:rStyle w:val="AERbody"/>
        </w:rPr>
        <w:t xml:space="preserve"> argue</w:t>
      </w:r>
      <w:r w:rsidR="00FD1050">
        <w:rPr>
          <w:rStyle w:val="AERbody"/>
        </w:rPr>
        <w:t>d previously</w:t>
      </w:r>
      <w:r>
        <w:rPr>
          <w:rStyle w:val="AERbody"/>
        </w:rPr>
        <w:t>, AusNet Services submitted</w:t>
      </w:r>
      <w:r w:rsidR="006A3314" w:rsidRPr="0087746B">
        <w:rPr>
          <w:rStyle w:val="AERbody"/>
        </w:rPr>
        <w:t xml:space="preserve"> that there is an inverse relationship between the risk free rate and market risk premium.</w:t>
      </w:r>
      <w:r>
        <w:rPr>
          <w:rStyle w:val="FootnoteReference"/>
        </w:rPr>
        <w:footnoteReference w:id="507"/>
      </w:r>
      <w:r w:rsidR="006A3314" w:rsidRPr="0087746B">
        <w:rPr>
          <w:rStyle w:val="AERbody"/>
        </w:rPr>
        <w:t xml:space="preserve"> It is unclear why this risk premium would increase or decrease to entirely offset changes in the base risk free rate. We have not been provided with compelling evidence that the riskiness of </w:t>
      </w:r>
      <w:r w:rsidR="006A3314" w:rsidRPr="008556CC">
        <w:t>AusNet Services</w:t>
      </w:r>
      <w:r w:rsidR="006A3314" w:rsidRPr="0087746B">
        <w:rPr>
          <w:rStyle w:val="AERbody"/>
        </w:rPr>
        <w:t xml:space="preserve"> relative to the risk free asset has increased as the risk free rate has decreased. </w:t>
      </w:r>
      <w:r w:rsidR="00FD1050">
        <w:rPr>
          <w:rStyle w:val="AERbody"/>
        </w:rPr>
        <w:t>AusNet Services has</w:t>
      </w:r>
      <w:r w:rsidR="006A3314" w:rsidRPr="0087746B">
        <w:rPr>
          <w:rStyle w:val="AERbody"/>
        </w:rPr>
        <w:t xml:space="preserve"> not sufficiently explained why, in the absence of an increase in the relative riskiness </w:t>
      </w:r>
      <w:r w:rsidR="006A3314" w:rsidRPr="008556CC">
        <w:t>of AusNet Services</w:t>
      </w:r>
      <w:r w:rsidR="006A3314" w:rsidRPr="0087746B">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006A3314" w:rsidRPr="0087746B">
        <w:rPr>
          <w:rStyle w:val="FootnoteReference"/>
        </w:rPr>
        <w:footnoteReference w:id="508"/>
      </w:r>
    </w:p>
    <w:p w:rsidR="006A3314" w:rsidRPr="0087746B" w:rsidRDefault="006A3314" w:rsidP="00CC7A1C">
      <w:pPr>
        <w:numPr>
          <w:ilvl w:val="0"/>
          <w:numId w:val="24"/>
        </w:numPr>
      </w:pPr>
      <w:r w:rsidRPr="0087746B">
        <w:t>We consider that this is consistent with the required return on equity for prevailing market conditions for equity funds for the following reasons:</w:t>
      </w:r>
    </w:p>
    <w:p w:rsidR="006A3314" w:rsidRPr="0087746B" w:rsidRDefault="006A3314" w:rsidP="006A3314">
      <w:pPr>
        <w:pStyle w:val="AERbulletlistfirststyle"/>
      </w:pPr>
      <w:r w:rsidRPr="0087746B">
        <w:t xml:space="preserve">We apply the foundation model approach and estimate a return on equity having regard to a range of relevant materials and their relative merits. </w:t>
      </w:r>
    </w:p>
    <w:p w:rsidR="006A3314" w:rsidRPr="0087746B" w:rsidRDefault="006A3314" w:rsidP="006A3314">
      <w:pPr>
        <w:pStyle w:val="AERbulletlistfirststyle"/>
      </w:pPr>
      <w:r w:rsidRPr="0087746B">
        <w:t xml:space="preserve">We </w:t>
      </w:r>
      <w:r>
        <w:t>take into account</w:t>
      </w:r>
      <w:r w:rsidRPr="0087746B">
        <w:t xml:space="preserve"> the prevailing market conditions for equity funds. We use</w:t>
      </w:r>
      <w:r>
        <w:t xml:space="preserve"> both</w:t>
      </w:r>
      <w:r w:rsidRPr="0087746B">
        <w:t xml:space="preserve"> the dividend growth model and conditioning variables to inform our estimate of the market risk premium. We </w:t>
      </w:r>
      <w:r>
        <w:t xml:space="preserve">also </w:t>
      </w:r>
      <w:r w:rsidRPr="0087746B">
        <w:t>use other relevant sources of information to cross-check the foundation model estimate. The triangulation of estimates from relevant market participants broadly supports our foundation model estimate of the return on equity.</w:t>
      </w:r>
    </w:p>
    <w:p w:rsidR="006A3314" w:rsidRPr="0087746B" w:rsidRDefault="006A3314" w:rsidP="006A3314">
      <w:pPr>
        <w:pStyle w:val="AERbulletlistfirststyle"/>
      </w:pPr>
      <w:r w:rsidRPr="0087746B">
        <w:t xml:space="preserve">Our </w:t>
      </w:r>
      <w:r w:rsidRPr="0087746B">
        <w:rPr>
          <w:rStyle w:val="AERbody"/>
        </w:rPr>
        <w:t xml:space="preserve">comparison between the return on equity and return on debt supports the view that </w:t>
      </w:r>
      <w:r w:rsidRPr="0087746B">
        <w:t>our estimated return on equity is not below efficient financing costs</w:t>
      </w:r>
      <w:r w:rsidRPr="0087746B">
        <w:rPr>
          <w:rStyle w:val="FootnoteReference"/>
        </w:rPr>
        <w:footnoteReference w:id="509"/>
      </w:r>
      <w:r w:rsidRPr="0087746B">
        <w:t xml:space="preserve"> under </w:t>
      </w:r>
      <w:r w:rsidRPr="0087746B">
        <w:rPr>
          <w:rStyle w:val="AERbody"/>
        </w:rPr>
        <w:t xml:space="preserve">prevailing debt market conditions. </w:t>
      </w:r>
      <w:r w:rsidRPr="0087746B">
        <w:t xml:space="preserve">We do not consider that the current </w:t>
      </w:r>
      <w:r>
        <w:t>219</w:t>
      </w:r>
      <w:r w:rsidRPr="0087746B">
        <w:t xml:space="preserve"> basis points difference between the equity risk premium allowed in this decision and debt risk premiums</w:t>
      </w:r>
      <w:r w:rsidRPr="0087746B">
        <w:rPr>
          <w:rStyle w:val="FootnoteReference"/>
        </w:rPr>
        <w:footnoteReference w:id="510"/>
      </w:r>
      <w:r w:rsidRPr="0087746B">
        <w:t xml:space="preserve"> to be too low (see section </w:t>
      </w:r>
      <w:r w:rsidRPr="0087746B">
        <w:fldChar w:fldCharType="begin"/>
      </w:r>
      <w:r w:rsidRPr="0087746B">
        <w:instrText xml:space="preserve"> REF _Ref451685642 \r \h </w:instrText>
      </w:r>
      <w:r w:rsidRPr="0087746B">
        <w:fldChar w:fldCharType="separate"/>
      </w:r>
      <w:r w:rsidR="006B4A74">
        <w:t>E.3</w:t>
      </w:r>
      <w:r w:rsidRPr="0087746B">
        <w:fldChar w:fldCharType="end"/>
      </w:r>
      <w:r w:rsidRPr="0087746B">
        <w:t xml:space="preserve"> for more discussion).</w:t>
      </w:r>
    </w:p>
    <w:p w:rsidR="006A3314" w:rsidRPr="0087746B" w:rsidRDefault="006A3314" w:rsidP="006A3314">
      <w:pPr>
        <w:pStyle w:val="AERbulletlistfirststyle"/>
      </w:pPr>
      <w:r w:rsidRPr="0087746B">
        <w:t>We do not find conclusive evidence of a relationship between the market risk premium and risk free rate in any direction or size. This is supported by our consideration in the Guideline, previous regulatory decisions and advice from Partington.</w:t>
      </w:r>
      <w:r w:rsidRPr="0087746B">
        <w:rPr>
          <w:rStyle w:val="FootnoteReference"/>
        </w:rPr>
        <w:footnoteReference w:id="511"/>
      </w:r>
    </w:p>
    <w:p w:rsidR="006A3314" w:rsidRPr="0087746B" w:rsidRDefault="006A3314" w:rsidP="006A3314">
      <w:pPr>
        <w:pStyle w:val="AERbulletlistfirststyle"/>
      </w:pPr>
      <w:r w:rsidRPr="0087746B">
        <w:t xml:space="preserve">We </w:t>
      </w:r>
      <w:r>
        <w:t>continue to be unsatisfied</w:t>
      </w:r>
      <w:r w:rsidRPr="0087746B">
        <w:t xml:space="preserve"> that there is evidence of a widespread 'flight to quality'</w:t>
      </w:r>
      <w:r w:rsidRPr="0087746B">
        <w:rPr>
          <w:rStyle w:val="FootnoteReference"/>
        </w:rPr>
        <w:footnoteReference w:id="512"/>
      </w:r>
      <w:r w:rsidRPr="0087746B">
        <w:t xml:space="preserve"> among investors in current market conditions that would </w:t>
      </w:r>
      <w:r>
        <w:t xml:space="preserve">have any </w:t>
      </w:r>
      <w:r w:rsidRPr="0087746B">
        <w:t xml:space="preserve">impact </w:t>
      </w:r>
      <w:r>
        <w:t xml:space="preserve">on </w:t>
      </w:r>
      <w:r w:rsidRPr="0087746B">
        <w:t>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t xml:space="preserve"> whilst these conditions prevail</w:t>
      </w:r>
      <w:r w:rsidRPr="0087746B">
        <w:t>.</w:t>
      </w:r>
      <w:r w:rsidRPr="0087746B">
        <w:rPr>
          <w:rStyle w:val="FootnoteReference"/>
        </w:rPr>
        <w:footnoteReference w:id="513"/>
      </w:r>
      <w:r w:rsidRPr="0087746B">
        <w:t xml:space="preserve"> </w:t>
      </w:r>
    </w:p>
    <w:p w:rsidR="006A3314" w:rsidRPr="0087746B" w:rsidRDefault="006A3314" w:rsidP="006A3314">
      <w:r w:rsidRPr="0087746B">
        <w:t>Partington has advised, '[t]he low bond rates tell us that the required return for low risk assets is low'.</w:t>
      </w:r>
      <w:r w:rsidRPr="0087746B">
        <w:rPr>
          <w:rStyle w:val="FootnoteReference"/>
        </w:rPr>
        <w:footnoteReference w:id="514"/>
      </w:r>
      <w:r w:rsidRPr="0087746B">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87746B">
        <w:rPr>
          <w:rStyle w:val="FootnoteReference"/>
        </w:rPr>
        <w:footnoteReference w:id="515"/>
      </w:r>
      <w:r w:rsidRPr="0087746B">
        <w:t xml:space="preserve"> </w:t>
      </w:r>
    </w:p>
    <w:p w:rsidR="006A3314" w:rsidRPr="0087746B" w:rsidRDefault="006A3314" w:rsidP="006A3314">
      <w:pPr>
        <w:pStyle w:val="AERquote"/>
      </w:pPr>
      <w:r w:rsidRPr="0087746B">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894A39" w:rsidRPr="0087746B" w:rsidRDefault="00894A39" w:rsidP="00894A39">
      <w:r w:rsidRPr="0087746B">
        <w:t xml:space="preserve">Partington and Satchell considered the submissions put forward by service providers </w:t>
      </w:r>
      <w:r w:rsidR="003E6694">
        <w:t xml:space="preserve">previously </w:t>
      </w:r>
      <w:r w:rsidRPr="0087746B">
        <w:t>and stated:</w:t>
      </w:r>
      <w:r w:rsidRPr="0087746B">
        <w:rPr>
          <w:rStyle w:val="FootnoteReference"/>
        </w:rPr>
        <w:footnoteReference w:id="516"/>
      </w:r>
    </w:p>
    <w:p w:rsidR="00894A39" w:rsidRPr="0087746B" w:rsidRDefault="00894A39" w:rsidP="00894A39">
      <w:pPr>
        <w:pStyle w:val="AERquote"/>
      </w:pPr>
      <w:r w:rsidRPr="0087746B">
        <w:t>There is a possibility that current low interest rates could result in higher equity risk premiums, but we do not think this is likely and more importantly we have seen no convincing evidence that this is the case.</w:t>
      </w:r>
    </w:p>
    <w:p w:rsidR="00894A39" w:rsidRPr="008556CC" w:rsidRDefault="00894A39" w:rsidP="008556CC">
      <w:pPr>
        <w:pStyle w:val="AERbodytextnospaceleftalign"/>
        <w:rPr>
          <w:rStyle w:val="AERbody"/>
        </w:rPr>
      </w:pPr>
      <w:r>
        <w:rPr>
          <w:rStyle w:val="AERbody"/>
        </w:rPr>
        <w:t xml:space="preserve">More recently, </w:t>
      </w:r>
      <w:r w:rsidRPr="008556CC">
        <w:rPr>
          <w:rStyle w:val="AERbody"/>
        </w:rPr>
        <w:t xml:space="preserve">Partington and Satchell </w:t>
      </w:r>
      <w:r w:rsidRPr="00894A39">
        <w:rPr>
          <w:rStyle w:val="AERbody"/>
        </w:rPr>
        <w:t>advised</w:t>
      </w:r>
      <w:r w:rsidRPr="008556CC">
        <w:rPr>
          <w:rStyle w:val="AERbody"/>
        </w:rPr>
        <w:t xml:space="preserve"> that the AER </w:t>
      </w:r>
      <w:r w:rsidRPr="00894A39">
        <w:rPr>
          <w:rStyle w:val="AERbody"/>
        </w:rPr>
        <w:t>'needs to be</w:t>
      </w:r>
      <w:r w:rsidRPr="008556CC">
        <w:rPr>
          <w:rStyle w:val="AERbody"/>
        </w:rPr>
        <w:t xml:space="preserve"> convinced why investors should require more compensation for the risk of holding equity</w:t>
      </w:r>
      <w:r w:rsidRPr="00894A39">
        <w:rPr>
          <w:rStyle w:val="AERbody"/>
        </w:rPr>
        <w:t>' and why the expected market return on the market increases</w:t>
      </w:r>
      <w:r w:rsidRPr="008556CC">
        <w:rPr>
          <w:rStyle w:val="AERbody"/>
        </w:rPr>
        <w:t xml:space="preserve"> as interest rate falls</w:t>
      </w:r>
      <w:r w:rsidRPr="00894A39">
        <w:rPr>
          <w:rStyle w:val="AERbody"/>
        </w:rPr>
        <w:t>.</w:t>
      </w:r>
      <w:r w:rsidRPr="00894A39">
        <w:rPr>
          <w:rStyle w:val="FootnoteReference"/>
        </w:rPr>
        <w:footnoteReference w:id="517"/>
      </w:r>
      <w:r w:rsidRPr="008556CC">
        <w:rPr>
          <w:rStyle w:val="AERbody"/>
        </w:rPr>
        <w:t xml:space="preserve"> They </w:t>
      </w:r>
      <w:r w:rsidRPr="00894A39">
        <w:rPr>
          <w:rStyle w:val="AERbody"/>
        </w:rPr>
        <w:t>added</w:t>
      </w:r>
      <w:r w:rsidRPr="008556CC">
        <w:rPr>
          <w:rStyle w:val="AERbody"/>
        </w:rPr>
        <w:t xml:space="preserve"> that any change commensurate with the theory that the risk free rate and the market risk premium are inversely related</w:t>
      </w:r>
      <w:r w:rsidR="005E0CBF">
        <w:rPr>
          <w:rStyle w:val="AERbody"/>
        </w:rPr>
        <w:t xml:space="preserve"> (on the basis of a stable return on equity)</w:t>
      </w:r>
      <w:r w:rsidRPr="008556CC">
        <w:rPr>
          <w:rStyle w:val="AERbody"/>
        </w:rPr>
        <w:t xml:space="preserve"> would be inexplicably large:</w:t>
      </w:r>
      <w:r w:rsidRPr="00894A39">
        <w:rPr>
          <w:rStyle w:val="FootnoteReference"/>
        </w:rPr>
        <w:footnoteReference w:id="518"/>
      </w:r>
    </w:p>
    <w:p w:rsidR="00894A39" w:rsidRPr="008556CC" w:rsidRDefault="00894A39" w:rsidP="008556CC">
      <w:pPr>
        <w:pStyle w:val="AERquote"/>
        <w:rPr>
          <w:rStyle w:val="AERtexthighlight"/>
        </w:rPr>
      </w:pPr>
      <w:r w:rsidRPr="009C000B">
        <w:t xml:space="preserve">We see that if there is no change in beta, the required value for </w:t>
      </w:r>
      <m:oMath>
        <m:r>
          <w:rPr>
            <w:rFonts w:ascii="Cambria Math" w:hAnsi="Cambria Math"/>
          </w:rPr>
          <m:t>∆MRP=3.14%</m:t>
        </m:r>
      </m:oMath>
      <w:r w:rsidRPr="00894A39">
        <w:t>, which seems an implausibly large change. Alternatively, suppose beta is allowed to increase by the maximum increase in the summary of CEG’s (2016, Table 14) analysis of beta increases, then</w:t>
      </w:r>
      <m:oMath>
        <m:r>
          <m:rPr>
            <m:sty m:val="p"/>
          </m:rPr>
          <w:rPr>
            <w:rFonts w:ascii="Cambria Math" w:hAnsi="Cambria Math"/>
          </w:rPr>
          <m:t xml:space="preserve"> </m:t>
        </m:r>
        <m:r>
          <w:rPr>
            <w:rFonts w:ascii="Cambria Math" w:hAnsi="Cambria Math"/>
          </w:rPr>
          <m:t xml:space="preserve"> ∆B=.17</m:t>
        </m:r>
      </m:oMath>
      <w:r w:rsidRPr="00894A39">
        <w:t xml:space="preserve">. The required change in the MRP is then 1.26%... This change in MRP is greater than the largest change for the Australian MRP listed in ATCO final gas decision, June 2015, Table2, page 32, which is </w:t>
      </w:r>
      <m:oMath>
        <m:r>
          <w:rPr>
            <w:rFonts w:ascii="Cambria Math" w:hAnsi="Cambria Math"/>
          </w:rPr>
          <m:t>∆MRP=1.1</m:t>
        </m:r>
      </m:oMath>
      <w:r w:rsidRPr="00894A39">
        <w:t>. It is not clear to us that either beta or the MRP have changed, but even if we allow for the maximum claimed for such changes the return on equity goes down.</w:t>
      </w:r>
    </w:p>
    <w:p w:rsidR="00894A39" w:rsidRDefault="00894A39" w:rsidP="00894A39">
      <w:r>
        <w:t>Frontier submitted the following new material to argue that the return on equity has remained relatively stable:</w:t>
      </w:r>
      <w:r w:rsidRPr="007C70BB">
        <w:rPr>
          <w:rStyle w:val="FootnoteReference"/>
        </w:rPr>
        <w:footnoteReference w:id="519"/>
      </w:r>
    </w:p>
    <w:p w:rsidR="00894A39" w:rsidRPr="00894A39" w:rsidRDefault="00894A39" w:rsidP="008556CC">
      <w:pPr>
        <w:pStyle w:val="AERbulletlistfirststyle"/>
      </w:pPr>
      <w:r>
        <w:t xml:space="preserve">a 2015 </w:t>
      </w:r>
      <w:r w:rsidRPr="00894A39">
        <w:t>paper by Duarte and Rosa</w:t>
      </w:r>
      <w:r w:rsidRPr="00894A39">
        <w:rPr>
          <w:rStyle w:val="FootnoteReference"/>
        </w:rPr>
        <w:footnoteReference w:id="520"/>
      </w:r>
      <w:r w:rsidRPr="00894A39">
        <w:t xml:space="preserve"> </w:t>
      </w:r>
    </w:p>
    <w:p w:rsidR="00894A39" w:rsidRPr="00894A39" w:rsidRDefault="00894A39" w:rsidP="008556CC">
      <w:pPr>
        <w:pStyle w:val="AERbulletlistfirststyle"/>
      </w:pPr>
      <w:r>
        <w:t>a</w:t>
      </w:r>
      <w:r w:rsidRPr="00894A39">
        <w:t xml:space="preserve"> 2014 paper by Strunk</w:t>
      </w:r>
      <w:r w:rsidRPr="00894A39">
        <w:rPr>
          <w:rStyle w:val="FootnoteReference"/>
        </w:rPr>
        <w:footnoteReference w:id="521"/>
      </w:r>
      <w:r w:rsidRPr="00894A39">
        <w:t xml:space="preserve"> </w:t>
      </w:r>
    </w:p>
    <w:p w:rsidR="00894A39" w:rsidRPr="00894A39" w:rsidRDefault="00894A39" w:rsidP="008556CC">
      <w:pPr>
        <w:pStyle w:val="AERbulletlistfirststyle"/>
      </w:pPr>
      <w:r>
        <w:t>Federal Energy Regulatory Commission (FERC) decisions for New England and New York</w:t>
      </w:r>
    </w:p>
    <w:p w:rsidR="00894A39" w:rsidRPr="00894A39" w:rsidRDefault="00894A39" w:rsidP="008556CC">
      <w:r>
        <w:t xml:space="preserve">We </w:t>
      </w:r>
      <w:r w:rsidRPr="00894A39">
        <w:t xml:space="preserve">do not consider that the new material provides satisfactory evidence of a stable return on equity, particularly in the Australian context, for the following reasons: </w:t>
      </w:r>
    </w:p>
    <w:p w:rsidR="00894A39" w:rsidRPr="00894A39" w:rsidRDefault="00894A39" w:rsidP="008556CC">
      <w:pPr>
        <w:pStyle w:val="AERbulletlistfirststyle"/>
      </w:pPr>
      <w:r>
        <w:t>The</w:t>
      </w:r>
      <w:r w:rsidRPr="00894A39">
        <w:t xml:space="preserve"> Duarte and Rosa paper uses US data and it is not clear that the Australian market would follow a similar experience. </w:t>
      </w:r>
      <w:r w:rsidR="008556CC">
        <w:t>Partington &amp; Satchell</w:t>
      </w:r>
      <w:r w:rsidRPr="00894A39">
        <w:t xml:space="preserve"> also advised that 'overseas regulators decisions are not likely to be convincing unless one can show great similarities in the economies considered'.</w:t>
      </w:r>
      <w:r w:rsidRPr="00894A39">
        <w:rPr>
          <w:rStyle w:val="FootnoteReference"/>
        </w:rPr>
        <w:footnoteReference w:id="522"/>
      </w:r>
      <w:r w:rsidRPr="00894A39">
        <w:t xml:space="preserve"> Further, the paper seems to focus on a forward looking one-year market risk premium whereas we estimate a forward looking ten-year market risk premium.</w:t>
      </w:r>
    </w:p>
    <w:p w:rsidR="00894A39" w:rsidRPr="00894A39" w:rsidRDefault="00894A39" w:rsidP="008556CC">
      <w:pPr>
        <w:pStyle w:val="AERbulletlistfirststyle"/>
      </w:pPr>
      <w:r>
        <w:t xml:space="preserve">The 2014 Strunk paper references </w:t>
      </w:r>
      <w:r w:rsidRPr="00894A39">
        <w:t>decisions by US-based regulators to support its conclusion. We know that certain US regulators</w:t>
      </w:r>
      <w:r w:rsidRPr="00894A39">
        <w:rPr>
          <w:rStyle w:val="FootnoteReference"/>
        </w:rPr>
        <w:footnoteReference w:id="523"/>
      </w:r>
      <w:r w:rsidRPr="00894A39">
        <w:t xml:space="preserve"> appear to use a dividend growth model to set the required return on equity. Service providers rely on dividend growth estimates in their proposals to argue a stable return on the market and an offsetting market risk premium. Therefore it is not surprising that the market risk premium display an inverse relationship to the risk free rate. We assessed the dividend growth model in detail in section </w:t>
      </w:r>
      <w:r w:rsidRPr="00894A39">
        <w:fldChar w:fldCharType="begin"/>
      </w:r>
      <w:r w:rsidRPr="00894A39">
        <w:instrText xml:space="preserve"> REF _Ref449007421 \r \h </w:instrText>
      </w:r>
      <w:r w:rsidRPr="00894A39">
        <w:fldChar w:fldCharType="separate"/>
      </w:r>
      <w:r w:rsidR="006B4A74">
        <w:t>B.4</w:t>
      </w:r>
      <w:r w:rsidRPr="00894A39">
        <w:fldChar w:fldCharType="end"/>
      </w:r>
      <w:r w:rsidRPr="00894A39">
        <w:t xml:space="preserve"> and consider that there are a range of limitations with the dividend growth model which makes its results unreliable and unsuitable for directly estimating the market risk premium. We still believe it is useful for indicating, directionally, where the market risk premium should lie in relation to the historical excess returns as indicated in the Guideline.</w:t>
      </w:r>
      <w:r w:rsidRPr="00894A39">
        <w:rPr>
          <w:rStyle w:val="FootnoteReference"/>
        </w:rPr>
        <w:footnoteReference w:id="524"/>
      </w:r>
      <w:r w:rsidRPr="00894A39">
        <w:t xml:space="preserve"> We do not consider that any new material has been submitted to us that address the limitations of dividend growth models or cause us to depart from our use of dividend growth models.</w:t>
      </w:r>
    </w:p>
    <w:p w:rsidR="00894A39" w:rsidRDefault="00894A39" w:rsidP="00894A39">
      <w:pPr>
        <w:pStyle w:val="AERbulletlistfirststyle"/>
      </w:pPr>
      <w:r>
        <w:t>In recent papers FERC uses a dividend growth model to set the required return on equity when presented with such a model by service providers.</w:t>
      </w:r>
      <w:r>
        <w:rPr>
          <w:rStyle w:val="FootnoteReference"/>
        </w:rPr>
        <w:footnoteReference w:id="525"/>
      </w:r>
      <w:r>
        <w:t xml:space="preserve"> Our assessment of the dividend growth model shows a range of issues which means it is used to indicate</w:t>
      </w:r>
      <w:r w:rsidRPr="00BB055B">
        <w:t xml:space="preserve">, directionally, where the </w:t>
      </w:r>
      <w:r>
        <w:t>market risk premium should lie in relation to the h</w:t>
      </w:r>
      <w:r w:rsidRPr="00BB055B">
        <w:t xml:space="preserve">istorical </w:t>
      </w:r>
      <w:r>
        <w:t xml:space="preserve">excess </w:t>
      </w:r>
      <w:r w:rsidRPr="00BB055B">
        <w:t>returns</w:t>
      </w:r>
      <w:r>
        <w:t>. The FERC did not make conclusive statement on its approach for the required return on equity and its concern seems to be in using solely historic excess returns with a simple CAPM.</w:t>
      </w:r>
      <w:r w:rsidRPr="000E1B58">
        <w:rPr>
          <w:rStyle w:val="FootnoteReference"/>
        </w:rPr>
        <w:t xml:space="preserve"> </w:t>
      </w:r>
      <w:r>
        <w:rPr>
          <w:rStyle w:val="FootnoteReference"/>
        </w:rPr>
        <w:footnoteReference w:id="526"/>
      </w:r>
      <w:r>
        <w:t>However, we use information from a range of relevant material, including forward looking material, to determine the forward looking return on equity and ten-year market risk premium.</w:t>
      </w:r>
    </w:p>
    <w:p w:rsidR="005E6E22" w:rsidRPr="005E6E22" w:rsidRDefault="005E6E22" w:rsidP="005E6E22">
      <w:pPr>
        <w:pStyle w:val="AERbulletlistfirststyle"/>
      </w:pPr>
      <w:r w:rsidRPr="005E6E22">
        <w:t>Partington and Satchell has advised that for the return on equity to remain stable requires implausibly large changes in the market risk premium and the return on market.</w:t>
      </w:r>
      <w:r w:rsidRPr="005E6E22">
        <w:rPr>
          <w:rStyle w:val="FootnoteReference"/>
        </w:rPr>
        <w:footnoteReference w:id="527"/>
      </w:r>
      <w:r w:rsidRPr="005E6E22">
        <w:t xml:space="preserve"> </w:t>
      </w:r>
    </w:p>
    <w:p w:rsidR="006A3314" w:rsidRPr="0087746B" w:rsidRDefault="003E6694" w:rsidP="006A3314">
      <w:r>
        <w:t>Some s</w:t>
      </w:r>
      <w:r w:rsidR="006A3314" w:rsidRPr="0087746B">
        <w:t xml:space="preserve">ervice providers </w:t>
      </w:r>
      <w:r>
        <w:t>have</w:t>
      </w:r>
      <w:r w:rsidR="006A3314" w:rsidRPr="0087746B">
        <w:t xml:space="preserve"> submit</w:t>
      </w:r>
      <w:r>
        <w:t>ted</w:t>
      </w:r>
      <w:r w:rsidR="006A3314" w:rsidRPr="0087746B">
        <w:t xml:space="preserve"> that our estimate of the return on equity is too low as a result of our application of the Sharpe-Lintner CAPM moving in 'lock step' with the</w:t>
      </w:r>
      <w:r w:rsidR="006A3314">
        <w:t xml:space="preserve"> falling</w:t>
      </w:r>
      <w:r w:rsidR="006A3314" w:rsidRPr="0087746B">
        <w:t xml:space="preserve"> risk free rate, based on the following material: </w:t>
      </w:r>
    </w:p>
    <w:p w:rsidR="006A3314" w:rsidRPr="0087746B" w:rsidRDefault="006A3314" w:rsidP="006A3314">
      <w:pPr>
        <w:pStyle w:val="AERbulletlistfirststyle"/>
      </w:pPr>
      <w:r w:rsidRPr="0087746B">
        <w:t>Dividend growth model estimates</w:t>
      </w:r>
    </w:p>
    <w:p w:rsidR="006A3314" w:rsidRPr="0087746B" w:rsidRDefault="006A3314" w:rsidP="006A3314">
      <w:pPr>
        <w:pStyle w:val="AERbulletlistfirststyle"/>
      </w:pPr>
      <w:r w:rsidRPr="0087746B">
        <w:t>Wright approach</w:t>
      </w:r>
    </w:p>
    <w:p w:rsidR="006A3314" w:rsidRPr="0087746B" w:rsidRDefault="006A3314" w:rsidP="006A3314">
      <w:pPr>
        <w:pStyle w:val="AERbulletlistfirststyle"/>
      </w:pPr>
      <w:r w:rsidRPr="0087746B">
        <w:t>Hurdle rates</w:t>
      </w:r>
    </w:p>
    <w:p w:rsidR="006A3314" w:rsidRPr="0087746B" w:rsidRDefault="006A3314" w:rsidP="006A3314">
      <w:pPr>
        <w:pStyle w:val="AERbulletlistfirststyle"/>
      </w:pPr>
      <w:r w:rsidRPr="0087746B">
        <w:t>Price-to-earnings ratios (PE ratios)</w:t>
      </w:r>
    </w:p>
    <w:p w:rsidR="006A3314" w:rsidRPr="0087746B" w:rsidRDefault="006A3314" w:rsidP="006A3314">
      <w:pPr>
        <w:pStyle w:val="AERbulletlistfirststyle"/>
      </w:pPr>
      <w:r w:rsidRPr="0087746B">
        <w:t>Independent valuation report</w:t>
      </w:r>
      <w:r w:rsidR="00607138">
        <w:t>.</w:t>
      </w:r>
    </w:p>
    <w:p w:rsidR="006A3314" w:rsidRPr="0087746B" w:rsidRDefault="006A3314" w:rsidP="006A3314">
      <w:r w:rsidRPr="0087746B">
        <w:t xml:space="preserve">We respond to these materials in the sections below. We note that we have considered much of this material in our </w:t>
      </w:r>
      <w:r>
        <w:t>October 2015</w:t>
      </w:r>
      <w:r w:rsidRPr="0087746B">
        <w:t xml:space="preserve"> and </w:t>
      </w:r>
      <w:r>
        <w:t>May</w:t>
      </w:r>
      <w:r w:rsidRPr="0087746B">
        <w:t xml:space="preserve"> 201</w:t>
      </w:r>
      <w:r>
        <w:t>6</w:t>
      </w:r>
      <w:r w:rsidRPr="0087746B">
        <w:t xml:space="preserve"> decisions</w:t>
      </w:r>
      <w:r>
        <w:t>.</w:t>
      </w:r>
      <w:r w:rsidRPr="0087746B">
        <w:rPr>
          <w:rStyle w:val="FootnoteReference"/>
        </w:rPr>
        <w:footnoteReference w:id="528"/>
      </w:r>
      <w:r w:rsidRPr="0087746B">
        <w:t xml:space="preserve"> </w:t>
      </w:r>
      <w:r w:rsidR="00FB3200">
        <w:t>A</w:t>
      </w:r>
      <w:r w:rsidRPr="0087746B">
        <w:t>fter reviewing the new materials</w:t>
      </w:r>
      <w:r>
        <w:t xml:space="preserve"> which are substantively similar to previous submissions</w:t>
      </w:r>
      <w:r w:rsidRPr="0087746B">
        <w:t xml:space="preserve">, our previous considerations remain valid for this decision. </w:t>
      </w:r>
    </w:p>
    <w:p w:rsidR="006A3314" w:rsidRPr="0087746B" w:rsidRDefault="006A3314" w:rsidP="006A3314">
      <w:r w:rsidRPr="0087746B">
        <w:t xml:space="preserve">For the reasons outlined, we consider that the foundation model estimate of the return on equity is consistent with the prevailing market conditions in the market for equity funds and the required return on equity for a firm facing similar risks as AusNet Services. </w:t>
      </w:r>
    </w:p>
    <w:p w:rsidR="006A3314" w:rsidRPr="0087746B" w:rsidRDefault="006A3314" w:rsidP="006A3314">
      <w:r w:rsidRPr="0087746B">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t>
      </w:r>
    </w:p>
    <w:p w:rsidR="006A3314" w:rsidRPr="0087746B" w:rsidRDefault="006A3314" w:rsidP="006A3314">
      <w:pPr>
        <w:pStyle w:val="HeadingOrange"/>
      </w:pPr>
      <w:bookmarkStart w:id="108" w:name="_Toc480460510"/>
      <w:bookmarkStart w:id="109" w:name="_Toc480460800"/>
      <w:r w:rsidRPr="0087746B">
        <w:t>Dividend growth model estimates</w:t>
      </w:r>
      <w:bookmarkEnd w:id="108"/>
      <w:bookmarkEnd w:id="109"/>
    </w:p>
    <w:p w:rsidR="00894A39" w:rsidRDefault="00894A39" w:rsidP="00894A39">
      <w:r w:rsidRPr="0087746B" w:rsidDel="00BB055B">
        <w:t>S</w:t>
      </w:r>
      <w:r w:rsidR="00813238">
        <w:t>ome s</w:t>
      </w:r>
      <w:r w:rsidRPr="0087746B" w:rsidDel="00BB055B">
        <w:t>ervice providers</w:t>
      </w:r>
      <w:r>
        <w:t xml:space="preserve"> continue to</w:t>
      </w:r>
      <w:r w:rsidRPr="0087746B" w:rsidDel="00BB055B">
        <w:t xml:space="preserve"> submit that our estimate of the return on equity is below dividend growth model-based estimates.</w:t>
      </w:r>
      <w:r w:rsidRPr="0087746B" w:rsidDel="00BB055B">
        <w:rPr>
          <w:rStyle w:val="FootnoteReference"/>
        </w:rPr>
        <w:footnoteReference w:id="529"/>
      </w:r>
      <w:r w:rsidRPr="0087746B" w:rsidDel="00BB055B">
        <w:t xml:space="preserve"> Frontier </w:t>
      </w:r>
      <w:r>
        <w:t>re</w:t>
      </w:r>
      <w:r w:rsidRPr="0087746B" w:rsidDel="00BB055B">
        <w:t xml:space="preserve">submitted </w:t>
      </w:r>
      <w:r>
        <w:t xml:space="preserve">material from previous reports to argue </w:t>
      </w:r>
      <w:r w:rsidRPr="0087746B" w:rsidDel="00BB055B">
        <w:t>that dividend growth model-based estimates support</w:t>
      </w:r>
      <w:r>
        <w:t>ed</w:t>
      </w:r>
      <w:r w:rsidRPr="0087746B" w:rsidDel="00BB055B">
        <w:t xml:space="preserve"> </w:t>
      </w:r>
      <w:r>
        <w:t>a stable return on equity and the resulting</w:t>
      </w:r>
      <w:r w:rsidRPr="0087746B" w:rsidDel="00BB055B">
        <w:t xml:space="preserve"> inverse relationship between the risk free rate and the market risk premium</w:t>
      </w:r>
      <w:r>
        <w:t>:</w:t>
      </w:r>
      <w:r w:rsidRPr="0087746B" w:rsidDel="00BB055B">
        <w:rPr>
          <w:rStyle w:val="FootnoteReference"/>
        </w:rPr>
        <w:footnoteReference w:id="530"/>
      </w:r>
    </w:p>
    <w:p w:rsidR="00894A39" w:rsidRPr="00894A39" w:rsidRDefault="00894A39" w:rsidP="008556CC">
      <w:pPr>
        <w:pStyle w:val="AERbulletlistfirststyle"/>
      </w:pPr>
      <w:r>
        <w:t xml:space="preserve">Reports from </w:t>
      </w:r>
      <w:r w:rsidRPr="00894A39" w:rsidDel="00BB055B">
        <w:t>market practitioners</w:t>
      </w:r>
      <w:r w:rsidRPr="00894A39" w:rsidDel="00BB055B">
        <w:rPr>
          <w:rStyle w:val="FootnoteReference"/>
        </w:rPr>
        <w:footnoteReference w:id="531"/>
      </w:r>
      <w:r w:rsidRPr="00894A39" w:rsidDel="00BB055B">
        <w:t xml:space="preserve"> </w:t>
      </w:r>
    </w:p>
    <w:p w:rsidR="00894A39" w:rsidRPr="00894A39" w:rsidDel="00BB055B" w:rsidRDefault="00894A39" w:rsidP="008556CC">
      <w:pPr>
        <w:pStyle w:val="AERbulletlistfirststyle"/>
      </w:pPr>
      <w:r>
        <w:t>O</w:t>
      </w:r>
      <w:r w:rsidRPr="00894A39" w:rsidDel="00BB055B">
        <w:t>ther regulators</w:t>
      </w:r>
      <w:r w:rsidRPr="00894A39">
        <w:t>' decisions</w:t>
      </w:r>
      <w:r w:rsidR="00607138">
        <w:t>.</w:t>
      </w:r>
      <w:r w:rsidRPr="00894A39" w:rsidDel="00BB055B">
        <w:rPr>
          <w:rStyle w:val="FootnoteReference"/>
        </w:rPr>
        <w:footnoteReference w:id="532"/>
      </w:r>
    </w:p>
    <w:p w:rsidR="00894A39" w:rsidRPr="0087746B" w:rsidDel="00BB055B" w:rsidRDefault="00894A39" w:rsidP="00894A39">
      <w:r w:rsidDel="00BB055B">
        <w:t xml:space="preserve">Frontier </w:t>
      </w:r>
      <w:r>
        <w:t>also repeated</w:t>
      </w:r>
      <w:r w:rsidDel="00BB055B">
        <w:t xml:space="preserve"> that we </w:t>
      </w:r>
      <w:r>
        <w:t>c</w:t>
      </w:r>
      <w:r w:rsidDel="00BB055B">
        <w:t xml:space="preserve">ontinue to place less weight on the </w:t>
      </w:r>
      <w:r>
        <w:t>dividend growth model when considering</w:t>
      </w:r>
      <w:r w:rsidDel="00BB055B">
        <w:t xml:space="preserve"> the </w:t>
      </w:r>
      <w:r>
        <w:t>market risk premium.</w:t>
      </w:r>
      <w:r w:rsidDel="00BB055B">
        <w:rPr>
          <w:rStyle w:val="FootnoteReference"/>
        </w:rPr>
        <w:footnoteReference w:id="533"/>
      </w:r>
      <w:r w:rsidDel="00BB055B">
        <w:t xml:space="preserve"> </w:t>
      </w:r>
      <w:r w:rsidR="00FB3200">
        <w:t xml:space="preserve">Frontier noted that </w:t>
      </w:r>
      <w:r>
        <w:t>evidence (from the dividend growth model</w:t>
      </w:r>
      <w:r w:rsidDel="00BB055B">
        <w:t xml:space="preserve">) </w:t>
      </w:r>
      <w:r>
        <w:t>show th</w:t>
      </w:r>
      <w:r w:rsidDel="00BB055B">
        <w:t>at returns on equity have remained steady despite the fall in</w:t>
      </w:r>
      <w:r>
        <w:t xml:space="preserve"> the</w:t>
      </w:r>
      <w:r w:rsidDel="00BB055B">
        <w:t xml:space="preserve"> risk free rate.</w:t>
      </w:r>
      <w:r w:rsidDel="00BB055B">
        <w:rPr>
          <w:rStyle w:val="FootnoteReference"/>
        </w:rPr>
        <w:footnoteReference w:id="534"/>
      </w:r>
      <w:r w:rsidDel="00BB055B">
        <w:t xml:space="preserve"> </w:t>
      </w:r>
    </w:p>
    <w:p w:rsidR="00894A39" w:rsidRDefault="00894A39" w:rsidP="00894A39">
      <w:r w:rsidRPr="0087746B" w:rsidDel="00BB055B">
        <w:t xml:space="preserve">We assess the dividend growth model in detail in section </w:t>
      </w:r>
      <w:r w:rsidRPr="0087746B" w:rsidDel="00BB055B">
        <w:fldChar w:fldCharType="begin"/>
      </w:r>
      <w:r w:rsidRPr="0087746B" w:rsidDel="00BB055B">
        <w:instrText xml:space="preserve"> REF _Ref449007421 \r \h </w:instrText>
      </w:r>
      <w:r w:rsidRPr="0087746B" w:rsidDel="00BB055B">
        <w:fldChar w:fldCharType="separate"/>
      </w:r>
      <w:r w:rsidR="006B4A74">
        <w:t>B.4</w:t>
      </w:r>
      <w:r w:rsidRPr="0087746B" w:rsidDel="00BB055B">
        <w:fldChar w:fldCharType="end"/>
      </w:r>
      <w:r w:rsidRPr="0087746B" w:rsidDel="00BB055B">
        <w:t xml:space="preserve"> and consider that there are a range of limitations with the dividend growth model which makes its results unreliable and unsuitable </w:t>
      </w:r>
      <w:r w:rsidDel="00BB055B">
        <w:t xml:space="preserve">when arriving at an estimation of the </w:t>
      </w:r>
      <w:r>
        <w:t>market risk premium</w:t>
      </w:r>
      <w:r w:rsidDel="00BB055B">
        <w:t xml:space="preserve">. We still believe it is useful for indicating, directionally, where the </w:t>
      </w:r>
      <w:r>
        <w:t>market risk premium</w:t>
      </w:r>
      <w:r w:rsidDel="00BB055B">
        <w:t xml:space="preserve"> should lie in relation to the Historical returns as indicated in the Guideline</w:t>
      </w:r>
      <w:r w:rsidDel="00BB055B">
        <w:rPr>
          <w:rStyle w:val="FootnoteReference"/>
        </w:rPr>
        <w:footnoteReference w:id="535"/>
      </w:r>
      <w:r w:rsidRPr="0087746B" w:rsidDel="00BB055B">
        <w:t>.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894A39" w:rsidRPr="008556CC" w:rsidRDefault="00894A39" w:rsidP="00894A39">
      <w:pPr>
        <w:rPr>
          <w:rStyle w:val="AERbody"/>
        </w:rPr>
      </w:pPr>
      <w:r w:rsidRPr="008556CC">
        <w:rPr>
          <w:rStyle w:val="AERbody"/>
        </w:rPr>
        <w:t>Frontier responded to our concerns</w:t>
      </w:r>
      <w:r>
        <w:rPr>
          <w:rStyle w:val="AERbody"/>
        </w:rPr>
        <w:t xml:space="preserve"> about the dividend growth model's use in estimating the market risk premium</w:t>
      </w:r>
      <w:r w:rsidRPr="008556CC">
        <w:rPr>
          <w:rStyle w:val="AERbody"/>
        </w:rPr>
        <w:t xml:space="preserve"> by noting that it is 'highly unlikely for analysts to forecast dividend growth based on strong earnings over the short term if they considered those dividends to be unsustainable in the longer term'.</w:t>
      </w:r>
      <w:r>
        <w:rPr>
          <w:rStyle w:val="FootnoteReference"/>
        </w:rPr>
        <w:footnoteReference w:id="536"/>
      </w:r>
    </w:p>
    <w:p w:rsidR="00894A39" w:rsidRPr="00965F4A" w:rsidRDefault="00894A39" w:rsidP="00894A39">
      <w:pPr>
        <w:rPr>
          <w:rStyle w:val="AERbody"/>
        </w:rPr>
      </w:pPr>
      <w:r w:rsidRPr="00A164C0">
        <w:rPr>
          <w:rStyle w:val="AERbody"/>
        </w:rPr>
        <w:t xml:space="preserve">We note that dividends may be forecasted to increase for a number of reasons, including absence of satisfactory projects for reinvestment of earnings, and not necessarily related to strong earnings. </w:t>
      </w:r>
      <w:r w:rsidR="00FB3200">
        <w:rPr>
          <w:rStyle w:val="AERbody"/>
        </w:rPr>
        <w:t>I</w:t>
      </w:r>
      <w:r w:rsidRPr="00A164C0">
        <w:rPr>
          <w:rStyle w:val="AERbody"/>
        </w:rPr>
        <w:t>t is not apparent that there is or will be strong earnings growth. In the RBA chart, while forecast earnings per share in 2016–17 is above that of 2015</w:t>
      </w:r>
      <w:r w:rsidRPr="008556CC">
        <w:rPr>
          <w:rStyle w:val="AERbody"/>
        </w:rPr>
        <w:t>–16</w:t>
      </w:r>
      <w:r>
        <w:rPr>
          <w:rStyle w:val="AERbody"/>
        </w:rPr>
        <w:t xml:space="preserve"> as Frontier points out</w:t>
      </w:r>
      <w:r w:rsidRPr="008556CC">
        <w:rPr>
          <w:rStyle w:val="AERbody"/>
        </w:rPr>
        <w:t xml:space="preserve">, both slow over time which has been </w:t>
      </w:r>
      <w:r w:rsidRPr="00965F4A">
        <w:rPr>
          <w:rStyle w:val="AERbody"/>
        </w:rPr>
        <w:t>the pattern since 2011–12.</w:t>
      </w:r>
      <w:r>
        <w:rPr>
          <w:rStyle w:val="FootnoteReference"/>
        </w:rPr>
        <w:footnoteReference w:id="537"/>
      </w:r>
      <w:r w:rsidRPr="00965F4A">
        <w:rPr>
          <w:rStyle w:val="AERbody"/>
        </w:rPr>
        <w:t xml:space="preserve"> We do not consider that this is indicative or supportive of strong earnings growth. </w:t>
      </w:r>
    </w:p>
    <w:p w:rsidR="00894A39" w:rsidRDefault="00894A39" w:rsidP="00894A39">
      <w:pPr>
        <w:rPr>
          <w:rStyle w:val="AERbody"/>
        </w:rPr>
      </w:pPr>
      <w:r w:rsidRPr="00965F4A">
        <w:rPr>
          <w:rStyle w:val="AERbody"/>
        </w:rPr>
        <w:t xml:space="preserve">Frontier </w:t>
      </w:r>
      <w:r>
        <w:rPr>
          <w:rStyle w:val="AERbody"/>
        </w:rPr>
        <w:t>added</w:t>
      </w:r>
      <w:r w:rsidRPr="00965F4A">
        <w:rPr>
          <w:rStyle w:val="AERbody"/>
        </w:rPr>
        <w:t xml:space="preserve"> that there is no evidence to indicate 'future dividends were likely to fall so materially as to make the current dividend unsustainable'.</w:t>
      </w:r>
      <w:r>
        <w:rPr>
          <w:rStyle w:val="FootnoteReference"/>
        </w:rPr>
        <w:footnoteReference w:id="538"/>
      </w:r>
      <w:r w:rsidRPr="00965F4A">
        <w:rPr>
          <w:rStyle w:val="AERbody"/>
        </w:rPr>
        <w:t xml:space="preserve"> </w:t>
      </w:r>
      <w:r w:rsidRPr="00DD6215">
        <w:t xml:space="preserve"> </w:t>
      </w:r>
      <w:r>
        <w:t xml:space="preserve">We note that the </w:t>
      </w:r>
      <w:r w:rsidRPr="00691150">
        <w:t xml:space="preserve">chartpack relates to one-year forecasts </w:t>
      </w:r>
      <w:r>
        <w:t>which would not provide conclusive evidence consistent with our 10-year time frame</w:t>
      </w:r>
      <w:r w:rsidRPr="00691150">
        <w:t>.</w:t>
      </w:r>
    </w:p>
    <w:p w:rsidR="006A3314" w:rsidDel="00BB055B" w:rsidRDefault="00894A39" w:rsidP="006A3314">
      <w:r>
        <w:t xml:space="preserve">We are also </w:t>
      </w:r>
      <w:r w:rsidRPr="00AF101C">
        <w:t>not persuaded by Frontier's observation that ASX-20 firms have on average experienced actual earnings slightly above analyst forecast as evidence against analyst bias. This appears to be based solely on the 2016–17 financial year and does not appear indicative of a long term or sustained occurrence. Financial literature and our consultants have consistently observed and concluded that analysts over-forecast dividends.</w:t>
      </w:r>
      <w:r w:rsidRPr="00AF101C">
        <w:rPr>
          <w:rStyle w:val="FootnoteReference"/>
        </w:rPr>
        <w:footnoteReference w:id="539"/>
      </w:r>
      <w:r w:rsidRPr="00AF101C">
        <w:t xml:space="preserve"> </w:t>
      </w:r>
      <w:r>
        <w:t>Partington and Satchell has also advised that '</w:t>
      </w:r>
      <w:r w:rsidRPr="00DD6215">
        <w:t>little weight</w:t>
      </w:r>
      <w:r>
        <w:t xml:space="preserve">' should be placed </w:t>
      </w:r>
      <w:r w:rsidRPr="00DD6215">
        <w:t>on a no</w:t>
      </w:r>
      <w:r>
        <w:t xml:space="preserve">n-random sample of twenty firms, </w:t>
      </w:r>
      <w:r w:rsidRPr="00DD6215">
        <w:t>one year’s observations</w:t>
      </w:r>
      <w:r>
        <w:t xml:space="preserve"> and date of analyst forecasts</w:t>
      </w:r>
      <w:r w:rsidRPr="00DD6215">
        <w:t>.</w:t>
      </w:r>
      <w:r>
        <w:rPr>
          <w:rStyle w:val="FootnoteReference"/>
        </w:rPr>
        <w:footnoteReference w:id="540"/>
      </w:r>
      <w:r w:rsidRPr="00DD6215">
        <w:t xml:space="preserve"> </w:t>
      </w:r>
    </w:p>
    <w:p w:rsidR="006A3314" w:rsidRPr="00B0543D" w:rsidRDefault="006A3314" w:rsidP="006A3314">
      <w:pPr>
        <w:pStyle w:val="HeadingOrange"/>
      </w:pPr>
      <w:bookmarkStart w:id="110" w:name="_Toc480460511"/>
      <w:bookmarkStart w:id="111" w:name="_Toc480460801"/>
      <w:r w:rsidRPr="00B0543D">
        <w:t>Wright approach</w:t>
      </w:r>
      <w:r>
        <w:t xml:space="preserve"> and historical CAPM</w:t>
      </w:r>
      <w:bookmarkEnd w:id="110"/>
      <w:bookmarkEnd w:id="111"/>
    </w:p>
    <w:p w:rsidR="00894A39" w:rsidRDefault="003E6694" w:rsidP="00894A39">
      <w:r>
        <w:t>AusNet Services</w:t>
      </w:r>
      <w:r w:rsidR="00894A39" w:rsidRPr="00B0543D">
        <w:t xml:space="preserve"> submitted </w:t>
      </w:r>
      <w:r>
        <w:t xml:space="preserve">(like some service providers have argued previously) </w:t>
      </w:r>
      <w:r w:rsidR="00894A39" w:rsidRPr="00B0543D">
        <w:t xml:space="preserve">that </w:t>
      </w:r>
      <w:r w:rsidR="00894A39">
        <w:t>we</w:t>
      </w:r>
      <w:r w:rsidR="00894A39" w:rsidRPr="00B0543D">
        <w:t xml:space="preserve"> place little weight on the Wright approach, specifically that the AER </w:t>
      </w:r>
      <w:r w:rsidR="00894A39">
        <w:t>should use it for informing</w:t>
      </w:r>
      <w:r w:rsidR="00894A39" w:rsidRPr="00B0543D">
        <w:t xml:space="preserve"> the </w:t>
      </w:r>
      <w:r w:rsidR="00894A39">
        <w:t>m</w:t>
      </w:r>
      <w:r w:rsidR="00894A39" w:rsidRPr="00B0543D">
        <w:t xml:space="preserve">arket </w:t>
      </w:r>
      <w:r w:rsidR="00894A39">
        <w:t>r</w:t>
      </w:r>
      <w:r w:rsidR="00894A39" w:rsidRPr="00B0543D">
        <w:t xml:space="preserve">isk </w:t>
      </w:r>
      <w:r w:rsidR="00894A39">
        <w:t>p</w:t>
      </w:r>
      <w:r w:rsidR="00894A39" w:rsidRPr="00B0543D">
        <w:t>remium.</w:t>
      </w:r>
      <w:r w:rsidR="00894A39" w:rsidRPr="00B0543D">
        <w:rPr>
          <w:rStyle w:val="FootnoteReference"/>
        </w:rPr>
        <w:footnoteReference w:id="541"/>
      </w:r>
      <w:r w:rsidR="00894A39" w:rsidRPr="00B0543D">
        <w:t xml:space="preserve"> </w:t>
      </w:r>
    </w:p>
    <w:p w:rsidR="00894A39" w:rsidRDefault="00894A39" w:rsidP="00894A39">
      <w:r w:rsidRPr="00B0543D">
        <w:t>Frontier</w:t>
      </w:r>
      <w:r>
        <w:t>, for AusNet Services,</w:t>
      </w:r>
      <w:r w:rsidRPr="00B0543D">
        <w:t xml:space="preserve"> continued to </w:t>
      </w:r>
      <w:r>
        <w:t xml:space="preserve">argue for an </w:t>
      </w:r>
      <w:r w:rsidRPr="00B0543D">
        <w:t xml:space="preserve">inverse relationship between the risk free rate and market premium </w:t>
      </w:r>
      <w:r>
        <w:t xml:space="preserve">based on </w:t>
      </w:r>
      <w:r w:rsidRPr="00B0543D">
        <w:t>the stability of the Wright</w:t>
      </w:r>
      <w:r>
        <w:t xml:space="preserve"> CAPM</w:t>
      </w:r>
      <w:r w:rsidRPr="00B0543D">
        <w:rPr>
          <w:rStyle w:val="FootnoteReference"/>
        </w:rPr>
        <w:footnoteReference w:id="542"/>
      </w:r>
      <w:r>
        <w:t xml:space="preserve"> estimates</w:t>
      </w:r>
      <w:r w:rsidRPr="00B0543D">
        <w:t>.</w:t>
      </w:r>
      <w:r w:rsidRPr="00B0543D">
        <w:rPr>
          <w:rStyle w:val="FootnoteReference"/>
        </w:rPr>
        <w:footnoteReference w:id="543"/>
      </w:r>
      <w:r w:rsidRPr="00B0543D">
        <w:t xml:space="preserve"> Frontier also </w:t>
      </w:r>
      <w:r>
        <w:t>referenced the model's usage by other regulators' for estimating the market risk premium</w:t>
      </w:r>
      <w:r w:rsidRPr="00B0543D">
        <w:t>.</w:t>
      </w:r>
      <w:r w:rsidRPr="00B0543D">
        <w:rPr>
          <w:rStyle w:val="FootnoteReference"/>
        </w:rPr>
        <w:footnoteReference w:id="544"/>
      </w:r>
      <w:r>
        <w:t xml:space="preserve"> </w:t>
      </w:r>
    </w:p>
    <w:p w:rsidR="00894A39" w:rsidRDefault="00894A39">
      <w:r w:rsidRPr="00B0543D">
        <w:t>We have reviewed again all material submitted on the Wright approach</w:t>
      </w:r>
      <w:r>
        <w:t>, historical</w:t>
      </w:r>
      <w:r w:rsidR="003E0046">
        <w:t>/alternative</w:t>
      </w:r>
      <w:r>
        <w:t xml:space="preserve"> CAPM</w:t>
      </w:r>
      <w:r w:rsidRPr="00B0543D">
        <w:t xml:space="preserve"> and</w:t>
      </w:r>
      <w:r>
        <w:t xml:space="preserve"> their</w:t>
      </w:r>
      <w:r w:rsidRPr="00B0543D">
        <w:t xml:space="preserve"> results</w:t>
      </w:r>
      <w:r>
        <w:t>.</w:t>
      </w:r>
      <w:r w:rsidRPr="00B0543D">
        <w:t xml:space="preserve"> </w:t>
      </w:r>
      <w:r w:rsidR="00FB3200">
        <w:t>W</w:t>
      </w:r>
      <w:r w:rsidRPr="00B0543D">
        <w:t xml:space="preserve">e consider that the new materials do not address the previous and on running concerns that we have detailed in decisions regarding the Wright approach </w:t>
      </w:r>
      <w:r>
        <w:t xml:space="preserve">and historical CAPM </w:t>
      </w:r>
      <w:r w:rsidRPr="00B0543D">
        <w:t>(see section</w:t>
      </w:r>
      <w:r w:rsidR="00607138">
        <w:t xml:space="preserve"> B.5).</w:t>
      </w:r>
      <w:r w:rsidRPr="00A164C0">
        <w:rPr>
          <w:rStyle w:val="AERbody"/>
        </w:rPr>
        <w:t xml:space="preserve"> </w:t>
      </w:r>
      <w:r>
        <w:t>For example, we note that both non-standard specifications of Sharpe-Lintner CAPM</w:t>
      </w:r>
      <w:r w:rsidRPr="00B0543D">
        <w:t xml:space="preserve"> </w:t>
      </w:r>
      <w:r>
        <w:t xml:space="preserve">do not take into account changing market conditions and assumes a perfectly offsetting relationship between the risk free rate and the market risk premium. </w:t>
      </w:r>
    </w:p>
    <w:p w:rsidR="006A3314" w:rsidRDefault="00894A39" w:rsidP="006A3314">
      <w:r>
        <w:t>Professor Martin</w:t>
      </w:r>
      <w:r w:rsidRPr="00B0543D">
        <w:t xml:space="preserve"> Lally f</w:t>
      </w:r>
      <w:r>
        <w:t>ound</w:t>
      </w:r>
      <w:r w:rsidRPr="00B0543D">
        <w:t xml:space="preserve"> that the estimated market risk premium series is more stable than the average real market return series when taking the Wright approach applied to Australian data</w:t>
      </w:r>
      <w:r>
        <w:t>.</w:t>
      </w:r>
      <w:r w:rsidR="006E7560">
        <w:rPr>
          <w:rStyle w:val="FootnoteReference"/>
        </w:rPr>
        <w:footnoteReference w:id="545"/>
      </w:r>
      <w:r>
        <w:t xml:space="preserve"> Partington and Satchell, in their most recent report also advised that the 'Wright approach has no support based on any clear evidence in the Australian context'.</w:t>
      </w:r>
      <w:r>
        <w:rPr>
          <w:rStyle w:val="FootnoteReference"/>
        </w:rPr>
        <w:footnoteReference w:id="546"/>
      </w:r>
    </w:p>
    <w:p w:rsidR="006A3314" w:rsidRPr="0087746B" w:rsidRDefault="006A3314" w:rsidP="006A3314">
      <w:pPr>
        <w:pStyle w:val="HeadingOrange"/>
      </w:pPr>
      <w:bookmarkStart w:id="112" w:name="_Toc480460512"/>
      <w:bookmarkStart w:id="113" w:name="_Toc480460802"/>
      <w:r w:rsidRPr="0087746B">
        <w:t>Hurdle rates</w:t>
      </w:r>
      <w:bookmarkEnd w:id="112"/>
      <w:bookmarkEnd w:id="113"/>
    </w:p>
    <w:p w:rsidR="00894A39" w:rsidRDefault="00894A39" w:rsidP="00894A39">
      <w:r w:rsidRPr="0087746B" w:rsidDel="001143FB">
        <w:t>A hurdle rate is a rate of return that firms and managers use when deciding whether or not to invest in capital projects.</w:t>
      </w:r>
      <w:r w:rsidRPr="000D2B7C" w:rsidDel="001143FB">
        <w:t xml:space="preserve"> </w:t>
      </w:r>
    </w:p>
    <w:p w:rsidR="00894A39" w:rsidRDefault="00894A39" w:rsidP="00894A39">
      <w:r>
        <w:t>Frontier argued that there has not been a reduction in the expected return on equity and resubmitted the following material:</w:t>
      </w:r>
    </w:p>
    <w:p w:rsidR="00894A39" w:rsidRPr="00894A39" w:rsidRDefault="00894A39" w:rsidP="00965F4A">
      <w:pPr>
        <w:pStyle w:val="AERbulletlistfirststyle"/>
      </w:pPr>
      <w:r w:rsidRPr="0087746B" w:rsidDel="001143FB">
        <w:t xml:space="preserve">McKinsey </w:t>
      </w:r>
      <w:r w:rsidR="00410AB6" w:rsidRPr="0087746B" w:rsidDel="001143FB">
        <w:t>Inc.</w:t>
      </w:r>
      <w:r w:rsidRPr="0087746B" w:rsidDel="001143FB">
        <w:t xml:space="preserve"> considered that the required return on equity appeared to be quite stable as government bond yields declined, based on observations of hurdle rates.</w:t>
      </w:r>
      <w:r w:rsidRPr="00894A39" w:rsidDel="001143FB">
        <w:rPr>
          <w:rStyle w:val="FootnoteReference"/>
        </w:rPr>
        <w:footnoteReference w:id="547"/>
      </w:r>
      <w:r w:rsidRPr="00894A39">
        <w:t xml:space="preserve"> </w:t>
      </w:r>
    </w:p>
    <w:p w:rsidR="00894A39" w:rsidRPr="00894A39" w:rsidDel="001143FB" w:rsidRDefault="00894A39" w:rsidP="00965F4A">
      <w:pPr>
        <w:pStyle w:val="AERbulletlistfirststyle"/>
      </w:pPr>
      <w:r>
        <w:t>T</w:t>
      </w:r>
      <w:r w:rsidRPr="00894A39">
        <w:t>he RBA's April 2015 speech which noted the return on equity has remained relatively stable with decreases in the risk free rate on the basis of 'sticky' hurdle rates and stable earnings.</w:t>
      </w:r>
      <w:r w:rsidRPr="00894A39">
        <w:rPr>
          <w:rStyle w:val="FootnoteReference"/>
        </w:rPr>
        <w:footnoteReference w:id="548"/>
      </w:r>
      <w:r w:rsidRPr="00894A39">
        <w:t xml:space="preserve"> </w:t>
      </w:r>
      <w:r>
        <w:t>Companies have not reduced their hurdle rates</w:t>
      </w:r>
      <w:r w:rsidRPr="00894A39">
        <w:rPr>
          <w:rStyle w:val="FootnoteReference"/>
        </w:rPr>
        <w:footnoteReference w:id="549"/>
      </w:r>
    </w:p>
    <w:p w:rsidR="00894A39" w:rsidRPr="00894A39" w:rsidRDefault="00894A39" w:rsidP="00965F4A">
      <w:r w:rsidRPr="00B34ECE">
        <w:t xml:space="preserve">We consider hurdle rates are unlikely to be commensurate with the efficient financing costs of the benchmark efficient entity or reflective of prevailing conditions in the market for equity funds. We are not satisfied this provides sufficient evidence of an inverse relationship between the 10 year forward looking risk free rate and market risk premium in the current market. </w:t>
      </w:r>
    </w:p>
    <w:p w:rsidR="00894A39" w:rsidRDefault="00894A39" w:rsidP="00894A39">
      <w:r w:rsidRPr="0087746B" w:rsidDel="000236CD">
        <w:t>The RBA and Deloitte have noted that Australian firms tend to have high 'hurdle rates' of return that are often well above the cost of capital and do not change very often.</w:t>
      </w:r>
      <w:r w:rsidRPr="0087746B" w:rsidDel="000236CD">
        <w:rPr>
          <w:rStyle w:val="FootnoteReference"/>
        </w:rPr>
        <w:footnoteReference w:id="550"/>
      </w:r>
      <w:r w:rsidRPr="0087746B" w:rsidDel="000236CD">
        <w:t xml:space="preserve"> </w:t>
      </w:r>
      <w:r>
        <w:t xml:space="preserve"> </w:t>
      </w:r>
      <w:r w:rsidRPr="00B34ECE">
        <w:t>Moreover, these statements by the RBA may not be applicable to the required rate of return in financial markets.</w:t>
      </w:r>
      <w:r>
        <w:t xml:space="preserve"> </w:t>
      </w:r>
      <w:r w:rsidRPr="0087746B" w:rsidDel="000236CD">
        <w:t>Further, JP Morgan appears to indicate that hurdle rates may not be responsive to changes in market conditions. This could be because firms use hurdle rates as a capital rationing device,</w:t>
      </w:r>
      <w:r w:rsidRPr="0087746B" w:rsidDel="000236CD">
        <w:rPr>
          <w:rStyle w:val="FootnoteReference"/>
        </w:rPr>
        <w:footnoteReference w:id="551"/>
      </w:r>
      <w:r w:rsidRPr="0087746B" w:rsidDel="000236CD">
        <w:t xml:space="preserve"> to reflect uncertainty in cash flow forecasts,</w:t>
      </w:r>
      <w:r w:rsidRPr="0087746B" w:rsidDel="000236CD">
        <w:rPr>
          <w:rStyle w:val="FootnoteReference"/>
        </w:rPr>
        <w:footnoteReference w:id="552"/>
      </w:r>
      <w:r w:rsidRPr="0087746B" w:rsidDel="000236CD">
        <w:t xml:space="preserve"> to reflect strategic incentives,</w:t>
      </w:r>
      <w:r w:rsidRPr="0087746B" w:rsidDel="000236CD">
        <w:rPr>
          <w:rStyle w:val="FootnoteReference"/>
        </w:rPr>
        <w:footnoteReference w:id="553"/>
      </w:r>
      <w:r w:rsidRPr="0087746B" w:rsidDel="000236CD">
        <w:t xml:space="preserve"> because of an absence of competitive market pressures,</w:t>
      </w:r>
      <w:r w:rsidRPr="0087746B" w:rsidDel="000236CD">
        <w:rPr>
          <w:rStyle w:val="FootnoteReference"/>
        </w:rPr>
        <w:footnoteReference w:id="554"/>
      </w:r>
      <w:r w:rsidRPr="0087746B" w:rsidDel="000236CD">
        <w:t xml:space="preserve"> or due to immateriality of incremental changes if the firm has a high cost of capital.</w:t>
      </w:r>
      <w:r w:rsidRPr="0087746B" w:rsidDel="000236CD">
        <w:rPr>
          <w:rStyle w:val="FootnoteReference"/>
        </w:rPr>
        <w:footnoteReference w:id="555"/>
      </w:r>
    </w:p>
    <w:p w:rsidR="00894A39" w:rsidRPr="00894A39" w:rsidRDefault="00894A39" w:rsidP="00965F4A">
      <w:pPr>
        <w:pStyle w:val="AERbulletlistfirststyle"/>
        <w:numPr>
          <w:ilvl w:val="0"/>
          <w:numId w:val="0"/>
        </w:numPr>
      </w:pPr>
      <w:r>
        <w:t xml:space="preserve">We have considered </w:t>
      </w:r>
      <w:r w:rsidRPr="00894A39">
        <w:t>companies use of hurdle rates before, and remain unpersuaded that hurdle rates provided by independent businesses provide reliable evidence of the expected cost of equity for reasons stated in previous decisions.</w:t>
      </w:r>
      <w:r w:rsidRPr="00894A39">
        <w:rPr>
          <w:rStyle w:val="FootnoteReference"/>
        </w:rPr>
        <w:footnoteReference w:id="556"/>
      </w:r>
    </w:p>
    <w:p w:rsidR="006A3314" w:rsidRDefault="00894A39" w:rsidP="006A3314">
      <w:r>
        <w:t xml:space="preserve">See </w:t>
      </w:r>
      <w:r w:rsidR="003E0046">
        <w:t xml:space="preserve">also </w:t>
      </w:r>
      <w:r>
        <w:t xml:space="preserve">Appendix </w:t>
      </w:r>
      <w:r w:rsidR="003E0046">
        <w:t>C</w:t>
      </w:r>
      <w:r>
        <w:t xml:space="preserve"> in Attachment 3 to the</w:t>
      </w:r>
      <w:r w:rsidRPr="000D2B7C">
        <w:t xml:space="preserve"> October 2015 final decision for SAPN's </w:t>
      </w:r>
      <w:r>
        <w:t>2015–20</w:t>
      </w:r>
      <w:r w:rsidRPr="000D2B7C">
        <w:t xml:space="preserve"> determination for more discussion.</w:t>
      </w:r>
    </w:p>
    <w:p w:rsidR="006A3314" w:rsidRPr="0087746B" w:rsidRDefault="006A3314" w:rsidP="006A3314">
      <w:pPr>
        <w:pStyle w:val="HeadingOrange"/>
      </w:pPr>
      <w:bookmarkStart w:id="114" w:name="_Toc480460513"/>
      <w:bookmarkStart w:id="115" w:name="_Toc480460803"/>
      <w:r w:rsidRPr="0087746B">
        <w:t>Price-to-earnings ratios</w:t>
      </w:r>
      <w:bookmarkEnd w:id="114"/>
      <w:bookmarkEnd w:id="115"/>
    </w:p>
    <w:p w:rsidR="00894A39" w:rsidRPr="0087746B" w:rsidDel="00A83FEA" w:rsidRDefault="00894A39" w:rsidP="00894A39">
      <w:r w:rsidRPr="0087746B" w:rsidDel="00A83FEA">
        <w:t xml:space="preserve">We are not satisfied that price-to-earnings ratios provide evidence of </w:t>
      </w:r>
      <w:r>
        <w:t xml:space="preserve">a stable return on equity or </w:t>
      </w:r>
      <w:r w:rsidRPr="0087746B" w:rsidDel="00A83FEA">
        <w:t xml:space="preserve">an inverse relationship between the risk free rate and the market risk premium in the current market. </w:t>
      </w:r>
    </w:p>
    <w:p w:rsidR="00894A39" w:rsidRDefault="00894A39" w:rsidP="00894A39">
      <w:r w:rsidRPr="0087746B" w:rsidDel="00A83FEA">
        <w:t>If investors reduce their required rate of return, and earnings expectations are unchanged, then market prices and the price-to-earnings ratio should increase.</w:t>
      </w:r>
      <w:r w:rsidRPr="0087746B" w:rsidDel="00A83FEA">
        <w:rPr>
          <w:rStyle w:val="FootnoteReference"/>
        </w:rPr>
        <w:footnoteReference w:id="557"/>
      </w:r>
      <w:r w:rsidRPr="0087746B" w:rsidDel="00A83FEA">
        <w:t xml:space="preserve"> Frontier</w:t>
      </w:r>
      <w:r>
        <w:t xml:space="preserve"> again</w:t>
      </w:r>
      <w:r w:rsidRPr="0087746B" w:rsidDel="00A83FEA">
        <w:t xml:space="preserve"> </w:t>
      </w:r>
      <w:r>
        <w:t>referenced</w:t>
      </w:r>
      <w:r w:rsidRPr="0087746B" w:rsidDel="00A83FEA">
        <w:t xml:space="preserve"> </w:t>
      </w:r>
      <w:r w:rsidDel="00A83FEA">
        <w:t xml:space="preserve">RBA </w:t>
      </w:r>
      <w:r>
        <w:t>data</w:t>
      </w:r>
      <w:r w:rsidDel="00A83FEA">
        <w:t xml:space="preserve"> and a McKinsey</w:t>
      </w:r>
      <w:r>
        <w:t xml:space="preserve"> report</w:t>
      </w:r>
      <w:r w:rsidRPr="0087746B" w:rsidDel="00A83FEA">
        <w:rPr>
          <w:rStyle w:val="FootnoteReference"/>
        </w:rPr>
        <w:footnoteReference w:id="558"/>
      </w:r>
      <w:r w:rsidRPr="0087746B" w:rsidDel="00A83FEA">
        <w:t xml:space="preserve"> </w:t>
      </w:r>
      <w:r>
        <w:t>to argue that</w:t>
      </w:r>
      <w:r w:rsidRPr="0087746B" w:rsidDel="00A83FEA">
        <w:t xml:space="preserve"> investors have not decreased their required rates of return</w:t>
      </w:r>
      <w:r>
        <w:t>,</w:t>
      </w:r>
      <w:r w:rsidRPr="0087746B" w:rsidDel="00A83FEA">
        <w:t xml:space="preserve"> despite a decline in the risk free rate</w:t>
      </w:r>
      <w:r>
        <w:t>,</w:t>
      </w:r>
      <w:r w:rsidRPr="009E5830">
        <w:t xml:space="preserve"> </w:t>
      </w:r>
      <w:r>
        <w:t>because e</w:t>
      </w:r>
      <w:r w:rsidRPr="0087746B">
        <w:t>arnings ratios have remained 'within their long-term averages'</w:t>
      </w:r>
      <w:r w:rsidRPr="0087746B" w:rsidDel="00A83FEA">
        <w:t>.</w:t>
      </w:r>
    </w:p>
    <w:p w:rsidR="00894A39" w:rsidRDefault="00894A39" w:rsidP="00894A39">
      <w:r>
        <w:t>However, the</w:t>
      </w:r>
      <w:r w:rsidRPr="0087746B" w:rsidDel="00A83FEA">
        <w:t xml:space="preserve"> M</w:t>
      </w:r>
      <w:r w:rsidDel="00A83FEA">
        <w:t xml:space="preserve">cKinsey </w:t>
      </w:r>
      <w:r>
        <w:t xml:space="preserve">report noted by Frontier </w:t>
      </w:r>
      <w:r w:rsidRPr="0087746B" w:rsidDel="00A83FEA">
        <w:t xml:space="preserve">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w:t>
      </w:r>
      <w:r>
        <w:t xml:space="preserve">Another market practitioner, </w:t>
      </w:r>
      <w:r w:rsidRPr="0087746B" w:rsidDel="00A83FEA">
        <w:t>JP Morgan</w:t>
      </w:r>
      <w:r>
        <w:t>, also</w:t>
      </w:r>
      <w:r w:rsidRPr="0087746B" w:rsidDel="00A83FEA">
        <w:t xml:space="preserve"> acknowledged that the price-to-earnings ratio can also reflect growth expectations.</w:t>
      </w:r>
      <w:r w:rsidRPr="0087746B" w:rsidDel="00A83FEA">
        <w:rPr>
          <w:rStyle w:val="FootnoteReference"/>
        </w:rPr>
        <w:footnoteReference w:id="559"/>
      </w:r>
      <w:r w:rsidRPr="0087746B" w:rsidDel="00A83FEA">
        <w:t xml:space="preserve">  </w:t>
      </w:r>
      <w:r>
        <w:t>Further, w</w:t>
      </w:r>
      <w:r w:rsidRPr="0087746B" w:rsidDel="00A83FEA">
        <w:t xml:space="preserve">e </w:t>
      </w:r>
      <w:r>
        <w:t>observe</w:t>
      </w:r>
      <w:r w:rsidRPr="0087746B" w:rsidDel="00A83FEA">
        <w:t xml:space="preserve"> that JP Morgan and McKinsey Inc</w:t>
      </w:r>
      <w:r w:rsidR="00965F4A">
        <w:t>.</w:t>
      </w:r>
      <w:r w:rsidRPr="0087746B" w:rsidDel="00A83FEA">
        <w:t xml:space="preserve"> drew different conclusions on the cost of equity due to using different data periods.</w:t>
      </w:r>
    </w:p>
    <w:p w:rsidR="00894A39" w:rsidRDefault="00894A39" w:rsidP="00894A39">
      <w:r>
        <w:t>In their most recent report, Parting</w:t>
      </w:r>
      <w:r w:rsidR="00965F4A">
        <w:t>t</w:t>
      </w:r>
      <w:r>
        <w:t>on and Satchell observed that Frontier makes 'continuing and unqualified reliance on earnings yield and PE based evidence'.</w:t>
      </w:r>
      <w:r>
        <w:rPr>
          <w:rStyle w:val="FootnoteReference"/>
        </w:rPr>
        <w:footnoteReference w:id="560"/>
      </w:r>
      <w:r>
        <w:t xml:space="preserve"> They note that:</w:t>
      </w:r>
      <w:r w:rsidRPr="00D15D6B">
        <w:rPr>
          <w:rStyle w:val="FootnoteReference"/>
        </w:rPr>
        <w:t xml:space="preserve"> </w:t>
      </w:r>
      <w:r>
        <w:rPr>
          <w:rStyle w:val="FootnoteReference"/>
        </w:rPr>
        <w:footnoteReference w:id="561"/>
      </w:r>
    </w:p>
    <w:p w:rsidR="00894A39" w:rsidRPr="00894A39" w:rsidDel="00A83FEA" w:rsidRDefault="00894A39" w:rsidP="00965F4A">
      <w:pPr>
        <w:pStyle w:val="AERquote"/>
      </w:pPr>
      <w:r>
        <w:t xml:space="preserve"> </w:t>
      </w:r>
      <w:r w:rsidRPr="00894A39">
        <w:t>'the behaviour of the required return on equity cannot be simply inferred from the behaviour of price earnings (PE) ratios, neither can it simply be inferred from the behaviour of the earnings yield (earnings price ratio)"</w:t>
      </w:r>
      <w:r w:rsidRPr="00894A39">
        <w:rPr>
          <w:rStyle w:val="FootnoteReference"/>
        </w:rPr>
        <w:footnoteReference w:id="562"/>
      </w:r>
      <w:r w:rsidRPr="00894A39">
        <w:t xml:space="preserve"> and " it is clear that inferences about the cost of equity based on plots of earnings yields or PE ratios are highly suspect."</w:t>
      </w:r>
    </w:p>
    <w:p w:rsidR="006A3314" w:rsidRPr="0087746B" w:rsidRDefault="006A3314" w:rsidP="006A3314">
      <w:pPr>
        <w:pStyle w:val="HeadingOrange"/>
      </w:pPr>
      <w:bookmarkStart w:id="116" w:name="_Toc480460514"/>
      <w:bookmarkStart w:id="117" w:name="_Toc480460804"/>
      <w:r w:rsidRPr="0087746B">
        <w:t>Independent valuation report</w:t>
      </w:r>
      <w:bookmarkEnd w:id="116"/>
      <w:bookmarkEnd w:id="117"/>
    </w:p>
    <w:p w:rsidR="00834500" w:rsidRDefault="00834500" w:rsidP="00834500">
      <w:r>
        <w:rPr>
          <w:rStyle w:val="AERbody"/>
        </w:rPr>
        <w:t>AusNet Services</w:t>
      </w:r>
      <w:r w:rsidRPr="0087746B">
        <w:t xml:space="preserve"> submitted that</w:t>
      </w:r>
      <w:r>
        <w:t xml:space="preserve"> we should account for</w:t>
      </w:r>
      <w:r w:rsidRPr="0087746B">
        <w:t xml:space="preserve"> independent valuation reports </w:t>
      </w:r>
      <w:r>
        <w:t>uplifting the return on equity (at the parameter level or overall return level) to counter a historically low risk free rate (like some service providers have argued previously)</w:t>
      </w:r>
      <w:r w:rsidRPr="0087746B">
        <w:t>.</w:t>
      </w:r>
      <w:r w:rsidRPr="0087746B">
        <w:rPr>
          <w:rStyle w:val="FootnoteReference"/>
        </w:rPr>
        <w:footnoteReference w:id="563"/>
      </w:r>
      <w:r w:rsidRPr="0087746B">
        <w:t xml:space="preserve"> </w:t>
      </w:r>
    </w:p>
    <w:p w:rsidR="00894A39" w:rsidRPr="0087746B" w:rsidRDefault="00894A39" w:rsidP="00894A39">
      <w:r>
        <w:t xml:space="preserve">For reasons outlined in table </w:t>
      </w:r>
      <w:r w:rsidR="003E0046">
        <w:t>3–8</w:t>
      </w:r>
      <w:r>
        <w:t>, we consider that u</w:t>
      </w:r>
      <w:r w:rsidRPr="0087746B">
        <w:t>plifts applied by brokers and valuers to initial estimates may be inconsistent with the ARORO.</w:t>
      </w:r>
      <w:r>
        <w:t xml:space="preserve"> Therefore, w</w:t>
      </w:r>
      <w:r w:rsidRPr="0087746B">
        <w:t>e have greater regard to estimates exclusive of these uplifts</w:t>
      </w:r>
      <w:r>
        <w:t>.</w:t>
      </w:r>
    </w:p>
    <w:p w:rsidR="00894A39" w:rsidRPr="00A42F74" w:rsidRDefault="00894A39" w:rsidP="00965F4A">
      <w:pPr>
        <w:pStyle w:val="HeadingBoldItalic"/>
        <w:rPr>
          <w:rStyle w:val="AERtextorange"/>
          <w:rFonts w:eastAsiaTheme="minorHAnsi" w:cstheme="minorBidi"/>
          <w:b w:val="0"/>
          <w:bCs w:val="0"/>
          <w:color w:val="51626F"/>
          <w:sz w:val="22"/>
        </w:rPr>
      </w:pPr>
      <w:bookmarkStart w:id="118" w:name="_Toc480460515"/>
      <w:bookmarkStart w:id="119" w:name="_Toc480460805"/>
      <w:r w:rsidRPr="00A42F74">
        <w:rPr>
          <w:rStyle w:val="AERtextorange"/>
          <w:color w:val="51626F"/>
        </w:rPr>
        <w:t>Realised returns</w:t>
      </w:r>
      <w:bookmarkEnd w:id="118"/>
      <w:bookmarkEnd w:id="119"/>
    </w:p>
    <w:p w:rsidR="00894A39" w:rsidRPr="00894A39" w:rsidRDefault="00DA5904" w:rsidP="00965F4A">
      <w:pPr>
        <w:rPr>
          <w:rStyle w:val="AERtextorange"/>
          <w:b/>
          <w:bCs/>
        </w:rPr>
      </w:pPr>
      <w:r>
        <w:rPr>
          <w:rStyle w:val="AERbody"/>
        </w:rPr>
        <w:t>Two members of</w:t>
      </w:r>
      <w:r w:rsidRPr="00965F4A">
        <w:rPr>
          <w:rStyle w:val="AERbody"/>
        </w:rPr>
        <w:t xml:space="preserve"> </w:t>
      </w:r>
      <w:r w:rsidR="00894A39" w:rsidRPr="00965F4A">
        <w:rPr>
          <w:rStyle w:val="AERbody"/>
        </w:rPr>
        <w:t>CCP</w:t>
      </w:r>
      <w:r w:rsidR="002B33C7">
        <w:rPr>
          <w:rStyle w:val="AERbody"/>
        </w:rPr>
        <w:t>4</w:t>
      </w:r>
      <w:r w:rsidR="001502BF">
        <w:rPr>
          <w:rStyle w:val="AERbody"/>
        </w:rPr>
        <w:t xml:space="preserve"> </w:t>
      </w:r>
      <w:r w:rsidR="00894A39" w:rsidRPr="00965F4A">
        <w:rPr>
          <w:rStyle w:val="AERbody"/>
        </w:rPr>
        <w:t>submitted that we should have more regard to Powerlink's actual profitability when setting the return on capital instead of assigning no weight to this material.</w:t>
      </w:r>
      <w:r w:rsidR="00894A39" w:rsidRPr="00894A39">
        <w:rPr>
          <w:rStyle w:val="FootnoteReference"/>
        </w:rPr>
        <w:footnoteReference w:id="564"/>
      </w:r>
    </w:p>
    <w:p w:rsidR="00894A39" w:rsidRPr="00BA0AFD" w:rsidRDefault="00894A39" w:rsidP="00894A39">
      <w:r>
        <w:t>We note that this is not dissimilar to previous submissions from stakeholders which noted</w:t>
      </w:r>
      <w:r w:rsidRPr="00BA0AFD">
        <w:t xml:space="preserve"> that we should consider material on realised returns to equity from service providers' financial statements.</w:t>
      </w:r>
      <w:r w:rsidRPr="00BA0AFD">
        <w:rPr>
          <w:rStyle w:val="FootnoteReference"/>
        </w:rPr>
        <w:footnoteReference w:id="565"/>
      </w:r>
      <w:r w:rsidRPr="00BA0AFD">
        <w:t xml:space="preserve"> </w:t>
      </w:r>
    </w:p>
    <w:p w:rsidR="00F80FAB" w:rsidRDefault="002B33C7" w:rsidP="00894A39">
      <w:r>
        <w:t>While realised returns from financial statements may potentially provide some information on the</w:t>
      </w:r>
      <w:r w:rsidR="00894A39" w:rsidRPr="00894A39">
        <w:t xml:space="preserve"> return on equity</w:t>
      </w:r>
      <w:r>
        <w:t>,</w:t>
      </w:r>
      <w:r w:rsidR="00894A39" w:rsidRPr="00894A39">
        <w:t xml:space="preserve"> </w:t>
      </w:r>
      <w:r>
        <w:t>w</w:t>
      </w:r>
      <w:r w:rsidR="00EB663F">
        <w:t xml:space="preserve">e </w:t>
      </w:r>
      <w:r>
        <w:t>are unable to draw</w:t>
      </w:r>
      <w:r w:rsidR="00EB663F">
        <w:t xml:space="preserve"> conclu</w:t>
      </w:r>
      <w:r>
        <w:t>sions</w:t>
      </w:r>
      <w:r w:rsidR="00EB663F">
        <w:t xml:space="preserve"> </w:t>
      </w:r>
      <w:r>
        <w:t xml:space="preserve">on </w:t>
      </w:r>
      <w:r w:rsidR="00EB663F">
        <w:t>Powerlink's return on equity (or WACC)</w:t>
      </w:r>
      <w:r w:rsidR="00457A06">
        <w:t xml:space="preserve"> from the submitted material</w:t>
      </w:r>
      <w:r>
        <w:t>.</w:t>
      </w:r>
      <w:r w:rsidR="00EB663F">
        <w:t xml:space="preserve"> </w:t>
      </w:r>
      <w:r w:rsidR="00430FD3" w:rsidRPr="001D4868">
        <w:t>Analysis of profitability outcomes for ordinary unregulated companies is complex. Undertaking equivalent analysis for regulated networks faces a number of additional hurdles that increase the complexity of the task.</w:t>
      </w:r>
      <w:r w:rsidR="00430FD3">
        <w:rPr>
          <w:rStyle w:val="FootnoteReference"/>
        </w:rPr>
        <w:footnoteReference w:id="566"/>
      </w:r>
      <w:r w:rsidR="00430FD3" w:rsidRPr="001D4868">
        <w:t xml:space="preserve"> </w:t>
      </w:r>
      <w:r w:rsidR="00430FD3">
        <w:t>W</w:t>
      </w:r>
      <w:r w:rsidR="00430FD3" w:rsidRPr="001D4868">
        <w:t>e consider the</w:t>
      </w:r>
      <w:r w:rsidR="00430FD3">
        <w:t>se</w:t>
      </w:r>
      <w:r w:rsidR="00430FD3" w:rsidRPr="001D4868">
        <w:t xml:space="preserve"> submission</w:t>
      </w:r>
      <w:r w:rsidR="00430FD3">
        <w:t>s do</w:t>
      </w:r>
      <w:r w:rsidR="00430FD3" w:rsidRPr="001D4868">
        <w:t xml:space="preserve"> not overcome a number of conceptual and practical hurdles necessary to reach robust conclusions about Powerlink’s level of observed profitability</w:t>
      </w:r>
      <w:r w:rsidR="00430FD3">
        <w:t xml:space="preserve"> (or realised returns).</w:t>
      </w:r>
      <w:r w:rsidR="00430FD3" w:rsidRPr="001D4868">
        <w:t xml:space="preserve"> We addressed this matter in mor</w:t>
      </w:r>
      <w:r w:rsidR="00430FD3">
        <w:t>e detail in our draft decision</w:t>
      </w:r>
      <w:r w:rsidR="00457A06">
        <w:t xml:space="preserve"> for Powerlink</w:t>
      </w:r>
      <w:r w:rsidR="00430FD3">
        <w:t>.</w:t>
      </w:r>
      <w:r w:rsidR="00430FD3">
        <w:rPr>
          <w:rStyle w:val="FootnoteReference"/>
        </w:rPr>
        <w:footnoteReference w:id="567"/>
      </w:r>
      <w:r w:rsidR="00430FD3" w:rsidRPr="001D4868">
        <w:t xml:space="preserve"> </w:t>
      </w:r>
    </w:p>
    <w:p w:rsidR="00E13934" w:rsidRPr="002656D9" w:rsidRDefault="00E13934" w:rsidP="00607138">
      <w:pPr>
        <w:pStyle w:val="HeadingBoldBlue"/>
      </w:pPr>
      <w:r w:rsidRPr="002656D9">
        <w:t>Step six: distil point estimate</w:t>
      </w:r>
    </w:p>
    <w:p w:rsidR="00E13934" w:rsidRPr="00E5005D" w:rsidRDefault="00E13934" w:rsidP="00CC7A1C">
      <w:pPr>
        <w:numPr>
          <w:ilvl w:val="0"/>
          <w:numId w:val="24"/>
        </w:numPr>
      </w:pPr>
      <w:r w:rsidRPr="00E5005D">
        <w:t>We are satisfied that an expected return on equity derived from the S</w:t>
      </w:r>
      <w:r>
        <w:t>harpe-</w:t>
      </w:r>
      <w:r w:rsidRPr="00E5005D">
        <w:t>L</w:t>
      </w:r>
      <w:r>
        <w:t xml:space="preserve">intner </w:t>
      </w:r>
      <w:r w:rsidRPr="00E5005D">
        <w:t xml:space="preserve">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A933BB" w:rsidRDefault="00E13934" w:rsidP="00CC7A1C">
      <w:pPr>
        <w:numPr>
          <w:ilvl w:val="0"/>
          <w:numId w:val="24"/>
        </w:numPr>
      </w:pPr>
      <w:r w:rsidRPr="00E5005D">
        <w:t xml:space="preserve">Following our estimation approach and having considered and given the relevant material due weight on their merits, we are satisfied that an expected return on equity estimate of </w:t>
      </w:r>
      <w:r>
        <w:t>7</w:t>
      </w:r>
      <w:r w:rsidRPr="00E5005D">
        <w:t>.</w:t>
      </w:r>
      <w:r>
        <w:t>1</w:t>
      </w:r>
      <w:r w:rsidRPr="00E5005D">
        <w:t xml:space="preserve"> per cent derived from our implementation of the S</w:t>
      </w:r>
      <w:r>
        <w:t>harpe-</w:t>
      </w:r>
      <w:r w:rsidRPr="00E5005D">
        <w:t>L</w:t>
      </w:r>
      <w:r>
        <w:t xml:space="preserve">intner </w:t>
      </w:r>
      <w:r w:rsidRPr="00E5005D">
        <w:t xml:space="preserve">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3E0A44" w:rsidRDefault="003E0A44">
      <w:pPr>
        <w:spacing w:line="240" w:lineRule="auto"/>
        <w:rPr>
          <w:rFonts w:eastAsiaTheme="majorEastAsia" w:cstheme="majorBidi"/>
          <w:b/>
          <w:bCs/>
          <w:color w:val="70635A" w:themeColor="text2"/>
          <w:sz w:val="28"/>
        </w:rPr>
      </w:pPr>
      <w:bookmarkStart w:id="120" w:name="_Ref451336564"/>
      <w:bookmarkStart w:id="121" w:name="_Ref451345996"/>
      <w:bookmarkStart w:id="122" w:name="_Ref451351247"/>
      <w:bookmarkStart w:id="123" w:name="_Toc451938957"/>
      <w:bookmarkStart w:id="124" w:name="_Toc456686705"/>
      <w:r>
        <w:br w:type="page"/>
      </w:r>
    </w:p>
    <w:p w:rsidR="00A933BB" w:rsidRDefault="00A933BB" w:rsidP="00A933BB">
      <w:pPr>
        <w:pStyle w:val="Heading3"/>
      </w:pPr>
      <w:bookmarkStart w:id="125" w:name="_Ref478718271"/>
      <w:r>
        <w:t>Return on debt</w:t>
      </w:r>
      <w:bookmarkEnd w:id="120"/>
      <w:bookmarkEnd w:id="121"/>
      <w:bookmarkEnd w:id="122"/>
      <w:bookmarkEnd w:id="123"/>
      <w:bookmarkEnd w:id="124"/>
      <w:bookmarkEnd w:id="125"/>
      <w:r>
        <w:t xml:space="preserve"> </w:t>
      </w:r>
    </w:p>
    <w:p w:rsidR="003E0A44" w:rsidRPr="0039163B" w:rsidRDefault="003E0A44" w:rsidP="003E0A44">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3E0A44" w:rsidRDefault="003E0A44" w:rsidP="003E0A44">
      <w:r w:rsidRPr="0039163B">
        <w:t xml:space="preserve">Our decision is to adopt a return on debt </w:t>
      </w:r>
      <w:r>
        <w:t xml:space="preserve">of </w:t>
      </w:r>
      <w:r w:rsidR="009D1E8B">
        <w:t>4.94</w:t>
      </w:r>
      <w:r>
        <w:t xml:space="preserve"> </w:t>
      </w:r>
      <w:r w:rsidRPr="0039163B">
        <w:t xml:space="preserve">per cent, rather than the </w:t>
      </w:r>
      <w:r w:rsidR="00E230BC">
        <w:t>7.56</w:t>
      </w:r>
      <w:r>
        <w:t xml:space="preserve"> </w:t>
      </w:r>
      <w:r w:rsidRPr="0039163B">
        <w:t>per cent proposed by</w:t>
      </w:r>
      <w:r>
        <w:t xml:space="preserve"> AusNet Services.</w:t>
      </w:r>
      <w:r>
        <w:rPr>
          <w:rStyle w:val="FootnoteReference"/>
        </w:rPr>
        <w:footnoteReference w:id="568"/>
      </w:r>
    </w:p>
    <w:p w:rsidR="003E0A44" w:rsidRDefault="003E0A44" w:rsidP="003E0A44">
      <w:r w:rsidRPr="0039163B">
        <w:t xml:space="preserve">This decision sets out how we arrived at the rate for </w:t>
      </w:r>
      <w:r>
        <w:t>AusNet Services</w:t>
      </w:r>
      <w:r w:rsidRPr="0039163B">
        <w:t>, and how we plan to update the return on debt in future regulatory years.</w:t>
      </w:r>
      <w:r>
        <w:t xml:space="preserve"> That is, we set out:</w:t>
      </w:r>
    </w:p>
    <w:p w:rsidR="003E0A44" w:rsidRPr="00AD2616" w:rsidRDefault="003E0A44" w:rsidP="003E0A44">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3E0A44" w:rsidRPr="00D020D4" w:rsidRDefault="003E0A44" w:rsidP="003E0A44">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A933BB" w:rsidRDefault="00A933BB" w:rsidP="00A933BB">
      <w:pPr>
        <w:pStyle w:val="HeadingBoldBlue"/>
      </w:pPr>
      <w:r>
        <w:t>Return on debt approach</w:t>
      </w:r>
    </w:p>
    <w:p w:rsidR="00907E8E" w:rsidRPr="00907E8E" w:rsidRDefault="00907E8E" w:rsidP="00907E8E">
      <w:r w:rsidRPr="00907E8E">
        <w:t>Our final decision is to transition the entire return on debt</w:t>
      </w:r>
      <w:r w:rsidRPr="00907E8E">
        <w:rPr>
          <w:rStyle w:val="FootnoteReference"/>
        </w:rPr>
        <w:footnoteReference w:id="569"/>
      </w:r>
      <w:r w:rsidRPr="00907E8E">
        <w:t xml:space="preserve"> from an on-the-day approach in the first regulatory year to a trailing average by updating 10 per cent of the debt portfolio over 10 years (a full transition). This is consistent with AusNet Services’ initial proposal, the Guideline and our draft decision.</w:t>
      </w:r>
      <w:r w:rsidRPr="00907E8E">
        <w:rPr>
          <w:rStyle w:val="FootnoteReference"/>
        </w:rPr>
        <w:footnoteReference w:id="570"/>
      </w:r>
      <w:r w:rsidRPr="00907E8E">
        <w:t xml:space="preserve"> We have considered CEG’s report on the AER’s current interpretation of the ARORO</w:t>
      </w:r>
      <w:r w:rsidR="00607138">
        <w:t>.</w:t>
      </w:r>
      <w:r w:rsidRPr="00907E8E">
        <w:rPr>
          <w:rStyle w:val="FootnoteReference"/>
        </w:rPr>
        <w:footnoteReference w:id="571"/>
      </w:r>
      <w:r w:rsidRPr="00907E8E">
        <w:t xml:space="preserve"> We have decided to maintain our draft decision position of adopting the full transition approach after the consideration of this report.   </w:t>
      </w:r>
    </w:p>
    <w:p w:rsidR="00907E8E" w:rsidRPr="00907E8E" w:rsidRDefault="00907E8E" w:rsidP="00907E8E">
      <w:pPr>
        <w:rPr>
          <w:rStyle w:val="AERbody"/>
        </w:rPr>
      </w:pPr>
      <w:r w:rsidRPr="00907E8E">
        <w:rPr>
          <w:rStyle w:val="AERbody"/>
        </w:rPr>
        <w:t>In the absence of a transition that substantially eliminates any change in the present value of a benchmark efficient entity as a result of the change in methodology,</w:t>
      </w:r>
      <w:r w:rsidRPr="00907E8E">
        <w:rPr>
          <w:rStyle w:val="FootnoteReference"/>
        </w:rPr>
        <w:footnoteReference w:id="572"/>
      </w:r>
      <w:r w:rsidRPr="00907E8E">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control period because it resets the allowed return to the current efficient market rates.</w:t>
      </w:r>
    </w:p>
    <w:p w:rsidR="0010101E" w:rsidRDefault="00907E8E" w:rsidP="00907E8E">
      <w:r w:rsidRPr="00907E8E">
        <w:rPr>
          <w:rStyle w:val="AERbody"/>
        </w:rPr>
        <w:t>In its revised proposal, AusNet Services proposed changing its preferred approach to dealing with the transition to a trailing average. It had initially proposed applying the Guideline and this was accepted by the AER in its draft decision. In these circumstances, it is not clear that the NER permits a service provider to propose a new approach in its revised proposal.</w:t>
      </w:r>
      <w:r w:rsidRPr="00907E8E">
        <w:rPr>
          <w:rStyle w:val="FootnoteReference"/>
        </w:rPr>
        <w:footnoteReference w:id="573"/>
      </w:r>
      <w:r w:rsidRPr="00907E8E">
        <w:rPr>
          <w:rStyle w:val="AERbody"/>
        </w:rPr>
        <w:t xml:space="preserve"> Nevertheless,</w:t>
      </w:r>
      <w:r w:rsidR="0016738D">
        <w:rPr>
          <w:rStyle w:val="AERbody"/>
        </w:rPr>
        <w:t xml:space="preserve"> </w:t>
      </w:r>
      <w:r w:rsidRPr="00907E8E">
        <w:rPr>
          <w:rStyle w:val="AERbody"/>
        </w:rPr>
        <w:t xml:space="preserve">in a letter to the AER dated 9 December 2016, </w:t>
      </w:r>
      <w:r w:rsidRPr="00907E8E">
        <w:t xml:space="preserve">AusNet Services wrote to confirm it no longer maintained the position outlined in its revised proposal. Instead, it confirmed that its proposal was, as in its initial proposal, for a transition </w:t>
      </w:r>
      <w:r w:rsidR="0016738D">
        <w:t>consistent with the AER’s Gui</w:t>
      </w:r>
      <w:r w:rsidRPr="00907E8E">
        <w:t xml:space="preserve">deline. </w:t>
      </w:r>
    </w:p>
    <w:p w:rsidR="00907E8E" w:rsidRPr="00907E8E" w:rsidRDefault="00907E8E" w:rsidP="00907E8E">
      <w:r w:rsidRPr="00907E8E">
        <w:t>AusNet Services withdrew the “no transition” aspect of their revised proposal.</w:t>
      </w:r>
      <w:r w:rsidRPr="00907E8E">
        <w:rPr>
          <w:rStyle w:val="FootnoteReference"/>
        </w:rPr>
        <w:footnoteReference w:id="574"/>
      </w:r>
      <w:r w:rsidRPr="00907E8E">
        <w:t xml:space="preserve"> It subsequently provided a further letter to the AER on 20 December 2016 confirming this position and adopting the AER’s full transition approach in calculating its return on debt in AusNet Transmission </w:t>
      </w:r>
      <w:r w:rsidR="00076F97">
        <w:t>2017–22</w:t>
      </w:r>
      <w:r w:rsidRPr="00907E8E">
        <w:t xml:space="preserve"> TRR Revised Proposal PTRM.</w:t>
      </w:r>
      <w:r w:rsidRPr="00907E8E">
        <w:rPr>
          <w:rStyle w:val="FootnoteReference"/>
        </w:rPr>
        <w:footnoteReference w:id="575"/>
      </w:r>
      <w:r w:rsidRPr="00907E8E">
        <w:t xml:space="preserve"> AusNet Services stated in the letter to the AER that regardless of the legal merits of the immediate transition approach, it had become increasingly uncomfortable with this approach because of:</w:t>
      </w:r>
      <w:r w:rsidRPr="00907E8E">
        <w:rPr>
          <w:rStyle w:val="FootnoteReference"/>
        </w:rPr>
        <w:footnoteReference w:id="576"/>
      </w:r>
    </w:p>
    <w:p w:rsidR="00907E8E" w:rsidRPr="00907E8E" w:rsidRDefault="00907E8E" w:rsidP="00907E8E">
      <w:pPr>
        <w:pStyle w:val="ListParagraph"/>
      </w:pPr>
      <w:r w:rsidRPr="00907E8E">
        <w:t xml:space="preserve">The large impact on customer prices if it was implemented; </w:t>
      </w:r>
    </w:p>
    <w:p w:rsidR="00907E8E" w:rsidRPr="00907E8E" w:rsidRDefault="00907E8E" w:rsidP="00907E8E">
      <w:pPr>
        <w:pStyle w:val="ListParagraph"/>
      </w:pPr>
      <w:r w:rsidRPr="00907E8E">
        <w:t>The fact it does not reflect the actual historic financing practices of the businesses, (noting it does reflect other networks’ practices);and</w:t>
      </w:r>
    </w:p>
    <w:p w:rsidR="00907E8E" w:rsidRPr="00907E8E" w:rsidRDefault="00907E8E" w:rsidP="00907E8E">
      <w:pPr>
        <w:pStyle w:val="ListParagraph"/>
      </w:pPr>
      <w:r w:rsidRPr="00907E8E">
        <w:t xml:space="preserve">The long period of uncertainty for all parties as these matters are resolved through multiple legal forums and remittal back to the AER. </w:t>
      </w:r>
    </w:p>
    <w:p w:rsidR="0010101E" w:rsidRDefault="008729A6" w:rsidP="00907E8E">
      <w:r>
        <w:t>G</w:t>
      </w:r>
      <w:r w:rsidR="00515C0C">
        <w:t>iven we remain of the view a full transition is required in moving to a trailing average</w:t>
      </w:r>
      <w:r w:rsidR="0010101E">
        <w:t>, we have calculated the proposed return on debt for the first regulatory year (% nominal) as 4.94%.</w:t>
      </w:r>
    </w:p>
    <w:p w:rsidR="00907E8E" w:rsidRPr="00907E8E" w:rsidRDefault="00907E8E" w:rsidP="00907E8E">
      <w:r w:rsidRPr="00907E8E">
        <w:t>In this section, we:</w:t>
      </w:r>
    </w:p>
    <w:p w:rsidR="00907E8E" w:rsidRPr="00907E8E" w:rsidRDefault="00907E8E" w:rsidP="00907E8E">
      <w:pPr>
        <w:pStyle w:val="AERbulletlistfirststyle"/>
      </w:pPr>
      <w:r w:rsidRPr="00907E8E">
        <w:t>set out our overall return on debt approach (that is, the transition to a trailing average)</w:t>
      </w:r>
    </w:p>
    <w:p w:rsidR="00907E8E" w:rsidRPr="00907E8E" w:rsidRDefault="00907E8E" w:rsidP="00907E8E">
      <w:pPr>
        <w:pStyle w:val="AERbulletlistfirststyle"/>
      </w:pPr>
      <w:r w:rsidRPr="00907E8E">
        <w:t>set out AusNet Services’ proposal and revised proposal on the overall return on debt approach and transition</w:t>
      </w:r>
    </w:p>
    <w:p w:rsidR="00907E8E" w:rsidRPr="00907E8E" w:rsidRDefault="00907E8E" w:rsidP="00907E8E">
      <w:pPr>
        <w:pStyle w:val="AERbulletlistfirststyle"/>
      </w:pPr>
      <w:r w:rsidRPr="00907E8E">
        <w:t>explain what approaches to estimating the return on debt can contribute to the ARORO</w:t>
      </w:r>
      <w:r w:rsidRPr="00907E8E" w:rsidDel="00472C05">
        <w:t xml:space="preserve"> </w:t>
      </w:r>
      <w:r w:rsidRPr="00907E8E">
        <w:t>and why (which includes our approach in this final decision)</w:t>
      </w:r>
    </w:p>
    <w:p w:rsidR="00907E8E" w:rsidRPr="00907E8E" w:rsidRDefault="00907E8E" w:rsidP="00907E8E">
      <w:pPr>
        <w:pStyle w:val="AERbulletlistfirststyle"/>
      </w:pPr>
      <w:r w:rsidRPr="00907E8E">
        <w:t xml:space="preserve">explain why </w:t>
      </w:r>
      <w:r w:rsidR="0010101E">
        <w:t xml:space="preserve">other approaches that have been suggested </w:t>
      </w:r>
      <w:r w:rsidRPr="00907E8E">
        <w:t>would</w:t>
      </w:r>
      <w:r w:rsidR="0010101E">
        <w:t xml:space="preserve"> not</w:t>
      </w:r>
      <w:r w:rsidRPr="00907E8E">
        <w:t xml:space="preserve"> meet the requirements of the ARORO and NEO/NGO</w:t>
      </w:r>
    </w:p>
    <w:p w:rsidR="00907E8E" w:rsidRPr="00907E8E" w:rsidRDefault="00907E8E" w:rsidP="00907E8E">
      <w:pPr>
        <w:pStyle w:val="AERbulletlistfirststyle"/>
      </w:pPr>
      <w:r w:rsidRPr="00907E8E">
        <w:t>set out general problems with using historical data to estimate the allowed return on debt.</w:t>
      </w:r>
    </w:p>
    <w:p w:rsidR="00907E8E" w:rsidRPr="00907E8E" w:rsidRDefault="00907E8E" w:rsidP="00907E8E">
      <w:pPr>
        <w:pStyle w:val="HeadingBoldItalic"/>
      </w:pPr>
      <w:bookmarkStart w:id="126" w:name="_Toc480460519"/>
      <w:bookmarkStart w:id="127" w:name="_Toc480460809"/>
      <w:r w:rsidRPr="00907E8E">
        <w:t>Our approach to estimating the return on debt</w:t>
      </w:r>
      <w:bookmarkEnd w:id="126"/>
      <w:bookmarkEnd w:id="127"/>
    </w:p>
    <w:p w:rsidR="00907E8E" w:rsidRPr="00907E8E" w:rsidRDefault="00907E8E" w:rsidP="00907E8E">
      <w:r w:rsidRPr="00907E8E">
        <w:t>Our final decision is to start with an on-the-day approach for the first regulatory year and gradually transition into a trailing average approach over 10 years (a full transition).</w:t>
      </w:r>
      <w:r w:rsidRPr="00907E8E">
        <w:rPr>
          <w:rStyle w:val="FootnoteReference"/>
        </w:rPr>
        <w:footnoteReference w:id="577"/>
      </w:r>
      <w:r w:rsidRPr="00907E8E">
        <w:t xml:space="preserve"> Applied to AusNet Services, this means our return on debt approach is to:</w:t>
      </w:r>
    </w:p>
    <w:p w:rsidR="00907E8E" w:rsidRPr="00907E8E" w:rsidRDefault="00907E8E" w:rsidP="00907E8E">
      <w:pPr>
        <w:pStyle w:val="AERbulletlistfirststyle"/>
      </w:pPr>
      <w:r w:rsidRPr="00907E8E">
        <w:t>estimate the return on debt using an on-the-day approach (that is, based on prevailing interest rates near the commencement of the regulatory control period) in the first regulatory year (201</w:t>
      </w:r>
      <w:r w:rsidR="000E16EB">
        <w:t>7</w:t>
      </w:r>
      <w:r w:rsidRPr="00907E8E">
        <w:t>) of the 201</w:t>
      </w:r>
      <w:r w:rsidR="000E16EB">
        <w:t>7</w:t>
      </w:r>
      <w:r w:rsidRPr="00907E8E">
        <w:t>–</w:t>
      </w:r>
      <w:r w:rsidR="000E16EB">
        <w:t>22</w:t>
      </w:r>
      <w:r w:rsidRPr="00907E8E">
        <w:t xml:space="preserve"> regulatory control period, and</w:t>
      </w:r>
    </w:p>
    <w:p w:rsidR="00907E8E" w:rsidRPr="00907E8E" w:rsidRDefault="00907E8E" w:rsidP="00907E8E">
      <w:pPr>
        <w:pStyle w:val="AERbulletlistfirststyle"/>
      </w:pPr>
      <w:r w:rsidRPr="00907E8E">
        <w:t>gradually transition this approach into a trailing average (that is, a moving historical average) over 10 years by annually updating 10 per cent of the return on debt to reflect prevailing market conditions in that year.</w:t>
      </w:r>
      <w:r w:rsidRPr="00907E8E">
        <w:rPr>
          <w:rStyle w:val="AERsuperscript"/>
        </w:rPr>
        <w:footnoteReference w:id="578"/>
      </w:r>
    </w:p>
    <w:p w:rsidR="00907E8E" w:rsidRPr="00907E8E" w:rsidRDefault="00907E8E" w:rsidP="00907E8E">
      <w:r w:rsidRPr="00907E8E">
        <w:t xml:space="preserve">In practical terms, our return on debt approach means that an on-the-day approach around the start of the </w:t>
      </w:r>
      <w:r w:rsidR="000E16EB" w:rsidRPr="00907E8E">
        <w:t>201</w:t>
      </w:r>
      <w:r w:rsidR="000E16EB">
        <w:t>7</w:t>
      </w:r>
      <w:r w:rsidRPr="00907E8E">
        <w:t>–20</w:t>
      </w:r>
      <w:r w:rsidR="000E16EB">
        <w:t>22</w:t>
      </w:r>
      <w:r w:rsidRPr="00907E8E">
        <w:t xml:space="preserve"> regulatory control period is applied to:</w:t>
      </w:r>
    </w:p>
    <w:p w:rsidR="00907E8E" w:rsidRPr="00907E8E" w:rsidRDefault="00907E8E" w:rsidP="00907E8E">
      <w:pPr>
        <w:pStyle w:val="AERbulletlistfirststyle"/>
      </w:pPr>
      <w:r w:rsidRPr="00907E8E">
        <w:t>100 per cent of the debt portfolio in the calculation of the allowed return on debt for the 201</w:t>
      </w:r>
      <w:r w:rsidR="000E16EB">
        <w:t>7</w:t>
      </w:r>
      <w:r w:rsidRPr="00907E8E">
        <w:t xml:space="preserve"> regulatory year</w:t>
      </w:r>
    </w:p>
    <w:p w:rsidR="00907E8E" w:rsidRPr="00907E8E" w:rsidRDefault="00907E8E" w:rsidP="00907E8E">
      <w:pPr>
        <w:pStyle w:val="AERbulletlistfirststyle"/>
      </w:pPr>
      <w:r w:rsidRPr="00907E8E">
        <w:t>90 per cent of the debt portfolio in the calculation of the allowed return on debt for the 201</w:t>
      </w:r>
      <w:r w:rsidR="000E16EB">
        <w:t>8</w:t>
      </w:r>
      <w:r w:rsidRPr="00907E8E">
        <w:t xml:space="preserve"> regulatory year, with the remaining 10 per cent updated to reflect prevailing interest rates during AusNet Services' averaging period for 201</w:t>
      </w:r>
      <w:r w:rsidR="000E16EB">
        <w:t>8</w:t>
      </w:r>
      <w:r w:rsidRPr="00907E8E">
        <w:t>.  Consistent with the rules requirements, this annual update (and all future annual updates) will be affected through the automatic application of the return on debt methodology we set out in this decision.</w:t>
      </w:r>
      <w:r w:rsidRPr="00907E8E">
        <w:rPr>
          <w:rStyle w:val="AERsuperscript"/>
        </w:rPr>
        <w:footnoteReference w:id="579"/>
      </w:r>
    </w:p>
    <w:p w:rsidR="00907E8E" w:rsidRPr="00907E8E" w:rsidRDefault="00907E8E" w:rsidP="00907E8E">
      <w:pPr>
        <w:pStyle w:val="AERbulletlistfirststyle"/>
      </w:pPr>
      <w:r w:rsidRPr="00907E8E">
        <w:t>80 per cent of the debt portfolio in the calculation of the allowed return on debt for the 201</w:t>
      </w:r>
      <w:r w:rsidR="000E16EB">
        <w:t>9</w:t>
      </w:r>
      <w:r w:rsidRPr="00907E8E">
        <w:t xml:space="preserve"> regulatory year, with 10 per cent based on prevailing interest rates during AusNet Services' averaging period for 201</w:t>
      </w:r>
      <w:r w:rsidR="000E16EB">
        <w:t>8</w:t>
      </w:r>
      <w:r w:rsidRPr="00907E8E">
        <w:t>, and 10 per cent updated to reflect prevailing interest rates during AusNet Services' averaging period for 201</w:t>
      </w:r>
      <w:r w:rsidR="000E16EB">
        <w:t>9</w:t>
      </w:r>
      <w:r w:rsidRPr="00907E8E">
        <w:t>, and</w:t>
      </w:r>
    </w:p>
    <w:p w:rsidR="00907E8E" w:rsidRPr="00907E8E" w:rsidRDefault="00907E8E" w:rsidP="00907E8E">
      <w:pPr>
        <w:pStyle w:val="AERbulletlistfirststyle"/>
      </w:pPr>
      <w:r w:rsidRPr="00907E8E">
        <w:t>so on for the subsequent regulatory years.</w:t>
      </w:r>
    </w:p>
    <w:p w:rsidR="00907E8E" w:rsidRPr="00907E8E" w:rsidRDefault="00907E8E" w:rsidP="00907E8E">
      <w:r w:rsidRPr="00907E8E">
        <w:t xml:space="preserve">After the 10 year transition period is complete, the return on debt is a simple average of prevailing interest rates during AusNet Services' averaging periods over the previous 10 years (a trailing average). </w:t>
      </w:r>
    </w:p>
    <w:p w:rsidR="00907E8E" w:rsidRPr="00907E8E" w:rsidRDefault="00907E8E" w:rsidP="00907E8E">
      <w:pPr>
        <w:pStyle w:val="HeadingBoldItalic"/>
      </w:pPr>
      <w:bookmarkStart w:id="128" w:name="_Toc480460520"/>
      <w:bookmarkStart w:id="129" w:name="_Toc480460810"/>
      <w:r w:rsidRPr="00907E8E">
        <w:t>Initial and revised regulatory proposals</w:t>
      </w:r>
      <w:bookmarkEnd w:id="128"/>
      <w:bookmarkEnd w:id="129"/>
    </w:p>
    <w:p w:rsidR="00907E8E" w:rsidRPr="00907E8E" w:rsidRDefault="00907E8E" w:rsidP="00907E8E">
      <w:r w:rsidRPr="00907E8E">
        <w:t xml:space="preserve">Along with this final decision for AusNet Services, we are making </w:t>
      </w:r>
      <w:r w:rsidR="00586239">
        <w:t>two</w:t>
      </w:r>
      <w:r w:rsidR="00586239" w:rsidRPr="00907E8E">
        <w:t xml:space="preserve"> </w:t>
      </w:r>
      <w:r w:rsidRPr="00907E8E">
        <w:t xml:space="preserve">other constituent decisions for </w:t>
      </w:r>
      <w:r w:rsidR="00393010">
        <w:t xml:space="preserve">two </w:t>
      </w:r>
      <w:r w:rsidRPr="00907E8E">
        <w:t>other service providers.</w:t>
      </w:r>
      <w:r w:rsidRPr="00907E8E">
        <w:rPr>
          <w:rStyle w:val="FootnoteReference"/>
        </w:rPr>
        <w:footnoteReference w:id="580"/>
      </w:r>
      <w:r w:rsidRPr="00907E8E">
        <w:t xml:space="preserve"> We have considered these proposals together where they put substantially the same views and reasoning forward.  </w:t>
      </w:r>
    </w:p>
    <w:p w:rsidR="00907E8E" w:rsidRPr="00907E8E" w:rsidRDefault="00907E8E" w:rsidP="00907E8E">
      <w:r w:rsidRPr="00907E8E">
        <w:t xml:space="preserve">It is worth noting that AusNet </w:t>
      </w:r>
      <w:r w:rsidR="00393010">
        <w:t>S</w:t>
      </w:r>
      <w:r w:rsidRPr="00907E8E">
        <w:t>ervices substantially changed its preference regarding the form of transition between its initial and revised proposal prior to aband</w:t>
      </w:r>
      <w:r w:rsidR="0016738D">
        <w:t>on</w:t>
      </w:r>
      <w:r w:rsidRPr="00907E8E">
        <w:t xml:space="preserve">ing its “no transition” position in its revised proposal. In its initial proposal, AusNet </w:t>
      </w:r>
      <w:r w:rsidR="00393010">
        <w:t xml:space="preserve">Services </w:t>
      </w:r>
      <w:r w:rsidRPr="00907E8E">
        <w:t>applies the AER’s Guideline transition. However, as part of its revised proposals, AusNet Services proposed an immediate transition as its first preference and a hybrid transition as its second preference. To support the change in position, AusNet Services submitted new material addressing the ARORO and what it requires of us. This included a report from CEG that effectively argued the AER’s interpretation of the ARORO was incorrect.</w:t>
      </w:r>
      <w:r w:rsidRPr="00907E8E">
        <w:rPr>
          <w:rStyle w:val="FootnoteReference"/>
        </w:rPr>
        <w:footnoteReference w:id="581"/>
      </w:r>
      <w:r w:rsidRPr="00907E8E">
        <w:t xml:space="preserve">  While AusNet Services has not maintained these positions, we have set out in </w:t>
      </w:r>
      <w:r w:rsidRPr="00907E8E">
        <w:fldChar w:fldCharType="begin"/>
      </w:r>
      <w:r w:rsidRPr="00907E8E">
        <w:instrText xml:space="preserve"> REF _Ref451174173 \h  \* MERGEFORMAT </w:instrText>
      </w:r>
      <w:r w:rsidRPr="00907E8E">
        <w:fldChar w:fldCharType="separate"/>
      </w:r>
      <w:r w:rsidR="006B4A74" w:rsidRPr="00907E8E">
        <w:t xml:space="preserve">Table </w:t>
      </w:r>
      <w:r w:rsidR="006B4A74">
        <w:t>3</w:t>
      </w:r>
      <w:r w:rsidR="006B4A74">
        <w:noBreakHyphen/>
        <w:t>9</w:t>
      </w:r>
      <w:r w:rsidRPr="00907E8E">
        <w:fldChar w:fldCharType="end"/>
      </w:r>
      <w:r w:rsidRPr="00907E8E">
        <w:t xml:space="preserve"> a summary of AusNet Services’ proposals on the issue.</w:t>
      </w:r>
    </w:p>
    <w:p w:rsidR="00907E8E" w:rsidRPr="00907E8E" w:rsidRDefault="00907E8E" w:rsidP="00907E8E">
      <w:pPr>
        <w:pStyle w:val="Caption"/>
      </w:pPr>
      <w:bookmarkStart w:id="130" w:name="_Ref451174173"/>
      <w:r w:rsidRPr="00907E8E">
        <w:t xml:space="preserve">Table </w:t>
      </w:r>
      <w:fldSimple w:instr=" STYLEREF 1 \s ">
        <w:r w:rsidR="006B4A74">
          <w:rPr>
            <w:noProof/>
          </w:rPr>
          <w:t>3</w:t>
        </w:r>
      </w:fldSimple>
      <w:r w:rsidR="008F29C8">
        <w:noBreakHyphen/>
      </w:r>
      <w:fldSimple w:instr=" SEQ Table \* ARABIC \s 1 ">
        <w:r w:rsidR="006B4A74">
          <w:rPr>
            <w:noProof/>
          </w:rPr>
          <w:t>9</w:t>
        </w:r>
      </w:fldSimple>
      <w:bookmarkEnd w:id="130"/>
      <w:r w:rsidRPr="00907E8E">
        <w:tab/>
        <w:t>Form of transition in initial versus revised proposals</w:t>
      </w:r>
    </w:p>
    <w:tbl>
      <w:tblPr>
        <w:tblStyle w:val="AERtable-text0"/>
        <w:tblW w:w="0" w:type="auto"/>
        <w:tblLook w:val="04A0" w:firstRow="1" w:lastRow="0" w:firstColumn="1" w:lastColumn="0" w:noHBand="0" w:noVBand="1"/>
      </w:tblPr>
      <w:tblGrid>
        <w:gridCol w:w="2118"/>
        <w:gridCol w:w="2515"/>
        <w:gridCol w:w="2195"/>
        <w:gridCol w:w="1865"/>
      </w:tblGrid>
      <w:tr w:rsidR="00907E8E" w:rsidRPr="00485023" w:rsidTr="002656D9">
        <w:trPr>
          <w:cnfStyle w:val="100000000000" w:firstRow="1" w:lastRow="0" w:firstColumn="0" w:lastColumn="0" w:oddVBand="0" w:evenVBand="0" w:oddHBand="0" w:evenHBand="0" w:firstRowFirstColumn="0" w:firstRowLastColumn="0" w:lastRowFirstColumn="0" w:lastRowLastColumn="0"/>
          <w:tblHeader/>
        </w:trPr>
        <w:tc>
          <w:tcPr>
            <w:tcW w:w="2118" w:type="dxa"/>
          </w:tcPr>
          <w:p w:rsidR="00907E8E" w:rsidRPr="00907E8E" w:rsidRDefault="00907E8E" w:rsidP="00907E8E">
            <w:r w:rsidRPr="00907E8E">
              <w:t>Initial proposals</w:t>
            </w:r>
          </w:p>
        </w:tc>
        <w:tc>
          <w:tcPr>
            <w:tcW w:w="2515" w:type="dxa"/>
          </w:tcPr>
          <w:p w:rsidR="00907E8E" w:rsidRPr="00907E8E" w:rsidRDefault="00907E8E" w:rsidP="00907E8E">
            <w:r w:rsidRPr="00907E8E">
              <w:t>Revised proposal, first preference</w:t>
            </w:r>
          </w:p>
        </w:tc>
        <w:tc>
          <w:tcPr>
            <w:tcW w:w="2195" w:type="dxa"/>
          </w:tcPr>
          <w:p w:rsidR="00907E8E" w:rsidRPr="00907E8E" w:rsidRDefault="00907E8E" w:rsidP="00907E8E">
            <w:r w:rsidRPr="00907E8E">
              <w:t>Revised proposal, second preference</w:t>
            </w:r>
          </w:p>
        </w:tc>
        <w:tc>
          <w:tcPr>
            <w:tcW w:w="1865" w:type="dxa"/>
          </w:tcPr>
          <w:p w:rsidR="00907E8E" w:rsidRPr="00907E8E" w:rsidRDefault="00907E8E" w:rsidP="00907E8E">
            <w:r w:rsidRPr="00907E8E">
              <w:t>Revised position via correspondence on 9 December 2016 and 20 December 2016</w:t>
            </w:r>
          </w:p>
        </w:tc>
      </w:tr>
      <w:tr w:rsidR="00907E8E" w:rsidRPr="00485023" w:rsidTr="00907E8E">
        <w:tc>
          <w:tcPr>
            <w:tcW w:w="2118" w:type="dxa"/>
          </w:tcPr>
          <w:p w:rsidR="00907E8E" w:rsidRPr="00907E8E" w:rsidRDefault="00907E8E" w:rsidP="00907E8E">
            <w:r w:rsidRPr="00907E8E">
              <w:t>AusNet Services applies the AER’s Guideline transition. It states:</w:t>
            </w:r>
            <w:r w:rsidRPr="00907E8E">
              <w:rPr>
                <w:rStyle w:val="FootnoteReference"/>
              </w:rPr>
              <w:footnoteReference w:id="582"/>
            </w:r>
          </w:p>
          <w:p w:rsidR="00907E8E" w:rsidRPr="00907E8E" w:rsidRDefault="00907E8E" w:rsidP="00907E8E">
            <w:r w:rsidRPr="00907E8E">
              <w:t>“AusNet Services does not object to the concept of ultimately adopting a trailing average approach, or to an appropriately designed transition. The transition should enable a benchmark efficient firm to recover an appropriate allowance for the return on debt, while it transitions its financing practices to reflect the new trailing average approach.”</w:t>
            </w:r>
          </w:p>
          <w:p w:rsidR="00907E8E" w:rsidRPr="00907E8E" w:rsidRDefault="00907E8E" w:rsidP="00907E8E"/>
        </w:tc>
        <w:tc>
          <w:tcPr>
            <w:tcW w:w="2515" w:type="dxa"/>
          </w:tcPr>
          <w:p w:rsidR="00907E8E" w:rsidRPr="00907E8E" w:rsidRDefault="00907E8E" w:rsidP="00907E8E">
            <w:r w:rsidRPr="00907E8E">
              <w:t>AusNet Services proposed to immediately adopt a backwards looking trailing average approach</w:t>
            </w:r>
            <w:r w:rsidR="00654881">
              <w:t xml:space="preserve"> i</w:t>
            </w:r>
            <w:r w:rsidR="00B21346">
              <w:t xml:space="preserve">n the revised </w:t>
            </w:r>
            <w:r w:rsidR="00E230BC">
              <w:t>revenue</w:t>
            </w:r>
            <w:r w:rsidR="00B21346">
              <w:t xml:space="preserve"> proposal</w:t>
            </w:r>
            <w:r w:rsidR="00654881">
              <w:t xml:space="preserve">.  </w:t>
            </w:r>
            <w:r w:rsidR="00950EA8">
              <w:t>AusNet S</w:t>
            </w:r>
            <w:r w:rsidR="006C364F" w:rsidRPr="006C364F">
              <w:t>ervice</w:t>
            </w:r>
            <w:r w:rsidR="00950EA8">
              <w:t>s</w:t>
            </w:r>
            <w:r w:rsidR="006C364F" w:rsidRPr="006C364F">
              <w:t xml:space="preserve"> submitted a new expert report by CEG in support of this.</w:t>
            </w:r>
            <w:r w:rsidR="00B70020">
              <w:rPr>
                <w:rStyle w:val="FootnoteReference"/>
              </w:rPr>
              <w:footnoteReference w:id="583"/>
            </w:r>
            <w:r w:rsidR="006C364F" w:rsidRPr="006C364F">
              <w:t xml:space="preserve"> In its revised proposal it</w:t>
            </w:r>
            <w:r w:rsidR="00654881">
              <w:t xml:space="preserve"> states that AusNet </w:t>
            </w:r>
            <w:r w:rsidR="00950EA8">
              <w:t xml:space="preserve">Services </w:t>
            </w:r>
            <w:r w:rsidR="0057502F">
              <w:t>has adopted the Tribunal's position that a transition is not required in order to achieve the ARORO.</w:t>
            </w:r>
            <w:r w:rsidR="00654881">
              <w:t xml:space="preserve"> </w:t>
            </w:r>
            <w:r w:rsidR="0057502F">
              <w:t>T</w:t>
            </w:r>
            <w:r w:rsidR="00654881">
              <w:t>he Revised Revenue Proposal adopts an immediate transition to the trailing average cost of debt.</w:t>
            </w:r>
            <w:r w:rsidR="00577B98">
              <w:t xml:space="preserve"> </w:t>
            </w:r>
            <w:r w:rsidR="00D73DF5">
              <w:t>This reflects the Tribunal's finding that the appropriate transition path should reflect the financing practices of an unregulated entity.</w:t>
            </w:r>
            <w:r w:rsidR="00E230BC">
              <w:rPr>
                <w:rStyle w:val="FootnoteReference"/>
              </w:rPr>
              <w:footnoteReference w:id="584"/>
            </w:r>
            <w:r w:rsidR="00654881">
              <w:t xml:space="preserve"> </w:t>
            </w:r>
            <w:r w:rsidRPr="00907E8E">
              <w:t xml:space="preserve"> </w:t>
            </w:r>
          </w:p>
          <w:p w:rsidR="00907E8E" w:rsidRPr="00907E8E" w:rsidRDefault="00907E8E" w:rsidP="00532FEF">
            <w:pPr>
              <w:pStyle w:val="AERbulletlistfirststyle"/>
              <w:numPr>
                <w:ilvl w:val="0"/>
                <w:numId w:val="0"/>
              </w:numPr>
              <w:ind w:left="357"/>
            </w:pPr>
          </w:p>
        </w:tc>
        <w:tc>
          <w:tcPr>
            <w:tcW w:w="2195" w:type="dxa"/>
          </w:tcPr>
          <w:p w:rsidR="00907E8E" w:rsidRPr="00907E8E" w:rsidRDefault="00907E8E" w:rsidP="00907E8E">
            <w:r w:rsidRPr="00907E8E">
              <w:t>AusNet Services proposed a 'hybrid transition' as their second preference.</w:t>
            </w:r>
            <w:r w:rsidRPr="00907E8E">
              <w:rPr>
                <w:rStyle w:val="FootnoteReference"/>
              </w:rPr>
              <w:footnoteReference w:id="585"/>
            </w:r>
            <w:r w:rsidRPr="00907E8E">
              <w:t xml:space="preserve"> This combined a 10 year transition of the base rate into a trailing average approach with a backwards looking trailing average debt risk premium (DRP). </w:t>
            </w:r>
          </w:p>
          <w:p w:rsidR="00907E8E" w:rsidRPr="00907E8E" w:rsidDel="00203689" w:rsidRDefault="00907E8E" w:rsidP="00907E8E">
            <w:r w:rsidRPr="00907E8E">
              <w:t>Its main reason for proposing a hybrid approach was that it would produce an allowed return on debt consistent with AusNet’s historically incurred financing costs, which it submitted were efficient. This is because AusNet Services had been raising debt on a staggered basis, had hedged the base rate to align with the debt allowance, but could not hedge the DRP.</w:t>
            </w:r>
            <w:r w:rsidRPr="00907E8E">
              <w:rPr>
                <w:rStyle w:val="FootnoteReference"/>
              </w:rPr>
              <w:footnoteReference w:id="586"/>
            </w:r>
            <w:r w:rsidRPr="00907E8E">
              <w:t xml:space="preserve"> Given this, AusNet Services submitted that compared to a full transition, a hybrid approach would reduce the mismatch between the expected DRP component of the return on debt and the regulatory allowance.</w:t>
            </w:r>
            <w:r w:rsidRPr="00907E8E">
              <w:rPr>
                <w:rStyle w:val="FootnoteReference"/>
              </w:rPr>
              <w:footnoteReference w:id="587"/>
            </w:r>
            <w:r w:rsidRPr="00907E8E">
              <w:t xml:space="preserve"> </w:t>
            </w:r>
          </w:p>
        </w:tc>
        <w:tc>
          <w:tcPr>
            <w:tcW w:w="1865" w:type="dxa"/>
          </w:tcPr>
          <w:p w:rsidR="00907E8E" w:rsidRPr="00907E8E" w:rsidRDefault="00907E8E" w:rsidP="00907E8E">
            <w:r w:rsidRPr="00907E8E">
              <w:t xml:space="preserve">AusNet Services proposed to adopt the AER’s </w:t>
            </w:r>
            <w:r w:rsidR="00FF1756">
              <w:t>Guid</w:t>
            </w:r>
            <w:r w:rsidR="00654881">
              <w:t>e</w:t>
            </w:r>
            <w:r w:rsidR="00FF1756">
              <w:t>line</w:t>
            </w:r>
            <w:r w:rsidR="00FF1756" w:rsidRPr="00907E8E">
              <w:t xml:space="preserve"> </w:t>
            </w:r>
            <w:r w:rsidRPr="00907E8E">
              <w:t>approach to implementing the new cost of debt approach (full transition approach) and withdraw the immediate transition approach to the cost of debt.</w:t>
            </w:r>
            <w:r w:rsidRPr="00907E8E">
              <w:rPr>
                <w:rStyle w:val="FootnoteReference"/>
              </w:rPr>
              <w:footnoteReference w:id="588"/>
            </w:r>
          </w:p>
          <w:p w:rsidR="00907E8E" w:rsidRPr="00907E8E" w:rsidRDefault="00907E8E" w:rsidP="00907E8E">
            <w:r w:rsidRPr="00907E8E">
              <w:t>It stated in the letter to the AER dated 9 December 2016 that AusNet Services has become increasingly uncomfortable with immediate transition approach because of:</w:t>
            </w:r>
            <w:r w:rsidR="00D043CC">
              <w:rPr>
                <w:rStyle w:val="FootnoteReference"/>
              </w:rPr>
              <w:footnoteReference w:id="589"/>
            </w:r>
            <w:r w:rsidRPr="00907E8E">
              <w:t xml:space="preserve"> </w:t>
            </w:r>
          </w:p>
          <w:p w:rsidR="00907E8E" w:rsidRPr="00907E8E" w:rsidRDefault="00907E8E" w:rsidP="00907E8E">
            <w:pPr>
              <w:pStyle w:val="AERbulletlistfirststyle"/>
            </w:pPr>
            <w:r w:rsidRPr="00907E8E">
              <w:t>The large impact on customer prices if it was implemented</w:t>
            </w:r>
          </w:p>
          <w:p w:rsidR="00907E8E" w:rsidRPr="00907E8E" w:rsidRDefault="00907E8E" w:rsidP="00907E8E">
            <w:pPr>
              <w:pStyle w:val="AERbulletlistfirststyle"/>
            </w:pPr>
            <w:r w:rsidRPr="00907E8E">
              <w:t>The fact it does not reflect the actual historical financing practices of the business</w:t>
            </w:r>
          </w:p>
          <w:p w:rsidR="00907E8E" w:rsidRPr="00907E8E" w:rsidRDefault="00907E8E" w:rsidP="00D043CC">
            <w:pPr>
              <w:pStyle w:val="AERbulletlistfirststyle"/>
            </w:pPr>
            <w:r w:rsidRPr="00907E8E">
              <w:t>The long period of uncertainty for all parties as these matters are resolved through multiple legal forums and remittal back to the AER.</w:t>
            </w:r>
          </w:p>
        </w:tc>
      </w:tr>
    </w:tbl>
    <w:p w:rsidR="00907E8E" w:rsidRPr="00907E8E" w:rsidRDefault="00907E8E" w:rsidP="00907E8E">
      <w:pPr>
        <w:pStyle w:val="AERtablesource"/>
      </w:pPr>
      <w:r w:rsidRPr="00907E8E">
        <w:t xml:space="preserve">Source: </w:t>
      </w:r>
      <w:r w:rsidRPr="00907E8E">
        <w:tab/>
        <w:t>Initial proposals from AusNet Services (</w:t>
      </w:r>
      <w:r w:rsidR="00290EAC">
        <w:t>October</w:t>
      </w:r>
      <w:r w:rsidR="00E765EB">
        <w:t xml:space="preserve"> </w:t>
      </w:r>
      <w:r w:rsidRPr="00907E8E">
        <w:t xml:space="preserve">2015). Revised proposals in 2016 from AusNet Services </w:t>
      </w:r>
    </w:p>
    <w:p w:rsidR="00907E8E" w:rsidRPr="00907E8E" w:rsidRDefault="00907E8E" w:rsidP="00907E8E">
      <w:r w:rsidRPr="00907E8E">
        <w:t>Notwithstanding AusNet Services has confirmed that the AER should apply the Guideline approach to transition, in response to the new information provided in AusNet Services</w:t>
      </w:r>
      <w:r w:rsidR="00532FEF">
        <w:t>'</w:t>
      </w:r>
      <w:r w:rsidRPr="00907E8E">
        <w:t xml:space="preserve"> revised proposal, we have reconsidered whether our approach to estimating the allowed return on debt in the Guideline would contribute to achieving the ARORO. We maintain our view from the draft decision that a full transition is required to achieve the ARORO. We also consider the ARORO requires we set an ex-ante rate of return that is commensurate with the efficient financing cost of a benchmark efficient entity with a similar degree of risk as the service provider supplying regulated services. We discuss these views and their relation to the return on debt approach in the sections below.</w:t>
      </w:r>
    </w:p>
    <w:p w:rsidR="00907E8E" w:rsidRPr="00907E8E" w:rsidRDefault="00907E8E" w:rsidP="00907E8E">
      <w:r w:rsidRPr="00907E8E">
        <w:t>It is also worth noting that the change in AusNet Service</w:t>
      </w:r>
      <w:r w:rsidR="00FF0D73">
        <w:t>s'</w:t>
      </w:r>
      <w:r w:rsidRPr="00907E8E">
        <w:t xml:space="preserve"> position in its revised proposal would have resulted in a notable increase in the allowed return on debt. </w:t>
      </w:r>
      <w:r w:rsidR="0010101E">
        <w:t>An</w:t>
      </w:r>
      <w:r w:rsidRPr="00907E8E">
        <w:t xml:space="preserve"> immediate move to a trailing average</w:t>
      </w:r>
      <w:r w:rsidR="0010101E">
        <w:t xml:space="preserve"> would have been a </w:t>
      </w:r>
      <w:r w:rsidRPr="00907E8E">
        <w:t>proposed debt allowance of 7.56 per cent.</w:t>
      </w:r>
      <w:r w:rsidRPr="00907E8E">
        <w:rPr>
          <w:rStyle w:val="FootnoteReference"/>
        </w:rPr>
        <w:footnoteReference w:id="590"/>
      </w:r>
      <w:r w:rsidRPr="00907E8E">
        <w:t xml:space="preserve"> We consider this would not only exceed the ex-ante efficient financing costs of a benchmark efficient entity, but would also exceed the historical costs of these individual service providers and be inconsistent with the ARORO (although, as discussed above, AusNet Services is no longer maintaining its claim for ‘no transition’ set out in its revised proposal). The difference in the allowed cash flows between full transition and no transition is shown algebraically in section </w:t>
      </w:r>
      <w:r w:rsidR="00956D15">
        <w:fldChar w:fldCharType="begin"/>
      </w:r>
      <w:r w:rsidR="00956D15">
        <w:instrText xml:space="preserve"> REF _Ref444773920 \r \h </w:instrText>
      </w:r>
      <w:r w:rsidR="00956D15">
        <w:fldChar w:fldCharType="separate"/>
      </w:r>
      <w:r w:rsidR="006B4A74">
        <w:t>H.3.3</w:t>
      </w:r>
      <w:r w:rsidR="00956D15">
        <w:fldChar w:fldCharType="end"/>
      </w:r>
      <w:r w:rsidR="00956D15">
        <w:t xml:space="preserve"> </w:t>
      </w:r>
      <w:r w:rsidRPr="00907E8E">
        <w:t>of Appendix</w:t>
      </w:r>
      <w:r w:rsidR="00956D15">
        <w:t xml:space="preserve"> </w:t>
      </w:r>
      <w:r w:rsidR="00956D15">
        <w:fldChar w:fldCharType="begin"/>
      </w:r>
      <w:r w:rsidR="00956D15">
        <w:instrText xml:space="preserve"> REF _Ref479168250 \r \h </w:instrText>
      </w:r>
      <w:r w:rsidR="00956D15">
        <w:fldChar w:fldCharType="separate"/>
      </w:r>
      <w:r w:rsidR="006B4A74">
        <w:t>H</w:t>
      </w:r>
      <w:r w:rsidR="00956D15">
        <w:fldChar w:fldCharType="end"/>
      </w:r>
      <w:r w:rsidRPr="00907E8E">
        <w:t>.</w:t>
      </w:r>
    </w:p>
    <w:p w:rsidR="0016738D" w:rsidRDefault="00907E8E" w:rsidP="00907E8E">
      <w:r w:rsidRPr="00907E8E">
        <w:t xml:space="preserve">In addition, we do not consider that a hybrid transition would achieve the ARORO. </w:t>
      </w:r>
    </w:p>
    <w:p w:rsidR="00907E8E" w:rsidRPr="00907E8E" w:rsidRDefault="00907E8E" w:rsidP="0016738D">
      <w:pPr>
        <w:pStyle w:val="HeadingBoldItalic"/>
      </w:pPr>
      <w:bookmarkStart w:id="131" w:name="_Toc480460521"/>
      <w:bookmarkStart w:id="132" w:name="_Toc480460811"/>
      <w:r w:rsidRPr="00907E8E">
        <w:t>Submissions on AusNet Services proposal to use an immediate (historical) trailing average cost of debt</w:t>
      </w:r>
      <w:bookmarkEnd w:id="131"/>
      <w:bookmarkEnd w:id="132"/>
      <w:r w:rsidRPr="00907E8E">
        <w:t xml:space="preserve"> </w:t>
      </w:r>
    </w:p>
    <w:p w:rsidR="00907E8E" w:rsidRPr="00907E8E" w:rsidRDefault="00907E8E" w:rsidP="00907E8E">
      <w:r w:rsidRPr="00907E8E">
        <w:t>In October 2016, CCP5</w:t>
      </w:r>
      <w:r w:rsidR="00604AA9">
        <w:t xml:space="preserve"> (consumer challenge panel five)</w:t>
      </w:r>
      <w:r w:rsidRPr="00907E8E">
        <w:t xml:space="preserve"> expressed its view on AusNet Services’ Revised revenue proposal to use an immediate trailing average, prior to AusNet Services withdrawing that aspect of its proposal.  We note the submission here for completeness. CCP5 expressed the view that the proposed cost of debt of 7.56% (under an immediate transition approach) was an opportunistic grab, given its initial proposal was much lower and the interest rates disclosed in its parents consolidated accounts were much lower.</w:t>
      </w:r>
      <w:r w:rsidR="00EB6EAE">
        <w:rPr>
          <w:rStyle w:val="FootnoteReference"/>
        </w:rPr>
        <w:footnoteReference w:id="591"/>
      </w:r>
      <w:r w:rsidR="00EB6EAE" w:rsidRPr="00907E8E">
        <w:t xml:space="preserve"> </w:t>
      </w:r>
      <w:r w:rsidRPr="00907E8E">
        <w:t>CCP5 considered its genuine cost of debt is without doubt closer to 5.22% than 7.56%</w:t>
      </w:r>
      <w:r w:rsidR="00EB6EAE">
        <w:rPr>
          <w:rStyle w:val="FootnoteReference"/>
        </w:rPr>
        <w:footnoteReference w:id="592"/>
      </w:r>
      <w:r w:rsidRPr="00907E8E">
        <w:t>and stated:</w:t>
      </w:r>
      <w:r w:rsidRPr="00907E8E">
        <w:rPr>
          <w:rStyle w:val="FootnoteReference"/>
        </w:rPr>
        <w:t xml:space="preserve"> </w:t>
      </w:r>
      <w:r w:rsidR="00EB6EAE">
        <w:rPr>
          <w:rStyle w:val="FootnoteReference"/>
        </w:rPr>
        <w:footnoteReference w:id="593"/>
      </w:r>
    </w:p>
    <w:p w:rsidR="00907E8E" w:rsidRPr="00907E8E" w:rsidRDefault="00907E8E" w:rsidP="00907E8E">
      <w:pPr>
        <w:pStyle w:val="AERquote"/>
      </w:pPr>
      <w:r w:rsidRPr="00907E8E">
        <w:t>“Regulated networks must face an incentive to keep all costs as low as possible, including cost of debt, and it is incomprehensible to us that between AusNet Services’ original proposal in October 2015 and this proposal in September 2016, their efficient cost of debt has risen by 200 basis points.  It is in consumers’ long term interests that the cost of debt included in the rate of return reflects current market conditions and motivates businesses to borrow in the most efficient and prudent way.”</w:t>
      </w:r>
    </w:p>
    <w:p w:rsidR="004A3FF1" w:rsidRDefault="00907E8E" w:rsidP="004A3FF1">
      <w:r w:rsidRPr="00907E8E">
        <w:t>However, on 9 Dece</w:t>
      </w:r>
      <w:r w:rsidR="0016738D">
        <w:t>m</w:t>
      </w:r>
      <w:r w:rsidRPr="00907E8E">
        <w:t xml:space="preserve">ber 2016, AusNet Services wrote to the AER advising of its intent to propose a cost of debt transition consistent with the AER’s Guideline and to withdraw the immediate transition cost of debt approach from its Transmission Revised Revenue Proposal for the </w:t>
      </w:r>
      <w:r w:rsidR="00076F97">
        <w:t>2017–22</w:t>
      </w:r>
      <w:r w:rsidRPr="00907E8E">
        <w:t xml:space="preserve"> regulatory control period.</w:t>
      </w:r>
      <w:r w:rsidR="00EB6EAE">
        <w:rPr>
          <w:rStyle w:val="FootnoteReference"/>
        </w:rPr>
        <w:footnoteReference w:id="594"/>
      </w:r>
      <w:r w:rsidR="00EB6EAE" w:rsidRPr="00907E8E">
        <w:t xml:space="preserve"> </w:t>
      </w:r>
      <w:r w:rsidRPr="00907E8E">
        <w:t>Consistent with this intent, on 20 Dec 2016 AusNet Services provided a further letter indicating it was now proposing a full transition for its transmission determination and provided revised modelling consistent with the AER’s full transition approach on 20 December 2016.</w:t>
      </w:r>
      <w:r w:rsidR="00EB6EAE">
        <w:rPr>
          <w:rStyle w:val="FootnoteReference"/>
        </w:rPr>
        <w:footnoteReference w:id="595"/>
      </w:r>
      <w:r w:rsidR="0016738D" w:rsidRPr="00907E8E" w:rsidDel="00F56912">
        <w:t xml:space="preserve"> </w:t>
      </w:r>
    </w:p>
    <w:p w:rsidR="00907E8E" w:rsidRPr="00907E8E" w:rsidRDefault="00907E8E" w:rsidP="00907E8E">
      <w:pPr>
        <w:pStyle w:val="HeadingBoldItalic"/>
      </w:pPr>
      <w:bookmarkStart w:id="133" w:name="_Toc480460522"/>
      <w:bookmarkStart w:id="134" w:name="_Toc480460812"/>
      <w:r w:rsidRPr="00907E8E">
        <w:t>Approaches that contribute to the achievement of the ARORO</w:t>
      </w:r>
      <w:bookmarkEnd w:id="133"/>
      <w:bookmarkEnd w:id="134"/>
    </w:p>
    <w:p w:rsidR="00907E8E" w:rsidRPr="00907E8E" w:rsidRDefault="00907E8E" w:rsidP="00907E8E">
      <w:r w:rsidRPr="00907E8E">
        <w:t>We consider the ARORO requires that the allowed rate of return appropriately compensates investors for capital investments (in an ex-ante sense) and aims to minimise the long run cost of capital (all else being equal).</w:t>
      </w:r>
      <w:r w:rsidRPr="00907E8E">
        <w:rPr>
          <w:rStyle w:val="FootnoteReference"/>
        </w:rPr>
        <w:footnoteReference w:id="596"/>
      </w:r>
      <w:r w:rsidRPr="00907E8E">
        <w:t xml:space="preserve"> 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w:t>
      </w:r>
      <w:r w:rsidR="00956D15">
        <w:t xml:space="preserve"> </w:t>
      </w:r>
      <w:r w:rsidR="00956D15">
        <w:fldChar w:fldCharType="begin"/>
      </w:r>
      <w:r w:rsidR="00956D15">
        <w:instrText xml:space="preserve"> REF _Ref479168317 \r \h </w:instrText>
      </w:r>
      <w:r w:rsidR="00956D15">
        <w:fldChar w:fldCharType="separate"/>
      </w:r>
      <w:r w:rsidR="006B4A74">
        <w:t>3.3.3</w:t>
      </w:r>
      <w:r w:rsidR="00956D15">
        <w:fldChar w:fldCharType="end"/>
      </w:r>
      <w:r w:rsidRPr="00907E8E">
        <w:t>.</w:t>
      </w:r>
      <w:r w:rsidRPr="00907E8E">
        <w:rPr>
          <w:rStyle w:val="FootnoteReference"/>
        </w:rPr>
        <w:footnoteReference w:id="597"/>
      </w:r>
    </w:p>
    <w:p w:rsidR="00907E8E" w:rsidRPr="00907E8E" w:rsidRDefault="00907E8E" w:rsidP="00907E8E">
      <w:r w:rsidRPr="00907E8E">
        <w:t>A rate of return that achieves the ARORO should also be consistent with the RPPs in the NEL/NGL, which indicate a service provider should be provided with a reasonable opportunity to recover at least efficient costs. These also require that we should provide regulated firms with effective incentives to promote economic efficiency and have regard to the economic costs and risk of the potential for service providers to under- or over-invest.</w:t>
      </w:r>
      <w:r w:rsidRPr="00907E8E">
        <w:rPr>
          <w:rStyle w:val="FootnoteReference"/>
        </w:rPr>
        <w:footnoteReference w:id="598"/>
      </w:r>
    </w:p>
    <w:p w:rsidR="00907E8E" w:rsidRPr="00907E8E" w:rsidRDefault="00907E8E" w:rsidP="00907E8E">
      <w:r w:rsidRPr="00907E8E">
        <w:t xml:space="preserve">We have formed our view that our decision to estimate the allowed return on debt by starting with an on-the-day approach for the first regulatory year and gradually transitioning into a trailing average approach over 10 years will result in an allowed return on debt that contributes to the achievement of the ARORO. The other option that we consider would achieve the ARORO is maintaining the on-the-day approach. Related to this, all else being equal, a trailing average (with transition) and on-the-day approach provide equivalent ex-ante compensation over the term of the RAB (see Appendix </w:t>
      </w:r>
      <w:r w:rsidR="00956D15">
        <w:fldChar w:fldCharType="begin"/>
      </w:r>
      <w:r w:rsidR="00956D15">
        <w:instrText xml:space="preserve"> REF _Ref447886226 \r \h </w:instrText>
      </w:r>
      <w:r w:rsidR="00956D15">
        <w:fldChar w:fldCharType="separate"/>
      </w:r>
      <w:r w:rsidR="006B4A74">
        <w:t>H.5.2</w:t>
      </w:r>
      <w:r w:rsidR="00956D15">
        <w:fldChar w:fldCharType="end"/>
      </w:r>
      <w:r w:rsidR="00956D15">
        <w:t xml:space="preserve"> </w:t>
      </w:r>
      <w:r w:rsidRPr="00907E8E">
        <w:t>for a detailed discussion). We consider this position is consistent with the AEMC's observations about SFG's view:</w:t>
      </w:r>
      <w:r w:rsidRPr="00907E8E">
        <w:rPr>
          <w:rStyle w:val="FootnoteReference"/>
        </w:rPr>
        <w:footnoteReference w:id="599"/>
      </w:r>
    </w:p>
    <w:p w:rsidR="00907E8E" w:rsidRPr="00907E8E" w:rsidRDefault="00907E8E" w:rsidP="00907E8E">
      <w:pPr>
        <w:pStyle w:val="AERquote"/>
      </w:pPr>
      <w:r w:rsidRPr="00907E8E">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907E8E" w:rsidRPr="00907E8E" w:rsidRDefault="00907E8E" w:rsidP="008D75FD">
      <w:r w:rsidRPr="00907E8E">
        <w:t>As noted above, we reconsidered our view on what will achieve the ARORO in light of AusNet Services revised proposal and CEG’s report on the ARORO submitted with this proposal. We also had our consultants consider this point.</w:t>
      </w:r>
      <w:r w:rsidRPr="00907E8E">
        <w:rPr>
          <w:rStyle w:val="FootnoteReference"/>
        </w:rPr>
        <w:footnoteReference w:id="600"/>
      </w:r>
      <w:r w:rsidRPr="00907E8E">
        <w:t xml:space="preserve"> Following a full review, we remain of the view our approach taken in the draft decision (of using a trailing average with full transition) is appropriate and will contribute to an allowed rate of return that will achieve the ARORO for the reasons discussed</w:t>
      </w:r>
      <w:r w:rsidR="00604AA9">
        <w:t xml:space="preserve"> below</w:t>
      </w:r>
      <w:r w:rsidRPr="00907E8E">
        <w:t>. Responses to specific criticisms of our approach contained in either the AusNet Services</w:t>
      </w:r>
      <w:r w:rsidR="009B515A">
        <w:t xml:space="preserve"> proposal,</w:t>
      </w:r>
      <w:r w:rsidR="0086018D">
        <w:t xml:space="preserve"> </w:t>
      </w:r>
      <w:r w:rsidRPr="00907E8E">
        <w:t xml:space="preserve">or in </w:t>
      </w:r>
      <w:r w:rsidR="006C364F">
        <w:t xml:space="preserve">the </w:t>
      </w:r>
      <w:r w:rsidRPr="00907E8E">
        <w:t>CEG report, are discussed in Appendix</w:t>
      </w:r>
      <w:r w:rsidR="00945D68">
        <w:t xml:space="preserve"> </w:t>
      </w:r>
      <w:r w:rsidR="00945D68">
        <w:fldChar w:fldCharType="begin"/>
      </w:r>
      <w:r w:rsidR="00945D68">
        <w:instrText xml:space="preserve"> REF _Ref447886226 \r \h </w:instrText>
      </w:r>
      <w:r w:rsidR="00945D68">
        <w:fldChar w:fldCharType="separate"/>
      </w:r>
      <w:r w:rsidR="006B4A74">
        <w:t>H.5.2</w:t>
      </w:r>
      <w:r w:rsidR="00945D68">
        <w:fldChar w:fldCharType="end"/>
      </w:r>
      <w:r w:rsidRPr="00907E8E">
        <w:t>.</w:t>
      </w:r>
    </w:p>
    <w:p w:rsidR="00907E8E" w:rsidRPr="00907E8E" w:rsidRDefault="00907E8E" w:rsidP="00907E8E">
      <w:pPr>
        <w:pStyle w:val="HeadingItalic"/>
      </w:pPr>
      <w:bookmarkStart w:id="135" w:name="_Toc480460523"/>
      <w:bookmarkStart w:id="136" w:name="_Toc480460813"/>
      <w:r w:rsidRPr="00907E8E">
        <w:t>Trailing average (with full transition) meets the ARORO</w:t>
      </w:r>
      <w:bookmarkEnd w:id="135"/>
      <w:bookmarkEnd w:id="136"/>
    </w:p>
    <w:p w:rsidR="00907E8E" w:rsidRPr="00907E8E" w:rsidRDefault="00907E8E" w:rsidP="00907E8E">
      <w:r w:rsidRPr="00907E8E">
        <w:t xml:space="preserve">With a full transition, a trailing average approach would provide a benchmark efficient entity with a reasonable opportunity to recover at least efficient costs over the term of the RAB. It could therefore result in an allowed return on debt (and overall rate of return) that can be consistent with the rules and NEL/NGL. Appendix </w:t>
      </w:r>
      <w:r w:rsidR="008B41F6">
        <w:fldChar w:fldCharType="begin"/>
      </w:r>
      <w:r w:rsidR="008B41F6">
        <w:instrText xml:space="preserve"> REF _Ref479168556 \r \h </w:instrText>
      </w:r>
      <w:r w:rsidR="008B41F6">
        <w:fldChar w:fldCharType="separate"/>
      </w:r>
      <w:r w:rsidR="006B4A74">
        <w:t>H</w:t>
      </w:r>
      <w:r w:rsidR="008B41F6">
        <w:fldChar w:fldCharType="end"/>
      </w:r>
      <w:r w:rsidR="00577B98">
        <w:t xml:space="preserve"> </w:t>
      </w:r>
      <w:r w:rsidRPr="00907E8E">
        <w:t>provides detailed reasons, including a mathematic description, for why this holds. Further, regarding adopting a trailing average approach more broadly:</w:t>
      </w:r>
    </w:p>
    <w:p w:rsidR="00907E8E" w:rsidRPr="00907E8E" w:rsidRDefault="00907E8E" w:rsidP="00907E8E">
      <w:pPr>
        <w:pStyle w:val="AERbulletlistfirststyle"/>
      </w:pPr>
      <w:r w:rsidRPr="00907E8E">
        <w:t>Compared to an on-the-day approach, a trailing average approach will lead to less volatile cash flows.</w:t>
      </w:r>
      <w:r w:rsidRPr="00907E8E">
        <w:rPr>
          <w:rStyle w:val="FootnoteReference"/>
        </w:rPr>
        <w:footnoteReference w:id="601"/>
      </w:r>
    </w:p>
    <w:p w:rsidR="00907E8E" w:rsidRPr="00907E8E" w:rsidRDefault="00907E8E" w:rsidP="00907E8E">
      <w:pPr>
        <w:pStyle w:val="AERbulletlistfirststyle"/>
      </w:pPr>
      <w:r w:rsidRPr="00907E8E">
        <w:t>Some stakeholders submitted that a trailing average would reduce some of the risks faced by service providers, which would eventually flow to lower betas than what we have historically seen.</w:t>
      </w:r>
      <w:r w:rsidRPr="00907E8E">
        <w:rPr>
          <w:rStyle w:val="FootnoteReference"/>
        </w:rPr>
        <w:footnoteReference w:id="602"/>
      </w:r>
      <w:r w:rsidRPr="00907E8E">
        <w:t xml:space="preserve"> Frontier also advised that a trailing average approach would result in a smooth profile for the allowed return on debt.</w:t>
      </w:r>
      <w:r w:rsidRPr="00907E8E">
        <w:rPr>
          <w:rStyle w:val="FootnoteReference"/>
        </w:rPr>
        <w:footnoteReference w:id="603"/>
      </w:r>
    </w:p>
    <w:p w:rsidR="00907E8E" w:rsidRPr="00907E8E" w:rsidRDefault="00907E8E" w:rsidP="00907E8E">
      <w:pPr>
        <w:pStyle w:val="AERbulletlistfirststyle"/>
      </w:pPr>
      <w:r w:rsidRPr="00907E8E">
        <w:t>A trailing average approach received broad stakeholder support.</w:t>
      </w:r>
      <w:r w:rsidRPr="00907E8E">
        <w:rPr>
          <w:rStyle w:val="FootnoteReference"/>
        </w:rPr>
        <w:footnoteReference w:id="604"/>
      </w:r>
      <w:r w:rsidRPr="00907E8E">
        <w:t xml:space="preserve"> </w:t>
      </w:r>
    </w:p>
    <w:p w:rsidR="00907E8E" w:rsidRPr="00907E8E" w:rsidRDefault="00907E8E" w:rsidP="00907E8E">
      <w:r w:rsidRPr="00907E8E">
        <w:t>We consider the on-the-day approach could contribute to the achievement of the ARORO and is therefore open to us (see the following section). On this basis, the present value of a benchmark efficient entity's allowed revenues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907E8E" w:rsidRPr="00907E8E" w:rsidRDefault="00907E8E" w:rsidP="00907E8E">
      <w:r w:rsidRPr="00907E8E">
        <w:t xml:space="preserve">If this holds, then changing the present value of a benchmark efficient entity would result in overcompensation (if we increase its value) or </w:t>
      </w:r>
      <w:r w:rsidR="00410AB6" w:rsidRPr="00907E8E">
        <w:t>under compensation</w:t>
      </w:r>
      <w:r w:rsidRPr="00907E8E">
        <w:t xml:space="preserve">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907E8E" w:rsidRPr="00907E8E" w:rsidRDefault="00907E8E" w:rsidP="00907E8E">
      <w:r w:rsidRPr="00907E8E">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 approaches will typically produce different estimates at given points in time.</w:t>
      </w:r>
    </w:p>
    <w:p w:rsidR="00907E8E" w:rsidRPr="00907E8E" w:rsidRDefault="00907E8E" w:rsidP="00907E8E">
      <w:r w:rsidRPr="00907E8E">
        <w:t>For this reason, we have used our transition approach because it is approximately revenue neutral (in a present value sense).</w:t>
      </w:r>
      <w:r w:rsidRPr="00907E8E">
        <w:rPr>
          <w:rStyle w:val="FootnoteReference"/>
        </w:rPr>
        <w:footnoteReference w:id="605"/>
      </w:r>
      <w:r w:rsidRPr="00907E8E">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907E8E">
        <w:rPr>
          <w:rStyle w:val="FootnoteReference"/>
        </w:rPr>
        <w:footnoteReference w:id="606"/>
      </w:r>
      <w:r w:rsidRPr="00907E8E">
        <w:t xml:space="preserve"> We also note that SFG advised the AEMC that the type of transition mechanism we apply in this final decision would be effective:</w:t>
      </w:r>
      <w:r w:rsidRPr="00907E8E">
        <w:rPr>
          <w:rStyle w:val="FootnoteReference"/>
        </w:rPr>
        <w:footnoteReference w:id="607"/>
      </w:r>
    </w:p>
    <w:p w:rsidR="00907E8E" w:rsidRPr="00907E8E" w:rsidRDefault="00907E8E" w:rsidP="00907E8E">
      <w:pPr>
        <w:pStyle w:val="AERquote"/>
      </w:pPr>
      <w:r w:rsidRPr="00907E8E">
        <w:t xml:space="preserve">The type of “rolling in” arrangement [transition] that has been proposed by QTC [the full transition we adopted] would be an effective means of transitioning from the current Rules to the use of an historical average cost of debt approach </w:t>
      </w:r>
    </w:p>
    <w:p w:rsidR="00907E8E" w:rsidRPr="00907E8E" w:rsidRDefault="00907E8E" w:rsidP="00907E8E">
      <w:r w:rsidRPr="00907E8E">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 any impacts on a benchmark efficient entity referred to in the ARORO that could arise from a change of methodology.</w:t>
      </w:r>
      <w:r w:rsidRPr="00907E8E">
        <w:rPr>
          <w:rStyle w:val="FootnoteReference"/>
        </w:rPr>
        <w:footnoteReference w:id="608"/>
      </w:r>
      <w:r w:rsidRPr="00907E8E">
        <w:t xml:space="preserve"> The AEMC explained that the purpose of this aspect of the rules was:</w:t>
      </w:r>
      <w:r w:rsidRPr="00907E8E">
        <w:rPr>
          <w:rStyle w:val="FootnoteReference"/>
        </w:rPr>
        <w:footnoteReference w:id="609"/>
      </w:r>
    </w:p>
    <w:p w:rsidR="00907E8E" w:rsidRPr="00907E8E" w:rsidRDefault="00907E8E" w:rsidP="00907E8E">
      <w:pPr>
        <w:pStyle w:val="AERquote"/>
      </w:pPr>
      <w:r w:rsidRPr="00907E8E">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07E8E" w:rsidRPr="00907E8E" w:rsidRDefault="00393010" w:rsidP="0016738D">
      <w:r>
        <w:t xml:space="preserve">In its revised proposal AusNet Services </w:t>
      </w:r>
      <w:r w:rsidR="00407455">
        <w:t xml:space="preserve">have implicitly </w:t>
      </w:r>
      <w:r w:rsidR="00907E8E" w:rsidRPr="00907E8E">
        <w:t>criticised our (full transition) approach arguing it will not contribute to a rate of return that will contribute to the ARORO.</w:t>
      </w:r>
      <w:r w:rsidR="00907E8E" w:rsidRPr="00907E8E">
        <w:rPr>
          <w:rStyle w:val="FootnoteReference"/>
        </w:rPr>
        <w:footnoteReference w:id="610"/>
      </w:r>
      <w:r w:rsidR="00907E8E" w:rsidRPr="00907E8E">
        <w:t xml:space="preserve"> This was supported by an experts report from CEG.</w:t>
      </w:r>
      <w:r w:rsidR="00907E8E" w:rsidRPr="00907E8E">
        <w:rPr>
          <w:rStyle w:val="FootnoteReference"/>
        </w:rPr>
        <w:footnoteReference w:id="611"/>
      </w:r>
      <w:r w:rsidR="00907E8E" w:rsidRPr="00907E8E">
        <w:t xml:space="preserve"> We and our consultants have considered the new material. Nothing in the new material submitted changes our views expressed above on why the continuation of the on the day regime will meet the ARORO. </w:t>
      </w:r>
      <w:r w:rsidR="00EA649B" w:rsidRPr="00265DD1">
        <w:t xml:space="preserve">We maintain our decision of adopting a full transition if the trailing average approach is applied, otherwise, we would continue to use the on the day regime in the cost of debt calculation for </w:t>
      </w:r>
      <w:r w:rsidR="00EA649B">
        <w:t>AusNet Services and also the other service</w:t>
      </w:r>
      <w:r w:rsidR="00EA649B" w:rsidRPr="00265DD1">
        <w:t xml:space="preserve"> providers.</w:t>
      </w:r>
      <w:r w:rsidR="00EA649B">
        <w:t xml:space="preserve"> </w:t>
      </w:r>
      <w:r w:rsidR="00907E8E" w:rsidRPr="00907E8E">
        <w:t>Our responses to the specific criticisms of our approach are covered in Appendix</w:t>
      </w:r>
      <w:r w:rsidR="00945D68">
        <w:t xml:space="preserve"> </w:t>
      </w:r>
      <w:r w:rsidR="00945D68">
        <w:fldChar w:fldCharType="begin"/>
      </w:r>
      <w:r w:rsidR="00945D68">
        <w:instrText xml:space="preserve"> REF _Ref447886226 \r \h </w:instrText>
      </w:r>
      <w:r w:rsidR="00945D68">
        <w:fldChar w:fldCharType="separate"/>
      </w:r>
      <w:r w:rsidR="006B4A74">
        <w:t>H.5.2</w:t>
      </w:r>
      <w:r w:rsidR="00945D68">
        <w:fldChar w:fldCharType="end"/>
      </w:r>
      <w:r w:rsidR="00907E8E" w:rsidRPr="00907E8E">
        <w:t>.</w:t>
      </w:r>
    </w:p>
    <w:p w:rsidR="00907E8E" w:rsidRPr="00907E8E" w:rsidRDefault="00907E8E" w:rsidP="00907E8E">
      <w:pPr>
        <w:pStyle w:val="HeadingItalic"/>
      </w:pPr>
      <w:bookmarkStart w:id="137" w:name="_Toc480460524"/>
      <w:bookmarkStart w:id="138" w:name="_Toc480460814"/>
      <w:r w:rsidRPr="00907E8E">
        <w:t>Continuing the on-the-day approach meets the ARORO</w:t>
      </w:r>
      <w:bookmarkEnd w:id="137"/>
      <w:bookmarkEnd w:id="138"/>
    </w:p>
    <w:p w:rsidR="00907E8E" w:rsidRDefault="00907E8E" w:rsidP="00907E8E">
      <w:r w:rsidRPr="00907E8E">
        <w:t xml:space="preserve">An on-the-day approach provides service providers with a reasonable opportunity to recover at least efficient costs over the term of the RAB </w:t>
      </w:r>
      <w:r w:rsidRPr="00907E8E">
        <w:rPr>
          <w:rStyle w:val="AERtextunderline"/>
        </w:rPr>
        <w:t>and</w:t>
      </w:r>
      <w:r w:rsidRPr="00907E8E">
        <w:t xml:space="preserve"> over each regulatory control period. Appendix </w:t>
      </w:r>
      <w:r w:rsidR="00945D68">
        <w:fldChar w:fldCharType="begin"/>
      </w:r>
      <w:r w:rsidR="00945D68">
        <w:instrText xml:space="preserve"> REF _Ref444767739 \r \h </w:instrText>
      </w:r>
      <w:r w:rsidR="00945D68">
        <w:fldChar w:fldCharType="separate"/>
      </w:r>
      <w:r w:rsidR="006B4A74">
        <w:t>H.3</w:t>
      </w:r>
      <w:r w:rsidR="00945D68">
        <w:fldChar w:fldCharType="end"/>
      </w:r>
      <w:r w:rsidRPr="00907E8E">
        <w:t>provides detailed reasons, including a mathematic description, for why this holds. On this basis, we consider continuing the on-the-day approach for estimating the allowed return on debt will achieve the ARORO and the NEO.</w:t>
      </w:r>
      <w:r w:rsidRPr="00907E8E">
        <w:rPr>
          <w:rStyle w:val="FootnoteReference"/>
        </w:rPr>
        <w:footnoteReference w:id="612"/>
      </w:r>
      <w:r w:rsidRPr="00907E8E">
        <w:t xml:space="preserve"> Further, as </w:t>
      </w:r>
      <w:r w:rsidRPr="00907E8E">
        <w:fldChar w:fldCharType="begin"/>
      </w:r>
      <w:r w:rsidRPr="00907E8E">
        <w:instrText xml:space="preserve"> REF  _Ref451174194 \* Lower \h  \* MERGEFORMAT </w:instrText>
      </w:r>
      <w:r w:rsidRPr="00907E8E">
        <w:fldChar w:fldCharType="separate"/>
      </w:r>
      <w:r w:rsidR="006B4A74" w:rsidRPr="00907E8E">
        <w:t xml:space="preserve">table </w:t>
      </w:r>
      <w:r w:rsidR="006B4A74">
        <w:t>3</w:t>
      </w:r>
      <w:r w:rsidR="006B4A74">
        <w:noBreakHyphen/>
        <w:t>10</w:t>
      </w:r>
      <w:r w:rsidRPr="00907E8E">
        <w:fldChar w:fldCharType="end"/>
      </w:r>
      <w:r w:rsidRPr="00907E8E">
        <w:t xml:space="preserve"> shows, we consider that neither an on-the-day nor trailing average approach would be clearly superior to the other. Rather, each of these approaches has its own benefits and limitations.</w:t>
      </w:r>
    </w:p>
    <w:p w:rsidR="00B70020" w:rsidRPr="00907E8E" w:rsidRDefault="00B70020" w:rsidP="00907E8E">
      <w:r w:rsidRPr="00B70020">
        <w:t>Some service providers and CEG have implicitly criticised our view that continuing the on the day approach will contribute to a rate of return that will meet the ARORO.</w:t>
      </w:r>
      <w:r w:rsidRPr="00B70020">
        <w:rPr>
          <w:rStyle w:val="FootnoteReference"/>
        </w:rPr>
        <w:footnoteReference w:id="613"/>
      </w:r>
      <w:r w:rsidRPr="00B70020">
        <w:t xml:space="preserve"> CEG submit that that our valuation analysis we use to show the on the day approach provides an appropriate return assumes a firm has no debt.</w:t>
      </w:r>
      <w:r w:rsidRPr="00B70020">
        <w:rPr>
          <w:rStyle w:val="FootnoteReference"/>
        </w:rPr>
        <w:footnoteReference w:id="614"/>
      </w:r>
      <w:r w:rsidRPr="00B70020">
        <w:t xml:space="preserve"> We and our consultants considered the new material. Nothing in the new material submitted changes our views expressed above on why the continuation of the on the day regime will meet the ARORO. Our responses to the specific criticisms of our approach are covered in Appendix</w:t>
      </w:r>
      <w:r w:rsidR="00A847F7">
        <w:t xml:space="preserve"> </w:t>
      </w:r>
      <w:r w:rsidR="00A847F7">
        <w:fldChar w:fldCharType="begin"/>
      </w:r>
      <w:r w:rsidR="00A847F7">
        <w:instrText xml:space="preserve"> REF _Ref447886226 \r \h </w:instrText>
      </w:r>
      <w:r w:rsidR="00A847F7">
        <w:fldChar w:fldCharType="separate"/>
      </w:r>
      <w:r w:rsidR="00A847F7">
        <w:t>H.5.2</w:t>
      </w:r>
      <w:r w:rsidR="00A847F7">
        <w:fldChar w:fldCharType="end"/>
      </w:r>
      <w:r w:rsidR="00C853FE">
        <w:t>.</w:t>
      </w:r>
    </w:p>
    <w:p w:rsidR="00907E8E" w:rsidRPr="00907E8E" w:rsidRDefault="00907E8E" w:rsidP="00907E8E">
      <w:r w:rsidRPr="00907E8E">
        <w:t>Given this, while we adopt a trailing average for this determination, we do not consider this change in methodology would be justified in the absence of a transition. Without a transition, the change to the trailing average would not be revenue neutral, but would rather increase the present value of a benchmark efficient entity's allowed revenues purely due to changing the debt estimation methodology (see the subsequent section). Consequently, in the absence of a transition, we would not consider a trailing approach will achieve the ARORO and we would instead maintain the on-the-day approach to estimating the return on debt.</w:t>
      </w:r>
    </w:p>
    <w:p w:rsidR="00907E8E" w:rsidRPr="00907E8E" w:rsidRDefault="00907E8E" w:rsidP="00907E8E">
      <w:pPr>
        <w:pStyle w:val="Caption"/>
      </w:pPr>
      <w:bookmarkStart w:id="139" w:name="_Ref451174194"/>
      <w:r w:rsidRPr="00907E8E">
        <w:t xml:space="preserve">Table </w:t>
      </w:r>
      <w:fldSimple w:instr=" STYLEREF 1 \s ">
        <w:r w:rsidR="006B4A74">
          <w:rPr>
            <w:noProof/>
          </w:rPr>
          <w:t>3</w:t>
        </w:r>
      </w:fldSimple>
      <w:r w:rsidR="008F29C8">
        <w:noBreakHyphen/>
      </w:r>
      <w:fldSimple w:instr=" SEQ Table \* ARABIC \s 1 ">
        <w:r w:rsidR="006B4A74">
          <w:rPr>
            <w:noProof/>
          </w:rPr>
          <w:t>10</w:t>
        </w:r>
      </w:fldSimple>
      <w:bookmarkEnd w:id="139"/>
      <w:r w:rsidRPr="00907E8E">
        <w:t>: Benefits of different debt approaches</w:t>
      </w:r>
    </w:p>
    <w:tbl>
      <w:tblPr>
        <w:tblStyle w:val="AERtable-text0"/>
        <w:tblW w:w="0" w:type="auto"/>
        <w:tblLook w:val="04A0" w:firstRow="1" w:lastRow="0" w:firstColumn="1" w:lastColumn="0" w:noHBand="0" w:noVBand="1"/>
      </w:tblPr>
      <w:tblGrid>
        <w:gridCol w:w="4346"/>
        <w:gridCol w:w="4347"/>
      </w:tblGrid>
      <w:tr w:rsidR="00907E8E" w:rsidRPr="00485023" w:rsidTr="002656D9">
        <w:trPr>
          <w:cnfStyle w:val="100000000000" w:firstRow="1" w:lastRow="0" w:firstColumn="0" w:lastColumn="0" w:oddVBand="0" w:evenVBand="0" w:oddHBand="0" w:evenHBand="0" w:firstRowFirstColumn="0" w:firstRowLastColumn="0" w:lastRowFirstColumn="0" w:lastRowLastColumn="0"/>
          <w:tblHeader/>
        </w:trPr>
        <w:tc>
          <w:tcPr>
            <w:tcW w:w="4346" w:type="dxa"/>
          </w:tcPr>
          <w:p w:rsidR="00907E8E" w:rsidRPr="00907E8E" w:rsidRDefault="00907E8E" w:rsidP="00907E8E">
            <w:r w:rsidRPr="00907E8E">
              <w:t>Benefits of a trailing average approach</w:t>
            </w:r>
          </w:p>
        </w:tc>
        <w:tc>
          <w:tcPr>
            <w:tcW w:w="4347" w:type="dxa"/>
          </w:tcPr>
          <w:p w:rsidR="00907E8E" w:rsidRPr="00907E8E" w:rsidRDefault="00907E8E" w:rsidP="00907E8E">
            <w:r w:rsidRPr="00907E8E">
              <w:t>Benefits of an on-the-day approach</w:t>
            </w:r>
          </w:p>
        </w:tc>
      </w:tr>
      <w:tr w:rsidR="00907E8E" w:rsidRPr="00485023" w:rsidTr="00907E8E">
        <w:tc>
          <w:tcPr>
            <w:tcW w:w="4346" w:type="dxa"/>
          </w:tcPr>
          <w:p w:rsidR="00907E8E" w:rsidRPr="00907E8E" w:rsidRDefault="00907E8E" w:rsidP="00907E8E">
            <w:r w:rsidRPr="00907E8E">
              <w:t xml:space="preserve"> </w:t>
            </w:r>
          </w:p>
          <w:p w:rsidR="00907E8E" w:rsidRPr="00907E8E" w:rsidRDefault="00907E8E" w:rsidP="00907E8E">
            <w:r w:rsidRPr="00907E8E">
              <w:t>A trailing average approach provides service providers with a regulatory benchmark that they can more readily match each regulatory control period.</w:t>
            </w:r>
            <w:r w:rsidRPr="00907E8E">
              <w:rPr>
                <w:rStyle w:val="FootnoteReference"/>
              </w:rPr>
              <w:footnoteReference w:id="615"/>
            </w:r>
            <w:r w:rsidRPr="00907E8E">
              <w:t xml:space="preserve"> As such, this provides a benchmark efficient entity with an enhanced opportunity to minimise any mismatch between actual costs and regulated revenues.</w:t>
            </w:r>
            <w:r w:rsidRPr="00907E8E">
              <w:rPr>
                <w:rStyle w:val="FootnoteReference"/>
              </w:rPr>
              <w:footnoteReference w:id="616"/>
            </w:r>
            <w:r w:rsidRPr="00907E8E">
              <w:t xml:space="preserve"> Nevertheless, it is important to note that this mismatch risk would not result in a benchmark efficient entity being ex-ante over- or under-compensated for its efficient debt financing costs for a regulatory control period or over the life of its assets.</w:t>
            </w:r>
          </w:p>
          <w:p w:rsidR="00907E8E" w:rsidRPr="00907E8E" w:rsidRDefault="00907E8E" w:rsidP="00907E8E">
            <w:r w:rsidRPr="00907E8E">
              <w:t xml:space="preserve">All else being equal, this reduced risk and the reduced need to enter hedging arrangements might lower the efficient cost of financing for a benchmark efficient entity and increase productive efficiency. </w:t>
            </w:r>
          </w:p>
          <w:p w:rsidR="00907E8E" w:rsidRPr="00907E8E" w:rsidRDefault="00907E8E" w:rsidP="00907E8E">
            <w:r w:rsidRPr="00907E8E">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 moved since the last reset.</w:t>
            </w:r>
          </w:p>
        </w:tc>
        <w:tc>
          <w:tcPr>
            <w:tcW w:w="4347" w:type="dxa"/>
          </w:tcPr>
          <w:p w:rsidR="00907E8E" w:rsidRPr="00907E8E" w:rsidRDefault="00907E8E" w:rsidP="00907E8E">
            <w:r w:rsidRPr="00907E8E">
              <w:t>An on-the-day approach better reflects the prevailing cost of debt in the capital market near the commencement of the regulatory control period. Due to this, it:</w:t>
            </w:r>
          </w:p>
          <w:p w:rsidR="00907E8E" w:rsidRPr="00907E8E" w:rsidRDefault="00907E8E" w:rsidP="00907E8E">
            <w:pPr>
              <w:pStyle w:val="AERbulletlistfirststyle"/>
            </w:pPr>
            <w:r w:rsidRPr="00907E8E">
              <w:t>Better reflects investors' opportunity cost of debt and expectations of future returns near the commencement of the regulatory control period.</w:t>
            </w:r>
            <w:r w:rsidRPr="00907E8E">
              <w:rPr>
                <w:rStyle w:val="FootnoteReference"/>
              </w:rPr>
              <w:footnoteReference w:id="617"/>
            </w:r>
            <w:r w:rsidRPr="00907E8E">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907E8E">
              <w:rPr>
                <w:rStyle w:val="FootnoteReference"/>
              </w:rPr>
              <w:footnoteReference w:id="618"/>
            </w:r>
          </w:p>
          <w:p w:rsidR="00907E8E" w:rsidRPr="00907E8E" w:rsidRDefault="00907E8E" w:rsidP="00907E8E">
            <w:pPr>
              <w:pStyle w:val="AERbulletlistfirststyle"/>
            </w:pPr>
            <w:r w:rsidRPr="00907E8E">
              <w:t xml:space="preserve">Is more internally consistent with how we estimate other components of the allowed rate of return and the building block model more generally. </w:t>
            </w:r>
          </w:p>
          <w:p w:rsidR="00907E8E" w:rsidRPr="00907E8E" w:rsidRDefault="00907E8E" w:rsidP="00907E8E">
            <w:pPr>
              <w:pStyle w:val="AERbulletlistfirststyle"/>
            </w:pPr>
            <w:r w:rsidRPr="00907E8E">
              <w:t>Leads to an estimate that is commensurate with efficient financing costs and competitive market outcomes near the commencement of the regulatory control period. We expect prevailing market rates for capital finance to be competitive.</w:t>
            </w:r>
            <w:r w:rsidRPr="00907E8E">
              <w:rPr>
                <w:rStyle w:val="FootnoteReference"/>
              </w:rPr>
              <w:footnoteReference w:id="619"/>
            </w:r>
            <w:r w:rsidRPr="00907E8E">
              <w:t xml:space="preserve"> Moreover, a return on debt that reflects the current market rate more closely imitates the outcomes of a competitive market by representing the costs that other service providers will face to enter the market.</w:t>
            </w:r>
            <w:r w:rsidRPr="00907E8E">
              <w:rPr>
                <w:rStyle w:val="FootnoteReference"/>
              </w:rPr>
              <w:footnoteReference w:id="620"/>
            </w:r>
          </w:p>
        </w:tc>
      </w:tr>
    </w:tbl>
    <w:p w:rsidR="00907E8E" w:rsidRPr="00907E8E" w:rsidRDefault="00907E8E" w:rsidP="00907E8E">
      <w:pPr>
        <w:pStyle w:val="AERtablesource"/>
      </w:pPr>
      <w:r w:rsidRPr="00907E8E">
        <w:t xml:space="preserve">Source: </w:t>
      </w:r>
      <w:r w:rsidRPr="00907E8E">
        <w:tab/>
        <w:t>AER analysis.</w:t>
      </w:r>
    </w:p>
    <w:p w:rsidR="00907E8E" w:rsidRPr="00907E8E" w:rsidRDefault="00907E8E" w:rsidP="00907E8E">
      <w:pPr>
        <w:pStyle w:val="HeadingBoldItalic"/>
      </w:pPr>
      <w:bookmarkStart w:id="140" w:name="_Toc480460525"/>
      <w:bookmarkStart w:id="141" w:name="_Toc480460815"/>
      <w:r w:rsidRPr="00907E8E">
        <w:t>An immediate adoption of a trailing average will not contribute to the achievement of the ARORO</w:t>
      </w:r>
      <w:bookmarkEnd w:id="140"/>
      <w:bookmarkEnd w:id="141"/>
    </w:p>
    <w:p w:rsidR="00907E8E" w:rsidRPr="00907E8E" w:rsidRDefault="00907E8E" w:rsidP="00907E8E">
      <w:r w:rsidRPr="00907E8E">
        <w:t xml:space="preserve">We have carefully considered the no transition path immediate move to the trailing average put forward in AusNet’s revised proposal. </w:t>
      </w:r>
    </w:p>
    <w:p w:rsidR="00907E8E" w:rsidRPr="00907E8E" w:rsidRDefault="00907E8E" w:rsidP="00907E8E">
      <w:r w:rsidRPr="00907E8E">
        <w:t xml:space="preserve">The following sections set out why an immediate (historical) trailing average approach to estimating the cost of debt will not contribute to the achievement of the ARORO. </w:t>
      </w:r>
    </w:p>
    <w:p w:rsidR="00907E8E" w:rsidRPr="00907E8E" w:rsidRDefault="00907E8E" w:rsidP="00907E8E">
      <w:r w:rsidRPr="00907E8E">
        <w:rPr>
          <w:rStyle w:val="AERbody"/>
        </w:rPr>
        <w:t>For the reasons discussed above in the section headed 'trailing average (with full transition) meets the ARORO', i</w:t>
      </w:r>
      <w:r w:rsidRPr="00907E8E">
        <w:t>mmediately moving to a trailing average by immediately adopting a historical cost of debt is likely to change the present value of a benchmark efficient entity's allowed revenues relative to a continuation of the on-the-day approach.</w:t>
      </w:r>
    </w:p>
    <w:p w:rsidR="00907E8E" w:rsidRPr="00907E8E" w:rsidRDefault="00907E8E" w:rsidP="00907E8E">
      <w:r w:rsidRPr="00907E8E">
        <w:t>The current market cost of debt is considerably below the average market cost of debt over the past nine years. As such, in current circumstances, an immediate transition would lead to an excess positive return relative to the efficient return in the market. All else being equal, this will result in a material increase in the present value of a benchmark efficient entity's allowed revenues relative to its expected efficient costs to a value well above its RAB, thereby overcompensating it. AusNet Services has not submitted material that satisfies us that materially increasing the present value of its allowed revenues from the change in methodology would contribute to the achievement of the ARORO or be consistent with the NEL/NGL.</w:t>
      </w:r>
    </w:p>
    <w:p w:rsidR="00907E8E" w:rsidRPr="00907E8E" w:rsidRDefault="00907E8E" w:rsidP="00907E8E">
      <w:r w:rsidRPr="00907E8E">
        <w:t>It is worth noting that equally, the trend in interest rates could have been reversed</w:t>
      </w:r>
      <w:r w:rsidRPr="00907E8E">
        <w:rPr>
          <w:rStyle w:val="AERbody"/>
        </w:rPr>
        <w:t xml:space="preserve"> (that is, if we had moved from a low to high interest rate environment)</w:t>
      </w:r>
      <w:r w:rsidRPr="00907E8E">
        <w:t xml:space="preserve">. If this occurred, an immediate transition would have led to a material decrease in the present value of a benchmark efficient entity's allowed revenues relative to its expected efficient costs, thereby undercompensating it. That is, </w:t>
      </w:r>
      <w:r w:rsidRPr="00907E8E">
        <w:rPr>
          <w:rStyle w:val="AERbody"/>
        </w:rPr>
        <w:t>the allowed return would have been below the efficient financing costs of a benchmark efficient entity.</w:t>
      </w:r>
      <w:r w:rsidRPr="00907E8E">
        <w:t xml:space="preserve"> Neither outcome would achieve the ARORO and would not lead to efficient investment and use of infrastructure, </w:t>
      </w:r>
      <w:r w:rsidRPr="00907E8E">
        <w:rPr>
          <w:rStyle w:val="AERbody"/>
        </w:rPr>
        <w:t>in the long term interest of consumers</w:t>
      </w:r>
      <w:r w:rsidRPr="00907E8E">
        <w:t>.</w:t>
      </w:r>
      <w:r w:rsidRPr="00907E8E">
        <w:rPr>
          <w:rStyle w:val="AERbody"/>
        </w:rPr>
        <w:t xml:space="preserve"> We explain this and show this mathematically in detail in </w:t>
      </w:r>
      <w:r w:rsidRPr="00907E8E">
        <w:t>Appendix</w:t>
      </w:r>
      <w:r w:rsidR="008B41F6">
        <w:t xml:space="preserve"> </w:t>
      </w:r>
      <w:r w:rsidR="008B41F6">
        <w:fldChar w:fldCharType="begin"/>
      </w:r>
      <w:r w:rsidR="008B41F6">
        <w:instrText xml:space="preserve"> REF _Ref479168723 \r \h </w:instrText>
      </w:r>
      <w:r w:rsidR="008B41F6">
        <w:fldChar w:fldCharType="separate"/>
      </w:r>
      <w:r w:rsidR="006B4A74">
        <w:t>H</w:t>
      </w:r>
      <w:r w:rsidR="008B41F6">
        <w:fldChar w:fldCharType="end"/>
      </w:r>
      <w:r w:rsidRPr="00907E8E">
        <w:rPr>
          <w:rStyle w:val="AERbody"/>
        </w:rPr>
        <w:t>.</w:t>
      </w:r>
    </w:p>
    <w:p w:rsidR="00907E8E" w:rsidRPr="00907E8E" w:rsidRDefault="00907E8E" w:rsidP="00907E8E">
      <w:r w:rsidRPr="00907E8E">
        <w:t>Further, we consider that failing to implement a revenue neutral transition would undermine the ARORO and the NEL/NGL for the following reasons:</w:t>
      </w:r>
    </w:p>
    <w:p w:rsidR="00907E8E" w:rsidRPr="00907E8E" w:rsidRDefault="00907E8E" w:rsidP="00907E8E">
      <w:pPr>
        <w:pStyle w:val="AERbulletlistfirststyle"/>
      </w:pPr>
      <w:r w:rsidRPr="00907E8E">
        <w:t xml:space="preserve">The future return on debt allowance would have a different present value if we switched methodologies to estimating the allowed return on debt without a transition. In Appendix </w:t>
      </w:r>
      <w:r w:rsidR="008B41F6">
        <w:fldChar w:fldCharType="begin"/>
      </w:r>
      <w:r w:rsidR="008B41F6">
        <w:instrText xml:space="preserve"> REF _Ref479168723 \r \h </w:instrText>
      </w:r>
      <w:r w:rsidR="008B41F6">
        <w:fldChar w:fldCharType="separate"/>
      </w:r>
      <w:r w:rsidR="006B4A74">
        <w:t>H</w:t>
      </w:r>
      <w:r w:rsidR="008B41F6">
        <w:fldChar w:fldCharType="end"/>
      </w:r>
      <w:r w:rsidRPr="00907E8E">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907E8E" w:rsidRPr="00907E8E" w:rsidRDefault="00907E8E" w:rsidP="00907E8E">
      <w:pPr>
        <w:pStyle w:val="AERbulletlistfirststyle"/>
      </w:pPr>
      <w:r w:rsidRPr="00907E8E">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This may undermine confidence in the predictability of the regulatory arrangements and lead to an inefficient increase in financing costs (all else being equal).</w:t>
      </w:r>
      <w:r w:rsidRPr="00907E8E">
        <w:rPr>
          <w:rStyle w:val="FootnoteReference"/>
        </w:rPr>
        <w:footnoteReference w:id="621"/>
      </w:r>
      <w:r w:rsidRPr="00907E8E">
        <w:t xml:space="preserve"> This is consistent with SFG's advice to the AEMC that:</w:t>
      </w:r>
      <w:r w:rsidRPr="00907E8E">
        <w:rPr>
          <w:rStyle w:val="FootnoteReference"/>
        </w:rPr>
        <w:footnoteReference w:id="622"/>
      </w:r>
    </w:p>
    <w:p w:rsidR="00907E8E" w:rsidRPr="00907E8E" w:rsidRDefault="00907E8E" w:rsidP="00907E8E">
      <w:pPr>
        <w:pStyle w:val="AERquote"/>
      </w:pPr>
      <w:r w:rsidRPr="00907E8E">
        <w:t>The lack of any transition arrangements in a setting whether the rule change exposes regulated businesses to risks that they did not previously face is likely to be viewed by the market for funds as a signal that a higher degree of regulatory risk should be priced into their provision of funds. Such an outcome is unlikely to be consistent with the NEO and RPP.</w:t>
      </w:r>
    </w:p>
    <w:p w:rsidR="00907E8E" w:rsidRPr="00907E8E" w:rsidRDefault="00907E8E" w:rsidP="00907E8E">
      <w:pPr>
        <w:pStyle w:val="AERbulletlistfirststyle"/>
      </w:pPr>
      <w:r w:rsidRPr="00907E8E">
        <w:t>Incentives on service providers to adopt efficient financing practices (and thereby minimise their long run cost of capital all else being equal) under the regulatory regime may be undermined.</w:t>
      </w:r>
      <w:r w:rsidRPr="00907E8E">
        <w:rPr>
          <w:rStyle w:val="FootnoteReference"/>
        </w:rPr>
        <w:footnoteReference w:id="623"/>
      </w:r>
      <w:r w:rsidRPr="00907E8E">
        <w:t xml:space="preserve"> For instance, by allowing service providers to bear the consequences (or reap the benefits) of their actions from prior regulatory control periods, this incentivises them to efficiently manage financial risk.</w:t>
      </w:r>
    </w:p>
    <w:p w:rsidR="005C7F05" w:rsidRDefault="005C7F05" w:rsidP="00907E8E">
      <w:pPr>
        <w:pStyle w:val="HeadingItalic"/>
      </w:pPr>
    </w:p>
    <w:p w:rsidR="00907E8E" w:rsidRPr="00907E8E" w:rsidRDefault="00907E8E" w:rsidP="00907E8E">
      <w:pPr>
        <w:pStyle w:val="HeadingItalic"/>
      </w:pPr>
      <w:bookmarkStart w:id="142" w:name="_Toc480460526"/>
      <w:bookmarkStart w:id="143" w:name="_Toc480460816"/>
      <w:r w:rsidRPr="00907E8E">
        <w:t>Hybrid transitions will not contribute to the achievement of the ARORO</w:t>
      </w:r>
      <w:bookmarkEnd w:id="142"/>
      <w:bookmarkEnd w:id="143"/>
    </w:p>
    <w:p w:rsidR="00907E8E" w:rsidRPr="00907E8E" w:rsidRDefault="00907E8E" w:rsidP="00907E8E">
      <w:pPr>
        <w:rPr>
          <w:rStyle w:val="AERbody"/>
        </w:rPr>
      </w:pPr>
      <w:r w:rsidRPr="00907E8E">
        <w:rPr>
          <w:rStyle w:val="AERbody"/>
        </w:rPr>
        <w:t>Two alternative forms of hybrid transition have been proposed previously:</w:t>
      </w:r>
    </w:p>
    <w:p w:rsidR="00907E8E" w:rsidRPr="00907E8E" w:rsidRDefault="00907E8E" w:rsidP="00907E8E">
      <w:pPr>
        <w:pStyle w:val="AERbulletlistfirststyle"/>
      </w:pPr>
      <w:r w:rsidRPr="00907E8E">
        <w:t>Hybrid transition</w:t>
      </w:r>
      <w:r w:rsidRPr="00907E8E">
        <w:rPr>
          <w:rStyle w:val="FootnoteReference"/>
        </w:rPr>
        <w:footnoteReference w:id="624"/>
      </w:r>
      <w:r w:rsidRPr="00907E8E">
        <w:t>—Start with an on-the-day approach for the base rate component and gradually transition into a trailing average approach over 10 years. This would be combined with a backwards looking trailing average DRP (that is, a base rate transition only).</w:t>
      </w:r>
    </w:p>
    <w:p w:rsidR="00907E8E" w:rsidRPr="00907E8E" w:rsidRDefault="00907E8E" w:rsidP="00907E8E">
      <w:pPr>
        <w:pStyle w:val="AERbulletlistfirststyle"/>
      </w:pPr>
      <w:r w:rsidRPr="00907E8E">
        <w:t>Hybrid transition under partial hedging</w:t>
      </w:r>
      <w:r w:rsidRPr="00907E8E">
        <w:rPr>
          <w:rStyle w:val="FootnoteReference"/>
        </w:rPr>
        <w:footnoteReference w:id="625"/>
      </w:r>
      <w:r w:rsidRPr="00907E8E">
        <w:t>—Assume a benchmark efficient entity hedged only one third of the base rate under the on-the-day regime on the basis that this would have been ex-post optimal.</w:t>
      </w:r>
      <w:r w:rsidR="0046271E">
        <w:rPr>
          <w:rStyle w:val="FootnoteReference"/>
        </w:rPr>
        <w:footnoteReference w:id="626"/>
      </w:r>
      <w:r w:rsidRPr="00907E8E">
        <w:t xml:space="preserve"> Gradually transition this portion of the base rate and apply an immediate trailing average to the other two thirds of the base rate and the entire DRP component.</w:t>
      </w:r>
      <w:r w:rsidR="0046271E">
        <w:rPr>
          <w:rStyle w:val="FootnoteReference"/>
        </w:rPr>
        <w:footnoteReference w:id="627"/>
      </w:r>
    </w:p>
    <w:p w:rsidR="00907E8E" w:rsidRPr="00907E8E" w:rsidRDefault="00907E8E" w:rsidP="00907E8E">
      <w:pPr>
        <w:rPr>
          <w:rStyle w:val="AERbody"/>
        </w:rPr>
      </w:pPr>
      <w:r w:rsidRPr="00907E8E">
        <w:rPr>
          <w:rStyle w:val="AERbody"/>
        </w:rPr>
        <w:t>For completeness this section sets out our view on both of these hybrid transitions. We remain of the view a hybrid transition is not appropriate, will not meet the ARORO and will not meet the NEO. These views, and our reasoning, have not changed since the final AER decisions that covered these issues released in May 2016.</w:t>
      </w:r>
      <w:r w:rsidRPr="00907E8E">
        <w:rPr>
          <w:rStyle w:val="FootnoteReference"/>
        </w:rPr>
        <w:footnoteReference w:id="628"/>
      </w:r>
      <w:r w:rsidRPr="00907E8E">
        <w:rPr>
          <w:rStyle w:val="AERbody"/>
        </w:rPr>
        <w:t xml:space="preserve">  </w:t>
      </w:r>
    </w:p>
    <w:p w:rsidR="00907E8E" w:rsidRPr="00907E8E" w:rsidRDefault="00907E8E" w:rsidP="00907E8E">
      <w:pPr>
        <w:rPr>
          <w:rStyle w:val="AERbody"/>
        </w:rPr>
      </w:pPr>
      <w:r w:rsidRPr="00907E8E">
        <w:rPr>
          <w:rStyle w:val="AERbody"/>
        </w:rPr>
        <w:t xml:space="preserve">As </w:t>
      </w:r>
      <w:r w:rsidRPr="00907E8E">
        <w:rPr>
          <w:rStyle w:val="AERbody"/>
        </w:rPr>
        <w:fldChar w:fldCharType="begin"/>
      </w:r>
      <w:r w:rsidRPr="00907E8E">
        <w:rPr>
          <w:rStyle w:val="AERbody"/>
        </w:rPr>
        <w:instrText xml:space="preserve"> REF  _Ref451174220 \* Lower \h  \* MERGEFORMAT </w:instrText>
      </w:r>
      <w:r w:rsidRPr="00907E8E">
        <w:rPr>
          <w:rStyle w:val="AERbody"/>
        </w:rPr>
      </w:r>
      <w:r w:rsidRPr="00907E8E">
        <w:rPr>
          <w:rStyle w:val="AERbody"/>
        </w:rPr>
        <w:fldChar w:fldCharType="separate"/>
      </w:r>
      <w:r w:rsidR="006B4A74" w:rsidRPr="00907E8E">
        <w:t xml:space="preserve">table </w:t>
      </w:r>
      <w:r w:rsidR="006B4A74">
        <w:t>3</w:t>
      </w:r>
      <w:r w:rsidR="006B4A74">
        <w:noBreakHyphen/>
        <w:t>11</w:t>
      </w:r>
      <w:r w:rsidRPr="00907E8E">
        <w:rPr>
          <w:rStyle w:val="AERbody"/>
        </w:rPr>
        <w:fldChar w:fldCharType="end"/>
      </w:r>
      <w:r w:rsidRPr="00907E8E">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achieve the ARORO. For this reason, our analysis above on why immediately moving to a trailing average approach will not contribute to the achievement of the ARORO also ap</w:t>
      </w:r>
      <w:r w:rsidR="003F025A">
        <w:rPr>
          <w:rStyle w:val="AERbody"/>
        </w:rPr>
        <w:t>plies to the hybrid transitions</w:t>
      </w:r>
      <w:r w:rsidR="0010101E">
        <w:rPr>
          <w:rStyle w:val="AERbody"/>
        </w:rPr>
        <w:t xml:space="preserve"> </w:t>
      </w:r>
      <w:r w:rsidRPr="00907E8E">
        <w:rPr>
          <w:rStyle w:val="AERbody"/>
        </w:rPr>
        <w:t xml:space="preserve">that </w:t>
      </w:r>
      <w:r w:rsidR="003F025A">
        <w:rPr>
          <w:rStyle w:val="AERbody"/>
        </w:rPr>
        <w:t xml:space="preserve">some </w:t>
      </w:r>
      <w:r w:rsidRPr="00907E8E">
        <w:rPr>
          <w:rStyle w:val="AERbody"/>
        </w:rPr>
        <w:t xml:space="preserve">service providers have </w:t>
      </w:r>
      <w:r w:rsidR="0010101E">
        <w:rPr>
          <w:rStyle w:val="AERbody"/>
        </w:rPr>
        <w:t xml:space="preserve">previously </w:t>
      </w:r>
      <w:r w:rsidRPr="00907E8E">
        <w:rPr>
          <w:rStyle w:val="AERbody"/>
        </w:rPr>
        <w:t xml:space="preserve">proposed. </w:t>
      </w:r>
    </w:p>
    <w:p w:rsidR="00907E8E" w:rsidRPr="00907E8E" w:rsidRDefault="00907E8E" w:rsidP="00907E8E">
      <w:pPr>
        <w:pStyle w:val="Caption"/>
        <w:rPr>
          <w:rStyle w:val="AERbody"/>
        </w:rPr>
      </w:pPr>
      <w:bookmarkStart w:id="144" w:name="_Ref451174220"/>
      <w:r w:rsidRPr="00907E8E">
        <w:t xml:space="preserve">Table </w:t>
      </w:r>
      <w:fldSimple w:instr=" STYLEREF 1 \s ">
        <w:r w:rsidR="006B4A74">
          <w:rPr>
            <w:noProof/>
          </w:rPr>
          <w:t>3</w:t>
        </w:r>
      </w:fldSimple>
      <w:r w:rsidR="008F29C8">
        <w:noBreakHyphen/>
      </w:r>
      <w:fldSimple w:instr=" SEQ Table \* ARABIC \s 1 ">
        <w:r w:rsidR="006B4A74">
          <w:rPr>
            <w:noProof/>
          </w:rPr>
          <w:t>11</w:t>
        </w:r>
      </w:fldSimple>
      <w:bookmarkEnd w:id="144"/>
      <w:r w:rsidRPr="00907E8E">
        <w:tab/>
        <w:t>Different transitions to a trailing average proposed by various service providers</w:t>
      </w:r>
    </w:p>
    <w:tbl>
      <w:tblPr>
        <w:tblStyle w:val="AERtable-text0"/>
        <w:tblW w:w="0" w:type="auto"/>
        <w:tblLook w:val="04A0" w:firstRow="1" w:lastRow="0" w:firstColumn="1" w:lastColumn="0" w:noHBand="0" w:noVBand="1"/>
      </w:tblPr>
      <w:tblGrid>
        <w:gridCol w:w="2556"/>
        <w:gridCol w:w="3089"/>
        <w:gridCol w:w="3048"/>
      </w:tblGrid>
      <w:tr w:rsidR="00907E8E" w:rsidRPr="00485023" w:rsidTr="002656D9">
        <w:trPr>
          <w:cnfStyle w:val="100000000000" w:firstRow="1" w:lastRow="0" w:firstColumn="0" w:lastColumn="0" w:oddVBand="0" w:evenVBand="0" w:oddHBand="0" w:evenHBand="0" w:firstRowFirstColumn="0" w:firstRowLastColumn="0" w:lastRowFirstColumn="0" w:lastRowLastColumn="0"/>
          <w:tblHeader/>
        </w:trPr>
        <w:tc>
          <w:tcPr>
            <w:tcW w:w="2556" w:type="dxa"/>
          </w:tcPr>
          <w:p w:rsidR="00907E8E" w:rsidRPr="00907E8E" w:rsidRDefault="00907E8E" w:rsidP="00907E8E">
            <w:r w:rsidRPr="00907E8E">
              <w:t>Form of transition</w:t>
            </w:r>
          </w:p>
        </w:tc>
        <w:tc>
          <w:tcPr>
            <w:tcW w:w="3089" w:type="dxa"/>
          </w:tcPr>
          <w:p w:rsidR="00907E8E" w:rsidRPr="00907E8E" w:rsidRDefault="00907E8E" w:rsidP="00907E8E">
            <w:r w:rsidRPr="00907E8E">
              <w:t>Revenue-neutral transition by updating 10% per year over 10 years</w:t>
            </w:r>
          </w:p>
        </w:tc>
        <w:tc>
          <w:tcPr>
            <w:tcW w:w="3048" w:type="dxa"/>
          </w:tcPr>
          <w:p w:rsidR="00907E8E" w:rsidRPr="00907E8E" w:rsidRDefault="00907E8E" w:rsidP="00907E8E">
            <w:r w:rsidRPr="00907E8E">
              <w:t>Immediately move to a trailing average approach</w:t>
            </w:r>
          </w:p>
        </w:tc>
      </w:tr>
      <w:tr w:rsidR="00907E8E" w:rsidRPr="00485023" w:rsidTr="00907E8E">
        <w:tc>
          <w:tcPr>
            <w:tcW w:w="2556" w:type="dxa"/>
          </w:tcPr>
          <w:p w:rsidR="00907E8E" w:rsidRPr="00907E8E" w:rsidRDefault="00907E8E" w:rsidP="00907E8E">
            <w:r w:rsidRPr="00907E8E">
              <w:t>Full transition</w:t>
            </w:r>
          </w:p>
        </w:tc>
        <w:tc>
          <w:tcPr>
            <w:tcW w:w="3089" w:type="dxa"/>
          </w:tcPr>
          <w:p w:rsidR="00907E8E" w:rsidRPr="00907E8E" w:rsidRDefault="00907E8E" w:rsidP="00907E8E">
            <w:r w:rsidRPr="00907E8E">
              <w:t>100% of base rate + DRP</w:t>
            </w:r>
          </w:p>
        </w:tc>
        <w:tc>
          <w:tcPr>
            <w:tcW w:w="3048" w:type="dxa"/>
          </w:tcPr>
          <w:p w:rsidR="00907E8E" w:rsidRPr="00907E8E" w:rsidRDefault="00907E8E" w:rsidP="00907E8E">
            <w:r w:rsidRPr="00907E8E">
              <w:t>-</w:t>
            </w:r>
          </w:p>
        </w:tc>
      </w:tr>
      <w:tr w:rsidR="00907E8E" w:rsidRPr="00485023" w:rsidTr="00907E8E">
        <w:trPr>
          <w:cnfStyle w:val="000000010000" w:firstRow="0" w:lastRow="0" w:firstColumn="0" w:lastColumn="0" w:oddVBand="0" w:evenVBand="0" w:oddHBand="0" w:evenHBand="1" w:firstRowFirstColumn="0" w:firstRowLastColumn="0" w:lastRowFirstColumn="0" w:lastRowLastColumn="0"/>
        </w:trPr>
        <w:tc>
          <w:tcPr>
            <w:tcW w:w="2556" w:type="dxa"/>
          </w:tcPr>
          <w:p w:rsidR="00907E8E" w:rsidRPr="00907E8E" w:rsidRDefault="00907E8E" w:rsidP="00907E8E">
            <w:r w:rsidRPr="00907E8E">
              <w:t>Hybrid transition</w:t>
            </w:r>
          </w:p>
        </w:tc>
        <w:tc>
          <w:tcPr>
            <w:tcW w:w="3089" w:type="dxa"/>
          </w:tcPr>
          <w:p w:rsidR="00907E8E" w:rsidRPr="00907E8E" w:rsidRDefault="00907E8E" w:rsidP="00907E8E">
            <w:r w:rsidRPr="00907E8E">
              <w:t xml:space="preserve">100% of base rate </w:t>
            </w:r>
          </w:p>
        </w:tc>
        <w:tc>
          <w:tcPr>
            <w:tcW w:w="3048" w:type="dxa"/>
          </w:tcPr>
          <w:p w:rsidR="00907E8E" w:rsidRPr="00907E8E" w:rsidRDefault="00907E8E" w:rsidP="00907E8E">
            <w:r w:rsidRPr="00907E8E">
              <w:t>DRP</w:t>
            </w:r>
          </w:p>
        </w:tc>
      </w:tr>
      <w:tr w:rsidR="00907E8E" w:rsidRPr="00485023" w:rsidTr="00907E8E">
        <w:tc>
          <w:tcPr>
            <w:tcW w:w="2556" w:type="dxa"/>
          </w:tcPr>
          <w:p w:rsidR="00907E8E" w:rsidRPr="00907E8E" w:rsidRDefault="00907E8E" w:rsidP="00907E8E">
            <w:r w:rsidRPr="00907E8E">
              <w:t>Hybrid transition under partial hedging</w:t>
            </w:r>
          </w:p>
        </w:tc>
        <w:tc>
          <w:tcPr>
            <w:tcW w:w="3089" w:type="dxa"/>
          </w:tcPr>
          <w:p w:rsidR="00907E8E" w:rsidRPr="00907E8E" w:rsidRDefault="00907E8E" w:rsidP="00907E8E">
            <w:r w:rsidRPr="00907E8E">
              <w:t xml:space="preserve">1/3 of base rate </w:t>
            </w:r>
          </w:p>
        </w:tc>
        <w:tc>
          <w:tcPr>
            <w:tcW w:w="3048" w:type="dxa"/>
          </w:tcPr>
          <w:p w:rsidR="00907E8E" w:rsidRPr="00907E8E" w:rsidRDefault="00907E8E" w:rsidP="00907E8E">
            <w:r w:rsidRPr="00907E8E">
              <w:t>2/3 of base rate + DRP</w:t>
            </w:r>
          </w:p>
        </w:tc>
      </w:tr>
      <w:tr w:rsidR="00907E8E" w:rsidRPr="00485023" w:rsidTr="00907E8E">
        <w:trPr>
          <w:cnfStyle w:val="000000010000" w:firstRow="0" w:lastRow="0" w:firstColumn="0" w:lastColumn="0" w:oddVBand="0" w:evenVBand="0" w:oddHBand="0" w:evenHBand="1" w:firstRowFirstColumn="0" w:firstRowLastColumn="0" w:lastRowFirstColumn="0" w:lastRowLastColumn="0"/>
        </w:trPr>
        <w:tc>
          <w:tcPr>
            <w:tcW w:w="2556" w:type="dxa"/>
          </w:tcPr>
          <w:p w:rsidR="00907E8E" w:rsidRPr="00907E8E" w:rsidRDefault="00907E8E" w:rsidP="00907E8E">
            <w:r w:rsidRPr="00907E8E">
              <w:t>No transition</w:t>
            </w:r>
          </w:p>
        </w:tc>
        <w:tc>
          <w:tcPr>
            <w:tcW w:w="3089" w:type="dxa"/>
          </w:tcPr>
          <w:p w:rsidR="00907E8E" w:rsidRPr="00907E8E" w:rsidRDefault="00907E8E" w:rsidP="00907E8E">
            <w:r w:rsidRPr="00907E8E">
              <w:t>-</w:t>
            </w:r>
          </w:p>
        </w:tc>
        <w:tc>
          <w:tcPr>
            <w:tcW w:w="3048" w:type="dxa"/>
          </w:tcPr>
          <w:p w:rsidR="00907E8E" w:rsidRPr="00907E8E" w:rsidRDefault="00907E8E" w:rsidP="00907E8E">
            <w:r w:rsidRPr="00907E8E">
              <w:t>100% of base rate + DRP</w:t>
            </w:r>
          </w:p>
        </w:tc>
      </w:tr>
    </w:tbl>
    <w:p w:rsidR="00907E8E" w:rsidRPr="00907E8E" w:rsidRDefault="00907E8E" w:rsidP="00907E8E">
      <w:pPr>
        <w:pStyle w:val="AERtablesource"/>
      </w:pPr>
      <w:r w:rsidRPr="00907E8E">
        <w:t xml:space="preserve">Source: </w:t>
      </w:r>
      <w:r w:rsidRPr="00907E8E">
        <w:tab/>
        <w:t>AER analysis.</w:t>
      </w:r>
    </w:p>
    <w:p w:rsidR="00907E8E" w:rsidRPr="00907E8E" w:rsidRDefault="00907E8E" w:rsidP="00907E8E">
      <w:r w:rsidRPr="00907E8E">
        <w:t>For clarity, we also emphasise why the logic underpinning the use of a hybrid transition is problematic. By basing AusNet’s debt allowance on a 10 year historical DRP, a hybrid transition would effectively remove realised losses or gains from interest rate risk that it had previously borne. This reasoning also applies to an immediate transition.</w:t>
      </w:r>
    </w:p>
    <w:p w:rsidR="00907E8E" w:rsidRPr="00907E8E" w:rsidRDefault="00907E8E" w:rsidP="00907E8E">
      <w:r w:rsidRPr="00907E8E">
        <w:t>As AusNet operate under an ex-ante regulatory regime, we consider the ARORO requires us to provide ex-ante efficient compensation. This does not entail compensating for historically incurred costs. That would be cost of service, not incentive regulation. Investors have invested accepting the interest rate risk from the on-the-day approach, and we have already appropriately compensated AusNet for bearing this risk. For both reasons, removing the outcomes of this risk ex-post would not contribute to the achievement of the ARORO.</w:t>
      </w:r>
      <w:r w:rsidRPr="00907E8E">
        <w:rPr>
          <w:rStyle w:val="FootnoteReference"/>
        </w:rPr>
        <w:footnoteReference w:id="629"/>
      </w:r>
      <w:r w:rsidRPr="00907E8E">
        <w:t xml:space="preserve">  </w:t>
      </w:r>
    </w:p>
    <w:p w:rsidR="00907E8E" w:rsidRPr="00907E8E" w:rsidRDefault="00907E8E" w:rsidP="00907E8E">
      <w:r w:rsidRPr="00907E8E">
        <w:t>Further, we consider that we have appropriately compensated investors for the risks they faced when we set the allowed return on debt using the on-the-day approach. This is because:</w:t>
      </w:r>
    </w:p>
    <w:p w:rsidR="00907E8E" w:rsidRPr="00907E8E" w:rsidRDefault="00907E8E" w:rsidP="00907E8E">
      <w:pPr>
        <w:pStyle w:val="AERbulletlistfirststyle"/>
      </w:pPr>
      <w:r w:rsidRPr="00907E8E">
        <w:t>We have set the allowed return on debt using the on-the-day approach for many years.</w:t>
      </w:r>
      <w:r w:rsidRPr="00907E8E">
        <w:rPr>
          <w:rStyle w:val="FootnoteReference"/>
        </w:rPr>
        <w:footnoteReference w:id="630"/>
      </w:r>
      <w:r w:rsidRPr="00907E8E">
        <w:t xml:space="preserve"> As such, when we applied the on-the-day approach, investors in a benchmark efficient entity would have expected us to reset the return on debt at the start of each regulatory control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907E8E" w:rsidRPr="00907E8E" w:rsidRDefault="00907E8E" w:rsidP="00907E8E">
      <w:pPr>
        <w:pStyle w:val="AERbulletlistfirststyle"/>
      </w:pPr>
      <w:r w:rsidRPr="00907E8E">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sidRPr="00907E8E">
        <w:rPr>
          <w:rStyle w:val="FootnoteReference"/>
        </w:rPr>
        <w:footnoteReference w:id="631"/>
      </w:r>
    </w:p>
    <w:p w:rsidR="00907E8E" w:rsidRPr="00907E8E" w:rsidRDefault="00907E8E" w:rsidP="00907E8E">
      <w:r w:rsidRPr="00907E8E">
        <w:rPr>
          <w:rStyle w:val="AERbody"/>
        </w:rPr>
        <w:t>Further, regarding the reasoning put forward for a hybrid transition under</w:t>
      </w:r>
      <w:r w:rsidRPr="00907E8E">
        <w:t xml:space="preserve"> partial hedging, we consider a full transition</w:t>
      </w:r>
      <w:r w:rsidR="008764CF">
        <w:t xml:space="preserve"> is</w:t>
      </w:r>
      <w:r w:rsidRPr="00907E8E">
        <w:t xml:space="preserve"> necessary to satisfy the ARORO and NEO/NGO even if firms partially hedged. We note that AusNet did not propose the partial hedging approach.</w:t>
      </w:r>
    </w:p>
    <w:p w:rsidR="00907E8E" w:rsidRPr="00907E8E" w:rsidRDefault="00907E8E" w:rsidP="00907E8E">
      <w:pPr>
        <w:pStyle w:val="HeadingBoldItalic"/>
      </w:pPr>
      <w:bookmarkStart w:id="145" w:name="_Toc480460527"/>
      <w:bookmarkStart w:id="146" w:name="_Toc480460817"/>
      <w:r w:rsidRPr="00907E8E">
        <w:t>General problems with using approaches based on historical data</w:t>
      </w:r>
      <w:bookmarkEnd w:id="145"/>
      <w:bookmarkEnd w:id="146"/>
    </w:p>
    <w:p w:rsidR="00907E8E" w:rsidRPr="00907E8E" w:rsidRDefault="00907E8E" w:rsidP="00907E8E">
      <w:r w:rsidRPr="00907E8E">
        <w:t>Both the immediate and hybrid forms of transition to the trailing average rely on using historical data to estimate the allowed return on debt. We consider this has the following problems:</w:t>
      </w:r>
    </w:p>
    <w:p w:rsidR="00907E8E" w:rsidRPr="00907E8E" w:rsidRDefault="00907E8E" w:rsidP="00907E8E">
      <w:pPr>
        <w:pStyle w:val="AERbulletlistfirststyle"/>
      </w:pPr>
      <w:r w:rsidRPr="00907E8E">
        <w:t xml:space="preserve">All of these transition paths would produce a return on debt allowance that effectively removes interest rate risk (to at least some extent) incurred in prior regulatory control periods. A benchmark efficient entity was required to bear and manage this risk under the on-the-day approach. As such, these transition paths would alter AusNet historic risk profiles </w:t>
      </w:r>
      <w:r w:rsidRPr="00907E8E">
        <w:rPr>
          <w:rStyle w:val="AERtextunderline"/>
        </w:rPr>
        <w:t>after</w:t>
      </w:r>
      <w:r w:rsidRPr="00907E8E">
        <w:t xml:space="preserve"> it had made decisions on how to manage its financial risk.</w:t>
      </w:r>
    </w:p>
    <w:p w:rsidR="00907E8E" w:rsidRPr="00907E8E" w:rsidRDefault="00907E8E" w:rsidP="00907E8E">
      <w:pPr>
        <w:pStyle w:val="AERbulletlistfirststyle"/>
      </w:pPr>
      <w:r w:rsidRPr="00907E8E">
        <w:t>Choosing an approach that uses historical data after parties already know the results of that historical data has the potential to bias regulatory decisions. In our recent preliminary decisions, we explained that when parties (whether they are service providers, the Tribunal, or ourselves) choose historical averaging periods, the knowledge of the return on debt at any past point may influence the choice.</w:t>
      </w:r>
      <w:r w:rsidRPr="00907E8E">
        <w:rPr>
          <w:rStyle w:val="FootnoteReference"/>
        </w:rPr>
        <w:footnoteReference w:id="632"/>
      </w:r>
      <w:r w:rsidRPr="00907E8E">
        <w:t xml:space="preserve"> For example, if a service provider could select an averaging period by looking at historical yields, it could introduce an upward bias.</w:t>
      </w:r>
      <w:r w:rsidRPr="00907E8E">
        <w:rPr>
          <w:rStyle w:val="AERsuperscript"/>
        </w:rPr>
        <w:footnoteReference w:id="633"/>
      </w:r>
      <w:r w:rsidRPr="00907E8E">
        <w:t xml:space="preserve"> This is one of  the reasons why, when recommending a gradual transition into the trailing average approach, QTC stated:</w:t>
      </w:r>
    </w:p>
    <w:p w:rsidR="00907E8E" w:rsidRPr="00907E8E" w:rsidRDefault="00907E8E" w:rsidP="00907E8E">
      <w:pPr>
        <w:pStyle w:val="AERquote"/>
        <w:rPr>
          <w:rStyle w:val="AERsuperscript"/>
        </w:rPr>
      </w:pPr>
      <w:r w:rsidRPr="00907E8E">
        <w:t>The transitional rule ensures that the NSP is not able to receive a higher initial rate simply by electing to use the moving average approach. It also avoids the need to reach agreement on the return on debt calculation for each of the preceding nine years</w:t>
      </w:r>
      <w:r w:rsidRPr="00907E8E">
        <w:rPr>
          <w:rStyle w:val="AERsuperscript"/>
        </w:rPr>
        <w:t>.</w:t>
      </w:r>
      <w:r w:rsidRPr="00907E8E">
        <w:rPr>
          <w:rStyle w:val="AERsuperscript"/>
        </w:rPr>
        <w:footnoteReference w:id="634"/>
      </w:r>
    </w:p>
    <w:p w:rsidR="00907E8E" w:rsidRPr="00907E8E" w:rsidRDefault="00907E8E" w:rsidP="00907E8E">
      <w:pPr>
        <w:pStyle w:val="AERbulletlistfirststyle"/>
      </w:pPr>
      <w:r w:rsidRPr="00907E8E">
        <w:t xml:space="preserve">In our preliminary decisions for the </w:t>
      </w:r>
      <w:r w:rsidR="009E2CDF" w:rsidRPr="00907E8E">
        <w:t>Vic</w:t>
      </w:r>
      <w:r w:rsidR="009E2CDF">
        <w:t>torian Distribution Network Service Providers</w:t>
      </w:r>
      <w:r w:rsidR="009E2CDF" w:rsidRPr="00907E8E">
        <w:t xml:space="preserve"> </w:t>
      </w:r>
      <w:r w:rsidR="009E2CDF">
        <w:t>(</w:t>
      </w:r>
      <w:r w:rsidR="009E2CDF" w:rsidRPr="00907E8E">
        <w:t>DNSPs</w:t>
      </w:r>
      <w:r w:rsidR="009E2CDF">
        <w:t>)</w:t>
      </w:r>
      <w:r w:rsidR="009E2CDF">
        <w:rPr>
          <w:rStyle w:val="FootnoteReference"/>
        </w:rPr>
        <w:footnoteReference w:id="635"/>
      </w:r>
      <w:r w:rsidRPr="00907E8E">
        <w:t>, we observed there are practical problems with using historical data dating back nine years.</w:t>
      </w:r>
      <w:r w:rsidRPr="00907E8E">
        <w:rPr>
          <w:rStyle w:val="FootnoteReference"/>
        </w:rPr>
        <w:footnoteReference w:id="636"/>
      </w:r>
      <w:r w:rsidRPr="00907E8E">
        <w:t xml:space="preserve"> In particular, high quality and readily available historical data is unavailable for the DRP component of the return on debt.</w:t>
      </w:r>
      <w:r w:rsidRPr="00907E8E">
        <w:rPr>
          <w:rStyle w:val="FootnoteReference"/>
        </w:rPr>
        <w:footnoteReference w:id="637"/>
      </w:r>
      <w:r w:rsidRPr="00907E8E">
        <w:t xml:space="preserve"> There is also no consensus among service providers on how to estimate the historical debt risk premium. Moreover, the results of the different data series vary considerably with Lally observing:</w:t>
      </w:r>
      <w:r w:rsidRPr="00907E8E">
        <w:rPr>
          <w:rStyle w:val="FootnoteReference"/>
        </w:rPr>
        <w:footnoteReference w:id="638"/>
      </w:r>
    </w:p>
    <w:p w:rsidR="00907E8E" w:rsidRPr="00907E8E" w:rsidRDefault="00907E8E" w:rsidP="00907E8E">
      <w:pPr>
        <w:pStyle w:val="AERquote"/>
      </w:pPr>
      <w:r w:rsidRPr="00907E8E">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C04C58" w:rsidRPr="00C04C58" w:rsidRDefault="00C04C58" w:rsidP="00C04C58">
      <w:pPr>
        <w:pStyle w:val="HeadingBoldBlue"/>
      </w:pPr>
      <w:r w:rsidRPr="00C04C58">
        <w:t>Implementing the return on debt approach</w:t>
      </w:r>
    </w:p>
    <w:p w:rsidR="00C04C58" w:rsidRPr="00C04C58" w:rsidRDefault="00C04C58" w:rsidP="00C04C58">
      <w:r w:rsidRPr="00C04C58">
        <w:t>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AusNet Services’ averaging period for that year.</w:t>
      </w:r>
    </w:p>
    <w:p w:rsidR="00C04C58" w:rsidRPr="00C04C58" w:rsidRDefault="00C04C58" w:rsidP="00C04C58">
      <w:r w:rsidRPr="00C04C58">
        <w:t>In this section, we set out our considerations on the implementation issues associated with estimating the allowed return on debt approach. These issues are:</w:t>
      </w:r>
    </w:p>
    <w:p w:rsidR="00C04C58" w:rsidRPr="00C04C58" w:rsidRDefault="00C04C58" w:rsidP="00C04C58">
      <w:pPr>
        <w:pStyle w:val="AERbulletlistfirststyle"/>
      </w:pPr>
      <w:r w:rsidRPr="00C04C58">
        <w:t>the term of debt issued by a benchmark efficient entity</w:t>
      </w:r>
    </w:p>
    <w:p w:rsidR="00C04C58" w:rsidRPr="00C04C58" w:rsidRDefault="00C04C58" w:rsidP="00C04C58">
      <w:pPr>
        <w:pStyle w:val="AERbulletlistfirststyle"/>
      </w:pPr>
      <w:r w:rsidRPr="00C04C58">
        <w:t>the credit rating of a benchmark efficient entity</w:t>
      </w:r>
    </w:p>
    <w:p w:rsidR="00C04C58" w:rsidRPr="00C04C58" w:rsidRDefault="00C04C58" w:rsidP="00C04C58">
      <w:pPr>
        <w:pStyle w:val="AERbulletlistfirststyle"/>
      </w:pPr>
      <w:r w:rsidRPr="00C04C58">
        <w:t>whether to use an independent third party data series or to construct our own data series (for example, based on an index of actual industry borrowing costs)</w:t>
      </w:r>
    </w:p>
    <w:p w:rsidR="00C04C58" w:rsidRPr="00C04C58" w:rsidRDefault="00C04C58" w:rsidP="00C04C58">
      <w:pPr>
        <w:pStyle w:val="AERbulletlistfirststyle"/>
      </w:pPr>
      <w:r w:rsidRPr="00C04C58">
        <w:t>the choice of third party data series (or combination of data series) to estimate the efficient debt financing costs of a benchmark efficient entity, based on the benchmark debt term and benchmark credit rating</w:t>
      </w:r>
    </w:p>
    <w:p w:rsidR="00C04C58" w:rsidRPr="00C04C58" w:rsidRDefault="00C04C58" w:rsidP="00C04C58">
      <w:pPr>
        <w:pStyle w:val="AERbulletlistfirststyle"/>
      </w:pPr>
      <w:r w:rsidRPr="00C04C58">
        <w:t>extrapolation and interpolation issues with adjusting our choice of data series</w:t>
      </w:r>
    </w:p>
    <w:p w:rsidR="00C04C58" w:rsidRPr="00C04C58" w:rsidRDefault="00C04C58" w:rsidP="00C04C58">
      <w:pPr>
        <w:pStyle w:val="AERbulletlistfirststyle"/>
      </w:pPr>
      <w:r w:rsidRPr="00C04C58">
        <w:t>contingencies associated with implementing our choice of data series, if the data series we have chosen to estimate the return on debt are unavailable or change in future regulatory years during the regulatory control period</w:t>
      </w:r>
    </w:p>
    <w:p w:rsidR="00C04C58" w:rsidRPr="00C04C58" w:rsidRDefault="00C04C58" w:rsidP="00C04C58">
      <w:pPr>
        <w:pStyle w:val="AERbulletlistfirststyle"/>
      </w:pPr>
      <w:r w:rsidRPr="00C04C58">
        <w:t>the new issue premium</w:t>
      </w:r>
    </w:p>
    <w:p w:rsidR="00C04C58" w:rsidRPr="00C04C58" w:rsidRDefault="00C04C58" w:rsidP="00C04C58">
      <w:pPr>
        <w:pStyle w:val="AERbulletlistfirststyle"/>
      </w:pPr>
      <w:r w:rsidRPr="00C04C58">
        <w:t>the averaging period used to estimate the return on debt for each regulatory year</w:t>
      </w:r>
    </w:p>
    <w:p w:rsidR="00C04C58" w:rsidRPr="00C04C58" w:rsidRDefault="00C04C58" w:rsidP="00C04C58">
      <w:pPr>
        <w:pStyle w:val="AERbulletlistfirststyle"/>
      </w:pPr>
      <w:r w:rsidRPr="00C04C58">
        <w:t xml:space="preserve">the annual process to update the return on debt. </w:t>
      </w:r>
    </w:p>
    <w:p w:rsidR="00C04C58" w:rsidRPr="00C04C58" w:rsidRDefault="00C04C58" w:rsidP="00C04C58">
      <w:r w:rsidRPr="00C04C58">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C04C58" w:rsidRPr="00C04C58" w:rsidRDefault="00C04C58" w:rsidP="00C04C58">
      <w:r w:rsidRPr="00C04C58">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C04C58" w:rsidRPr="00C04C58" w:rsidRDefault="00C04C58" w:rsidP="00C04C58">
      <w:pPr>
        <w:pStyle w:val="HeadingBoldItalic"/>
      </w:pPr>
      <w:bookmarkStart w:id="147" w:name="_Toc480460529"/>
      <w:bookmarkStart w:id="148" w:name="_Toc480460819"/>
      <w:r w:rsidRPr="00C04C58">
        <w:t>Term</w:t>
      </w:r>
      <w:bookmarkEnd w:id="147"/>
      <w:bookmarkEnd w:id="148"/>
    </w:p>
    <w:p w:rsidR="00C04C58" w:rsidRPr="00C04C58" w:rsidRDefault="00C04C58" w:rsidP="00C04C58">
      <w:r w:rsidRPr="00C04C58">
        <w:t>Our final decision is to adopt a ten year term for the return on debt.  This is consistent with the Guideline; with the revised regulatory proposals of AusNet Services, Powerlink and TasNetworks.</w:t>
      </w:r>
      <w:r w:rsidRPr="00C04C58">
        <w:rPr>
          <w:rStyle w:val="AERsuperscript"/>
        </w:rPr>
        <w:footnoteReference w:id="639"/>
      </w:r>
      <w:r w:rsidRPr="00C04C58">
        <w:t xml:space="preserve">  This is also consistent with our April, October and November 2015 decisions, May 2016 decisions and our draft decision for AusNet Services' transmission determination of July 2016.</w:t>
      </w:r>
      <w:r w:rsidRPr="00C04C58">
        <w:rPr>
          <w:rStyle w:val="AERsuperscript"/>
        </w:rPr>
        <w:footnoteReference w:id="640"/>
      </w:r>
    </w:p>
    <w:p w:rsidR="00C04C58" w:rsidRPr="00C04C58" w:rsidRDefault="00C04C58" w:rsidP="00C04C58">
      <w:r w:rsidRPr="00C04C58">
        <w:t>We are satisfied that measuring the allowed return on debt by reference to a 10 year benchmark term is commensurate with the efficient financing costs of a benchmark efficient entity. Our reasons for adopting a 10 year benchmark debt term are:</w:t>
      </w:r>
    </w:p>
    <w:p w:rsidR="00C04C58" w:rsidRPr="00C04C58" w:rsidRDefault="00C04C58" w:rsidP="00C04C58">
      <w:pPr>
        <w:pStyle w:val="AERbulletlistfirststyle"/>
      </w:pPr>
      <w:r w:rsidRPr="00C04C58">
        <w:t>A long debt tenor is consistent with the long lived assets of a benchmark efficient entity and reduces refinancing risk.</w:t>
      </w:r>
    </w:p>
    <w:p w:rsidR="00C04C58" w:rsidRPr="00C04C58" w:rsidRDefault="00C04C58" w:rsidP="00C04C58">
      <w:pPr>
        <w:pStyle w:val="AERbulletlistfirststyle"/>
      </w:pPr>
      <w:r w:rsidRPr="00C04C58">
        <w:t>A 10 year term is similar to (though somewhat longer than) the industry average term at issuance of a sample of firms that are comparable to the benchmark efficient entity.</w:t>
      </w:r>
    </w:p>
    <w:p w:rsidR="00C04C58" w:rsidRPr="00C04C58" w:rsidRDefault="00C04C58" w:rsidP="00C04C58">
      <w:pPr>
        <w:pStyle w:val="AERbulletlistfirststyle"/>
      </w:pPr>
      <w:r w:rsidRPr="00C04C58">
        <w:t>Regulated network assets are long lived, and have asset lives that are longer than the terms commonly available for debt. Refinancing risk is the risk that a firm would not be able to refinance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a benchmark efficient entity would be long term, but they do not provide clear guidance on what exactly that term should be.</w:t>
      </w:r>
    </w:p>
    <w:p w:rsidR="00C04C58" w:rsidRPr="00C04C58" w:rsidRDefault="00C04C58" w:rsidP="00C04C58">
      <w:r w:rsidRPr="00C04C58">
        <w:t>For that reason, in our Guideline, we requested information from a range of privately owned service providers on the amount, type, term and credit rating of their debt issuances.</w:t>
      </w:r>
      <w:r w:rsidRPr="00C04C58">
        <w:rPr>
          <w:rStyle w:val="AERsuperscript"/>
        </w:rPr>
        <w:footnoteReference w:id="641"/>
      </w:r>
      <w:r w:rsidRPr="00C04C58">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sidRPr="00C04C58">
        <w:rPr>
          <w:rStyle w:val="AERsuperscript"/>
        </w:rPr>
        <w:footnoteReference w:id="642"/>
      </w:r>
      <w:r w:rsidRPr="00C04C58">
        <w:t xml:space="preserve"> In circumstances where the yield curve for debt is upward sloping, our 10 year benchmark will be conservative compared against the 8.7 year observed average.</w:t>
      </w:r>
    </w:p>
    <w:p w:rsidR="00C04C58" w:rsidRPr="00C04C58" w:rsidRDefault="00C04C58" w:rsidP="00C04C58">
      <w:pPr>
        <w:pStyle w:val="HeadingBoldItalic"/>
      </w:pPr>
      <w:bookmarkStart w:id="149" w:name="_Toc480460530"/>
      <w:bookmarkStart w:id="150" w:name="_Toc480460820"/>
      <w:r w:rsidRPr="00C04C58">
        <w:t>Credit rating</w:t>
      </w:r>
      <w:bookmarkEnd w:id="149"/>
      <w:bookmarkEnd w:id="150"/>
    </w:p>
    <w:p w:rsidR="00C04C58" w:rsidRPr="00C04C58" w:rsidRDefault="00C04C58" w:rsidP="00C04C58">
      <w:r w:rsidRPr="00C04C58">
        <w:t>Our final decision is to adopt a BBB+ benchmark credit rating to estimate the return on debt. This benchmark credit rating is the same rating we proposed in the Guideline and applied in our most recent decisions.</w:t>
      </w:r>
      <w:r w:rsidRPr="00C04C58">
        <w:rPr>
          <w:rStyle w:val="FootnoteReference"/>
        </w:rPr>
        <w:footnoteReference w:id="643"/>
      </w:r>
      <w:r w:rsidRPr="00C04C58">
        <w:t xml:space="preserve"> We also applied this credit rating to decisions that were upheld before the Tribunal.</w:t>
      </w:r>
      <w:r w:rsidRPr="00C04C58">
        <w:rPr>
          <w:rStyle w:val="FootnoteReference"/>
        </w:rPr>
        <w:footnoteReference w:id="644"/>
      </w:r>
      <w:r w:rsidRPr="00C04C58">
        <w:t xml:space="preserve">  .</w:t>
      </w:r>
      <w:r w:rsidRPr="00C04C58">
        <w:rPr>
          <w:rStyle w:val="FootnoteReference"/>
        </w:rPr>
        <w:footnoteReference w:id="645"/>
      </w:r>
      <w:r w:rsidRPr="00C04C58">
        <w:t xml:space="preserve"> </w:t>
      </w:r>
      <w:r w:rsidRPr="00C04C58">
        <w:rPr>
          <w:rStyle w:val="FootnoteReference"/>
        </w:rPr>
        <w:footnoteReference w:id="646"/>
      </w:r>
      <w:r w:rsidRPr="00C04C58">
        <w:t xml:space="preserve"> We consider that a BBB+ benchmark credit rating to be appropriate given the information we have available and that is included in this decision.</w:t>
      </w:r>
    </w:p>
    <w:p w:rsidR="00C04C58" w:rsidRPr="00C04C58" w:rsidRDefault="00C04C58" w:rsidP="00C04C58">
      <w:r w:rsidRPr="00C04C58">
        <w:t>In current regulatory processes, different service providers, consultants and other stakeholders have proposed different credit ratings for the benchmark efficient entity. In particular:</w:t>
      </w:r>
    </w:p>
    <w:p w:rsidR="00C04C58" w:rsidRPr="00C04C58" w:rsidRDefault="00C04C58" w:rsidP="00C04C58">
      <w:pPr>
        <w:pStyle w:val="AERbulletlistfirststyle"/>
      </w:pPr>
      <w:r w:rsidRPr="00C04C58">
        <w:t>AusNet Services proposed a credit rating of BBB to BBB+.</w:t>
      </w:r>
      <w:r w:rsidRPr="00C04C58">
        <w:rPr>
          <w:rStyle w:val="FootnoteReference"/>
        </w:rPr>
        <w:footnoteReference w:id="647"/>
      </w:r>
    </w:p>
    <w:p w:rsidR="00C04C58" w:rsidRPr="00C04C58" w:rsidRDefault="00C04C58" w:rsidP="00C04C58">
      <w:pPr>
        <w:pStyle w:val="AERbulletlistfirststyle"/>
      </w:pPr>
      <w:r w:rsidRPr="00C04C58">
        <w:t>Powerlink and TasNetworks proposed to adopt a benchmark credit rating of BBB+</w:t>
      </w:r>
      <w:r w:rsidRPr="00C04C58">
        <w:rPr>
          <w:rStyle w:val="FootnoteReference"/>
        </w:rPr>
        <w:footnoteReference w:id="648"/>
      </w:r>
    </w:p>
    <w:p w:rsidR="00C04C58" w:rsidRPr="00C04C58" w:rsidRDefault="00C04C58" w:rsidP="00C04C58">
      <w:r w:rsidRPr="00C04C58">
        <w:t xml:space="preserve">These service providers did not submit any consultant reports on the benchmark credit rating. However, previous consultant reports we received were mixed. For instance: </w:t>
      </w:r>
    </w:p>
    <w:p w:rsidR="00C04C58" w:rsidRPr="00C04C58" w:rsidRDefault="00C04C58" w:rsidP="00C04C58">
      <w:pPr>
        <w:pStyle w:val="AERbulletlistfirststyle"/>
      </w:pPr>
      <w:r w:rsidRPr="00C04C58">
        <w:t>NERA and Houston Kemp (commissioned by TransGrid in a recent regulatory process) recommended a BBB+ credit rating.</w:t>
      </w:r>
      <w:r w:rsidRPr="00C04C58">
        <w:rPr>
          <w:rStyle w:val="FootnoteReference"/>
        </w:rPr>
        <w:footnoteReference w:id="649"/>
      </w:r>
    </w:p>
    <w:p w:rsidR="00C04C58" w:rsidRPr="00C04C58" w:rsidRDefault="00C04C58" w:rsidP="00C04C58">
      <w:pPr>
        <w:pStyle w:val="AERbulletlistfirststyle"/>
      </w:pPr>
      <w:r w:rsidRPr="00C04C58">
        <w:t>Several service providers and CEG (commissioned by several service providers) recommended a BBB credit rating.</w:t>
      </w:r>
      <w:r w:rsidRPr="00C04C58">
        <w:rPr>
          <w:rStyle w:val="FootnoteReference"/>
        </w:rPr>
        <w:footnoteReference w:id="650"/>
      </w:r>
    </w:p>
    <w:p w:rsidR="00C04C58" w:rsidRPr="00C04C58" w:rsidRDefault="00C04C58" w:rsidP="00C04C58">
      <w:pPr>
        <w:pStyle w:val="AERbulletlistfirststyle"/>
      </w:pPr>
      <w:r w:rsidRPr="00C04C58">
        <w:t>Lally (commissioned by us) and the South Australian Centre for Economic Studies (SACES) recommended a credit rating for energy networks of BBB to BBB+.</w:t>
      </w:r>
      <w:r w:rsidRPr="00C04C58">
        <w:rPr>
          <w:rStyle w:val="FootnoteReference"/>
        </w:rPr>
        <w:footnoteReference w:id="651"/>
      </w:r>
    </w:p>
    <w:p w:rsidR="00C04C58" w:rsidRPr="00C04C58" w:rsidRDefault="00C04C58" w:rsidP="00C04C58">
      <w:r w:rsidRPr="00C04C58">
        <w:t>In contrast, consumer groups generally submitted the benchmark credit rating of BBB+ was too low. For instance:</w:t>
      </w:r>
    </w:p>
    <w:p w:rsidR="00C04C58" w:rsidRPr="00C04C58" w:rsidRDefault="00C04C58" w:rsidP="00C04C58">
      <w:pPr>
        <w:pStyle w:val="AERbulletlistfirststyle"/>
      </w:pPr>
      <w:r w:rsidRPr="00C04C58">
        <w:t>The CCP4 (DH) viewed the AER Guideline as conservative when setting point estimates for the rate of return model, expressing concern that a lower credit rating than BBB+ would inappropriately increase the return on debt allowance.</w:t>
      </w:r>
      <w:r w:rsidRPr="00C04C58">
        <w:rPr>
          <w:rStyle w:val="FootnoteReference"/>
        </w:rPr>
        <w:footnoteReference w:id="652"/>
      </w:r>
      <w:r w:rsidRPr="00C04C58">
        <w:t xml:space="preserve"> </w:t>
      </w:r>
      <w:r w:rsidRPr="00C04C58">
        <w:rPr>
          <w:rStyle w:val="FootnoteReference"/>
        </w:rPr>
        <w:footnoteReference w:id="653"/>
      </w:r>
    </w:p>
    <w:p w:rsidR="00C04C58" w:rsidRPr="00C04C58" w:rsidRDefault="00C04C58" w:rsidP="00C04C58">
      <w:pPr>
        <w:pStyle w:val="AERbulletlistfirststyle"/>
      </w:pPr>
      <w:r w:rsidRPr="00C04C58">
        <w:t>The Chamber of Commerce and Industry Queensland (CCIQ) and Energy Consumers Coalition of South Australia (ECCSA) submitted that credit ratings of BBB and BBB+ are too low.</w:t>
      </w:r>
      <w:r w:rsidRPr="00C04C58">
        <w:rPr>
          <w:rStyle w:val="FootnoteReference"/>
        </w:rPr>
        <w:footnoteReference w:id="654"/>
      </w:r>
      <w:r w:rsidRPr="00C04C58">
        <w:t xml:space="preserve"> ECCSA specifically noted this was the case given benchmark firms' gearing levels.</w:t>
      </w:r>
      <w:r w:rsidRPr="00C04C58">
        <w:rPr>
          <w:rStyle w:val="FootnoteReference"/>
        </w:rPr>
        <w:footnoteReference w:id="655"/>
      </w:r>
    </w:p>
    <w:p w:rsidR="00C04C58" w:rsidRPr="00C04C58" w:rsidRDefault="00C04C58" w:rsidP="00C04C58">
      <w:pPr>
        <w:pStyle w:val="AERbulletlistfirststyle"/>
      </w:pPr>
      <w:r w:rsidRPr="00C04C58">
        <w:t>The Victorian Energy Consumer and User Alliance (VECUA) referred to an analysis by the Energy Users Rule Change Committee (EURCC) in 2011 to support their view that we should recognise or have regard to service providers' actual credit ratings.</w:t>
      </w:r>
      <w:r w:rsidRPr="00C04C58">
        <w:rPr>
          <w:rStyle w:val="FootnoteReference"/>
        </w:rPr>
        <w:footnoteReference w:id="656"/>
      </w:r>
      <w:r w:rsidRPr="00C04C58">
        <w:t xml:space="preserve"> VECUA submitted that we provide higher debt allowances than appropriate by basing these on credit ratings that are lower than service providers' actual credit ratings.</w:t>
      </w:r>
      <w:r w:rsidRPr="00C04C58">
        <w:rPr>
          <w:rStyle w:val="FootnoteReference"/>
        </w:rPr>
        <w:footnoteReference w:id="657"/>
      </w:r>
      <w:r w:rsidRPr="00C04C58">
        <w:t xml:space="preserve">  Further, VECUA also submitted that by using debt in a broad BBB band to estimate the allowed return on debt, the debt allowance we provide is predominantly based on more expensive debt ratings.</w:t>
      </w:r>
      <w:r w:rsidRPr="00C04C58">
        <w:rPr>
          <w:rStyle w:val="FootnoteReference"/>
        </w:rPr>
        <w:footnoteReference w:id="658"/>
      </w:r>
      <w:r w:rsidRPr="00C04C58">
        <w:t xml:space="preserve"> We note that several service providers disagreed with this submission.</w:t>
      </w:r>
      <w:r w:rsidRPr="00C04C58">
        <w:rPr>
          <w:rStyle w:val="FootnoteReference"/>
        </w:rPr>
        <w:footnoteReference w:id="659"/>
      </w:r>
    </w:p>
    <w:p w:rsidR="00C04C58" w:rsidRPr="00C04C58" w:rsidRDefault="00C04C58" w:rsidP="00C04C58">
      <w:pPr>
        <w:pStyle w:val="AERbulletlistfirststyle"/>
      </w:pPr>
      <w:r w:rsidRPr="00C04C58">
        <w:t>The CCP submitted that we should account for the difference between service providers actual cost of debt and the BBB benchmark so the allowance better reflects service providers' actual debt costs.</w:t>
      </w:r>
      <w:r w:rsidRPr="00C04C58">
        <w:rPr>
          <w:rStyle w:val="FootnoteReference"/>
        </w:rPr>
        <w:footnoteReference w:id="660"/>
      </w:r>
      <w:r w:rsidRPr="00C04C58">
        <w:t xml:space="preserve"> </w:t>
      </w:r>
    </w:p>
    <w:p w:rsidR="00C04C58" w:rsidRPr="00C04C58" w:rsidRDefault="00C04C58" w:rsidP="00C04C58">
      <w:r w:rsidRPr="00C04C58">
        <w:t>We are satisfied that a benchmark efficient entity would have a BBB+ credit rating. We formed this view, as well as our view on the benchmark term of issuance, from considering a set of firms that we consider comparable to a benchmark efficient entity.</w:t>
      </w:r>
      <w:r w:rsidRPr="00C04C58">
        <w:rPr>
          <w:rStyle w:val="FootnoteReference"/>
        </w:rPr>
        <w:footnoteReference w:id="661"/>
      </w:r>
      <w:r w:rsidRPr="00C04C58">
        <w:t xml:space="preserve"> We consider this is more consistent with incentive regulation than basing our allowance for individual service providers on their actual credit ratings or actual historical costs of debt.</w:t>
      </w:r>
    </w:p>
    <w:p w:rsidR="00C04C58" w:rsidRPr="00C04C58" w:rsidRDefault="00C04C58" w:rsidP="00C04C58">
      <w:r w:rsidRPr="00C04C58">
        <w:t xml:space="preserve">While AusNet Services has proposed a benchmark credit rating of BBB to BBB+, we are satisfied that a benchmark efficient entity facing a similar degree of risk as AusNet Services in providing prescribed transmission services would face a BBB+ credit rating. In section </w:t>
      </w:r>
      <w:r w:rsidR="00AD2086">
        <w:fldChar w:fldCharType="begin"/>
      </w:r>
      <w:r w:rsidR="00AD2086">
        <w:instrText xml:space="preserve"> REF _Ref452629353 \r \h </w:instrText>
      </w:r>
      <w:r w:rsidR="00AD2086">
        <w:fldChar w:fldCharType="separate"/>
      </w:r>
      <w:r w:rsidR="006B4A74">
        <w:t>I.4</w:t>
      </w:r>
      <w:r w:rsidR="00AD2086">
        <w:fldChar w:fldCharType="end"/>
      </w:r>
      <w:r w:rsidRPr="00C04C58">
        <w:t xml:space="preserve">, we address AusNet Services’ submission. In particular, we: </w:t>
      </w:r>
    </w:p>
    <w:p w:rsidR="00C04C58" w:rsidRPr="00C04C58" w:rsidRDefault="00C04C58" w:rsidP="00C04C58">
      <w:pPr>
        <w:pStyle w:val="AERbulletlistfirststyle"/>
      </w:pPr>
      <w:r w:rsidRPr="00C04C58">
        <w:t>Set out the comparator set we use to estimate the industry median and responding to AusNet Services’ proposal to exclude itself and SGSP Australia Assets Pty Ltd (SGSP) from the comparator set.</w:t>
      </w:r>
    </w:p>
    <w:p w:rsidR="00C04C58" w:rsidRPr="00C04C58" w:rsidRDefault="00C04C58" w:rsidP="00C04C58">
      <w:pPr>
        <w:pStyle w:val="AERbulletlistfirststyle"/>
      </w:pPr>
      <w:r w:rsidRPr="00C04C58">
        <w:t xml:space="preserve">Explain why we consider market data supports an industry median credit rating of BBB+, rather than BBB. </w:t>
      </w:r>
    </w:p>
    <w:p w:rsidR="00C04C58" w:rsidRPr="00C04C58" w:rsidRDefault="00C04C58" w:rsidP="00C04C58">
      <w:pPr>
        <w:pStyle w:val="HeadingItalic"/>
      </w:pPr>
      <w:bookmarkStart w:id="151" w:name="_Toc480460531"/>
      <w:bookmarkStart w:id="152" w:name="_Toc480460821"/>
      <w:r w:rsidRPr="00C04C58">
        <w:t>Update of empirical evidence</w:t>
      </w:r>
      <w:bookmarkEnd w:id="151"/>
      <w:bookmarkEnd w:id="152"/>
    </w:p>
    <w:p w:rsidR="00C04C58" w:rsidRPr="00C04C58" w:rsidRDefault="00C04C58" w:rsidP="00C04C58">
      <w:r w:rsidRPr="00C04C58">
        <w:t>Consistent with our estimate in the Guideline and preliminary decision, we have had regard to empirical evidence in applying a benchmark credit rating of BBB+.</w:t>
      </w:r>
      <w:r w:rsidRPr="00C04C58">
        <w:rPr>
          <w:rStyle w:val="FootnoteReference"/>
        </w:rPr>
        <w:footnoteReference w:id="662"/>
      </w:r>
      <w:r w:rsidRPr="00C04C58">
        <w:t xml:space="preserve"> </w:t>
      </w:r>
    </w:p>
    <w:p w:rsidR="00C04C58" w:rsidRPr="00C04C58" w:rsidRDefault="00C04C58" w:rsidP="00C04C58">
      <w:r w:rsidRPr="00C04C58">
        <w:fldChar w:fldCharType="begin"/>
      </w:r>
      <w:r w:rsidRPr="00C04C58">
        <w:instrText xml:space="preserve"> REF _Ref450564730 \h </w:instrText>
      </w:r>
      <w:r w:rsidRPr="00C04C58">
        <w:fldChar w:fldCharType="separate"/>
      </w:r>
      <w:r w:rsidR="006B4A74" w:rsidRPr="00C04C58">
        <w:t xml:space="preserve">Table </w:t>
      </w:r>
      <w:r w:rsidR="006B4A74">
        <w:rPr>
          <w:noProof/>
        </w:rPr>
        <w:t>3</w:t>
      </w:r>
      <w:r w:rsidR="006B4A74">
        <w:noBreakHyphen/>
      </w:r>
      <w:r w:rsidR="006B4A74">
        <w:rPr>
          <w:noProof/>
        </w:rPr>
        <w:t>12</w:t>
      </w:r>
      <w:r w:rsidRPr="00C04C58">
        <w:fldChar w:fldCharType="end"/>
      </w:r>
      <w:r w:rsidRPr="00C04C58">
        <w:t xml:space="preserve"> sets out the median credit rating over historical periods of progressively longer length. For this final decision, we have updated this analysis to include 2016. As in our draft decision, </w:t>
      </w:r>
      <w:r w:rsidRPr="00C04C58">
        <w:fldChar w:fldCharType="begin"/>
      </w:r>
      <w:r w:rsidRPr="00C04C58">
        <w:instrText xml:space="preserve"> REF  _Ref450564730 \* Lower \h </w:instrText>
      </w:r>
      <w:r w:rsidRPr="00C04C58">
        <w:fldChar w:fldCharType="separate"/>
      </w:r>
      <w:r w:rsidR="006B4A74" w:rsidRPr="00C04C58">
        <w:t xml:space="preserve">table </w:t>
      </w:r>
      <w:r w:rsidR="006B4A74">
        <w:rPr>
          <w:noProof/>
        </w:rPr>
        <w:t>3</w:t>
      </w:r>
      <w:r w:rsidR="006B4A74">
        <w:noBreakHyphen/>
      </w:r>
      <w:r w:rsidR="006B4A74">
        <w:rPr>
          <w:noProof/>
        </w:rPr>
        <w:t>12</w:t>
      </w:r>
      <w:r w:rsidRPr="00C04C58">
        <w:fldChar w:fldCharType="end"/>
      </w:r>
      <w:r w:rsidRPr="00C04C58">
        <w:t xml:space="preserve"> shows some support for a credit rating of BBB, however we consider it shows stronger support for a credit rating of BBB+. We note that the median credit rating for 2016 specifically is BBB+.</w:t>
      </w:r>
    </w:p>
    <w:p w:rsidR="00C04C58" w:rsidRPr="00C04C58" w:rsidRDefault="00C04C58" w:rsidP="00C04C58">
      <w:r w:rsidRPr="00C04C58">
        <w:t>We also note that this estimate entails taking the median from the yearly medians. We could also take the median of all credit rating observations over these time periods. This gives BBB+ for the six most recent periods, BBB/BBB+ for the period 2010–2016 and BBB for the longer averaging periods (2006–2016 to 2009–16).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sidRPr="00C04C58">
        <w:rPr>
          <w:rStyle w:val="FootnoteReference"/>
        </w:rPr>
        <w:footnoteReference w:id="663"/>
      </w:r>
    </w:p>
    <w:p w:rsidR="00C04C58" w:rsidRPr="00C04C58" w:rsidRDefault="00C04C58" w:rsidP="00C04C58">
      <w:pPr>
        <w:pStyle w:val="Caption"/>
      </w:pPr>
      <w:bookmarkStart w:id="153" w:name="_Ref450564730"/>
      <w:r w:rsidRPr="00C04C58">
        <w:t xml:space="preserve">Table </w:t>
      </w:r>
      <w:fldSimple w:instr=" STYLEREF 1 \s ">
        <w:r w:rsidR="006B4A74">
          <w:rPr>
            <w:noProof/>
          </w:rPr>
          <w:t>3</w:t>
        </w:r>
      </w:fldSimple>
      <w:r w:rsidR="008F29C8">
        <w:noBreakHyphen/>
      </w:r>
      <w:fldSimple w:instr=" SEQ Table \* ARABIC \s 1 ">
        <w:r w:rsidR="006B4A74">
          <w:rPr>
            <w:noProof/>
          </w:rPr>
          <w:t>12</w:t>
        </w:r>
      </w:fldSimple>
      <w:bookmarkEnd w:id="153"/>
      <w:r w:rsidRPr="00C04C58">
        <w:t xml:space="preserve"> Median credit rating—Comparator set of firms</w:t>
      </w:r>
    </w:p>
    <w:tbl>
      <w:tblPr>
        <w:tblStyle w:val="AERtable-text0"/>
        <w:tblW w:w="0" w:type="auto"/>
        <w:tblLook w:val="04A0" w:firstRow="1" w:lastRow="0" w:firstColumn="1" w:lastColumn="0" w:noHBand="0" w:noVBand="1"/>
      </w:tblPr>
      <w:tblGrid>
        <w:gridCol w:w="2153"/>
        <w:gridCol w:w="2192"/>
        <w:gridCol w:w="2155"/>
        <w:gridCol w:w="2193"/>
      </w:tblGrid>
      <w:tr w:rsidR="00C04C58" w:rsidRPr="00073F41" w:rsidTr="00C04C58">
        <w:trPr>
          <w:cnfStyle w:val="100000000000" w:firstRow="1" w:lastRow="0" w:firstColumn="0" w:lastColumn="0" w:oddVBand="0" w:evenVBand="0" w:oddHBand="0" w:evenHBand="0" w:firstRowFirstColumn="0" w:firstRowLastColumn="0" w:lastRowFirstColumn="0" w:lastRowLastColumn="0"/>
        </w:trPr>
        <w:tc>
          <w:tcPr>
            <w:tcW w:w="2153" w:type="dxa"/>
          </w:tcPr>
          <w:p w:rsidR="00C04C58" w:rsidRPr="00C04C58" w:rsidRDefault="00C04C58" w:rsidP="00C04C58">
            <w:r w:rsidRPr="00C04C58">
              <w:t xml:space="preserve">Time period </w:t>
            </w:r>
          </w:p>
        </w:tc>
        <w:tc>
          <w:tcPr>
            <w:tcW w:w="2192" w:type="dxa"/>
          </w:tcPr>
          <w:p w:rsidR="00C04C58" w:rsidRPr="00C04C58" w:rsidRDefault="00C04C58" w:rsidP="00C04C58">
            <w:r w:rsidRPr="00C04C58">
              <w:t>Median credit rating</w:t>
            </w:r>
          </w:p>
        </w:tc>
        <w:tc>
          <w:tcPr>
            <w:tcW w:w="2155" w:type="dxa"/>
          </w:tcPr>
          <w:p w:rsidR="00C04C58" w:rsidRPr="00C04C58" w:rsidRDefault="00C04C58" w:rsidP="00C04C58">
            <w:r w:rsidRPr="00C04C58">
              <w:t>Time period</w:t>
            </w:r>
          </w:p>
        </w:tc>
        <w:tc>
          <w:tcPr>
            <w:tcW w:w="2193" w:type="dxa"/>
          </w:tcPr>
          <w:p w:rsidR="00C04C58" w:rsidRPr="00C04C58" w:rsidRDefault="00C04C58" w:rsidP="00C04C58">
            <w:r w:rsidRPr="00C04C58">
              <w:t>Median credit rating</w:t>
            </w:r>
          </w:p>
        </w:tc>
      </w:tr>
      <w:tr w:rsidR="00C04C58" w:rsidRPr="00073F41" w:rsidTr="00C04C58">
        <w:trPr>
          <w:trHeight w:val="622"/>
        </w:trPr>
        <w:tc>
          <w:tcPr>
            <w:tcW w:w="2153" w:type="dxa"/>
          </w:tcPr>
          <w:p w:rsidR="00C04C58" w:rsidRPr="00C04C58" w:rsidRDefault="00C04C58" w:rsidP="00C04C58">
            <w:r w:rsidRPr="00C04C58">
              <w:t>2016</w:t>
            </w:r>
          </w:p>
        </w:tc>
        <w:tc>
          <w:tcPr>
            <w:tcW w:w="2192" w:type="dxa"/>
          </w:tcPr>
          <w:p w:rsidR="00C04C58" w:rsidRPr="00C04C58" w:rsidRDefault="00C04C58" w:rsidP="00C04C58">
            <w:r w:rsidRPr="00C04C58">
              <w:t>BBB+</w:t>
            </w:r>
          </w:p>
        </w:tc>
        <w:tc>
          <w:tcPr>
            <w:tcW w:w="2155" w:type="dxa"/>
          </w:tcPr>
          <w:p w:rsidR="00C04C58" w:rsidRPr="00C04C58" w:rsidRDefault="00C04C58" w:rsidP="00C04C58"/>
        </w:tc>
        <w:tc>
          <w:tcPr>
            <w:tcW w:w="2193" w:type="dxa"/>
          </w:tcPr>
          <w:p w:rsidR="00C04C58" w:rsidRPr="00C04C58" w:rsidRDefault="00C04C58" w:rsidP="00C04C58"/>
        </w:tc>
      </w:tr>
      <w:tr w:rsidR="00C04C58" w:rsidRPr="00073F41" w:rsidTr="00C04C58">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C04C58" w:rsidRPr="00C04C58" w:rsidRDefault="00C04C58" w:rsidP="00C04C58">
            <w:r w:rsidRPr="00C04C58">
              <w:t xml:space="preserve">2015–2016 </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2010–2016</w:t>
            </w:r>
          </w:p>
        </w:tc>
        <w:tc>
          <w:tcPr>
            <w:tcW w:w="2193" w:type="dxa"/>
          </w:tcPr>
          <w:p w:rsidR="00C04C58" w:rsidRPr="00C04C58" w:rsidRDefault="00C04C58" w:rsidP="00C04C58">
            <w:r w:rsidRPr="00C04C58">
              <w:t>BBB/BBB+</w:t>
            </w:r>
          </w:p>
        </w:tc>
      </w:tr>
      <w:tr w:rsidR="00C04C58" w:rsidRPr="00073F41" w:rsidTr="00C04C58">
        <w:tc>
          <w:tcPr>
            <w:tcW w:w="2153" w:type="dxa"/>
          </w:tcPr>
          <w:p w:rsidR="00C04C58" w:rsidRPr="00C04C58" w:rsidRDefault="00C04C58" w:rsidP="00C04C58">
            <w:r w:rsidRPr="00C04C58">
              <w:t>2014–2016</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2009–2016</w:t>
            </w:r>
          </w:p>
        </w:tc>
        <w:tc>
          <w:tcPr>
            <w:tcW w:w="2193" w:type="dxa"/>
          </w:tcPr>
          <w:p w:rsidR="00C04C58" w:rsidRPr="00C04C58" w:rsidRDefault="00C04C58" w:rsidP="00C04C58">
            <w:r w:rsidRPr="00C04C58">
              <w:t>BBB</w:t>
            </w:r>
          </w:p>
        </w:tc>
      </w:tr>
      <w:tr w:rsidR="00C04C58" w:rsidRPr="00073F41" w:rsidTr="00C04C58">
        <w:trPr>
          <w:cnfStyle w:val="000000010000" w:firstRow="0" w:lastRow="0" w:firstColumn="0" w:lastColumn="0" w:oddVBand="0" w:evenVBand="0" w:oddHBand="0" w:evenHBand="1" w:firstRowFirstColumn="0" w:firstRowLastColumn="0" w:lastRowFirstColumn="0" w:lastRowLastColumn="0"/>
        </w:trPr>
        <w:tc>
          <w:tcPr>
            <w:tcW w:w="2153" w:type="dxa"/>
          </w:tcPr>
          <w:p w:rsidR="00C04C58" w:rsidRPr="00C04C58" w:rsidRDefault="00C04C58" w:rsidP="00C04C58">
            <w:r w:rsidRPr="00C04C58">
              <w:t>2013–2016</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2008–2016</w:t>
            </w:r>
          </w:p>
        </w:tc>
        <w:tc>
          <w:tcPr>
            <w:tcW w:w="2193" w:type="dxa"/>
          </w:tcPr>
          <w:p w:rsidR="00C04C58" w:rsidRPr="00C04C58" w:rsidRDefault="00C04C58" w:rsidP="00C04C58">
            <w:r w:rsidRPr="00C04C58">
              <w:t>BBB/BBB+</w:t>
            </w:r>
          </w:p>
        </w:tc>
      </w:tr>
      <w:tr w:rsidR="00C04C58" w:rsidRPr="00073F41" w:rsidTr="00C04C58">
        <w:tc>
          <w:tcPr>
            <w:tcW w:w="2153" w:type="dxa"/>
          </w:tcPr>
          <w:p w:rsidR="00C04C58" w:rsidRPr="00C04C58" w:rsidRDefault="00C04C58" w:rsidP="00C04C58">
            <w:r w:rsidRPr="00C04C58">
              <w:t>2012–2016</w:t>
            </w:r>
          </w:p>
        </w:tc>
        <w:tc>
          <w:tcPr>
            <w:tcW w:w="2192" w:type="dxa"/>
          </w:tcPr>
          <w:p w:rsidR="00C04C58" w:rsidRPr="00C04C58" w:rsidRDefault="00C04C58" w:rsidP="00C04C58">
            <w:r w:rsidRPr="00C04C58">
              <w:t>BBB/BBB+</w:t>
            </w:r>
          </w:p>
        </w:tc>
        <w:tc>
          <w:tcPr>
            <w:tcW w:w="2155" w:type="dxa"/>
          </w:tcPr>
          <w:p w:rsidR="00C04C58" w:rsidRPr="00C04C58" w:rsidRDefault="00C04C58" w:rsidP="00C04C58">
            <w:r w:rsidRPr="00C04C58">
              <w:t>2007–2016</w:t>
            </w:r>
          </w:p>
        </w:tc>
        <w:tc>
          <w:tcPr>
            <w:tcW w:w="2193" w:type="dxa"/>
          </w:tcPr>
          <w:p w:rsidR="00C04C58" w:rsidRPr="00C04C58" w:rsidRDefault="00C04C58" w:rsidP="00C04C58">
            <w:r w:rsidRPr="00C04C58">
              <w:t>BBB/BBB+</w:t>
            </w:r>
          </w:p>
        </w:tc>
      </w:tr>
      <w:tr w:rsidR="00C04C58" w:rsidRPr="00073F41" w:rsidTr="00C04C58">
        <w:trPr>
          <w:cnfStyle w:val="000000010000" w:firstRow="0" w:lastRow="0" w:firstColumn="0" w:lastColumn="0" w:oddVBand="0" w:evenVBand="0" w:oddHBand="0" w:evenHBand="1" w:firstRowFirstColumn="0" w:firstRowLastColumn="0" w:lastRowFirstColumn="0" w:lastRowLastColumn="0"/>
        </w:trPr>
        <w:tc>
          <w:tcPr>
            <w:tcW w:w="2153" w:type="dxa"/>
          </w:tcPr>
          <w:p w:rsidR="00C04C58" w:rsidRPr="00C04C58" w:rsidRDefault="00C04C58" w:rsidP="00C04C58">
            <w:r w:rsidRPr="00C04C58">
              <w:t>2011–2016</w:t>
            </w:r>
          </w:p>
        </w:tc>
        <w:tc>
          <w:tcPr>
            <w:tcW w:w="2192" w:type="dxa"/>
          </w:tcPr>
          <w:p w:rsidR="00C04C58" w:rsidRPr="00C04C58" w:rsidRDefault="00C04C58" w:rsidP="00C04C58">
            <w:r w:rsidRPr="00C04C58">
              <w:t>BBB/BBB+</w:t>
            </w:r>
          </w:p>
        </w:tc>
        <w:tc>
          <w:tcPr>
            <w:tcW w:w="2155" w:type="dxa"/>
          </w:tcPr>
          <w:p w:rsidR="00C04C58" w:rsidRPr="00C04C58" w:rsidRDefault="00C04C58" w:rsidP="00C04C58">
            <w:r w:rsidRPr="00C04C58">
              <w:t>2006–2016</w:t>
            </w:r>
          </w:p>
        </w:tc>
        <w:tc>
          <w:tcPr>
            <w:tcW w:w="2193" w:type="dxa"/>
          </w:tcPr>
          <w:p w:rsidR="00C04C58" w:rsidRPr="00C04C58" w:rsidRDefault="00C04C58" w:rsidP="00C04C58">
            <w:r w:rsidRPr="00C04C58">
              <w:t>BBB/BBB+</w:t>
            </w:r>
          </w:p>
        </w:tc>
      </w:tr>
    </w:tbl>
    <w:p w:rsidR="00C04C58" w:rsidRPr="00C04C58" w:rsidRDefault="00C04C58" w:rsidP="00C04C58">
      <w:pPr>
        <w:pStyle w:val="AERtablesource"/>
      </w:pPr>
      <w:r w:rsidRPr="00C04C58">
        <w:t xml:space="preserve">Source: </w:t>
      </w:r>
      <w:r w:rsidRPr="00C04C58">
        <w:tab/>
        <w:t xml:space="preserve">Bloomberg (S&amp;P), AER analysis. </w:t>
      </w:r>
    </w:p>
    <w:p w:rsidR="00C04C58" w:rsidRPr="00C04C58" w:rsidRDefault="00C04C58" w:rsidP="00C04C58">
      <w:r w:rsidRPr="00C04C58">
        <w:t>As noted by AusNet Services, the return on debt is estimated using a broad BBB rated curve, including BBB-, BBB and BBB+ rated debt. As we remain satisfied that the appropriate benchmark credit rating is BBB+, use of a broad BBB+ rated yield curve is likely, holding other things constant, to overestimate the return on debt required by a BBB+ rated issuer.</w:t>
      </w:r>
    </w:p>
    <w:p w:rsidR="00BF2F91" w:rsidRDefault="00BF2F91" w:rsidP="00BF2F91">
      <w:pPr>
        <w:pStyle w:val="HeadingBoldItalic"/>
      </w:pPr>
      <w:bookmarkStart w:id="154" w:name="_Toc480460532"/>
      <w:bookmarkStart w:id="155" w:name="_Toc480460822"/>
      <w:r w:rsidRPr="00484372">
        <w:t>Choice of third party data series (including adjustments)</w:t>
      </w:r>
      <w:bookmarkEnd w:id="154"/>
      <w:bookmarkEnd w:id="155"/>
    </w:p>
    <w:p w:rsidR="00BF2F91" w:rsidRPr="00484372" w:rsidRDefault="00BF2F91" w:rsidP="00CC7A1C">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BF2F91" w:rsidRPr="00484372" w:rsidRDefault="00BF2F91" w:rsidP="00CC7A1C">
      <w:pPr>
        <w:numPr>
          <w:ilvl w:val="0"/>
          <w:numId w:val="24"/>
        </w:numPr>
      </w:pPr>
      <w:r w:rsidRPr="00484372">
        <w:t xml:space="preserve">Our decision is to adopt a simple average of the debt data series published by the </w:t>
      </w:r>
      <w:r>
        <w:t>RBA</w:t>
      </w:r>
      <w:r w:rsidRPr="00484372">
        <w:t xml:space="preserve"> and Bloomberg that match, as close as available, our benchmarks of a BBB+ credit rating and a 10 year debt term. Specifically, our decision is to adopt a simple average of:</w:t>
      </w:r>
    </w:p>
    <w:p w:rsidR="00BF2F91" w:rsidRPr="00BF2F91" w:rsidRDefault="00BF2F91" w:rsidP="00BF2F91">
      <w:pPr>
        <w:pStyle w:val="AERbulletlistfirststyle"/>
      </w:pPr>
      <w:r>
        <w:t>t</w:t>
      </w:r>
      <w:r w:rsidRPr="00BF2F91">
        <w:t>he 10 year estimate from the non-financial corporate BBB rated data series published by the RBA (the RBA curve),</w:t>
      </w:r>
      <w:r w:rsidRPr="00BF2F91">
        <w:rPr>
          <w:rStyle w:val="AERsuperscript"/>
        </w:rPr>
        <w:footnoteReference w:id="664"/>
      </w:r>
      <w:r w:rsidRPr="00BF2F91">
        <w:rPr>
          <w:rStyle w:val="AERsuperscript"/>
        </w:rPr>
        <w:t xml:space="preserve"> </w:t>
      </w:r>
      <w:r w:rsidRPr="00BF2F91">
        <w:t>and</w:t>
      </w:r>
    </w:p>
    <w:p w:rsidR="00BF2F91" w:rsidRPr="00BF2F91" w:rsidRDefault="00BF2F91" w:rsidP="00BF2F91">
      <w:pPr>
        <w:pStyle w:val="AERbulletlistfirststyle"/>
      </w:pPr>
      <w:r w:rsidRPr="00484372">
        <w:t>the 10 year yield estimate from the Australian corporate BBB rated Bloomberg Valuation Service (BVAL) data series published by Bloomberg (the BVAL curve).</w:t>
      </w:r>
      <w:r w:rsidRPr="00BF2F91">
        <w:rPr>
          <w:rStyle w:val="AERsuperscript"/>
        </w:rPr>
        <w:footnoteReference w:id="665"/>
      </w:r>
    </w:p>
    <w:p w:rsidR="00BF2F91" w:rsidRPr="00484372" w:rsidRDefault="00BF2F91" w:rsidP="00CC7A1C">
      <w:pPr>
        <w:numPr>
          <w:ilvl w:val="0"/>
          <w:numId w:val="24"/>
        </w:numPr>
      </w:pPr>
      <w:r w:rsidRPr="00484372">
        <w:t>The RBA and BVAL curves are both 'broad BBB' rated data series in that they reflect bond pricing generally across the BBB+, BBB and BBB- rated spectrum of bonds.</w:t>
      </w:r>
    </w:p>
    <w:p w:rsidR="00BF2F91" w:rsidRPr="00484372" w:rsidRDefault="00BF2F91" w:rsidP="00CC7A1C">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BF2F91" w:rsidRPr="00484372" w:rsidRDefault="00BF2F91" w:rsidP="009D3A48">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666"/>
      </w:r>
      <w:r w:rsidRPr="00484372">
        <w:t xml:space="preserve"> to interpolate the monthly data points to produce daily estimates, and to convert the estimates from a semi-annual to an effective annual rate.</w:t>
      </w:r>
    </w:p>
    <w:p w:rsidR="00BF2F91" w:rsidRPr="00BF2F91" w:rsidRDefault="00BF2F91" w:rsidP="00BF2F91">
      <w:pPr>
        <w:pStyle w:val="AERbulletlistfirststyle"/>
      </w:pPr>
      <w:r w:rsidRPr="00484372">
        <w:t>For the BVAL curve, to convert the estimates from a semi-annual to an effective annual rate.</w:t>
      </w:r>
      <w:r w:rsidRPr="00BF2F91">
        <w:rPr>
          <w:rStyle w:val="AERsuperscript"/>
        </w:rPr>
        <w:footnoteReference w:id="667"/>
      </w:r>
    </w:p>
    <w:p w:rsidR="00BF2F91" w:rsidRPr="00BF2F91" w:rsidRDefault="00BF2F91" w:rsidP="00BF2F91">
      <w:pPr>
        <w:pStyle w:val="AERbulletlistfirststyle"/>
      </w:pPr>
      <w:r w:rsidRPr="00484372">
        <w:t>The above positions are consistent with the approach we adopted in the first round of decisions since t</w:t>
      </w:r>
      <w:r w:rsidRPr="00BF2F91">
        <w:t>he publication of the Guideline.</w:t>
      </w:r>
      <w:r w:rsidRPr="00BF2F91">
        <w:rPr>
          <w:rStyle w:val="AERsuperscript"/>
        </w:rPr>
        <w:footnoteReference w:id="668"/>
      </w:r>
    </w:p>
    <w:p w:rsidR="00BF2F91" w:rsidRPr="0044315E" w:rsidRDefault="00BF2F91" w:rsidP="00BF2F91">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BF2F91" w:rsidRPr="00BF2F91" w:rsidRDefault="00BF2F91" w:rsidP="00BF2F91">
      <w:pPr>
        <w:pStyle w:val="AERbulletlistfirststyle"/>
      </w:pPr>
      <w:r w:rsidRPr="0044315E">
        <w:t>Based on analysis of the bond selection criteria</w:t>
      </w:r>
      <w:r w:rsidRPr="00BF2F91">
        <w:t xml:space="preserve"> (including approach for identifying outliers), we consider that both approaches employed by the RBA and Bloomberg have their unique strengths and weaknesses, but we are not satisfied that either is clearly superior.</w:t>
      </w:r>
    </w:p>
    <w:p w:rsidR="00BF2F91" w:rsidRPr="00BF2F91" w:rsidRDefault="00BF2F91" w:rsidP="00BF2F91">
      <w:pPr>
        <w:pStyle w:val="AERbulletlistfirststyle"/>
      </w:pPr>
      <w:r w:rsidRPr="0044315E">
        <w:t xml:space="preserve">Based on analysis of the curve fitting (or averaging) methodologies, we consider that both approaches have </w:t>
      </w:r>
      <w:r w:rsidRPr="00BF2F91">
        <w:t>their unique strengths and weaknesses, but we are not satisfied that either is clearly superior.</w:t>
      </w:r>
    </w:p>
    <w:p w:rsidR="00BF2F91" w:rsidRPr="00BF2F91" w:rsidRDefault="00BF2F91" w:rsidP="00BF2F91">
      <w:pPr>
        <w:pStyle w:val="AERbulletlistfirststyle"/>
      </w:pPr>
      <w:r w:rsidRPr="0044315E">
        <w:t xml:space="preserve">Both curves require adjustments from their published form to make them </w:t>
      </w:r>
      <w:r w:rsidRPr="00BF2F91">
        <w:t>fit-for-purpose, and we are not satisfied that either can be more simply or reliably adjusted to estimate the annual return on debt.</w:t>
      </w:r>
      <w:r w:rsidRPr="00BF2F91">
        <w:rPr>
          <w:rStyle w:val="FootnoteReference"/>
        </w:rPr>
        <w:footnoteReference w:id="669"/>
      </w:r>
    </w:p>
    <w:p w:rsidR="00BF2F91" w:rsidRPr="00BF2F91" w:rsidRDefault="00BF2F91" w:rsidP="00BF2F91">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BF2F91">
        <w:rPr>
          <w:rStyle w:val="AERsuperscript"/>
        </w:rPr>
        <w:footnoteReference w:id="670"/>
      </w:r>
      <w:r w:rsidRPr="00BF2F91">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BF2F91" w:rsidRPr="0044315E" w:rsidRDefault="00BF2F91" w:rsidP="00BF2F91">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671"/>
      </w:r>
    </w:p>
    <w:p w:rsidR="00BF2F91" w:rsidRPr="00BF2F91" w:rsidRDefault="00BF2F91" w:rsidP="00BF2F91">
      <w:pPr>
        <w:pStyle w:val="AERbulletlistfirststyle"/>
      </w:pPr>
      <w:r w:rsidRPr="0044315E">
        <w:t>The two curves have regularly produced materially different results at particular points in time. Both curves have their strengths</w:t>
      </w:r>
      <w:r w:rsidRPr="00BF2F91">
        <w:t xml:space="preserve">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BF2F91" w:rsidRPr="00BF2F91" w:rsidRDefault="00BF2F91" w:rsidP="00BF2F91">
      <w:pPr>
        <w:pStyle w:val="AERbulletlistfirststyle"/>
      </w:pPr>
      <w:r w:rsidRPr="0044315E">
        <w:t>A simple average of two curves, in these circumstances, is consistent with the Tribunal's decision in the ActewAGL matter where the Tribunal concluded that:</w:t>
      </w:r>
    </w:p>
    <w:p w:rsidR="00BF2F91" w:rsidRPr="0044315E" w:rsidRDefault="00BF2F91" w:rsidP="00BF2F91">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672"/>
      </w:r>
    </w:p>
    <w:p w:rsidR="00BF2F91" w:rsidRPr="00BF2F91" w:rsidRDefault="00BF2F91" w:rsidP="00BF2F91">
      <w:pPr>
        <w:pStyle w:val="AERbulletlistfirststyle"/>
      </w:pPr>
      <w:r w:rsidRPr="0044315E">
        <w:t>A simple average of the two curves will reduce the likely price shock if either curve becomes unavailable or produces erroneous estimates during the period.</w:t>
      </w:r>
    </w:p>
    <w:p w:rsidR="00BF2F91" w:rsidRDefault="00BF2F91" w:rsidP="00BF2F91">
      <w:r>
        <w:t>In our previous decisions, we have explained each of these reasons in more detail.</w:t>
      </w:r>
      <w:r>
        <w:rPr>
          <w:rStyle w:val="FootnoteReference"/>
        </w:rPr>
        <w:footnoteReference w:id="673"/>
      </w:r>
      <w:r>
        <w:t xml:space="preserve"> This analysis included the following evidence.</w:t>
      </w:r>
    </w:p>
    <w:p w:rsidR="00BF2F91" w:rsidRDefault="00BF2F91" w:rsidP="00CC7A1C">
      <w:pPr>
        <w:numPr>
          <w:ilvl w:val="0"/>
          <w:numId w:val="24"/>
        </w:numPr>
      </w:pPr>
      <w:r>
        <w:t>Dr Lally used the report of the Regulatory Economic Unit to identify 11 points of distinction between the RBA and BVAL curves. Lally analysed each of those differences and concluded:</w:t>
      </w:r>
    </w:p>
    <w:p w:rsidR="00BF2F91" w:rsidRDefault="00BF2F91" w:rsidP="00BF2F91">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674"/>
      </w:r>
    </w:p>
    <w:p w:rsidR="00BF2F91" w:rsidRDefault="00BF2F91" w:rsidP="00CC7A1C">
      <w:pPr>
        <w:numPr>
          <w:ilvl w:val="0"/>
          <w:numId w:val="24"/>
        </w:numPr>
      </w:pPr>
      <w:r>
        <w:t>Based on this analysis, Lally recommended using a simple average of the two curves. Lally advised:</w:t>
      </w:r>
    </w:p>
    <w:p w:rsidR="00BF2F91" w:rsidRPr="00305172" w:rsidRDefault="00BF2F91" w:rsidP="00BF2F91">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675"/>
      </w:r>
    </w:p>
    <w:p w:rsidR="00BF2F91" w:rsidRDefault="00BF2F91" w:rsidP="00BF2F91">
      <w:r>
        <w:t>Those 11 points of distinction, and Lally's assessment of those differences between the RBA and BVAL curves, are summarised in the following table.</w:t>
      </w:r>
    </w:p>
    <w:p w:rsidR="00BF2F91" w:rsidRPr="00420956" w:rsidRDefault="00BF2F91" w:rsidP="00BF2F91">
      <w:pPr>
        <w:pStyle w:val="Caption"/>
      </w:pPr>
      <w:r>
        <w:t xml:space="preserve">Table </w:t>
      </w:r>
      <w:fldSimple w:instr=" STYLEREF 1 \s ">
        <w:r w:rsidR="006B4A74">
          <w:rPr>
            <w:noProof/>
          </w:rPr>
          <w:t>3</w:t>
        </w:r>
      </w:fldSimple>
      <w:r w:rsidR="008F29C8">
        <w:noBreakHyphen/>
      </w:r>
      <w:fldSimple w:instr=" SEQ Table \* ARABIC \s 1 ">
        <w:r w:rsidR="006B4A74">
          <w:rPr>
            <w:noProof/>
          </w:rPr>
          <w:t>13</w:t>
        </w:r>
      </w:fldSimple>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BF2F91" w:rsidTr="00EA632F">
        <w:trPr>
          <w:cnfStyle w:val="100000000000" w:firstRow="1" w:lastRow="0" w:firstColumn="0" w:lastColumn="0" w:oddVBand="0" w:evenVBand="0" w:oddHBand="0" w:evenHBand="0" w:firstRowFirstColumn="0" w:firstRowLastColumn="0" w:lastRowFirstColumn="0" w:lastRowLastColumn="0"/>
          <w:tblHeader/>
        </w:trPr>
        <w:tc>
          <w:tcPr>
            <w:tcW w:w="959" w:type="dxa"/>
          </w:tcPr>
          <w:p w:rsidR="00BF2F91" w:rsidRDefault="00BF2F91" w:rsidP="00CC7A1C">
            <w:pPr>
              <w:numPr>
                <w:ilvl w:val="0"/>
                <w:numId w:val="24"/>
              </w:numPr>
            </w:pPr>
            <w:r>
              <w:t>No.</w:t>
            </w:r>
          </w:p>
        </w:tc>
        <w:tc>
          <w:tcPr>
            <w:tcW w:w="4394" w:type="dxa"/>
          </w:tcPr>
          <w:p w:rsidR="00BF2F91" w:rsidRDefault="00BF2F91" w:rsidP="00CC7A1C">
            <w:pPr>
              <w:numPr>
                <w:ilvl w:val="0"/>
                <w:numId w:val="24"/>
              </w:numPr>
            </w:pPr>
            <w:r>
              <w:t>Points of distinction identified by REU</w:t>
            </w:r>
            <w:r>
              <w:rPr>
                <w:rStyle w:val="FootnoteReference"/>
              </w:rPr>
              <w:footnoteReference w:id="676"/>
            </w:r>
          </w:p>
        </w:tc>
        <w:tc>
          <w:tcPr>
            <w:tcW w:w="3340" w:type="dxa"/>
          </w:tcPr>
          <w:p w:rsidR="00BF2F91" w:rsidRDefault="00BF2F91" w:rsidP="00CC7A1C">
            <w:pPr>
              <w:numPr>
                <w:ilvl w:val="0"/>
                <w:numId w:val="24"/>
              </w:numPr>
            </w:pPr>
            <w:r>
              <w:t>Advice from Dr Lally</w:t>
            </w:r>
            <w:r>
              <w:rPr>
                <w:rStyle w:val="FootnoteReference"/>
              </w:rPr>
              <w:footnoteReference w:id="677"/>
            </w:r>
          </w:p>
        </w:tc>
      </w:tr>
      <w:tr w:rsidR="00BF2F91" w:rsidTr="00EA632F">
        <w:tc>
          <w:tcPr>
            <w:tcW w:w="959" w:type="dxa"/>
          </w:tcPr>
          <w:p w:rsidR="00BF2F91" w:rsidRDefault="00BF2F91" w:rsidP="00CC7A1C">
            <w:pPr>
              <w:numPr>
                <w:ilvl w:val="0"/>
                <w:numId w:val="24"/>
              </w:numPr>
            </w:pPr>
            <w:r>
              <w:t>1</w:t>
            </w:r>
          </w:p>
        </w:tc>
        <w:tc>
          <w:tcPr>
            <w:tcW w:w="4394" w:type="dxa"/>
          </w:tcPr>
          <w:p w:rsidR="00BF2F91" w:rsidRDefault="00BF2F91" w:rsidP="00CC7A1C">
            <w:pPr>
              <w:numPr>
                <w:ilvl w:val="0"/>
                <w:numId w:val="24"/>
              </w:numPr>
            </w:pPr>
            <w:r w:rsidRPr="009F0E67">
              <w:t>The BVAL is available daily whilst the RBA is only available monthly.</w:t>
            </w:r>
          </w:p>
        </w:tc>
        <w:tc>
          <w:tcPr>
            <w:tcW w:w="3340" w:type="dxa"/>
          </w:tcPr>
          <w:p w:rsidR="00BF2F91" w:rsidRDefault="00BF2F91" w:rsidP="00CC7A1C">
            <w:pPr>
              <w:numPr>
                <w:ilvl w:val="0"/>
                <w:numId w:val="24"/>
              </w:numPr>
            </w:pPr>
            <w:r w:rsidRPr="009F0E67">
              <w:t>BVAL favoured.</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2</w:t>
            </w:r>
          </w:p>
        </w:tc>
        <w:tc>
          <w:tcPr>
            <w:tcW w:w="4394" w:type="dxa"/>
          </w:tcPr>
          <w:p w:rsidR="00BF2F91" w:rsidRDefault="00BF2F91" w:rsidP="00CC7A1C">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BF2F91" w:rsidRPr="009F0E67" w:rsidRDefault="00BF2F91" w:rsidP="00CC7A1C">
            <w:pPr>
              <w:numPr>
                <w:ilvl w:val="0"/>
                <w:numId w:val="24"/>
              </w:numPr>
            </w:pPr>
            <w:r w:rsidRPr="009F0E67">
              <w:t>RBA favoured.</w:t>
            </w:r>
          </w:p>
          <w:p w:rsidR="00BF2F91" w:rsidRPr="005C054F" w:rsidRDefault="00BF2F91" w:rsidP="00CC7A1C">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BF2F91" w:rsidTr="00EA632F">
        <w:tc>
          <w:tcPr>
            <w:tcW w:w="959" w:type="dxa"/>
          </w:tcPr>
          <w:p w:rsidR="00BF2F91" w:rsidRDefault="00BF2F91" w:rsidP="00CC7A1C">
            <w:pPr>
              <w:numPr>
                <w:ilvl w:val="0"/>
                <w:numId w:val="24"/>
              </w:numPr>
            </w:pPr>
            <w:r>
              <w:t>3</w:t>
            </w:r>
          </w:p>
        </w:tc>
        <w:tc>
          <w:tcPr>
            <w:tcW w:w="4394" w:type="dxa"/>
          </w:tcPr>
          <w:p w:rsidR="00BF2F91" w:rsidRDefault="00BF2F91" w:rsidP="00CC7A1C">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4</w:t>
            </w:r>
          </w:p>
        </w:tc>
        <w:tc>
          <w:tcPr>
            <w:tcW w:w="4394" w:type="dxa"/>
          </w:tcPr>
          <w:p w:rsidR="00BF2F91" w:rsidRDefault="00BF2F91" w:rsidP="00CC7A1C">
            <w:pPr>
              <w:numPr>
                <w:ilvl w:val="0"/>
                <w:numId w:val="24"/>
              </w:numPr>
            </w:pPr>
            <w:r w:rsidRPr="009F0E67">
              <w:t>The BVAL sample does not exclude financial corporations whilst the RBA’s does.</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5</w:t>
            </w:r>
          </w:p>
        </w:tc>
        <w:tc>
          <w:tcPr>
            <w:tcW w:w="4394" w:type="dxa"/>
          </w:tcPr>
          <w:p w:rsidR="00BF2F91" w:rsidRDefault="00BF2F91" w:rsidP="00CC7A1C">
            <w:pPr>
              <w:numPr>
                <w:ilvl w:val="0"/>
                <w:numId w:val="24"/>
              </w:numPr>
            </w:pPr>
            <w:r w:rsidRPr="009F0E67">
              <w:t>The BVAL sample is limited to unsecured bonds whilst the RBA’s sample includes both secured and unsecured bonds.</w:t>
            </w:r>
          </w:p>
        </w:tc>
        <w:tc>
          <w:tcPr>
            <w:tcW w:w="3340" w:type="dxa"/>
          </w:tcPr>
          <w:p w:rsidR="00BF2F91" w:rsidRDefault="00BF2F91" w:rsidP="00CC7A1C">
            <w:pPr>
              <w:numPr>
                <w:ilvl w:val="0"/>
                <w:numId w:val="24"/>
              </w:numPr>
            </w:pPr>
            <w:r w:rsidRPr="009F0E67">
              <w:t>RBA favoured, but advantage is small.</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6</w:t>
            </w:r>
          </w:p>
        </w:tc>
        <w:tc>
          <w:tcPr>
            <w:tcW w:w="4394" w:type="dxa"/>
          </w:tcPr>
          <w:p w:rsidR="00BF2F91" w:rsidRDefault="00BF2F91" w:rsidP="00CC7A1C">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7</w:t>
            </w:r>
          </w:p>
        </w:tc>
        <w:tc>
          <w:tcPr>
            <w:tcW w:w="4394" w:type="dxa"/>
          </w:tcPr>
          <w:p w:rsidR="00BF2F91" w:rsidRDefault="00BF2F91" w:rsidP="00CC7A1C">
            <w:pPr>
              <w:numPr>
                <w:ilvl w:val="0"/>
                <w:numId w:val="24"/>
              </w:numPr>
            </w:pPr>
            <w:r w:rsidRPr="009F0E67">
              <w:t>The BVAL sample is limited to AUD denominated bonds whilst the RBA sample also includes USD and Euro denominated bonds.</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8</w:t>
            </w:r>
          </w:p>
        </w:tc>
        <w:tc>
          <w:tcPr>
            <w:tcW w:w="4394" w:type="dxa"/>
          </w:tcPr>
          <w:p w:rsidR="00BF2F91" w:rsidRDefault="00BF2F91" w:rsidP="00CC7A1C">
            <w:pPr>
              <w:numPr>
                <w:ilvl w:val="0"/>
                <w:numId w:val="24"/>
              </w:numPr>
            </w:pPr>
            <w:r w:rsidRPr="009F0E67">
              <w:t>The BVAL sample excludes bonds with call, put and conversion options, whilst the RBA sample does not exclude them.</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9</w:t>
            </w:r>
          </w:p>
        </w:tc>
        <w:tc>
          <w:tcPr>
            <w:tcW w:w="4394" w:type="dxa"/>
          </w:tcPr>
          <w:p w:rsidR="00BF2F91" w:rsidRDefault="00BF2F91" w:rsidP="00CC7A1C">
            <w:pPr>
              <w:numPr>
                <w:ilvl w:val="0"/>
                <w:numId w:val="24"/>
              </w:numPr>
            </w:pPr>
            <w:r w:rsidRPr="009F0E67">
              <w:t>The BVAL methodology involves a par yield curve whilst the RBA’s does not.</w:t>
            </w:r>
          </w:p>
        </w:tc>
        <w:tc>
          <w:tcPr>
            <w:tcW w:w="3340" w:type="dxa"/>
          </w:tcPr>
          <w:p w:rsidR="00BF2F91" w:rsidRDefault="00BF2F91" w:rsidP="00CC7A1C">
            <w:pPr>
              <w:numPr>
                <w:ilvl w:val="0"/>
                <w:numId w:val="24"/>
              </w:numPr>
            </w:pPr>
            <w:r w:rsidRPr="009F0E67">
              <w:t>BVAL favoured, but advantage is small.</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10</w:t>
            </w:r>
          </w:p>
        </w:tc>
        <w:tc>
          <w:tcPr>
            <w:tcW w:w="4394" w:type="dxa"/>
          </w:tcPr>
          <w:p w:rsidR="00BF2F91" w:rsidRDefault="00BF2F91" w:rsidP="00CC7A1C">
            <w:pPr>
              <w:numPr>
                <w:ilvl w:val="0"/>
                <w:numId w:val="24"/>
              </w:numPr>
            </w:pPr>
            <w:r w:rsidRPr="009F0E67">
              <w:t>The BVAL methodology for curve fitting is (in large part) not disclosed whilst the RBA’s methodology is disclosed.</w:t>
            </w:r>
          </w:p>
        </w:tc>
        <w:tc>
          <w:tcPr>
            <w:tcW w:w="3340" w:type="dxa"/>
          </w:tcPr>
          <w:p w:rsidR="00BF2F91" w:rsidRDefault="00BF2F91" w:rsidP="00CC7A1C">
            <w:pPr>
              <w:numPr>
                <w:ilvl w:val="0"/>
                <w:numId w:val="24"/>
              </w:numPr>
            </w:pPr>
            <w:r w:rsidRPr="009F0E67">
              <w:t>RBA favoured.</w:t>
            </w:r>
          </w:p>
          <w:p w:rsidR="00BF2F91" w:rsidRDefault="00BF2F91" w:rsidP="00CC7A1C">
            <w:pPr>
              <w:numPr>
                <w:ilvl w:val="0"/>
                <w:numId w:val="24"/>
              </w:numPr>
            </w:pPr>
            <w:r w:rsidRPr="005C054F">
              <w:rPr>
                <w:rStyle w:val="AERtextitalic"/>
              </w:rPr>
              <w:t xml:space="preserve">Note: </w:t>
            </w:r>
            <w:r w:rsidRPr="00BF2F91">
              <w:rPr>
                <w:rStyle w:val="AERtextitalic"/>
              </w:rPr>
              <w:t>Bloomberg have now become more transparent and now</w:t>
            </w:r>
            <w:r>
              <w:rPr>
                <w:rStyle w:val="AERtextitalic"/>
              </w:rPr>
              <w:t xml:space="preserve"> </w:t>
            </w:r>
            <w:r>
              <w:t>provide more detail in their Pricing Data: BVAL Issuer &amp; Sector Curves sheet</w:t>
            </w:r>
          </w:p>
        </w:tc>
      </w:tr>
      <w:tr w:rsidR="00BF2F91" w:rsidTr="00EA632F">
        <w:tc>
          <w:tcPr>
            <w:tcW w:w="959" w:type="dxa"/>
          </w:tcPr>
          <w:p w:rsidR="00BF2F91" w:rsidRDefault="00BF2F91" w:rsidP="00CC7A1C">
            <w:pPr>
              <w:numPr>
                <w:ilvl w:val="0"/>
                <w:numId w:val="24"/>
              </w:numPr>
            </w:pPr>
            <w:r>
              <w:t>11</w:t>
            </w:r>
          </w:p>
        </w:tc>
        <w:tc>
          <w:tcPr>
            <w:tcW w:w="4394" w:type="dxa"/>
          </w:tcPr>
          <w:p w:rsidR="00BF2F91" w:rsidRDefault="00BF2F91" w:rsidP="00CC7A1C">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BF2F91" w:rsidRDefault="00BF2F91" w:rsidP="00CC7A1C">
            <w:pPr>
              <w:numPr>
                <w:ilvl w:val="0"/>
                <w:numId w:val="24"/>
              </w:numPr>
            </w:pPr>
            <w:r w:rsidRPr="009F0E67">
              <w:t>Not relevant, as AER does not require historical data.</w:t>
            </w:r>
          </w:p>
        </w:tc>
      </w:tr>
    </w:tbl>
    <w:p w:rsidR="00BF2F91" w:rsidRDefault="00BF2F91" w:rsidP="00BF2F91">
      <w:pPr>
        <w:pStyle w:val="AERtablesource"/>
      </w:pPr>
      <w:r>
        <w:t xml:space="preserve">Source: </w:t>
      </w:r>
      <w:r>
        <w:tab/>
        <w:t>Advice from Dr Lally.</w:t>
      </w:r>
      <w:r>
        <w:rPr>
          <w:rStyle w:val="FootnoteReference"/>
        </w:rPr>
        <w:footnoteReference w:id="678"/>
      </w:r>
    </w:p>
    <w:p w:rsidR="00BF2F91" w:rsidRDefault="00BF2F91" w:rsidP="00BF2F91">
      <w:r>
        <w:t>In our previous decisions, we explained each of these reasons in more detail.</w:t>
      </w:r>
      <w:r>
        <w:rPr>
          <w:rStyle w:val="FootnoteReference"/>
        </w:rPr>
        <w:footnoteReference w:id="679"/>
      </w:r>
      <w:r>
        <w:t xml:space="preserve"> </w:t>
      </w:r>
    </w:p>
    <w:p w:rsidR="00BF2F91" w:rsidRDefault="00BF2F91" w:rsidP="00BF2F91">
      <w:r>
        <w:t xml:space="preserve">Recently, the Tribunal also upheld this approach, in relation to the NSW/ACT electricity distribution determinations and JGN gas access arrangement. </w:t>
      </w:r>
    </w:p>
    <w:p w:rsidR="00BF2F91" w:rsidRDefault="00BF2F91" w:rsidP="00BF2F91">
      <w:r>
        <w:t>The Tribunal was satisfied that our approach of adopting a simple average of the information from both the RBA and Bloomberg data services in those reviews was legally open and appropriate, stating:</w:t>
      </w:r>
      <w:r>
        <w:rPr>
          <w:rStyle w:val="FootnoteReference"/>
        </w:rPr>
        <w:footnoteReference w:id="680"/>
      </w:r>
    </w:p>
    <w:p w:rsidR="00BF2F91" w:rsidRDefault="00BF2F91" w:rsidP="00BF2F91">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BF2F91" w:rsidRDefault="00BF2F91" w:rsidP="00BF2F91">
      <w:r>
        <w:t>Similarly, in relation to the choice of a BBB+ credit rating, the Tribunal noted:</w:t>
      </w:r>
      <w:r>
        <w:rPr>
          <w:rStyle w:val="FootnoteReference"/>
        </w:rPr>
        <w:footnoteReference w:id="681"/>
      </w:r>
    </w:p>
    <w:p w:rsidR="00BF2F91" w:rsidRDefault="00BF2F91" w:rsidP="00BF2F91">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BF2F91" w:rsidRDefault="00BF2F91" w:rsidP="00BF2F91">
      <w:r>
        <w:t>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682"/>
      </w:r>
    </w:p>
    <w:p w:rsidR="00BF2F91" w:rsidRDefault="00BF2F91" w:rsidP="00BF2F91">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w:t>
      </w:r>
      <w:r>
        <w:t> </w:t>
      </w:r>
      <w:r w:rsidRPr="00C32DF3">
        <w:t>71P(2a)(c)</w:t>
      </w:r>
      <w:r>
        <w:t>. While some aspects of the Tribunal's decision have been challenged in the Full Federal Court, this aspect of the Tribunal's decision has not been challenged by any party.</w:t>
      </w:r>
    </w:p>
    <w:p w:rsidR="00BF2F91" w:rsidRDefault="00BF2F91" w:rsidP="00BF2F91">
      <w:r>
        <w:t xml:space="preserve">We have assessed the new information received </w:t>
      </w:r>
      <w:r w:rsidR="0010101E">
        <w:t xml:space="preserve">from AusNet Services </w:t>
      </w:r>
      <w:r>
        <w:t>recommend</w:t>
      </w:r>
      <w:r w:rsidR="0010101E">
        <w:t>ing</w:t>
      </w:r>
      <w:r>
        <w:t xml:space="preserve">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Appendix</w:t>
      </w:r>
      <w:r w:rsidR="008B41F6">
        <w:t xml:space="preserve"> </w:t>
      </w:r>
      <w:r w:rsidR="008B41F6">
        <w:fldChar w:fldCharType="begin"/>
      </w:r>
      <w:r w:rsidR="008B41F6">
        <w:instrText xml:space="preserve"> REF _Ref479168623 \r \h </w:instrText>
      </w:r>
      <w:r w:rsidR="008B41F6">
        <w:fldChar w:fldCharType="separate"/>
      </w:r>
      <w:r w:rsidR="006B4A74">
        <w:t>I</w:t>
      </w:r>
      <w:r w:rsidR="008B41F6">
        <w:fldChar w:fldCharType="end"/>
      </w:r>
      <w:r>
        <w:t>.</w:t>
      </w:r>
    </w:p>
    <w:p w:rsidR="00BF2F91" w:rsidRDefault="00BF2F91" w:rsidP="00BF2F91">
      <w:r>
        <w:t xml:space="preserve">We also requested Dr Lally review the recommendations from his previous report in light of the material submitted by service providers with recent proposals. As part of that analysis, we requested Dr Lally review both the AER's approach and the various </w:t>
      </w:r>
      <w:r w:rsidR="0010101E">
        <w:t xml:space="preserve">alternative </w:t>
      </w:r>
      <w:r>
        <w:t>approaches proposed against a set of criteria drawn from the requirements of the law and the rules, including the ARORO. After reviewing that material, Dr Lally concluded:</w:t>
      </w:r>
    </w:p>
    <w:p w:rsidR="00BF2F91" w:rsidRPr="002C49C4" w:rsidRDefault="00BF2F91" w:rsidP="00BF2F91">
      <w:pPr>
        <w:pStyle w:val="AERquote"/>
      </w:pPr>
      <w:r>
        <w:t>…</w:t>
      </w:r>
      <w:r w:rsidRPr="002C49C4">
        <w:t>the AER’s proposed approach satisfies the criteria and these criteria are not satisfied by any other proposed approach.</w:t>
      </w:r>
    </w:p>
    <w:p w:rsidR="00BF2F91" w:rsidRDefault="00BF2F91" w:rsidP="00BF2F91">
      <w:pPr>
        <w:pStyle w:val="AERquote"/>
      </w:pPr>
      <w:r w:rsidRPr="002C49C4">
        <w:t>Finally, I have previously provided advice on these implementation issues to the AER and nothing in these submissions warrants any change in that advice.</w:t>
      </w:r>
      <w:r>
        <w:rPr>
          <w:rStyle w:val="FootnoteReference"/>
        </w:rPr>
        <w:footnoteReference w:id="683"/>
      </w:r>
    </w:p>
    <w:p w:rsidR="00BF2F91" w:rsidRPr="00CE6157" w:rsidRDefault="00BF2F91" w:rsidP="00BF2F91">
      <w:r>
        <w:t xml:space="preserve">Further we note that a number of Service Providers have accepted our approach of adopting a simple average of the RBA and Bloomberg curves. AusNet has not presented evidence that there is merit in adopting a unique approach compared to other Service Providers in similar positions. </w:t>
      </w:r>
    </w:p>
    <w:p w:rsidR="00BF2F91" w:rsidRDefault="00BF2F91" w:rsidP="0082114E">
      <w:pPr>
        <w:pStyle w:val="HeadingBoldBlue"/>
      </w:pPr>
      <w:r>
        <w:t>Response to key issues raised by stakeholders</w:t>
      </w:r>
    </w:p>
    <w:p w:rsidR="00BF2F91" w:rsidRDefault="00BF2F91" w:rsidP="00BF2F91">
      <w:r>
        <w:fldChar w:fldCharType="begin"/>
      </w:r>
      <w:r>
        <w:instrText xml:space="preserve"> REF _Ref431241994 \h </w:instrText>
      </w:r>
      <w:r>
        <w:fldChar w:fldCharType="separate"/>
      </w:r>
      <w:r w:rsidR="006B4A74" w:rsidRPr="00986ABB">
        <w:t xml:space="preserve">Table </w:t>
      </w:r>
      <w:r w:rsidR="006B4A74">
        <w:rPr>
          <w:noProof/>
        </w:rPr>
        <w:t>3</w:t>
      </w:r>
      <w:r w:rsidR="006B4A74">
        <w:noBreakHyphen/>
      </w:r>
      <w:r w:rsidR="006B4A74">
        <w:rPr>
          <w:noProof/>
        </w:rPr>
        <w:t>14</w:t>
      </w:r>
      <w:r>
        <w:fldChar w:fldCharType="end"/>
      </w:r>
      <w:r>
        <w:t xml:space="preserve"> sets out the service providers' proposals.</w:t>
      </w:r>
    </w:p>
    <w:p w:rsidR="00BF2F91" w:rsidRPr="00986ABB" w:rsidRDefault="00BF2F91" w:rsidP="00BF2F91">
      <w:pPr>
        <w:pStyle w:val="Caption"/>
      </w:pPr>
      <w:bookmarkStart w:id="156" w:name="_Ref431241994"/>
      <w:r w:rsidRPr="00986ABB">
        <w:t xml:space="preserve">Table </w:t>
      </w:r>
      <w:fldSimple w:instr=" STYLEREF 1 \s ">
        <w:r w:rsidR="006B4A74">
          <w:rPr>
            <w:noProof/>
          </w:rPr>
          <w:t>3</w:t>
        </w:r>
      </w:fldSimple>
      <w:r w:rsidR="008F29C8">
        <w:noBreakHyphen/>
      </w:r>
      <w:fldSimple w:instr=" SEQ Table \* ARABIC \s 1 ">
        <w:r w:rsidR="006B4A74">
          <w:rPr>
            <w:noProof/>
          </w:rPr>
          <w:t>14</w:t>
        </w:r>
      </w:fldSimple>
      <w:bookmarkEnd w:id="156"/>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369"/>
        <w:gridCol w:w="4961"/>
      </w:tblGrid>
      <w:tr w:rsidR="00BF2F91" w:rsidRPr="00986ABB" w:rsidTr="002656D9">
        <w:trPr>
          <w:cnfStyle w:val="100000000000" w:firstRow="1" w:lastRow="0" w:firstColumn="0" w:lastColumn="0" w:oddVBand="0" w:evenVBand="0" w:oddHBand="0" w:evenHBand="0" w:firstRowFirstColumn="0" w:firstRowLastColumn="0" w:lastRowFirstColumn="0" w:lastRowLastColumn="0"/>
          <w:tblHeader/>
        </w:trPr>
        <w:tc>
          <w:tcPr>
            <w:tcW w:w="3369" w:type="dxa"/>
          </w:tcPr>
          <w:p w:rsidR="00BF2F91" w:rsidRPr="00986ABB" w:rsidRDefault="00BF2F91" w:rsidP="00CC7A1C">
            <w:pPr>
              <w:numPr>
                <w:ilvl w:val="0"/>
                <w:numId w:val="24"/>
              </w:numPr>
            </w:pPr>
            <w:r w:rsidRPr="00986ABB">
              <w:t>Service provider</w:t>
            </w:r>
          </w:p>
        </w:tc>
        <w:tc>
          <w:tcPr>
            <w:tcW w:w="4961" w:type="dxa"/>
          </w:tcPr>
          <w:p w:rsidR="00BF2F91" w:rsidRPr="00986ABB" w:rsidRDefault="00BF2F91" w:rsidP="00CC7A1C">
            <w:pPr>
              <w:numPr>
                <w:ilvl w:val="0"/>
                <w:numId w:val="24"/>
              </w:numPr>
            </w:pPr>
            <w:r w:rsidRPr="00986ABB">
              <w:t>Choice of data series</w:t>
            </w:r>
          </w:p>
        </w:tc>
      </w:tr>
      <w:tr w:rsidR="00BF2F91" w:rsidRPr="00986ABB" w:rsidTr="00EA632F">
        <w:tc>
          <w:tcPr>
            <w:tcW w:w="3369" w:type="dxa"/>
          </w:tcPr>
          <w:p w:rsidR="00BF2F91" w:rsidRPr="00986ABB" w:rsidRDefault="00BF2F91" w:rsidP="00CC7A1C">
            <w:pPr>
              <w:numPr>
                <w:ilvl w:val="0"/>
                <w:numId w:val="24"/>
              </w:numPr>
            </w:pPr>
            <w:r>
              <w:t>E</w:t>
            </w:r>
            <w:r w:rsidRPr="00986ABB">
              <w:t>lectricity distribution revised proposals</w:t>
            </w:r>
          </w:p>
        </w:tc>
        <w:tc>
          <w:tcPr>
            <w:tcW w:w="4961" w:type="dxa"/>
          </w:tcPr>
          <w:p w:rsidR="00BF2F91" w:rsidRPr="00986ABB" w:rsidRDefault="00BF2F91" w:rsidP="00CC7A1C">
            <w:pPr>
              <w:numPr>
                <w:ilvl w:val="0"/>
                <w:numId w:val="24"/>
              </w:numPr>
            </w:pPr>
          </w:p>
        </w:tc>
      </w:tr>
      <w:tr w:rsidR="00BF2F91" w:rsidRPr="00986ABB" w:rsidTr="00EA632F">
        <w:trPr>
          <w:cnfStyle w:val="000000010000" w:firstRow="0" w:lastRow="0" w:firstColumn="0" w:lastColumn="0" w:oddVBand="0" w:evenVBand="0" w:oddHBand="0" w:evenHBand="1" w:firstRowFirstColumn="0" w:firstRowLastColumn="0" w:lastRowFirstColumn="0" w:lastRowLastColumn="0"/>
        </w:trPr>
        <w:tc>
          <w:tcPr>
            <w:tcW w:w="3369" w:type="dxa"/>
          </w:tcPr>
          <w:p w:rsidR="00BF2F91" w:rsidRPr="00986ABB" w:rsidRDefault="00BF2F91" w:rsidP="00CC7A1C">
            <w:pPr>
              <w:numPr>
                <w:ilvl w:val="0"/>
                <w:numId w:val="24"/>
              </w:numPr>
            </w:pPr>
            <w:r w:rsidRPr="00986ABB">
              <w:t>AusNet Services</w:t>
            </w:r>
          </w:p>
        </w:tc>
        <w:tc>
          <w:tcPr>
            <w:tcW w:w="4961" w:type="dxa"/>
          </w:tcPr>
          <w:p w:rsidR="00BF2F91" w:rsidRPr="00986ABB" w:rsidRDefault="00BF2F91" w:rsidP="00CC7A1C">
            <w:pPr>
              <w:numPr>
                <w:ilvl w:val="0"/>
                <w:numId w:val="24"/>
              </w:numPr>
            </w:pPr>
            <w:r>
              <w:t>Use the RBA curve in exclusion of all other third party curves. If decide to continue using Bloomberg, then AER should use Thomson Reuters as well.</w:t>
            </w:r>
          </w:p>
        </w:tc>
      </w:tr>
      <w:tr w:rsidR="00BF2F91" w:rsidRPr="00986ABB" w:rsidTr="00EA632F">
        <w:tc>
          <w:tcPr>
            <w:tcW w:w="3369" w:type="dxa"/>
          </w:tcPr>
          <w:p w:rsidR="00BF2F91" w:rsidRPr="00986ABB" w:rsidRDefault="00BF2F91" w:rsidP="00CC7A1C">
            <w:pPr>
              <w:numPr>
                <w:ilvl w:val="0"/>
                <w:numId w:val="24"/>
              </w:numPr>
            </w:pPr>
            <w:r>
              <w:t>Powerlink</w:t>
            </w:r>
          </w:p>
        </w:tc>
        <w:tc>
          <w:tcPr>
            <w:tcW w:w="4961" w:type="dxa"/>
          </w:tcPr>
          <w:p w:rsidR="00BF2F91" w:rsidRPr="00986ABB" w:rsidRDefault="00BF2F91" w:rsidP="00CC7A1C">
            <w:pPr>
              <w:numPr>
                <w:ilvl w:val="0"/>
                <w:numId w:val="24"/>
              </w:numPr>
            </w:pPr>
            <w:r>
              <w:t>Simple average of the RBA and Bloomberg curve.</w:t>
            </w:r>
          </w:p>
        </w:tc>
      </w:tr>
      <w:tr w:rsidR="00BF2F91" w:rsidRPr="00986ABB" w:rsidTr="00EA632F">
        <w:trPr>
          <w:cnfStyle w:val="000000010000" w:firstRow="0" w:lastRow="0" w:firstColumn="0" w:lastColumn="0" w:oddVBand="0" w:evenVBand="0" w:oddHBand="0" w:evenHBand="1" w:firstRowFirstColumn="0" w:firstRowLastColumn="0" w:lastRowFirstColumn="0" w:lastRowLastColumn="0"/>
        </w:trPr>
        <w:tc>
          <w:tcPr>
            <w:tcW w:w="3369" w:type="dxa"/>
          </w:tcPr>
          <w:p w:rsidR="00BF2F91" w:rsidRPr="00986ABB" w:rsidRDefault="00BF2F91" w:rsidP="00CC7A1C">
            <w:pPr>
              <w:numPr>
                <w:ilvl w:val="0"/>
                <w:numId w:val="24"/>
              </w:numPr>
            </w:pPr>
            <w:r>
              <w:t>TasNetworks</w:t>
            </w:r>
          </w:p>
        </w:tc>
        <w:tc>
          <w:tcPr>
            <w:tcW w:w="4961" w:type="dxa"/>
          </w:tcPr>
          <w:p w:rsidR="00BF2F91" w:rsidRPr="00986ABB" w:rsidRDefault="00BF2F91" w:rsidP="00CC7A1C">
            <w:pPr>
              <w:numPr>
                <w:ilvl w:val="0"/>
                <w:numId w:val="24"/>
              </w:numPr>
            </w:pPr>
            <w:r>
              <w:t>Simple average of the RBA and Bloomberg curve.</w:t>
            </w:r>
          </w:p>
        </w:tc>
      </w:tr>
    </w:tbl>
    <w:p w:rsidR="00BF2F91" w:rsidRDefault="00BF2F91" w:rsidP="00BF2F91">
      <w:pPr>
        <w:pStyle w:val="AERtablesource"/>
      </w:pPr>
      <w:r w:rsidRPr="00986ABB">
        <w:t xml:space="preserve">Source: </w:t>
      </w:r>
      <w:r>
        <w:tab/>
      </w:r>
      <w:r w:rsidRPr="00986ABB">
        <w:t>Regulatory proposals.</w:t>
      </w:r>
      <w:r w:rsidRPr="00FF6215">
        <w:rPr>
          <w:rStyle w:val="AERsuperscript"/>
        </w:rPr>
        <w:footnoteReference w:id="684"/>
      </w:r>
    </w:p>
    <w:p w:rsidR="00BF2F91" w:rsidRDefault="00BF2F91" w:rsidP="00BF2F91">
      <w:r>
        <w:t>Having considered these proposals, our final decision is to maintain our approach as adopted in previous decisions and upheld by the Tribunal.</w:t>
      </w:r>
      <w:r>
        <w:rPr>
          <w:rStyle w:val="FootnoteReference"/>
        </w:rPr>
        <w:footnoteReference w:id="685"/>
      </w:r>
      <w:r>
        <w:t xml:space="preserve"> In summary, we consider we have had limited opportunity to consult on the Reuters 10 year yield estimate due to it being raised late in the process (in the revised proposal as a second preferred option) despite being available for some time. </w:t>
      </w:r>
    </w:p>
    <w:p w:rsidR="00BF2F91" w:rsidRDefault="00BF2F91" w:rsidP="00BF2F91">
      <w:r>
        <w:t>We have completed some initial work reviewing the Thomson Reuters curve.</w:t>
      </w:r>
      <w:r>
        <w:rPr>
          <w:rStyle w:val="FootnoteReference"/>
        </w:rPr>
        <w:footnoteReference w:id="686"/>
      </w:r>
      <w:r>
        <w:t xml:space="preserve"> However, in future we will commence a more comprehensive review. In particular, we have not been able to complete a comparative assessment of the curves or consider a range of practical issues with introducing a third curve. </w:t>
      </w:r>
    </w:p>
    <w:p w:rsidR="00BF2F91" w:rsidRDefault="00BF2F91" w:rsidP="00BF2F91">
      <w:r>
        <w:t xml:space="preserve">For the reasons in this section and in Appendix </w:t>
      </w:r>
      <w:r w:rsidR="00245D0E">
        <w:t xml:space="preserve">I. </w:t>
      </w:r>
      <w:r>
        <w:t>we remain satisfied that a simple average of the BVAL and RBA curves will contribute to an estimate that will achieve the ARORO. We have not yet formed a definitive view on the suitability of the Reuters curve, and are open to further consideration of this curve in the future.</w:t>
      </w:r>
    </w:p>
    <w:p w:rsidR="00BF2F91" w:rsidRPr="00BF2F91" w:rsidRDefault="00BF2F91" w:rsidP="00BF2F91">
      <w:pPr>
        <w:pStyle w:val="AERbulletlistfirststyle"/>
      </w:pPr>
      <w:r>
        <w:t>more specifically, we remain satisfied that the BVAL curve is fit-for-purpose, and combined with the RBA curve, are satisfied that it will contribute to an estimate which achieves the ARORO.</w:t>
      </w:r>
    </w:p>
    <w:p w:rsidR="00BF2F91" w:rsidRPr="00BF2F91" w:rsidRDefault="00BF2F91" w:rsidP="00BF2F91">
      <w:pPr>
        <w:pStyle w:val="AERbulletlistfirststyle"/>
      </w:pPr>
      <w:r w:rsidRPr="00DE353C">
        <w:t>We consider that our implementation of the return on debt estimate includes several conservative features:</w:t>
      </w:r>
      <w:r w:rsidRPr="00BF2F91">
        <w:t xml:space="preserve"> Specifically:</w:t>
      </w:r>
    </w:p>
    <w:p w:rsidR="00BF2F91" w:rsidRDefault="00BF2F91" w:rsidP="00BF2F91">
      <w:pPr>
        <w:pStyle w:val="AERbulletlistsecondstyle"/>
      </w:pPr>
      <w:r>
        <w:t>in the Guideline, we adopted a 10 year benchmark term based on a weighted average term at issuance of 8.7 years observed amongst service providers.</w:t>
      </w:r>
      <w:r>
        <w:rPr>
          <w:rStyle w:val="FootnoteReference"/>
        </w:rPr>
        <w:footnoteReference w:id="687"/>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688"/>
      </w:r>
      <w:r>
        <w:t xml:space="preserve"> </w:t>
      </w:r>
    </w:p>
    <w:p w:rsidR="00BF2F91" w:rsidRDefault="00BF2F91" w:rsidP="00BF2F91">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BF2F91" w:rsidRDefault="00BF2F91" w:rsidP="00BF2F91">
      <w:r>
        <w:t>In Appendix</w:t>
      </w:r>
      <w:r w:rsidR="00245D0E">
        <w:t xml:space="preserve"> I</w:t>
      </w:r>
      <w:r>
        <w:t xml:space="preserve">, we have set out more detailed analysis on our responses to issues raised by key stakeholders, including: </w:t>
      </w:r>
    </w:p>
    <w:p w:rsidR="00BF2F91" w:rsidRPr="00BF2F91" w:rsidRDefault="00BF2F91" w:rsidP="00BF2F91">
      <w:pPr>
        <w:pStyle w:val="AERbulletlistfirststyle"/>
      </w:pPr>
      <w:r>
        <w:t>criticisms of our current approach</w:t>
      </w:r>
    </w:p>
    <w:p w:rsidR="00BF2F91" w:rsidRDefault="00BF2F91" w:rsidP="00A164C0">
      <w:pPr>
        <w:pStyle w:val="AERbulletlistfirststyle"/>
      </w:pPr>
      <w:r>
        <w:t>the Thomson Reuters curve</w:t>
      </w:r>
    </w:p>
    <w:p w:rsidR="00245D0E" w:rsidRDefault="00BF2F91" w:rsidP="00A164C0">
      <w:pPr>
        <w:pStyle w:val="AERbulletlistfirststyle"/>
      </w:pPr>
      <w:r>
        <w:t>other issues</w:t>
      </w:r>
      <w:r w:rsidRPr="00BF2F91">
        <w:t>.</w:t>
      </w:r>
    </w:p>
    <w:p w:rsidR="0082114E" w:rsidRPr="00FB18DC" w:rsidRDefault="0082114E" w:rsidP="0082114E">
      <w:pPr>
        <w:pStyle w:val="HeadingBoldItalic"/>
      </w:pPr>
      <w:bookmarkStart w:id="157" w:name="_Toc480460534"/>
      <w:bookmarkStart w:id="158" w:name="_Toc480460824"/>
      <w:r w:rsidRPr="00FB18DC">
        <w:t>Choice of data series—Extrapolation and interpolation issues</w:t>
      </w:r>
      <w:bookmarkEnd w:id="157"/>
      <w:bookmarkEnd w:id="158"/>
    </w:p>
    <w:p w:rsidR="0082114E" w:rsidRPr="00FB18DC" w:rsidRDefault="0082114E" w:rsidP="0082114E">
      <w:r w:rsidRPr="00FB18DC">
        <w:t>Our</w:t>
      </w:r>
      <w:r>
        <w:t xml:space="preserve"> final</w:t>
      </w:r>
      <w:r w:rsidRPr="00FB18DC">
        <w:t xml:space="preserve"> decision on extrapolation and interpolation issues is:</w:t>
      </w:r>
    </w:p>
    <w:p w:rsidR="0082114E" w:rsidRPr="00FB18DC" w:rsidRDefault="0082114E" w:rsidP="0082114E">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82114E" w:rsidRPr="00FB18DC" w:rsidRDefault="0082114E" w:rsidP="0082114E">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82114E" w:rsidRPr="00FB18DC" w:rsidRDefault="0082114E" w:rsidP="0082114E">
      <w:r w:rsidRPr="00FB18DC">
        <w:t>Specifically, we will make the following adjustments as set out in</w:t>
      </w:r>
      <w:r>
        <w:t xml:space="preserve"> </w:t>
      </w:r>
      <w:r w:rsidR="009D3A48">
        <w:fldChar w:fldCharType="begin"/>
      </w:r>
      <w:r w:rsidR="009D3A48">
        <w:instrText xml:space="preserve"> REF _Ref479862281 \h </w:instrText>
      </w:r>
      <w:r w:rsidR="009D3A48">
        <w:fldChar w:fldCharType="separate"/>
      </w:r>
      <w:r w:rsidR="006B4A74" w:rsidRPr="00FB18DC">
        <w:t xml:space="preserve">Table </w:t>
      </w:r>
      <w:r w:rsidR="006B4A74">
        <w:rPr>
          <w:noProof/>
        </w:rPr>
        <w:t>3</w:t>
      </w:r>
      <w:r w:rsidR="006B4A74">
        <w:noBreakHyphen/>
      </w:r>
      <w:r w:rsidR="006B4A74">
        <w:rPr>
          <w:noProof/>
        </w:rPr>
        <w:t>15</w:t>
      </w:r>
      <w:r w:rsidR="009D3A48">
        <w:fldChar w:fldCharType="end"/>
      </w:r>
      <w:r w:rsidR="00EF6D75">
        <w:t xml:space="preserve"> </w:t>
      </w:r>
      <w:r>
        <w:t xml:space="preserve">and </w:t>
      </w:r>
      <w:r w:rsidR="009D3A48">
        <w:fldChar w:fldCharType="begin"/>
      </w:r>
      <w:r w:rsidR="009D3A48">
        <w:instrText xml:space="preserve"> REF _Ref479862312 \h </w:instrText>
      </w:r>
      <w:r w:rsidR="009D3A48">
        <w:fldChar w:fldCharType="separate"/>
      </w:r>
      <w:r w:rsidR="006B4A74" w:rsidRPr="00FB18DC">
        <w:t xml:space="preserve">Table </w:t>
      </w:r>
      <w:r w:rsidR="006B4A74">
        <w:rPr>
          <w:noProof/>
        </w:rPr>
        <w:t>3</w:t>
      </w:r>
      <w:r w:rsidR="006B4A74">
        <w:noBreakHyphen/>
      </w:r>
      <w:r w:rsidR="006B4A74">
        <w:rPr>
          <w:noProof/>
        </w:rPr>
        <w:t>16</w:t>
      </w:r>
      <w:r w:rsidR="009D3A48">
        <w:fldChar w:fldCharType="end"/>
      </w:r>
      <w:r w:rsidRPr="00FB18DC">
        <w:t>.</w:t>
      </w:r>
    </w:p>
    <w:p w:rsidR="0082114E" w:rsidRPr="00FB18DC" w:rsidRDefault="0082114E" w:rsidP="0082114E">
      <w:pPr>
        <w:pStyle w:val="Caption"/>
      </w:pPr>
      <w:bookmarkStart w:id="159" w:name="_Ref479862281"/>
      <w:bookmarkStart w:id="160" w:name="_Ref479862274"/>
      <w:r w:rsidRPr="00FB18DC">
        <w:t xml:space="preserve">Table </w:t>
      </w:r>
      <w:fldSimple w:instr=" STYLEREF 1 \s ">
        <w:r w:rsidR="006B4A74">
          <w:rPr>
            <w:noProof/>
          </w:rPr>
          <w:t>3</w:t>
        </w:r>
      </w:fldSimple>
      <w:r w:rsidR="008F29C8">
        <w:noBreakHyphen/>
      </w:r>
      <w:fldSimple w:instr=" SEQ Table \* ARABIC \s 1 ">
        <w:r w:rsidR="006B4A74">
          <w:rPr>
            <w:noProof/>
          </w:rPr>
          <w:t>15</w:t>
        </w:r>
      </w:fldSimple>
      <w:bookmarkEnd w:id="159"/>
      <w:r w:rsidRPr="00FB18DC">
        <w:tab/>
        <w:t>Adjustments to the RBA curve</w:t>
      </w:r>
      <w:bookmarkEnd w:id="160"/>
    </w:p>
    <w:tbl>
      <w:tblPr>
        <w:tblStyle w:val="AERtable-text0"/>
        <w:tblW w:w="0" w:type="auto"/>
        <w:tblLook w:val="04A0" w:firstRow="1" w:lastRow="0" w:firstColumn="1" w:lastColumn="0" w:noHBand="0" w:noVBand="1"/>
      </w:tblPr>
      <w:tblGrid>
        <w:gridCol w:w="1763"/>
        <w:gridCol w:w="1262"/>
        <w:gridCol w:w="5668"/>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763" w:type="dxa"/>
          </w:tcPr>
          <w:p w:rsidR="0082114E" w:rsidRPr="0082114E" w:rsidRDefault="0082114E" w:rsidP="0082114E">
            <w:r w:rsidRPr="00FB18DC">
              <w:t xml:space="preserve">Adjustment </w:t>
            </w:r>
            <w:r w:rsidRPr="0082114E">
              <w:t>type</w:t>
            </w:r>
          </w:p>
        </w:tc>
        <w:tc>
          <w:tcPr>
            <w:tcW w:w="1262" w:type="dxa"/>
          </w:tcPr>
          <w:p w:rsidR="0082114E" w:rsidRPr="0082114E" w:rsidRDefault="0082114E" w:rsidP="0082114E">
            <w:r w:rsidRPr="00FB18DC">
              <w:t>Amendment made?</w:t>
            </w:r>
          </w:p>
        </w:tc>
        <w:tc>
          <w:tcPr>
            <w:tcW w:w="5668" w:type="dxa"/>
          </w:tcPr>
          <w:p w:rsidR="0082114E" w:rsidRPr="0082114E" w:rsidRDefault="0082114E" w:rsidP="0082114E">
            <w:r w:rsidRPr="00FB18DC">
              <w:t>Comments</w:t>
            </w:r>
          </w:p>
        </w:tc>
      </w:tr>
      <w:tr w:rsidR="0082114E" w:rsidRPr="00BB7AB1" w:rsidTr="00E85C2D">
        <w:tc>
          <w:tcPr>
            <w:tcW w:w="1763" w:type="dxa"/>
          </w:tcPr>
          <w:p w:rsidR="0082114E" w:rsidRPr="0082114E" w:rsidRDefault="0082114E" w:rsidP="0082114E">
            <w:r w:rsidRPr="00FB18DC">
              <w:t xml:space="preserve">Interpolation </w:t>
            </w:r>
            <w:r w:rsidRPr="0082114E">
              <w:t>to construct daily estimates</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RBA curve only provides an estimate for one business day at the end of each month. In our experience, averaging periods commonly start and/or end on dates during the month.  </w:t>
            </w:r>
          </w:p>
          <w:p w:rsidR="0082114E" w:rsidRPr="0082114E" w:rsidRDefault="0082114E" w:rsidP="0082114E">
            <w:r w:rsidRPr="00FB18DC">
              <w:t>We will address this issue by linearly interpolating between month end values where possible. While we are satisfied that interpolation over business days is also reasonable, we will interpolate over all days because:</w:t>
            </w:r>
          </w:p>
          <w:p w:rsidR="0082114E" w:rsidRPr="0082114E" w:rsidRDefault="0082114E" w:rsidP="0082114E">
            <w:pPr>
              <w:pStyle w:val="AERbulletlistfirststyle"/>
            </w:pPr>
            <w:r w:rsidRPr="00FB18DC">
              <w:t>this is consistent with our widely accepted approach to interpolate estimates of the risk free rate using CGS</w:t>
            </w:r>
          </w:p>
          <w:p w:rsidR="0082114E" w:rsidRPr="0082114E" w:rsidRDefault="0082114E" w:rsidP="0082114E">
            <w:pPr>
              <w:pStyle w:val="AERbulletlistfirststyle"/>
            </w:pPr>
            <w:r w:rsidRPr="00FB18DC">
              <w:t>interpolating over all days is simpler to implement</w:t>
            </w:r>
          </w:p>
          <w:p w:rsidR="0082114E" w:rsidRPr="0082114E" w:rsidRDefault="0082114E" w:rsidP="0082114E">
            <w:pPr>
              <w:pStyle w:val="AERbulletlistfirststyle"/>
            </w:pPr>
            <w:r w:rsidRPr="00FB18DC">
              <w:t>it is impractical to interpolate over business days for estimating the risk free rate, as this would require calculations relative to specific trading days 10 years in advance</w:t>
            </w:r>
          </w:p>
          <w:p w:rsidR="0082114E" w:rsidRPr="0082114E" w:rsidRDefault="0082114E" w:rsidP="0082114E">
            <w:pPr>
              <w:pStyle w:val="AERbulletlistfirststyle"/>
            </w:pPr>
            <w:r w:rsidRPr="00FB18DC">
              <w:t>the difference to the estimates between interpolating over business days or interpolating over all days is immaterial.</w:t>
            </w:r>
            <w:r w:rsidRPr="0082114E">
              <w:rPr>
                <w:rStyle w:val="AERsuperscript"/>
              </w:rPr>
              <w:footnoteReference w:id="689"/>
            </w:r>
          </w:p>
          <w:p w:rsidR="0082114E" w:rsidRPr="0082114E" w:rsidRDefault="0082114E" w:rsidP="0082114E">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82114E">
              <w:t xml:space="preserve">final decision on the annual debt update process is set out in this appendix. </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1763" w:type="dxa"/>
          </w:tcPr>
          <w:p w:rsidR="0082114E" w:rsidRPr="0082114E" w:rsidRDefault="0082114E" w:rsidP="0082114E">
            <w:r w:rsidRPr="00FB18DC">
              <w:t>Extrapolation to target term</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'effective term' of the RBA bond sample is commonly less than 10 years. For this reason, Lally </w:t>
            </w:r>
            <w:r w:rsidRPr="0082114E">
              <w:t>recommended that the spread component of the yield should be extrapolated from its effective term at publication to the benchmark term (10 years).</w:t>
            </w:r>
            <w:r w:rsidRPr="0082114E">
              <w:rPr>
                <w:rStyle w:val="AERsuperscript"/>
              </w:rPr>
              <w:footnoteReference w:id="690"/>
            </w:r>
            <w:r w:rsidRPr="0082114E">
              <w:rPr>
                <w:rStyle w:val="AERsuperscript"/>
              </w:rPr>
              <w:t xml:space="preserve"> </w:t>
            </w:r>
          </w:p>
          <w:p w:rsidR="0082114E" w:rsidRPr="0082114E" w:rsidRDefault="0082114E" w:rsidP="0082114E">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82114E">
              <w:rPr>
                <w:rStyle w:val="AERsuperscript"/>
              </w:rPr>
              <w:footnoteReference w:id="691"/>
            </w:r>
            <w:r w:rsidRPr="0082114E">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82114E" w:rsidRPr="00BB7AB1" w:rsidTr="00E85C2D">
        <w:tc>
          <w:tcPr>
            <w:tcW w:w="1763" w:type="dxa"/>
          </w:tcPr>
          <w:p w:rsidR="0082114E" w:rsidRPr="0082114E" w:rsidRDefault="0082114E" w:rsidP="0082114E">
            <w:r w:rsidRPr="00FB18DC">
              <w:t>Conversion to effective annual rate</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82114E">
              <w:rPr>
                <w:rStyle w:val="AERsuperscript"/>
              </w:rPr>
              <w:footnoteReference w:id="692"/>
            </w:r>
            <w:r w:rsidRPr="0082114E">
              <w:t xml:space="preserve"> Therefore, this would require conversion into an effective annual rate, using the same approach as is applied to the BVAL yield estimate. </w:t>
            </w:r>
          </w:p>
        </w:tc>
      </w:tr>
    </w:tbl>
    <w:p w:rsidR="0082114E" w:rsidRPr="00FB18DC" w:rsidRDefault="0082114E" w:rsidP="0082114E">
      <w:pPr>
        <w:pStyle w:val="AERtablesource"/>
      </w:pPr>
      <w:r w:rsidRPr="00FB18DC">
        <w:t xml:space="preserve">Source: </w:t>
      </w:r>
      <w:r>
        <w:tab/>
      </w:r>
      <w:r w:rsidRPr="00FB18DC">
        <w:t>AER analysis</w:t>
      </w:r>
      <w:r>
        <w:t>.</w:t>
      </w:r>
    </w:p>
    <w:p w:rsidR="0082114E" w:rsidRPr="00FB18DC" w:rsidRDefault="0082114E" w:rsidP="0082114E">
      <w:pPr>
        <w:pStyle w:val="Caption"/>
      </w:pPr>
      <w:bookmarkStart w:id="161" w:name="_Ref479862312"/>
      <w:r w:rsidRPr="00FB18DC">
        <w:t xml:space="preserve">Table </w:t>
      </w:r>
      <w:fldSimple w:instr=" STYLEREF 1 \s ">
        <w:r w:rsidR="006B4A74">
          <w:rPr>
            <w:noProof/>
          </w:rPr>
          <w:t>3</w:t>
        </w:r>
      </w:fldSimple>
      <w:r w:rsidR="008F29C8">
        <w:noBreakHyphen/>
      </w:r>
      <w:fldSimple w:instr=" SEQ Table \* ARABIC \s 1 ">
        <w:r w:rsidR="006B4A74">
          <w:rPr>
            <w:noProof/>
          </w:rPr>
          <w:t>16</w:t>
        </w:r>
      </w:fldSimple>
      <w:bookmarkEnd w:id="161"/>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3080" w:type="dxa"/>
          </w:tcPr>
          <w:p w:rsidR="0082114E" w:rsidRPr="0082114E" w:rsidRDefault="0082114E" w:rsidP="0082114E">
            <w:r w:rsidRPr="00FB18DC">
              <w:t xml:space="preserve">Adjustment </w:t>
            </w:r>
            <w:r w:rsidRPr="0082114E">
              <w:t>type</w:t>
            </w:r>
          </w:p>
        </w:tc>
        <w:tc>
          <w:tcPr>
            <w:tcW w:w="1446" w:type="dxa"/>
          </w:tcPr>
          <w:p w:rsidR="0082114E" w:rsidRPr="0082114E" w:rsidRDefault="0082114E" w:rsidP="0082114E">
            <w:r w:rsidRPr="00FB18DC">
              <w:t>Amendment made?</w:t>
            </w:r>
          </w:p>
        </w:tc>
        <w:tc>
          <w:tcPr>
            <w:tcW w:w="4716" w:type="dxa"/>
          </w:tcPr>
          <w:p w:rsidR="0082114E" w:rsidRPr="00FB18DC" w:rsidRDefault="0082114E" w:rsidP="00CC7A1C">
            <w:pPr>
              <w:numPr>
                <w:ilvl w:val="0"/>
                <w:numId w:val="24"/>
              </w:numPr>
            </w:pPr>
            <w:r w:rsidRPr="00FB18DC">
              <w:t>Comments</w:t>
            </w:r>
          </w:p>
        </w:tc>
      </w:tr>
      <w:tr w:rsidR="0082114E" w:rsidRPr="00BB7AB1" w:rsidTr="00E85C2D">
        <w:tc>
          <w:tcPr>
            <w:tcW w:w="3080" w:type="dxa"/>
          </w:tcPr>
          <w:p w:rsidR="0082114E" w:rsidRPr="0082114E" w:rsidRDefault="0082114E" w:rsidP="0082114E">
            <w:r w:rsidRPr="00FB18DC">
              <w:t>Interpolation to construct daily estimates</w:t>
            </w:r>
          </w:p>
        </w:tc>
        <w:tc>
          <w:tcPr>
            <w:tcW w:w="1446" w:type="dxa"/>
          </w:tcPr>
          <w:p w:rsidR="0082114E" w:rsidRPr="0082114E" w:rsidRDefault="0082114E" w:rsidP="0082114E">
            <w:r w:rsidRPr="00FB18DC">
              <w:t>No</w:t>
            </w:r>
          </w:p>
        </w:tc>
        <w:tc>
          <w:tcPr>
            <w:tcW w:w="4716" w:type="dxa"/>
          </w:tcPr>
          <w:p w:rsidR="0082114E" w:rsidRPr="00FB18DC" w:rsidRDefault="0082114E" w:rsidP="00CC7A1C">
            <w:pPr>
              <w:numPr>
                <w:ilvl w:val="0"/>
                <w:numId w:val="24"/>
              </w:numPr>
            </w:pPr>
            <w:r w:rsidRPr="00FB18DC">
              <w:t>Bloomberg publishes daily estimates.</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3080" w:type="dxa"/>
          </w:tcPr>
          <w:p w:rsidR="0082114E" w:rsidRPr="0082114E" w:rsidRDefault="0082114E" w:rsidP="0082114E">
            <w:r w:rsidRPr="00FB18DC">
              <w:t>Extrapolation to target term</w:t>
            </w:r>
          </w:p>
        </w:tc>
        <w:tc>
          <w:tcPr>
            <w:tcW w:w="1446" w:type="dxa"/>
          </w:tcPr>
          <w:p w:rsidR="0082114E" w:rsidRPr="0082114E" w:rsidRDefault="0082114E" w:rsidP="0082114E">
            <w:r w:rsidRPr="00FB18DC">
              <w:t xml:space="preserve">Depends on </w:t>
            </w:r>
            <w:r w:rsidRPr="0082114E">
              <w:t>maximum term published by Bloomberg</w:t>
            </w:r>
          </w:p>
        </w:tc>
        <w:tc>
          <w:tcPr>
            <w:tcW w:w="4716" w:type="dxa"/>
          </w:tcPr>
          <w:p w:rsidR="0082114E" w:rsidRPr="00FB18DC" w:rsidRDefault="0082114E"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693"/>
            </w:r>
            <w:r w:rsidRPr="00FB18DC">
              <w:t xml:space="preserve"> In April 2015, Bloomberg revised its methodology for the BVAL curve (BVCSAB10) and it now publishes a 10 year estimate.</w:t>
            </w:r>
            <w:r w:rsidRPr="00FB18DC">
              <w:rPr>
                <w:rStyle w:val="FootnoteReference"/>
              </w:rPr>
              <w:footnoteReference w:id="694"/>
            </w:r>
            <w:r w:rsidRPr="00FB18DC">
              <w:t xml:space="preserve"> </w:t>
            </w:r>
          </w:p>
          <w:p w:rsidR="0082114E" w:rsidRPr="00FB18DC" w:rsidRDefault="0082114E"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2114E" w:rsidRPr="00FB18DC" w:rsidRDefault="0082114E" w:rsidP="00CC7A1C">
            <w:pPr>
              <w:numPr>
                <w:ilvl w:val="0"/>
                <w:numId w:val="24"/>
              </w:numPr>
            </w:pPr>
            <w:r w:rsidRPr="00FB18DC">
              <w:t>BVAL yield 10 years = BVAL yield 7 years + difference in CGS from 7 to 10 years + difference in RBA extrapolated spread to CGS from 7 to 10 years</w:t>
            </w:r>
          </w:p>
          <w:p w:rsidR="0082114E" w:rsidRPr="00FB18DC" w:rsidRDefault="0082114E" w:rsidP="00CC7A1C">
            <w:pPr>
              <w:numPr>
                <w:ilvl w:val="0"/>
                <w:numId w:val="24"/>
              </w:numPr>
            </w:pPr>
            <w:r w:rsidRPr="00FB18DC">
              <w:t>As recommended by Lally,</w:t>
            </w:r>
            <w:r w:rsidRPr="00FB18DC">
              <w:rPr>
                <w:rStyle w:val="AERsuperscript"/>
              </w:rPr>
              <w:footnoteReference w:id="695"/>
            </w:r>
            <w:r w:rsidRPr="00FB18DC">
              <w:t xml:space="preserve"> we are satisfied this approach is comparably reliable to the more complex approaches submitted by other stakeholders,</w:t>
            </w:r>
            <w:r w:rsidRPr="00FB18DC">
              <w:rPr>
                <w:rStyle w:val="AERsuperscript"/>
              </w:rPr>
              <w:footnoteReference w:id="696"/>
            </w:r>
            <w:r w:rsidRPr="00FB18DC">
              <w:rPr>
                <w:rStyle w:val="AERsuperscript"/>
              </w:rPr>
              <w:t xml:space="preserve"> </w:t>
            </w:r>
            <w:r w:rsidRPr="00FB18DC">
              <w:t>but is simpler to implement and based on publicly available data.</w:t>
            </w:r>
          </w:p>
          <w:p w:rsidR="0082114E" w:rsidRPr="00FB18DC" w:rsidRDefault="0082114E"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82114E" w:rsidRPr="00FB18DC" w:rsidRDefault="0082114E" w:rsidP="00CC7A1C">
            <w:pPr>
              <w:numPr>
                <w:ilvl w:val="0"/>
                <w:numId w:val="24"/>
              </w:numPr>
            </w:pPr>
            <w:r w:rsidRPr="00FB18DC">
              <w:t>For the period where 10 years is the maximum term, we do not extrapolate the estimate.</w:t>
            </w:r>
          </w:p>
        </w:tc>
      </w:tr>
      <w:tr w:rsidR="0082114E" w:rsidRPr="00BB7AB1" w:rsidTr="00E85C2D">
        <w:tc>
          <w:tcPr>
            <w:tcW w:w="3080" w:type="dxa"/>
          </w:tcPr>
          <w:p w:rsidR="0082114E" w:rsidRPr="0082114E" w:rsidRDefault="0082114E" w:rsidP="0082114E">
            <w:r w:rsidRPr="00FB18DC">
              <w:t>Conversion to effective annual rate</w:t>
            </w:r>
          </w:p>
        </w:tc>
        <w:tc>
          <w:tcPr>
            <w:tcW w:w="1446" w:type="dxa"/>
          </w:tcPr>
          <w:p w:rsidR="0082114E" w:rsidRPr="0082114E" w:rsidRDefault="0082114E" w:rsidP="0082114E">
            <w:r w:rsidRPr="00FB18DC">
              <w:t>Yes</w:t>
            </w:r>
          </w:p>
        </w:tc>
        <w:tc>
          <w:tcPr>
            <w:tcW w:w="4716" w:type="dxa"/>
          </w:tcPr>
          <w:p w:rsidR="0082114E" w:rsidRPr="00FB18DC" w:rsidRDefault="0082114E" w:rsidP="00CC7A1C">
            <w:pPr>
              <w:numPr>
                <w:ilvl w:val="0"/>
                <w:numId w:val="24"/>
              </w:numPr>
            </w:pPr>
            <w:r w:rsidRPr="00FB18DC">
              <w:t>Bloomberg publishes its yield as annual rates with semi-annual compounding. This needs to be converted into an effective annual rate.</w:t>
            </w:r>
          </w:p>
        </w:tc>
      </w:tr>
    </w:tbl>
    <w:p w:rsidR="00245D0E" w:rsidRDefault="00245D0E" w:rsidP="00245D0E">
      <w:pPr>
        <w:pStyle w:val="HeadingBoldItalic"/>
      </w:pPr>
      <w:bookmarkStart w:id="162" w:name="_Toc480460535"/>
      <w:bookmarkStart w:id="163" w:name="_Toc480460825"/>
      <w:r>
        <w:t>Choice of data series—Contingencies</w:t>
      </w:r>
      <w:bookmarkEnd w:id="162"/>
      <w:bookmarkEnd w:id="163"/>
    </w:p>
    <w:p w:rsidR="00245D0E" w:rsidRDefault="00245D0E" w:rsidP="00245D0E">
      <w:r>
        <w:t>Our final decision is to largely maintain the set of contingencies as set out in our recent decisions.</w:t>
      </w:r>
      <w:r>
        <w:rPr>
          <w:rStyle w:val="FootnoteReference"/>
        </w:rPr>
        <w:footnoteReference w:id="697"/>
      </w:r>
      <w:r>
        <w:t xml:space="preserve"> W</w:t>
      </w:r>
      <w:r w:rsidRPr="00A86E9A">
        <w:t xml:space="preserve">e have made our </w:t>
      </w:r>
      <w:r>
        <w:t xml:space="preserve">final </w:t>
      </w:r>
      <w:r w:rsidRPr="00A86E9A">
        <w:t>decision based on the information and third party data that is currently available.</w:t>
      </w:r>
      <w:r>
        <w:rPr>
          <w:rStyle w:val="FootnoteReference"/>
        </w:rPr>
        <w:footnoteReference w:id="698"/>
      </w:r>
      <w:r w:rsidRPr="00A86E9A">
        <w:t xml:space="preserve"> Nonetheless, in our experience it is common that the availability of third party data changes. </w:t>
      </w:r>
    </w:p>
    <w:p w:rsidR="00245D0E" w:rsidRDefault="00245D0E" w:rsidP="00245D0E">
      <w:r w:rsidRPr="00A86E9A">
        <w:t xml:space="preserve">Our </w:t>
      </w:r>
      <w:r>
        <w:t xml:space="preserve">final </w:t>
      </w:r>
      <w:r w:rsidRPr="00A86E9A">
        <w:t xml:space="preserve">decision is to annually update the trailing average portfolio return on debt. Under the </w:t>
      </w:r>
      <w:r>
        <w:t>NER</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699"/>
      </w:r>
      <w:r w:rsidRPr="00A86E9A">
        <w:t xml:space="preserve"> This means our decision on how to apply these third party data sources must be fully specified</w:t>
      </w:r>
      <w:r>
        <w:t xml:space="preserve"> upfront in the determination</w:t>
      </w:r>
      <w:r w:rsidRPr="00A86E9A">
        <w:t xml:space="preserve">, and must be capable of application over the </w:t>
      </w:r>
      <w:r>
        <w:t xml:space="preserve">regulatory control </w:t>
      </w:r>
      <w:r w:rsidRPr="00A86E9A">
        <w:t xml:space="preserve">period without the use of subsequent judgement or discretion. </w:t>
      </w:r>
    </w:p>
    <w:p w:rsidR="00245D0E" w:rsidRDefault="00245D0E" w:rsidP="00245D0E">
      <w:r w:rsidRPr="00A86E9A">
        <w:t>For this reason, we have set out a series of contingencies in</w:t>
      </w:r>
      <w:r>
        <w:t xml:space="preserve"> </w:t>
      </w:r>
      <w:r w:rsidR="009D3A48">
        <w:fldChar w:fldCharType="begin"/>
      </w:r>
      <w:r w:rsidR="009D3A48">
        <w:instrText xml:space="preserve"> REF _Ref479862329 \h </w:instrText>
      </w:r>
      <w:r w:rsidR="009D3A48">
        <w:fldChar w:fldCharType="separate"/>
      </w:r>
      <w:r w:rsidR="006B4A74">
        <w:t xml:space="preserve">Table </w:t>
      </w:r>
      <w:r w:rsidR="006B4A74">
        <w:rPr>
          <w:noProof/>
        </w:rPr>
        <w:t>3</w:t>
      </w:r>
      <w:r w:rsidR="006B4A74">
        <w:noBreakHyphen/>
      </w:r>
      <w:r w:rsidR="006B4A74">
        <w:rPr>
          <w:noProof/>
        </w:rPr>
        <w:t>17</w:t>
      </w:r>
      <w:r w:rsidR="009D3A48">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245D0E" w:rsidRDefault="00245D0E" w:rsidP="00245D0E">
      <w:pPr>
        <w:pStyle w:val="Caption"/>
      </w:pPr>
      <w:bookmarkStart w:id="164" w:name="_Ref479862329"/>
      <w:r>
        <w:t xml:space="preserve">Table </w:t>
      </w:r>
      <w:fldSimple w:instr=" STYLEREF 1 \s ">
        <w:r w:rsidR="006B4A74">
          <w:rPr>
            <w:noProof/>
          </w:rPr>
          <w:t>3</w:t>
        </w:r>
      </w:fldSimple>
      <w:r w:rsidR="008F29C8">
        <w:noBreakHyphen/>
      </w:r>
      <w:fldSimple w:instr=" SEQ Table \* ARABIC \s 1 ">
        <w:r w:rsidR="006B4A74">
          <w:rPr>
            <w:noProof/>
          </w:rPr>
          <w:t>17</w:t>
        </w:r>
      </w:fldSimple>
      <w:bookmarkEnd w:id="164"/>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245D0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461" w:type="pct"/>
          </w:tcPr>
          <w:p w:rsidR="00245D0E" w:rsidRPr="00BB7AB1" w:rsidRDefault="00245D0E" w:rsidP="00CC7A1C">
            <w:pPr>
              <w:numPr>
                <w:ilvl w:val="0"/>
                <w:numId w:val="24"/>
              </w:numPr>
            </w:pPr>
            <w:r w:rsidRPr="00BB7AB1">
              <w:t>Event</w:t>
            </w:r>
          </w:p>
        </w:tc>
        <w:tc>
          <w:tcPr>
            <w:tcW w:w="3539" w:type="pct"/>
          </w:tcPr>
          <w:p w:rsidR="00245D0E" w:rsidRPr="00BB7AB1" w:rsidRDefault="00245D0E" w:rsidP="00CC7A1C">
            <w:pPr>
              <w:numPr>
                <w:ilvl w:val="0"/>
                <w:numId w:val="24"/>
              </w:numPr>
            </w:pPr>
            <w:r w:rsidRPr="00BB7AB1">
              <w:t>Changes to approach</w:t>
            </w:r>
          </w:p>
        </w:tc>
      </w:tr>
      <w:tr w:rsidR="00245D0E" w:rsidRPr="00BB7AB1" w:rsidTr="00E85C2D">
        <w:tc>
          <w:tcPr>
            <w:tcW w:w="1461" w:type="pct"/>
          </w:tcPr>
          <w:p w:rsidR="00245D0E" w:rsidRPr="00BB7AB1" w:rsidRDefault="00245D0E" w:rsidP="00CC7A1C">
            <w:pPr>
              <w:numPr>
                <w:ilvl w:val="0"/>
                <w:numId w:val="24"/>
              </w:numPr>
            </w:pPr>
            <w:r w:rsidRPr="00BB7AB1">
              <w:t>Either the RBA or Bloomberg ceases publication</w:t>
            </w:r>
            <w:r>
              <w:t>, temporarily or permanently,</w:t>
            </w:r>
            <w:r w:rsidRPr="00BB7AB1">
              <w:t xml:space="preserve"> of Australian yield curves that reflect a broad BBB rating.</w:t>
            </w:r>
          </w:p>
        </w:tc>
        <w:tc>
          <w:tcPr>
            <w:tcW w:w="3539" w:type="pct"/>
          </w:tcPr>
          <w:p w:rsidR="00245D0E" w:rsidRPr="00BB7AB1" w:rsidRDefault="00245D0E" w:rsidP="00CC7A1C">
            <w:pPr>
              <w:numPr>
                <w:ilvl w:val="0"/>
                <w:numId w:val="24"/>
              </w:numPr>
            </w:pPr>
            <w:r w:rsidRPr="00BB7AB1">
              <w:t>We will estimate the annual return on debt using the remaining curve.</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700"/>
            </w:r>
            <w:r w:rsidRPr="00BB7AB1">
              <w:t>.</w:t>
            </w:r>
          </w:p>
        </w:tc>
        <w:tc>
          <w:tcPr>
            <w:tcW w:w="3539" w:type="pct"/>
          </w:tcPr>
          <w:p w:rsidR="00245D0E" w:rsidRPr="00BB7AB1" w:rsidRDefault="00245D0E" w:rsidP="00CC7A1C">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245D0E" w:rsidRPr="00BB7AB1" w:rsidTr="00E85C2D">
        <w:tc>
          <w:tcPr>
            <w:tcW w:w="1461" w:type="pct"/>
          </w:tcPr>
          <w:p w:rsidR="00245D0E" w:rsidRPr="00BB7AB1" w:rsidRDefault="00245D0E" w:rsidP="00CC7A1C">
            <w:pPr>
              <w:numPr>
                <w:ilvl w:val="0"/>
                <w:numId w:val="24"/>
              </w:numPr>
            </w:pPr>
            <w:r w:rsidRPr="00BB7AB1">
              <w:t>Either Bloomberg or RBA substitutes its current methodology for a revised or updated methodology.</w:t>
            </w:r>
          </w:p>
        </w:tc>
        <w:tc>
          <w:tcPr>
            <w:tcW w:w="3539" w:type="pct"/>
          </w:tcPr>
          <w:p w:rsidR="00245D0E" w:rsidRDefault="00245D0E" w:rsidP="00CC7A1C">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245D0E" w:rsidRPr="00BB7AB1" w:rsidRDefault="00245D0E" w:rsidP="00CC7A1C">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701"/>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Bloomberg </w:t>
            </w:r>
            <w:r>
              <w:t>reduces the maximum published BVAL term from 10 years</w:t>
            </w:r>
          </w:p>
        </w:tc>
        <w:tc>
          <w:tcPr>
            <w:tcW w:w="3539" w:type="pct"/>
          </w:tcPr>
          <w:p w:rsidR="00245D0E" w:rsidRDefault="00245D0E" w:rsidP="00CC7A1C">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 to 10</w:t>
            </w:r>
            <w:r w:rsidRPr="00BB7AB1">
              <w:t xml:space="preserve"> </w:t>
            </w:r>
            <w:r>
              <w:t xml:space="preserve">years </w:t>
            </w:r>
            <w:r w:rsidRPr="00BB7AB1">
              <w:t xml:space="preserve">using the </w:t>
            </w:r>
            <w:r>
              <w:t>corresponding</w:t>
            </w:r>
            <w:r w:rsidRPr="00BB7AB1">
              <w:t xml:space="preserve"> yield margin from the RBA curve.</w:t>
            </w:r>
            <w:r>
              <w:t xml:space="preserve"> </w:t>
            </w:r>
            <w:r>
              <w:rPr>
                <w:rStyle w:val="FootnoteReference"/>
              </w:rPr>
              <w:footnoteReference w:id="702"/>
            </w:r>
          </w:p>
          <w:p w:rsidR="00245D0E" w:rsidRPr="00BB7AB1" w:rsidRDefault="00245D0E" w:rsidP="00CC7A1C">
            <w:pPr>
              <w:numPr>
                <w:ilvl w:val="0"/>
                <w:numId w:val="24"/>
              </w:numPr>
            </w:pPr>
            <w:r w:rsidRPr="00BB7AB1">
              <w:t>If Bloomberg no longer publishes the BVAL curve to 5 years, we will rely entirely on the RBA curve.</w:t>
            </w:r>
          </w:p>
        </w:tc>
      </w:tr>
      <w:tr w:rsidR="00245D0E" w:rsidRPr="00BB7AB1" w:rsidTr="00E85C2D">
        <w:tc>
          <w:tcPr>
            <w:tcW w:w="1461" w:type="pct"/>
          </w:tcPr>
          <w:p w:rsidR="00245D0E" w:rsidRPr="00BB7AB1" w:rsidRDefault="00245D0E" w:rsidP="00CC7A1C">
            <w:pPr>
              <w:numPr>
                <w:ilvl w:val="0"/>
                <w:numId w:val="24"/>
              </w:numPr>
            </w:pPr>
            <w:r w:rsidRPr="00BB7AB1">
              <w:t>The RBA ceases publication of a 10 year yield estimate.</w:t>
            </w:r>
            <w:r w:rsidRPr="00BB7AB1">
              <w:tab/>
            </w:r>
          </w:p>
        </w:tc>
        <w:tc>
          <w:tcPr>
            <w:tcW w:w="3539" w:type="pct"/>
          </w:tcPr>
          <w:p w:rsidR="00245D0E" w:rsidRPr="00BB7AB1" w:rsidRDefault="00245D0E" w:rsidP="00CC7A1C">
            <w:pPr>
              <w:numPr>
                <w:ilvl w:val="0"/>
                <w:numId w:val="24"/>
              </w:numPr>
            </w:pPr>
            <w:r w:rsidRPr="00BB7AB1">
              <w:t>If the RBA ceases publication of a 10 year yield estimate, we will extrapolate the RBA estimate to 10 years using:</w:t>
            </w:r>
          </w:p>
          <w:p w:rsidR="00245D0E" w:rsidRPr="00245D0E" w:rsidRDefault="00245D0E" w:rsidP="00245D0E">
            <w:pPr>
              <w:pStyle w:val="AERbulletlistfirststyle"/>
            </w:pPr>
            <w:r w:rsidRPr="00A86E9A">
              <w:t>if available, the margin between spreads in the Bloomberg curve,</w:t>
            </w:r>
            <w:r w:rsidRPr="00245D0E">
              <w:rPr>
                <w:rStyle w:val="FootnoteReference"/>
              </w:rPr>
              <w:footnoteReference w:id="703"/>
            </w:r>
            <w:r w:rsidRPr="00245D0E">
              <w:t xml:space="preserve"> from the RBA's longest published target term to 10 years</w:t>
            </w:r>
          </w:p>
          <w:p w:rsidR="00245D0E" w:rsidRPr="00245D0E" w:rsidRDefault="00245D0E" w:rsidP="00245D0E">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The RBA commences publication of daily estimates.</w:t>
            </w:r>
          </w:p>
        </w:tc>
        <w:tc>
          <w:tcPr>
            <w:tcW w:w="3539" w:type="pct"/>
          </w:tcPr>
          <w:p w:rsidR="00245D0E" w:rsidRPr="00BB7AB1" w:rsidRDefault="00245D0E" w:rsidP="00CC7A1C">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245D0E" w:rsidRPr="00BB7AB1" w:rsidTr="00E85C2D">
        <w:tc>
          <w:tcPr>
            <w:tcW w:w="1461" w:type="pct"/>
          </w:tcPr>
          <w:p w:rsidR="00245D0E" w:rsidRPr="00BB7AB1" w:rsidRDefault="00245D0E" w:rsidP="00CC7A1C">
            <w:pPr>
              <w:numPr>
                <w:ilvl w:val="0"/>
                <w:numId w:val="24"/>
              </w:numPr>
            </w:pPr>
            <w:r w:rsidRPr="00BB7AB1">
              <w:t>Either Bloomberg or the RBA publishes a BBB+ or utilities specific yield curve.</w:t>
            </w:r>
          </w:p>
        </w:tc>
        <w:tc>
          <w:tcPr>
            <w:tcW w:w="3539" w:type="pct"/>
          </w:tcPr>
          <w:p w:rsidR="00245D0E" w:rsidRPr="00BB7AB1" w:rsidRDefault="00245D0E" w:rsidP="00CC7A1C">
            <w:pPr>
              <w:numPr>
                <w:ilvl w:val="0"/>
                <w:numId w:val="24"/>
              </w:numPr>
            </w:pPr>
            <w:r w:rsidRPr="00BB7AB1">
              <w:t>We will adopt the BBB+ or utilities curve in place of the provider's existing curve, on the basis that it is a closer fit to our benchmark efficient entity.</w:t>
            </w:r>
          </w:p>
        </w:tc>
      </w:tr>
    </w:tbl>
    <w:p w:rsidR="00245D0E" w:rsidRPr="00BB7AB1" w:rsidRDefault="00245D0E" w:rsidP="00245D0E">
      <w:pPr>
        <w:pStyle w:val="AERtablesource"/>
      </w:pPr>
      <w:r w:rsidRPr="00BB7AB1">
        <w:t>Source:</w:t>
      </w:r>
      <w:r w:rsidRPr="00BB7AB1">
        <w:tab/>
        <w:t>AER analysis</w:t>
      </w:r>
      <w:r>
        <w:t>.</w:t>
      </w:r>
    </w:p>
    <w:p w:rsidR="00245D0E" w:rsidRDefault="00245D0E" w:rsidP="00245D0E">
      <w:r>
        <w:t>For this final decision, we have re-worded the contingency for the scenario where e</w:t>
      </w:r>
      <w:r w:rsidRPr="00C4326E">
        <w:t>ither the RBA or Bloomberg ceases publication</w:t>
      </w:r>
      <w:r>
        <w:t xml:space="preserve"> </w:t>
      </w:r>
      <w:r w:rsidRPr="00C4326E">
        <w:t xml:space="preserve">of Australian yield curves </w:t>
      </w:r>
      <w:r>
        <w:t>that reflect a broad BBB rating. Specifically, we have clarified that this contingency will apply whether the cessation of publication is temporary (</w:t>
      </w:r>
      <w:r w:rsidR="00577B98">
        <w:t>i.e.</w:t>
      </w:r>
      <w:r>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245D0E" w:rsidRPr="00C56839" w:rsidRDefault="00245D0E" w:rsidP="00245D0E">
      <w:r w:rsidRPr="00C56839">
        <w:t>In general, we have decided on these contingencies based on a series of guiding principles. These are that the contingency must:</w:t>
      </w:r>
    </w:p>
    <w:p w:rsidR="00245D0E" w:rsidRPr="00C56839" w:rsidRDefault="00245D0E" w:rsidP="00245D0E">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245D0E" w:rsidRPr="00762C27" w:rsidRDefault="00245D0E" w:rsidP="00245D0E">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245D0E" w:rsidRDefault="00245D0E" w:rsidP="00245D0E">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704"/>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45D0E" w:rsidRPr="00E6234D" w:rsidRDefault="00245D0E" w:rsidP="00245D0E">
      <w:pPr>
        <w:pStyle w:val="HeadingBoldItalic"/>
      </w:pPr>
      <w:bookmarkStart w:id="165" w:name="_Toc480460536"/>
      <w:bookmarkStart w:id="166" w:name="_Toc480460826"/>
      <w:r>
        <w:t>New issue premium</w:t>
      </w:r>
      <w:bookmarkEnd w:id="165"/>
      <w:bookmarkEnd w:id="166"/>
    </w:p>
    <w:p w:rsidR="00245D0E" w:rsidRDefault="00245D0E" w:rsidP="00245D0E">
      <w:r w:rsidRPr="0018148E">
        <w:t xml:space="preserve">We accept </w:t>
      </w:r>
      <w:r>
        <w:t>AusNet Services' regulatory proposal to not</w:t>
      </w:r>
      <w:r w:rsidRPr="0018148E">
        <w:t xml:space="preserve"> include an allowance for the new issue premium. However, we do not </w:t>
      </w:r>
      <w:r>
        <w:t>agree with its commentary</w:t>
      </w:r>
      <w:r w:rsidRPr="0018148E">
        <w:t xml:space="preserve"> </w:t>
      </w:r>
      <w:r>
        <w:t>that excluding</w:t>
      </w:r>
      <w:r w:rsidRPr="0018148E">
        <w:t xml:space="preserve"> a new issue premium makes</w:t>
      </w:r>
      <w:r>
        <w:t xml:space="preserve"> its proposed return on debt 'conservative'</w:t>
      </w:r>
      <w:r w:rsidRPr="0018148E">
        <w:t>.</w:t>
      </w:r>
      <w:r>
        <w:rPr>
          <w:rStyle w:val="FootnoteReference"/>
        </w:rPr>
        <w:footnoteReference w:id="705"/>
      </w:r>
    </w:p>
    <w:p w:rsidR="00245D0E" w:rsidRDefault="00245D0E" w:rsidP="00245D0E">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706"/>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707"/>
      </w:r>
      <w:r>
        <w:t xml:space="preserve"> The </w:t>
      </w:r>
      <w:r w:rsidRPr="006D5821">
        <w:t>main reasons for our position are:</w:t>
      </w:r>
    </w:p>
    <w:p w:rsidR="00245D0E" w:rsidRPr="00784F6B" w:rsidRDefault="00245D0E" w:rsidP="00245D0E">
      <w:pPr>
        <w:pStyle w:val="AERbulletlistfirststyle"/>
      </w:pPr>
      <w:r w:rsidRPr="001426E4">
        <w:t xml:space="preserve">Conceptually, we </w:t>
      </w:r>
      <w:r w:rsidRPr="00784F6B">
        <w:t>consider that a benchmark efficient entity would not face a new issue premium as part of its efficient financing costs.</w:t>
      </w:r>
    </w:p>
    <w:p w:rsidR="00245D0E" w:rsidRPr="00784F6B" w:rsidRDefault="00245D0E" w:rsidP="00245D0E">
      <w:pPr>
        <w:pStyle w:val="AERbulletlistfirststyle"/>
      </w:pPr>
      <w:r>
        <w:t>T</w:t>
      </w:r>
      <w:r w:rsidRPr="00784F6B">
        <w:t>he evidence before us indicates that our return on debt allowance already appropriately compensates a benchmark efficient entity overall for its efficient financing costs.</w:t>
      </w:r>
    </w:p>
    <w:p w:rsidR="00245D0E" w:rsidRPr="00784F6B" w:rsidRDefault="00245D0E" w:rsidP="00245D0E">
      <w:pPr>
        <w:pStyle w:val="AERbulletlistfirststyle"/>
      </w:pPr>
      <w:r>
        <w:t>W</w:t>
      </w:r>
      <w:r w:rsidRPr="00784F6B">
        <w:t xml:space="preserve">e consider that the empirical evidence on the new issue premium is inconclusive in general and that there is little consensus among experts on how to measure potential new issue </w:t>
      </w:r>
      <w:r>
        <w:t>premium</w:t>
      </w:r>
      <w:r w:rsidRPr="00784F6B">
        <w:t>.</w:t>
      </w:r>
    </w:p>
    <w:p w:rsidR="00245D0E" w:rsidRPr="00784F6B" w:rsidRDefault="00245D0E" w:rsidP="00245D0E">
      <w:pPr>
        <w:pStyle w:val="AERbulletlistfirststyle"/>
      </w:pPr>
      <w:r>
        <w:t>We are unaware of any academic literature on the new issue premium in the Australian market. On behalf of several service providers, CEG conducted an empirical analysis on the Australian marke</w:t>
      </w:r>
      <w:r w:rsidRPr="00784F6B">
        <w:t>t.</w:t>
      </w:r>
      <w:r w:rsidRPr="00784F6B">
        <w:rPr>
          <w:rStyle w:val="FootnoteReference"/>
        </w:rPr>
        <w:footnoteReference w:id="708"/>
      </w:r>
      <w:r w:rsidRPr="00784F6B">
        <w:t xml:space="preserve"> However, we have concerns with CEG's methodology, which we do not consider CEG has satisfactorily addressed.</w:t>
      </w:r>
      <w:r w:rsidRPr="00784F6B">
        <w:rPr>
          <w:rStyle w:val="FootnoteReference"/>
        </w:rPr>
        <w:footnoteReference w:id="709"/>
      </w:r>
    </w:p>
    <w:p w:rsidR="00245D0E" w:rsidRDefault="00245D0E" w:rsidP="00245D0E">
      <w:r>
        <w:t>For a more detailed explanation of our reasons, see Appendix I of our final decision for United Energy.</w:t>
      </w:r>
      <w:r>
        <w:rPr>
          <w:rStyle w:val="FootnoteReference"/>
        </w:rPr>
        <w:footnoteReference w:id="710"/>
      </w:r>
    </w:p>
    <w:p w:rsidR="00245D0E" w:rsidRDefault="00245D0E" w:rsidP="00245D0E">
      <w:pPr>
        <w:pStyle w:val="HeadingBoldItalic"/>
      </w:pPr>
      <w:bookmarkStart w:id="167" w:name="_Toc480460537"/>
      <w:bookmarkStart w:id="168" w:name="_Toc480460827"/>
      <w:r w:rsidRPr="00E761F9">
        <w:t>Averaging periods</w:t>
      </w:r>
      <w:bookmarkEnd w:id="167"/>
      <w:bookmarkEnd w:id="168"/>
      <w:r w:rsidRPr="00E761F9">
        <w:t xml:space="preserve"> </w:t>
      </w:r>
    </w:p>
    <w:p w:rsidR="00245D0E" w:rsidRDefault="00245D0E" w:rsidP="00245D0E">
      <w:r>
        <w:t>O</w:t>
      </w:r>
      <w:r w:rsidRPr="00F62E1D">
        <w:t xml:space="preserve">ur </w:t>
      </w:r>
      <w:r>
        <w:t>final decision</w:t>
      </w:r>
      <w:r w:rsidRPr="00F62E1D">
        <w:t xml:space="preserve"> is to accept </w:t>
      </w:r>
      <w:r>
        <w:t xml:space="preserve">AusNet Services' </w:t>
      </w:r>
      <w:r w:rsidRPr="00F62E1D">
        <w:t xml:space="preserve">proposed debt </w:t>
      </w:r>
      <w:r>
        <w:t>averaging periods for 2017 to 2022.</w:t>
      </w:r>
      <w:r>
        <w:rPr>
          <w:rStyle w:val="FootnoteReference"/>
        </w:rPr>
        <w:footnoteReference w:id="711"/>
      </w:r>
      <w:r>
        <w:t xml:space="preserve"> </w:t>
      </w:r>
    </w:p>
    <w:p w:rsidR="00245D0E" w:rsidRPr="00E761F9" w:rsidRDefault="00245D0E" w:rsidP="00245D0E">
      <w:r w:rsidRPr="00E761F9">
        <w:t>We specify these averaging periods for the 2017 to 202</w:t>
      </w:r>
      <w:r>
        <w:t>2</w:t>
      </w:r>
      <w:r w:rsidRPr="00E761F9">
        <w:t xml:space="preserve"> regulatory years in c</w:t>
      </w:r>
      <w:r w:rsidR="00A847F7">
        <w:t>onfidential Appendix M</w:t>
      </w:r>
      <w:r w:rsidRPr="00E761F9">
        <w:t>. This is because our practice is to keep the dates of averaging periods confidential until they have expired.</w:t>
      </w:r>
    </w:p>
    <w:p w:rsidR="00245D0E" w:rsidRPr="00E761F9" w:rsidRDefault="00245D0E" w:rsidP="00245D0E">
      <w:r w:rsidRPr="00E761F9">
        <w:t>In the Guideline, we proposed that service providers could nominate averaging periods of 10 or more consecutive business days up to a maximum of 12 months.</w:t>
      </w:r>
      <w:r w:rsidRPr="00E761F9">
        <w:rPr>
          <w:rStyle w:val="FootnoteReference"/>
        </w:rPr>
        <w:footnoteReference w:id="712"/>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713"/>
      </w:r>
    </w:p>
    <w:p w:rsidR="00245D0E" w:rsidRPr="00E761F9" w:rsidRDefault="00245D0E" w:rsidP="00245D0E">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245D0E" w:rsidRPr="00E761F9" w:rsidRDefault="009D3A48" w:rsidP="00CC7A1C">
      <w:pPr>
        <w:numPr>
          <w:ilvl w:val="0"/>
          <w:numId w:val="24"/>
        </w:numPr>
      </w:pPr>
      <w:r>
        <w:fldChar w:fldCharType="begin"/>
      </w:r>
      <w:r>
        <w:instrText xml:space="preserve"> REF _Ref479862346 \h </w:instrText>
      </w:r>
      <w:r>
        <w:fldChar w:fldCharType="separate"/>
      </w:r>
      <w:r w:rsidR="006B4A74" w:rsidRPr="00E761F9">
        <w:t xml:space="preserve">Table </w:t>
      </w:r>
      <w:r w:rsidR="006B4A74">
        <w:rPr>
          <w:noProof/>
        </w:rPr>
        <w:t>3</w:t>
      </w:r>
      <w:r w:rsidR="006B4A74">
        <w:noBreakHyphen/>
      </w:r>
      <w:r w:rsidR="006B4A74">
        <w:rPr>
          <w:noProof/>
        </w:rPr>
        <w:t>18</w:t>
      </w:r>
      <w:r>
        <w:fldChar w:fldCharType="end"/>
      </w:r>
      <w:r w:rsidR="00245D0E" w:rsidRPr="00E761F9">
        <w:t xml:space="preserve"> sets out why we consider an averaging period that meets the remaining conditions in the Guideline contributes to the achievement of the </w:t>
      </w:r>
      <w:r w:rsidR="00245D0E">
        <w:t>ARORO</w:t>
      </w:r>
      <w:r w:rsidR="00245D0E" w:rsidRPr="00E761F9">
        <w:t xml:space="preserve">. It also summarises our assessment of </w:t>
      </w:r>
      <w:r w:rsidR="00245D0E">
        <w:t>AusNet Services’</w:t>
      </w:r>
      <w:r w:rsidR="00245D0E" w:rsidRPr="00E761F9">
        <w:t xml:space="preserve"> proposed debt averaging periods</w:t>
      </w:r>
      <w:r w:rsidR="00245D0E">
        <w:t xml:space="preserve"> against these conditions</w:t>
      </w:r>
      <w:r w:rsidR="00245D0E" w:rsidRPr="00E761F9">
        <w:t xml:space="preserve">. </w:t>
      </w:r>
    </w:p>
    <w:p w:rsidR="00245D0E" w:rsidRPr="00E761F9" w:rsidRDefault="00245D0E" w:rsidP="00245D0E">
      <w:pPr>
        <w:pStyle w:val="Caption"/>
      </w:pPr>
      <w:bookmarkStart w:id="169" w:name="_Ref479862346"/>
      <w:r w:rsidRPr="00E761F9">
        <w:t xml:space="preserve">Table </w:t>
      </w:r>
      <w:fldSimple w:instr=" STYLEREF 1 \s ">
        <w:r w:rsidR="006B4A74">
          <w:rPr>
            <w:noProof/>
          </w:rPr>
          <w:t>3</w:t>
        </w:r>
      </w:fldSimple>
      <w:r w:rsidR="008F29C8">
        <w:noBreakHyphen/>
      </w:r>
      <w:fldSimple w:instr=" SEQ Table \* ARABIC \s 1 ">
        <w:r w:rsidR="006B4A74">
          <w:rPr>
            <w:noProof/>
          </w:rPr>
          <w:t>18</w:t>
        </w:r>
      </w:fldSimple>
      <w:bookmarkEnd w:id="169"/>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245D0E" w:rsidTr="00E85C2D">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245D0E" w:rsidRPr="00245D0E" w:rsidRDefault="00245D0E" w:rsidP="00245D0E">
            <w:r w:rsidRPr="00E761F9">
              <w:t>Condition</w:t>
            </w:r>
          </w:p>
        </w:tc>
        <w:tc>
          <w:tcPr>
            <w:tcW w:w="4647" w:type="dxa"/>
          </w:tcPr>
          <w:p w:rsidR="00245D0E" w:rsidRPr="00245D0E" w:rsidRDefault="00245D0E" w:rsidP="00245D0E">
            <w:r w:rsidRPr="00E761F9">
              <w:t>Reasons for condition</w:t>
            </w:r>
          </w:p>
        </w:tc>
        <w:tc>
          <w:tcPr>
            <w:tcW w:w="1425" w:type="dxa"/>
          </w:tcPr>
          <w:p w:rsidR="00245D0E" w:rsidRPr="00245D0E" w:rsidRDefault="00245D0E" w:rsidP="00245D0E">
            <w:r w:rsidRPr="00E761F9">
              <w:t>Condition met?</w:t>
            </w:r>
          </w:p>
        </w:tc>
      </w:tr>
      <w:tr w:rsidR="00245D0E" w:rsidTr="00E85C2D">
        <w:trPr>
          <w:trHeight w:val="143"/>
        </w:trPr>
        <w:tc>
          <w:tcPr>
            <w:tcW w:w="2591" w:type="dxa"/>
          </w:tcPr>
          <w:p w:rsidR="00245D0E" w:rsidRPr="00245D0E" w:rsidRDefault="00245D0E" w:rsidP="00245D0E">
            <w:r w:rsidRPr="00E761F9">
              <w:t xml:space="preserve">Observed over a period of 10 or more consecutive business days up to a maximum of </w:t>
            </w:r>
            <w:r w:rsidRPr="00245D0E">
              <w:t>12 months</w:t>
            </w:r>
          </w:p>
        </w:tc>
        <w:tc>
          <w:tcPr>
            <w:tcW w:w="4647" w:type="dxa"/>
          </w:tcPr>
          <w:p w:rsidR="00245D0E" w:rsidRPr="00245D0E" w:rsidRDefault="00245D0E" w:rsidP="00245D0E">
            <w:r w:rsidRPr="00E761F9">
              <w:t>Averaging daily estimates</w:t>
            </w:r>
            <w:r w:rsidRPr="00245D0E">
              <w:t xml:space="preserve"> over a number of days smooths out short term volatility in the annually updated return on debt allowance.</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It </w:t>
            </w:r>
            <w:r w:rsidRPr="00245D0E">
              <w:t>should be specified prior to the commencement of the regulatory control period.</w:t>
            </w:r>
          </w:p>
        </w:tc>
        <w:tc>
          <w:tcPr>
            <w:tcW w:w="4647" w:type="dxa"/>
          </w:tcPr>
          <w:p w:rsidR="00245D0E" w:rsidRPr="00245D0E" w:rsidRDefault="00245D0E" w:rsidP="00245D0E">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At the time it is nominated, all dates in the averaging period must take place in the future.</w:t>
            </w:r>
          </w:p>
        </w:tc>
        <w:tc>
          <w:tcPr>
            <w:tcW w:w="4647" w:type="dxa"/>
          </w:tcPr>
          <w:p w:rsidR="00245D0E" w:rsidRPr="00245D0E" w:rsidRDefault="00245D0E" w:rsidP="00245D0E">
            <w:r w:rsidRPr="00E761F9">
              <w:t>If a regulated service provider can select an averaging period by looking at historical yields, it may introduce an upward bias.</w:t>
            </w:r>
            <w:r w:rsidRPr="00245D0E">
              <w:rPr>
                <w:rStyle w:val="FootnoteReference"/>
              </w:rPr>
              <w:footnoteReference w:id="714"/>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An averaging period needs to be specified for each regulatory year within a regulatory control period.</w:t>
            </w:r>
          </w:p>
        </w:tc>
        <w:tc>
          <w:tcPr>
            <w:tcW w:w="4647" w:type="dxa"/>
          </w:tcPr>
          <w:p w:rsidR="00245D0E" w:rsidRPr="00245D0E" w:rsidRDefault="00245D0E" w:rsidP="00245D0E">
            <w:r w:rsidRPr="00E761F9">
              <w:t>This allows for the annual debt update. The annual debt update reduces the potential for a mismatch between the allowed and actual return on debt for the benchmark efficient entity.</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The proposed averaging periods for different regulatory years are not required to be identical but should not overlap.</w:t>
            </w:r>
          </w:p>
        </w:tc>
        <w:tc>
          <w:tcPr>
            <w:tcW w:w="4647" w:type="dxa"/>
          </w:tcPr>
          <w:p w:rsidR="00245D0E" w:rsidRPr="00245D0E" w:rsidRDefault="00245D0E" w:rsidP="00245D0E">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The nominal return on debt is to be updated annually using the </w:t>
            </w:r>
            <w:r w:rsidRPr="00245D0E">
              <w:t>agreed averaging period for the relevant regulatory year.</w:t>
            </w:r>
          </w:p>
        </w:tc>
        <w:tc>
          <w:tcPr>
            <w:tcW w:w="4647" w:type="dxa"/>
          </w:tcPr>
          <w:p w:rsidR="00245D0E" w:rsidRPr="00245D0E" w:rsidRDefault="00245D0E" w:rsidP="00245D0E">
            <w:r w:rsidRPr="00E761F9">
              <w:t>This prevents a service provider from introducing bias by only updating annually using the agreed averaging period when it is advantageous for it to do so.</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Each agreed averaging period is to be confidential.</w:t>
            </w:r>
          </w:p>
        </w:tc>
        <w:tc>
          <w:tcPr>
            <w:tcW w:w="4647" w:type="dxa"/>
          </w:tcPr>
          <w:p w:rsidR="00245D0E" w:rsidRPr="00245D0E" w:rsidRDefault="00245D0E" w:rsidP="00245D0E">
            <w:r w:rsidRPr="00E761F9">
              <w:t xml:space="preserve">This facilitates service providers organising their financing arrangements without market participants </w:t>
            </w:r>
            <w:r w:rsidRPr="00245D0E">
              <w:t>being aware of the averaging periods. Accordingly, in practice we keep averaging periods confidential until they expire.</w:t>
            </w:r>
          </w:p>
        </w:tc>
        <w:tc>
          <w:tcPr>
            <w:tcW w:w="1425" w:type="dxa"/>
          </w:tcPr>
          <w:p w:rsidR="00245D0E" w:rsidRPr="00245D0E" w:rsidRDefault="00245D0E" w:rsidP="00245D0E">
            <w:r w:rsidRPr="00E761F9">
              <w:t>Yes</w:t>
            </w:r>
          </w:p>
        </w:tc>
      </w:tr>
    </w:tbl>
    <w:p w:rsidR="00245D0E" w:rsidRPr="00E761F9" w:rsidRDefault="00245D0E" w:rsidP="00245D0E">
      <w:pPr>
        <w:pStyle w:val="AERtablesource"/>
      </w:pPr>
      <w:r w:rsidRPr="00E761F9">
        <w:t xml:space="preserve">Source: </w:t>
      </w:r>
      <w:r w:rsidRPr="00E761F9">
        <w:tab/>
        <w:t xml:space="preserve">AER, </w:t>
      </w:r>
      <w:r w:rsidRPr="00E761F9">
        <w:rPr>
          <w:rStyle w:val="AERtextitalic"/>
        </w:rPr>
        <w:t>Rate of return guideline</w:t>
      </w:r>
      <w:r w:rsidRPr="00E761F9">
        <w:t xml:space="preserve">, December 2013, pp. 21-22; </w:t>
      </w:r>
      <w:r>
        <w:t xml:space="preserve">AusNet Services, </w:t>
      </w:r>
      <w:r w:rsidRPr="00E6234D">
        <w:t>Transmission revenue review, Appendix 10I: Averaging period letter (Confidential)</w:t>
      </w:r>
      <w:r>
        <w:t xml:space="preserve">, 30 October 2015; AusNet Services, </w:t>
      </w:r>
      <w:r>
        <w:rPr>
          <w:rStyle w:val="Emphasis"/>
        </w:rPr>
        <w:t>Nominated debt averaging periods for AusNet Services’ 2017</w:t>
      </w:r>
      <w:r w:rsidRPr="00E6234D">
        <w:rPr>
          <w:rStyle w:val="Emphasis"/>
        </w:rPr>
        <w:t>–</w:t>
      </w:r>
      <w:r>
        <w:rPr>
          <w:rStyle w:val="Emphasis"/>
        </w:rPr>
        <w:t xml:space="preserve">22 transmission revenue reset, </w:t>
      </w:r>
      <w:r>
        <w:t>2 June 2016</w:t>
      </w:r>
      <w:r w:rsidRPr="00E761F9">
        <w:t>; AER analysis.</w:t>
      </w:r>
    </w:p>
    <w:p w:rsidR="00245D0E" w:rsidRPr="00E761F9" w:rsidRDefault="00245D0E" w:rsidP="00245D0E">
      <w:r w:rsidRPr="00E761F9">
        <w:t xml:space="preserve">In assessing </w:t>
      </w:r>
      <w:r>
        <w:t>AusNet Services'</w:t>
      </w:r>
      <w:r w:rsidRPr="00E761F9">
        <w:t xml:space="preserve"> </w:t>
      </w:r>
      <w:r>
        <w:t xml:space="preserve">proposed </w:t>
      </w:r>
      <w:r w:rsidRPr="00E761F9">
        <w:t>debt averaging period</w:t>
      </w:r>
      <w:r>
        <w:t>s</w:t>
      </w:r>
      <w:r w:rsidRPr="00E761F9">
        <w:t xml:space="preserve">, we considered the timeframe within which each period should occur. In the Guideline, we proposed that service providers could nominate averaging periods of 10 or more consecutive business days up to a maximum of 12 months. </w:t>
      </w:r>
      <w:r>
        <w:t>However, t</w:t>
      </w:r>
      <w:r w:rsidRPr="004057C7">
        <w:t xml:space="preserve">he timing of </w:t>
      </w:r>
      <w:r>
        <w:t>publishing</w:t>
      </w:r>
      <w:r w:rsidRPr="004057C7">
        <w:t xml:space="preserve"> </w:t>
      </w:r>
      <w:r>
        <w:t>transmission</w:t>
      </w:r>
      <w:r w:rsidRPr="004057C7">
        <w:t xml:space="preserve"> prices </w:t>
      </w:r>
      <w:r>
        <w:t>affects</w:t>
      </w:r>
      <w:r w:rsidRPr="004057C7">
        <w:t xml:space="preserve"> how late an averaging period can end and still be implemented in practice.</w:t>
      </w:r>
      <w:r>
        <w:t xml:space="preserve"> Accordingly, u</w:t>
      </w:r>
      <w:r w:rsidRPr="00BB4A87">
        <w:t xml:space="preserve">nder </w:t>
      </w:r>
      <w:r>
        <w:t xml:space="preserve">the </w:t>
      </w:r>
      <w:r w:rsidRPr="00E761F9">
        <w:t>'Annual debt update process' section</w:t>
      </w:r>
      <w:r w:rsidRPr="00BB4A87">
        <w:t xml:space="preserve">, we consider </w:t>
      </w:r>
      <w:r w:rsidRPr="00E761F9">
        <w:t xml:space="preserve">an averaging period for estimating </w:t>
      </w:r>
      <w:r>
        <w:t>AusNet Services' allowed</w:t>
      </w:r>
      <w:r w:rsidRPr="00E761F9">
        <w:t xml:space="preserve"> return on debt for regulatory year t should fall within the following timeframe:</w:t>
      </w:r>
    </w:p>
    <w:p w:rsidR="00245D0E" w:rsidRPr="00E761F9" w:rsidRDefault="00245D0E" w:rsidP="00245D0E">
      <w:pPr>
        <w:pStyle w:val="AERbulletlistfirststyle"/>
      </w:pPr>
      <w:r w:rsidRPr="00E761F9">
        <w:t xml:space="preserve">end no later than </w:t>
      </w:r>
      <w:r>
        <w:t>15</w:t>
      </w:r>
      <w:r w:rsidRPr="00E761F9">
        <w:t xml:space="preserve"> business days before </w:t>
      </w:r>
      <w:r>
        <w:t>the 6th business day of February in regulatory year t-1</w:t>
      </w:r>
    </w:p>
    <w:p w:rsidR="00245D0E" w:rsidRPr="00E761F9" w:rsidRDefault="00245D0E" w:rsidP="00245D0E">
      <w:pPr>
        <w:pStyle w:val="AERbulletlistfirststyle"/>
      </w:pPr>
      <w:r w:rsidRPr="00E761F9">
        <w:t xml:space="preserve">commence no earlier than 12 months plus </w:t>
      </w:r>
      <w:r>
        <w:t>15</w:t>
      </w:r>
      <w:r w:rsidRPr="00E761F9">
        <w:t xml:space="preserve"> business days before </w:t>
      </w:r>
      <w:r w:rsidRPr="00F50C1F">
        <w:t xml:space="preserve">the 6th business day of February </w:t>
      </w:r>
      <w:r>
        <w:t>in regulatory year t-1</w:t>
      </w:r>
      <w:r w:rsidRPr="00E761F9">
        <w:t>.</w:t>
      </w:r>
      <w:r w:rsidRPr="00E761F9">
        <w:rPr>
          <w:rStyle w:val="FootnoteReference"/>
        </w:rPr>
        <w:footnoteReference w:id="715"/>
      </w:r>
    </w:p>
    <w:p w:rsidR="00245D0E" w:rsidRPr="00E761F9" w:rsidRDefault="00245D0E" w:rsidP="00245D0E">
      <w:r>
        <w:t xml:space="preserve">We consider AusNet Services' proposed averaging periods for 2017 to 2022 can be practically applied because they fall within this timeframe. </w:t>
      </w:r>
      <w:r w:rsidRPr="00E761F9">
        <w:t xml:space="preserve">We discuss this in </w:t>
      </w:r>
      <w:r>
        <w:t xml:space="preserve">more </w:t>
      </w:r>
      <w:r w:rsidRPr="00E761F9">
        <w:t>detail in the 'Annual debt update process' section.</w:t>
      </w:r>
    </w:p>
    <w:p w:rsidR="00245D0E" w:rsidRPr="00E761F9" w:rsidRDefault="00245D0E" w:rsidP="00245D0E">
      <w:pPr>
        <w:pStyle w:val="HeadingBoldItalic"/>
      </w:pPr>
      <w:bookmarkStart w:id="170" w:name="_Toc480460538"/>
      <w:bookmarkStart w:id="171" w:name="_Toc480460828"/>
      <w:r w:rsidRPr="00E761F9">
        <w:t>Annual debt update process</w:t>
      </w:r>
      <w:bookmarkEnd w:id="170"/>
      <w:bookmarkEnd w:id="171"/>
      <w:r w:rsidRPr="00E761F9">
        <w:t xml:space="preserve"> </w:t>
      </w:r>
    </w:p>
    <w:p w:rsidR="00245D0E" w:rsidRDefault="00245D0E" w:rsidP="00CC7A1C">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AusNet Services is set out in </w:t>
      </w:r>
      <w:r w:rsidR="009D3A48">
        <w:fldChar w:fldCharType="begin"/>
      </w:r>
      <w:r w:rsidR="009D3A48">
        <w:instrText xml:space="preserve"> REF _Ref479862353 \h </w:instrText>
      </w:r>
      <w:r w:rsidR="009D3A48">
        <w:fldChar w:fldCharType="separate"/>
      </w:r>
      <w:r w:rsidR="006B4A74">
        <w:t xml:space="preserve">Table </w:t>
      </w:r>
      <w:r w:rsidR="006B4A74">
        <w:rPr>
          <w:noProof/>
        </w:rPr>
        <w:t>3</w:t>
      </w:r>
      <w:r w:rsidR="006B4A74">
        <w:noBreakHyphen/>
      </w:r>
      <w:r w:rsidR="006B4A74">
        <w:rPr>
          <w:noProof/>
        </w:rPr>
        <w:t>19</w:t>
      </w:r>
      <w:r w:rsidR="009D3A48">
        <w:fldChar w:fldCharType="end"/>
      </w:r>
      <w:r>
        <w:t xml:space="preserve">. </w:t>
      </w:r>
    </w:p>
    <w:p w:rsidR="00245D0E" w:rsidRPr="004057C7" w:rsidRDefault="00245D0E" w:rsidP="00245D0E">
      <w:pPr>
        <w:pStyle w:val="Caption"/>
      </w:pPr>
      <w:bookmarkStart w:id="172" w:name="_Ref479862353"/>
      <w:r>
        <w:t xml:space="preserve">Table </w:t>
      </w:r>
      <w:fldSimple w:instr=" STYLEREF 1 \s ">
        <w:r w:rsidR="006B4A74">
          <w:rPr>
            <w:noProof/>
          </w:rPr>
          <w:t>3</w:t>
        </w:r>
      </w:fldSimple>
      <w:r w:rsidR="008F29C8">
        <w:noBreakHyphen/>
      </w:r>
      <w:fldSimple w:instr=" SEQ Table \* ARABIC \s 1 ">
        <w:r w:rsidR="006B4A74">
          <w:rPr>
            <w:noProof/>
          </w:rPr>
          <w:t>19</w:t>
        </w:r>
      </w:fldSimple>
      <w:bookmarkEnd w:id="172"/>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245D0E" w:rsidRPr="00616FA2" w:rsidTr="00E85C2D">
        <w:trPr>
          <w:cnfStyle w:val="100000000000" w:firstRow="1" w:lastRow="0" w:firstColumn="0" w:lastColumn="0" w:oddVBand="0" w:evenVBand="0" w:oddHBand="0" w:evenHBand="0" w:firstRowFirstColumn="0" w:firstRowLastColumn="0" w:lastRowFirstColumn="0" w:lastRowLastColumn="0"/>
        </w:trPr>
        <w:tc>
          <w:tcPr>
            <w:tcW w:w="374" w:type="pct"/>
          </w:tcPr>
          <w:p w:rsidR="00245D0E" w:rsidRPr="00245D0E" w:rsidRDefault="00245D0E" w:rsidP="00245D0E">
            <w:pPr>
              <w:pStyle w:val="AERtabletextleft"/>
            </w:pPr>
            <w:r w:rsidRPr="00616FA2">
              <w:t>Step</w:t>
            </w:r>
          </w:p>
        </w:tc>
        <w:tc>
          <w:tcPr>
            <w:tcW w:w="1233" w:type="pct"/>
          </w:tcPr>
          <w:p w:rsidR="00245D0E" w:rsidRPr="00245D0E" w:rsidRDefault="00245D0E" w:rsidP="00245D0E">
            <w:pPr>
              <w:pStyle w:val="AERtabletextleft"/>
            </w:pPr>
            <w:r w:rsidRPr="00616FA2">
              <w:t>Timing</w:t>
            </w:r>
          </w:p>
        </w:tc>
        <w:tc>
          <w:tcPr>
            <w:tcW w:w="1527" w:type="pct"/>
          </w:tcPr>
          <w:p w:rsidR="00245D0E" w:rsidRPr="00245D0E" w:rsidRDefault="00245D0E" w:rsidP="00245D0E">
            <w:pPr>
              <w:pStyle w:val="AERtabletextleft"/>
            </w:pPr>
            <w:r w:rsidRPr="00616FA2">
              <w:t>Description of step</w:t>
            </w:r>
          </w:p>
        </w:tc>
        <w:tc>
          <w:tcPr>
            <w:tcW w:w="1867" w:type="pct"/>
          </w:tcPr>
          <w:p w:rsidR="00245D0E" w:rsidRPr="00245D0E" w:rsidRDefault="00245D0E" w:rsidP="00245D0E">
            <w:pPr>
              <w:pStyle w:val="AERtabletextleft"/>
            </w:pPr>
            <w:r w:rsidRPr="00616FA2">
              <w:t>Reasons for timing</w:t>
            </w:r>
          </w:p>
        </w:tc>
      </w:tr>
      <w:tr w:rsidR="00245D0E" w:rsidRPr="00616FA2" w:rsidTr="00E85C2D">
        <w:tc>
          <w:tcPr>
            <w:tcW w:w="374" w:type="pct"/>
          </w:tcPr>
          <w:p w:rsidR="00245D0E" w:rsidRPr="00245D0E" w:rsidRDefault="00245D0E" w:rsidP="00245D0E">
            <w:pPr>
              <w:pStyle w:val="AERtabletextleft"/>
            </w:pPr>
            <w:r w:rsidRPr="00616FA2">
              <w:t>1</w:t>
            </w:r>
          </w:p>
        </w:tc>
        <w:tc>
          <w:tcPr>
            <w:tcW w:w="1233" w:type="pct"/>
          </w:tcPr>
          <w:p w:rsidR="00245D0E" w:rsidRPr="00245D0E" w:rsidRDefault="00245D0E" w:rsidP="00245D0E">
            <w:pPr>
              <w:pStyle w:val="AERtabletextleft"/>
            </w:pPr>
            <w:r>
              <w:t>15</w:t>
            </w:r>
            <w:r w:rsidRPr="00245D0E">
              <w:t xml:space="preserve"> business days prior the 6th business day of February each year.</w:t>
            </w:r>
            <w:r w:rsidRPr="00245D0E">
              <w:rPr>
                <w:rStyle w:val="FootnoteReference"/>
              </w:rPr>
              <w:footnoteReference w:id="716"/>
            </w:r>
            <w:r w:rsidRPr="00245D0E">
              <w:t xml:space="preserve"> </w:t>
            </w:r>
          </w:p>
        </w:tc>
        <w:tc>
          <w:tcPr>
            <w:tcW w:w="1527" w:type="pct"/>
          </w:tcPr>
          <w:p w:rsidR="00245D0E" w:rsidRPr="00245D0E" w:rsidRDefault="00245D0E" w:rsidP="00245D0E">
            <w:pPr>
              <w:pStyle w:val="AERtabletextleft"/>
            </w:pPr>
            <w:r w:rsidRPr="00616FA2">
              <w:t>Averaging period ends on or before this date</w:t>
            </w:r>
          </w:p>
        </w:tc>
        <w:tc>
          <w:tcPr>
            <w:tcW w:w="1867" w:type="pct"/>
          </w:tcPr>
          <w:p w:rsidR="00245D0E" w:rsidRPr="00245D0E" w:rsidRDefault="00245D0E" w:rsidP="00245D0E">
            <w:pPr>
              <w:pStyle w:val="AERtabletextleft"/>
            </w:pPr>
            <w:r w:rsidRPr="00616FA2">
              <w:t xml:space="preserve">We determine the maximum practical end date of the averaging </w:t>
            </w:r>
            <w:r w:rsidRPr="00245D0E">
              <w:t>period from the timing of step 2.</w:t>
            </w:r>
          </w:p>
        </w:tc>
      </w:tr>
      <w:tr w:rsidR="00245D0E" w:rsidRPr="00616FA2" w:rsidTr="00E85C2D">
        <w:trPr>
          <w:cnfStyle w:val="000000010000" w:firstRow="0" w:lastRow="0" w:firstColumn="0" w:lastColumn="0" w:oddVBand="0" w:evenVBand="0" w:oddHBand="0" w:evenHBand="1" w:firstRowFirstColumn="0" w:firstRowLastColumn="0" w:lastRowFirstColumn="0" w:lastRowLastColumn="0"/>
        </w:trPr>
        <w:tc>
          <w:tcPr>
            <w:tcW w:w="374" w:type="pct"/>
          </w:tcPr>
          <w:p w:rsidR="00245D0E" w:rsidRPr="00245D0E" w:rsidRDefault="00245D0E" w:rsidP="00245D0E">
            <w:pPr>
              <w:pStyle w:val="AERtabletextleft"/>
            </w:pPr>
            <w:r w:rsidRPr="00616FA2">
              <w:t>2</w:t>
            </w:r>
          </w:p>
        </w:tc>
        <w:tc>
          <w:tcPr>
            <w:tcW w:w="1233" w:type="pct"/>
          </w:tcPr>
          <w:p w:rsidR="00245D0E" w:rsidRPr="00245D0E" w:rsidRDefault="00245D0E" w:rsidP="00245D0E">
            <w:pPr>
              <w:pStyle w:val="AERtabletextleft"/>
            </w:pPr>
            <w:r>
              <w:t xml:space="preserve">The </w:t>
            </w:r>
            <w:r w:rsidRPr="00245D0E">
              <w:t>6th business day of February each year.</w:t>
            </w:r>
          </w:p>
        </w:tc>
        <w:tc>
          <w:tcPr>
            <w:tcW w:w="1527" w:type="pct"/>
          </w:tcPr>
          <w:p w:rsidR="00245D0E" w:rsidRPr="00245D0E" w:rsidRDefault="00245D0E" w:rsidP="00245D0E">
            <w:pPr>
              <w:pStyle w:val="AERtabletextleft"/>
            </w:pPr>
            <w:r w:rsidRPr="00616FA2">
              <w:t xml:space="preserve">So </w:t>
            </w:r>
            <w:r w:rsidRPr="00245D0E">
              <w:t>AusNet Services can factor this into its transmission prices, we inform it of updates on the return on debt, annual building block revenue requirement and X factor</w:t>
            </w:r>
            <w:r w:rsidRPr="00245D0E" w:rsidDel="00665E6A">
              <w:t xml:space="preserve"> </w:t>
            </w:r>
            <w:r w:rsidRPr="00245D0E">
              <w:t>that incorporates the updated return on debt</w:t>
            </w:r>
            <w:r w:rsidRPr="00245D0E" w:rsidDel="00665E6A">
              <w:t xml:space="preserve"> </w:t>
            </w:r>
          </w:p>
        </w:tc>
        <w:tc>
          <w:tcPr>
            <w:tcW w:w="1867" w:type="pct"/>
          </w:tcPr>
          <w:p w:rsidR="00245D0E" w:rsidRPr="00245D0E" w:rsidRDefault="00245D0E" w:rsidP="00245D0E">
            <w:pPr>
              <w:pStyle w:val="AERtabletextleft"/>
            </w:pPr>
            <w:r w:rsidRPr="00616FA2">
              <w:t>15 business days between steps 1 and 2 provides sufficient time for us to calculate (and provide quality assurance checks on) the updated return on debt, revenue and X factor.</w:t>
            </w:r>
          </w:p>
        </w:tc>
      </w:tr>
    </w:tbl>
    <w:p w:rsidR="00245D0E" w:rsidRDefault="00245D0E" w:rsidP="00245D0E">
      <w:pPr>
        <w:pStyle w:val="AERtablesource"/>
      </w:pPr>
      <w:r>
        <w:t xml:space="preserve">Source: </w:t>
      </w:r>
      <w:r>
        <w:tab/>
        <w:t>AER analysis.</w:t>
      </w:r>
    </w:p>
    <w:p w:rsidR="00245D0E" w:rsidRDefault="00245D0E" w:rsidP="00CC7A1C">
      <w:pPr>
        <w:numPr>
          <w:ilvl w:val="0"/>
          <w:numId w:val="24"/>
        </w:numPr>
      </w:pPr>
      <w:r>
        <w:t xml:space="preserve">Service providers typically require notification of their updated return on debt allowance and updated annual revenue requirement as these are relevant factors in determining prices for regulated services. As such, in previous determinations, we have </w:t>
      </w:r>
      <w:r w:rsidRPr="00A3151D">
        <w:t>linked our annual debt updating timelines to annual pricing approval/ publication timelines.</w:t>
      </w:r>
      <w:r>
        <w:rPr>
          <w:rStyle w:val="FootnoteReference"/>
        </w:rPr>
        <w:footnoteReference w:id="717"/>
      </w:r>
    </w:p>
    <w:p w:rsidR="00245D0E" w:rsidRDefault="00245D0E" w:rsidP="00245D0E">
      <w:r w:rsidRPr="004F2787">
        <w:t xml:space="preserve">AusNet is required </w:t>
      </w:r>
      <w:r>
        <w:t xml:space="preserve">under the NER </w:t>
      </w:r>
      <w:r w:rsidRPr="004F2787">
        <w:t xml:space="preserve">to publish </w:t>
      </w:r>
      <w:r>
        <w:t>its</w:t>
      </w:r>
      <w:r w:rsidRPr="004F2787">
        <w:t xml:space="preserve"> transmission prices by 15 May for </w:t>
      </w:r>
      <w:r>
        <w:t xml:space="preserve">prices to apply in </w:t>
      </w:r>
      <w:r w:rsidRPr="004F2787">
        <w:t>the period 1 July to 30 June</w:t>
      </w:r>
      <w:r>
        <w:t>.</w:t>
      </w:r>
      <w:r w:rsidRPr="00F72B1A">
        <w:rPr>
          <w:rStyle w:val="FootnoteReference"/>
        </w:rPr>
        <w:t xml:space="preserve"> </w:t>
      </w:r>
      <w:r>
        <w:rPr>
          <w:rStyle w:val="FootnoteReference"/>
        </w:rPr>
        <w:footnoteReference w:id="718"/>
      </w:r>
      <w:r>
        <w:t xml:space="preserve"> For AusNet Services, this process occurs after the start of each regulatory year on 1 April. AusNet Services submitted that it requires notification of its updated return on debt allowance prior to the start of each regulatory year. This is because AusNet Services typically provides updated charges information to generators and distribution businesses at or prior to the start of the regulatory year for charges to apply in the April–June period.</w:t>
      </w:r>
      <w:r>
        <w:rPr>
          <w:rStyle w:val="FootnoteReference"/>
        </w:rPr>
        <w:footnoteReference w:id="719"/>
      </w:r>
    </w:p>
    <w:p w:rsidR="00245D0E" w:rsidRDefault="00245D0E" w:rsidP="00245D0E">
      <w:r>
        <w:t xml:space="preserve">In this </w:t>
      </w:r>
      <w:r w:rsidRPr="004F2787">
        <w:t xml:space="preserve">draft decision we </w:t>
      </w:r>
      <w:r>
        <w:t xml:space="preserve">propose to </w:t>
      </w:r>
      <w:r w:rsidRPr="004F2787">
        <w:t xml:space="preserve">complete our annual update debt process by </w:t>
      </w:r>
      <w:r w:rsidRPr="00062D9F">
        <w:t>the 6th business day of February</w:t>
      </w:r>
      <w:r>
        <w:t>. This will allow AusNet to finalise</w:t>
      </w:r>
      <w:r w:rsidRPr="004F2787">
        <w:t xml:space="preserve"> transmission prices and </w:t>
      </w:r>
      <w:r>
        <w:t>notify</w:t>
      </w:r>
      <w:r w:rsidRPr="004F2787">
        <w:t xml:space="preserve"> </w:t>
      </w:r>
      <w:r>
        <w:t>its customers of updated charges. Additionally, we consider this is consistent with the period for notifying other service providers of their updated</w:t>
      </w:r>
      <w:r w:rsidRPr="000E04F3">
        <w:t xml:space="preserve"> </w:t>
      </w:r>
      <w:r>
        <w:t xml:space="preserve">return on </w:t>
      </w:r>
      <w:r w:rsidRPr="000E04F3">
        <w:t>debt allowance</w:t>
      </w:r>
      <w:r>
        <w:t xml:space="preserve"> prior to the start of the regulatory year. </w:t>
      </w:r>
    </w:p>
    <w:p w:rsidR="00245D0E" w:rsidRPr="00E761F9" w:rsidRDefault="00245D0E" w:rsidP="00245D0E">
      <w:r w:rsidRPr="004057C7">
        <w:t xml:space="preserve">The timing of </w:t>
      </w:r>
      <w:r>
        <w:t>publishing</w:t>
      </w:r>
      <w:r w:rsidRPr="004057C7">
        <w:t xml:space="preserve"> </w:t>
      </w:r>
      <w:r>
        <w:t>transmission</w:t>
      </w:r>
      <w:r w:rsidRPr="004057C7">
        <w:t xml:space="preserve"> prices </w:t>
      </w:r>
      <w:r>
        <w:t>affects</w:t>
      </w:r>
      <w:r w:rsidRPr="004057C7">
        <w:t xml:space="preserve"> how late an averaging period can end and still be implemented in practice.</w:t>
      </w:r>
      <w:r>
        <w:t xml:space="preserve"> In order to implement the </w:t>
      </w:r>
      <w:r w:rsidRPr="00E761F9">
        <w:t xml:space="preserve">process outlined in </w:t>
      </w:r>
      <w:r>
        <w:fldChar w:fldCharType="begin"/>
      </w:r>
      <w:r>
        <w:instrText xml:space="preserve"> REF _Ref417964671 \h </w:instrText>
      </w:r>
      <w:r>
        <w:fldChar w:fldCharType="separate"/>
      </w:r>
      <w:r w:rsidR="006B4A74" w:rsidRPr="00A870A6">
        <w:t xml:space="preserve">Table </w:t>
      </w:r>
      <w:r w:rsidR="006B4A74">
        <w:rPr>
          <w:noProof/>
        </w:rPr>
        <w:t>3</w:t>
      </w:r>
      <w:r w:rsidR="006B4A74">
        <w:noBreakHyphen/>
      </w:r>
      <w:r w:rsidR="006B4A74">
        <w:rPr>
          <w:noProof/>
        </w:rPr>
        <w:t>45</w:t>
      </w:r>
      <w:r>
        <w:fldChar w:fldCharType="end"/>
      </w:r>
      <w:r w:rsidRPr="00E761F9">
        <w:t xml:space="preserve">, we consider an averaging period for estimating </w:t>
      </w:r>
      <w:r>
        <w:t>AusNet Services' allowed</w:t>
      </w:r>
      <w:r w:rsidRPr="00E761F9">
        <w:t xml:space="preserve"> return on debt for regulatory year t should fall within the following timeframe:</w:t>
      </w:r>
    </w:p>
    <w:p w:rsidR="00245D0E" w:rsidRPr="00E761F9" w:rsidRDefault="00245D0E" w:rsidP="00245D0E">
      <w:pPr>
        <w:pStyle w:val="AERbulletlistfirststyle"/>
      </w:pPr>
      <w:r w:rsidRPr="00E761F9">
        <w:t xml:space="preserve">end no later than </w:t>
      </w:r>
      <w:r>
        <w:t>15</w:t>
      </w:r>
      <w:r w:rsidRPr="00E761F9">
        <w:t xml:space="preserve"> business days before </w:t>
      </w:r>
      <w:r>
        <w:t xml:space="preserve">the </w:t>
      </w:r>
      <w:r w:rsidRPr="00AC72AE">
        <w:t>6th business day of February</w:t>
      </w:r>
      <w:r>
        <w:t xml:space="preserve"> in regulatory year t-1</w:t>
      </w:r>
    </w:p>
    <w:p w:rsidR="00245D0E" w:rsidRPr="00E761F9" w:rsidRDefault="00245D0E" w:rsidP="00245D0E">
      <w:pPr>
        <w:pStyle w:val="AERbulletlistfirststyle"/>
      </w:pPr>
      <w:r w:rsidRPr="00E761F9">
        <w:t xml:space="preserve">commence no earlier than 12 months plus </w:t>
      </w:r>
      <w:r>
        <w:t>15</w:t>
      </w:r>
      <w:r w:rsidRPr="00E761F9">
        <w:t xml:space="preserve"> business days before </w:t>
      </w:r>
      <w:r w:rsidRPr="00AC72AE">
        <w:t xml:space="preserve">the 6th business day of February </w:t>
      </w:r>
      <w:r>
        <w:t>in regulatory year t-1</w:t>
      </w:r>
      <w:r w:rsidRPr="00E761F9">
        <w:t>.</w:t>
      </w:r>
      <w:r w:rsidRPr="00E761F9">
        <w:rPr>
          <w:rStyle w:val="FootnoteReference"/>
        </w:rPr>
        <w:footnoteReference w:id="720"/>
      </w:r>
    </w:p>
    <w:p w:rsidR="00245D0E" w:rsidRDefault="00245D0E" w:rsidP="00CC7A1C">
      <w:pPr>
        <w:numPr>
          <w:ilvl w:val="0"/>
          <w:numId w:val="24"/>
        </w:numPr>
      </w:pPr>
      <w:r>
        <w:t xml:space="preserve">We assess AusNet's return on debt averaging periods against these criteria and other criteria in the 'averaging periods' section of 3.4.2 and in Appendix </w:t>
      </w:r>
      <w:r w:rsidR="00A847F7">
        <w:fldChar w:fldCharType="begin"/>
      </w:r>
      <w:r w:rsidR="00A847F7">
        <w:instrText xml:space="preserve"> REF _Ref456703498 \r \h </w:instrText>
      </w:r>
      <w:r w:rsidR="00A847F7">
        <w:fldChar w:fldCharType="separate"/>
      </w:r>
      <w:r w:rsidR="00A847F7">
        <w:t>M</w:t>
      </w:r>
      <w:r w:rsidR="00A847F7">
        <w:fldChar w:fldCharType="end"/>
      </w:r>
      <w:r>
        <w:t xml:space="preserve">. </w:t>
      </w:r>
    </w:p>
    <w:p w:rsidR="00245D0E" w:rsidRDefault="00245D0E" w:rsidP="00CC7A1C">
      <w:pPr>
        <w:numPr>
          <w:ilvl w:val="0"/>
          <w:numId w:val="24"/>
        </w:numPr>
      </w:pPr>
      <w:r>
        <w:t>W</w:t>
      </w:r>
      <w:r w:rsidRPr="00E761F9">
        <w:t xml:space="preserve">e are open to </w:t>
      </w:r>
      <w:r>
        <w:t>service providers</w:t>
      </w:r>
      <w:r w:rsidRPr="00E761F9">
        <w:t xml:space="preserve"> </w:t>
      </w:r>
      <w:r>
        <w:t>requesting</w:t>
      </w:r>
      <w:r w:rsidRPr="00E761F9">
        <w:t xml:space="preserve"> a </w:t>
      </w:r>
      <w:r>
        <w:t xml:space="preserve">different notification date than that outlined in step 2 of </w:t>
      </w:r>
      <w:r>
        <w:fldChar w:fldCharType="begin"/>
      </w:r>
      <w:r>
        <w:instrText xml:space="preserve"> REF _Ref417964671 \h </w:instrText>
      </w:r>
      <w:r>
        <w:fldChar w:fldCharType="separate"/>
      </w:r>
      <w:r w:rsidR="006B4A74" w:rsidRPr="00A870A6">
        <w:t xml:space="preserve">Table </w:t>
      </w:r>
      <w:r w:rsidR="006B4A74">
        <w:rPr>
          <w:noProof/>
        </w:rPr>
        <w:t>3</w:t>
      </w:r>
      <w:r w:rsidR="006B4A74">
        <w:noBreakHyphen/>
      </w:r>
      <w:r w:rsidR="006B4A74">
        <w:rPr>
          <w:noProof/>
        </w:rPr>
        <w:t>45</w:t>
      </w:r>
      <w:r>
        <w:fldChar w:fldCharType="end"/>
      </w:r>
      <w:r>
        <w:t xml:space="preserve"> if it better </w:t>
      </w:r>
      <w:r w:rsidRPr="00E761F9">
        <w:t>accommodate</w:t>
      </w:r>
      <w:r>
        <w:t>s</w:t>
      </w:r>
      <w:r w:rsidRPr="00E761F9">
        <w:t xml:space="preserve"> their internal processes. We note that a longer (or shorter) time period would move back (or forward) the </w:t>
      </w:r>
      <w:r>
        <w:t>timeframe in which an averaging period should fall</w:t>
      </w:r>
      <w:r w:rsidRPr="00E761F9">
        <w:t xml:space="preserve">. </w:t>
      </w:r>
    </w:p>
    <w:p w:rsidR="00245D0E" w:rsidRDefault="00245D0E" w:rsidP="00CC7A1C">
      <w:pPr>
        <w:numPr>
          <w:ilvl w:val="0"/>
          <w:numId w:val="24"/>
        </w:numPr>
      </w:pPr>
      <w:r w:rsidRPr="00E761F9">
        <w:t xml:space="preserve">The process outlined in </w:t>
      </w:r>
      <w:r>
        <w:fldChar w:fldCharType="begin"/>
      </w:r>
      <w:r>
        <w:instrText xml:space="preserve"> REF _Ref417964671 \h </w:instrText>
      </w:r>
      <w:r>
        <w:fldChar w:fldCharType="separate"/>
      </w:r>
      <w:r w:rsidR="006B4A74" w:rsidRPr="00A870A6">
        <w:t xml:space="preserve">Table </w:t>
      </w:r>
      <w:r w:rsidR="006B4A74">
        <w:rPr>
          <w:noProof/>
        </w:rPr>
        <w:t>3</w:t>
      </w:r>
      <w:r w:rsidR="006B4A74">
        <w:noBreakHyphen/>
      </w:r>
      <w:r w:rsidR="006B4A74">
        <w:rPr>
          <w:noProof/>
        </w:rPr>
        <w:t>45</w:t>
      </w:r>
      <w:r>
        <w:fldChar w:fldCharType="end"/>
      </w:r>
      <w:r>
        <w:t xml:space="preserve"> and the remainder of this section </w:t>
      </w:r>
      <w:r w:rsidRPr="00E761F9">
        <w:t xml:space="preserve">does not apply to the first regulatory year in the regulatory control period. This is because the </w:t>
      </w:r>
      <w:r>
        <w:t>transmission</w:t>
      </w:r>
      <w:r w:rsidRPr="00E761F9">
        <w:t xml:space="preserve"> determination will include the X factor for the first year, which will already incorporate the first year return on debt. Therefore, this process will generally apply to the subsequent years of a regulatory control period.</w:t>
      </w:r>
    </w:p>
    <w:p w:rsidR="00EF6D75" w:rsidRPr="00E761F9" w:rsidRDefault="00EF6D75" w:rsidP="00CC7A1C">
      <w:pPr>
        <w:numPr>
          <w:ilvl w:val="0"/>
          <w:numId w:val="24"/>
        </w:numPr>
      </w:pPr>
    </w:p>
    <w:p w:rsidR="0084079E" w:rsidRPr="004C69BA" w:rsidRDefault="0084079E" w:rsidP="004C69BA">
      <w:pPr>
        <w:pStyle w:val="Heading3"/>
      </w:pPr>
      <w:r w:rsidRPr="004C69BA">
        <w:t>Gearing ratio</w:t>
      </w:r>
    </w:p>
    <w:p w:rsidR="0084079E" w:rsidRDefault="0084079E">
      <w:r>
        <w:t>Our decision is to adopt a 60 per cent gearing ratio. This is consistent with the Guideline and AusNet Services' regulatory proposal.</w:t>
      </w:r>
      <w:r>
        <w:rPr>
          <w:rStyle w:val="FootnoteReference"/>
        </w:rPr>
        <w:footnoteReference w:id="721"/>
      </w:r>
    </w:p>
    <w:p w:rsidR="0084079E" w:rsidRDefault="0084079E">
      <w:r>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84079E" w:rsidRDefault="0084079E">
      <w:r>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primarily rely on the average of a sample of firms that are comparable to the benchmark efficient entity. In other words, we assume that the industry is, on average, efficient ant therefore use the industry average to guide our regulatory benchmark. </w:t>
      </w:r>
    </w:p>
    <w:p w:rsidR="0084079E" w:rsidRDefault="0085280E">
      <w:r>
        <w:t xml:space="preserve">We consider that the empirical evidence supports a gearing of 60 per cent. Average gearing levels from the 2009 WACC review are presented in </w:t>
      </w:r>
      <w:r w:rsidR="00F7227B">
        <w:fldChar w:fldCharType="begin"/>
      </w:r>
      <w:r w:rsidR="00F7227B">
        <w:instrText xml:space="preserve"> REF _Ref477350874 \h </w:instrText>
      </w:r>
      <w:r w:rsidR="00F7227B">
        <w:fldChar w:fldCharType="separate"/>
      </w:r>
      <w:r w:rsidR="006B4A74" w:rsidRPr="00E96F55">
        <w:t xml:space="preserve">Table </w:t>
      </w:r>
      <w:r w:rsidR="006B4A74">
        <w:rPr>
          <w:noProof/>
        </w:rPr>
        <w:t>3</w:t>
      </w:r>
      <w:r w:rsidR="006B4A74">
        <w:noBreakHyphen/>
      </w:r>
      <w:r w:rsidR="006B4A74">
        <w:rPr>
          <w:noProof/>
        </w:rPr>
        <w:t>20</w:t>
      </w:r>
      <w:r w:rsidR="00F7227B">
        <w:fldChar w:fldCharType="end"/>
      </w:r>
      <w:r>
        <w:t xml:space="preserv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 </w:t>
      </w:r>
    </w:p>
    <w:p w:rsidR="0085280E" w:rsidRPr="00E96F55" w:rsidRDefault="0085280E" w:rsidP="0085280E">
      <w:pPr>
        <w:pStyle w:val="Caption"/>
      </w:pPr>
      <w:bookmarkStart w:id="173" w:name="_Ref477350874"/>
      <w:bookmarkStart w:id="174" w:name="_Ref477350844"/>
      <w:r w:rsidRPr="00E96F55">
        <w:t xml:space="preserve">Table </w:t>
      </w:r>
      <w:fldSimple w:instr=" STYLEREF 1 \s ">
        <w:r w:rsidR="006B4A74">
          <w:rPr>
            <w:noProof/>
          </w:rPr>
          <w:t>3</w:t>
        </w:r>
      </w:fldSimple>
      <w:r w:rsidR="008F29C8">
        <w:noBreakHyphen/>
      </w:r>
      <w:fldSimple w:instr=" SEQ Table \* ARABIC \s 1 ">
        <w:r w:rsidR="006B4A74">
          <w:rPr>
            <w:noProof/>
          </w:rPr>
          <w:t>20</w:t>
        </w:r>
      </w:fldSimple>
      <w:bookmarkEnd w:id="173"/>
      <w:r w:rsidRPr="00E96F55">
        <w:tab/>
        <w:t>Averaging gearing ratio—Comparator set of firms</w:t>
      </w:r>
      <w:bookmarkEnd w:id="174"/>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85280E" w:rsidRPr="00E94496" w:rsidTr="002656D9">
        <w:trPr>
          <w:cnfStyle w:val="100000000000" w:firstRow="1" w:lastRow="0" w:firstColumn="0" w:lastColumn="0" w:oddVBand="0" w:evenVBand="0" w:oddHBand="0" w:evenHBand="0" w:firstRowFirstColumn="0" w:firstRowLastColumn="0" w:lastRowFirstColumn="0" w:lastRowLastColumn="0"/>
          <w:trHeight w:val="255"/>
          <w:tblHeader/>
        </w:trPr>
        <w:tc>
          <w:tcPr>
            <w:tcW w:w="1812" w:type="dxa"/>
            <w:noWrap/>
          </w:tcPr>
          <w:p w:rsidR="0085280E" w:rsidRPr="0085280E" w:rsidRDefault="0085280E" w:rsidP="0085280E">
            <w:r w:rsidRPr="00E96F55">
              <w:t>Year</w:t>
            </w:r>
          </w:p>
        </w:tc>
        <w:tc>
          <w:tcPr>
            <w:tcW w:w="1812" w:type="dxa"/>
            <w:noWrap/>
          </w:tcPr>
          <w:p w:rsidR="0085280E" w:rsidRPr="0085280E" w:rsidRDefault="0085280E" w:rsidP="0085280E">
            <w:r w:rsidRPr="00E96F55">
              <w:t xml:space="preserve">2009 WACC review </w:t>
            </w:r>
          </w:p>
          <w:p w:rsidR="0085280E" w:rsidRPr="0085280E" w:rsidRDefault="0085280E" w:rsidP="0085280E">
            <w:r w:rsidRPr="00E96F55">
              <w:t>2002–2007</w:t>
            </w:r>
            <w:r w:rsidRPr="0085280E">
              <w:rPr>
                <w:rStyle w:val="AERsuperscript"/>
              </w:rPr>
              <w:t>a</w:t>
            </w:r>
            <w:r w:rsidRPr="0085280E">
              <w:t xml:space="preserve"> </w:t>
            </w:r>
          </w:p>
        </w:tc>
        <w:tc>
          <w:tcPr>
            <w:tcW w:w="1813" w:type="dxa"/>
            <w:noWrap/>
          </w:tcPr>
          <w:p w:rsidR="0085280E" w:rsidRPr="0085280E" w:rsidRDefault="0085280E" w:rsidP="0085280E">
            <w:r w:rsidRPr="00E96F55">
              <w:t>Bloomberg    (market value)</w:t>
            </w:r>
          </w:p>
          <w:p w:rsidR="0085280E" w:rsidRPr="0085280E" w:rsidRDefault="0085280E" w:rsidP="0085280E">
            <w:r w:rsidRPr="00E96F55">
              <w:t>2002–2012            (full sample)</w:t>
            </w:r>
            <w:r w:rsidRPr="0085280E">
              <w:rPr>
                <w:rStyle w:val="AERsuperscript"/>
              </w:rPr>
              <w:t>b</w:t>
            </w:r>
          </w:p>
        </w:tc>
        <w:tc>
          <w:tcPr>
            <w:tcW w:w="1812" w:type="dxa"/>
          </w:tcPr>
          <w:p w:rsidR="0085280E" w:rsidRPr="0085280E" w:rsidRDefault="0085280E" w:rsidP="0085280E">
            <w:r w:rsidRPr="00E96F55">
              <w:t>Bloomberg    (market value)</w:t>
            </w:r>
          </w:p>
          <w:p w:rsidR="0085280E" w:rsidRPr="0085280E" w:rsidRDefault="0085280E" w:rsidP="0085280E">
            <w:r w:rsidRPr="00E96F55">
              <w:t>2002–2012     (refined sample)</w:t>
            </w:r>
            <w:r w:rsidRPr="0085280E">
              <w:rPr>
                <w:rStyle w:val="AERsuperscript"/>
              </w:rPr>
              <w:t>c</w:t>
            </w:r>
          </w:p>
        </w:tc>
        <w:tc>
          <w:tcPr>
            <w:tcW w:w="1813" w:type="dxa"/>
          </w:tcPr>
          <w:p w:rsidR="0085280E" w:rsidRPr="0085280E" w:rsidRDefault="0085280E" w:rsidP="0085280E">
            <w:r w:rsidRPr="00E96F55">
              <w:t>Standard and Poor's (book value)</w:t>
            </w:r>
          </w:p>
          <w:p w:rsidR="0085280E" w:rsidRPr="0085280E" w:rsidRDefault="0085280E" w:rsidP="0085280E">
            <w:r w:rsidRPr="00E96F55">
              <w:t>2008–2012</w:t>
            </w:r>
            <w:r w:rsidRPr="0085280E">
              <w:rPr>
                <w:rStyle w:val="AERsuperscript"/>
              </w:rPr>
              <w:t>d</w:t>
            </w:r>
          </w:p>
        </w:tc>
      </w:tr>
      <w:tr w:rsidR="0085280E" w:rsidRPr="00E94496" w:rsidTr="00DC42C4">
        <w:trPr>
          <w:trHeight w:val="255"/>
        </w:trPr>
        <w:tc>
          <w:tcPr>
            <w:tcW w:w="1812" w:type="dxa"/>
            <w:noWrap/>
          </w:tcPr>
          <w:p w:rsidR="0085280E" w:rsidRPr="0085280E" w:rsidRDefault="0085280E" w:rsidP="0085280E">
            <w:r w:rsidRPr="00E96F55">
              <w:t>2002</w:t>
            </w:r>
          </w:p>
        </w:tc>
        <w:tc>
          <w:tcPr>
            <w:tcW w:w="1812" w:type="dxa"/>
            <w:noWrap/>
          </w:tcPr>
          <w:p w:rsidR="0085280E" w:rsidRPr="0085280E" w:rsidRDefault="0085280E" w:rsidP="0085280E">
            <w:r w:rsidRPr="00E96F55">
              <w:t>65.1</w:t>
            </w:r>
          </w:p>
        </w:tc>
        <w:tc>
          <w:tcPr>
            <w:tcW w:w="1813" w:type="dxa"/>
            <w:noWrap/>
          </w:tcPr>
          <w:p w:rsidR="0085280E" w:rsidRPr="0085280E" w:rsidRDefault="0085280E" w:rsidP="0085280E">
            <w:r w:rsidRPr="00E96F55">
              <w:t>54.5</w:t>
            </w:r>
          </w:p>
        </w:tc>
        <w:tc>
          <w:tcPr>
            <w:tcW w:w="1812" w:type="dxa"/>
          </w:tcPr>
          <w:p w:rsidR="0085280E" w:rsidRPr="0085280E" w:rsidRDefault="0085280E" w:rsidP="0085280E">
            <w:r w:rsidRPr="00E96F55">
              <w:t>65.8</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2003</w:t>
            </w:r>
          </w:p>
        </w:tc>
        <w:tc>
          <w:tcPr>
            <w:tcW w:w="1812" w:type="dxa"/>
            <w:noWrap/>
          </w:tcPr>
          <w:p w:rsidR="0085280E" w:rsidRPr="0085280E" w:rsidRDefault="0085280E" w:rsidP="0085280E">
            <w:r w:rsidRPr="00E96F55">
              <w:t>64.8</w:t>
            </w:r>
          </w:p>
        </w:tc>
        <w:tc>
          <w:tcPr>
            <w:tcW w:w="1813" w:type="dxa"/>
            <w:noWrap/>
          </w:tcPr>
          <w:p w:rsidR="0085280E" w:rsidRPr="0085280E" w:rsidRDefault="0085280E" w:rsidP="0085280E">
            <w:r w:rsidRPr="00E96F55">
              <w:t>51.8</w:t>
            </w:r>
          </w:p>
        </w:tc>
        <w:tc>
          <w:tcPr>
            <w:tcW w:w="1812" w:type="dxa"/>
          </w:tcPr>
          <w:p w:rsidR="0085280E" w:rsidRPr="0085280E" w:rsidRDefault="0085280E" w:rsidP="0085280E">
            <w:r w:rsidRPr="00E96F55">
              <w:t>60.5</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2004</w:t>
            </w:r>
          </w:p>
        </w:tc>
        <w:tc>
          <w:tcPr>
            <w:tcW w:w="1812" w:type="dxa"/>
            <w:noWrap/>
          </w:tcPr>
          <w:p w:rsidR="0085280E" w:rsidRPr="0085280E" w:rsidRDefault="0085280E" w:rsidP="0085280E">
            <w:r w:rsidRPr="00E96F55">
              <w:t>61.7</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55.1</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2005</w:t>
            </w:r>
          </w:p>
        </w:tc>
        <w:tc>
          <w:tcPr>
            <w:tcW w:w="1812" w:type="dxa"/>
            <w:noWrap/>
          </w:tcPr>
          <w:p w:rsidR="0085280E" w:rsidRPr="0085280E" w:rsidRDefault="0085280E" w:rsidP="0085280E">
            <w:r w:rsidRPr="00E96F55">
              <w:t>64.6</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62.6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2006</w:t>
            </w:r>
          </w:p>
        </w:tc>
        <w:tc>
          <w:tcPr>
            <w:tcW w:w="1812" w:type="dxa"/>
            <w:noWrap/>
          </w:tcPr>
          <w:p w:rsidR="0085280E" w:rsidRPr="0085280E" w:rsidRDefault="0085280E" w:rsidP="0085280E">
            <w:r w:rsidRPr="00E96F55">
              <w:t>63.0</w:t>
            </w:r>
          </w:p>
        </w:tc>
        <w:tc>
          <w:tcPr>
            <w:tcW w:w="1813" w:type="dxa"/>
            <w:noWrap/>
          </w:tcPr>
          <w:p w:rsidR="0085280E" w:rsidRPr="0085280E" w:rsidRDefault="0085280E" w:rsidP="0085280E">
            <w:r w:rsidRPr="00E96F55">
              <w:t>56.6</w:t>
            </w:r>
          </w:p>
        </w:tc>
        <w:tc>
          <w:tcPr>
            <w:tcW w:w="1812" w:type="dxa"/>
          </w:tcPr>
          <w:p w:rsidR="0085280E" w:rsidRPr="0085280E" w:rsidRDefault="0085280E" w:rsidP="0085280E">
            <w:r w:rsidRPr="00E96F55">
              <w:t>61.9</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2007</w:t>
            </w:r>
          </w:p>
        </w:tc>
        <w:tc>
          <w:tcPr>
            <w:tcW w:w="1812" w:type="dxa"/>
            <w:noWrap/>
          </w:tcPr>
          <w:p w:rsidR="0085280E" w:rsidRPr="0085280E" w:rsidRDefault="0085280E" w:rsidP="0085280E">
            <w:r w:rsidRPr="00E96F55">
              <w:t>60.5</w:t>
            </w:r>
          </w:p>
        </w:tc>
        <w:tc>
          <w:tcPr>
            <w:tcW w:w="1813" w:type="dxa"/>
            <w:noWrap/>
          </w:tcPr>
          <w:p w:rsidR="0085280E" w:rsidRPr="0085280E" w:rsidRDefault="0085280E" w:rsidP="0085280E">
            <w:r w:rsidRPr="00E96F55">
              <w:t>57.6</w:t>
            </w:r>
          </w:p>
        </w:tc>
        <w:tc>
          <w:tcPr>
            <w:tcW w:w="1812" w:type="dxa"/>
          </w:tcPr>
          <w:p w:rsidR="0085280E" w:rsidRPr="0085280E" w:rsidRDefault="0085280E" w:rsidP="0085280E">
            <w:r w:rsidRPr="00E96F55">
              <w:t>57.6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2008</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68.3</w:t>
            </w:r>
          </w:p>
        </w:tc>
        <w:tc>
          <w:tcPr>
            <w:tcW w:w="1812" w:type="dxa"/>
          </w:tcPr>
          <w:p w:rsidR="0085280E" w:rsidRPr="0085280E" w:rsidRDefault="0085280E" w:rsidP="0085280E">
            <w:r w:rsidRPr="00E96F55">
              <w:t>68.3</w:t>
            </w:r>
          </w:p>
        </w:tc>
        <w:tc>
          <w:tcPr>
            <w:tcW w:w="1813" w:type="dxa"/>
          </w:tcPr>
          <w:p w:rsidR="0085280E" w:rsidRPr="0085280E" w:rsidRDefault="0085280E" w:rsidP="0085280E">
            <w:r w:rsidRPr="00E96F55">
              <w:t>70</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2009</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68.8</w:t>
            </w:r>
          </w:p>
        </w:tc>
        <w:tc>
          <w:tcPr>
            <w:tcW w:w="1812" w:type="dxa"/>
          </w:tcPr>
          <w:p w:rsidR="0085280E" w:rsidRPr="0085280E" w:rsidRDefault="0085280E" w:rsidP="0085280E">
            <w:r w:rsidRPr="00E96F55">
              <w:t>68.8</w:t>
            </w:r>
          </w:p>
        </w:tc>
        <w:tc>
          <w:tcPr>
            <w:tcW w:w="1813" w:type="dxa"/>
          </w:tcPr>
          <w:p w:rsidR="0085280E" w:rsidRPr="0085280E" w:rsidRDefault="0085280E" w:rsidP="0085280E">
            <w:r w:rsidRPr="00E96F55">
              <w:t>69</w:t>
            </w:r>
          </w:p>
        </w:tc>
      </w:tr>
      <w:tr w:rsidR="0085280E" w:rsidRPr="00E94496" w:rsidTr="00DC42C4">
        <w:trPr>
          <w:trHeight w:val="255"/>
        </w:trPr>
        <w:tc>
          <w:tcPr>
            <w:tcW w:w="1812" w:type="dxa"/>
            <w:noWrap/>
          </w:tcPr>
          <w:p w:rsidR="0085280E" w:rsidRPr="0085280E" w:rsidRDefault="0085280E" w:rsidP="0085280E">
            <w:r w:rsidRPr="00E96F55">
              <w:t>2010</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65.5</w:t>
            </w:r>
          </w:p>
        </w:tc>
        <w:tc>
          <w:tcPr>
            <w:tcW w:w="1812" w:type="dxa"/>
          </w:tcPr>
          <w:p w:rsidR="0085280E" w:rsidRPr="0085280E" w:rsidRDefault="0085280E" w:rsidP="0085280E">
            <w:r w:rsidRPr="00E96F55">
              <w:t>65.5</w:t>
            </w:r>
          </w:p>
        </w:tc>
        <w:tc>
          <w:tcPr>
            <w:tcW w:w="1813" w:type="dxa"/>
          </w:tcPr>
          <w:p w:rsidR="0085280E" w:rsidRPr="0085280E" w:rsidRDefault="0085280E" w:rsidP="0085280E">
            <w:r w:rsidRPr="00E96F55">
              <w:t>66</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2011</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63.2</w:t>
            </w:r>
          </w:p>
        </w:tc>
        <w:tc>
          <w:tcPr>
            <w:tcW w:w="1812" w:type="dxa"/>
          </w:tcPr>
          <w:p w:rsidR="0085280E" w:rsidRPr="0085280E" w:rsidRDefault="0085280E" w:rsidP="0085280E">
            <w:r w:rsidRPr="00E96F55">
              <w:t>63.2</w:t>
            </w:r>
          </w:p>
        </w:tc>
        <w:tc>
          <w:tcPr>
            <w:tcW w:w="1813" w:type="dxa"/>
          </w:tcPr>
          <w:p w:rsidR="0085280E" w:rsidRPr="0085280E" w:rsidRDefault="0085280E" w:rsidP="0085280E">
            <w:r w:rsidRPr="00E96F55">
              <w:t>62</w:t>
            </w:r>
          </w:p>
        </w:tc>
      </w:tr>
      <w:tr w:rsidR="0085280E" w:rsidRPr="00E94496" w:rsidTr="00DC42C4">
        <w:trPr>
          <w:trHeight w:val="255"/>
        </w:trPr>
        <w:tc>
          <w:tcPr>
            <w:tcW w:w="1812" w:type="dxa"/>
            <w:noWrap/>
          </w:tcPr>
          <w:p w:rsidR="0085280E" w:rsidRPr="0085280E" w:rsidRDefault="0085280E" w:rsidP="0085280E">
            <w:r w:rsidRPr="00E96F55">
              <w:t>2012</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60.6</w:t>
            </w:r>
          </w:p>
        </w:tc>
        <w:tc>
          <w:tcPr>
            <w:tcW w:w="1812" w:type="dxa"/>
          </w:tcPr>
          <w:p w:rsidR="0085280E" w:rsidRPr="0085280E" w:rsidRDefault="0085280E" w:rsidP="0085280E">
            <w:r w:rsidRPr="00E96F55">
              <w:t>60.6</w:t>
            </w:r>
          </w:p>
        </w:tc>
        <w:tc>
          <w:tcPr>
            <w:tcW w:w="1813" w:type="dxa"/>
          </w:tcPr>
          <w:p w:rsidR="0085280E" w:rsidRPr="0085280E" w:rsidRDefault="0085280E" w:rsidP="0085280E">
            <w:r w:rsidRPr="00E96F55">
              <w:t>65</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Average</w:t>
            </w:r>
          </w:p>
        </w:tc>
        <w:tc>
          <w:tcPr>
            <w:tcW w:w="1812" w:type="dxa"/>
            <w:noWrap/>
          </w:tcPr>
          <w:p w:rsidR="0085280E" w:rsidRPr="0085280E" w:rsidRDefault="0085280E" w:rsidP="0085280E">
            <w:r w:rsidRPr="00E96F55">
              <w:t>63.3</w:t>
            </w:r>
          </w:p>
        </w:tc>
        <w:tc>
          <w:tcPr>
            <w:tcW w:w="1813" w:type="dxa"/>
            <w:noWrap/>
          </w:tcPr>
          <w:p w:rsidR="0085280E" w:rsidRPr="0085280E" w:rsidRDefault="0085280E" w:rsidP="0085280E">
            <w:r w:rsidRPr="00E96F55">
              <w:t>59.0</w:t>
            </w:r>
          </w:p>
        </w:tc>
        <w:tc>
          <w:tcPr>
            <w:tcW w:w="1812" w:type="dxa"/>
          </w:tcPr>
          <w:p w:rsidR="0085280E" w:rsidRPr="0085280E" w:rsidRDefault="0085280E" w:rsidP="0085280E">
            <w:r w:rsidRPr="00E96F55">
              <w:t>63.1</w:t>
            </w:r>
          </w:p>
        </w:tc>
        <w:tc>
          <w:tcPr>
            <w:tcW w:w="1813" w:type="dxa"/>
          </w:tcPr>
          <w:p w:rsidR="0085280E" w:rsidRPr="0085280E" w:rsidRDefault="0085280E" w:rsidP="0085280E">
            <w:r w:rsidRPr="00E96F55">
              <w:t>66</w:t>
            </w:r>
          </w:p>
        </w:tc>
      </w:tr>
    </w:tbl>
    <w:p w:rsidR="0085280E" w:rsidRPr="00E96F55" w:rsidRDefault="0085280E" w:rsidP="0085280E">
      <w:pPr>
        <w:pStyle w:val="AERtablesource"/>
      </w:pPr>
      <w:r w:rsidRPr="00E96F55">
        <w:t xml:space="preserve">Source: </w:t>
      </w:r>
      <w:r w:rsidRPr="00E96F55">
        <w:tab/>
        <w:t>AER analysis.</w:t>
      </w:r>
    </w:p>
    <w:p w:rsidR="0085280E" w:rsidRPr="00E96F55" w:rsidRDefault="0085280E" w:rsidP="0085280E">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85280E" w:rsidRPr="00E96F55" w:rsidRDefault="0085280E" w:rsidP="0085280E">
      <w:pPr>
        <w:pStyle w:val="AERtablesource"/>
      </w:pPr>
      <w:r w:rsidRPr="00E96F55">
        <w:tab/>
        <w:t>(b) Analysis including full sample of businesses.</w:t>
      </w:r>
    </w:p>
    <w:p w:rsidR="0085280E" w:rsidRPr="00E96F55" w:rsidRDefault="0085280E" w:rsidP="0085280E">
      <w:pPr>
        <w:pStyle w:val="AERtablesource"/>
      </w:pPr>
      <w:r w:rsidRPr="00E96F55">
        <w:tab/>
        <w:t>(c) AGL, Alinta and GasNet excluded from the analysis.</w:t>
      </w:r>
    </w:p>
    <w:p w:rsidR="00664172" w:rsidRDefault="00664172" w:rsidP="00A164C0">
      <w:pPr>
        <w:pStyle w:val="AERtablesource"/>
        <w:ind w:left="0" w:firstLine="0"/>
      </w:pPr>
      <w:r>
        <w:tab/>
      </w:r>
      <w:r w:rsidR="0085280E" w:rsidRPr="00E96F55">
        <w:t xml:space="preserve">(d) ERA, </w:t>
      </w:r>
      <w:r w:rsidR="0085280E" w:rsidRPr="00E96F55">
        <w:rPr>
          <w:rStyle w:val="AERtextitalic"/>
        </w:rPr>
        <w:t>Explanatory statement for the draft rate of return guidelines</w:t>
      </w:r>
      <w:r w:rsidR="0085280E" w:rsidRPr="00E96F55">
        <w:t>, 6 August 2013, p. 49.</w:t>
      </w:r>
    </w:p>
    <w:p w:rsidR="00F7227B" w:rsidRDefault="00F7227B" w:rsidP="00A164C0">
      <w:r>
        <w:t>The benchmark gearing ratio is used:</w:t>
      </w:r>
    </w:p>
    <w:p w:rsidR="00F7227B" w:rsidRDefault="00F7227B" w:rsidP="00F7227B">
      <w:pPr>
        <w:pStyle w:val="AERbulletlistfirststyle"/>
      </w:pPr>
      <w:r>
        <w:t>to weight the expected required return on debt and equity to derive a WACC</w:t>
      </w:r>
    </w:p>
    <w:p w:rsidR="00F7227B" w:rsidRDefault="00F7227B" w:rsidP="00F7227B">
      <w:pPr>
        <w:pStyle w:val="AERbulletlistfirststyle"/>
      </w:pPr>
      <w:r>
        <w:t xml:space="preserve">to re-lever the asset betas for the purposes of comparing the levels of systematic risk across business, and </w:t>
      </w:r>
    </w:p>
    <w:p w:rsidR="0085280E" w:rsidRDefault="00F7227B" w:rsidP="00A164C0">
      <w:pPr>
        <w:pStyle w:val="AERbulletlistfirststyle"/>
      </w:pPr>
      <w:r>
        <w:t>as a factor in estimating the benchmark credit rating.</w:t>
      </w:r>
      <w:r>
        <w:rPr>
          <w:rStyle w:val="FootnoteReference"/>
        </w:rPr>
        <w:footnoteReference w:id="722"/>
      </w:r>
    </w:p>
    <w:p w:rsidR="0084079E" w:rsidRPr="004C69BA" w:rsidRDefault="0084079E" w:rsidP="004C69BA">
      <w:pPr>
        <w:pStyle w:val="Heading3"/>
      </w:pPr>
      <w:bookmarkStart w:id="175" w:name="_Ref478721431"/>
      <w:bookmarkStart w:id="176" w:name="_Ref479832571"/>
      <w:bookmarkStart w:id="177" w:name="_Ref479832669"/>
      <w:bookmarkStart w:id="178" w:name="_Ref479832864"/>
      <w:r w:rsidRPr="004C69BA">
        <w:t>Expected Inflation rate</w:t>
      </w:r>
      <w:bookmarkEnd w:id="175"/>
      <w:bookmarkEnd w:id="176"/>
      <w:bookmarkEnd w:id="177"/>
      <w:bookmarkEnd w:id="178"/>
    </w:p>
    <w:p w:rsidR="00C93468" w:rsidRDefault="00C93468" w:rsidP="00C93468">
      <w:r>
        <w:t>Our estimate of expected inflation is 2.40 per cent. It is an estimate of the average annual rate of inflation expected over a ten year period.  We estimate expected inflation over this 10-year term to align with the term of the rate of return, and ensure that our rate of return is commensurate with efficient financing costs in both real and nominal terms.</w:t>
      </w:r>
    </w:p>
    <w:p w:rsidR="00C93468" w:rsidRDefault="00C93468" w:rsidP="00C93468">
      <w:r>
        <w:t xml:space="preserve">Our estimate of expected inflation is estimated as the geometric average of 10 annual expected inflation rates. We use the RBA's forecasts of inflation for the first two years of AusNet Services' </w:t>
      </w:r>
      <w:r w:rsidR="00076F97">
        <w:t>2017–22</w:t>
      </w:r>
      <w:r>
        <w:t xml:space="preserve"> regulatory period as the first two annual rates. We then use the mid-point of the RBA's inflation target band as the remaining eight annual rates. We applied this method - the RBA forecasts and target band approach - in our draft decision on AusNet Services' </w:t>
      </w:r>
      <w:r w:rsidR="00076F97">
        <w:t>2017–22</w:t>
      </w:r>
      <w:r>
        <w:t xml:space="preserve"> electricity transmission determination. We have applied this approach in all of our regulatory determinations since 2008. This is the method that is contained in the current version of the post-tax revenue model.</w:t>
      </w:r>
    </w:p>
    <w:p w:rsidR="00C93468" w:rsidRDefault="00C93468" w:rsidP="00C93468">
      <w:r>
        <w:t xml:space="preserve">We are required by the National Electricity Rules to apply the method for estimating expected inflation that is set out in our published post-tax revenue model and we have done so in this decision. </w:t>
      </w:r>
    </w:p>
    <w:p w:rsidR="00C93468" w:rsidRDefault="00C93468" w:rsidP="00C93468">
      <w:r>
        <w:t>AusNet Services proposed estimating expected inflation using the bond break-even approach. Under this approach, the</w:t>
      </w:r>
      <w:r w:rsidRPr="00DA5245">
        <w:t xml:space="preserve"> inflation rate is implied by the difference between the yields-to-maturity on 10-year nominal Commonwealth Government Securities (CGS</w:t>
      </w:r>
      <w:r>
        <w:t>, also referred to as Australian Government Securities or AGS</w:t>
      </w:r>
      <w:r w:rsidRPr="00DA5245">
        <w:t xml:space="preserve">) and 10-year indexed </w:t>
      </w:r>
      <w:r>
        <w:t xml:space="preserve">(inflation-linked) </w:t>
      </w:r>
      <w:r w:rsidRPr="00DA5245">
        <w:t>CGS.</w:t>
      </w:r>
      <w:r>
        <w:t xml:space="preserve"> AusNet Services' proposed approach results in a bond break-even inflation estimate of 1.86 per cent.</w:t>
      </w:r>
      <w:r>
        <w:rPr>
          <w:rStyle w:val="FootnoteReference"/>
        </w:rPr>
        <w:footnoteReference w:id="723"/>
      </w:r>
    </w:p>
    <w:p w:rsidR="00C93468" w:rsidRDefault="00C93468" w:rsidP="00C93468">
      <w:r>
        <w:t>AusNet Services submitted</w:t>
      </w:r>
      <w:r w:rsidRPr="00181A9D">
        <w:t xml:space="preserve"> that in making this transmission determination, it is open to us to apply an alternative method to that set out in our post-tax revenue model.</w:t>
      </w:r>
      <w:r w:rsidRPr="00181A9D">
        <w:rPr>
          <w:rStyle w:val="FootnoteReference"/>
        </w:rPr>
        <w:footnoteReference w:id="724"/>
      </w:r>
      <w:r>
        <w:t xml:space="preserve"> However, subsequent to AusNet Services' submission </w:t>
      </w:r>
      <w:r w:rsidRPr="009465B9">
        <w:t xml:space="preserve">the </w:t>
      </w:r>
      <w:r>
        <w:t xml:space="preserve">Australian Competition </w:t>
      </w:r>
      <w:r w:rsidRPr="009465B9">
        <w:t xml:space="preserve">Tribunal </w:t>
      </w:r>
      <w:r>
        <w:t xml:space="preserve">handed down its </w:t>
      </w:r>
      <w:r w:rsidRPr="009465B9">
        <w:t xml:space="preserve">October 2016 </w:t>
      </w:r>
      <w:r>
        <w:t>decision</w:t>
      </w:r>
      <w:r w:rsidRPr="009465B9">
        <w:t xml:space="preserve"> </w:t>
      </w:r>
      <w:r>
        <w:t xml:space="preserve">that </w:t>
      </w:r>
      <w:r w:rsidRPr="009465B9">
        <w:t>affirmed our view</w:t>
      </w:r>
      <w:r>
        <w:t xml:space="preserve"> on this issue in electricity determinations.  The post-tax revenue model is binding on both AusNet Services and the AER.</w:t>
      </w:r>
      <w:r w:rsidRPr="00F5324A">
        <w:rPr>
          <w:rStyle w:val="FootnoteReference"/>
        </w:rPr>
        <w:t xml:space="preserve"> </w:t>
      </w:r>
      <w:r w:rsidRPr="009465B9">
        <w:rPr>
          <w:rStyle w:val="FootnoteReference"/>
        </w:rPr>
        <w:footnoteReference w:id="725"/>
      </w:r>
      <w:r>
        <w:t xml:space="preserve"> </w:t>
      </w:r>
    </w:p>
    <w:p w:rsidR="00C93468" w:rsidRDefault="00C93468" w:rsidP="00C93468">
      <w:pPr>
        <w:pStyle w:val="HeadingItalic"/>
      </w:pPr>
      <w:bookmarkStart w:id="179" w:name="_Toc480460831"/>
      <w:r>
        <w:t>Review of the post-tax revenue model</w:t>
      </w:r>
      <w:bookmarkEnd w:id="179"/>
    </w:p>
    <w:p w:rsidR="00C93468" w:rsidRDefault="00C93468" w:rsidP="00C93468">
      <w:r>
        <w:t>We</w:t>
      </w:r>
      <w:r w:rsidRPr="009465B9">
        <w:t xml:space="preserve"> </w:t>
      </w:r>
      <w:r>
        <w:t>are about to conduct a review of the post-tax revenue model in accordance with the transmission and distribution consultation procedures.</w:t>
      </w:r>
    </w:p>
    <w:p w:rsidR="00C93468" w:rsidRDefault="00C93468" w:rsidP="00C93468">
      <w:r>
        <w:t>Since around mid-2015, some service providers have proposed departing from the RBA forecasts and target band approach contained in the post-tax revenue model and adopting the bond break-even approach.</w:t>
      </w:r>
      <w:r>
        <w:rPr>
          <w:rStyle w:val="FootnoteReference"/>
        </w:rPr>
        <w:footnoteReference w:id="726"/>
      </w:r>
      <w:r>
        <w:t xml:space="preserve"> This has not been universally proposed. A number of other stakeholders have submitted that we should retain the RBA forecasts and target band approach.</w:t>
      </w:r>
      <w:r>
        <w:rPr>
          <w:rStyle w:val="FootnoteReference"/>
        </w:rPr>
        <w:footnoteReference w:id="727"/>
      </w:r>
    </w:p>
    <w:p w:rsidR="00C93468" w:rsidRDefault="00C93468" w:rsidP="00C93468">
      <w:r>
        <w:t>On 15 December 2016 we indicated our intention to review our treatment of inflation in the post-tax revenue model, and on 1</w:t>
      </w:r>
      <w:r w:rsidR="000917F2">
        <w:t>8</w:t>
      </w:r>
      <w:r>
        <w:t xml:space="preserve"> April 2017 we released a discussion paper to initiate our review. </w:t>
      </w:r>
    </w:p>
    <w:p w:rsidR="00C93468" w:rsidRDefault="00C93468" w:rsidP="00C93468">
      <w:r>
        <w:t>Consistent with our industry-wide review of inflation and the universal application of our inflation estimate, we have taken a broad view to our assessment of approaches to estimating expected inflation. That is, our assessment is not restricted to the two methods currently proposed by stakeholders (the RBA forecasts and target band approach and the bond break-even approach). This ensures that we arrive at the best estimate of expected inflation. Consequently, we have also considered approaches based on zero-coupon inflation swaps and survey measures which are both well-recognised methods for estimating expected inflation.</w:t>
      </w:r>
      <w:r>
        <w:rPr>
          <w:rStyle w:val="FootnoteReference"/>
        </w:rPr>
        <w:footnoteReference w:id="728"/>
      </w:r>
    </w:p>
    <w:p w:rsidR="00C93468" w:rsidRDefault="00C93468" w:rsidP="00C93468">
      <w:r w:rsidRPr="00830517">
        <w:t xml:space="preserve">As </w:t>
      </w:r>
      <w:r>
        <w:t>market</w:t>
      </w:r>
      <w:r w:rsidRPr="00830517">
        <w:t xml:space="preserve"> expectations are unobservable, direct comparison of the relative accuracy of the</w:t>
      </w:r>
      <w:r>
        <w:t>se four</w:t>
      </w:r>
      <w:r w:rsidRPr="00830517">
        <w:t xml:space="preserve"> </w:t>
      </w:r>
      <w:r>
        <w:t>approaches</w:t>
      </w:r>
      <w:r w:rsidRPr="00830517">
        <w:t xml:space="preserve"> is not possible. Comparison of estimates from the different </w:t>
      </w:r>
      <w:r>
        <w:t>approaches</w:t>
      </w:r>
      <w:r w:rsidRPr="00830517">
        <w:t xml:space="preserve"> against inflation out</w:t>
      </w:r>
      <w:r>
        <w:t>comes may provide some insight—</w:t>
      </w:r>
      <w:r w:rsidRPr="00830517">
        <w:t>though expectations and outcomes may not be equivalent</w:t>
      </w:r>
      <w:r>
        <w:t>, an approach that can accurately predict outcomes may inform future expectations</w:t>
      </w:r>
      <w:r w:rsidRPr="00830517">
        <w:t xml:space="preserve">. </w:t>
      </w:r>
    </w:p>
    <w:p w:rsidR="00C93468" w:rsidRDefault="00C93468" w:rsidP="00C93468">
      <w:r>
        <w:t xml:space="preserve">Because direct comparison of accuracy is limited, we are left to examine academic studies of proxy measures and undertake qualitative consideration of the reliability, replicability, sensitivity, and susceptibility to bias of different estimation methods. </w:t>
      </w:r>
      <w:r w:rsidRPr="004D069F">
        <w:t>ACCC Working Paper #11</w:t>
      </w:r>
      <w:r>
        <w:t>, published on 1</w:t>
      </w:r>
      <w:r w:rsidR="000917F2">
        <w:t>8</w:t>
      </w:r>
      <w:r>
        <w:t xml:space="preserve"> April 2017</w:t>
      </w:r>
      <w:r w:rsidRPr="004D069F">
        <w:t>, comprehensively survey</w:t>
      </w:r>
      <w:r>
        <w:t>ed</w:t>
      </w:r>
      <w:r w:rsidRPr="004D069F">
        <w:t xml:space="preserve"> the available evidence on </w:t>
      </w:r>
      <w:r>
        <w:t xml:space="preserve">estimating inflation expectations and considered these issues. ACCC Working Paper #11 considered </w:t>
      </w:r>
      <w:r w:rsidRPr="004D069F">
        <w:t xml:space="preserve">the relative merits of </w:t>
      </w:r>
      <w:r>
        <w:t>estimating expected inflation via the RBA forecasts and target band approach, the bond break-even approach, zero-coupon inflation swaps, and surveys.  This will also be considered in the context of our review.</w:t>
      </w:r>
    </w:p>
    <w:p w:rsidR="00C93468" w:rsidRDefault="00C93468" w:rsidP="00C93468">
      <w:r>
        <w:t xml:space="preserve">Our review of the post-tax revenue model is yet to be concluded. Findings from the review cannot therefore be included in this final decision on AusNet Services' </w:t>
      </w:r>
      <w:r w:rsidR="00076F97">
        <w:t>2017–22</w:t>
      </w:r>
      <w:r>
        <w:t xml:space="preserve"> transmission determination. </w:t>
      </w:r>
    </w:p>
    <w:p w:rsidR="00C93468" w:rsidRDefault="00C93468" w:rsidP="00C93468">
      <w:r>
        <w:t>Nevertheless, we have examined the information that is currently before us, including ACCC Working Paper #11, to consider whether, if we had the power to adopt a different method for estimating inflation in this determination process, we would do so.</w:t>
      </w:r>
    </w:p>
    <w:p w:rsidR="00C93468" w:rsidRDefault="00C93468" w:rsidP="00C93468">
      <w:r>
        <w:t>This examination has necessarily been limited having regard to both the time available within the determination making process, and the fact that there has not been industry wide consideration of the issue. Our conclusions have to also therefore be seen within the limited context of this regulatory determination.  They do not indicate the likely result of the review we are currently undertaking.  In the context of that wider industry review, we expect we will have additional submissions and more complete analyses available to us.</w:t>
      </w:r>
    </w:p>
    <w:p w:rsidR="00C93468" w:rsidRDefault="00C93468" w:rsidP="00C93468">
      <w:r>
        <w:t>We consider the benefits and detriments of the different approaches in the information we have had access to in this determination process as follows</w:t>
      </w:r>
      <w:r w:rsidR="00F90E59">
        <w:t>, noting that this is based solely on the information before us in this determination process.  It will be subject to further and more comprehensive review with full stakeholder input in the upcoming PTRM review process.</w:t>
      </w:r>
    </w:p>
    <w:p w:rsidR="00C93468" w:rsidRPr="00DA5245" w:rsidRDefault="00C93468" w:rsidP="00C93468">
      <w:pPr>
        <w:pStyle w:val="ListNumber"/>
      </w:pPr>
      <w:r>
        <w:t>RBA forecasts and target</w:t>
      </w:r>
      <w:r w:rsidRPr="00DA5245">
        <w:t xml:space="preserve"> </w:t>
      </w:r>
      <w:r>
        <w:t>band</w:t>
      </w:r>
    </w:p>
    <w:p w:rsidR="00C93468" w:rsidRPr="00C93468" w:rsidRDefault="00C93468" w:rsidP="008F29C8">
      <w:pPr>
        <w:pStyle w:val="ListNumber"/>
        <w:numPr>
          <w:ilvl w:val="0"/>
          <w:numId w:val="0"/>
        </w:numPr>
        <w:ind w:left="340"/>
      </w:pPr>
      <w:r>
        <w:t>We consider</w:t>
      </w:r>
      <w:r w:rsidRPr="00C93468">
        <w:t xml:space="preserve"> this approach the simplest to apply, most transparent and easily replicable. Estimates from this approach tend towards the mid-point of the RBA's inflation target band, and the available evidence suggests that long-term inflation expectations are anchored to the RBA target band, relatively stable over time, and do not respond to surprises in short-term inflation outcomes. While the RBA's inflation targeting is perceived to be effective, and inflation expectations are anchored to the target band, this estimation method is likely to be unbiased.</w:t>
      </w:r>
      <w:r w:rsidRPr="00C93468">
        <w:rPr>
          <w:rStyle w:val="FootnoteReference"/>
        </w:rPr>
        <w:footnoteReference w:id="729"/>
      </w:r>
    </w:p>
    <w:p w:rsidR="00C93468" w:rsidRPr="00C93468" w:rsidRDefault="00C93468" w:rsidP="008F29C8">
      <w:pPr>
        <w:pStyle w:val="ListNumber"/>
        <w:numPr>
          <w:ilvl w:val="0"/>
          <w:numId w:val="0"/>
        </w:numPr>
        <w:ind w:left="340"/>
      </w:pPr>
      <w:r>
        <w:t xml:space="preserve">AusNet Services and CEG submitted that the RBA forecasts and target band approach is </w:t>
      </w:r>
      <w:r w:rsidRPr="00C93468">
        <w:t>unrealistically stable, may implausibly result in a negative real risk free rate, and will be biased upwards when inflation expectations are not anchored to the RBA target band (as CEG submits is currently the case). We consider that expectations most likely remain anchored to the RBA target band, resulting in relatively stable inflation expectations. We disagree that negative real risk free rates are implausible or that they cast doubt on the reliability of our approach. Our response to these issues is detailed further in appendix</w:t>
      </w:r>
      <w:r w:rsidR="00FA6320">
        <w:t xml:space="preserve"> </w:t>
      </w:r>
      <w:r w:rsidR="00FA6320">
        <w:fldChar w:fldCharType="begin"/>
      </w:r>
      <w:r w:rsidR="00FA6320">
        <w:instrText xml:space="preserve"> REF _Ref481066755 \r \h </w:instrText>
      </w:r>
      <w:r w:rsidR="00FA6320">
        <w:fldChar w:fldCharType="separate"/>
      </w:r>
      <w:r w:rsidR="00FA6320">
        <w:t>K</w:t>
      </w:r>
      <w:r w:rsidR="00FA6320">
        <w:fldChar w:fldCharType="end"/>
      </w:r>
      <w:r w:rsidRPr="00C93468">
        <w:t>.</w:t>
      </w:r>
    </w:p>
    <w:p w:rsidR="00C93468" w:rsidRPr="00DA5245" w:rsidRDefault="00C93468" w:rsidP="00C93468">
      <w:pPr>
        <w:pStyle w:val="ListNumber"/>
      </w:pPr>
      <w:r>
        <w:t>Inflation swaps</w:t>
      </w:r>
    </w:p>
    <w:p w:rsidR="00C93468" w:rsidRPr="00C93468" w:rsidRDefault="00C93468" w:rsidP="008F29C8">
      <w:pPr>
        <w:pStyle w:val="ListNumber"/>
        <w:numPr>
          <w:ilvl w:val="0"/>
          <w:numId w:val="0"/>
        </w:numPr>
        <w:ind w:left="340"/>
      </w:pPr>
      <w:r>
        <w:t>We consider</w:t>
      </w:r>
      <w:r w:rsidRPr="00C93468">
        <w:t xml:space="preserve"> inflation swaps may be a suitable method that is based on transactional market data (rather than survey data, such as the RBA inflation target method). However, there are a number of potential biases and risk premia that may be embedded into the swap-implied inflation rate that need to be considered when using this method. There are studies of US and UK inflation swaps which find that potentially the largest biases may be small or insignificant. There is some uncertainty whether biases and risk premia such as hedging costs in Australian inflation swaps are insignificant. There are no known decomposition studies of Australian inflation swap prices which may resolve this uncertainty.</w:t>
      </w:r>
      <w:r w:rsidRPr="00C93468">
        <w:rPr>
          <w:rStyle w:val="FootnoteReference"/>
        </w:rPr>
        <w:footnoteReference w:id="730"/>
      </w:r>
      <w:r w:rsidRPr="00C93468">
        <w:t xml:space="preserve"> In the absence of addressing these issues, it may not be better than the RBA target band approach. More detail on the issues with estimating inflation-swap implied inflation rates is in section </w:t>
      </w:r>
      <w:r w:rsidRPr="00C93468">
        <w:fldChar w:fldCharType="begin"/>
      </w:r>
      <w:r w:rsidRPr="00C93468">
        <w:instrText xml:space="preserve"> REF _Ref478559870 \r \h </w:instrText>
      </w:r>
      <w:r w:rsidRPr="00C93468">
        <w:fldChar w:fldCharType="separate"/>
      </w:r>
      <w:r w:rsidR="007858BF">
        <w:t>3.4.4.2</w:t>
      </w:r>
      <w:r w:rsidRPr="00C93468">
        <w:fldChar w:fldCharType="end"/>
      </w:r>
      <w:r w:rsidRPr="00C93468">
        <w:t xml:space="preserve"> below.</w:t>
      </w:r>
    </w:p>
    <w:p w:rsidR="00C93468" w:rsidRPr="00DA5245" w:rsidRDefault="00C93468" w:rsidP="00C93468">
      <w:pPr>
        <w:pStyle w:val="ListNumber"/>
      </w:pPr>
      <w:r>
        <w:t>Bond break-even</w:t>
      </w:r>
    </w:p>
    <w:p w:rsidR="00C93468" w:rsidRPr="00C93468" w:rsidRDefault="00C93468" w:rsidP="008F29C8">
      <w:pPr>
        <w:pStyle w:val="ListNumber"/>
        <w:numPr>
          <w:ilvl w:val="0"/>
          <w:numId w:val="0"/>
        </w:numPr>
        <w:ind w:left="340"/>
      </w:pPr>
      <w:r>
        <w:t>We consider</w:t>
      </w:r>
      <w:r w:rsidRPr="00C93468">
        <w:t xml:space="preserve"> bond break-even estimates contain a number of potential biases and risk premia that must be considered before using this method. There appear to be a greater number of potential biases and risk premia in bond break-even estimates than swap-implied estimates, and bond breakeven estimates are generally more volatile than swap-implied estimates. There is a lack of consensus on how to adjust for these risk premia.</w:t>
      </w:r>
      <w:r w:rsidRPr="00C93468">
        <w:rPr>
          <w:rStyle w:val="FootnoteReference"/>
        </w:rPr>
        <w:footnoteReference w:id="731"/>
      </w:r>
      <w:r w:rsidRPr="00C93468">
        <w:t xml:space="preserve"> Without addressing these issues, it may not be better than the RBA target band approach. More detail on the issues with estimating bond break-even inflation rates is in section </w:t>
      </w:r>
      <w:r w:rsidRPr="00C93468">
        <w:fldChar w:fldCharType="begin"/>
      </w:r>
      <w:r w:rsidRPr="00C93468">
        <w:instrText xml:space="preserve"> REF _Ref478559903 \r \h </w:instrText>
      </w:r>
      <w:r w:rsidRPr="00C93468">
        <w:fldChar w:fldCharType="separate"/>
      </w:r>
      <w:r w:rsidR="007858BF">
        <w:t>3.4.4.1</w:t>
      </w:r>
      <w:r w:rsidRPr="00C93468">
        <w:fldChar w:fldCharType="end"/>
      </w:r>
      <w:r w:rsidRPr="00C93468">
        <w:t xml:space="preserve"> below.</w:t>
      </w:r>
    </w:p>
    <w:p w:rsidR="00C93468" w:rsidRPr="00DA5245" w:rsidRDefault="00C93468" w:rsidP="00C93468">
      <w:pPr>
        <w:pStyle w:val="ListNumber"/>
      </w:pPr>
      <w:r>
        <w:t>Surveys</w:t>
      </w:r>
    </w:p>
    <w:p w:rsidR="00C93468" w:rsidRPr="00C93468" w:rsidRDefault="00C93468" w:rsidP="008F29C8">
      <w:pPr>
        <w:pStyle w:val="ListNumber"/>
        <w:numPr>
          <w:ilvl w:val="0"/>
          <w:numId w:val="0"/>
        </w:numPr>
        <w:ind w:left="340"/>
      </w:pPr>
      <w:r>
        <w:t>P</w:t>
      </w:r>
      <w:r w:rsidRPr="00C93468">
        <w:t>ublicly available survey data is limited to 2-year forecasts. Further, long-term inflation expectations appear anchored to the RBA's target band, therefore as long as this anchoring remains, a simpler and transparent approach would be to simply use the RBA target band.</w:t>
      </w:r>
      <w:r w:rsidRPr="00C93468">
        <w:rPr>
          <w:rStyle w:val="FootnoteReference"/>
        </w:rPr>
        <w:footnoteReference w:id="732"/>
      </w:r>
      <w:r w:rsidRPr="00C93468">
        <w:t xml:space="preserve"> </w:t>
      </w:r>
    </w:p>
    <w:p w:rsidR="00C93468" w:rsidRPr="00C93468" w:rsidRDefault="00C93468" w:rsidP="008F29C8">
      <w:pPr>
        <w:pStyle w:val="ListNumber"/>
        <w:numPr>
          <w:ilvl w:val="0"/>
          <w:numId w:val="0"/>
        </w:numPr>
        <w:ind w:left="340"/>
      </w:pPr>
      <w:r>
        <w:t xml:space="preserve">We also note that consideration of survey estimates at longer horizons </w:t>
      </w:r>
      <w:r w:rsidRPr="00C93468">
        <w:t xml:space="preserve">may be possible in the future and may rank above other methods since there is strong evidence that surveys closely reflect inflation expectations. </w:t>
      </w:r>
    </w:p>
    <w:p w:rsidR="00C93468" w:rsidRDefault="00C93468" w:rsidP="00C93468">
      <w:r>
        <w:t>M</w:t>
      </w:r>
      <w:r w:rsidRPr="00830517">
        <w:t>any studies of breakeven estimates use inflation swap rates or survey estimates as a benchmark to estimate the size of the liquidity premia in breakeven estimates.</w:t>
      </w:r>
      <w:r w:rsidRPr="00DA5245">
        <w:rPr>
          <w:rStyle w:val="FootnoteReference"/>
        </w:rPr>
        <w:footnoteReference w:id="733"/>
      </w:r>
      <w:r>
        <w:t xml:space="preserve"> This suggests that researchers hold an a-priori view that survey estimates and/or swap rates are a better estimate of market expected inflation than bond break-even estimates.</w:t>
      </w:r>
      <w:r>
        <w:rPr>
          <w:rStyle w:val="FootnoteReference"/>
        </w:rPr>
        <w:footnoteReference w:id="734"/>
      </w:r>
    </w:p>
    <w:p w:rsidR="00C93468" w:rsidRDefault="00C93468" w:rsidP="00C93468">
      <w:r>
        <w:t xml:space="preserve">We also consider </w:t>
      </w:r>
      <w:r w:rsidRPr="00830517">
        <w:t>that the model</w:t>
      </w:r>
      <w:r>
        <w:t xml:space="preserve">ling and estimation required to </w:t>
      </w:r>
      <w:r w:rsidRPr="00830517">
        <w:t xml:space="preserve">adjust breakeven </w:t>
      </w:r>
      <w:r>
        <w:t xml:space="preserve">and swap-implied </w:t>
      </w:r>
      <w:r w:rsidRPr="00830517">
        <w:t>estimates for potential biases and risk premia may be complex, contentious, and difficult to scrutinise.</w:t>
      </w:r>
      <w:r>
        <w:rPr>
          <w:rStyle w:val="FootnoteReference"/>
        </w:rPr>
        <w:footnoteReference w:id="735"/>
      </w:r>
      <w:r>
        <w:t xml:space="preserve"> In that case, these methods may be subject to higher potential for bias (than the RBA inflation target method) in proposed model specifications.  In any case, it emphasises the importance of fuller industry wide consultation before changing an approach to what is an industry wide measure.  </w:t>
      </w:r>
    </w:p>
    <w:p w:rsidR="00C93468" w:rsidRDefault="00C93468" w:rsidP="007858BF">
      <w:pPr>
        <w:pStyle w:val="Heading4"/>
      </w:pPr>
      <w:bookmarkStart w:id="180" w:name="_Ref478559903"/>
      <w:bookmarkStart w:id="181" w:name="_Toc480460832"/>
      <w:r>
        <w:t>Consideration of bond break-even inflation estimates</w:t>
      </w:r>
      <w:bookmarkEnd w:id="180"/>
      <w:bookmarkEnd w:id="181"/>
    </w:p>
    <w:p w:rsidR="00C93468" w:rsidRPr="001F3188" w:rsidRDefault="00C93468" w:rsidP="00C93468">
      <w:r>
        <w:t>The bond break-even inflation rate is calculated from</w:t>
      </w:r>
      <w:r w:rsidRPr="001F3188">
        <w:t xml:space="preserve"> the Fisher </w:t>
      </w:r>
      <w:r>
        <w:t>e</w:t>
      </w:r>
      <w:r w:rsidRPr="001F3188">
        <w:t>quation</w:t>
      </w:r>
      <w:r>
        <w:t>. The Fisher equation</w:t>
      </w:r>
      <w:r w:rsidRPr="001F3188">
        <w:t xml:space="preserve"> </w:t>
      </w:r>
      <w:r>
        <w:t>provides that:</w:t>
      </w:r>
    </w:p>
    <w:p w:rsidR="00C93468" w:rsidRPr="001F3188" w:rsidRDefault="00334917" w:rsidP="00C93468">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e>
        </m:d>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e>
        </m:d>
        <m:d>
          <m:dPr>
            <m:ctrlPr>
              <w:rPr>
                <w:rFonts w:ascii="Cambria Math" w:hAnsi="Cambria Math"/>
              </w:rPr>
            </m:ctrlPr>
          </m:dPr>
          <m:e>
            <m:r>
              <w:rPr>
                <w:rFonts w:ascii="Cambria Math" w:hAnsi="Cambria Math"/>
              </w:rPr>
              <m:t>1+expected inflation</m:t>
            </m:r>
          </m:e>
        </m:d>
        <m:r>
          <w:rPr>
            <w:rFonts w:ascii="Cambria Math" w:hAnsi="Cambria Math"/>
          </w:rPr>
          <m:t>-1</m:t>
        </m:r>
      </m:oMath>
      <w:r w:rsidR="00C93468">
        <w:t xml:space="preserve"> </w:t>
      </w:r>
      <w:r w:rsidR="00C93468">
        <w:tab/>
      </w:r>
    </w:p>
    <w:p w:rsidR="00C93468" w:rsidRDefault="00C93468" w:rsidP="00C93468">
      <w:r>
        <w:t>Therefore:</w:t>
      </w:r>
    </w:p>
    <w:p w:rsidR="00C93468" w:rsidRDefault="00C93468" w:rsidP="00C93468">
      <m:oMath>
        <m:r>
          <w:rPr>
            <w:rFonts w:ascii="Cambria Math" w:hAnsi="Cambria Math"/>
          </w:rPr>
          <m:t>expected inflation=</m:t>
        </m:r>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num>
          <m:den>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den>
        </m:f>
        <m:r>
          <w:rPr>
            <w:rFonts w:ascii="Cambria Math" w:hAnsi="Cambria Math"/>
          </w:rPr>
          <m:t>-1</m:t>
        </m:r>
      </m:oMath>
      <w:r w:rsidRPr="001F3188">
        <w:t xml:space="preserve">  </w:t>
      </w:r>
    </w:p>
    <w:p w:rsidR="00C93468" w:rsidRPr="00272C0C" w:rsidRDefault="00C93468" w:rsidP="00C93468">
      <w:r>
        <w:t>The yield to maturity (as a proxy for the interest rate) on the risk free asset (nominal and indexed CGS) is typically used to calculate break</w:t>
      </w:r>
      <w:r w:rsidRPr="00272C0C">
        <w:t xml:space="preserve">even inflation rates via the Fisher equation. </w:t>
      </w:r>
    </w:p>
    <w:p w:rsidR="00C93468" w:rsidRDefault="00C93468" w:rsidP="00C93468">
      <w:r>
        <w:t xml:space="preserve">The </w:t>
      </w:r>
      <w:r w:rsidRPr="00171594">
        <w:t>Fisher equation may not hold true</w:t>
      </w:r>
      <w:r>
        <w:t xml:space="preserve"> (or may need to be adjusted)</w:t>
      </w:r>
      <w:r w:rsidRPr="00171594">
        <w:t xml:space="preserve"> if there are risk premia, biases, or other distortions affecting the difference between nominal and real interest rates. </w:t>
      </w:r>
      <w:r>
        <w:t>The ACCC working paper #11 identified a number of potential biases, risk premia, and other issues that may affect bond breakeven inflation rates. These issues are outlined in</w:t>
      </w:r>
      <w:r w:rsidR="008F29C8">
        <w:t xml:space="preserve"> </w:t>
      </w:r>
      <w:r w:rsidR="008F29C8">
        <w:fldChar w:fldCharType="begin"/>
      </w:r>
      <w:r w:rsidR="008F29C8">
        <w:instrText xml:space="preserve"> REF _Ref474182633 \h </w:instrText>
      </w:r>
      <w:r w:rsidR="008F29C8">
        <w:fldChar w:fldCharType="separate"/>
      </w:r>
      <w:r w:rsidR="006B4A74">
        <w:t xml:space="preserve">Table </w:t>
      </w:r>
      <w:r w:rsidR="006B4A74">
        <w:rPr>
          <w:noProof/>
        </w:rPr>
        <w:t>3</w:t>
      </w:r>
      <w:r w:rsidR="006B4A74">
        <w:noBreakHyphen/>
      </w:r>
      <w:r w:rsidR="006B4A74">
        <w:rPr>
          <w:noProof/>
        </w:rPr>
        <w:t>21</w:t>
      </w:r>
      <w:r w:rsidR="008F29C8">
        <w:fldChar w:fldCharType="end"/>
      </w:r>
      <w:r>
        <w:t>.</w:t>
      </w:r>
    </w:p>
    <w:p w:rsidR="00C93468" w:rsidRPr="00C92826" w:rsidRDefault="008F29C8" w:rsidP="008F29C8">
      <w:pPr>
        <w:pStyle w:val="Caption"/>
      </w:pPr>
      <w:bookmarkStart w:id="182" w:name="_Ref474182633"/>
      <w:r>
        <w:t xml:space="preserve">Table </w:t>
      </w:r>
      <w:fldSimple w:instr=" STYLEREF 1 \s ">
        <w:r w:rsidR="006B4A74">
          <w:rPr>
            <w:noProof/>
          </w:rPr>
          <w:t>3</w:t>
        </w:r>
      </w:fldSimple>
      <w:r>
        <w:noBreakHyphen/>
      </w:r>
      <w:fldSimple w:instr=" SEQ Table \* ARABIC \s 1 ">
        <w:r w:rsidR="006B4A74">
          <w:rPr>
            <w:noProof/>
          </w:rPr>
          <w:t>21</w:t>
        </w:r>
      </w:fldSimple>
      <w:bookmarkEnd w:id="182"/>
      <w:r w:rsidR="00C93468">
        <w:t xml:space="preserve"> Issues with bond breakeven estimates</w:t>
      </w:r>
    </w:p>
    <w:tbl>
      <w:tblPr>
        <w:tblStyle w:val="AERTable-Text"/>
        <w:tblW w:w="5000" w:type="pct"/>
        <w:tblLook w:val="04A0" w:firstRow="1" w:lastRow="0" w:firstColumn="1" w:lastColumn="0" w:noHBand="0" w:noVBand="1"/>
      </w:tblPr>
      <w:tblGrid>
        <w:gridCol w:w="1808"/>
        <w:gridCol w:w="6885"/>
      </w:tblGrid>
      <w:tr w:rsidR="00C93468" w:rsidRPr="0036067E" w:rsidTr="002656D9">
        <w:trPr>
          <w:cnfStyle w:val="100000000000" w:firstRow="1" w:lastRow="0" w:firstColumn="0" w:lastColumn="0" w:oddVBand="0" w:evenVBand="0" w:oddHBand="0" w:evenHBand="0" w:firstRowFirstColumn="0" w:firstRowLastColumn="0" w:lastRowFirstColumn="0" w:lastRowLastColumn="0"/>
          <w:trHeight w:val="365"/>
          <w:tblHeader/>
        </w:trPr>
        <w:tc>
          <w:tcPr>
            <w:tcW w:w="1040" w:type="pct"/>
          </w:tcPr>
          <w:p w:rsidR="00C93468" w:rsidRPr="00C93468" w:rsidRDefault="00C93468" w:rsidP="00C93468">
            <w:pPr>
              <w:pStyle w:val="Tabletext"/>
            </w:pPr>
            <w:r>
              <w:t>Issue</w:t>
            </w:r>
          </w:p>
        </w:tc>
        <w:tc>
          <w:tcPr>
            <w:tcW w:w="3960" w:type="pct"/>
          </w:tcPr>
          <w:p w:rsidR="00C93468" w:rsidRPr="00C93468" w:rsidRDefault="00C93468" w:rsidP="00C93468">
            <w:pPr>
              <w:pStyle w:val="Tabletext"/>
            </w:pPr>
            <w:r>
              <w:t xml:space="preserve">Explanation </w:t>
            </w:r>
          </w:p>
        </w:tc>
      </w:tr>
      <w:tr w:rsidR="00C93468" w:rsidRPr="00BD56F3" w:rsidTr="00C93468">
        <w:trPr>
          <w:trHeight w:val="558"/>
        </w:trPr>
        <w:tc>
          <w:tcPr>
            <w:tcW w:w="1040" w:type="pct"/>
          </w:tcPr>
          <w:p w:rsidR="00C93468" w:rsidRPr="00C93468" w:rsidRDefault="00C93468" w:rsidP="00C93468">
            <w:pPr>
              <w:pStyle w:val="Tabletext"/>
              <w:rPr>
                <w:rStyle w:val="AERtextsize8"/>
              </w:rPr>
            </w:pPr>
            <w:r>
              <w:rPr>
                <w:rStyle w:val="AERtextsize8"/>
              </w:rPr>
              <w:t>Fitting a yield curve</w:t>
            </w:r>
          </w:p>
        </w:tc>
        <w:tc>
          <w:tcPr>
            <w:tcW w:w="3960" w:type="pct"/>
          </w:tcPr>
          <w:p w:rsidR="00C93468" w:rsidRPr="00C93468" w:rsidRDefault="00C93468" w:rsidP="00C93468">
            <w:pPr>
              <w:pStyle w:val="Tabletext"/>
              <w:rPr>
                <w:rStyle w:val="AERtextsize8"/>
              </w:rPr>
            </w:pPr>
            <w:r w:rsidRPr="00C82431">
              <w:rPr>
                <w:rStyle w:val="AERtextsize8"/>
              </w:rPr>
              <w:t xml:space="preserve">The approximate matching of 10 year maturities of nominal and indexed CGS is necessary for the calculation of the 10 year </w:t>
            </w:r>
            <w:r w:rsidRPr="00C93468">
              <w:rPr>
                <w:rStyle w:val="AERtextsize8"/>
              </w:rPr>
              <w:t xml:space="preserve">break-even inflation rate. However, a match of such maturities is unlikely to occur given the relatively few tenors of outstanding indexed CGS. Therefore, calculations of break-even estimates may require yield curve models to interpolate estimates of yields obtained from indexed and nominal CGS with different tenors. The consequence of using yield curve models is that the break-even estimates are unlikely to reflect mark-to-market expectations of inflation, and the estimates are likely to vary depending on the yield curve models chosen. Deacon and Derry (1994) and Deacon et al. (2004) find that break-even estimates may vary considerably depending on the yield curve models employed. </w:t>
            </w:r>
          </w:p>
        </w:tc>
      </w:tr>
      <w:tr w:rsidR="00C93468" w:rsidRPr="00BD56F3" w:rsidDel="00317EA4" w:rsidTr="00C93468">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C93468" w:rsidRPr="00C93468" w:rsidDel="00317EA4" w:rsidRDefault="00C93468" w:rsidP="00C93468">
            <w:pPr>
              <w:pStyle w:val="Tabletext"/>
              <w:rPr>
                <w:rStyle w:val="AERtextsize8"/>
              </w:rPr>
            </w:pPr>
            <w:r w:rsidRPr="00B84D66">
              <w:rPr>
                <w:rStyle w:val="AERtextsize8"/>
              </w:rPr>
              <w:t>Liquidity premia</w:t>
            </w:r>
          </w:p>
        </w:tc>
        <w:tc>
          <w:tcPr>
            <w:tcW w:w="3960" w:type="pct"/>
          </w:tcPr>
          <w:p w:rsidR="00C93468" w:rsidRPr="00C93468" w:rsidRDefault="00C93468" w:rsidP="00C93468">
            <w:pPr>
              <w:pStyle w:val="Tabletext"/>
              <w:rPr>
                <w:rStyle w:val="AERtextsize8"/>
              </w:rPr>
            </w:pPr>
            <w:r w:rsidRPr="00B84D66">
              <w:rPr>
                <w:rStyle w:val="AERtextsize8"/>
              </w:rPr>
              <w:t xml:space="preserve">Indexed CGS are likely to be substantially less liquid than nominal CGS. This implies that liquidity premia included in the yields on indexed CGS may be greater than the liquidity premia included in the yields on nominal CGS. The difference between liquidity premia, or the differential liquidity premia, is likely to drive a wedge between the </w:t>
            </w:r>
            <w:r w:rsidRPr="00C93468">
              <w:rPr>
                <w:rStyle w:val="AERtextsize8"/>
              </w:rPr>
              <w:t xml:space="preserve">bond break-even inflation estimates and inflation expectations. </w:t>
            </w:r>
          </w:p>
          <w:p w:rsidR="00C93468" w:rsidRPr="00C93468" w:rsidDel="00317EA4" w:rsidRDefault="00C93468" w:rsidP="00C93468">
            <w:pPr>
              <w:pStyle w:val="Tabletext"/>
              <w:rPr>
                <w:rStyle w:val="AERtextsize8"/>
              </w:rPr>
            </w:pPr>
            <w:r w:rsidRPr="00B84D66">
              <w:rPr>
                <w:rStyle w:val="AERtextsize8"/>
              </w:rPr>
              <w:t>The differential liquidity premia are likely to be greater during periods of uncertainty when investors’ appreciation of liquidity risk may have changed.  In such a situation, the yield spread between nominal bonds and inflation indexed bonds is likely to narrow – a narrowing that is caused by greater uncertainty, growing differential liquidity premia</w:t>
            </w:r>
            <w:r w:rsidRPr="00C93468">
              <w:rPr>
                <w:rStyle w:val="AERtextsize8"/>
              </w:rPr>
              <w:t>, and not necessarily a fall in inflation expectations.</w:t>
            </w:r>
          </w:p>
        </w:tc>
      </w:tr>
      <w:tr w:rsidR="00C93468" w:rsidRPr="00BD56F3" w:rsidDel="00317EA4" w:rsidTr="00C93468">
        <w:trPr>
          <w:trHeight w:val="558"/>
        </w:trPr>
        <w:tc>
          <w:tcPr>
            <w:tcW w:w="1040" w:type="pct"/>
          </w:tcPr>
          <w:p w:rsidR="00C93468" w:rsidRPr="00C93468" w:rsidDel="00317EA4" w:rsidRDefault="00C93468" w:rsidP="00C93468">
            <w:pPr>
              <w:pStyle w:val="Tabletext"/>
              <w:rPr>
                <w:rStyle w:val="AERtextsize8"/>
              </w:rPr>
            </w:pPr>
            <w:r w:rsidRPr="00B84D66">
              <w:rPr>
                <w:rStyle w:val="AERtextsize8"/>
              </w:rPr>
              <w:t>Inflation risk premia</w:t>
            </w:r>
          </w:p>
        </w:tc>
        <w:tc>
          <w:tcPr>
            <w:tcW w:w="3960" w:type="pct"/>
          </w:tcPr>
          <w:p w:rsidR="00C93468" w:rsidRPr="00C93468" w:rsidDel="00317EA4" w:rsidRDefault="00C93468" w:rsidP="00C93468">
            <w:pPr>
              <w:pStyle w:val="Tabletext"/>
              <w:rPr>
                <w:rStyle w:val="AERtextsize8"/>
              </w:rPr>
            </w:pPr>
            <w:r w:rsidRPr="00B84D66">
              <w:rPr>
                <w:rStyle w:val="AERtextsize8"/>
              </w:rPr>
              <w:t xml:space="preserve">The inﬂation risk premia arise because holders of nominal bonds are exposed to inﬂation risk, where there is a </w:t>
            </w:r>
            <w:r w:rsidRPr="00C93468">
              <w:rPr>
                <w:rStyle w:val="AERtextsize8"/>
              </w:rPr>
              <w:t>probability that the actual inflation rate will not match the expected inflation rate. As a result, nominal bondholders may demand compensation for bearing this risk. Inflation risk premia may be positive or negative, depending on whether there are concerns about inflation or deflation.</w:t>
            </w:r>
          </w:p>
        </w:tc>
      </w:tr>
      <w:tr w:rsidR="00C93468" w:rsidRPr="00BD56F3" w:rsidDel="00317EA4" w:rsidTr="00C93468">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C93468" w:rsidRPr="00C93468" w:rsidDel="00317EA4" w:rsidRDefault="00C93468" w:rsidP="00C93468">
            <w:pPr>
              <w:pStyle w:val="Tabletext"/>
              <w:rPr>
                <w:rStyle w:val="AERtextsize8"/>
              </w:rPr>
            </w:pPr>
            <w:r w:rsidRPr="00B84D66">
              <w:rPr>
                <w:rStyle w:val="AERtextsize8"/>
              </w:rPr>
              <w:t>Convexity Bias</w:t>
            </w:r>
          </w:p>
        </w:tc>
        <w:tc>
          <w:tcPr>
            <w:tcW w:w="3960" w:type="pct"/>
          </w:tcPr>
          <w:p w:rsidR="00C93468" w:rsidRPr="00C93468" w:rsidRDefault="00C93468" w:rsidP="00C93468">
            <w:pPr>
              <w:pStyle w:val="Tabletext"/>
              <w:rPr>
                <w:rStyle w:val="AERtextsize8"/>
              </w:rPr>
            </w:pPr>
            <w:r w:rsidRPr="00B84D66">
              <w:rPr>
                <w:rStyle w:val="AERtextsize8"/>
              </w:rPr>
              <w:t xml:space="preserve">Bond prices are a convex function of their respective yields. Therefore, if yields are volatile, giving effect to gains being larger than the losses, bond prices may rise. The rise in the bond prices push down their forward yields, below their expected future yields. The difference between forward yields and expected future yields on a bond is the ‘convexity effect’. The size of the convexity effect is likely to be different for nominal and indexed bonds. </w:t>
            </w:r>
          </w:p>
          <w:p w:rsidR="00C93468" w:rsidRPr="00C93468" w:rsidDel="00317EA4" w:rsidRDefault="00C93468" w:rsidP="00C93468">
            <w:pPr>
              <w:pStyle w:val="Tabletext"/>
              <w:rPr>
                <w:rStyle w:val="AERtextsize8"/>
              </w:rPr>
            </w:pPr>
            <w:r w:rsidRPr="00B84D66">
              <w:rPr>
                <w:rStyle w:val="AERtextsize8"/>
              </w:rPr>
              <w:t xml:space="preserve">The difference in the magnitude of the convexity effect for nominal and indexed bonds may result in the </w:t>
            </w:r>
            <w:r w:rsidRPr="00C93468">
              <w:rPr>
                <w:rStyle w:val="AERtextsize8"/>
              </w:rPr>
              <w:t>bond break-even inflation estimates departing from market expectations of inflation by the amount of a ‘convexity bias’ (other things unchanged). Convexity bias is sensitive to the relative volatility of forward yields on nominal and indexed bonds. Therefore, the scale of convexity bias estimates may change if relative forward yield volatilities change over time.</w:t>
            </w:r>
          </w:p>
        </w:tc>
      </w:tr>
      <w:tr w:rsidR="00C93468" w:rsidRPr="00BD56F3" w:rsidDel="00317EA4" w:rsidTr="00C93468">
        <w:trPr>
          <w:trHeight w:val="558"/>
        </w:trPr>
        <w:tc>
          <w:tcPr>
            <w:tcW w:w="1040" w:type="pct"/>
          </w:tcPr>
          <w:p w:rsidR="00C93468" w:rsidRPr="00C93468" w:rsidDel="00317EA4" w:rsidRDefault="00C93468" w:rsidP="00C93468">
            <w:pPr>
              <w:pStyle w:val="Tabletext"/>
              <w:rPr>
                <w:rStyle w:val="AERtextsize8"/>
              </w:rPr>
            </w:pPr>
            <w:r w:rsidRPr="00B84D66">
              <w:rPr>
                <w:rStyle w:val="AERtextsize8"/>
              </w:rPr>
              <w:t>Inflation indexation lag</w:t>
            </w:r>
          </w:p>
        </w:tc>
        <w:tc>
          <w:tcPr>
            <w:tcW w:w="3960" w:type="pct"/>
          </w:tcPr>
          <w:p w:rsidR="00C93468" w:rsidRPr="00C93468" w:rsidDel="00317EA4" w:rsidRDefault="00C93468" w:rsidP="00C93468">
            <w:pPr>
              <w:pStyle w:val="Tabletext"/>
              <w:rPr>
                <w:rStyle w:val="AERtextsize8"/>
              </w:rPr>
            </w:pPr>
            <w:r w:rsidRPr="00B84D66">
              <w:rPr>
                <w:rStyle w:val="AERtextsize8"/>
              </w:rPr>
              <w:t>A perfectly indexed CGS would pay a real coupon amount that is adjusted by the increase in the CPI between the issue date and the time of payment.  However, there are unavoidable lags between the actual movements in the CPI and adjustments of indexed bond cash flows. Indexation lag may result in the forward yields on indexed CGS being calculated on the basis of both historical inflation rates and expected future short term inflation rates. The effect of indexation lag on indexed CGS yields may be significant during periods of significantly above and below-trend inflation.</w:t>
            </w:r>
          </w:p>
        </w:tc>
      </w:tr>
      <w:tr w:rsidR="00C93468" w:rsidRPr="00BD56F3" w:rsidDel="00317EA4" w:rsidTr="00C93468">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C93468" w:rsidRPr="00C93468" w:rsidDel="00317EA4" w:rsidRDefault="00C93468" w:rsidP="00C93468">
            <w:pPr>
              <w:pStyle w:val="Tabletext"/>
              <w:rPr>
                <w:rStyle w:val="AERtextsize8"/>
              </w:rPr>
            </w:pPr>
            <w:r w:rsidRPr="00B84D66">
              <w:rPr>
                <w:rStyle w:val="AERtextsize8"/>
              </w:rPr>
              <w:t>Inflation risk premia in indexed bond yields: indexation lag premia</w:t>
            </w:r>
          </w:p>
        </w:tc>
        <w:tc>
          <w:tcPr>
            <w:tcW w:w="3960" w:type="pct"/>
          </w:tcPr>
          <w:p w:rsidR="00C93468" w:rsidRPr="00C93468" w:rsidDel="00317EA4" w:rsidRDefault="00C93468" w:rsidP="00C93468">
            <w:pPr>
              <w:pStyle w:val="Tabletext"/>
              <w:rPr>
                <w:rStyle w:val="AERtextsize8"/>
              </w:rPr>
            </w:pPr>
            <w:r w:rsidRPr="00B84D66">
              <w:rPr>
                <w:rStyle w:val="AERtextsize8"/>
              </w:rPr>
              <w:t xml:space="preserve">As a result of indexation lag, the real return on indexed bonds may be exposed to some inflation risk.  There is research which finds that inflation risk premia may be embedded in indexed bond yields to compensate investors for such risk. This is known as indexation lag risk premia. Risa (2001) finds that the yields on UK 10 year indexed bonds included an indexation lag risk premium of approximately 3.3 basis points.  However, Risa considers that this premium is not economically relevant in size. D’Amico et al. (2016) find an indexation lag premium on the yields on 10 year TIPS varies between –5 and 3 basis points.  </w:t>
            </w:r>
          </w:p>
        </w:tc>
      </w:tr>
      <w:tr w:rsidR="00C93468" w:rsidRPr="00BD56F3" w:rsidDel="00317EA4" w:rsidTr="00C93468">
        <w:trPr>
          <w:trHeight w:val="558"/>
        </w:trPr>
        <w:tc>
          <w:tcPr>
            <w:tcW w:w="1040" w:type="pct"/>
          </w:tcPr>
          <w:p w:rsidR="00C93468" w:rsidRPr="00C93468" w:rsidDel="00317EA4" w:rsidRDefault="00C93468" w:rsidP="00C93468">
            <w:pPr>
              <w:pStyle w:val="Tabletext"/>
              <w:rPr>
                <w:rStyle w:val="AERtextsize8"/>
              </w:rPr>
            </w:pPr>
            <w:r w:rsidRPr="00B84D66">
              <w:rPr>
                <w:rStyle w:val="AERtextsize8"/>
              </w:rPr>
              <w:t xml:space="preserve">Inflation risk premia in </w:t>
            </w:r>
            <w:r w:rsidRPr="00C93468">
              <w:rPr>
                <w:rStyle w:val="AERtextsize8"/>
              </w:rPr>
              <w:t>indexed bond yields: post-tax variability of indexed bond cash flows</w:t>
            </w:r>
          </w:p>
        </w:tc>
        <w:tc>
          <w:tcPr>
            <w:tcW w:w="3960" w:type="pct"/>
          </w:tcPr>
          <w:p w:rsidR="00C93468" w:rsidRPr="00C93468" w:rsidDel="00317EA4" w:rsidRDefault="00C93468" w:rsidP="00C93468">
            <w:pPr>
              <w:pStyle w:val="Tabletext"/>
              <w:rPr>
                <w:rStyle w:val="AERtextsize8"/>
              </w:rPr>
            </w:pPr>
            <w:r w:rsidRPr="00B84D66">
              <w:rPr>
                <w:rStyle w:val="AERtextsize8"/>
              </w:rPr>
              <w:t xml:space="preserve">Tax regimes in existence tend to cause post-tax real returns to remain uncertain even if pre-tax real yields are known. Since tax is levied on the nominal yield, not the real yield, the tax system reintroduces inflation risk for indexed bonds. Post-tax real yields may become uncertain and variable if inflation is uncertain.  If the demand for bonds is a function of their expected post-tax returns, pre-tax indexed bond yields may include inflation risk premia to compensate investors for the potential uncertainty of post-tax real returns. The existence of inflation risk premia in indexed bond yields may result in </w:t>
            </w:r>
            <w:r w:rsidRPr="00C93468">
              <w:rPr>
                <w:rStyle w:val="AERtextsize8"/>
              </w:rPr>
              <w:t>bond break-even inflation estimates departing from market expectations of inflation.</w:t>
            </w:r>
          </w:p>
        </w:tc>
      </w:tr>
      <w:tr w:rsidR="00C93468" w:rsidRPr="00BD56F3" w:rsidDel="00317EA4" w:rsidTr="00C93468">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C93468" w:rsidRPr="00C93468" w:rsidDel="00317EA4" w:rsidRDefault="00C93468" w:rsidP="00C93468">
            <w:pPr>
              <w:pStyle w:val="Tabletext"/>
              <w:rPr>
                <w:rStyle w:val="AERtextsize8"/>
              </w:rPr>
            </w:pPr>
            <w:r w:rsidRPr="00B84D66">
              <w:rPr>
                <w:rStyle w:val="AERtextsize8"/>
              </w:rPr>
              <w:t>Mismatched pattern of cash flows</w:t>
            </w:r>
          </w:p>
        </w:tc>
        <w:tc>
          <w:tcPr>
            <w:tcW w:w="3960" w:type="pct"/>
          </w:tcPr>
          <w:p w:rsidR="00C93468" w:rsidRPr="00C93468" w:rsidDel="00317EA4" w:rsidRDefault="00C93468" w:rsidP="00C93468">
            <w:pPr>
              <w:pStyle w:val="Tabletext"/>
              <w:rPr>
                <w:rStyle w:val="AERtextsize8"/>
              </w:rPr>
            </w:pPr>
            <w:r w:rsidRPr="00B84D66">
              <w:rPr>
                <w:rStyle w:val="AERtextsize8"/>
              </w:rPr>
              <w:t xml:space="preserve">Christensen et al. (2004) argue that even if nominal and indexed bonds have the same maturity, differences in the pattern of coupon payments (resulting in differences of duration and convexity of each bond) may expose each bond to different discount factors.  In real terms, the coupon payments on indexed bonds are fixed, while the coupon payments on nominal bonds decline in real terms over their maturity. Since cash flows that arrive later in time are discounted more heavily, the price of the indexed bond will be lower and therefore the BBIR may produce downwardly biased estimates of expected inflation.  Christensen et al. note that the size of this bias will not be constant through time since it is a function of the coupon and maturity of nominal and indexed bonds and the term structure of interest rates. They find that observed volatility of </w:t>
            </w:r>
            <w:r w:rsidRPr="00C93468">
              <w:rPr>
                <w:rStyle w:val="AERtextsize8"/>
              </w:rPr>
              <w:t xml:space="preserve">bond break-even estimates may be due to mismatched cash flows and not to changes in inflation expectations. </w:t>
            </w:r>
          </w:p>
        </w:tc>
      </w:tr>
      <w:tr w:rsidR="00C93468" w:rsidRPr="00BD56F3" w:rsidDel="00317EA4" w:rsidTr="00C93468">
        <w:trPr>
          <w:trHeight w:val="558"/>
        </w:trPr>
        <w:tc>
          <w:tcPr>
            <w:tcW w:w="1040" w:type="pct"/>
          </w:tcPr>
          <w:p w:rsidR="00C93468" w:rsidRPr="00C93468" w:rsidRDefault="00C93468" w:rsidP="00C93468">
            <w:pPr>
              <w:pStyle w:val="Tabletext"/>
              <w:rPr>
                <w:rStyle w:val="AERtextsize8"/>
              </w:rPr>
            </w:pPr>
            <w:r w:rsidRPr="00B84D66">
              <w:rPr>
                <w:rStyle w:val="AERtextsize8"/>
              </w:rPr>
              <w:t>Sensitivity to short term inflation expectations when calculated from coupon-paying  bonds</w:t>
            </w:r>
          </w:p>
        </w:tc>
        <w:tc>
          <w:tcPr>
            <w:tcW w:w="3960" w:type="pct"/>
          </w:tcPr>
          <w:p w:rsidR="00C93468" w:rsidRPr="00C93468" w:rsidRDefault="00C93468" w:rsidP="00C93468">
            <w:pPr>
              <w:pStyle w:val="Tabletext"/>
              <w:rPr>
                <w:rStyle w:val="AERtextsize8"/>
              </w:rPr>
            </w:pPr>
            <w:r w:rsidRPr="00B84D66">
              <w:rPr>
                <w:rStyle w:val="AERtextsize8"/>
              </w:rPr>
              <w:t xml:space="preserve">When </w:t>
            </w:r>
            <w:r w:rsidRPr="00C93468">
              <w:rPr>
                <w:rStyle w:val="AERtextsize8"/>
              </w:rPr>
              <w:t>bond break-even estimates are calculated from the yields on coupon-paying bonds, the estimates may become more sensitive to changes in short term inflation expectations compared to an approach that is calculated from yields on zero coupon bonds. As a result, if the term structure of inflation expectations is not flat, relatively volatile short term inflation expectations may change the bond break-even estimates, even if the long term market expectations of inflation are unchanged.</w:t>
            </w:r>
          </w:p>
        </w:tc>
      </w:tr>
      <w:tr w:rsidR="00C93468" w:rsidRPr="00BD56F3" w:rsidDel="00317EA4" w:rsidTr="00C93468">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C93468" w:rsidRPr="00C93468" w:rsidRDefault="00C93468" w:rsidP="00C93468">
            <w:pPr>
              <w:pStyle w:val="Tabletext"/>
              <w:rPr>
                <w:rStyle w:val="AERtextsize8"/>
              </w:rPr>
            </w:pPr>
            <w:r w:rsidRPr="00B84D66">
              <w:rPr>
                <w:rStyle w:val="AERtextsize8"/>
              </w:rPr>
              <w:t>Changes to the demand for and supply of indexed and nominal CGS that are unrelated to changes to inflation expectations</w:t>
            </w:r>
          </w:p>
        </w:tc>
        <w:tc>
          <w:tcPr>
            <w:tcW w:w="3960" w:type="pct"/>
          </w:tcPr>
          <w:p w:rsidR="00C93468" w:rsidRPr="00C93468" w:rsidRDefault="00C93468" w:rsidP="00C93468">
            <w:pPr>
              <w:pStyle w:val="Tabletext"/>
              <w:rPr>
                <w:rStyle w:val="AERtextsize8"/>
              </w:rPr>
            </w:pPr>
            <w:r w:rsidRPr="00B84D66">
              <w:rPr>
                <w:rStyle w:val="AERtextsize8"/>
              </w:rPr>
              <w:t xml:space="preserve">There may be changes to the demand for and supply of nominal and indexed CGS that are unrelated to changes in inflation expectations. As a result, relative yields and </w:t>
            </w:r>
            <w:r w:rsidRPr="00C93468">
              <w:rPr>
                <w:rStyle w:val="AERtextsize8"/>
              </w:rPr>
              <w:t>bond break-even inflation estimates may change even if the term structure of inflation expectations is unchanged. For example, changes to the relative supply of nominal and indexed CGS, changes to investor risk aversion, slow moving capital and capital availability may result in a movement of the relative yields that may be unrelated to changes in inflation expectations.</w:t>
            </w:r>
          </w:p>
        </w:tc>
      </w:tr>
      <w:tr w:rsidR="00C93468" w:rsidRPr="00BD56F3" w:rsidDel="00317EA4" w:rsidTr="00C93468">
        <w:trPr>
          <w:trHeight w:val="558"/>
        </w:trPr>
        <w:tc>
          <w:tcPr>
            <w:tcW w:w="1040" w:type="pct"/>
          </w:tcPr>
          <w:p w:rsidR="00C93468" w:rsidRPr="00C93468" w:rsidRDefault="00C93468" w:rsidP="00C93468">
            <w:pPr>
              <w:pStyle w:val="Tabletext"/>
              <w:rPr>
                <w:rStyle w:val="AERtextsize8"/>
              </w:rPr>
            </w:pPr>
            <w:r w:rsidRPr="00B84D66">
              <w:rPr>
                <w:rStyle w:val="AERtextsize8"/>
              </w:rPr>
              <w:t>The effect of the deflation floor on the yields of indexed CGS</w:t>
            </w:r>
          </w:p>
        </w:tc>
        <w:tc>
          <w:tcPr>
            <w:tcW w:w="3960" w:type="pct"/>
          </w:tcPr>
          <w:p w:rsidR="00C93468" w:rsidRPr="00C93468" w:rsidRDefault="00C93468" w:rsidP="00C93468">
            <w:pPr>
              <w:pStyle w:val="Tabletext"/>
              <w:rPr>
                <w:rStyle w:val="AERtextsize8"/>
              </w:rPr>
            </w:pPr>
            <w:r w:rsidRPr="00B84D66">
              <w:rPr>
                <w:rStyle w:val="AERtextsize8"/>
              </w:rPr>
              <w:t xml:space="preserve">Indexed CGS have a ‘deflation floor’ – coupon interest payments will not be based on a capital value less than the face value and payment of the principal cannot fall below the face value. If deflation becomes a concern, the deflation protection of indexed CGS becomes valuable, pushing up indexed CGS prices and reducing indexed CGS yields. During such episodes, the effect of the deflation floor </w:t>
            </w:r>
            <w:r w:rsidRPr="00C93468">
              <w:rPr>
                <w:rStyle w:val="AERtextsize8"/>
              </w:rPr>
              <w:t>on indexed CGS may influence bond break-even estimates. For the US, D’Amico et al. (2016) identify the effect of the deflation floor as a potential driver of bond break-even estimates. They find that the deflation floor affects the yields on 10 year TIPS by about 5 basis points during normal times but widening to -20 basis points during the recent crisis.</w:t>
            </w:r>
          </w:p>
        </w:tc>
      </w:tr>
      <w:tr w:rsidR="00C93468" w:rsidRPr="00BD56F3" w:rsidDel="00317EA4" w:rsidTr="00C93468">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C93468" w:rsidRPr="00C93468" w:rsidRDefault="00C93468" w:rsidP="00C93468">
            <w:pPr>
              <w:pStyle w:val="Tabletext"/>
              <w:rPr>
                <w:rStyle w:val="AERtextsize8"/>
              </w:rPr>
            </w:pPr>
            <w:r w:rsidRPr="00B84D66">
              <w:rPr>
                <w:rStyle w:val="AERtextsize8"/>
              </w:rPr>
              <w:t>Personal price indices and the substitution effect</w:t>
            </w:r>
          </w:p>
        </w:tc>
        <w:tc>
          <w:tcPr>
            <w:tcW w:w="3960" w:type="pct"/>
          </w:tcPr>
          <w:p w:rsidR="00C93468" w:rsidRPr="00C93468" w:rsidRDefault="00C93468" w:rsidP="00C93468">
            <w:pPr>
              <w:pStyle w:val="Tabletext"/>
              <w:rPr>
                <w:rStyle w:val="AERtextsize8"/>
              </w:rPr>
            </w:pPr>
            <w:r w:rsidRPr="00B84D66">
              <w:rPr>
                <w:rStyle w:val="AERtextsize8"/>
              </w:rPr>
              <w:t xml:space="preserve">In their estimates of the </w:t>
            </w:r>
            <w:r w:rsidRPr="00C93468">
              <w:rPr>
                <w:rStyle w:val="AERtextsize8"/>
              </w:rPr>
              <w:t>bond break-even inflation rate for the US, Christensen and Gillan (2012) find that the inflation risk premium in the estimates remained negative even after maximally correcting for the liquidity premium. Christensen and Gillan argue that this may be due to TIPS yields being higher than they otherwise would be for two reasons. Firstly, the CPI may overstate true inflation outcomes because the substitution effects have not been considered. Secondly, the personal price index of investors may be different to the CPI and therefore TIPS are only a partial hedge for inflation risk. Consequently, investors may demand a risk premium for the remaining exposure to an imperfect inflation hedge.  The influence of the substitution effect and personal price indices on indexed bond yields may result in bond break-even inflation estimates departing from market expectations of inflation.</w:t>
            </w:r>
          </w:p>
        </w:tc>
      </w:tr>
    </w:tbl>
    <w:p w:rsidR="00C93468" w:rsidRPr="003F16D8" w:rsidRDefault="00C93468" w:rsidP="00C93468">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68-69. </w:t>
      </w:r>
      <w:r w:rsidRPr="003F16D8">
        <w:rPr>
          <w:rStyle w:val="AERtextsize8"/>
        </w:rPr>
        <w:t xml:space="preserve"> </w:t>
      </w:r>
    </w:p>
    <w:p w:rsidR="00C93468" w:rsidRDefault="00C93468" w:rsidP="00C93468">
      <w:r>
        <w:t>AusNet Services and CEG submitted that:</w:t>
      </w:r>
    </w:p>
    <w:p w:rsidR="00C93468" w:rsidRDefault="00C93468" w:rsidP="00C93468">
      <w:pPr>
        <w:pStyle w:val="AERbulletlistfirststyle"/>
      </w:pPr>
      <w:r>
        <w:t>Bond break-even estimates provide a more direct market measure of expected inflation than the RBA forecasts and target band approach,</w:t>
      </w:r>
    </w:p>
    <w:p w:rsidR="00C93468" w:rsidRDefault="00C93468" w:rsidP="00C93468">
      <w:pPr>
        <w:pStyle w:val="AERbulletlistfirststyle"/>
      </w:pPr>
      <w:r>
        <w:t>Academic literature suggests that biases and risk premia in bond break-even estimates are likely to be immaterial, and</w:t>
      </w:r>
    </w:p>
    <w:p w:rsidR="00C93468" w:rsidRDefault="00C93468" w:rsidP="00C93468">
      <w:pPr>
        <w:pStyle w:val="AERbulletlistfirststyle"/>
      </w:pPr>
      <w:r>
        <w:t>Inflation outcomes suggest that the bond break-even approach is more accurate predictor of outcomes, and therefore a greater influence on expected inflation, than the RBA forecasts and target band approach.</w:t>
      </w:r>
    </w:p>
    <w:p w:rsidR="00C93468" w:rsidRDefault="00C93468" w:rsidP="00C93468">
      <w:r>
        <w:t xml:space="preserve">Our response to these issues is contained in appendices </w:t>
      </w:r>
      <w:r>
        <w:fldChar w:fldCharType="begin"/>
      </w:r>
      <w:r>
        <w:instrText xml:space="preserve"> REF _Ref478561466 \r \h </w:instrText>
      </w:r>
      <w:r>
        <w:fldChar w:fldCharType="separate"/>
      </w:r>
      <w:r w:rsidR="006B4A74">
        <w:t>K.2</w:t>
      </w:r>
      <w:r>
        <w:fldChar w:fldCharType="end"/>
      </w:r>
      <w:r>
        <w:t xml:space="preserve">, </w:t>
      </w:r>
      <w:r>
        <w:fldChar w:fldCharType="begin"/>
      </w:r>
      <w:r>
        <w:instrText xml:space="preserve"> REF _Ref478561468 \r \h </w:instrText>
      </w:r>
      <w:r>
        <w:fldChar w:fldCharType="separate"/>
      </w:r>
      <w:r w:rsidR="006B4A74">
        <w:t>K.3</w:t>
      </w:r>
      <w:r>
        <w:fldChar w:fldCharType="end"/>
      </w:r>
      <w:r>
        <w:t xml:space="preserve">, </w:t>
      </w:r>
      <w:r>
        <w:fldChar w:fldCharType="begin"/>
      </w:r>
      <w:r>
        <w:instrText xml:space="preserve"> REF _Ref478561470 \r \h </w:instrText>
      </w:r>
      <w:r>
        <w:fldChar w:fldCharType="separate"/>
      </w:r>
      <w:r w:rsidR="006B4A74">
        <w:t>K.4</w:t>
      </w:r>
      <w:r>
        <w:fldChar w:fldCharType="end"/>
      </w:r>
      <w:r>
        <w:t xml:space="preserve">, and </w:t>
      </w:r>
      <w:r>
        <w:fldChar w:fldCharType="begin"/>
      </w:r>
      <w:r>
        <w:instrText xml:space="preserve"> REF _Ref478561472 \r \h </w:instrText>
      </w:r>
      <w:r>
        <w:fldChar w:fldCharType="separate"/>
      </w:r>
      <w:r w:rsidR="006B4A74">
        <w:t>K.5</w:t>
      </w:r>
      <w:r>
        <w:fldChar w:fldCharType="end"/>
      </w:r>
      <w:r>
        <w:t xml:space="preserve">. </w:t>
      </w:r>
    </w:p>
    <w:p w:rsidR="00C93468" w:rsidRDefault="00C93468" w:rsidP="00C93468">
      <w:r>
        <w:t>Overall, we consider</w:t>
      </w:r>
      <w:r w:rsidRPr="00830517">
        <w:t xml:space="preserve"> that the scale and sign of potential biases and risk premia are unlikely to be robust to different study parameters, resulting in uncertainty over their net effect. The modelling and estimation required to adjust breakeven estimates for these potential biases and risk premia </w:t>
      </w:r>
      <w:r>
        <w:t>is likely to</w:t>
      </w:r>
      <w:r w:rsidRPr="00830517">
        <w:t xml:space="preserve"> be complex, contentious, and difficult to scrutinise. </w:t>
      </w:r>
      <w:r>
        <w:t>Even</w:t>
      </w:r>
      <w:r w:rsidRPr="00830517">
        <w:t xml:space="preserve"> if relevant data is available to estimate the historical impact of biases and risk premia on breakeven inflation rates, the time-varying nature of many </w:t>
      </w:r>
      <w:r>
        <w:t>of these</w:t>
      </w:r>
      <w:r w:rsidRPr="00830517">
        <w:t xml:space="preserve"> make it difficult to ascertain if the historical magnitude of the biases and risk premia is prevalent in current bond prices.</w:t>
      </w:r>
    </w:p>
    <w:p w:rsidR="00C93468" w:rsidRDefault="00C93468" w:rsidP="00C93468">
      <w:r w:rsidRPr="00830517">
        <w:t>The differences in the approaches to estimating premia and biases in breakeven estimates across studies may be due to limited data availability, but also be because the premia and biases are not yet well understood. For example, D’Amico et al. (2016) conclude that a better understanding of the determinants of liquidity premia and the sources of its variation is a topic for future research.</w:t>
      </w:r>
      <w:r w:rsidRPr="00B00238">
        <w:rPr>
          <w:rStyle w:val="FootnoteReference"/>
        </w:rPr>
        <w:footnoteReference w:id="736"/>
      </w:r>
      <w:r w:rsidRPr="00830517">
        <w:t xml:space="preserve"> Zarazaga (2010) states:</w:t>
      </w:r>
    </w:p>
    <w:p w:rsidR="00C93468" w:rsidRDefault="00C93468" w:rsidP="00C93468">
      <w:pPr>
        <w:pStyle w:val="AERquote"/>
        <w:rPr>
          <w:rStyle w:val="Emphasis"/>
        </w:rPr>
      </w:pPr>
      <w:r w:rsidRPr="00C93468">
        <w:rPr>
          <w:rStyle w:val="Emphasis"/>
        </w:rPr>
        <w:t>Current understanding of the determinants of government bond prices is too limited to establish with any confidence which fraction of the relatively large variations in inflation expectations indicators based on forward rates [implied from bond prices] can be attributed to actual changes in long-run inflation expectations and which to time-varying risk premia.</w:t>
      </w:r>
    </w:p>
    <w:p w:rsidR="00C93468" w:rsidRDefault="00C93468" w:rsidP="007858BF">
      <w:pPr>
        <w:pStyle w:val="Heading4"/>
      </w:pPr>
      <w:bookmarkStart w:id="183" w:name="_Ref478559870"/>
      <w:bookmarkStart w:id="184" w:name="_Toc480460833"/>
      <w:r>
        <w:t>Consideration of inflation estimates implied from zero-coupon inflation swaps</w:t>
      </w:r>
      <w:bookmarkEnd w:id="183"/>
      <w:bookmarkEnd w:id="184"/>
    </w:p>
    <w:p w:rsidR="00C93468" w:rsidRDefault="00C93468" w:rsidP="00C93468">
      <w:r w:rsidRPr="000A25E5">
        <w:t xml:space="preserve">In an inflation rate swap, </w:t>
      </w:r>
      <w:r>
        <w:t>counterparties</w:t>
      </w:r>
      <w:r w:rsidRPr="000A25E5">
        <w:t xml:space="preserve"> agree to exchange payments that are linked to </w:t>
      </w:r>
      <w:r>
        <w:t>a</w:t>
      </w:r>
      <w:r w:rsidRPr="000A25E5">
        <w:t xml:space="preserve"> predetermined fixed inflation rate and actual inflation </w:t>
      </w:r>
      <w:r>
        <w:t>outcomes</w:t>
      </w:r>
      <w:r w:rsidRPr="000A25E5">
        <w:t>.</w:t>
      </w:r>
      <w:r>
        <w:t xml:space="preserve"> Counterparty A pays Counterparty B the pre-determined fixed rate (multiplied by an agreed base amount) at the maturity of the swap agreement. Counterparty B pays Counterparty A the actual CPI inflation rate (multiplied by the base amount) that occurred over the term of the swap agreement.</w:t>
      </w:r>
      <w:r>
        <w:rPr>
          <w:rStyle w:val="FootnoteReference"/>
        </w:rPr>
        <w:footnoteReference w:id="737"/>
      </w:r>
    </w:p>
    <w:p w:rsidR="00C93468" w:rsidRDefault="00C93468" w:rsidP="00C93468">
      <w:r w:rsidRPr="00095EF2">
        <w:t>There are a number of inflation-linked swaps that may be traded in Australia. However, only data on zero coupon inflation swaps is currently available for the calculation of swap-implied expected inflation rates.</w:t>
      </w:r>
      <w:r>
        <w:t xml:space="preserve"> </w:t>
      </w:r>
      <w:r w:rsidRPr="00C312C9">
        <w:t>In Australia, the published zero coupon inflation swap rates are available for many more tenors than tenors for indexed CGS</w:t>
      </w:r>
      <w:r>
        <w:t xml:space="preserve"> (used in the calculation of breakeven estimates)</w:t>
      </w:r>
      <w:r w:rsidRPr="00C312C9">
        <w:t>. The published zero coupon inflation swap prices are available for 3 months, 6 months, 9 months and each year up to 10 years, and every 5 years from 10 years to 30 years. While there are many tenors for currently traded nominal CGS, there are only 7 outstanding tenors for indexed CGS up to approximately 24 years.</w:t>
      </w:r>
      <w:r>
        <w:t xml:space="preserve"> On this basis, inflation swaps may provide a better decomposition of market-implied forward inflation rates than the breakeven method. </w:t>
      </w:r>
    </w:p>
    <w:p w:rsidR="00C93468" w:rsidRDefault="00C93468" w:rsidP="00C93468">
      <w:r>
        <w:t xml:space="preserve">However, the ACCC working paper #11 also identified a number of potential biases and premia that may affect swap-implied inflation rates. These potential biases and premia are outlined in </w:t>
      </w:r>
      <w:r>
        <w:fldChar w:fldCharType="begin"/>
      </w:r>
      <w:r>
        <w:instrText xml:space="preserve"> REF _Ref474182634 \h </w:instrText>
      </w:r>
      <w:r>
        <w:fldChar w:fldCharType="separate"/>
      </w:r>
      <w:r w:rsidR="006B4A74">
        <w:t xml:space="preserve">Table </w:t>
      </w:r>
      <w:r w:rsidR="006B4A74">
        <w:rPr>
          <w:noProof/>
        </w:rPr>
        <w:t>3</w:t>
      </w:r>
      <w:r w:rsidR="006B4A74">
        <w:noBreakHyphen/>
      </w:r>
      <w:r w:rsidR="006B4A74">
        <w:rPr>
          <w:noProof/>
        </w:rPr>
        <w:t>22</w:t>
      </w:r>
      <w:r>
        <w:fldChar w:fldCharType="end"/>
      </w:r>
      <w:r>
        <w:t>.</w:t>
      </w:r>
    </w:p>
    <w:p w:rsidR="00C93468" w:rsidRPr="00DC4DA2" w:rsidRDefault="00C93468" w:rsidP="00C93468">
      <w:pPr>
        <w:pStyle w:val="Caption"/>
      </w:pPr>
      <w:bookmarkStart w:id="185" w:name="_Ref474182634"/>
      <w:bookmarkStart w:id="186" w:name="_Ref474340670"/>
      <w:r>
        <w:t xml:space="preserve">Table </w:t>
      </w:r>
      <w:fldSimple w:instr=" STYLEREF 1 \s ">
        <w:r w:rsidR="006B4A74">
          <w:rPr>
            <w:noProof/>
          </w:rPr>
          <w:t>3</w:t>
        </w:r>
      </w:fldSimple>
      <w:r w:rsidR="008F29C8">
        <w:noBreakHyphen/>
      </w:r>
      <w:fldSimple w:instr=" SEQ Table \* ARABIC \s 1 ">
        <w:r w:rsidR="006B4A74">
          <w:rPr>
            <w:noProof/>
          </w:rPr>
          <w:t>22</w:t>
        </w:r>
      </w:fldSimple>
      <w:bookmarkEnd w:id="185"/>
      <w:r w:rsidRPr="00DC4DA2">
        <w:t xml:space="preserve"> </w:t>
      </w:r>
      <w:r>
        <w:t>Issues with</w:t>
      </w:r>
      <w:r w:rsidRPr="00DC4DA2">
        <w:t xml:space="preserve"> </w:t>
      </w:r>
      <w:r>
        <w:t>swap-implied inflation rates</w:t>
      </w:r>
      <w:bookmarkEnd w:id="186"/>
    </w:p>
    <w:tbl>
      <w:tblPr>
        <w:tblStyle w:val="AERTable-Text"/>
        <w:tblW w:w="5000" w:type="pct"/>
        <w:tblLook w:val="04A0" w:firstRow="1" w:lastRow="0" w:firstColumn="1" w:lastColumn="0" w:noHBand="0" w:noVBand="1"/>
      </w:tblPr>
      <w:tblGrid>
        <w:gridCol w:w="1141"/>
        <w:gridCol w:w="7552"/>
      </w:tblGrid>
      <w:tr w:rsidR="00C93468" w:rsidRPr="0036067E" w:rsidTr="002656D9">
        <w:trPr>
          <w:cnfStyle w:val="100000000000" w:firstRow="1" w:lastRow="0" w:firstColumn="0" w:lastColumn="0" w:oddVBand="0" w:evenVBand="0" w:oddHBand="0" w:evenHBand="0" w:firstRowFirstColumn="0" w:firstRowLastColumn="0" w:lastRowFirstColumn="0" w:lastRowLastColumn="0"/>
          <w:trHeight w:val="365"/>
          <w:tblHeader/>
        </w:trPr>
        <w:tc>
          <w:tcPr>
            <w:tcW w:w="656" w:type="pct"/>
          </w:tcPr>
          <w:p w:rsidR="00C93468" w:rsidRPr="00C93468" w:rsidRDefault="00C93468" w:rsidP="00C93468">
            <w:pPr>
              <w:pStyle w:val="Tabletext"/>
            </w:pPr>
            <w:r w:rsidRPr="00DD24C5">
              <w:t>Bias</w:t>
            </w:r>
          </w:p>
        </w:tc>
        <w:tc>
          <w:tcPr>
            <w:tcW w:w="4344" w:type="pct"/>
          </w:tcPr>
          <w:p w:rsidR="00C93468" w:rsidRPr="00C93468" w:rsidRDefault="00C93468" w:rsidP="00C93468">
            <w:pPr>
              <w:pStyle w:val="Tabletext"/>
            </w:pPr>
            <w:r w:rsidRPr="00DD24C5">
              <w:t xml:space="preserve">Explanation </w:t>
            </w:r>
          </w:p>
        </w:tc>
      </w:tr>
      <w:tr w:rsidR="00C93468" w:rsidRPr="00BD56F3" w:rsidTr="00C93468">
        <w:trPr>
          <w:trHeight w:val="558"/>
        </w:trPr>
        <w:tc>
          <w:tcPr>
            <w:tcW w:w="656" w:type="pct"/>
          </w:tcPr>
          <w:p w:rsidR="00C93468" w:rsidRPr="00C93468" w:rsidRDefault="00C93468" w:rsidP="00C93468">
            <w:pPr>
              <w:pStyle w:val="Tabletext"/>
              <w:rPr>
                <w:rStyle w:val="AERtextsize8"/>
              </w:rPr>
            </w:pPr>
            <w:r w:rsidRPr="00DC4DA2">
              <w:rPr>
                <w:rStyle w:val="AERtextsize8"/>
              </w:rPr>
              <w:t xml:space="preserve">Hedging </w:t>
            </w:r>
            <w:r w:rsidRPr="00C93468">
              <w:rPr>
                <w:rStyle w:val="AERtextsize8"/>
              </w:rPr>
              <w:t>costs</w:t>
            </w:r>
          </w:p>
        </w:tc>
        <w:tc>
          <w:tcPr>
            <w:tcW w:w="4344" w:type="pct"/>
          </w:tcPr>
          <w:p w:rsidR="00C93468" w:rsidRPr="00C93468" w:rsidRDefault="00C93468" w:rsidP="00C93468">
            <w:pPr>
              <w:pStyle w:val="Tabletext"/>
              <w:rPr>
                <w:rStyle w:val="AERtextsize8"/>
              </w:rPr>
            </w:pPr>
            <w:r w:rsidRPr="00B17112">
              <w:rPr>
                <w:rStyle w:val="AERtextsize8"/>
              </w:rPr>
              <w:t>Likely to result in potential overestimates of expected inflation.</w:t>
            </w:r>
            <w:r w:rsidRPr="00C93468">
              <w:rPr>
                <w:rStyle w:val="AERtextsize8"/>
              </w:rPr>
              <w:t xml:space="preserve"> If there is greater demand for the fixed leg (those wishing to pay the fixed and receive the floating) than the floating leg (those wishing to pay the floating and received the fixed), dealers may hedge their short exposure in the swap market by taking offsetting exposures in other markets, such as bond markets.  In taking these positions dealers are likely to incur hedging costs. Hedging costs include all costs associated with opening, maintaining and closing positions in the market. The zero coupon inflation swap rate may be affected by the hedging costs incurred by swap dealers. Swap dealers may pass on these hedging costs in the form of higher inflation swap rate quotes. In this case, hedging costs may drive a wedge between the inflation swap rate and the market-expected inflation rate. The ACCC working paper #11 submits that academic literature suggests that hedging costs may be minor, but there are not many studies to support drawing robust conclusions. As the demand for the fixed and floating leg will change under different market conditions this bias is likely to be time varying.  </w:t>
            </w:r>
          </w:p>
        </w:tc>
      </w:tr>
      <w:tr w:rsidR="00C93468" w:rsidRPr="00BD56F3" w:rsidTr="00C93468">
        <w:trPr>
          <w:cnfStyle w:val="000000010000" w:firstRow="0" w:lastRow="0" w:firstColumn="0" w:lastColumn="0" w:oddVBand="0" w:evenVBand="0" w:oddHBand="0" w:evenHBand="1" w:firstRowFirstColumn="0" w:firstRowLastColumn="0" w:lastRowFirstColumn="0" w:lastRowLastColumn="0"/>
          <w:trHeight w:val="546"/>
        </w:trPr>
        <w:tc>
          <w:tcPr>
            <w:tcW w:w="656" w:type="pct"/>
          </w:tcPr>
          <w:p w:rsidR="00C93468" w:rsidRPr="00C93468" w:rsidRDefault="00C93468" w:rsidP="00C93468">
            <w:pPr>
              <w:pStyle w:val="Tabletext"/>
              <w:rPr>
                <w:rStyle w:val="AERtextsize8"/>
              </w:rPr>
            </w:pPr>
            <w:r w:rsidRPr="00DC4DA2">
              <w:rPr>
                <w:rStyle w:val="AERtextsize8"/>
              </w:rPr>
              <w:t>Inflation risk premium</w:t>
            </w:r>
          </w:p>
        </w:tc>
        <w:tc>
          <w:tcPr>
            <w:tcW w:w="4344" w:type="pct"/>
          </w:tcPr>
          <w:p w:rsidR="00C93468" w:rsidRPr="00C93468" w:rsidRDefault="00C93468" w:rsidP="00C93468">
            <w:pPr>
              <w:pStyle w:val="Tabletext"/>
              <w:rPr>
                <w:rStyle w:val="AERtextsize8"/>
              </w:rPr>
            </w:pPr>
            <w:r w:rsidRPr="00DC4DA2">
              <w:rPr>
                <w:rStyle w:val="AERtextsize8"/>
              </w:rPr>
              <w:t>Likely to result in potential overestimates of expected inflation.</w:t>
            </w:r>
            <w:r w:rsidRPr="00C93468">
              <w:rPr>
                <w:rStyle w:val="AERtextsize8"/>
              </w:rPr>
              <w:t xml:space="preserve"> There may be a number of arbitrage and transaction costs associated with hedging the short exposure in the inflation swap market. Hedging may also be imperfect because there may be mismatches in the timing, size and maturity of the cash flows. Hedgers seldom create a perfect hedge because the marginal cost of hedging rises sharply as the risk minimising hedge ratio is approached. The hedger will select a hedge that is less, perhaps substantially less, than the risk-minimising hedge ratio.</w:t>
            </w:r>
            <w:r w:rsidRPr="00C93468">
              <w:rPr>
                <w:rStyle w:val="FootnoteReference"/>
              </w:rPr>
              <w:footnoteReference w:id="738"/>
            </w:r>
            <w:r w:rsidRPr="00C93468">
              <w:rPr>
                <w:rStyle w:val="FootnoteReference"/>
              </w:rPr>
              <w:t xml:space="preserve"> </w:t>
            </w:r>
            <w:r w:rsidRPr="00C93468">
              <w:rPr>
                <w:rStyle w:val="AERtextsize8"/>
              </w:rPr>
              <w:t>As a result, swap dealers short in inflation swaps may still require an inflation risk premium to compensate them for inflation uncertainty that persists due to imperfect hedges, and this premium may be included in the published inflation swap rate. This potential bias is likely to be time-varying when inflation expectations are more uncertain.</w:t>
            </w:r>
          </w:p>
        </w:tc>
      </w:tr>
      <w:tr w:rsidR="00C93468" w:rsidRPr="00BD56F3" w:rsidTr="00C93468">
        <w:trPr>
          <w:trHeight w:val="376"/>
        </w:trPr>
        <w:tc>
          <w:tcPr>
            <w:tcW w:w="656" w:type="pct"/>
          </w:tcPr>
          <w:p w:rsidR="00C93468" w:rsidRPr="00C93468" w:rsidRDefault="00C93468" w:rsidP="00C93468">
            <w:pPr>
              <w:pStyle w:val="Tabletext"/>
              <w:rPr>
                <w:rStyle w:val="AERtextsize8"/>
              </w:rPr>
            </w:pPr>
            <w:r w:rsidRPr="00DC4DA2">
              <w:rPr>
                <w:rStyle w:val="AERtextsize8"/>
              </w:rPr>
              <w:t xml:space="preserve">Inflation indexation lag </w:t>
            </w:r>
          </w:p>
        </w:tc>
        <w:tc>
          <w:tcPr>
            <w:tcW w:w="4344" w:type="pct"/>
          </w:tcPr>
          <w:p w:rsidR="00C93468" w:rsidRPr="00C93468" w:rsidRDefault="00C93468" w:rsidP="00C93468">
            <w:pPr>
              <w:rPr>
                <w:rStyle w:val="AERtextsize8"/>
              </w:rPr>
            </w:pPr>
            <w:r w:rsidRPr="00470AB2">
              <w:rPr>
                <w:rStyle w:val="AERtextsize8"/>
              </w:rPr>
              <w:t xml:space="preserve">Likely to result in potential underestimates or overestimates - potentially small for 10 year zero coupon inflation swaps. </w:t>
            </w:r>
            <w:r w:rsidRPr="00C93468">
              <w:rPr>
                <w:rStyle w:val="AERtextsize8"/>
              </w:rPr>
              <w:t>Inflation rate swaps are also subject to indexation lag, which may influence the inflation swap rate such that the raw inflation swap rate may depart from the expected inflation rate. The floating leg of the zero coupon swaps is explicitly linked to the reference CPI date.</w:t>
            </w:r>
            <w:r w:rsidRPr="00C93468">
              <w:rPr>
                <w:rStyle w:val="FootnoteReference"/>
              </w:rPr>
              <w:footnoteReference w:id="739"/>
            </w:r>
            <w:r w:rsidRPr="00C93468">
              <w:rPr>
                <w:rStyle w:val="FootnoteReference"/>
              </w:rPr>
              <w:t xml:space="preserve"> </w:t>
            </w:r>
            <w:r w:rsidRPr="00C93468">
              <w:rPr>
                <w:rStyle w:val="AERtextsize8"/>
              </w:rPr>
              <w:t>The lag on the Australian zero coupon inflation swap is moderate. Bloomberg and Zine-eddine (2014) identify the lag as 3 months.</w:t>
            </w:r>
            <w:r w:rsidRPr="00C93468">
              <w:rPr>
                <w:rStyle w:val="FootnoteReference"/>
              </w:rPr>
              <w:footnoteReference w:id="740"/>
            </w:r>
            <w:r w:rsidRPr="00C93468">
              <w:rPr>
                <w:rStyle w:val="AERtextsize8"/>
              </w:rPr>
              <w:t xml:space="preserve"> Because the swap inflation rates are not adjusted for indexation lag, the swap contract is referenced to inflation for a period that starts before the date on which the contract is priced and ends before the contract matures. Therefore, the estimated forward inflation curve from inflation swaps will not entirely capture forward inflation rates, but also include some historical inflation determined by the extent of the indexation lag.</w:t>
            </w:r>
            <w:r w:rsidRPr="00C93468">
              <w:rPr>
                <w:rStyle w:val="FootnoteReference"/>
              </w:rPr>
              <w:footnoteReference w:id="741"/>
            </w:r>
            <w:r w:rsidRPr="00C93468">
              <w:rPr>
                <w:rStyle w:val="AERtextsize8"/>
              </w:rPr>
              <w:t>This bias is potentially small due to the short lag on indexed CGS and is not likely to be time varying.</w:t>
            </w:r>
          </w:p>
        </w:tc>
      </w:tr>
      <w:tr w:rsidR="00C93468" w:rsidRPr="00BD56F3" w:rsidTr="00C93468">
        <w:trPr>
          <w:cnfStyle w:val="000000010000" w:firstRow="0" w:lastRow="0" w:firstColumn="0" w:lastColumn="0" w:oddVBand="0" w:evenVBand="0" w:oddHBand="0" w:evenHBand="1" w:firstRowFirstColumn="0" w:firstRowLastColumn="0" w:lastRowFirstColumn="0" w:lastRowLastColumn="0"/>
          <w:trHeight w:val="365"/>
        </w:trPr>
        <w:tc>
          <w:tcPr>
            <w:tcW w:w="656" w:type="pct"/>
          </w:tcPr>
          <w:p w:rsidR="00C93468" w:rsidRPr="00C93468" w:rsidRDefault="00C93468" w:rsidP="00C93468">
            <w:pPr>
              <w:pStyle w:val="Tabletext"/>
              <w:rPr>
                <w:rStyle w:val="AERtextsize8"/>
              </w:rPr>
            </w:pPr>
            <w:r w:rsidRPr="00DC4DA2">
              <w:rPr>
                <w:rStyle w:val="AERtextsize8"/>
              </w:rPr>
              <w:t>Counterparty default risk</w:t>
            </w:r>
          </w:p>
        </w:tc>
        <w:tc>
          <w:tcPr>
            <w:tcW w:w="4344" w:type="pct"/>
          </w:tcPr>
          <w:p w:rsidR="00C93468" w:rsidRPr="00C93468" w:rsidRDefault="00C93468" w:rsidP="00C93468">
            <w:pPr>
              <w:pStyle w:val="Tabletext"/>
              <w:rPr>
                <w:rStyle w:val="AERtextsize8"/>
              </w:rPr>
            </w:pPr>
            <w:r w:rsidRPr="00DC4DA2">
              <w:rPr>
                <w:rStyle w:val="AERtextsize8"/>
              </w:rPr>
              <w:t>The risk associated with an inflation swap is that the counterparty will fail to fulfil its obligations outlined in the swap agreement. This default risk is known</w:t>
            </w:r>
            <w:r w:rsidRPr="00C93468">
              <w:rPr>
                <w:rStyle w:val="AERtextsize8"/>
              </w:rPr>
              <w:t xml:space="preserve"> as counterparty risk and as such, default risk premia may be included in inflation swap rates. While the presence of this risk premia is a relatively well-known, the effect of counterparty default risk on zero coupon inflation swap rates may not be significant. This premia could result in overestimates of expected inflation and is not likely to be time-varying.</w:t>
            </w:r>
          </w:p>
        </w:tc>
      </w:tr>
      <w:tr w:rsidR="00C93468" w:rsidRPr="00BD56F3" w:rsidTr="00C93468">
        <w:trPr>
          <w:trHeight w:val="389"/>
        </w:trPr>
        <w:tc>
          <w:tcPr>
            <w:tcW w:w="656" w:type="pct"/>
          </w:tcPr>
          <w:p w:rsidR="00C93468" w:rsidRPr="00C93468" w:rsidRDefault="00C93468" w:rsidP="00C93468">
            <w:pPr>
              <w:pStyle w:val="Tabletext"/>
              <w:rPr>
                <w:rStyle w:val="AERtextsize8"/>
              </w:rPr>
            </w:pPr>
            <w:r w:rsidRPr="00DC4DA2">
              <w:rPr>
                <w:rStyle w:val="AERtextsize8"/>
              </w:rPr>
              <w:t>Liquidity premia</w:t>
            </w:r>
          </w:p>
        </w:tc>
        <w:tc>
          <w:tcPr>
            <w:tcW w:w="4344" w:type="pct"/>
          </w:tcPr>
          <w:p w:rsidR="00C93468" w:rsidRPr="00C93468" w:rsidRDefault="00C93468" w:rsidP="00C93468">
            <w:pPr>
              <w:pStyle w:val="Tabletext"/>
              <w:rPr>
                <w:rStyle w:val="AERtextsize8"/>
              </w:rPr>
            </w:pPr>
            <w:r w:rsidRPr="00DC4DA2">
              <w:rPr>
                <w:rStyle w:val="AERtextsize8"/>
              </w:rPr>
              <w:t>Likely to result in potential overestimates of expected inflation.</w:t>
            </w:r>
            <w:r w:rsidRPr="00C93468">
              <w:rPr>
                <w:rStyle w:val="AERtextsize8"/>
              </w:rPr>
              <w:t xml:space="preserve"> Zero coupon inflation swap rates may also contain liquidity premia, which may drive a wedge between the raw inflation swap rate and expected inflation rate. A-priori liquidity premia may be near zero since swaps can be created as required and there is no supply limitation. Observations of Australian data suggest that this liquidity premia may be negligible.</w:t>
            </w:r>
            <w:r w:rsidRPr="00C93468">
              <w:rPr>
                <w:rStyle w:val="FootnoteReference"/>
              </w:rPr>
              <w:footnoteReference w:id="742"/>
            </w:r>
            <w:r w:rsidRPr="00C93468">
              <w:rPr>
                <w:rStyle w:val="AERtextsize8"/>
              </w:rPr>
              <w:t xml:space="preserve"> If the inflation swap method includes a liquidity premium it is likely to produce overestimates of the expected inflation rate.  Furthermore, the liquidity premium is likely to be greater during periods of uncertainty when investors’ appreciation of liquidity risk may have changed.</w:t>
            </w:r>
          </w:p>
        </w:tc>
      </w:tr>
    </w:tbl>
    <w:p w:rsidR="00C93468" w:rsidRPr="003F16D8" w:rsidRDefault="00C93468" w:rsidP="00C93468">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68 - 69. </w:t>
      </w:r>
      <w:r w:rsidRPr="003F16D8">
        <w:rPr>
          <w:rStyle w:val="AERtextsize8"/>
        </w:rPr>
        <w:t xml:space="preserve"> </w:t>
      </w:r>
    </w:p>
    <w:p w:rsidR="00C93468" w:rsidRDefault="00C93468" w:rsidP="00C93468">
      <w:r w:rsidRPr="00830517">
        <w:t xml:space="preserve">Despite these potential biases, </w:t>
      </w:r>
      <w:r>
        <w:t xml:space="preserve">the </w:t>
      </w:r>
      <w:r w:rsidRPr="00830517">
        <w:t xml:space="preserve">ACCC </w:t>
      </w:r>
      <w:r>
        <w:t>w</w:t>
      </w:r>
      <w:r w:rsidRPr="00830517">
        <w:t xml:space="preserve">orking </w:t>
      </w:r>
      <w:r>
        <w:t>p</w:t>
      </w:r>
      <w:r w:rsidRPr="00830517">
        <w:t>aper #</w:t>
      </w:r>
      <w:r>
        <w:t>11</w:t>
      </w:r>
      <w:r w:rsidRPr="00830517">
        <w:t xml:space="preserve"> notes a number of studies that suggest that inflation swaps may provide better estimates of expected inflation than the breakeven method.</w:t>
      </w:r>
      <w:r w:rsidRPr="00272C0C">
        <w:rPr>
          <w:rStyle w:val="FootnoteReference"/>
        </w:rPr>
        <w:footnoteReference w:id="743"/>
      </w:r>
    </w:p>
    <w:p w:rsidR="00C93468" w:rsidRDefault="00C93468" w:rsidP="00C93468"/>
    <w:p w:rsidR="00C93468" w:rsidRDefault="00C93468" w:rsidP="005A6140"/>
    <w:p w:rsidR="00C93468" w:rsidRDefault="00C93468" w:rsidP="005A6140"/>
    <w:p w:rsidR="005A6140" w:rsidRDefault="005A6140"/>
    <w:p w:rsidR="005A6140" w:rsidRDefault="005A6140"/>
    <w:p w:rsidR="005A6140" w:rsidRDefault="005A6140"/>
    <w:p w:rsidR="004D6A10" w:rsidRDefault="004D6A10" w:rsidP="00A164C0"/>
    <w:p w:rsidR="000A0378" w:rsidRDefault="000A0378" w:rsidP="00CC7A1C">
      <w:pPr>
        <w:numPr>
          <w:ilvl w:val="0"/>
          <w:numId w:val="24"/>
        </w:numPr>
        <w:rPr>
          <w:rStyle w:val="AERbody"/>
          <w:rFonts w:cs="Times New Roman"/>
        </w:rPr>
      </w:pPr>
      <w:r>
        <w:rPr>
          <w:rStyle w:val="AERbody"/>
        </w:rPr>
        <w:br w:type="page"/>
      </w:r>
    </w:p>
    <w:p w:rsidR="000A0378" w:rsidRDefault="000A0378" w:rsidP="000A0378">
      <w:pPr>
        <w:pStyle w:val="Heading7"/>
      </w:pPr>
      <w:bookmarkStart w:id="187" w:name="_Ref448871343"/>
      <w:bookmarkStart w:id="188" w:name="_Toc452629083"/>
      <w:bookmarkStart w:id="189" w:name="_Toc456686708"/>
      <w:bookmarkStart w:id="190" w:name="_Toc481057465"/>
      <w:r>
        <w:t>Our foundation model approach</w:t>
      </w:r>
      <w:bookmarkEnd w:id="187"/>
      <w:bookmarkEnd w:id="188"/>
      <w:bookmarkEnd w:id="189"/>
      <w:bookmarkEnd w:id="190"/>
    </w:p>
    <w:p w:rsidR="000A0378" w:rsidRDefault="000A0378" w:rsidP="000A0378">
      <w:r>
        <w:t xml:space="preserve">We determined the allowed return on equity by applying </w:t>
      </w:r>
      <w:r w:rsidR="00982130">
        <w:t>the Guideline</w:t>
      </w:r>
      <w:r>
        <w:t xml:space="preserve"> foundation model approach. The foundation model approach was developed after extensive consultation during the formation of our Rate of Return Guideline in December 2013.</w:t>
      </w:r>
    </w:p>
    <w:p w:rsidR="00D6679E" w:rsidRDefault="00FE51DA" w:rsidP="000A0378">
      <w:r>
        <w:t xml:space="preserve">We note </w:t>
      </w:r>
      <w:r w:rsidR="00D6679E">
        <w:t xml:space="preserve">AusNet Services </w:t>
      </w:r>
      <w:r>
        <w:t xml:space="preserve">have </w:t>
      </w:r>
      <w:r w:rsidR="00D6679E">
        <w:t xml:space="preserve">proposed to apply </w:t>
      </w:r>
      <w:r>
        <w:t>'</w:t>
      </w:r>
      <w:r w:rsidR="00D6679E">
        <w:t>the foundation model approach and estimates the return on equity using the Sharpe-Lintner CAPM</w:t>
      </w:r>
      <w:r>
        <w:t>'</w:t>
      </w:r>
      <w:r w:rsidR="00D6679E">
        <w:t>.</w:t>
      </w:r>
      <w:r w:rsidR="000A0378">
        <w:rPr>
          <w:rStyle w:val="FootnoteReference"/>
        </w:rPr>
        <w:footnoteReference w:id="744"/>
      </w:r>
      <w:r w:rsidR="000A0378">
        <w:t xml:space="preserve"> </w:t>
      </w:r>
    </w:p>
    <w:p w:rsidR="000A0378" w:rsidRDefault="00D6679E" w:rsidP="000A0378">
      <w:r>
        <w:t>However, we consider that AusNet Services</w:t>
      </w:r>
      <w:r w:rsidR="00FE51DA">
        <w:t xml:space="preserve"> are not fully appreciative of the features of the foundation model approach </w:t>
      </w:r>
      <w:r w:rsidR="000A0378">
        <w:t>and provide the following for clarification:</w:t>
      </w:r>
    </w:p>
    <w:p w:rsidR="000A0378" w:rsidRDefault="000A0378" w:rsidP="000A0378">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745"/>
      </w:r>
    </w:p>
    <w:p w:rsidR="000A0378" w:rsidRPr="0081065F" w:rsidRDefault="000A0378" w:rsidP="000A0378">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0A0378" w:rsidRDefault="000A0378" w:rsidP="000A0378">
      <w:pPr>
        <w:pStyle w:val="AERbulletlistfirststyle"/>
      </w:pPr>
      <w:r>
        <w:t>The foundation model approach has six steps, but this does not mean that material considered in earlier steps are given more weight than material considered in later steps.</w:t>
      </w:r>
    </w:p>
    <w:p w:rsidR="000A0378" w:rsidRDefault="000A0378" w:rsidP="000A0378">
      <w:pPr>
        <w:pStyle w:val="AERbulletlistfirststyle"/>
      </w:pPr>
      <w:r>
        <w:t>Identifying material as being valuable in the estimation of one parameter (</w:t>
      </w:r>
      <w:r w:rsidR="00410AB6">
        <w:t>e.g.</w:t>
      </w:r>
      <w:r>
        <w:t xml:space="preserve"> market risk premium) does not prevent us from considering the value of that parameter for the estimation of other parameters (</w:t>
      </w:r>
      <w:r w:rsidR="00410AB6">
        <w:t>e.g.</w:t>
      </w:r>
      <w:r>
        <w:t xml:space="preserve">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0A0378" w:rsidRDefault="000A0378" w:rsidP="000A0378">
      <w:pPr>
        <w:pStyle w:val="AERbulletlistfirststyle"/>
      </w:pPr>
      <w:r>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AusNet</w:t>
      </w:r>
      <w:r w:rsidR="006C4D48">
        <w:t xml:space="preserve"> Services</w:t>
      </w:r>
      <w:r>
        <w:t>' regulated services.</w:t>
      </w:r>
    </w:p>
    <w:p w:rsidR="000A0378" w:rsidRPr="003D1061" w:rsidRDefault="000A0378" w:rsidP="00CC7A1C">
      <w:pPr>
        <w:numPr>
          <w:ilvl w:val="0"/>
          <w:numId w:val="24"/>
        </w:numPr>
      </w:pPr>
      <w:r>
        <w:t>Our approach was endorsed by the Tribunal, which stated recently:</w:t>
      </w:r>
    </w:p>
    <w:p w:rsidR="000A0378" w:rsidRPr="003D1061" w:rsidRDefault="000A0378" w:rsidP="000A0378">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0A0378" w:rsidRPr="003D1061" w:rsidRDefault="000A0378" w:rsidP="000A0378">
      <w:pPr>
        <w:pStyle w:val="AERquote"/>
      </w:pPr>
      <w:r w:rsidRPr="003D1061">
        <w:t xml:space="preserve">(a) the RoR Objective has primacy in any estimation of the rate of return on equity (pp 18, 36 and 38-39); </w:t>
      </w:r>
    </w:p>
    <w:p w:rsidR="000A0378" w:rsidRPr="003D1061" w:rsidRDefault="000A0378" w:rsidP="000A0378">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0A0378" w:rsidRPr="003D1061" w:rsidRDefault="000A0378" w:rsidP="000A0378">
      <w:pPr>
        <w:pStyle w:val="AERquote"/>
      </w:pPr>
      <w:r w:rsidRPr="003D1061">
        <w:t xml:space="preserve">(c) the AER must actively turn its mind to the factors listed, but it is up to the regulator to determine whether and, if so, how the factors should influence its decision (if at all) (pp 36-37); </w:t>
      </w:r>
    </w:p>
    <w:p w:rsidR="000A0378" w:rsidRPr="003D1061" w:rsidRDefault="000A0378" w:rsidP="000A0378">
      <w:pPr>
        <w:pStyle w:val="AERquote"/>
      </w:pPr>
      <w:r w:rsidRPr="003D1061">
        <w:t xml:space="preserve">(d) it is important that the AER be given flexibility to adopt an approach to determining the rate of return that is appropriate to market conditions (p 44); </w:t>
      </w:r>
    </w:p>
    <w:p w:rsidR="000A0378" w:rsidRPr="003D1061" w:rsidRDefault="000A0378" w:rsidP="000A0378">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0A0378" w:rsidRPr="003D1061" w:rsidRDefault="000A0378" w:rsidP="000A0378">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0A0378" w:rsidRPr="003D1061" w:rsidRDefault="000A0378" w:rsidP="000A0378">
      <w:pPr>
        <w:pStyle w:val="AERquote"/>
      </w:pPr>
      <w:r w:rsidRPr="003D1061">
        <w:t>(g) the RoR 2013 Guideline should include details as to the financial models that the AER would take into account in making a determination, and why it has chosen those models over other models (p 70);</w:t>
      </w:r>
    </w:p>
    <w:p w:rsidR="000A0378" w:rsidRPr="003D1061" w:rsidRDefault="000A0378" w:rsidP="000A0378">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0A0378" w:rsidRDefault="000A0378" w:rsidP="000A0378">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0A0378" w:rsidRPr="002629C5" w:rsidRDefault="000A0378" w:rsidP="000A0378">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746"/>
      </w:r>
      <w:r>
        <w:t xml:space="preserve"> We recognise that there are potential weaknesses in the different models and estimation methods.  Nevertheless, we are charged with deciding from the available evidence, a return on equity that we consider contributes to the rate of return objective. The Australian Competition Tribunal has described the way in which the AER should carry out this task as follows:</w:t>
      </w:r>
      <w:r>
        <w:rPr>
          <w:rStyle w:val="FootnoteReference"/>
        </w:rPr>
        <w:footnoteReference w:id="747"/>
      </w:r>
    </w:p>
    <w:p w:rsidR="000A0378" w:rsidRPr="002629C5" w:rsidRDefault="000A0378" w:rsidP="000A0378">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0A0378" w:rsidRPr="002629C5" w:rsidRDefault="000A0378" w:rsidP="000A0378">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0A0378" w:rsidRPr="002629C5" w:rsidRDefault="000A0378" w:rsidP="000A0378">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0A0378" w:rsidRPr="00C241EE" w:rsidRDefault="000A0378" w:rsidP="000A0378">
      <w:r>
        <w:t>This means that when we consider conflicting evidence, we must come to a conclusion that we consider fits the regulatory requirements.  This has been recently emphasised again by the Tribunal:</w:t>
      </w:r>
      <w:r>
        <w:rPr>
          <w:rStyle w:val="FootnoteReference"/>
        </w:rPr>
        <w:footnoteReference w:id="748"/>
      </w:r>
    </w:p>
    <w:p w:rsidR="000A0378" w:rsidRPr="00CA3F61" w:rsidRDefault="000A0378" w:rsidP="000A0378">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B047E3" w:rsidRPr="00E5005D" w:rsidRDefault="00B047E3" w:rsidP="00CC7A1C">
      <w:pPr>
        <w:numPr>
          <w:ilvl w:val="0"/>
          <w:numId w:val="24"/>
        </w:numPr>
      </w:pPr>
      <w:r w:rsidRPr="00E5005D">
        <w:t xml:space="preserve"> </w:t>
      </w:r>
    </w:p>
    <w:p w:rsidR="00BB18D4" w:rsidRPr="00BB18D4" w:rsidRDefault="00BB18D4" w:rsidP="00BB18D4">
      <w:pPr>
        <w:pStyle w:val="Heading7"/>
      </w:pPr>
      <w:bookmarkStart w:id="191" w:name="_Ref451685041"/>
      <w:bookmarkStart w:id="192" w:name="_Toc452629084"/>
      <w:bookmarkStart w:id="193" w:name="_Toc456686709"/>
      <w:bookmarkStart w:id="194" w:name="_Toc481057466"/>
      <w:bookmarkStart w:id="195" w:name="_Ref451414893"/>
      <w:bookmarkStart w:id="196" w:name="_Ref451414916"/>
      <w:bookmarkStart w:id="197" w:name="_Ref451415098"/>
      <w:bookmarkStart w:id="198" w:name="_Ref451415590"/>
      <w:bookmarkStart w:id="199" w:name="_Ref451415625"/>
      <w:bookmarkStart w:id="200" w:name="_Ref451415763"/>
      <w:bookmarkStart w:id="201" w:name="_Ref451415800"/>
      <w:bookmarkStart w:id="202" w:name="_Ref451415926"/>
      <w:bookmarkStart w:id="203" w:name="_Ref451416598"/>
      <w:bookmarkStart w:id="204" w:name="_Ref451416623"/>
      <w:bookmarkStart w:id="205" w:name="_Ref451416644"/>
      <w:bookmarkStart w:id="206" w:name="_Toc451498843"/>
      <w:r w:rsidRPr="00BB18D4">
        <w:t>Equity models</w:t>
      </w:r>
      <w:bookmarkEnd w:id="191"/>
      <w:bookmarkEnd w:id="192"/>
      <w:bookmarkEnd w:id="193"/>
      <w:bookmarkEnd w:id="194"/>
    </w:p>
    <w:p w:rsidR="00A210B3" w:rsidRPr="001562D4" w:rsidRDefault="00A210B3" w:rsidP="00CC7A1C">
      <w:pPr>
        <w:numPr>
          <w:ilvl w:val="0"/>
          <w:numId w:val="24"/>
        </w:numPr>
      </w:pPr>
      <w:bookmarkStart w:id="207" w:name="_Toc443923187"/>
      <w:bookmarkStart w:id="208" w:name="_Ref445849366"/>
      <w:bookmarkStart w:id="209" w:name="_Ref451691679"/>
      <w:bookmarkStart w:id="210" w:name="_Ref451691691"/>
      <w:bookmarkStart w:id="211" w:name="_Toc451943786"/>
      <w:bookmarkStart w:id="212" w:name="_Toc456686710"/>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A210B3" w:rsidRPr="001562D4" w:rsidRDefault="00A210B3" w:rsidP="00CC7A1C">
      <w:pPr>
        <w:pStyle w:val="ListNumber"/>
        <w:numPr>
          <w:ilvl w:val="1"/>
          <w:numId w:val="24"/>
        </w:numPr>
      </w:pPr>
      <w:r w:rsidRPr="001562D4">
        <w:t>The Sharp</w:t>
      </w:r>
      <w:r>
        <w:t>e–</w:t>
      </w:r>
      <w:r w:rsidRPr="001562D4">
        <w:t>Lintn</w:t>
      </w:r>
      <w:r>
        <w:t>er Capital Asset Pricing Model (Sharpe-Lintner CAPM)</w:t>
      </w:r>
    </w:p>
    <w:p w:rsidR="00A210B3" w:rsidRPr="001562D4" w:rsidRDefault="00A210B3" w:rsidP="00CC7A1C">
      <w:pPr>
        <w:pStyle w:val="ListNumber"/>
        <w:numPr>
          <w:ilvl w:val="1"/>
          <w:numId w:val="24"/>
        </w:numPr>
      </w:pPr>
      <w:r w:rsidRPr="001562D4">
        <w:t>The Black Capital Asset Pricing model (Black CAPM)</w:t>
      </w:r>
    </w:p>
    <w:p w:rsidR="00A210B3" w:rsidRPr="001562D4" w:rsidRDefault="00A210B3" w:rsidP="00CC7A1C">
      <w:pPr>
        <w:pStyle w:val="ListNumber"/>
        <w:numPr>
          <w:ilvl w:val="1"/>
          <w:numId w:val="24"/>
        </w:numPr>
      </w:pPr>
      <w:r w:rsidRPr="001562D4">
        <w:t xml:space="preserve">The </w:t>
      </w:r>
      <w:r>
        <w:t>Fama French Three Factor Model</w:t>
      </w:r>
    </w:p>
    <w:p w:rsidR="00A210B3" w:rsidRPr="001562D4" w:rsidRDefault="00A210B3" w:rsidP="00CC7A1C">
      <w:pPr>
        <w:pStyle w:val="ListNumber"/>
        <w:numPr>
          <w:ilvl w:val="1"/>
          <w:numId w:val="24"/>
        </w:numPr>
      </w:pPr>
      <w:r>
        <w:t>The Dividend Growth Model</w:t>
      </w:r>
      <w:r w:rsidR="003C272E">
        <w:t>.</w:t>
      </w:r>
    </w:p>
    <w:p w:rsidR="00A210B3" w:rsidRDefault="00A210B3" w:rsidP="00CC7A1C">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A210B3" w:rsidRDefault="00A210B3" w:rsidP="00CC7A1C">
      <w:pPr>
        <w:numPr>
          <w:ilvl w:val="0"/>
          <w:numId w:val="24"/>
        </w:numPr>
      </w:pPr>
      <w:r>
        <w:t>The current service providers proposed using the Sharpe-Lintner CAPM to estimate the return on equity.</w:t>
      </w:r>
      <w:r>
        <w:rPr>
          <w:rStyle w:val="FootnoteReference"/>
        </w:rPr>
        <w:footnoteReference w:id="749"/>
      </w:r>
      <w:r>
        <w:t xml:space="preserve"> However, AusNet Services submitted that </w:t>
      </w:r>
      <w:r w:rsidR="00C0601D">
        <w:t xml:space="preserve">a broader and deeper consideration of other models </w:t>
      </w:r>
      <w:r>
        <w:t>should be considered.</w:t>
      </w:r>
      <w:r>
        <w:rPr>
          <w:rStyle w:val="FootnoteReference"/>
        </w:rPr>
        <w:footnoteReference w:id="750"/>
      </w:r>
    </w:p>
    <w:p w:rsidR="00A210B3" w:rsidRPr="001562D4" w:rsidRDefault="00A210B3" w:rsidP="00CC7A1C">
      <w:pPr>
        <w:numPr>
          <w:ilvl w:val="0"/>
          <w:numId w:val="24"/>
        </w:numPr>
      </w:pPr>
      <w:r>
        <w:t>In previous regulatory processes, 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751"/>
      </w:r>
      <w:r>
        <w:t xml:space="preserve"> </w:t>
      </w:r>
    </w:p>
    <w:p w:rsidR="00A210B3" w:rsidRPr="0010250E" w:rsidRDefault="00A210B3" w:rsidP="00A210B3">
      <w:pPr>
        <w:pStyle w:val="AERbulletlistfirststyle"/>
      </w:pPr>
      <w:r>
        <w:t>e</w:t>
      </w:r>
      <w:r w:rsidRPr="0010250E">
        <w:t>stimating their proposed return on equity as part of a multi-model approach, or to inform input parameters into the Sharpe-Lintner CAPM, and/or</w:t>
      </w:r>
    </w:p>
    <w:p w:rsidR="00A210B3" w:rsidRPr="0010250E" w:rsidRDefault="00A210B3" w:rsidP="00A210B3">
      <w:pPr>
        <w:pStyle w:val="AERbulletlistfirststyle"/>
      </w:pPr>
      <w:r>
        <w:t xml:space="preserve">providing </w:t>
      </w:r>
      <w:r w:rsidRPr="0010250E">
        <w:t>evidentiary support that their estimate of the return on equity is reasonable and will contribute to the achievement of the ARORO.</w:t>
      </w:r>
    </w:p>
    <w:p w:rsidR="00A210B3" w:rsidRDefault="00A210B3" w:rsidP="00CC7A1C">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BB18D4" w:rsidRDefault="00BB18D4" w:rsidP="00BB18D4">
      <w:pPr>
        <w:pStyle w:val="Heading8"/>
      </w:pPr>
      <w:bookmarkStart w:id="213" w:name="_Toc481057467"/>
      <w:r w:rsidRPr="00BB18D4">
        <w:t>Sharpe-Lintner CAPM</w:t>
      </w:r>
      <w:bookmarkEnd w:id="207"/>
      <w:bookmarkEnd w:id="208"/>
      <w:bookmarkEnd w:id="209"/>
      <w:bookmarkEnd w:id="210"/>
      <w:bookmarkEnd w:id="211"/>
      <w:bookmarkEnd w:id="212"/>
      <w:bookmarkEnd w:id="213"/>
    </w:p>
    <w:p w:rsidR="00A210B3" w:rsidRPr="001562D4" w:rsidRDefault="00A210B3" w:rsidP="00CC7A1C">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752"/>
      </w:r>
    </w:p>
    <w:p w:rsidR="00A210B3" w:rsidRDefault="00A210B3" w:rsidP="00CC7A1C">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753"/>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A210B3" w:rsidRPr="001562D4" w:rsidRDefault="00A210B3" w:rsidP="00CC7A1C">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754"/>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755"/>
      </w:r>
    </w:p>
    <w:p w:rsidR="00A210B3" w:rsidRPr="001562D4" w:rsidRDefault="00A210B3" w:rsidP="00CC7A1C">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756"/>
      </w:r>
      <w:r>
        <w:t xml:space="preserve"> We consider the model:</w:t>
      </w:r>
    </w:p>
    <w:p w:rsidR="00A210B3" w:rsidRPr="0010250E" w:rsidRDefault="00A210B3" w:rsidP="00A210B3">
      <w:pPr>
        <w:pStyle w:val="AERbulletlistfirststyle"/>
      </w:pPr>
      <w:r w:rsidRPr="001562D4">
        <w:t>is reflective of economic and finance pri</w:t>
      </w:r>
      <w:r w:rsidRPr="0010250E">
        <w:t>nciples and market information</w:t>
      </w:r>
    </w:p>
    <w:p w:rsidR="00A210B3" w:rsidRPr="0010250E" w:rsidRDefault="00A210B3" w:rsidP="00A210B3">
      <w:pPr>
        <w:pStyle w:val="AERbulletlistfirststyle"/>
      </w:pPr>
      <w:r w:rsidRPr="001562D4">
        <w:t xml:space="preserve">is fit for purpose as it was developed for </w:t>
      </w:r>
      <w:r w:rsidRPr="0010250E">
        <w:t>estimating the cost of capital</w:t>
      </w:r>
    </w:p>
    <w:p w:rsidR="00A210B3" w:rsidRPr="0010250E" w:rsidRDefault="00A210B3" w:rsidP="00A210B3">
      <w:pPr>
        <w:pStyle w:val="AERbulletlistfirststyle"/>
      </w:pPr>
      <w:r w:rsidRPr="001562D4">
        <w:t>can be implemented in accordance with good pr</w:t>
      </w:r>
      <w:r w:rsidRPr="0010250E">
        <w:t>actice</w:t>
      </w:r>
    </w:p>
    <w:p w:rsidR="00A210B3" w:rsidRPr="0010250E" w:rsidRDefault="00A210B3" w:rsidP="00A210B3">
      <w:pPr>
        <w:pStyle w:val="AERbulletlistfirststyle"/>
      </w:pPr>
      <w:r w:rsidRPr="001562D4">
        <w:t>is not unduly sensitive to errors in</w:t>
      </w:r>
      <w:r w:rsidRPr="0010250E">
        <w:t xml:space="preserve"> inputs or arbitrary filtering</w:t>
      </w:r>
    </w:p>
    <w:p w:rsidR="00A210B3" w:rsidRPr="0010250E" w:rsidRDefault="00A210B3" w:rsidP="00A210B3">
      <w:pPr>
        <w:pStyle w:val="AERbulletlistfirststyle"/>
      </w:pPr>
      <w:r w:rsidRPr="001562D4">
        <w:t xml:space="preserve">uses input data that is credible and verifiable, comparable and </w:t>
      </w:r>
      <w:r w:rsidRPr="0010250E">
        <w:t>timely and clearly sourced</w:t>
      </w:r>
    </w:p>
    <w:p w:rsidR="00A210B3" w:rsidRPr="0010250E" w:rsidRDefault="00A210B3" w:rsidP="00A210B3">
      <w:pPr>
        <w:pStyle w:val="AERbulletlistfirststyle"/>
      </w:pPr>
      <w:r w:rsidRPr="001562D4">
        <w:t>is sufficiently flexible to allow for changing market conditions and new information to be reflected in regul</w:t>
      </w:r>
      <w:r w:rsidRPr="0010250E">
        <w:t>atory outcomes, as appropriate.</w:t>
      </w:r>
    </w:p>
    <w:p w:rsidR="00A210B3" w:rsidRPr="006C4D93" w:rsidRDefault="00A210B3" w:rsidP="00A210B3">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757"/>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A210B3" w:rsidRPr="001562D4" w:rsidRDefault="00A210B3" w:rsidP="00CC7A1C">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758"/>
      </w:r>
    </w:p>
    <w:p w:rsidR="00A210B3" w:rsidRPr="0010250E" w:rsidRDefault="00A210B3" w:rsidP="00A210B3">
      <w:pPr>
        <w:pStyle w:val="AERbulletlistfirststyle"/>
      </w:pPr>
      <w:r>
        <w:t>A</w:t>
      </w:r>
      <w:r w:rsidRPr="0010250E">
        <w:t>s the foundation model it, 'provides a starting point, which is firmly based in a mature and well accepted theoretical and empirical literature'.</w:t>
      </w:r>
    </w:p>
    <w:p w:rsidR="00A210B3" w:rsidRPr="0010250E" w:rsidRDefault="00A210B3" w:rsidP="00A210B3">
      <w:pPr>
        <w:pStyle w:val="AERbulletlistfirststyle"/>
      </w:pPr>
      <w:r w:rsidRPr="001562D4">
        <w:t>Its efficacy comes from surviving the test of time</w:t>
      </w:r>
      <w:r w:rsidRPr="0010250E">
        <w:t>. They noted the 'model has been around for in excess of half a century and has become the standard workhorse model of modern finance both in theory and practice'.</w:t>
      </w:r>
    </w:p>
    <w:p w:rsidR="00A210B3" w:rsidRPr="0010250E" w:rsidRDefault="00A210B3" w:rsidP="00A210B3">
      <w:pPr>
        <w:pStyle w:val="AERbulletlistfirststyle"/>
      </w:pPr>
      <w:r>
        <w:t>Its '</w:t>
      </w:r>
      <w:r w:rsidRPr="0010250E">
        <w:t>place as the foundation model is justifiable in terms of its simple theoretical underpinnings and relative ease of application'.</w:t>
      </w:r>
    </w:p>
    <w:p w:rsidR="00A210B3" w:rsidRPr="0010250E" w:rsidRDefault="00A210B3" w:rsidP="00A210B3">
      <w:pPr>
        <w:pStyle w:val="AERbulletlistfirststyle"/>
      </w:pPr>
      <w:r>
        <w:t>T</w:t>
      </w:r>
      <w:r w:rsidRPr="0010250E">
        <w:t>he majority of international regulators primarily base their decision on the Sharpe-Lintner CAPM framework.</w:t>
      </w:r>
    </w:p>
    <w:p w:rsidR="00A210B3" w:rsidRPr="001562D4" w:rsidRDefault="00A210B3" w:rsidP="00CC7A1C">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759"/>
      </w:r>
    </w:p>
    <w:p w:rsidR="00A210B3" w:rsidRPr="0010250E" w:rsidRDefault="00A210B3" w:rsidP="00A210B3">
      <w:pPr>
        <w:pStyle w:val="AERbulletlistfirststyle"/>
      </w:pPr>
      <w:r w:rsidRPr="001562D4">
        <w:t xml:space="preserve">lead to a reasonable estimate of the </w:t>
      </w:r>
      <w:r w:rsidRPr="0010250E">
        <w:t>return on equity</w:t>
      </w:r>
    </w:p>
    <w:p w:rsidR="00A210B3" w:rsidRPr="0010250E" w:rsidRDefault="00A210B3" w:rsidP="00A210B3">
      <w:pPr>
        <w:pStyle w:val="AERbulletlistfirststyle"/>
      </w:pPr>
      <w:r w:rsidRPr="001562D4">
        <w:t xml:space="preserve">lead to a </w:t>
      </w:r>
      <w:r w:rsidRPr="0010250E">
        <w:t>rate of return that meets the allowed rate of return objective</w:t>
      </w:r>
    </w:p>
    <w:p w:rsidR="00A210B3" w:rsidRPr="0010250E" w:rsidRDefault="00A210B3" w:rsidP="00A210B3">
      <w:pPr>
        <w:pStyle w:val="AERbulletlistfirststyle"/>
      </w:pPr>
      <w:r w:rsidRPr="001562D4">
        <w:t>not lead to a downward biased estimate of the cost of equity fo</w:t>
      </w:r>
      <w:r w:rsidRPr="0010250E">
        <w:t>r a benchmark efficient entity.</w:t>
      </w:r>
    </w:p>
    <w:p w:rsidR="00A210B3" w:rsidRDefault="00A210B3" w:rsidP="00CC7A1C">
      <w:pPr>
        <w:pStyle w:val="AERbulletlistfirststyle"/>
        <w:numPr>
          <w:ilvl w:val="0"/>
          <w:numId w:val="24"/>
        </w:numPr>
      </w:pPr>
      <w:r>
        <w:t>In relation to the Sharpe-Lintner CAPM, Partington and Satchell noted:</w:t>
      </w:r>
      <w:r>
        <w:rPr>
          <w:rStyle w:val="FootnoteReference"/>
        </w:rPr>
        <w:footnoteReference w:id="760"/>
      </w:r>
      <w:r>
        <w:t xml:space="preserve"> </w:t>
      </w:r>
    </w:p>
    <w:p w:rsidR="00A210B3" w:rsidRPr="0010250E" w:rsidRDefault="00A210B3" w:rsidP="00A210B3">
      <w:pPr>
        <w:pStyle w:val="AERbulletlistfirststyle"/>
      </w:pPr>
      <w:r>
        <w:t>The model is 'ubiquitous in relation to the estimation of the cost of equity' and 'the same cannot be said for the alternative models proposed by the regulated</w:t>
      </w:r>
      <w:r w:rsidRPr="0010250E">
        <w:t xml:space="preserve"> businesses.</w:t>
      </w:r>
      <w:r w:rsidRPr="0010250E">
        <w:rPr>
          <w:rStyle w:val="FootnoteReference"/>
        </w:rPr>
        <w:footnoteReference w:id="761"/>
      </w:r>
    </w:p>
    <w:p w:rsidR="00A210B3" w:rsidRPr="0010250E" w:rsidRDefault="00A210B3" w:rsidP="00A210B3">
      <w:pPr>
        <w:pStyle w:val="AERbulletlistfirststyle"/>
      </w:pPr>
      <w:r>
        <w:t xml:space="preserve">It is 'widely used and understood'. </w:t>
      </w:r>
    </w:p>
    <w:p w:rsidR="00A210B3" w:rsidRPr="0010250E" w:rsidRDefault="00A210B3" w:rsidP="00A210B3">
      <w:pPr>
        <w:pStyle w:val="AERbulletlistfirststyle"/>
      </w:pPr>
      <w:r>
        <w:t xml:space="preserve">The model has passed the test of time and 'has had several decades of widespread practical use in estimating the cost of capital'. </w:t>
      </w:r>
    </w:p>
    <w:p w:rsidR="00A210B3" w:rsidRDefault="00A210B3" w:rsidP="00CC7A1C">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762"/>
      </w:r>
      <w:r>
        <w:t xml:space="preserve"> He noted:</w:t>
      </w:r>
      <w:r w:rsidRPr="00B310A9">
        <w:rPr>
          <w:rStyle w:val="FootnoteReference"/>
        </w:rPr>
        <w:t xml:space="preserve"> </w:t>
      </w:r>
      <w:r>
        <w:rPr>
          <w:rStyle w:val="FootnoteReference"/>
        </w:rPr>
        <w:footnoteReference w:id="763"/>
      </w:r>
    </w:p>
    <w:p w:rsidR="00A210B3" w:rsidRDefault="00A210B3" w:rsidP="00A210B3">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A210B3" w:rsidRDefault="00A210B3" w:rsidP="00CC7A1C">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764"/>
      </w:r>
      <w:r>
        <w:t xml:space="preserve"> These submissions are detailed in section </w:t>
      </w:r>
      <w:r>
        <w:fldChar w:fldCharType="begin"/>
      </w:r>
      <w:r>
        <w:instrText xml:space="preserve"> REF _Ref449004907 \r \h </w:instrText>
      </w:r>
      <w:r>
        <w:fldChar w:fldCharType="separate"/>
      </w:r>
      <w:r w:rsidR="006B4A74">
        <w:t>B.1.1</w:t>
      </w:r>
      <w:r>
        <w:fldChar w:fldCharType="end"/>
      </w:r>
      <w:r>
        <w:t>.</w:t>
      </w:r>
    </w:p>
    <w:p w:rsidR="00A210B3" w:rsidRDefault="00A210B3" w:rsidP="00A210B3">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w:t>
      </w:r>
      <w:r>
        <w:t xml:space="preserve"> in previous regulatory processes</w:t>
      </w:r>
      <w:r w:rsidRPr="001562D4">
        <w:t xml:space="preserve">.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65"/>
      </w:r>
      <w:r>
        <w:t xml:space="preserve"> </w:t>
      </w:r>
    </w:p>
    <w:p w:rsidR="00A210B3" w:rsidRDefault="00A210B3" w:rsidP="00A210B3">
      <w:r>
        <w:t>These 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 xml:space="preserve">of the Black CAPM, Fama-French model, and dividend growth model. </w:t>
      </w:r>
      <w:r w:rsidR="00066E1D">
        <w:t>These s</w:t>
      </w:r>
      <w:r>
        <w:t>ervice providers appear to have submitted that these other models should be used to either directly estimate the return on equity</w:t>
      </w:r>
      <w:r w:rsidRPr="006C4D93">
        <w:rPr>
          <w:rStyle w:val="FootnoteReference"/>
        </w:rPr>
        <w:footnoteReference w:id="766"/>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767"/>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768"/>
      </w:r>
      <w:r>
        <w:t xml:space="preserve"> </w:t>
      </w:r>
    </w:p>
    <w:p w:rsidR="00A210B3" w:rsidRDefault="00A210B3" w:rsidP="00A210B3">
      <w:r w:rsidRPr="001562D4">
        <w:t xml:space="preserve">The key information </w:t>
      </w:r>
      <w:r>
        <w:t>that service providers</w:t>
      </w:r>
      <w:r w:rsidR="00066E1D">
        <w:t xml:space="preserve"> have</w:t>
      </w:r>
      <w:r w:rsidRPr="001562D4">
        <w:t xml:space="preserve"> </w:t>
      </w:r>
      <w:r>
        <w:t>previously used to support</w:t>
      </w:r>
      <w:r w:rsidRPr="001562D4">
        <w:t xml:space="preserve"> these propositions </w:t>
      </w:r>
      <w:r w:rsidRPr="00787D60">
        <w:t>include</w:t>
      </w:r>
      <w:r>
        <w:t>d:</w:t>
      </w:r>
    </w:p>
    <w:p w:rsidR="00A210B3" w:rsidRPr="0010250E" w:rsidRDefault="00A210B3" w:rsidP="00A210B3">
      <w:pPr>
        <w:pStyle w:val="AERbulletlistfirststyle"/>
      </w:pPr>
      <w:r w:rsidRPr="00787D60">
        <w:t>Studies of ex post performance of the S</w:t>
      </w:r>
      <w:r w:rsidRPr="0010250E">
        <w:t>harpe-Lintner CAPM.</w:t>
      </w:r>
      <w:r w:rsidRPr="0010250E">
        <w:rPr>
          <w:rStyle w:val="FootnoteReference"/>
        </w:rPr>
        <w:footnoteReference w:id="769"/>
      </w:r>
      <w:r w:rsidRPr="0010250E">
        <w:t xml:space="preserve"> Frontier and NERA submitted that empirical tests reject the model and that it performs poorly relative to the other models.</w:t>
      </w:r>
      <w:r w:rsidRPr="0010250E">
        <w:rPr>
          <w:rStyle w:val="FootnoteReference"/>
        </w:rPr>
        <w:footnoteReference w:id="770"/>
      </w:r>
      <w:r w:rsidRPr="0010250E">
        <w:t xml:space="preserve"> </w:t>
      </w:r>
    </w:p>
    <w:p w:rsidR="00A210B3" w:rsidRPr="0010250E" w:rsidRDefault="00A210B3" w:rsidP="00A210B3">
      <w:pPr>
        <w:pStyle w:val="AERbulletlistfirststyle"/>
      </w:pPr>
      <w:r w:rsidRPr="00787D60">
        <w:t xml:space="preserve">Other direct estimates of the </w:t>
      </w:r>
      <w:r w:rsidRPr="0010250E">
        <w:t>return on equity from the Black CAPM, Fama-French model, and dividend growth model:</w:t>
      </w:r>
      <w:r w:rsidR="00066E1D" w:rsidRPr="0010250E">
        <w:rPr>
          <w:rStyle w:val="FootnoteReference"/>
        </w:rPr>
        <w:footnoteReference w:id="771"/>
      </w:r>
    </w:p>
    <w:p w:rsidR="00A210B3" w:rsidRDefault="00A210B3" w:rsidP="00A210B3">
      <w:pPr>
        <w:pStyle w:val="AERbulletlistsecondstyle"/>
      </w:pPr>
      <w:r>
        <w:t>the Black CAPM as evidence that the Sharpe-Lintner CAPM displays low beta bias</w:t>
      </w:r>
    </w:p>
    <w:p w:rsidR="00A210B3" w:rsidRDefault="00A210B3" w:rsidP="00A210B3">
      <w:pPr>
        <w:pStyle w:val="AERbulletlistsecondstyle"/>
      </w:pPr>
      <w:r>
        <w:t>the Fama-French model as evidence that the Sharpe-Lintner CAPM displays book-to-market bias</w:t>
      </w:r>
    </w:p>
    <w:p w:rsidR="00A210B3" w:rsidRPr="006C4D93" w:rsidRDefault="00A210B3" w:rsidP="00A210B3">
      <w:pPr>
        <w:pStyle w:val="AERbulletlistsecondstyle"/>
      </w:pPr>
      <w:r>
        <w:t>the dividend growth model as evidence that the Sharpe-Lintner CAPM, as applied by the AER, is not reflective of prevailing market conditions.</w:t>
      </w:r>
    </w:p>
    <w:p w:rsidR="00A210B3" w:rsidRDefault="00A210B3" w:rsidP="00CC7A1C">
      <w:pPr>
        <w:numPr>
          <w:ilvl w:val="0"/>
          <w:numId w:val="24"/>
        </w:numPr>
      </w:pPr>
      <w:r>
        <w:t xml:space="preserve">These submissions are detailed further in sections </w:t>
      </w:r>
      <w:r>
        <w:fldChar w:fldCharType="begin"/>
      </w:r>
      <w:r>
        <w:instrText xml:space="preserve"> REF _Ref449004981 \r \h </w:instrText>
      </w:r>
      <w:r>
        <w:fldChar w:fldCharType="separate"/>
      </w:r>
      <w:r w:rsidR="006B4A74">
        <w:t>B.1.3</w:t>
      </w:r>
      <w:r>
        <w:fldChar w:fldCharType="end"/>
      </w:r>
      <w:r>
        <w:t xml:space="preserve"> and </w:t>
      </w:r>
      <w:r>
        <w:fldChar w:fldCharType="begin"/>
      </w:r>
      <w:r>
        <w:instrText xml:space="preserve"> REF _Ref449004969 \r \h </w:instrText>
      </w:r>
      <w:r>
        <w:fldChar w:fldCharType="separate"/>
      </w:r>
      <w:r w:rsidR="006B4A74">
        <w:t>B.1.2</w:t>
      </w:r>
      <w:r>
        <w:fldChar w:fldCharType="end"/>
      </w:r>
      <w:r>
        <w:t xml:space="preserve"> below.</w:t>
      </w:r>
    </w:p>
    <w:p w:rsidR="00A210B3" w:rsidRDefault="00A210B3" w:rsidP="00CC7A1C">
      <w:pPr>
        <w:numPr>
          <w:ilvl w:val="0"/>
          <w:numId w:val="24"/>
        </w:numPr>
      </w:pPr>
      <w:r>
        <w:t>The</w:t>
      </w:r>
      <w:r w:rsidRPr="00787D60">
        <w:t xml:space="preserve"> key submissions on these points</w:t>
      </w:r>
      <w:r>
        <w:t xml:space="preserve"> were considered in our final decision for SAPN,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rsidR="00066E1D">
        <w:t>these arguments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772"/>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A210B3" w:rsidRPr="00A210B3" w:rsidRDefault="00A210B3" w:rsidP="00CC7A1C">
      <w:pPr>
        <w:pStyle w:val="ListParagraph"/>
        <w:numPr>
          <w:ilvl w:val="0"/>
          <w:numId w:val="24"/>
        </w:numPr>
      </w:pPr>
      <w:r>
        <w:t>Services providers previously submitted that t</w:t>
      </w:r>
      <w:r w:rsidRPr="00663DB7">
        <w:t xml:space="preserve">he AER has </w:t>
      </w:r>
      <w:r>
        <w:t>"</w:t>
      </w:r>
      <w:r w:rsidRPr="00663DB7">
        <w:t>erred in finding that the SL-CAPM is the clearly superior model</w:t>
      </w:r>
      <w:r>
        <w:t>",</w:t>
      </w:r>
      <w:r>
        <w:rPr>
          <w:rStyle w:val="FootnoteReference"/>
        </w:rPr>
        <w:footnoteReference w:id="773"/>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774"/>
      </w:r>
    </w:p>
    <w:p w:rsidR="00BB18D4" w:rsidRDefault="00BB18D4" w:rsidP="002656D9">
      <w:pPr>
        <w:pStyle w:val="Style1"/>
      </w:pPr>
      <w:bookmarkStart w:id="214" w:name="_Ref449004907"/>
      <w:bookmarkStart w:id="215" w:name="_Toc456686711"/>
      <w:bookmarkStart w:id="216" w:name="_Toc480460837"/>
      <w:r w:rsidRPr="00BB18D4">
        <w:t>Submissions supporting the use of the Sharpe-Lintner CAPM as the foundation model</w:t>
      </w:r>
      <w:bookmarkEnd w:id="214"/>
      <w:bookmarkEnd w:id="215"/>
      <w:bookmarkEnd w:id="216"/>
    </w:p>
    <w:p w:rsidR="00A210B3" w:rsidRPr="001562D4" w:rsidRDefault="00A210B3" w:rsidP="00CC7A1C">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775"/>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776"/>
      </w:r>
      <w:r w:rsidRPr="001562D4">
        <w:t xml:space="preserve"> </w:t>
      </w:r>
      <w:r w:rsidR="008472F7">
        <w:fldChar w:fldCharType="begin"/>
      </w:r>
      <w:r w:rsidR="008472F7">
        <w:instrText xml:space="preserve"> REF _Ref481052240 \h </w:instrText>
      </w:r>
      <w:r w:rsidR="008472F7">
        <w:fldChar w:fldCharType="separate"/>
      </w:r>
      <w:r w:rsidR="006B4A74">
        <w:t xml:space="preserve">Table </w:t>
      </w:r>
      <w:r w:rsidR="006B4A74">
        <w:rPr>
          <w:noProof/>
        </w:rPr>
        <w:t>3</w:t>
      </w:r>
      <w:r w:rsidR="006B4A74">
        <w:noBreakHyphen/>
      </w:r>
      <w:r w:rsidR="006B4A74">
        <w:rPr>
          <w:noProof/>
        </w:rPr>
        <w:t>23</w:t>
      </w:r>
      <w:r w:rsidR="008472F7">
        <w:fldChar w:fldCharType="end"/>
      </w:r>
      <w:r w:rsidR="008472F7">
        <w:t xml:space="preserve"> </w:t>
      </w:r>
      <w:r>
        <w:t>summarises a</w:t>
      </w:r>
      <w:r w:rsidRPr="001562D4">
        <w:t xml:space="preserve"> number of these submissions</w:t>
      </w:r>
      <w:r>
        <w:t>.</w:t>
      </w:r>
      <w:r w:rsidRPr="001562D4">
        <w:t xml:space="preserve"> </w:t>
      </w:r>
    </w:p>
    <w:p w:rsidR="00A210B3" w:rsidRPr="001562D4" w:rsidRDefault="00A210B3" w:rsidP="00A210B3">
      <w:pPr>
        <w:pStyle w:val="Caption"/>
      </w:pPr>
      <w:bookmarkStart w:id="217" w:name="_Ref433137654"/>
      <w:bookmarkStart w:id="218" w:name="_Ref481052240"/>
      <w:r>
        <w:t xml:space="preserve">Table </w:t>
      </w:r>
      <w:r w:rsidRPr="00421894">
        <w:fldChar w:fldCharType="begin"/>
      </w:r>
      <w:r>
        <w:instrText xml:space="preserve"> STYLEREF 1 \s </w:instrText>
      </w:r>
      <w:r w:rsidRPr="00421894">
        <w:fldChar w:fldCharType="separate"/>
      </w:r>
      <w:r w:rsidR="006B4A74">
        <w:rPr>
          <w:noProof/>
        </w:rPr>
        <w:t>3</w:t>
      </w:r>
      <w:r w:rsidRPr="00421894">
        <w:fldChar w:fldCharType="end"/>
      </w:r>
      <w:r>
        <w:noBreakHyphen/>
      </w:r>
      <w:bookmarkEnd w:id="217"/>
      <w:r w:rsidR="008472F7" w:rsidRPr="008472F7">
        <w:fldChar w:fldCharType="begin"/>
      </w:r>
      <w:r w:rsidR="008472F7">
        <w:instrText xml:space="preserve"> SEQ Table \* ARABIC \s 1 </w:instrText>
      </w:r>
      <w:r w:rsidR="008472F7" w:rsidRPr="008472F7">
        <w:fldChar w:fldCharType="separate"/>
      </w:r>
      <w:r w:rsidR="006B4A74">
        <w:rPr>
          <w:noProof/>
        </w:rPr>
        <w:t>23</w:t>
      </w:r>
      <w:r w:rsidR="008472F7" w:rsidRPr="008472F7">
        <w:fldChar w:fldCharType="end"/>
      </w:r>
      <w:bookmarkEnd w:id="218"/>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A210B3" w:rsidRPr="001848E2" w:rsidTr="00A210B3">
        <w:trPr>
          <w:cnfStyle w:val="100000000000" w:firstRow="1" w:lastRow="0" w:firstColumn="0" w:lastColumn="0" w:oddVBand="0" w:evenVBand="0" w:oddHBand="0" w:evenHBand="0" w:firstRowFirstColumn="0" w:firstRowLastColumn="0" w:lastRowFirstColumn="0" w:lastRowLastColumn="0"/>
          <w:tblHeader/>
        </w:trPr>
        <w:tc>
          <w:tcPr>
            <w:tcW w:w="1605" w:type="dxa"/>
          </w:tcPr>
          <w:p w:rsidR="00A210B3" w:rsidRPr="00A210B3" w:rsidRDefault="00A210B3" w:rsidP="00A210B3">
            <w:r w:rsidRPr="001562D4">
              <w:t>Stakeholder</w:t>
            </w:r>
          </w:p>
        </w:tc>
        <w:tc>
          <w:tcPr>
            <w:tcW w:w="7088" w:type="dxa"/>
          </w:tcPr>
          <w:p w:rsidR="00A210B3" w:rsidRPr="00A210B3" w:rsidRDefault="00A210B3" w:rsidP="00A210B3">
            <w:r w:rsidRPr="001562D4">
              <w:t>Submission</w:t>
            </w:r>
          </w:p>
        </w:tc>
      </w:tr>
      <w:tr w:rsidR="00A210B3" w:rsidRPr="001848E2" w:rsidTr="00A210B3">
        <w:tc>
          <w:tcPr>
            <w:tcW w:w="1605" w:type="dxa"/>
          </w:tcPr>
          <w:p w:rsidR="00A210B3" w:rsidRPr="00A210B3" w:rsidDel="00B8188F" w:rsidRDefault="00A210B3" w:rsidP="00A210B3">
            <w:r>
              <w:t>Consumer Challenger Panel 5 (CCP5)</w:t>
            </w:r>
            <w:r w:rsidRPr="00A210B3">
              <w:rPr>
                <w:rStyle w:val="FootnoteReference"/>
              </w:rPr>
              <w:footnoteReference w:id="777"/>
            </w:r>
          </w:p>
        </w:tc>
        <w:tc>
          <w:tcPr>
            <w:tcW w:w="7088" w:type="dxa"/>
          </w:tcPr>
          <w:p w:rsidR="00A210B3" w:rsidRPr="00A210B3" w:rsidRDefault="00A210B3" w:rsidP="00A210B3">
            <w:r>
              <w:t xml:space="preserve">The theme of AusNet Services’ Revised Proposal for rate of return, value of imputation credits and forecast inflation is to pick what suits the network best. It is not in the best interests of consumers that a high rate of return, low gamma, </w:t>
            </w:r>
            <w:r w:rsidRPr="00A210B3">
              <w:t xml:space="preserve">or low inflation is applied.  Neither is it in the long term interests of consumers that networks can pick and choose methodologies and inputs that achieve the aforementioned rates, from time to time.  </w:t>
            </w:r>
          </w:p>
          <w:p w:rsidR="00A210B3" w:rsidRPr="00A210B3" w:rsidDel="00B8188F" w:rsidRDefault="00A210B3" w:rsidP="00A210B3">
            <w:r w:rsidRPr="00A942E7">
              <w:t xml:space="preserve">Given that world, including Australian, interest </w:t>
            </w:r>
            <w:r w:rsidRPr="00A210B3">
              <w:t>rates are currently low, the AER’s WACC of 6.16% and risk free rate of 2.57% are high when looking at the current global financial realities. This is coming off a period of high interest rates related to uncertainty as a result of the global financial crisis. Since the GFC, Australian energy consumers have endured high and rising electricity prices. Interest rates flow through into the WACC as the basis for both cost of debt and cost of equity, and we reiterate that our view is that the AER must allow the current low interest rates to be reflected in the Return On Capital now, and in the future, as a matter of policy, in the long term interests of consumers</w:t>
            </w:r>
            <w:r w:rsidRPr="00A210B3">
              <w:rPr>
                <w:rStyle w:val="FootnoteReference"/>
              </w:rPr>
              <w:footnoteReference w:id="778"/>
            </w:r>
          </w:p>
        </w:tc>
      </w:tr>
      <w:tr w:rsidR="000019A6"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0019A6" w:rsidRPr="000019A6" w:rsidDel="00B8188F" w:rsidRDefault="000019A6" w:rsidP="000019A6">
            <w:r>
              <w:t>CCP4 (David Headberry)</w:t>
            </w:r>
            <w:r w:rsidRPr="000019A6">
              <w:rPr>
                <w:rStyle w:val="FootnoteReference"/>
              </w:rPr>
              <w:footnoteReference w:id="779"/>
            </w:r>
          </w:p>
        </w:tc>
        <w:tc>
          <w:tcPr>
            <w:tcW w:w="7088" w:type="dxa"/>
          </w:tcPr>
          <w:p w:rsidR="000019A6" w:rsidRPr="000019A6" w:rsidDel="00B8188F" w:rsidRDefault="000019A6" w:rsidP="000019A6">
            <w:r>
              <w:t>T</w:t>
            </w:r>
            <w:r w:rsidRPr="000019A6">
              <w:t>he current parameters should be applied to the PLQ decision.</w:t>
            </w:r>
          </w:p>
        </w:tc>
      </w:tr>
      <w:tr w:rsidR="000019A6" w:rsidRPr="001848E2" w:rsidTr="00A210B3">
        <w:tc>
          <w:tcPr>
            <w:tcW w:w="1605" w:type="dxa"/>
          </w:tcPr>
          <w:p w:rsidR="000019A6" w:rsidRPr="000019A6" w:rsidDel="00B8188F" w:rsidRDefault="000019A6" w:rsidP="000019A6">
            <w:r w:rsidRPr="009308C4">
              <w:t>Queensland Farmers’ Federation</w:t>
            </w:r>
            <w:r w:rsidRPr="000019A6">
              <w:t xml:space="preserve"> (QFF)</w:t>
            </w:r>
            <w:r w:rsidRPr="000019A6">
              <w:rPr>
                <w:rStyle w:val="FootnoteReference"/>
              </w:rPr>
              <w:footnoteReference w:id="780"/>
            </w:r>
          </w:p>
        </w:tc>
        <w:tc>
          <w:tcPr>
            <w:tcW w:w="7088" w:type="dxa"/>
          </w:tcPr>
          <w:p w:rsidR="000019A6" w:rsidRPr="000019A6" w:rsidDel="00B8188F" w:rsidRDefault="000019A6" w:rsidP="000019A6">
            <w:r>
              <w:t xml:space="preserve">The </w:t>
            </w:r>
            <w:r w:rsidRPr="000019A6">
              <w:t xml:space="preserve">QFF commends Powerlink on the approach taken in the preparation of its proposal in applying the AER’s Guidelines with regards to its proposed Rate of Return for the next regulatory period. </w:t>
            </w:r>
          </w:p>
        </w:tc>
      </w:tr>
    </w:tbl>
    <w:p w:rsidR="00A210B3" w:rsidRPr="001562D4" w:rsidRDefault="00A210B3" w:rsidP="00A210B3">
      <w:pPr>
        <w:pStyle w:val="AERtablesource"/>
      </w:pPr>
      <w:r>
        <w:t xml:space="preserve">Source: </w:t>
      </w:r>
      <w:r>
        <w:tab/>
        <w:t>AER analysis of submissions.</w:t>
      </w:r>
    </w:p>
    <w:p w:rsidR="00A210B3" w:rsidRPr="00A210B3" w:rsidRDefault="00A210B3" w:rsidP="00CC7A1C">
      <w:pPr>
        <w:numPr>
          <w:ilvl w:val="0"/>
          <w:numId w:val="24"/>
        </w:numPr>
      </w:pPr>
      <w:r>
        <w:t xml:space="preserve">We consider the submissions in </w:t>
      </w:r>
      <w:r w:rsidR="000E5964">
        <w:fldChar w:fldCharType="begin"/>
      </w:r>
      <w:r w:rsidR="000E5964">
        <w:instrText xml:space="preserve"> REF _Ref481052240 \h </w:instrText>
      </w:r>
      <w:r w:rsidR="000E5964">
        <w:fldChar w:fldCharType="separate"/>
      </w:r>
      <w:r w:rsidR="000E5964">
        <w:t xml:space="preserve">Table </w:t>
      </w:r>
      <w:r w:rsidR="000E5964" w:rsidRPr="000E5964">
        <w:t>3</w:t>
      </w:r>
      <w:r w:rsidR="000E5964">
        <w:noBreakHyphen/>
      </w:r>
      <w:r w:rsidR="000E5964" w:rsidRPr="000E5964">
        <w:t>23</w:t>
      </w:r>
      <w:r w:rsidR="000E5964">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 </w:t>
      </w:r>
      <w:r>
        <w:fldChar w:fldCharType="begin"/>
      </w:r>
      <w:r>
        <w:instrText xml:space="preserve"> REF _Ref430958591 \r \h </w:instrText>
      </w:r>
      <w:r>
        <w:fldChar w:fldCharType="separate"/>
      </w:r>
      <w:r w:rsidR="006B4A74">
        <w:t>3.4.1</w:t>
      </w:r>
      <w:r>
        <w:fldChar w:fldCharType="end"/>
      </w:r>
      <w:r>
        <w:t>.</w:t>
      </w:r>
    </w:p>
    <w:p w:rsidR="00BB18D4" w:rsidRDefault="00BB18D4" w:rsidP="002656D9">
      <w:pPr>
        <w:pStyle w:val="Style1"/>
      </w:pPr>
      <w:bookmarkStart w:id="219" w:name="_Ref449004969"/>
      <w:bookmarkStart w:id="220" w:name="_Toc456686712"/>
      <w:bookmarkStart w:id="221" w:name="_Toc480460838"/>
      <w:r w:rsidRPr="00BB18D4">
        <w:t>Empirical tests of the Sharpe-Lintner CAPM</w:t>
      </w:r>
      <w:bookmarkEnd w:id="219"/>
      <w:bookmarkEnd w:id="220"/>
      <w:bookmarkEnd w:id="221"/>
    </w:p>
    <w:p w:rsidR="00A210B3" w:rsidRDefault="00A210B3" w:rsidP="00CC7A1C">
      <w:pPr>
        <w:numPr>
          <w:ilvl w:val="0"/>
          <w:numId w:val="24"/>
        </w:numPr>
      </w:pPr>
      <w:r>
        <w:t>Service providers have previously submitted that empirical tests indicate that the Sharpe-Lintner CAPM performs poorly compared to the Fama-French model and Black CAPM.</w:t>
      </w:r>
      <w:r>
        <w:rPr>
          <w:rStyle w:val="FootnoteReference"/>
        </w:rPr>
        <w:footnoteReference w:id="781"/>
      </w:r>
    </w:p>
    <w:p w:rsidR="00A210B3" w:rsidRDefault="00A210B3" w:rsidP="00CC7A1C">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A210B3" w:rsidRPr="001562D4" w:rsidRDefault="00A210B3" w:rsidP="00CC7A1C">
      <w:pPr>
        <w:numPr>
          <w:ilvl w:val="0"/>
          <w:numId w:val="24"/>
        </w:numPr>
      </w:pPr>
      <w:r>
        <w:t xml:space="preserve">On the empirical performance of the Sharpe-Lintner </w:t>
      </w:r>
      <w:r w:rsidRPr="001562D4">
        <w:t>CAPM, McKenzie and Partington found the following:</w:t>
      </w:r>
      <w:r>
        <w:rPr>
          <w:rStyle w:val="FootnoteReference"/>
        </w:rPr>
        <w:footnoteReference w:id="782"/>
      </w:r>
    </w:p>
    <w:p w:rsidR="00A210B3" w:rsidRPr="0010250E" w:rsidRDefault="00A210B3" w:rsidP="00A210B3">
      <w:pPr>
        <w:pStyle w:val="AERbulletlistfirststyle"/>
      </w:pPr>
      <w:r w:rsidRPr="001562D4">
        <w:t>The fact some work appears to show other models better explain the cross section of realised average returns does not invalidate the use of the model for several reasons</w:t>
      </w:r>
      <w:r w:rsidRPr="0010250E">
        <w:t>. For instance, the cross section of returns is only one dimension of interest.</w:t>
      </w:r>
      <w:r w:rsidRPr="0010250E">
        <w:rPr>
          <w:rStyle w:val="FootnoteReference"/>
        </w:rPr>
        <w:footnoteReference w:id="783"/>
      </w:r>
    </w:p>
    <w:p w:rsidR="00A210B3" w:rsidRPr="0010250E" w:rsidRDefault="00A210B3" w:rsidP="00A210B3">
      <w:pPr>
        <w:pStyle w:val="AERbulletlistfirststyle"/>
      </w:pPr>
      <w:r>
        <w:t>T</w:t>
      </w:r>
      <w:r w:rsidRPr="0010250E">
        <w:t>he evidence against the Sharpe-Lintner CAPM may not be as robust as once thought when more appropriate statistical tests are used.</w:t>
      </w:r>
    </w:p>
    <w:p w:rsidR="00A210B3" w:rsidRPr="0010250E" w:rsidRDefault="00A210B3" w:rsidP="00A210B3">
      <w:pPr>
        <w:pStyle w:val="AERbulletlistfirststyle"/>
      </w:pPr>
      <w:r>
        <w:t>T</w:t>
      </w:r>
      <w:r w:rsidRPr="0010250E">
        <w:t>he empirical evidence against the model does not invalidate its use for estimating the cost of capital for projects when making capital budgeting decisions.</w:t>
      </w:r>
    </w:p>
    <w:p w:rsidR="00A210B3" w:rsidRDefault="00A210B3" w:rsidP="00CC7A1C">
      <w:pPr>
        <w:numPr>
          <w:ilvl w:val="0"/>
          <w:numId w:val="24"/>
        </w:numPr>
      </w:pPr>
      <w:r>
        <w:t xml:space="preserve">Partington and Satchell made the following observations for testing empirical performances of asset pricing models: </w:t>
      </w:r>
    </w:p>
    <w:p w:rsidR="00A210B3" w:rsidRPr="0010250E" w:rsidRDefault="00A210B3" w:rsidP="00A210B3">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10250E">
        <w:rPr>
          <w:rStyle w:val="FootnoteReference"/>
        </w:rPr>
        <w:footnoteReference w:id="784"/>
      </w:r>
      <w:r w:rsidRPr="0010250E">
        <w:t xml:space="preserve"> </w:t>
      </w:r>
    </w:p>
    <w:p w:rsidR="00A210B3" w:rsidRPr="0010250E" w:rsidRDefault="00A210B3" w:rsidP="00A210B3">
      <w:pPr>
        <w:pStyle w:val="AERbulletlistfirststyle"/>
      </w:pPr>
      <w:r>
        <w:t>T</w:t>
      </w:r>
      <w:r w:rsidRPr="0010250E">
        <w:t>he results are dependent on the method used to conduct the test (for example the characteristics used in sorting stocks into portfolios when testing model performance), was also noted by Kan, Robotti and Shanken.</w:t>
      </w:r>
      <w:r w:rsidRPr="0010250E">
        <w:rPr>
          <w:rStyle w:val="FootnoteReference"/>
        </w:rPr>
        <w:t xml:space="preserve"> </w:t>
      </w:r>
      <w:r w:rsidRPr="0010250E">
        <w:rPr>
          <w:rStyle w:val="FootnoteReference"/>
        </w:rPr>
        <w:footnoteReference w:id="785"/>
      </w:r>
      <w:r w:rsidRPr="0010250E">
        <w:t xml:space="preserve"> </w:t>
      </w:r>
    </w:p>
    <w:p w:rsidR="00A210B3" w:rsidRPr="0010250E" w:rsidRDefault="00A210B3" w:rsidP="00A210B3">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10250E">
        <w:rPr>
          <w:rStyle w:val="FootnoteReference"/>
        </w:rPr>
        <w:footnoteReference w:id="786"/>
      </w:r>
    </w:p>
    <w:p w:rsidR="00A210B3" w:rsidRPr="0010250E" w:rsidRDefault="00A210B3" w:rsidP="00A210B3">
      <w:pPr>
        <w:pStyle w:val="AERbulletlistfirststyle"/>
      </w:pPr>
      <w:r w:rsidRPr="00C61D42">
        <w:t>NERA referred to the work of Kan, Robotti</w:t>
      </w:r>
      <w:r w:rsidRPr="0010250E">
        <w:t xml:space="preserve"> and Shanken for the superior performance of the Fama-French model compared to the Sharpe-Lintner CAPM.</w:t>
      </w:r>
      <w:r w:rsidRPr="0010250E">
        <w:rPr>
          <w:rStyle w:val="FootnoteReference"/>
        </w:rPr>
        <w:footnoteReference w:id="787"/>
      </w:r>
      <w:r w:rsidRPr="0010250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10250E">
        <w:rPr>
          <w:rStyle w:val="FootnoteReference"/>
        </w:rPr>
        <w:footnoteReference w:id="788"/>
      </w:r>
      <w:r w:rsidRPr="0010250E">
        <w:t xml:space="preserve">  Partington and Satchell noted that Lewellen, Nagel and Shanken have cautioned that 'none of the models provides much improvement over the simple or consumption CAPM when performance is measured by the GLS</w:t>
      </w:r>
      <w:r w:rsidRPr="0010250E">
        <w:rPr>
          <w:rStyle w:val="FootnoteReference"/>
        </w:rPr>
        <w:footnoteReference w:id="789"/>
      </w:r>
      <w:r w:rsidRPr="0010250E">
        <w:t xml:space="preserve"> R2 or q'.</w:t>
      </w:r>
      <w:r w:rsidRPr="0010250E">
        <w:rPr>
          <w:rStyle w:val="FootnoteReference"/>
        </w:rPr>
        <w:footnoteReference w:id="790"/>
      </w:r>
      <w:r w:rsidRPr="0010250E">
        <w:t xml:space="preserve"> </w:t>
      </w:r>
    </w:p>
    <w:p w:rsidR="00A210B3" w:rsidRDefault="00066E1D" w:rsidP="00CC7A1C">
      <w:pPr>
        <w:numPr>
          <w:ilvl w:val="0"/>
          <w:numId w:val="24"/>
        </w:numPr>
      </w:pPr>
      <w:r>
        <w:t>Some s</w:t>
      </w:r>
      <w:r w:rsidR="00A210B3">
        <w:t>ervice providers</w:t>
      </w:r>
      <w:r>
        <w:t xml:space="preserve"> have</w:t>
      </w:r>
      <w:r w:rsidR="00A210B3">
        <w:t xml:space="preserve"> previously submitted an empirical test of the Sharpe-Lintner CAPM and the Black CAPM by NERA that was considered in the JGN final decision.</w:t>
      </w:r>
      <w:r w:rsidR="00A210B3">
        <w:rPr>
          <w:rStyle w:val="FootnoteReference"/>
        </w:rPr>
        <w:footnoteReference w:id="791"/>
      </w:r>
      <w:r w:rsidR="00A210B3">
        <w:t xml:space="preserve"> We continue to observe that the results in NERA's report appear counterintuitive. For instance, NERA's in-sample tests indicated there was a negative relation between returns and beta</w:t>
      </w:r>
      <w:r w:rsidR="00A210B3" w:rsidRPr="0021745C">
        <w:t>—</w:t>
      </w:r>
      <w:r w:rsidR="00A210B3">
        <w:t>which is not consistent with the theory underpinning the Sharpe-Lintner CAPM or the Black CAPM.</w:t>
      </w:r>
      <w:r w:rsidR="00A210B3">
        <w:rPr>
          <w:rStyle w:val="FootnoteReference"/>
        </w:rPr>
        <w:footnoteReference w:id="792"/>
      </w:r>
      <w:r w:rsidR="00A210B3">
        <w:t xml:space="preserve"> NERA also provided an estimate of the zero-beta premium of 10.75 per cent.</w:t>
      </w:r>
      <w:r w:rsidR="00A210B3">
        <w:rPr>
          <w:rStyle w:val="FootnoteReference"/>
        </w:rPr>
        <w:footnoteReference w:id="793"/>
      </w:r>
      <w:r w:rsidR="00A210B3">
        <w:t xml:space="preserve"> It has been acknowledged that it is implausible for the zero beta premium to be equal to or greater than the market risk premium</w:t>
      </w:r>
      <w:r w:rsidR="00A210B3" w:rsidRPr="001562D4">
        <w:t>.</w:t>
      </w:r>
      <w:r w:rsidR="00A210B3" w:rsidRPr="001562D4">
        <w:rPr>
          <w:rStyle w:val="FootnoteReference"/>
        </w:rPr>
        <w:footnoteReference w:id="794"/>
      </w:r>
      <w:r w:rsidR="00A210B3">
        <w:t xml:space="preserve"> Further, having reviewed this report in relation to its results on the Black CAPM, Partington advised:</w:t>
      </w:r>
      <w:r w:rsidR="00A210B3">
        <w:rPr>
          <w:rStyle w:val="FootnoteReference"/>
        </w:rPr>
        <w:footnoteReference w:id="795"/>
      </w:r>
      <w:r w:rsidR="00A210B3">
        <w:t xml:space="preserve"> </w:t>
      </w:r>
    </w:p>
    <w:p w:rsidR="00A210B3" w:rsidRPr="00AB3FED" w:rsidRDefault="00A210B3" w:rsidP="00A210B3">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A210B3" w:rsidRPr="001562D4" w:rsidRDefault="00A210B3" w:rsidP="00A210B3">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A210B3" w:rsidRDefault="00A210B3" w:rsidP="00CC7A1C">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796"/>
      </w:r>
    </w:p>
    <w:p w:rsidR="00A210B3" w:rsidRDefault="00A210B3" w:rsidP="00CC7A1C">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97"/>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6B4A74">
        <w:t>B.2.2</w:t>
      </w:r>
      <w:r>
        <w:fldChar w:fldCharType="end"/>
      </w:r>
      <w:r>
        <w:t xml:space="preserve"> and </w:t>
      </w:r>
      <w:r>
        <w:fldChar w:fldCharType="begin"/>
      </w:r>
      <w:r>
        <w:instrText xml:space="preserve"> REF _Ref449010281 \r \h </w:instrText>
      </w:r>
      <w:r>
        <w:fldChar w:fldCharType="separate"/>
      </w:r>
      <w:r w:rsidR="006B4A74">
        <w:t>B.3.2</w:t>
      </w:r>
      <w:r>
        <w:fldChar w:fldCharType="end"/>
      </w:r>
      <w:r>
        <w:t>.</w:t>
      </w:r>
    </w:p>
    <w:p w:rsidR="00A210B3" w:rsidRDefault="00A210B3" w:rsidP="00A210B3">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98"/>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99"/>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800"/>
      </w:r>
    </w:p>
    <w:p w:rsidR="00A210B3" w:rsidRDefault="00A210B3" w:rsidP="00A210B3">
      <w:r>
        <w:t>Partington and Satchell have noted that '</w:t>
      </w:r>
      <w:r w:rsidRPr="000A45F8">
        <w:t xml:space="preserve"> a relatively flat or inverted relation between beta and realised returns is quite common in empirical work</w:t>
      </w:r>
      <w:r>
        <w:t>'.</w:t>
      </w:r>
      <w:r>
        <w:rPr>
          <w:rStyle w:val="FootnoteReference"/>
        </w:rPr>
        <w:footnoteReference w:id="801"/>
      </w:r>
      <w:r>
        <w:t xml:space="preserve"> However, they also noted that it is not clear that this is evidence that other models are better at estimating expected return on equity, stating:</w:t>
      </w:r>
      <w:r>
        <w:rPr>
          <w:rStyle w:val="FootnoteReference"/>
        </w:rPr>
        <w:footnoteReference w:id="802"/>
      </w:r>
    </w:p>
    <w:p w:rsidR="00A210B3" w:rsidRDefault="00A210B3" w:rsidP="00A210B3">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A210B3" w:rsidRDefault="00A210B3" w:rsidP="00CC7A1C">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803"/>
      </w:r>
    </w:p>
    <w:p w:rsidR="00A210B3" w:rsidRPr="00BD52D8" w:rsidRDefault="00A210B3" w:rsidP="00A210B3">
      <w:pPr>
        <w:pStyle w:val="AERquote"/>
      </w:pPr>
      <w:r w:rsidRPr="00BD52D8">
        <w:t>we note the work of Henry (2008), who finds no evidence that would support the use of the Vasicek model for Australian data.  The results of the Henry (2008) study:</w:t>
      </w:r>
    </w:p>
    <w:p w:rsidR="00A210B3" w:rsidRPr="00BD52D8" w:rsidRDefault="00A210B3" w:rsidP="00A210B3">
      <w:pPr>
        <w:pStyle w:val="AERquoteindent2"/>
      </w:pPr>
      <w:r w:rsidRPr="00BD52D8">
        <w:t>“… suggest that there is little convincing evidence of regression to unity in this data. Therefore, it is difficult to justify the application of the Blume or Vasicek adjustments.” (p. 12)</w:t>
      </w:r>
    </w:p>
    <w:p w:rsidR="00A210B3" w:rsidRDefault="00A210B3" w:rsidP="00A210B3">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804"/>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805"/>
      </w:r>
    </w:p>
    <w:p w:rsidR="00BB18D4" w:rsidRDefault="00BB18D4" w:rsidP="002656D9">
      <w:pPr>
        <w:pStyle w:val="Style1"/>
      </w:pPr>
      <w:bookmarkStart w:id="222" w:name="_Ref449004981"/>
      <w:bookmarkStart w:id="223" w:name="_Toc456686713"/>
      <w:bookmarkStart w:id="224" w:name="_Toc480460839"/>
      <w:r w:rsidRPr="00BB18D4">
        <w:t>Evidence from estimates of other models</w:t>
      </w:r>
      <w:bookmarkEnd w:id="222"/>
      <w:bookmarkEnd w:id="223"/>
      <w:bookmarkEnd w:id="224"/>
    </w:p>
    <w:p w:rsidR="00A210B3" w:rsidRDefault="00066E1D" w:rsidP="00A210B3">
      <w:r>
        <w:t>Some s</w:t>
      </w:r>
      <w:r w:rsidR="00A210B3">
        <w:t>ervice providers</w:t>
      </w:r>
      <w:r>
        <w:t xml:space="preserve"> have</w:t>
      </w:r>
      <w:r w:rsidR="00A210B3" w:rsidRPr="001562D4">
        <w:t xml:space="preserve"> </w:t>
      </w:r>
      <w:r w:rsidR="00A210B3">
        <w:t>previously submitted:</w:t>
      </w:r>
    </w:p>
    <w:p w:rsidR="00A210B3" w:rsidRPr="0010250E" w:rsidRDefault="00A210B3" w:rsidP="00A210B3">
      <w:pPr>
        <w:pStyle w:val="AERbulletlistfirststyle"/>
      </w:pPr>
      <w:r>
        <w:t xml:space="preserve">the Black CAPM as evidence that the Sharpe-Lintner CAPM displays low beta bias (that is, </w:t>
      </w:r>
      <w:r w:rsidRPr="0010250E">
        <w:t>downward biased for stocks with a beta of less than one)</w:t>
      </w:r>
    </w:p>
    <w:p w:rsidR="00A210B3" w:rsidRPr="0010250E" w:rsidRDefault="00A210B3" w:rsidP="00A210B3">
      <w:pPr>
        <w:pStyle w:val="AERbulletlistfirststyle"/>
      </w:pPr>
      <w:r>
        <w:t>the Fama-French model as evidence that the Sharpe-Lintner CAPM displays book-to-market bias</w:t>
      </w:r>
    </w:p>
    <w:p w:rsidR="00A210B3" w:rsidRPr="0010250E" w:rsidRDefault="00A210B3" w:rsidP="00A210B3">
      <w:pPr>
        <w:pStyle w:val="AERbulletlistfirststyle"/>
      </w:pPr>
      <w:r>
        <w:t>the dividend growth model as evidence that the Sharpe-Lintner CAPM, as applied by the AER, is not reflective of prevailing market conditions.</w:t>
      </w:r>
    </w:p>
    <w:p w:rsidR="00A210B3" w:rsidRDefault="00A210B3" w:rsidP="00CC7A1C">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A210B3" w:rsidRDefault="00A210B3" w:rsidP="00CC7A1C">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6B4A74">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6B4A74">
        <w:t>B.2</w:t>
      </w:r>
      <w:r>
        <w:fldChar w:fldCharType="end"/>
      </w:r>
      <w:r>
        <w:t xml:space="preserve">, </w:t>
      </w:r>
      <w:r>
        <w:fldChar w:fldCharType="begin"/>
      </w:r>
      <w:r>
        <w:instrText xml:space="preserve"> REF _Ref449007420 \r \h </w:instrText>
      </w:r>
      <w:r>
        <w:fldChar w:fldCharType="separate"/>
      </w:r>
      <w:r w:rsidR="006B4A74">
        <w:t>B.3</w:t>
      </w:r>
      <w:r>
        <w:fldChar w:fldCharType="end"/>
      </w:r>
      <w:r>
        <w:t xml:space="preserve">, and </w:t>
      </w:r>
      <w:r>
        <w:fldChar w:fldCharType="begin"/>
      </w:r>
      <w:r>
        <w:instrText xml:space="preserve"> REF _Ref449007421 \r \h </w:instrText>
      </w:r>
      <w:r>
        <w:fldChar w:fldCharType="separate"/>
      </w:r>
      <w:r w:rsidR="006B4A74">
        <w:t>B.4</w:t>
      </w:r>
      <w:r>
        <w:fldChar w:fldCharType="end"/>
      </w:r>
      <w:r>
        <w:t xml:space="preserve"> respectively.</w:t>
      </w:r>
    </w:p>
    <w:p w:rsidR="00F67D55" w:rsidRDefault="00F67D55" w:rsidP="002656D9"/>
    <w:p w:rsidR="00F67D55" w:rsidRPr="00A210B3" w:rsidRDefault="00F67D55" w:rsidP="002656D9"/>
    <w:p w:rsidR="00BB18D4" w:rsidRDefault="00BB18D4" w:rsidP="00BB18D4">
      <w:pPr>
        <w:pStyle w:val="Heading8"/>
      </w:pPr>
      <w:bookmarkStart w:id="225" w:name="_Ref449007419"/>
      <w:bookmarkStart w:id="226" w:name="_Toc451943787"/>
      <w:bookmarkStart w:id="227" w:name="_Toc456686714"/>
      <w:bookmarkStart w:id="228" w:name="_Toc481057468"/>
      <w:r w:rsidRPr="00BB18D4">
        <w:t>Black CAPM</w:t>
      </w:r>
      <w:bookmarkEnd w:id="225"/>
      <w:bookmarkEnd w:id="226"/>
      <w:bookmarkEnd w:id="227"/>
      <w:bookmarkEnd w:id="228"/>
    </w:p>
    <w:p w:rsidR="00A210B3" w:rsidRPr="001562D4" w:rsidRDefault="00A210B3" w:rsidP="00A210B3">
      <w:r w:rsidRPr="001562D4">
        <w:t>Fischer Black developed a version of the CAPM with restricted borrowing</w:t>
      </w:r>
      <w:r>
        <w:t xml:space="preserve"> (the Black CAPM)</w:t>
      </w:r>
      <w:r w:rsidRPr="001562D4">
        <w:t>.</w:t>
      </w:r>
      <w:r w:rsidRPr="001562D4">
        <w:rPr>
          <w:rStyle w:val="FootnoteReference"/>
        </w:rPr>
        <w:footnoteReference w:id="806"/>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807"/>
      </w:r>
      <w:r w:rsidRPr="001562D4">
        <w:t xml:space="preserve"> </w:t>
      </w:r>
      <w:r>
        <w:t>Unlimited short selling does not hold in practice either</w:t>
      </w:r>
      <w:r w:rsidRPr="001562D4">
        <w:t>.</w:t>
      </w:r>
      <w:r>
        <w:rPr>
          <w:rStyle w:val="FootnoteReference"/>
        </w:rPr>
        <w:footnoteReference w:id="808"/>
      </w:r>
    </w:p>
    <w:p w:rsidR="00A210B3" w:rsidRDefault="00A210B3" w:rsidP="00A210B3">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809"/>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A210B3" w:rsidRDefault="00A210B3" w:rsidP="00CC7A1C">
      <w:pPr>
        <w:numPr>
          <w:ilvl w:val="0"/>
          <w:numId w:val="24"/>
        </w:numPr>
      </w:pPr>
      <w:r>
        <w:t>We have reviewed the material submitted to us</w:t>
      </w:r>
      <w:r>
        <w:rPr>
          <w:rStyle w:val="FootnoteReference"/>
        </w:rPr>
        <w:footnoteReference w:id="810"/>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AusNet Services'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11"/>
      </w:r>
      <w:r w:rsidRPr="002E1BC3">
        <w:rPr>
          <w:rStyle w:val="FootnoteReference"/>
        </w:rPr>
        <w:t xml:space="preserve"> </w:t>
      </w:r>
    </w:p>
    <w:p w:rsidR="00A210B3" w:rsidRPr="001562D4" w:rsidDel="00BF79E1" w:rsidRDefault="00A210B3" w:rsidP="00A210B3">
      <w:r>
        <w:t>Therefore, our approach is to:</w:t>
      </w:r>
    </w:p>
    <w:p w:rsidR="00A210B3" w:rsidRPr="0010250E" w:rsidRDefault="00A210B3" w:rsidP="00A210B3">
      <w:pPr>
        <w:pStyle w:val="AERbulletlistfirststyle"/>
      </w:pPr>
      <w:r>
        <w:t>use the</w:t>
      </w:r>
      <w:r w:rsidRPr="0010250E">
        <w:t xml:space="preserve"> theory behind the Black CAPM to inform the equity beta estimate in the Sharpe-Lintner CAPM.</w:t>
      </w:r>
    </w:p>
    <w:p w:rsidR="00A210B3" w:rsidRPr="0010250E" w:rsidRDefault="00A210B3" w:rsidP="00A210B3">
      <w:pPr>
        <w:pStyle w:val="AERbulletlistfirststyle"/>
      </w:pPr>
      <w:r>
        <w:t>not use the</w:t>
      </w:r>
      <w:r w:rsidRPr="0010250E">
        <w:t xml:space="preserve"> Black CAPM to empirically estimate the return on equity for the benchmark efficient entity.</w:t>
      </w:r>
    </w:p>
    <w:p w:rsidR="00A210B3" w:rsidRPr="001562D4" w:rsidRDefault="00A210B3" w:rsidP="00A210B3">
      <w:r>
        <w:t>Our use of the</w:t>
      </w:r>
      <w:r w:rsidRPr="006C4D93">
        <w:t xml:space="preserve"> Black CAPM </w:t>
      </w:r>
      <w:r>
        <w:t>is due to the following reasons:</w:t>
      </w:r>
    </w:p>
    <w:p w:rsidR="00A210B3" w:rsidRPr="0010250E" w:rsidRDefault="00A210B3" w:rsidP="00A210B3">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A210B3" w:rsidRPr="0010250E" w:rsidRDefault="00A210B3" w:rsidP="00A210B3">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812"/>
      </w:r>
      <w:r w:rsidRPr="0010250E">
        <w:t xml:space="preserve"> In particular, regulators rarely have recourse to the Black CAPM.</w:t>
      </w:r>
      <w:r w:rsidRPr="0010250E">
        <w:rPr>
          <w:rStyle w:val="FootnoteReference"/>
        </w:rPr>
        <w:footnoteReference w:id="813"/>
      </w:r>
      <w:r w:rsidRPr="0010250E">
        <w:t xml:space="preserve"> This view was supported by Handley.</w:t>
      </w:r>
      <w:r w:rsidRPr="0010250E">
        <w:rPr>
          <w:rStyle w:val="FootnoteReference"/>
        </w:rPr>
        <w:footnoteReference w:id="814"/>
      </w:r>
    </w:p>
    <w:p w:rsidR="00A210B3" w:rsidRPr="0010250E" w:rsidRDefault="00A210B3" w:rsidP="00A210B3">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815"/>
      </w:r>
      <w:r w:rsidRPr="0010250E">
        <w:t xml:space="preserve"> </w:t>
      </w:r>
    </w:p>
    <w:p w:rsidR="00A210B3" w:rsidRPr="0010250E" w:rsidRDefault="00A210B3" w:rsidP="00A210B3">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816"/>
      </w:r>
    </w:p>
    <w:p w:rsidR="00A210B3" w:rsidRDefault="00A210B3" w:rsidP="00A210B3">
      <w:r>
        <w:t xml:space="preserve">We elaborate on our reasons for these positions in sections </w:t>
      </w:r>
      <w:r>
        <w:fldChar w:fldCharType="begin"/>
      </w:r>
      <w:r>
        <w:instrText xml:space="preserve"> REF _Ref448924784 \r \h </w:instrText>
      </w:r>
      <w:r>
        <w:fldChar w:fldCharType="separate"/>
      </w:r>
      <w:r w:rsidR="006B4A74">
        <w:t>B.2.1</w:t>
      </w:r>
      <w:r>
        <w:fldChar w:fldCharType="end"/>
      </w:r>
      <w:r>
        <w:t xml:space="preserve"> to </w:t>
      </w:r>
      <w:r>
        <w:fldChar w:fldCharType="begin"/>
      </w:r>
      <w:r>
        <w:instrText xml:space="preserve"> REF _Ref448924785 \r \h </w:instrText>
      </w:r>
      <w:r>
        <w:fldChar w:fldCharType="separate"/>
      </w:r>
      <w:r w:rsidR="006B4A74">
        <w:t>B.2.3</w:t>
      </w:r>
      <w:r>
        <w:fldChar w:fldCharType="end"/>
      </w:r>
      <w:r>
        <w:t xml:space="preserve"> below.</w:t>
      </w:r>
    </w:p>
    <w:p w:rsidR="00A210B3" w:rsidRPr="001562D4" w:rsidRDefault="00066E1D" w:rsidP="00A210B3">
      <w:r>
        <w:t xml:space="preserve">Some service </w:t>
      </w:r>
      <w:r w:rsidR="00A210B3">
        <w:t>providers previously proposed</w:t>
      </w:r>
      <w:r w:rsidR="00A210B3" w:rsidRPr="001562D4">
        <w:t xml:space="preserve"> that empirical estimates from the Black CAPM should be used for e</w:t>
      </w:r>
      <w:r w:rsidR="00A210B3">
        <w:t>stimating the return on equity</w:t>
      </w:r>
      <w:r w:rsidR="00A210B3" w:rsidRPr="001562D4">
        <w:t>.</w:t>
      </w:r>
      <w:r w:rsidR="00A210B3" w:rsidRPr="001562D4">
        <w:rPr>
          <w:rStyle w:val="FootnoteReference"/>
        </w:rPr>
        <w:footnoteReference w:id="817"/>
      </w:r>
      <w:r w:rsidR="00A210B3">
        <w:t xml:space="preserve"> </w:t>
      </w:r>
      <w:r w:rsidR="00A210B3" w:rsidRPr="001562D4">
        <w:t xml:space="preserve">In support of </w:t>
      </w:r>
      <w:r w:rsidR="00A210B3">
        <w:t>using</w:t>
      </w:r>
      <w:r w:rsidR="00A210B3" w:rsidRPr="001562D4">
        <w:t xml:space="preserve"> empirical </w:t>
      </w:r>
      <w:r w:rsidR="00A210B3">
        <w:t>return on equity</w:t>
      </w:r>
      <w:r w:rsidR="00A210B3" w:rsidRPr="001562D4">
        <w:t xml:space="preserve"> estimates from the Black CAPM,</w:t>
      </w:r>
      <w:r w:rsidR="00A210B3">
        <w:t xml:space="preserve"> </w:t>
      </w:r>
      <w:r>
        <w:t>it has been argued</w:t>
      </w:r>
      <w:r w:rsidR="00A210B3">
        <w:t xml:space="preserve"> that: </w:t>
      </w:r>
    </w:p>
    <w:p w:rsidR="00A210B3" w:rsidRPr="0010250E" w:rsidRDefault="00A210B3" w:rsidP="00A210B3">
      <w:pPr>
        <w:pStyle w:val="AERbulletlistfirststyle"/>
      </w:pPr>
      <w:r>
        <w:t xml:space="preserve">Empirical evidence indicates that the SL-CAPM will lead to downwardly biased </w:t>
      </w:r>
      <w:r w:rsidRPr="0010250E">
        <w:t>estimates of the return on equity for low-beta stocks.</w:t>
      </w:r>
      <w:r w:rsidRPr="0010250E">
        <w:rPr>
          <w:rStyle w:val="FootnoteReference"/>
        </w:rPr>
        <w:footnoteReference w:id="818"/>
      </w:r>
    </w:p>
    <w:p w:rsidR="00A210B3" w:rsidRDefault="00A210B3" w:rsidP="00A210B3">
      <w:pPr>
        <w:pStyle w:val="AERbulletlistfirststyle"/>
      </w:pPr>
      <w:r>
        <w:t>The AER cannot reject the use of the Black CAPM based on concerns with reliability without testing SFG's zero-beta premium or 'seeking a reliable estimate' of the premium</w:t>
      </w:r>
      <w:r w:rsidRPr="0010250E">
        <w:rPr>
          <w:rStyle w:val="FootnoteReference"/>
        </w:rPr>
        <w:footnoteReference w:id="819"/>
      </w:r>
    </w:p>
    <w:p w:rsidR="00A210B3" w:rsidRPr="0010250E" w:rsidRDefault="00A210B3" w:rsidP="00A210B3">
      <w:pPr>
        <w:pStyle w:val="AERbulletlistfirststyle"/>
      </w:pPr>
      <w:r>
        <w:t>The AER stated that the zero beta portfolio is hard to estimate but Gray and Hall (SFG) have provided an estimate.</w:t>
      </w:r>
      <w:r>
        <w:rPr>
          <w:rStyle w:val="FootnoteReference"/>
        </w:rPr>
        <w:footnoteReference w:id="820"/>
      </w:r>
    </w:p>
    <w:p w:rsidR="00A210B3" w:rsidRPr="0010250E" w:rsidRDefault="00A210B3" w:rsidP="00A210B3">
      <w:pPr>
        <w:pStyle w:val="AERbulletlistfirststyle"/>
      </w:pPr>
      <w:r>
        <w:t>The AER's return on equity estimate is below those from other relevant return on equity models.</w:t>
      </w:r>
      <w:r w:rsidRPr="0010250E">
        <w:rPr>
          <w:rStyle w:val="FootnoteReference"/>
        </w:rPr>
        <w:footnoteReference w:id="821"/>
      </w:r>
    </w:p>
    <w:p w:rsidR="00A210B3" w:rsidRPr="0010250E" w:rsidRDefault="00A210B3" w:rsidP="00A210B3">
      <w:pPr>
        <w:pStyle w:val="AERbulletlistfirststyle"/>
      </w:pPr>
      <w:r>
        <w:t>Consultant reports and US regulators show that the Black CAPM is used in rate of return regulation cases.</w:t>
      </w:r>
      <w:r w:rsidRPr="0010250E">
        <w:rPr>
          <w:rStyle w:val="FootnoteReference"/>
        </w:rPr>
        <w:footnoteReference w:id="822"/>
      </w:r>
      <w:r w:rsidRPr="0010250E">
        <w:t xml:space="preserve"> </w:t>
      </w:r>
    </w:p>
    <w:p w:rsidR="00A210B3" w:rsidRPr="00A210B3" w:rsidRDefault="00A210B3" w:rsidP="00CC7A1C">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AGN's risk in providing regulated services. We elaborate on our response to these submissions in sections </w:t>
      </w:r>
      <w:r>
        <w:fldChar w:fldCharType="begin"/>
      </w:r>
      <w:r>
        <w:instrText xml:space="preserve"> REF _Ref448924784 \r \h </w:instrText>
      </w:r>
      <w:r>
        <w:fldChar w:fldCharType="separate"/>
      </w:r>
      <w:r w:rsidR="006B4A74">
        <w:t>B.2.1</w:t>
      </w:r>
      <w:r>
        <w:fldChar w:fldCharType="end"/>
      </w:r>
      <w:r>
        <w:t xml:space="preserve"> to </w:t>
      </w:r>
      <w:r>
        <w:fldChar w:fldCharType="begin"/>
      </w:r>
      <w:r>
        <w:instrText xml:space="preserve"> REF _Ref448924785 \r \h </w:instrText>
      </w:r>
      <w:r>
        <w:fldChar w:fldCharType="separate"/>
      </w:r>
      <w:r w:rsidR="006B4A74">
        <w:t>B.2.3</w:t>
      </w:r>
      <w:r>
        <w:fldChar w:fldCharType="end"/>
      </w:r>
      <w:r>
        <w:t xml:space="preserve"> below.</w:t>
      </w:r>
    </w:p>
    <w:p w:rsidR="00BB18D4" w:rsidRPr="00F67D55" w:rsidRDefault="00BB18D4" w:rsidP="00F67D55">
      <w:pPr>
        <w:pStyle w:val="Heading9"/>
      </w:pPr>
      <w:bookmarkStart w:id="229" w:name="_Ref448924784"/>
      <w:bookmarkStart w:id="230" w:name="_Toc456686715"/>
      <w:bookmarkStart w:id="231" w:name="_Toc480460841"/>
      <w:r w:rsidRPr="00F67D55">
        <w:t>Empirical reliability of the Black CAPM</w:t>
      </w:r>
      <w:bookmarkEnd w:id="229"/>
      <w:bookmarkEnd w:id="230"/>
      <w:bookmarkEnd w:id="231"/>
    </w:p>
    <w:p w:rsidR="00A210B3" w:rsidRDefault="00A210B3" w:rsidP="00A210B3">
      <w:r>
        <w:t>We consider that there appears no consensus on the methodological choices required to construct a zero-beta portfolio.</w:t>
      </w:r>
    </w:p>
    <w:p w:rsidR="00A210B3" w:rsidRPr="007B60D8" w:rsidRDefault="00A210B3" w:rsidP="00CC7A1C">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823"/>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824"/>
      </w:r>
      <w:r w:rsidRPr="00C61D42">
        <w:t xml:space="preserve"> They noted Beaulieu, Dufour and Khalaf's conclusion that the estimate of the zero beta return is unstable and unreliable over time.</w:t>
      </w:r>
      <w:r w:rsidRPr="00C61D42">
        <w:rPr>
          <w:rStyle w:val="FootnoteReference"/>
        </w:rPr>
        <w:footnoteReference w:id="825"/>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826"/>
      </w:r>
    </w:p>
    <w:p w:rsidR="00A210B3" w:rsidRPr="001562D4" w:rsidRDefault="00A210B3" w:rsidP="00CC7A1C">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827"/>
      </w:r>
    </w:p>
    <w:p w:rsidR="00A210B3" w:rsidRPr="0010250E" w:rsidRDefault="00A210B3" w:rsidP="00A210B3">
      <w:pPr>
        <w:pStyle w:val="AERbulletlistfirststyle"/>
      </w:pPr>
      <w:r w:rsidRPr="001562D4">
        <w:t xml:space="preserve">CEG (2008) reports zero beta </w:t>
      </w:r>
      <w:r w:rsidRPr="0010250E">
        <w:t>premium estimates between 7.21 and 10.31 per cent per annum.</w:t>
      </w:r>
    </w:p>
    <w:p w:rsidR="00A210B3" w:rsidRPr="0010250E" w:rsidRDefault="00A210B3" w:rsidP="00A210B3">
      <w:pPr>
        <w:pStyle w:val="AERbulletlistfirststyle"/>
      </w:pPr>
      <w:r w:rsidRPr="001562D4">
        <w:t xml:space="preserve">NERA (2013) reports zero beta </w:t>
      </w:r>
      <w:r w:rsidRPr="0010250E">
        <w:t>premium estimates between 8.74 and 13.95 per cent per annum.</w:t>
      </w:r>
    </w:p>
    <w:p w:rsidR="00A210B3" w:rsidRDefault="00A210B3" w:rsidP="00CC7A1C">
      <w:pPr>
        <w:numPr>
          <w:ilvl w:val="0"/>
          <w:numId w:val="24"/>
        </w:numPr>
      </w:pPr>
      <w:r w:rsidRPr="001562D4">
        <w:t>NERA also acknowledge</w:t>
      </w:r>
      <w:r>
        <w:t>d</w:t>
      </w:r>
      <w:r w:rsidRPr="001562D4">
        <w:t xml:space="preserve"> that</w:t>
      </w:r>
      <w:r>
        <w:t>:</w:t>
      </w:r>
      <w:r w:rsidRPr="001562D4">
        <w:rPr>
          <w:rStyle w:val="FootnoteReference"/>
        </w:rPr>
        <w:footnoteReference w:id="828"/>
      </w:r>
    </w:p>
    <w:p w:rsidR="00A210B3" w:rsidRDefault="00A210B3" w:rsidP="00A210B3">
      <w:pPr>
        <w:pStyle w:val="AERquote"/>
      </w:pPr>
      <w:r w:rsidRPr="001562D4">
        <w:t>estimates of the zero-beta premium produced by studies that use long time series of Australian data are generally larger than estimates of the MRP that the AER has in the past used</w:t>
      </w:r>
      <w:r>
        <w:t>.</w:t>
      </w:r>
    </w:p>
    <w:p w:rsidR="00A210B3" w:rsidRDefault="00A210B3" w:rsidP="00CC7A1C">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829"/>
      </w:r>
      <w:r>
        <w:t xml:space="preserve"> Similarly, SFG submitted that imprecise estimates of the zero beta premium arose from the imprecision in the relationship between beta and stock returns.</w:t>
      </w:r>
      <w:r>
        <w:rPr>
          <w:rStyle w:val="FootnoteReference"/>
        </w:rPr>
        <w:footnoteReference w:id="830"/>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831"/>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A210B3" w:rsidRDefault="00A210B3" w:rsidP="00CC7A1C">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832"/>
      </w:r>
      <w:r w:rsidRPr="00CA5AF6">
        <w:t xml:space="preserve"> </w:t>
      </w:r>
    </w:p>
    <w:p w:rsidR="00A210B3" w:rsidRPr="00C854DA" w:rsidRDefault="00A210B3" w:rsidP="00CC7A1C">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833"/>
      </w:r>
    </w:p>
    <w:p w:rsidR="00A210B3" w:rsidRPr="001562D4" w:rsidRDefault="00A210B3" w:rsidP="00CC7A1C">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834"/>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835"/>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836"/>
      </w:r>
    </w:p>
    <w:p w:rsidR="00A210B3" w:rsidRPr="001562D4" w:rsidRDefault="00A210B3" w:rsidP="00A210B3">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A210B3" w:rsidRPr="001562D4" w:rsidRDefault="00A210B3" w:rsidP="00CC7A1C">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837"/>
      </w:r>
    </w:p>
    <w:p w:rsidR="00A210B3" w:rsidRDefault="00A210B3" w:rsidP="00A210B3">
      <w:pPr>
        <w:pStyle w:val="AERquote"/>
      </w:pPr>
      <w:r w:rsidRPr="001562D4">
        <w:t>Our point that ‘what you get depends very heavily on what you do’ is well illustrated by the SFG estimate of the zero beta premium, which is quite different to the NERA estimate</w:t>
      </w:r>
    </w:p>
    <w:p w:rsidR="00A210B3" w:rsidRDefault="00A210B3" w:rsidP="00A210B3">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838"/>
      </w:r>
      <w:r>
        <w:t xml:space="preserve"> Having reviewed SFG's report, Partington advised:</w:t>
      </w:r>
      <w:r>
        <w:rPr>
          <w:rStyle w:val="FootnoteReference"/>
        </w:rPr>
        <w:footnoteReference w:id="839"/>
      </w:r>
    </w:p>
    <w:p w:rsidR="00A210B3" w:rsidRPr="009A5577" w:rsidRDefault="00A210B3" w:rsidP="00A210B3">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A210B3" w:rsidRPr="00127ECB" w:rsidRDefault="00A210B3" w:rsidP="00A210B3">
      <w:r>
        <w:t xml:space="preserve">We received a number of submissions from </w:t>
      </w:r>
      <w:r w:rsidR="00066E1D">
        <w:t>other</w:t>
      </w:r>
      <w:r>
        <w:t xml:space="preserve"> service providers and their consultants on the Black CAPM in previous regulatory processes. However, they largely surround issues previously considered in our Guideline and/or previous decisions.</w:t>
      </w:r>
      <w:r>
        <w:rPr>
          <w:rStyle w:val="FootnoteReference"/>
        </w:rPr>
        <w:footnoteReference w:id="840"/>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841"/>
      </w:r>
      <w:r>
        <w:t xml:space="preserve"> AusNet Services also argued against the zero-beta portfolio being hard to estimate.</w:t>
      </w:r>
      <w:r>
        <w:rPr>
          <w:rStyle w:val="FootnoteReference"/>
        </w:rPr>
        <w:footnoteReference w:id="842"/>
      </w:r>
    </w:p>
    <w:p w:rsidR="00A210B3" w:rsidRDefault="00066E1D" w:rsidP="00A210B3">
      <w:r>
        <w:t>Some s</w:t>
      </w:r>
      <w:r w:rsidR="00A210B3">
        <w:t xml:space="preserve">ervice providers previously </w:t>
      </w:r>
      <w:r>
        <w:t xml:space="preserve">submitted </w:t>
      </w:r>
      <w:r w:rsidR="00A210B3">
        <w:t>that, g</w:t>
      </w:r>
      <w:r w:rsidR="00A210B3" w:rsidRPr="00127ECB">
        <w:t xml:space="preserve">iven </w:t>
      </w:r>
      <w:r w:rsidR="00A210B3">
        <w:t>t</w:t>
      </w:r>
      <w:r w:rsidR="00A210B3" w:rsidRPr="00127ECB">
        <w:t xml:space="preserve">he Black CAPM is a relevant model, a proper examination should be undertaken </w:t>
      </w:r>
      <w:r w:rsidR="00A210B3">
        <w:t>for</w:t>
      </w:r>
      <w:r w:rsidR="00A210B3" w:rsidRPr="00127ECB">
        <w:t xml:space="preserve"> the</w:t>
      </w:r>
      <w:r w:rsidR="00A210B3">
        <w:t xml:space="preserve"> </w:t>
      </w:r>
      <w:r w:rsidR="00A210B3" w:rsidRPr="00127ECB">
        <w:t>best estimate for the zero-beta premium and this value should be used</w:t>
      </w:r>
      <w:r w:rsidR="00A210B3">
        <w:t xml:space="preserve"> instead of </w:t>
      </w:r>
      <w:r w:rsidR="00A210B3" w:rsidRPr="00127ECB">
        <w:t>effectively assum</w:t>
      </w:r>
      <w:r w:rsidR="00A210B3">
        <w:t xml:space="preserve">ing </w:t>
      </w:r>
      <w:r w:rsidR="00A210B3" w:rsidRPr="00127ECB">
        <w:t>this to be ze</w:t>
      </w:r>
      <w:r w:rsidR="00A210B3">
        <w:t xml:space="preserve">ro (by relying solely on the Sharpe-Lintner </w:t>
      </w:r>
      <w:r w:rsidR="00A210B3" w:rsidRPr="00127ECB">
        <w:t>CAPM to estimate the return on equity).</w:t>
      </w:r>
      <w:r w:rsidR="00A210B3">
        <w:rPr>
          <w:rStyle w:val="FootnoteReference"/>
        </w:rPr>
        <w:footnoteReference w:id="843"/>
      </w:r>
      <w:r w:rsidR="00A210B3" w:rsidRPr="00127ECB">
        <w:t xml:space="preserve"> </w:t>
      </w:r>
      <w:r w:rsidR="00A210B3">
        <w:t>AusNet Services have also submitted that the Black CAPM should be used as part of the multi-model approach for estimating the required return on equity.</w:t>
      </w:r>
      <w:r w:rsidR="00A210B3">
        <w:rPr>
          <w:rStyle w:val="FootnoteReference"/>
        </w:rPr>
        <w:footnoteReference w:id="844"/>
      </w:r>
    </w:p>
    <w:p w:rsidR="00A210B3" w:rsidRDefault="00A210B3" w:rsidP="00A210B3">
      <w:pPr>
        <w:rPr>
          <w:rStyle w:val="AERbody"/>
        </w:rPr>
      </w:pPr>
      <w:r>
        <w:rPr>
          <w:rStyle w:val="AERbody"/>
        </w:rPr>
        <w:t>Partington and Satchell continue to note a range of issues (some of which are long-standing) with the Black CAPM in their latest report:</w:t>
      </w:r>
    </w:p>
    <w:p w:rsidR="00A210B3" w:rsidRPr="0010250E" w:rsidRDefault="00A210B3" w:rsidP="00A210B3">
      <w:pPr>
        <w:pStyle w:val="AERbulletlistfirststyle"/>
      </w:pPr>
      <w:r>
        <w:t>Examinations of important academic research on the Black CAPM show that it is based on a number of unrealistic assumptions, such as unrestricted short-selling.</w:t>
      </w:r>
      <w:r w:rsidRPr="0010250E">
        <w:rPr>
          <w:rStyle w:val="FootnoteReference"/>
        </w:rPr>
        <w:footnoteReference w:id="845"/>
      </w:r>
      <w:r w:rsidRPr="0010250E">
        <w:t xml:space="preserve"> In particular, the 1971 Brennan paper indicates that the Black CAPM is unsuitable for regulatory use due to its assumption of two Markowitz portfolios as we cannot be certain what the properties of the market portfolio actually are. </w:t>
      </w:r>
    </w:p>
    <w:p w:rsidR="00A210B3" w:rsidRPr="0010250E" w:rsidRDefault="00A210B3" w:rsidP="00A210B3">
      <w:pPr>
        <w:pStyle w:val="AERbulletlistfirststyle"/>
        <w:rPr>
          <w:rStyle w:val="AERbody"/>
        </w:rPr>
      </w:pPr>
      <w:r>
        <w:rPr>
          <w:rStyle w:val="AERbody"/>
        </w:rPr>
        <w:t>There are a range of issues with implementing the Black CAPM.</w:t>
      </w:r>
      <w:r w:rsidRPr="0010250E">
        <w:rPr>
          <w:rStyle w:val="FootnoteReference"/>
        </w:rPr>
        <w:footnoteReference w:id="846"/>
      </w:r>
      <w:r w:rsidRPr="0010250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A210B3" w:rsidRPr="0010250E" w:rsidRDefault="00A210B3" w:rsidP="00A210B3">
      <w:pPr>
        <w:pStyle w:val="AERbulletlistfirststyle"/>
      </w:pPr>
      <w:r>
        <w:t>The zero beta premium estimates is not current nor observable and the standard errors of the estimates are substantial.</w:t>
      </w:r>
      <w:r w:rsidRPr="0010250E">
        <w:rPr>
          <w:rStyle w:val="FootnoteReference"/>
        </w:rPr>
        <w:footnoteReference w:id="847"/>
      </w:r>
    </w:p>
    <w:p w:rsidR="00A210B3" w:rsidRDefault="00A210B3" w:rsidP="00A210B3">
      <w:r>
        <w:t>After reviewing the material submitted to us, we are satisfied that we do not need to estimate the Black CAPM.</w:t>
      </w:r>
    </w:p>
    <w:p w:rsidR="00A210B3" w:rsidRDefault="00A210B3" w:rsidP="00A210B3">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848"/>
      </w:r>
      <w:r w:rsidRPr="001B55CE">
        <w:t xml:space="preserve"> </w:t>
      </w:r>
    </w:p>
    <w:p w:rsidR="00A210B3" w:rsidRPr="001B6CF5" w:rsidRDefault="00A210B3" w:rsidP="00A210B3">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A210B3" w:rsidRDefault="00A210B3" w:rsidP="00A210B3">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849"/>
      </w:r>
    </w:p>
    <w:p w:rsidR="00A210B3" w:rsidRDefault="00A210B3" w:rsidP="00A210B3">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850"/>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A210B3" w:rsidRDefault="00A210B3" w:rsidP="00A210B3">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851"/>
      </w:r>
    </w:p>
    <w:p w:rsidR="00A210B3" w:rsidRPr="00F8120D" w:rsidRDefault="00A210B3" w:rsidP="00A210B3">
      <w:pPr>
        <w:pStyle w:val="AERquote"/>
      </w:pPr>
      <w:r w:rsidRPr="00F8120D">
        <w:t>[Beaulieu, Dufour and Khalaf (2012) states that] even if estimated betas are not close to one, irregularities associated with WI [weak identification] are not at all precluded [in view of (1) and (2) above]…</w:t>
      </w:r>
    </w:p>
    <w:p w:rsidR="00A210B3" w:rsidRPr="00F8120D" w:rsidRDefault="00A210B3" w:rsidP="00A210B3">
      <w:pPr>
        <w:pStyle w:val="AERquote"/>
      </w:pPr>
      <w:r w:rsidRPr="00F8120D">
        <w:t xml:space="preserve"> [Their statement states that] even if the estimated betas are not close to one, this is not a sufficient condition to preclude problems of estimation and inference.</w:t>
      </w:r>
    </w:p>
    <w:p w:rsidR="00A210B3" w:rsidRPr="003E007E" w:rsidRDefault="00A210B3" w:rsidP="00A210B3">
      <w:pPr>
        <w:pStyle w:val="AERquote"/>
      </w:pPr>
      <w:r w:rsidRPr="00F8120D">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A210B3" w:rsidRDefault="00A210B3" w:rsidP="00A210B3">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852"/>
      </w:r>
    </w:p>
    <w:p w:rsidR="00A210B3" w:rsidRDefault="00A210B3" w:rsidP="00A210B3">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853"/>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854"/>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855"/>
      </w:r>
    </w:p>
    <w:p w:rsidR="00A210B3" w:rsidRPr="00890E90" w:rsidRDefault="00A210B3" w:rsidP="00A210B3">
      <w:r>
        <w:t>HoustonKemp submitted in respect of the asset pricing tests in Lewellen, Nagel and Shanken:</w:t>
      </w:r>
      <w:r w:rsidRPr="00890E90">
        <w:rPr>
          <w:rStyle w:val="FootnoteReference"/>
        </w:rPr>
        <w:footnoteReference w:id="856"/>
      </w:r>
      <w:r w:rsidRPr="00890E90">
        <w:t xml:space="preserve">  </w:t>
      </w:r>
    </w:p>
    <w:p w:rsidR="00A210B3" w:rsidRPr="0010250E" w:rsidRDefault="00A210B3" w:rsidP="00A210B3">
      <w:pPr>
        <w:pStyle w:val="AERbulletlistfirststyle"/>
      </w:pPr>
      <w:r>
        <w:t>Lewellen, Nagel and Shanken</w:t>
      </w:r>
      <w:r w:rsidRPr="0010250E">
        <w:t xml:space="preserve"> find that there is little relation between mean return and beta, and that estimates of the zero-beta premium are large and both economically and statistically significant.</w:t>
      </w:r>
    </w:p>
    <w:p w:rsidR="00A210B3" w:rsidRPr="0010250E" w:rsidRDefault="00A210B3" w:rsidP="00A210B3">
      <w:pPr>
        <w:pStyle w:val="AERbulletlistfirststyle"/>
      </w:pPr>
      <w:r w:rsidRPr="00065C01">
        <w:t>Lewellen, Nagel and Shanken find</w:t>
      </w:r>
      <w:r w:rsidRPr="0010250E">
        <w:t xml:space="preserve"> statistically significant evidence that the Sharpe-Lintner CAPM will deliver downwardly biased estimates of the returns required on low-beta portfolios of stocks.</w:t>
      </w:r>
    </w:p>
    <w:p w:rsidR="00A210B3" w:rsidRPr="009A482A" w:rsidRDefault="00A210B3" w:rsidP="00A210B3">
      <w:pPr>
        <w:rPr>
          <w:rStyle w:val="AERbody"/>
        </w:rPr>
      </w:pPr>
      <w:r w:rsidRPr="009A482A">
        <w:rPr>
          <w:rStyle w:val="AERbody"/>
        </w:rPr>
        <w:t>However, Partington and Satchell cautioned use of results from asset pricing tests:</w:t>
      </w:r>
      <w:r w:rsidRPr="009A482A">
        <w:rPr>
          <w:rStyle w:val="FootnoteReference"/>
        </w:rPr>
        <w:footnoteReference w:id="857"/>
      </w:r>
    </w:p>
    <w:p w:rsidR="00A210B3" w:rsidRDefault="00A210B3" w:rsidP="00A210B3">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A210B3" w:rsidRPr="00A210B3" w:rsidRDefault="00A210B3" w:rsidP="00A210B3">
      <w:pPr>
        <w:pStyle w:val="AERquote"/>
        <w:rPr>
          <w:shd w:val="clear" w:color="auto" w:fill="FFFF00"/>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BB18D4" w:rsidRPr="00F67D55" w:rsidRDefault="00BB18D4" w:rsidP="00F67D55">
      <w:pPr>
        <w:pStyle w:val="Heading9"/>
      </w:pPr>
      <w:bookmarkStart w:id="232" w:name="_Ref449010288"/>
      <w:bookmarkStart w:id="233" w:name="_Toc456686716"/>
      <w:bookmarkStart w:id="234" w:name="_Toc480460842"/>
      <w:r w:rsidRPr="00F67D55">
        <w:t>Low beta bias may not reflect ex ante priced risk</w:t>
      </w:r>
      <w:bookmarkEnd w:id="232"/>
      <w:bookmarkEnd w:id="233"/>
      <w:bookmarkEnd w:id="234"/>
    </w:p>
    <w:p w:rsidR="00A210B3" w:rsidRDefault="00066E1D" w:rsidP="00A210B3">
      <w:r>
        <w:t>Some s</w:t>
      </w:r>
      <w:r w:rsidR="00A210B3">
        <w:t>ervice providers previously submitted that the Sharpe-Lintner CAPM underestimates the return on equity for businesses with an equity beta less than one ('low beta bias'). They submitted that low beta bias is evidenced by the return on equity estimates from Black CAPM and the empirical performance of the Sharpe-Lintner CAPM using ex post data.</w:t>
      </w:r>
      <w:r w:rsidR="00A210B3">
        <w:rPr>
          <w:rStyle w:val="FootnoteReference"/>
        </w:rPr>
        <w:footnoteReference w:id="858"/>
      </w:r>
    </w:p>
    <w:p w:rsidR="00A210B3" w:rsidRDefault="00A210B3" w:rsidP="00A210B3">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6B4A74">
        <w:t>B.1.2</w:t>
      </w:r>
      <w:r>
        <w:fldChar w:fldCharType="end"/>
      </w:r>
      <w:r>
        <w:t>. We acknowledge that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A210B3" w:rsidRPr="006C4D93" w:rsidRDefault="00A210B3" w:rsidP="00A210B3">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859"/>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860"/>
      </w:r>
      <w:r>
        <w:t xml:space="preserve"> Handley later reiterated that </w:t>
      </w:r>
      <w:r w:rsidRPr="00725202">
        <w:t>our understanding of the low beta bias is still far</w:t>
      </w:r>
      <w:r>
        <w:t xml:space="preserve"> </w:t>
      </w:r>
      <w:r w:rsidRPr="00725202">
        <w:t>from clear.</w:t>
      </w:r>
      <w:r>
        <w:rPr>
          <w:rStyle w:val="FootnoteReference"/>
        </w:rPr>
        <w:footnoteReference w:id="861"/>
      </w:r>
    </w:p>
    <w:p w:rsidR="00A210B3" w:rsidRDefault="00A210B3" w:rsidP="00A210B3">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862"/>
      </w:r>
    </w:p>
    <w:p w:rsidR="00A210B3" w:rsidRDefault="00A210B3" w:rsidP="00A210B3">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863"/>
      </w:r>
      <w:r>
        <w:t xml:space="preserve"> As such, any attempt to compare the two models must be done with great care.</w:t>
      </w:r>
      <w:r>
        <w:rPr>
          <w:rStyle w:val="FootnoteReference"/>
        </w:rPr>
        <w:footnoteReference w:id="864"/>
      </w:r>
    </w:p>
    <w:p w:rsidR="00A210B3" w:rsidRPr="00A210B3" w:rsidRDefault="00A210B3" w:rsidP="00A210B3">
      <w:r>
        <w:t xml:space="preserve">Partington and Satchell noted that 'low beta bias' represents </w:t>
      </w:r>
      <w:r w:rsidRPr="001B6CF5">
        <w:t xml:space="preserve">a tendency for low beta stocks to </w:t>
      </w:r>
      <w:r w:rsidR="00410AB6" w:rsidRPr="001B6CF5">
        <w:t>over perform</w:t>
      </w:r>
      <w:r w:rsidRPr="001B6CF5">
        <w:t xml:space="preserve">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865"/>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866"/>
      </w:r>
      <w:r w:rsidRPr="001B6CF5">
        <w:t xml:space="preserve"> </w:t>
      </w:r>
    </w:p>
    <w:p w:rsidR="00BB18D4" w:rsidRPr="00F67D55" w:rsidRDefault="00BB18D4" w:rsidP="00F67D55">
      <w:pPr>
        <w:pStyle w:val="Heading9"/>
      </w:pPr>
      <w:bookmarkStart w:id="235" w:name="_Ref448924785"/>
      <w:bookmarkStart w:id="236" w:name="_Toc456686717"/>
      <w:bookmarkStart w:id="237" w:name="_Toc480460843"/>
      <w:r w:rsidRPr="00F67D55">
        <w:t>AER's role for the theory of the Black CAPM</w:t>
      </w:r>
      <w:bookmarkEnd w:id="235"/>
      <w:bookmarkEnd w:id="236"/>
      <w:bookmarkEnd w:id="237"/>
    </w:p>
    <w:p w:rsidR="009A1A4E" w:rsidRDefault="009A1A4E" w:rsidP="00CC7A1C">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9A1A4E" w:rsidRDefault="009A1A4E" w:rsidP="00CC7A1C">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867"/>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9A1A4E" w:rsidRDefault="009A1A4E" w:rsidP="00CC7A1C">
      <w:pPr>
        <w:numPr>
          <w:ilvl w:val="0"/>
          <w:numId w:val="24"/>
        </w:numPr>
      </w:pPr>
      <w:r>
        <w:t>Our empirical and conceptual analysis of equity beta for businesses with a similar degree of risk as AusNet Services (in the provision of regulated services) indicates an equity beta less than one, and within the range of 0.4 to 0.7.</w:t>
      </w:r>
      <w:r>
        <w:rPr>
          <w:rStyle w:val="FootnoteReference"/>
        </w:rPr>
        <w:footnoteReference w:id="868"/>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9A1A4E" w:rsidRDefault="009A1A4E" w:rsidP="00CC7A1C">
      <w:pPr>
        <w:numPr>
          <w:ilvl w:val="0"/>
          <w:numId w:val="24"/>
        </w:numPr>
      </w:pPr>
      <w:r>
        <w:t>However, it is important to note that:</w:t>
      </w:r>
    </w:p>
    <w:p w:rsidR="009A1A4E" w:rsidRPr="0010250E" w:rsidRDefault="009A1A4E" w:rsidP="009A1A4E">
      <w:pPr>
        <w:pStyle w:val="AERbulletlistfirststyle"/>
      </w:pPr>
      <w:r>
        <w:t>A</w:t>
      </w:r>
      <w:r w:rsidRPr="0010250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9A1A4E" w:rsidRPr="0010250E" w:rsidRDefault="009A1A4E" w:rsidP="009A1A4E">
      <w:pPr>
        <w:pStyle w:val="AERbulletlistfirststyle"/>
      </w:pPr>
      <w:r>
        <w:t>W</w:t>
      </w:r>
      <w:r w:rsidRPr="0010250E">
        <w:t>e consider that we cannot reliably estimate the Black CAPM.</w:t>
      </w:r>
    </w:p>
    <w:p w:rsidR="009A1A4E" w:rsidRPr="0010250E" w:rsidRDefault="009A1A4E" w:rsidP="009A1A4E">
      <w:pPr>
        <w:pStyle w:val="AERbulletlistfirststyle"/>
      </w:pPr>
      <w:r>
        <w:t>The</w:t>
      </w:r>
      <w:r w:rsidRPr="0010250E">
        <w:t xml:space="preserve"> empirical tests of the Sharpe-Lintner CAPM using ex-post data do not provide conclusive evidence that the Sharpe-Lintner CAPM has 'low beta bias'.</w:t>
      </w:r>
    </w:p>
    <w:p w:rsidR="009A1A4E" w:rsidRDefault="009A1A4E" w:rsidP="00CC7A1C">
      <w:pPr>
        <w:numPr>
          <w:ilvl w:val="0"/>
          <w:numId w:val="24"/>
        </w:numPr>
      </w:pPr>
      <w:r>
        <w:t xml:space="preserve">Our use of the Black CAPM in informing the equity beta point estimate is supported by recent advice from our expert consultants, McKenzie and Partington and John Handley. </w:t>
      </w:r>
    </w:p>
    <w:p w:rsidR="009A1A4E" w:rsidRDefault="009A1A4E" w:rsidP="00CC7A1C">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869"/>
      </w:r>
    </w:p>
    <w:p w:rsidR="009A1A4E" w:rsidRDefault="009A1A4E" w:rsidP="00CC7A1C">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870"/>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871"/>
      </w:r>
      <w:r>
        <w:t xml:space="preserve"> </w:t>
      </w:r>
    </w:p>
    <w:p w:rsidR="009A1A4E" w:rsidRDefault="009A1A4E" w:rsidP="009A1A4E">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872"/>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9A1A4E" w:rsidRPr="00C61D42" w:rsidRDefault="009A1A4E" w:rsidP="009A1A4E">
      <w:r>
        <w:t>Some s</w:t>
      </w:r>
      <w:r w:rsidRPr="00C61D42">
        <w:t xml:space="preserve">ervice providers have </w:t>
      </w:r>
      <w:r>
        <w:t xml:space="preserve">previously </w:t>
      </w:r>
      <w:r w:rsidRPr="00C61D42">
        <w:t>submitted that we have adjusted the equity beta for the Black CAPM in order to provide a correction for low beta bias.</w:t>
      </w:r>
      <w:r>
        <w:rPr>
          <w:rStyle w:val="FootnoteReference"/>
        </w:rPr>
        <w:footnoteReference w:id="873"/>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874"/>
      </w:r>
      <w:r>
        <w:t xml:space="preserve"> </w:t>
      </w:r>
      <w:r w:rsidRPr="00C61D42">
        <w:t xml:space="preserve">We do not consider </w:t>
      </w:r>
      <w:r>
        <w:t>that</w:t>
      </w:r>
      <w:r w:rsidRPr="00C61D42">
        <w:t xml:space="preserve"> </w:t>
      </w:r>
      <w:r w:rsidR="00066E1D">
        <w:t>it has been</w:t>
      </w:r>
      <w:r w:rsidRPr="00C61D42">
        <w:t xml:space="preserve"> shown that low beta bias exists on an ex ante basis and that it reflects a priced risk factor that would contribute to the allowed rate of return objective. </w:t>
      </w:r>
      <w:r>
        <w:t xml:space="preserve">We also note that the theory of the Black CAPM is only one consideration informing our equity beta point estimate (for more detail, see the 'estimating equity beta' subsection in section </w:t>
      </w:r>
      <w:r>
        <w:fldChar w:fldCharType="begin"/>
      </w:r>
      <w:r>
        <w:instrText xml:space="preserve"> REF _Ref430958591 \r \h </w:instrText>
      </w:r>
      <w:r>
        <w:fldChar w:fldCharType="separate"/>
      </w:r>
      <w:r w:rsidR="006B4A74">
        <w:t>3.4.1</w:t>
      </w:r>
      <w:r>
        <w:fldChar w:fldCharType="end"/>
      </w:r>
      <w:r>
        <w:t>).</w:t>
      </w:r>
    </w:p>
    <w:p w:rsidR="009A1A4E" w:rsidRDefault="009A1A4E" w:rsidP="009A1A4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875"/>
      </w:r>
      <w:r>
        <w:t xml:space="preserve"> We do not consider that the Black CAPM can be reliably estimated, and therefore consider that proper regard to the model requires that we do not place weight on estimates from the model and do not estimate the zero-beta premium.</w:t>
      </w:r>
    </w:p>
    <w:p w:rsidR="009A1A4E" w:rsidRDefault="009A1A4E" w:rsidP="009A1A4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876"/>
      </w:r>
      <w:r>
        <w:t xml:space="preserve"> </w:t>
      </w:r>
    </w:p>
    <w:p w:rsidR="009A1A4E" w:rsidRPr="0092561B" w:rsidRDefault="009A1A4E" w:rsidP="009A1A4E">
      <w:pPr>
        <w:rPr>
          <w:rStyle w:val="AERbody"/>
        </w:rPr>
      </w:pPr>
      <w:r w:rsidRPr="0092561B">
        <w:rPr>
          <w:rStyle w:val="AERbody"/>
        </w:rPr>
        <w:t>We note that our equity beta estimate of 0.7 is informed by a range of relevant evidence</w:t>
      </w:r>
      <w:r w:rsidRPr="0092561B">
        <w:rPr>
          <w:rStyle w:val="FootnoteReference"/>
        </w:rPr>
        <w:footnoteReference w:id="877"/>
      </w:r>
      <w:r w:rsidRPr="0092561B">
        <w:rPr>
          <w:rStyle w:val="AERbody"/>
        </w:rPr>
        <w:t xml:space="preserve"> and based on exercise of our regulatory judgment. It is not determined in any mechanistic manner as suggested by HoustonKemp. </w:t>
      </w:r>
    </w:p>
    <w:p w:rsidR="009A1A4E" w:rsidRDefault="009A1A4E" w:rsidP="00CC7A1C">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878"/>
      </w:r>
      <w:r w:rsidRPr="00EB6387">
        <w:t xml:space="preserve"> We do not consider </w:t>
      </w:r>
      <w:r>
        <w:t>that Frontier</w:t>
      </w:r>
      <w:r w:rsidRPr="00EB6387">
        <w:t xml:space="preserve"> have raised any substantive new evidence to support their views. Therefore, we maintain the position and reasoning set out above.</w:t>
      </w:r>
    </w:p>
    <w:p w:rsidR="009A1A4E" w:rsidRPr="00F143C8" w:rsidRDefault="009A1A4E" w:rsidP="00CC7A1C">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879"/>
      </w:r>
      <w:r w:rsidRPr="00F143C8">
        <w:t xml:space="preserve"> The </w:t>
      </w:r>
      <w:r>
        <w:t>Consumer Challenge Panel</w:t>
      </w:r>
      <w:r w:rsidRPr="00F143C8">
        <w:t xml:space="preserve"> stated:</w:t>
      </w:r>
      <w:r w:rsidRPr="00F143C8">
        <w:rPr>
          <w:rStyle w:val="FootnoteReference"/>
        </w:rPr>
        <w:footnoteReference w:id="880"/>
      </w:r>
    </w:p>
    <w:p w:rsidR="009A1A4E" w:rsidRPr="00F143C8" w:rsidRDefault="009A1A4E" w:rsidP="009A1A4E">
      <w:pPr>
        <w:pStyle w:val="AERquote"/>
      </w:pPr>
      <w:r w:rsidRPr="00F143C8">
        <w:t>We have discussed our concerns with the Black CAPM above and do not consider it is an appropriate basis for the AER to select an equity beta that is higher than the median of the empirical observations.</w:t>
      </w:r>
    </w:p>
    <w:p w:rsidR="009A1A4E" w:rsidRDefault="009A1A4E" w:rsidP="00CC7A1C">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881"/>
      </w:r>
      <w:r w:rsidRPr="00F143C8">
        <w:t xml:space="preserve"> We note that the theory of the Black CAPM was only one factor that informed our equity beta point estimate.</w:t>
      </w:r>
    </w:p>
    <w:p w:rsidR="009A1A4E" w:rsidRPr="009A1A4E" w:rsidRDefault="009A1A4E" w:rsidP="009A1A4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882"/>
      </w:r>
      <w:r w:rsidRPr="001B6CF5">
        <w:t xml:space="preserve"> We consider that this refers to the Guideline in its entirety, including our role for the theory of the Black CAPM.</w:t>
      </w:r>
    </w:p>
    <w:p w:rsidR="00BB18D4" w:rsidRPr="00F67D55" w:rsidRDefault="00BB18D4" w:rsidP="00F67D55">
      <w:pPr>
        <w:pStyle w:val="Heading8"/>
      </w:pPr>
      <w:bookmarkStart w:id="238" w:name="_Ref449007420"/>
      <w:bookmarkStart w:id="239" w:name="_Toc451943788"/>
      <w:bookmarkStart w:id="240" w:name="_Toc456686718"/>
      <w:bookmarkStart w:id="241" w:name="_Toc481057469"/>
      <w:r w:rsidRPr="00F67D55">
        <w:t>Fama-French model</w:t>
      </w:r>
      <w:bookmarkEnd w:id="238"/>
      <w:bookmarkEnd w:id="239"/>
      <w:bookmarkEnd w:id="240"/>
      <w:bookmarkEnd w:id="241"/>
    </w:p>
    <w:p w:rsidR="009A1A4E" w:rsidRPr="001562D4" w:rsidRDefault="009A1A4E" w:rsidP="00CC7A1C">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883"/>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84"/>
      </w:r>
    </w:p>
    <w:p w:rsidR="009A1A4E" w:rsidRPr="0010250E" w:rsidRDefault="009A1A4E" w:rsidP="009A1A4E">
      <w:pPr>
        <w:pStyle w:val="AERbulletlistfirststyle"/>
      </w:pPr>
      <w:r w:rsidRPr="001562D4">
        <w:t>the return on the market (thus it incorporates the CAPM</w:t>
      </w:r>
      <w:r w:rsidRPr="0010250E">
        <w:t>'s systematic risk factor by having  the return on the market as a factor)</w:t>
      </w:r>
    </w:p>
    <w:p w:rsidR="009A1A4E" w:rsidRPr="0010250E" w:rsidRDefault="009A1A4E" w:rsidP="009A1A4E">
      <w:pPr>
        <w:pStyle w:val="AERbulletlistfirststyle"/>
      </w:pPr>
      <w:r w:rsidRPr="001562D4">
        <w:t>firm size (measured by market capitalisation)</w:t>
      </w:r>
    </w:p>
    <w:p w:rsidR="009A1A4E" w:rsidRPr="0010250E" w:rsidRDefault="009A1A4E" w:rsidP="009A1A4E">
      <w:pPr>
        <w:pStyle w:val="AERbulletlistfirststyle"/>
      </w:pPr>
      <w:r w:rsidRPr="001562D4">
        <w:t>the ratio of book value to market value</w:t>
      </w:r>
      <w:r w:rsidRPr="0010250E">
        <w:t>.</w:t>
      </w:r>
    </w:p>
    <w:p w:rsidR="009A1A4E" w:rsidRDefault="009A1A4E" w:rsidP="00CC7A1C">
      <w:pPr>
        <w:numPr>
          <w:ilvl w:val="0"/>
          <w:numId w:val="24"/>
        </w:numPr>
      </w:pPr>
      <w:r>
        <w:t>We have reviewed all the material submitted to us</w:t>
      </w:r>
      <w:r>
        <w:rPr>
          <w:rStyle w:val="FootnoteReference"/>
        </w:rPr>
        <w:footnoteReference w:id="885"/>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86"/>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AGN's regulated services</w:t>
      </w:r>
      <w:r w:rsidRPr="001562D4">
        <w:t xml:space="preserve">. </w:t>
      </w:r>
    </w:p>
    <w:p w:rsidR="009A1A4E" w:rsidRPr="001562D4" w:rsidRDefault="009A1A4E" w:rsidP="00CC7A1C">
      <w:pPr>
        <w:numPr>
          <w:ilvl w:val="0"/>
          <w:numId w:val="24"/>
        </w:numPr>
      </w:pPr>
      <w:r>
        <w:t>Our</w:t>
      </w:r>
      <w:r w:rsidRPr="001562D4">
        <w:t xml:space="preserve"> reasons for giving the </w:t>
      </w:r>
      <w:r>
        <w:t>Fama-French model</w:t>
      </w:r>
      <w:r w:rsidRPr="001562D4">
        <w:t xml:space="preserve"> no role </w:t>
      </w:r>
      <w:r>
        <w:t>are:</w:t>
      </w:r>
    </w:p>
    <w:p w:rsidR="009A1A4E" w:rsidRPr="0010250E" w:rsidRDefault="009A1A4E" w:rsidP="009A1A4E">
      <w:pPr>
        <w:pStyle w:val="AERbulletlistfirststyle"/>
      </w:pPr>
      <w:r>
        <w:t>E</w:t>
      </w:r>
      <w:r w:rsidRPr="0010250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9A1A4E" w:rsidRPr="0010250E" w:rsidRDefault="009A1A4E" w:rsidP="009A1A4E">
      <w:pPr>
        <w:pStyle w:val="AERbulletlistfirststyle"/>
      </w:pPr>
      <w:r>
        <w:t>T</w:t>
      </w:r>
      <w:r w:rsidRPr="0010250E">
        <w:t>he ex-post (backward looking) observation of apparently priced risk factors does not mean these factors are priced ex-ante (on a forward looking basis).</w:t>
      </w:r>
    </w:p>
    <w:p w:rsidR="009A1A4E" w:rsidRPr="0010250E" w:rsidRDefault="009A1A4E" w:rsidP="009A1A4E">
      <w:pPr>
        <w:pStyle w:val="AERbulletlistfirststyle"/>
      </w:pPr>
      <w:r>
        <w:t>T</w:t>
      </w:r>
      <w:r w:rsidRPr="0010250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10250E">
        <w:rPr>
          <w:rStyle w:val="FootnoteReference"/>
        </w:rPr>
        <w:t xml:space="preserve"> </w:t>
      </w:r>
      <w:r w:rsidRPr="0010250E">
        <w:rPr>
          <w:rStyle w:val="FootnoteReference"/>
        </w:rPr>
        <w:footnoteReference w:id="887"/>
      </w:r>
    </w:p>
    <w:p w:rsidR="009A1A4E" w:rsidRPr="0010250E" w:rsidRDefault="009A1A4E" w:rsidP="009A1A4E">
      <w:pPr>
        <w:pStyle w:val="AERbulletlistfirststyle"/>
      </w:pPr>
      <w:r>
        <w:t>T</w:t>
      </w:r>
      <w:r w:rsidRPr="0010250E">
        <w:t>here is little evidence of companies or regulators using the Fama-French model to estimate the return on equity.</w:t>
      </w:r>
      <w:r w:rsidRPr="0010250E">
        <w:rPr>
          <w:rStyle w:val="FootnoteReference"/>
        </w:rPr>
        <w:footnoteReference w:id="888"/>
      </w:r>
    </w:p>
    <w:p w:rsidR="009A1A4E" w:rsidRDefault="009A1A4E" w:rsidP="00CC7A1C">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AGN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9A1A4E" w:rsidRPr="001562D4" w:rsidRDefault="009A1A4E" w:rsidP="00CC7A1C">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889"/>
      </w:r>
      <w:r>
        <w:t xml:space="preserve"> We consider Handley's comments on the model also support our decision to not use the Fame-French model.</w:t>
      </w:r>
      <w:r>
        <w:rPr>
          <w:rStyle w:val="FootnoteReference"/>
        </w:rPr>
        <w:footnoteReference w:id="890"/>
      </w:r>
    </w:p>
    <w:p w:rsidR="009A1A4E" w:rsidRDefault="009A1A4E" w:rsidP="009A1A4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891"/>
      </w:r>
      <w:r>
        <w:t xml:space="preserve"> </w:t>
      </w:r>
    </w:p>
    <w:p w:rsidR="009A1A4E" w:rsidRDefault="009A1A4E" w:rsidP="009A1A4E">
      <w:r>
        <w:t>The Consumer Challenge P</w:t>
      </w:r>
      <w:r w:rsidRPr="001562D4">
        <w:t>anel</w:t>
      </w:r>
      <w:r>
        <w:t xml:space="preserve"> was</w:t>
      </w:r>
      <w:r w:rsidRPr="001562D4">
        <w:t xml:space="preserve"> </w:t>
      </w:r>
      <w:r>
        <w:t xml:space="preserve">also unconvinced by arguments from the various service providers </w:t>
      </w:r>
      <w:r w:rsidR="00066E1D">
        <w:t xml:space="preserve">previously </w:t>
      </w:r>
      <w:r>
        <w:t>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892"/>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893"/>
      </w:r>
      <w:r>
        <w:t xml:space="preserve"> </w:t>
      </w:r>
    </w:p>
    <w:p w:rsidR="009A1A4E" w:rsidRDefault="00066E1D" w:rsidP="00CC7A1C">
      <w:pPr>
        <w:numPr>
          <w:ilvl w:val="0"/>
          <w:numId w:val="24"/>
        </w:numPr>
      </w:pPr>
      <w:r>
        <w:t>Some s</w:t>
      </w:r>
      <w:r w:rsidR="009A1A4E">
        <w:t>ervice providers</w:t>
      </w:r>
      <w:r w:rsidR="009A1A4E" w:rsidRPr="001562D4">
        <w:t xml:space="preserve"> responded to </w:t>
      </w:r>
      <w:r w:rsidR="009A1A4E">
        <w:t xml:space="preserve">our </w:t>
      </w:r>
      <w:r w:rsidR="009A1A4E" w:rsidRPr="001562D4">
        <w:t>rea</w:t>
      </w:r>
      <w:r w:rsidR="009A1A4E">
        <w:t>sons for giving the Fama-French model no role, submitting that:</w:t>
      </w:r>
      <w:r w:rsidR="009A1A4E">
        <w:rPr>
          <w:rStyle w:val="FootnoteReference"/>
        </w:rPr>
        <w:footnoteReference w:id="894"/>
      </w:r>
      <w:r w:rsidR="009A1A4E">
        <w:t xml:space="preserve"> </w:t>
      </w:r>
    </w:p>
    <w:p w:rsidR="009A1A4E" w:rsidRPr="0010250E" w:rsidRDefault="009A1A4E" w:rsidP="009A1A4E">
      <w:pPr>
        <w:pStyle w:val="AERbulletlistfirststyle"/>
      </w:pPr>
      <w:r>
        <w:t>The Fama-French model performs better than the Sharpe-Lintner CAPM.</w:t>
      </w:r>
      <w:r w:rsidRPr="0010250E">
        <w:rPr>
          <w:rStyle w:val="FootnoteReference"/>
        </w:rPr>
        <w:footnoteReference w:id="895"/>
      </w:r>
    </w:p>
    <w:p w:rsidR="009A1A4E" w:rsidRPr="0010250E" w:rsidRDefault="009A1A4E" w:rsidP="009A1A4E">
      <w:pPr>
        <w:pStyle w:val="AERbulletlistfirststyle"/>
      </w:pPr>
      <w:r>
        <w:t xml:space="preserve">All models requiring parameter estimates are sensitive to those estimates, including the Sharpe-Lintner CAPM, and the </w:t>
      </w:r>
      <w:r w:rsidRPr="0010250E">
        <w:t>Fama-French model is not materially more sensitive to input choices than the Sharpe-Lintner CAPM.</w:t>
      </w:r>
    </w:p>
    <w:p w:rsidR="009A1A4E" w:rsidRPr="0010250E" w:rsidRDefault="009A1A4E" w:rsidP="009A1A4E">
      <w:pPr>
        <w:pStyle w:val="AERbulletlistfirststyle"/>
        <w:rPr>
          <w:rStyle w:val="AERbody"/>
        </w:rPr>
      </w:pPr>
      <w:r>
        <w:rPr>
          <w:rStyle w:val="AERbody"/>
        </w:rPr>
        <w:t>T</w:t>
      </w:r>
      <w:r w:rsidRPr="008166A1">
        <w:rPr>
          <w:rStyle w:val="AERbody"/>
        </w:rPr>
        <w:t xml:space="preserve">he </w:t>
      </w:r>
      <w:r w:rsidRPr="0010250E">
        <w:rPr>
          <w:rStyle w:val="AERbody"/>
        </w:rPr>
        <w:t>Fama-French model was developed to address mis-pricing on low-cap and value stocks.</w:t>
      </w:r>
      <w:r w:rsidRPr="0010250E">
        <w:rPr>
          <w:rStyle w:val="FootnoteReference"/>
        </w:rPr>
        <w:footnoteReference w:id="896"/>
      </w:r>
      <w:r w:rsidRPr="0010250E">
        <w:rPr>
          <w:rStyle w:val="AERbody"/>
        </w:rPr>
        <w:t xml:space="preserve"> </w:t>
      </w:r>
    </w:p>
    <w:p w:rsidR="009A1A4E" w:rsidRPr="008166A1" w:rsidRDefault="009A1A4E" w:rsidP="00CC7A1C">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897"/>
      </w:r>
      <w:r w:rsidRPr="008166A1">
        <w:rPr>
          <w:rStyle w:val="AERbody"/>
        </w:rPr>
        <w:t xml:space="preserve"> </w:t>
      </w:r>
    </w:p>
    <w:p w:rsidR="009A1A4E" w:rsidRDefault="009A1A4E" w:rsidP="00CC7A1C">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898"/>
      </w:r>
    </w:p>
    <w:p w:rsidR="009A1A4E" w:rsidRPr="006F34DC" w:rsidRDefault="009A1A4E" w:rsidP="009A1A4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9A1A4E" w:rsidRPr="001F02B3" w:rsidRDefault="009A1A4E" w:rsidP="00CC7A1C">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899"/>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900"/>
      </w:r>
    </w:p>
    <w:p w:rsidR="009A1A4E" w:rsidRPr="009A1A4E" w:rsidRDefault="009A1A4E" w:rsidP="00CC7A1C">
      <w:pPr>
        <w:numPr>
          <w:ilvl w:val="0"/>
          <w:numId w:val="24"/>
        </w:numPr>
      </w:pPr>
      <w:r>
        <w:t xml:space="preserve">We have discussed the relative empirical performance of the Sharpe-Lintner CAPM in section </w:t>
      </w:r>
      <w:r w:rsidR="00562786">
        <w:t>B.1</w:t>
      </w:r>
      <w:r>
        <w:t xml:space="preserve"> above. We set out our response to the other issues in the following sections.</w:t>
      </w:r>
    </w:p>
    <w:p w:rsidR="00BB18D4" w:rsidRPr="00F67D55" w:rsidRDefault="00BB18D4" w:rsidP="00F67D55">
      <w:pPr>
        <w:pStyle w:val="Heading9"/>
      </w:pPr>
      <w:bookmarkStart w:id="242" w:name="_Toc456686719"/>
      <w:bookmarkStart w:id="243" w:name="_Toc480460845"/>
      <w:r w:rsidRPr="00F67D55">
        <w:t>Sensitivity to methodological choices</w:t>
      </w:r>
      <w:bookmarkEnd w:id="242"/>
      <w:bookmarkEnd w:id="243"/>
    </w:p>
    <w:p w:rsidR="009A1A4E" w:rsidRDefault="009A1A4E" w:rsidP="00CC7A1C">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901"/>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902"/>
      </w:r>
    </w:p>
    <w:p w:rsidR="009A1A4E" w:rsidRDefault="009A1A4E" w:rsidP="00CC7A1C">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903"/>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9A1A4E" w:rsidRPr="00F17532" w:rsidRDefault="009A1A4E" w:rsidP="00CC7A1C">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904"/>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905"/>
      </w:r>
    </w:p>
    <w:p w:rsidR="009A1A4E" w:rsidRPr="001562D4" w:rsidRDefault="009A1A4E" w:rsidP="00CC7A1C">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906"/>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907"/>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908"/>
      </w:r>
      <w:r>
        <w:t xml:space="preserve"> In contrast, we have a higher degree of confidence in our Sharpe-Lintner CAPM input parameters and resulting return on equity estimates.</w:t>
      </w:r>
    </w:p>
    <w:p w:rsidR="009A1A4E" w:rsidRDefault="009A1A4E" w:rsidP="00CC7A1C">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9A1A4E" w:rsidRDefault="009A1A4E" w:rsidP="00CC7A1C">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909"/>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910"/>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911"/>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9A1A4E" w:rsidRDefault="009A1A4E" w:rsidP="00CC7A1C">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912"/>
      </w:r>
      <w:r>
        <w:t xml:space="preserve"> While we recognise that all models can be sensitive, we are not satisfied that the sensitivity of the Fama-French model is comparable to the Sharpe-Lintner CAPM. </w:t>
      </w:r>
    </w:p>
    <w:p w:rsidR="009A1A4E" w:rsidRDefault="009A1A4E" w:rsidP="00CC7A1C">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913"/>
      </w:r>
      <w:r>
        <w:t xml:space="preserve"> We have confidence in our proxy for the risk free rate, which would be the same if we were to apply the Fama-French model.</w:t>
      </w:r>
    </w:p>
    <w:p w:rsidR="009A1A4E" w:rsidRDefault="009A1A4E" w:rsidP="009A1A4E">
      <w:r>
        <w:t>Partington did not agree with SFG's submission that all models are sensitive to different estimation periods and methodologies. He advised:</w:t>
      </w:r>
      <w:r>
        <w:rPr>
          <w:rStyle w:val="FootnoteReference"/>
        </w:rPr>
        <w:footnoteReference w:id="914"/>
      </w:r>
    </w:p>
    <w:p w:rsidR="009A1A4E" w:rsidRDefault="009A1A4E" w:rsidP="009A1A4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9A1A4E" w:rsidRDefault="009A1A4E" w:rsidP="00CC7A1C">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915"/>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9A1A4E" w:rsidRPr="006C4D93" w:rsidRDefault="009A1A4E" w:rsidP="00CC7A1C">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916"/>
      </w:r>
      <w:r>
        <w:t xml:space="preserve"> Further, NERA previously submitted:</w:t>
      </w:r>
      <w:r w:rsidRPr="006C4D93">
        <w:rPr>
          <w:rStyle w:val="FootnoteReference"/>
        </w:rPr>
        <w:footnoteReference w:id="917"/>
      </w:r>
    </w:p>
    <w:p w:rsidR="009A1A4E" w:rsidRPr="001562D4" w:rsidRDefault="009A1A4E" w:rsidP="009A1A4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9A1A4E" w:rsidRPr="009A1A4E" w:rsidRDefault="009A1A4E" w:rsidP="009A1A4E">
      <w:r>
        <w:t>We do not consider there are clear objective grounds to distinguish the 'best' studies. McKenzie and Partington supported this view.</w:t>
      </w:r>
      <w:r>
        <w:rPr>
          <w:rStyle w:val="FootnoteReference"/>
        </w:rPr>
        <w:footnoteReference w:id="918"/>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919"/>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920"/>
      </w:r>
    </w:p>
    <w:p w:rsidR="00BB18D4" w:rsidRPr="00F67D55" w:rsidRDefault="00BB18D4" w:rsidP="00F67D55">
      <w:pPr>
        <w:pStyle w:val="Heading9"/>
      </w:pPr>
      <w:bookmarkStart w:id="244" w:name="_Ref449010281"/>
      <w:bookmarkStart w:id="245" w:name="_Toc456686720"/>
      <w:bookmarkStart w:id="246" w:name="_Toc480460846"/>
      <w:r w:rsidRPr="00F67D55">
        <w:t>Fama-French factors may not reflect ex ante priced risk</w:t>
      </w:r>
      <w:bookmarkEnd w:id="244"/>
      <w:bookmarkEnd w:id="245"/>
      <w:bookmarkEnd w:id="246"/>
    </w:p>
    <w:p w:rsidR="009A1A4E" w:rsidRDefault="009A1A4E" w:rsidP="00CC7A1C">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921"/>
      </w:r>
    </w:p>
    <w:p w:rsidR="009A1A4E" w:rsidRDefault="009A1A4E" w:rsidP="00CC7A1C">
      <w:pPr>
        <w:numPr>
          <w:ilvl w:val="0"/>
          <w:numId w:val="24"/>
        </w:numPr>
      </w:pPr>
      <w:r>
        <w:t>We are not satisfied the Fama-French model is helpful for our regulatory task because:</w:t>
      </w:r>
    </w:p>
    <w:p w:rsidR="009A1A4E" w:rsidRPr="0010250E" w:rsidRDefault="009A1A4E" w:rsidP="009A1A4E">
      <w:pPr>
        <w:pStyle w:val="AERbulletlistfirststyle"/>
      </w:pPr>
      <w:r>
        <w:t xml:space="preserve">We consider that whether </w:t>
      </w:r>
      <w:r w:rsidRPr="0010250E">
        <w:t>factors are priced in the cross-section is unresolved. SFG referred to a number of possible explanations for why the value factor could be genuinely priced in average returns in the cross section.</w:t>
      </w:r>
      <w:r w:rsidRPr="0010250E">
        <w:rPr>
          <w:rStyle w:val="FootnoteReference"/>
        </w:rPr>
        <w:footnoteReference w:id="922"/>
      </w:r>
      <w:r w:rsidRPr="0010250E">
        <w:t xml:space="preserve"> However, none of the possible reasons is commonly accepted.</w:t>
      </w:r>
      <w:r w:rsidRPr="0010250E">
        <w:rPr>
          <w:rStyle w:val="FootnoteReference"/>
        </w:rPr>
        <w:footnoteReference w:id="923"/>
      </w:r>
    </w:p>
    <w:p w:rsidR="009A1A4E" w:rsidRPr="0010250E" w:rsidRDefault="009A1A4E" w:rsidP="009A1A4E">
      <w:pPr>
        <w:pStyle w:val="AERbulletlistfirststyle"/>
      </w:pPr>
      <w:r>
        <w:t>E</w:t>
      </w:r>
      <w:r w:rsidRPr="0010250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9A1A4E" w:rsidRDefault="00066E1D" w:rsidP="009A1A4E">
      <w:r>
        <w:t>Some s</w:t>
      </w:r>
      <w:r w:rsidR="009A1A4E">
        <w:t>ervice providers previously noted our concern</w:t>
      </w:r>
      <w:r w:rsidR="009A1A4E" w:rsidRPr="00127ECB">
        <w:t xml:space="preserve"> that the </w:t>
      </w:r>
      <w:r w:rsidR="009A1A4E">
        <w:t xml:space="preserve">Fama-French model </w:t>
      </w:r>
      <w:r w:rsidR="009A1A4E" w:rsidRPr="00127ECB">
        <w:t>is not clearly estimating ex ante required</w:t>
      </w:r>
      <w:r w:rsidR="009A1A4E">
        <w:t xml:space="preserve"> </w:t>
      </w:r>
      <w:r w:rsidR="009A1A4E" w:rsidRPr="00127ECB">
        <w:t>returns</w:t>
      </w:r>
      <w:r w:rsidR="009A1A4E">
        <w:t xml:space="preserve"> is 'curious'.</w:t>
      </w:r>
      <w:r w:rsidR="009A1A4E">
        <w:rPr>
          <w:rStyle w:val="FootnoteReference"/>
        </w:rPr>
        <w:footnoteReference w:id="924"/>
      </w:r>
      <w:r w:rsidR="009A1A4E" w:rsidRPr="00127ECB">
        <w:t xml:space="preserve"> </w:t>
      </w:r>
      <w:r w:rsidR="009A1A4E">
        <w:t xml:space="preserve">Frontier added that </w:t>
      </w:r>
      <w:r w:rsidR="009A1A4E" w:rsidRPr="00127ECB">
        <w:t xml:space="preserve">the rationale for using the </w:t>
      </w:r>
      <w:r w:rsidR="009A1A4E">
        <w:t>Fama-French model</w:t>
      </w:r>
      <w:r w:rsidR="009A1A4E" w:rsidRPr="00127ECB">
        <w:t xml:space="preserve"> is no</w:t>
      </w:r>
      <w:r w:rsidR="009A1A4E">
        <w:t xml:space="preserve"> </w:t>
      </w:r>
      <w:r w:rsidR="009A1A4E" w:rsidRPr="00127ECB">
        <w:t>different to the rationale for using the S</w:t>
      </w:r>
      <w:r w:rsidR="009A1A4E">
        <w:t xml:space="preserve">harpe-Lintner </w:t>
      </w:r>
      <w:r w:rsidR="009A1A4E" w:rsidRPr="00127ECB">
        <w:t>CAPM or Black CAPM</w:t>
      </w:r>
      <w:r w:rsidR="009A1A4E">
        <w:t xml:space="preserve"> - that is, </w:t>
      </w:r>
      <w:r w:rsidR="009A1A4E" w:rsidRPr="00127ECB">
        <w:t>to explain the cross</w:t>
      </w:r>
      <w:r w:rsidR="009A1A4E">
        <w:t>-</w:t>
      </w:r>
      <w:r w:rsidR="009A1A4E" w:rsidRPr="00127ECB">
        <w:t>section of stock returns, based on explanatory factors</w:t>
      </w:r>
      <w:r w:rsidR="009A1A4E">
        <w:t xml:space="preserve"> </w:t>
      </w:r>
      <w:r w:rsidR="009A1A4E" w:rsidRPr="00127ECB">
        <w:t>that have been observed to correlate with stock returns in the past.</w:t>
      </w:r>
      <w:r w:rsidR="009A1A4E">
        <w:t xml:space="preserve"> HoustonKemp also noted that t</w:t>
      </w:r>
      <w:r w:rsidR="009A1A4E" w:rsidRPr="00291ED2">
        <w:rPr>
          <w:rStyle w:val="AERbody"/>
        </w:rPr>
        <w:t xml:space="preserve">he </w:t>
      </w:r>
      <w:r w:rsidR="009A1A4E">
        <w:rPr>
          <w:rStyle w:val="AERbody"/>
        </w:rPr>
        <w:t>Fama-French model</w:t>
      </w:r>
      <w:r w:rsidR="009A1A4E" w:rsidRPr="00291ED2">
        <w:rPr>
          <w:rStyle w:val="AERbody"/>
        </w:rPr>
        <w:t xml:space="preserve"> was developed to address mis-pricing on low-cap and value stocks.</w:t>
      </w:r>
      <w:r w:rsidR="009A1A4E" w:rsidRPr="004212BE">
        <w:rPr>
          <w:rStyle w:val="FootnoteReference"/>
        </w:rPr>
        <w:footnoteReference w:id="925"/>
      </w:r>
    </w:p>
    <w:p w:rsidR="009A1A4E" w:rsidRDefault="009A1A4E" w:rsidP="00CC7A1C">
      <w:pPr>
        <w:pStyle w:val="ListParagraph"/>
        <w:numPr>
          <w:ilvl w:val="0"/>
          <w:numId w:val="24"/>
        </w:numPr>
      </w:pPr>
      <w:r>
        <w:t xml:space="preserve">We note that </w:t>
      </w:r>
      <w:r w:rsidR="00066E1D">
        <w:t xml:space="preserve">some </w:t>
      </w:r>
      <w:r>
        <w:t xml:space="preserve">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926"/>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927"/>
      </w:r>
      <w:r>
        <w:t xml:space="preserve"> They added that f</w:t>
      </w:r>
      <w:r w:rsidRPr="00615EDE">
        <w:t>orecasting stock returns and determining equilibrium expected returns (asset pricing) are two different tasks.</w:t>
      </w:r>
      <w:r>
        <w:rPr>
          <w:rStyle w:val="FootnoteReference"/>
        </w:rPr>
        <w:footnoteReference w:id="928"/>
      </w:r>
      <w:r w:rsidRPr="00615EDE">
        <w:t xml:space="preserve"> </w:t>
      </w:r>
    </w:p>
    <w:p w:rsidR="009A1A4E" w:rsidRPr="009A1A4E" w:rsidRDefault="009A1A4E" w:rsidP="00CC7A1C">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929"/>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BB18D4" w:rsidRPr="00F67D55" w:rsidRDefault="00BB18D4" w:rsidP="00F67D55">
      <w:pPr>
        <w:pStyle w:val="Heading8"/>
      </w:pPr>
      <w:bookmarkStart w:id="247" w:name="_Ref449007421"/>
      <w:bookmarkStart w:id="248" w:name="_Toc451943789"/>
      <w:bookmarkStart w:id="249" w:name="_Toc456686721"/>
      <w:bookmarkStart w:id="250" w:name="_Toc481057470"/>
      <w:r w:rsidRPr="00F67D55">
        <w:t>Dividend growth model</w:t>
      </w:r>
      <w:bookmarkEnd w:id="247"/>
      <w:bookmarkEnd w:id="248"/>
      <w:bookmarkEnd w:id="249"/>
      <w:bookmarkEnd w:id="250"/>
    </w:p>
    <w:p w:rsidR="009A1A4E" w:rsidRDefault="009A1A4E" w:rsidP="00CC7A1C">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6B4A74">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9A1A4E" w:rsidRPr="00957F0D" w:rsidRDefault="009A1A4E" w:rsidP="00CC7A1C">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9A1A4E" w:rsidRPr="0010250E" w:rsidRDefault="009A1A4E" w:rsidP="009A1A4E">
      <w:pPr>
        <w:pStyle w:val="AERbulletlistfirststyle"/>
      </w:pPr>
      <w:r>
        <w:t>e</w:t>
      </w:r>
      <w:r w:rsidRPr="0010250E">
        <w:t>stimating the return on equity for the benchmark efficient entity</w:t>
      </w:r>
    </w:p>
    <w:p w:rsidR="009A1A4E" w:rsidRPr="0010250E" w:rsidRDefault="009A1A4E" w:rsidP="009A1A4E">
      <w:pPr>
        <w:pStyle w:val="AERbulletlistfirststyle"/>
      </w:pPr>
      <w:r>
        <w:t>p</w:t>
      </w:r>
      <w:r w:rsidRPr="0010250E">
        <w:t>erforming a cross check on whether other models (including the Sharpe-Lintner CAPM) are producing reasonable estimates of the return on equity.</w:t>
      </w:r>
    </w:p>
    <w:p w:rsidR="009A1A4E" w:rsidRPr="00957F0D" w:rsidRDefault="009A1A4E" w:rsidP="00CC7A1C">
      <w:pPr>
        <w:numPr>
          <w:ilvl w:val="0"/>
          <w:numId w:val="24"/>
        </w:numPr>
      </w:pPr>
      <w:r>
        <w:t>Our</w:t>
      </w:r>
      <w:r w:rsidRPr="00957F0D">
        <w:t xml:space="preserve"> reasons for </w:t>
      </w:r>
      <w:r>
        <w:t>this position</w:t>
      </w:r>
      <w:r w:rsidRPr="00957F0D">
        <w:t xml:space="preserve"> are:</w:t>
      </w:r>
    </w:p>
    <w:p w:rsidR="009A1A4E" w:rsidRPr="0010250E" w:rsidRDefault="009A1A4E" w:rsidP="009A1A4E">
      <w:pPr>
        <w:pStyle w:val="AERbulletlistfirststyle"/>
      </w:pPr>
      <w:r>
        <w:t>T</w:t>
      </w:r>
      <w:r w:rsidRPr="0010250E">
        <w:t>here is insufficient data on dividend forecasts to form robust estimates of the required return on equity for Australian energy network service providers.</w:t>
      </w:r>
      <w:r w:rsidRPr="0010250E">
        <w:rPr>
          <w:rStyle w:val="FootnoteReference"/>
        </w:rPr>
        <w:footnoteReference w:id="930"/>
      </w:r>
      <w:r w:rsidRPr="0010250E">
        <w:t xml:space="preserve"> As such, there are practical difficulties in constructing credible datasets for implementing industry specific dividend growth models.</w:t>
      </w:r>
      <w:r w:rsidRPr="0010250E">
        <w:rPr>
          <w:rStyle w:val="FootnoteReference"/>
        </w:rPr>
        <w:footnoteReference w:id="931"/>
      </w:r>
      <w:r w:rsidRPr="0010250E">
        <w:t xml:space="preserve"> Also, there are too few Australian businesses to estimate dividend growth models on an individual business level.</w:t>
      </w:r>
      <w:r w:rsidRPr="0010250E">
        <w:rPr>
          <w:rStyle w:val="FootnoteReference"/>
        </w:rPr>
        <w:footnoteReference w:id="932"/>
      </w:r>
      <w:r w:rsidRPr="0010250E">
        <w:t xml:space="preserve"> However, a sufficiently robust data series exists for dividend yields for the Australian market as a whole.</w:t>
      </w:r>
    </w:p>
    <w:p w:rsidR="009A1A4E" w:rsidRPr="0010250E" w:rsidRDefault="009A1A4E" w:rsidP="009A1A4E">
      <w:pPr>
        <w:pStyle w:val="AERbulletlistfirststyle"/>
      </w:pPr>
      <w:r>
        <w:t>We do not consider that</w:t>
      </w:r>
      <w:r w:rsidRPr="0010250E">
        <w:t xml:space="preserve"> there is a sufficiently robust method for estimating the long-term dividend growth rate</w:t>
      </w:r>
      <w:r w:rsidRPr="0010250E">
        <w:rPr>
          <w:rStyle w:val="CommentReference"/>
        </w:rPr>
        <w:t xml:space="preserve"> </w:t>
      </w:r>
      <w:r w:rsidRPr="0010250E">
        <w:t>for Australian energy network service providers.</w:t>
      </w:r>
      <w:r w:rsidRPr="0010250E">
        <w:rPr>
          <w:rStyle w:val="FootnoteReference"/>
        </w:rPr>
        <w:footnoteReference w:id="933"/>
      </w:r>
      <w:r w:rsidRPr="0010250E">
        <w:t xml:space="preserve"> However, there are developed methods for estimating the long-term growth rate of dividends for the Australian market as a whole.</w:t>
      </w:r>
      <w:r w:rsidRPr="0010250E">
        <w:rPr>
          <w:rStyle w:val="FootnoteReference"/>
        </w:rPr>
        <w:footnoteReference w:id="934"/>
      </w:r>
      <w:r w:rsidRPr="0010250E">
        <w:t xml:space="preserve"> </w:t>
      </w:r>
    </w:p>
    <w:p w:rsidR="009A1A4E" w:rsidRPr="0010250E" w:rsidRDefault="009A1A4E" w:rsidP="009A1A4E">
      <w:pPr>
        <w:pStyle w:val="AERbulletlistfirststyle"/>
      </w:pPr>
      <w:r>
        <w:t>Dividend growth models</w:t>
      </w:r>
      <w:r w:rsidRPr="0010250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10250E">
        <w:rPr>
          <w:rStyle w:val="CommentReference"/>
        </w:rPr>
        <w:t xml:space="preserve"> </w:t>
      </w:r>
      <w:r w:rsidRPr="0010250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10250E">
        <w:rPr>
          <w:rStyle w:val="FootnoteReference"/>
        </w:rPr>
        <w:footnoteReference w:id="935"/>
      </w:r>
    </w:p>
    <w:p w:rsidR="009A1A4E" w:rsidRPr="0010250E" w:rsidRDefault="009A1A4E" w:rsidP="009A1A4E">
      <w:pPr>
        <w:pStyle w:val="AERbulletlistfirststyle"/>
      </w:pPr>
      <w:r>
        <w:t>Dividend growth model estimates may be upwardly biased due to:</w:t>
      </w:r>
    </w:p>
    <w:p w:rsidR="009A1A4E" w:rsidRDefault="009A1A4E" w:rsidP="009A1A4E">
      <w:pPr>
        <w:pStyle w:val="AERbulletlistsecondstyle"/>
      </w:pPr>
      <w:r>
        <w:t>The well-understood upwards bias in a</w:t>
      </w:r>
      <w:r w:rsidRPr="00B4711B">
        <w:t>nalyst forecasts</w:t>
      </w:r>
      <w:r>
        <w:t>.</w:t>
      </w:r>
      <w:r w:rsidRPr="00B4711B">
        <w:rPr>
          <w:rStyle w:val="FootnoteReference"/>
        </w:rPr>
        <w:footnoteReference w:id="936"/>
      </w:r>
    </w:p>
    <w:p w:rsidR="009A1A4E" w:rsidRDefault="009A1A4E" w:rsidP="009A1A4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937"/>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938"/>
      </w:r>
    </w:p>
    <w:p w:rsidR="009A1A4E" w:rsidRDefault="009A1A4E" w:rsidP="009A1A4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39"/>
      </w:r>
      <w:r w:rsidRPr="0065391F">
        <w:rPr>
          <w:rStyle w:val="AERbody"/>
        </w:rPr>
        <w:t xml:space="preserve"> </w:t>
      </w:r>
    </w:p>
    <w:p w:rsidR="009A1A4E" w:rsidRPr="00B4711B" w:rsidRDefault="009A1A4E" w:rsidP="009A1A4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940"/>
      </w:r>
    </w:p>
    <w:p w:rsidR="009A1A4E" w:rsidRPr="002F6B48" w:rsidRDefault="009A1A4E" w:rsidP="009A1A4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9A1A4E" w:rsidRDefault="009A1A4E" w:rsidP="009A1A4E">
      <w:r w:rsidRPr="00767D37">
        <w:t>We note much of th</w:t>
      </w:r>
      <w:r w:rsidR="00066E1D">
        <w:t>is</w:t>
      </w:r>
      <w:r w:rsidRPr="00767D37">
        <w:t xml:space="preserve"> material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941"/>
      </w:r>
      <w:r w:rsidRPr="00690E38">
        <w:t xml:space="preserve"> </w:t>
      </w:r>
      <w:r w:rsidR="00FB3200">
        <w:t xml:space="preserve">Much of this material was </w:t>
      </w:r>
      <w:r>
        <w:t>resubmitted for our decisions in May, July and August 2016.</w:t>
      </w:r>
    </w:p>
    <w:p w:rsidR="009A1A4E" w:rsidRDefault="009A1A4E" w:rsidP="009A1A4E">
      <w:r w:rsidRPr="00690E38">
        <w:t>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942"/>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943"/>
      </w:r>
      <w:r w:rsidRPr="00690E38">
        <w:t xml:space="preserve"> While we use the dividend growth model to inform the estimate of the market risk premium, we also take these concerns into account.</w:t>
      </w:r>
    </w:p>
    <w:p w:rsidR="009A1A4E" w:rsidRPr="00957F0D" w:rsidRDefault="009A1A4E" w:rsidP="00CC7A1C">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944"/>
      </w:r>
    </w:p>
    <w:p w:rsidR="009A1A4E" w:rsidRPr="00957F0D" w:rsidRDefault="009A1A4E" w:rsidP="009A1A4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9A1A4E" w:rsidRPr="00957F0D" w:rsidRDefault="009A1A4E" w:rsidP="00CC7A1C">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945"/>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946"/>
      </w:r>
    </w:p>
    <w:p w:rsidR="009A1A4E" w:rsidRPr="00045ECA" w:rsidRDefault="009A1A4E" w:rsidP="00CC7A1C">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947"/>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948"/>
      </w:r>
      <w:r w:rsidRPr="00045ECA">
        <w:t xml:space="preserve"> </w:t>
      </w:r>
    </w:p>
    <w:p w:rsidR="009A1A4E" w:rsidRDefault="0089007A" w:rsidP="00CC7A1C">
      <w:pPr>
        <w:numPr>
          <w:ilvl w:val="0"/>
          <w:numId w:val="24"/>
        </w:numPr>
      </w:pPr>
      <w:r>
        <w:t xml:space="preserve">During our previous tranche of regulatory decisions, </w:t>
      </w:r>
      <w:r w:rsidR="00BB13B7">
        <w:t xml:space="preserve">we did not receive any </w:t>
      </w:r>
      <w:r w:rsidR="009A1A4E">
        <w:t>substantively new evidence to alleviate our concerns that the dividend growth model cannot reliably estimate return on equity for individual firms or sectors.</w:t>
      </w:r>
      <w:r w:rsidR="009A1A4E">
        <w:rPr>
          <w:rStyle w:val="FootnoteReference"/>
        </w:rPr>
        <w:footnoteReference w:id="949"/>
      </w:r>
      <w:r w:rsidR="009A1A4E">
        <w:t xml:space="preserve"> </w:t>
      </w:r>
      <w:r w:rsidR="00BB13B7">
        <w:t>There was no</w:t>
      </w:r>
      <w:r w:rsidR="009A1A4E">
        <w:t xml:space="preserve"> compelling evidence that dividend growth model estimates of market risk premium are not upwardly biased. </w:t>
      </w:r>
      <w:r w:rsidR="00BB13B7">
        <w:t>AusNet Services has</w:t>
      </w:r>
      <w:r>
        <w:t xml:space="preserve"> not provided any substantively new evidence.</w:t>
      </w:r>
      <w:r>
        <w:rPr>
          <w:rStyle w:val="FootnoteReference"/>
        </w:rPr>
        <w:footnoteReference w:id="950"/>
      </w:r>
    </w:p>
    <w:p w:rsidR="009A1A4E" w:rsidRPr="004D7F0F" w:rsidRDefault="009A1A4E" w:rsidP="00CC7A1C">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Partington and Satchell also share </w:t>
      </w:r>
      <w:r>
        <w:t>our</w:t>
      </w:r>
      <w:r w:rsidRPr="004D7F0F">
        <w:t xml:space="preserve"> concerns on these issues.</w:t>
      </w:r>
      <w:r w:rsidRPr="004D7F0F">
        <w:rPr>
          <w:rStyle w:val="FootnoteReference"/>
        </w:rPr>
        <w:footnoteReference w:id="951"/>
      </w:r>
    </w:p>
    <w:p w:rsidR="009A1A4E" w:rsidRDefault="009A1A4E" w:rsidP="00CC7A1C">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6B4A74">
        <w:t>D.4</w:t>
      </w:r>
      <w:r>
        <w:fldChar w:fldCharType="end"/>
      </w:r>
      <w:r>
        <w:t>.</w:t>
      </w:r>
    </w:p>
    <w:p w:rsidR="009A1A4E" w:rsidRPr="009A1A4E" w:rsidRDefault="009A1A4E" w:rsidP="009A1A4E">
      <w:r>
        <w:t>SFG's construction of the dividend growth model and approach to using the model to estimate return on equity</w:t>
      </w:r>
      <w:r w:rsidR="00BB13B7">
        <w:t xml:space="preserve"> have been supported by some service providers in the past</w:t>
      </w:r>
      <w:r>
        <w:t>.</w:t>
      </w:r>
      <w:r w:rsidRPr="001C657E">
        <w:rPr>
          <w:rStyle w:val="FootnoteReference"/>
        </w:rPr>
        <w:t xml:space="preserve"> </w:t>
      </w:r>
      <w:r>
        <w:rPr>
          <w:rStyle w:val="FootnoteReference"/>
        </w:rPr>
        <w:footnoteReference w:id="952"/>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6B4A74">
        <w:t>B.4.1</w:t>
      </w:r>
      <w:r>
        <w:fldChar w:fldCharType="end"/>
      </w:r>
      <w:r>
        <w:t xml:space="preserve"> below.</w:t>
      </w:r>
    </w:p>
    <w:p w:rsidR="00BB18D4" w:rsidRDefault="00BB18D4" w:rsidP="00BB18D4">
      <w:pPr>
        <w:pStyle w:val="Heading9"/>
      </w:pPr>
      <w:bookmarkStart w:id="251" w:name="_Ref449021062"/>
      <w:bookmarkStart w:id="252" w:name="_Toc456686722"/>
      <w:bookmarkStart w:id="253" w:name="_Toc480460848"/>
      <w:r w:rsidRPr="00BB18D4">
        <w:t>SFG's construction of the dividend growth model</w:t>
      </w:r>
      <w:bookmarkEnd w:id="251"/>
      <w:bookmarkEnd w:id="252"/>
      <w:bookmarkEnd w:id="253"/>
    </w:p>
    <w:p w:rsidR="009A1A4E" w:rsidRDefault="009A1A4E" w:rsidP="00CC7A1C">
      <w:pPr>
        <w:numPr>
          <w:ilvl w:val="0"/>
          <w:numId w:val="24"/>
        </w:numPr>
      </w:pPr>
      <w:r>
        <w:t xml:space="preserve">SFG and several service providers </w:t>
      </w:r>
      <w:r w:rsidR="00BB13B7">
        <w:t xml:space="preserve">have </w:t>
      </w:r>
      <w:r>
        <w:t xml:space="preserve">previously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953"/>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954"/>
      </w:r>
      <w:r w:rsidRPr="00B4711B">
        <w:t xml:space="preserve"> However, we consider SFG has overstated the ability of its </w:t>
      </w:r>
      <w:r>
        <w:t>dividend growth model</w:t>
      </w:r>
      <w:r w:rsidRPr="00B4711B">
        <w:t xml:space="preserve"> to provide robust return on equity estimates at the industry level.</w:t>
      </w:r>
    </w:p>
    <w:p w:rsidR="009A1A4E" w:rsidRDefault="009A1A4E" w:rsidP="00CC7A1C">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955"/>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9A1A4E" w:rsidRPr="00941168" w:rsidRDefault="009A1A4E" w:rsidP="00CC7A1C">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956"/>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957"/>
      </w:r>
      <w:r w:rsidRPr="00941168">
        <w:t xml:space="preserve"> </w:t>
      </w:r>
    </w:p>
    <w:p w:rsidR="009A1A4E" w:rsidRPr="00941168" w:rsidRDefault="009A1A4E" w:rsidP="00CC7A1C">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9A1A4E" w:rsidRDefault="009A1A4E" w:rsidP="009A1A4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9A1A4E" w:rsidRPr="001562D4" w:rsidRDefault="009A1A4E" w:rsidP="00CC7A1C">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58"/>
      </w:r>
    </w:p>
    <w:p w:rsidR="009A1A4E" w:rsidRPr="00B4711B" w:rsidRDefault="009A1A4E" w:rsidP="009A1A4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959"/>
      </w:r>
      <w:r w:rsidRPr="00B4711B">
        <w:t xml:space="preserve"> However, this perception of stability is subjective and we do not agree with it. </w:t>
      </w:r>
      <w:r>
        <w:fldChar w:fldCharType="begin"/>
      </w:r>
      <w:r>
        <w:instrText xml:space="preserve"> REF _Ref451895691 \h </w:instrText>
      </w:r>
      <w:r>
        <w:fldChar w:fldCharType="separate"/>
      </w:r>
      <w:r w:rsidR="006B4A74">
        <w:t xml:space="preserve">Figure </w:t>
      </w:r>
      <w:r w:rsidR="006B4A74">
        <w:rPr>
          <w:noProof/>
        </w:rPr>
        <w:t>3</w:t>
      </w:r>
      <w:r w:rsidR="006B4A74">
        <w:noBreakHyphen/>
      </w:r>
      <w:r w:rsidR="006B4A74">
        <w:rPr>
          <w:noProof/>
        </w:rPr>
        <w:t>6</w:t>
      </w:r>
      <w:r>
        <w:fldChar w:fldCharType="end"/>
      </w:r>
      <w:r>
        <w:t xml:space="preserve"> </w:t>
      </w:r>
      <w:r w:rsidRPr="00B4711B">
        <w:t>illustrates this point by showing three time series:</w:t>
      </w:r>
      <w:r w:rsidRPr="00B4711B">
        <w:rPr>
          <w:rStyle w:val="FootnoteReference"/>
        </w:rPr>
        <w:footnoteReference w:id="960"/>
      </w:r>
    </w:p>
    <w:p w:rsidR="009A1A4E" w:rsidRPr="0010250E" w:rsidRDefault="009A1A4E" w:rsidP="009A1A4E">
      <w:pPr>
        <w:pStyle w:val="AERbulletlistfirststyle"/>
      </w:pPr>
      <w:r w:rsidRPr="00B4711B">
        <w:t xml:space="preserve">the return on equity for the market determined by SFG's </w:t>
      </w:r>
      <w:r w:rsidRPr="0010250E">
        <w:t>model (blue line)</w:t>
      </w:r>
    </w:p>
    <w:p w:rsidR="009A1A4E" w:rsidRPr="0010250E" w:rsidRDefault="009A1A4E" w:rsidP="009A1A4E">
      <w:pPr>
        <w:pStyle w:val="AERbulletlistfirststyle"/>
      </w:pPr>
      <w:r w:rsidRPr="00B4711B">
        <w:t xml:space="preserve">the return on equity for network businesses determined by multiplying the </w:t>
      </w:r>
      <w:r w:rsidRPr="0010250E">
        <w:t>market risk premium from SFG's model by 0.94 then adding the prevailing risk free rate (green line)</w:t>
      </w:r>
    </w:p>
    <w:p w:rsidR="009A1A4E" w:rsidRPr="0010250E" w:rsidRDefault="009A1A4E" w:rsidP="009A1A4E">
      <w:pPr>
        <w:pStyle w:val="AERbulletlistfirststyle"/>
      </w:pPr>
      <w:r w:rsidRPr="00B4711B">
        <w:t xml:space="preserve">the return on equity for network businesses determined by directly applying SFG's </w:t>
      </w:r>
      <w:r w:rsidRPr="0010250E">
        <w:t>model (red line).</w:t>
      </w:r>
    </w:p>
    <w:p w:rsidR="009A1A4E" w:rsidRDefault="009A1A4E" w:rsidP="009A1A4E">
      <w:pPr>
        <w:pStyle w:val="Caption"/>
      </w:pPr>
      <w:bookmarkStart w:id="254" w:name="_Ref451895691"/>
      <w:r>
        <w:t xml:space="preserve">Figure </w:t>
      </w:r>
      <w:fldSimple w:instr=" STYLEREF 1 \s ">
        <w:r w:rsidR="006B4A74">
          <w:rPr>
            <w:noProof/>
          </w:rPr>
          <w:t>3</w:t>
        </w:r>
      </w:fldSimple>
      <w:r w:rsidR="008A2B2B">
        <w:noBreakHyphen/>
      </w:r>
      <w:fldSimple w:instr=" SEQ Figure \* ARABIC \s 1 ">
        <w:r w:rsidR="006B4A74">
          <w:rPr>
            <w:noProof/>
          </w:rPr>
          <w:t>6</w:t>
        </w:r>
      </w:fldSimple>
      <w:bookmarkEnd w:id="254"/>
      <w:r>
        <w:tab/>
      </w:r>
      <w:r w:rsidRPr="00B4711B">
        <w:t>Movements in SFG's dividend growth model</w:t>
      </w:r>
    </w:p>
    <w:p w:rsidR="009A1A4E" w:rsidRPr="00B4711B" w:rsidRDefault="009A1A4E" w:rsidP="00CC7A1C">
      <w:pPr>
        <w:numPr>
          <w:ilvl w:val="0"/>
          <w:numId w:val="24"/>
        </w:numPr>
      </w:pPr>
      <w:r w:rsidRPr="009A1A4E">
        <w:rPr>
          <w:noProof/>
          <w:lang w:eastAsia="en-AU"/>
        </w:rPr>
        <w:drawing>
          <wp:inline distT="0" distB="0" distL="0" distR="0" wp14:anchorId="77F0E284" wp14:editId="6F2ECA67">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9A1A4E" w:rsidRPr="00B4711B" w:rsidRDefault="009A1A4E" w:rsidP="009A1A4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961"/>
      </w:r>
    </w:p>
    <w:p w:rsidR="009A1A4E" w:rsidRPr="00B4711B" w:rsidRDefault="009A1A4E" w:rsidP="009A1A4E">
      <w:pPr>
        <w:pStyle w:val="AERtablesource"/>
      </w:pPr>
      <w:r w:rsidRPr="00B4711B">
        <w:t>Note:</w:t>
      </w:r>
      <w:r w:rsidRPr="00B4711B">
        <w:tab/>
        <w:t>SFG calls the market value return on equity, the 'cost of equity'. This is the concept we refer to throughout this decision as the 'return on equity'.</w:t>
      </w:r>
    </w:p>
    <w:p w:rsidR="009A1A4E" w:rsidRPr="00B4711B" w:rsidRDefault="009A1A4E" w:rsidP="009A1A4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9A1A4E" w:rsidRPr="009A1A4E" w:rsidRDefault="009A1A4E" w:rsidP="00CC7A1C">
      <w:pPr>
        <w:numPr>
          <w:ilvl w:val="0"/>
          <w:numId w:val="24"/>
        </w:numPr>
      </w:pPr>
      <w:r>
        <w:fldChar w:fldCharType="begin"/>
      </w:r>
      <w:r>
        <w:instrText xml:space="preserve"> REF _Ref451895691 \h </w:instrText>
      </w:r>
      <w:r>
        <w:fldChar w:fldCharType="separate"/>
      </w:r>
      <w:r w:rsidR="006B4A74">
        <w:t xml:space="preserve">Figure </w:t>
      </w:r>
      <w:r w:rsidR="006B4A74">
        <w:rPr>
          <w:noProof/>
        </w:rPr>
        <w:t>3</w:t>
      </w:r>
      <w:r w:rsidR="006B4A74">
        <w:noBreakHyphen/>
      </w:r>
      <w:r w:rsidR="006B4A74">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BB18D4" w:rsidRPr="00BB18D4" w:rsidRDefault="00BB18D4" w:rsidP="00BB18D4">
      <w:pPr>
        <w:pStyle w:val="Heading8"/>
      </w:pPr>
      <w:bookmarkStart w:id="255" w:name="_Ref449018117"/>
      <w:bookmarkStart w:id="256" w:name="_Toc451943790"/>
      <w:bookmarkStart w:id="257" w:name="_Toc456686723"/>
      <w:bookmarkStart w:id="258" w:name="_Toc481057471"/>
      <w:r w:rsidRPr="00BB18D4">
        <w:t>Wright CAPM and historical CAPM</w:t>
      </w:r>
      <w:bookmarkEnd w:id="255"/>
      <w:bookmarkEnd w:id="256"/>
      <w:bookmarkEnd w:id="257"/>
      <w:bookmarkEnd w:id="258"/>
    </w:p>
    <w:p w:rsidR="00C33F1F" w:rsidRDefault="00C33F1F" w:rsidP="00CC7A1C">
      <w:pPr>
        <w:numPr>
          <w:ilvl w:val="0"/>
          <w:numId w:val="24"/>
        </w:numPr>
      </w:pPr>
      <w:bookmarkStart w:id="259" w:name="_Toc443923196"/>
      <w:bookmarkStart w:id="260" w:name="_Toc452629085"/>
      <w:bookmarkStart w:id="261" w:name="_Toc456686724"/>
      <w:bookmarkEnd w:id="195"/>
      <w:bookmarkEnd w:id="196"/>
      <w:bookmarkEnd w:id="197"/>
      <w:bookmarkEnd w:id="198"/>
      <w:bookmarkEnd w:id="199"/>
      <w:bookmarkEnd w:id="200"/>
      <w:bookmarkEnd w:id="201"/>
      <w:bookmarkEnd w:id="202"/>
      <w:bookmarkEnd w:id="203"/>
      <w:bookmarkEnd w:id="204"/>
      <w:bookmarkEnd w:id="205"/>
      <w:bookmarkEnd w:id="206"/>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C33F1F" w:rsidRDefault="00C33F1F" w:rsidP="00CC7A1C">
      <w:pPr>
        <w:numPr>
          <w:ilvl w:val="0"/>
          <w:numId w:val="24"/>
        </w:numPr>
      </w:pPr>
      <m:oMath>
        <m:r>
          <w:rPr>
            <w:rFonts w:ascii="Cambria Math" w:hAnsi="Cambria Math"/>
          </w:rPr>
          <m:t>ke=rf+βe×(rm-rf)</m:t>
        </m:r>
      </m:oMath>
    </w:p>
    <w:p w:rsidR="00C33F1F" w:rsidRPr="0082305A" w:rsidRDefault="00C33F1F" w:rsidP="00C33F1F">
      <w:pPr>
        <w:pStyle w:val="AERtablesource"/>
      </w:pPr>
      <w:r>
        <w:t>W</w:t>
      </w:r>
      <w:r w:rsidRPr="0082305A">
        <w:t>here</w:t>
      </w:r>
      <w:r>
        <w:t>:</w:t>
      </w:r>
      <w:r>
        <w:tab/>
      </w:r>
      <m:oMath>
        <m:r>
          <w:rPr>
            <w:rFonts w:ascii="Cambria Math" w:hAnsi="Cambria Math"/>
          </w:rPr>
          <m:t>ke</m:t>
        </m:r>
      </m:oMath>
      <w:r w:rsidRPr="0082305A">
        <w:t xml:space="preserve"> is the expected return on equity</w:t>
      </w:r>
    </w:p>
    <w:p w:rsidR="00C33F1F" w:rsidRPr="0082305A" w:rsidRDefault="00C33F1F" w:rsidP="00C33F1F">
      <w:pPr>
        <w:pStyle w:val="AERtablesource"/>
      </w:pPr>
      <w:r>
        <w:tab/>
      </w:r>
      <m:oMath>
        <m:r>
          <w:rPr>
            <w:rFonts w:ascii="Cambria Math" w:hAnsi="Cambria Math"/>
          </w:rPr>
          <m:t>rf</m:t>
        </m:r>
      </m:oMath>
      <w:r w:rsidRPr="0082305A">
        <w:t xml:space="preserve"> is the risk free rate</w:t>
      </w:r>
    </w:p>
    <w:p w:rsidR="00C33F1F" w:rsidRPr="0082305A" w:rsidRDefault="00C33F1F" w:rsidP="00C33F1F">
      <w:pPr>
        <w:pStyle w:val="AERtablesource"/>
      </w:pPr>
      <w:r>
        <w:tab/>
      </w:r>
      <m:oMath>
        <m:r>
          <w:rPr>
            <w:rFonts w:ascii="Cambria Math" w:hAnsi="Cambria Math"/>
          </w:rPr>
          <m:t>βe</m:t>
        </m:r>
      </m:oMath>
      <w:r w:rsidRPr="0082305A">
        <w:t xml:space="preserve"> is the equity beta</w:t>
      </w:r>
    </w:p>
    <w:p w:rsidR="00C33F1F" w:rsidRDefault="00C33F1F" w:rsidP="00C33F1F">
      <w:pPr>
        <w:pStyle w:val="AERtablesource"/>
      </w:pPr>
      <w:r>
        <w:tab/>
      </w:r>
      <m:oMath>
        <m:r>
          <w:rPr>
            <w:rFonts w:ascii="Cambria Math" w:hAnsi="Cambria Math"/>
          </w:rPr>
          <m:t>rm</m:t>
        </m:r>
      </m:oMath>
      <w:r w:rsidRPr="0082305A">
        <w:t xml:space="preserve"> is the expected return on the market</w:t>
      </w:r>
    </w:p>
    <w:p w:rsidR="00C33F1F" w:rsidRDefault="00C33F1F" w:rsidP="00CC7A1C">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962"/>
      </w:r>
      <w:r>
        <w:t xml:space="preserve"> </w:t>
      </w:r>
    </w:p>
    <w:p w:rsidR="00C33F1F" w:rsidRPr="00957F0D" w:rsidRDefault="00C33F1F" w:rsidP="00CC7A1C">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C33F1F" w:rsidRPr="00F63640" w:rsidRDefault="00C33F1F" w:rsidP="00C33F1F">
      <w:pPr>
        <w:pStyle w:val="AERbulletlistfirststyle"/>
      </w:pPr>
      <w:r>
        <w:t>e</w:t>
      </w:r>
      <w:r w:rsidRPr="00957F0D">
        <w:t>stimating</w:t>
      </w:r>
      <w:r w:rsidRPr="00F63640">
        <w:t xml:space="preserve"> the return on equity for the benchmark efficient entity</w:t>
      </w:r>
    </w:p>
    <w:p w:rsidR="00C33F1F" w:rsidRPr="00F63640" w:rsidRDefault="00C33F1F" w:rsidP="00C33F1F">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C33F1F" w:rsidRPr="00957F0D" w:rsidRDefault="00C33F1F" w:rsidP="00CC7A1C">
      <w:pPr>
        <w:numPr>
          <w:ilvl w:val="0"/>
          <w:numId w:val="24"/>
        </w:numPr>
      </w:pPr>
      <w:r>
        <w:t>Our</w:t>
      </w:r>
      <w:r w:rsidRPr="00957F0D">
        <w:t xml:space="preserve"> reasons for </w:t>
      </w:r>
      <w:r>
        <w:t>this position</w:t>
      </w:r>
      <w:r w:rsidRPr="00957F0D">
        <w:t xml:space="preserve"> are:</w:t>
      </w:r>
    </w:p>
    <w:p w:rsidR="00C33F1F" w:rsidRPr="00F63640" w:rsidRDefault="00C33F1F" w:rsidP="00C33F1F">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963"/>
      </w:r>
    </w:p>
    <w:p w:rsidR="00C33F1F" w:rsidRPr="00F63640" w:rsidRDefault="00C33F1F" w:rsidP="00C33F1F">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964"/>
      </w:r>
    </w:p>
    <w:p w:rsidR="00C33F1F" w:rsidRPr="00F63640" w:rsidRDefault="00C33F1F" w:rsidP="00C33F1F">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965"/>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966"/>
      </w:r>
    </w:p>
    <w:p w:rsidR="00C33F1F" w:rsidRPr="00F63640" w:rsidRDefault="00C33F1F" w:rsidP="00C33F1F">
      <w:pPr>
        <w:pStyle w:val="AERbulletlistfirststyle"/>
      </w:pPr>
      <w:r>
        <w:t>M</w:t>
      </w:r>
      <w:r w:rsidRPr="00F63640">
        <w:t>arket practitioners, academics or regulators do not generally accept these models.</w:t>
      </w:r>
      <w:r w:rsidRPr="00F63640">
        <w:rPr>
          <w:rStyle w:val="FootnoteReference"/>
        </w:rPr>
        <w:footnoteReference w:id="967"/>
      </w:r>
      <w:r>
        <w:t xml:space="preserve"> For example, an analysis of 78 suitable independent valuation reports over May 2013 to January 2016 indicates there are no reports that appear to use the Wright CAPM.</w:t>
      </w:r>
    </w:p>
    <w:p w:rsidR="00C33F1F" w:rsidRPr="00957F0D" w:rsidRDefault="00C33F1F" w:rsidP="00C33F1F">
      <w:r w:rsidRPr="00957F0D">
        <w:t xml:space="preserve">Handley considered the Wright </w:t>
      </w:r>
      <w:r>
        <w:t>CAPM</w:t>
      </w:r>
      <w:r w:rsidRPr="00957F0D">
        <w:t xml:space="preserve"> </w:t>
      </w:r>
      <w:r>
        <w:t>and</w:t>
      </w:r>
      <w:r w:rsidRPr="00957F0D">
        <w:t xml:space="preserve"> stated:</w:t>
      </w:r>
      <w:r>
        <w:rPr>
          <w:rStyle w:val="FootnoteReference"/>
        </w:rPr>
        <w:footnoteReference w:id="968"/>
      </w:r>
    </w:p>
    <w:p w:rsidR="00C33F1F" w:rsidRPr="00957F0D" w:rsidRDefault="00C33F1F" w:rsidP="00C33F1F">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969"/>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C33F1F" w:rsidRPr="00957F0D" w:rsidRDefault="00C33F1F" w:rsidP="00C33F1F">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970"/>
      </w:r>
    </w:p>
    <w:p w:rsidR="00C33F1F" w:rsidRPr="00957F0D" w:rsidRDefault="00C33F1F" w:rsidP="00C33F1F">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C33F1F" w:rsidRDefault="00C33F1F" w:rsidP="00CC7A1C">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C33F1F" w:rsidRDefault="00C33F1F" w:rsidP="00CC7A1C">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971"/>
      </w:r>
    </w:p>
    <w:p w:rsidR="001043A2" w:rsidRDefault="001043A2" w:rsidP="00CC7A1C">
      <w:pPr>
        <w:numPr>
          <w:ilvl w:val="0"/>
          <w:numId w:val="24"/>
        </w:numPr>
      </w:pPr>
      <w:r>
        <w:t>AusNet Services resubmitted that the Wright CAPM is relevant to the estimation of the market risk premium, rather than the overall return on equity.</w:t>
      </w:r>
      <w:r>
        <w:rPr>
          <w:rStyle w:val="FootnoteReference"/>
        </w:rPr>
        <w:footnoteReference w:id="972"/>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043A2" w:rsidRDefault="001043A2" w:rsidP="001043A2">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973"/>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w:t>
      </w:r>
    </w:p>
    <w:p w:rsidR="001043A2" w:rsidRPr="0010250E" w:rsidRDefault="001043A2" w:rsidP="001043A2">
      <w:r w:rsidRPr="00F9248D">
        <w:t>Partington and Satchell, in their most recent report also advised that the 'Wright approach has no support based on any clear evidence in the Australian context'.</w:t>
      </w:r>
      <w:r w:rsidRPr="00F9248D">
        <w:rPr>
          <w:rStyle w:val="FootnoteReference"/>
        </w:rPr>
        <w:footnoteReference w:id="974"/>
      </w:r>
    </w:p>
    <w:p w:rsidR="009A1A4E" w:rsidRPr="0010250E" w:rsidRDefault="009A1A4E" w:rsidP="009A1A4E"/>
    <w:p w:rsidR="00BB18D4" w:rsidRPr="00F67D55" w:rsidRDefault="00BB18D4" w:rsidP="00F67D55">
      <w:pPr>
        <w:pStyle w:val="Heading7"/>
      </w:pPr>
      <w:bookmarkStart w:id="262" w:name="_Toc481057472"/>
      <w:r w:rsidRPr="00F67D55">
        <w:t>Historical stock returns</w:t>
      </w:r>
      <w:bookmarkEnd w:id="259"/>
      <w:bookmarkEnd w:id="260"/>
      <w:bookmarkEnd w:id="261"/>
      <w:bookmarkEnd w:id="262"/>
    </w:p>
    <w:p w:rsidR="00BB18D4" w:rsidRPr="00BB18D4" w:rsidRDefault="00BB18D4" w:rsidP="00BB18D4">
      <w:r w:rsidRPr="00BB18D4">
        <w:t>This appendix examines realised returns to Australian listed equity (stocks) as a proxy for the historical return on the portfolio of all equity in the market. We examine both total returns and excess returns. Excess returns are the realised returns</w:t>
      </w:r>
      <w:r w:rsidRPr="00BB18D4">
        <w:rPr>
          <w:rStyle w:val="FootnoteReference"/>
        </w:rPr>
        <w:footnoteReference w:id="975"/>
      </w:r>
      <w:r w:rsidRPr="00BB18D4">
        <w:t xml:space="preserve"> that stocks have earned in excess of the returns on government bonds with a ten-year term-to-maturity.</w:t>
      </w:r>
    </w:p>
    <w:p w:rsidR="00BB18D4" w:rsidRPr="00BB18D4" w:rsidRDefault="00BB18D4" w:rsidP="00BB18D4">
      <w:pPr>
        <w:rPr>
          <w:rStyle w:val="AERbody"/>
        </w:rPr>
      </w:pPr>
      <w:r w:rsidRPr="00BB18D4">
        <w:rPr>
          <w:rStyle w:val="AERbody"/>
        </w:rPr>
        <w:t>Our dataset and methodology is based on Brailsford, Handley, and Maheswaran (Brailsford et al).</w:t>
      </w:r>
      <w:r w:rsidRPr="00BB18D4">
        <w:rPr>
          <w:rStyle w:val="AERsuperscript"/>
        </w:rPr>
        <w:footnoteReference w:id="976"/>
      </w:r>
      <w:r w:rsidRPr="00BB18D4">
        <w:rPr>
          <w:rStyle w:val="AERbody"/>
        </w:rPr>
        <w:t xml:space="preserve"> A detailed discussion on data and methodology can be found in Brailsford et al, our Guideline, and attachment 3 to our </w:t>
      </w:r>
      <w:r w:rsidR="00A75594">
        <w:rPr>
          <w:rStyle w:val="AERbody"/>
        </w:rPr>
        <w:t>draft</w:t>
      </w:r>
      <w:r w:rsidR="00A75594" w:rsidRPr="00BB18D4">
        <w:rPr>
          <w:rStyle w:val="AERbody"/>
        </w:rPr>
        <w:t xml:space="preserve"> </w:t>
      </w:r>
      <w:r w:rsidRPr="00BB18D4">
        <w:rPr>
          <w:rStyle w:val="AERbody"/>
        </w:rPr>
        <w:t xml:space="preserve">decision for AusNet Services' 2016-20 distribution determination. </w:t>
      </w:r>
    </w:p>
    <w:p w:rsidR="00BB18D4" w:rsidRPr="00BB18D4" w:rsidRDefault="00BB18D4" w:rsidP="00BB18D4">
      <w:r w:rsidRPr="00BB18D4">
        <w:t>In the remainder of this section we examine:</w:t>
      </w:r>
    </w:p>
    <w:p w:rsidR="00BB18D4" w:rsidRPr="00BB18D4" w:rsidRDefault="00BB18D4" w:rsidP="00BB18D4">
      <w:pPr>
        <w:pStyle w:val="AERbulletlistfirststyle"/>
      </w:pPr>
      <w:r w:rsidRPr="00BB18D4">
        <w:t>Prevailing estimates for both excess returns and total returns.</w:t>
      </w:r>
    </w:p>
    <w:p w:rsidR="00BB18D4" w:rsidRPr="00BB18D4" w:rsidRDefault="00BB18D4" w:rsidP="00BB18D4">
      <w:pPr>
        <w:pStyle w:val="AERbulletlistfirststyle"/>
      </w:pPr>
      <w:r w:rsidRPr="00BB18D4">
        <w:t>The relative merits of arithmetic and geometric averages of historical returns.</w:t>
      </w:r>
    </w:p>
    <w:p w:rsidR="00BB18D4" w:rsidRPr="00BB18D4" w:rsidRDefault="00BB18D4" w:rsidP="00BB18D4">
      <w:pPr>
        <w:pStyle w:val="AERbulletlistfirststyle"/>
      </w:pPr>
      <w:r w:rsidRPr="00BB18D4">
        <w:t xml:space="preserve">The relative merits of the ASX's adjustment and NERA's adjustment to historical stock returns data. </w:t>
      </w:r>
    </w:p>
    <w:p w:rsidR="00BB18D4" w:rsidRPr="00F67D55" w:rsidRDefault="00BB18D4" w:rsidP="002656D9">
      <w:pPr>
        <w:pStyle w:val="Heading8"/>
        <w:numPr>
          <w:ilvl w:val="1"/>
          <w:numId w:val="29"/>
        </w:numPr>
        <w:tabs>
          <w:tab w:val="clear" w:pos="1305"/>
          <w:tab w:val="num" w:pos="993"/>
        </w:tabs>
        <w:ind w:hanging="1305"/>
      </w:pPr>
      <w:bookmarkStart w:id="263" w:name="_Toc443923197"/>
      <w:bookmarkStart w:id="264" w:name="_Ref444735329"/>
      <w:bookmarkStart w:id="265" w:name="_Toc451938977"/>
      <w:bookmarkStart w:id="266" w:name="_Toc456686725"/>
      <w:bookmarkStart w:id="267" w:name="_Toc481057473"/>
      <w:r w:rsidRPr="00F67D55">
        <w:t>Prevailing estimates: excess returns</w:t>
      </w:r>
      <w:bookmarkEnd w:id="263"/>
      <w:bookmarkEnd w:id="264"/>
      <w:bookmarkEnd w:id="265"/>
      <w:bookmarkEnd w:id="266"/>
      <w:bookmarkEnd w:id="267"/>
    </w:p>
    <w:p w:rsidR="00BB18D4" w:rsidRPr="00BB18D4" w:rsidRDefault="00BB18D4" w:rsidP="00BB18D4">
      <w:r w:rsidRPr="00BB18D4">
        <w:fldChar w:fldCharType="begin"/>
      </w:r>
      <w:r w:rsidRPr="00BB18D4">
        <w:instrText xml:space="preserve"> REF _Ref432619921 \h </w:instrText>
      </w:r>
      <w:r w:rsidRPr="00BB18D4">
        <w:fldChar w:fldCharType="separate"/>
      </w:r>
      <w:r w:rsidR="006B4A74" w:rsidRPr="00BB18D4">
        <w:t xml:space="preserve">Table </w:t>
      </w:r>
      <w:r w:rsidR="006B4A74">
        <w:rPr>
          <w:noProof/>
        </w:rPr>
        <w:t>3</w:t>
      </w:r>
      <w:r w:rsidR="006B4A74">
        <w:noBreakHyphen/>
      </w:r>
      <w:r w:rsidR="006B4A74">
        <w:rPr>
          <w:noProof/>
        </w:rPr>
        <w:t>24</w:t>
      </w:r>
      <w:r w:rsidRPr="00BB18D4">
        <w:fldChar w:fldCharType="end"/>
      </w:r>
      <w:r w:rsidRPr="00BB18D4">
        <w:t xml:space="preserve"> sets out our estimates of historical excess returns, measured using both arithmetic and geometric averages, and estimated over different sample periods up until the 2015 calendar year end.</w:t>
      </w:r>
      <w:r w:rsidRPr="00BB18D4">
        <w:rPr>
          <w:rStyle w:val="FootnoteReference"/>
        </w:rPr>
        <w:footnoteReference w:id="977"/>
      </w:r>
      <w:r w:rsidRPr="00BB18D4">
        <w:t xml:space="preserve"> Arithmetic average measures range between 5.6 and 6.3 per cent and geometric average measures range between 3.9 and 4.9 per cent.  </w:t>
      </w:r>
    </w:p>
    <w:p w:rsidR="00BB18D4" w:rsidRPr="00BB18D4" w:rsidRDefault="00BB18D4" w:rsidP="00BB18D4">
      <w:pPr>
        <w:pStyle w:val="Caption"/>
        <w:rPr>
          <w:rStyle w:val="Strong"/>
        </w:rPr>
      </w:pPr>
      <w:bookmarkStart w:id="268" w:name="_Ref432619921"/>
      <w:r w:rsidRPr="00BB18D4">
        <w:t xml:space="preserve">Table </w:t>
      </w:r>
      <w:fldSimple w:instr=" STYLEREF 1 \s ">
        <w:r w:rsidR="006B4A74">
          <w:rPr>
            <w:noProof/>
          </w:rPr>
          <w:t>3</w:t>
        </w:r>
      </w:fldSimple>
      <w:r w:rsidR="008F29C8">
        <w:noBreakHyphen/>
      </w:r>
      <w:fldSimple w:instr=" SEQ Table \* ARABIC \s 1 ">
        <w:r w:rsidR="006B4A74">
          <w:rPr>
            <w:noProof/>
          </w:rPr>
          <w:t>24</w:t>
        </w:r>
      </w:fldSimple>
      <w:bookmarkEnd w:id="268"/>
      <w:r w:rsidRPr="00BB18D4">
        <w:tab/>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BB18D4" w:rsidRPr="00F7507F" w:rsidTr="002656D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pPr>
              <w:rPr>
                <w:rStyle w:val="Strong"/>
              </w:rPr>
            </w:pPr>
            <w:r w:rsidRPr="00BB18D4">
              <w:rPr>
                <w:rStyle w:val="Strong"/>
              </w:rPr>
              <w:t>Sampling period</w:t>
            </w:r>
          </w:p>
        </w:tc>
        <w:tc>
          <w:tcPr>
            <w:tcW w:w="1667" w:type="pct"/>
            <w:noWrap/>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Arithmetic average</w:t>
            </w:r>
          </w:p>
        </w:tc>
        <w:tc>
          <w:tcPr>
            <w:tcW w:w="1667" w:type="pct"/>
            <w:noWrap/>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Geometric average</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1883–2015</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6.2</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4.9</w:t>
            </w:r>
          </w:p>
        </w:tc>
      </w:tr>
      <w:tr w:rsidR="00BB18D4" w:rsidRPr="00F7507F" w:rsidTr="00BD192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1937–2015</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5.9</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4.0</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1958–2015</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6.3</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4.0</w:t>
            </w:r>
          </w:p>
        </w:tc>
      </w:tr>
      <w:tr w:rsidR="00BB18D4" w:rsidRPr="00F7507F" w:rsidTr="00BD192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1980–2015</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6.2</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3.9</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1988–2015</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5.6</w:t>
            </w:r>
          </w:p>
        </w:tc>
        <w:tc>
          <w:tcPr>
            <w:tcW w:w="1667" w:type="pct"/>
            <w:noWrap/>
          </w:tcPr>
          <w:p w:rsidR="00BB18D4" w:rsidRPr="00BB18D4" w:rsidRDefault="00BE50B0" w:rsidP="00BB18D4">
            <w:pPr>
              <w:cnfStyle w:val="000000000000" w:firstRow="0" w:lastRow="0" w:firstColumn="0" w:lastColumn="0" w:oddVBand="0" w:evenVBand="0" w:oddHBand="0" w:evenHBand="0" w:firstRowFirstColumn="0" w:firstRowLastColumn="0" w:lastRowFirstColumn="0" w:lastRowLastColumn="0"/>
            </w:pPr>
            <w:r>
              <w:t>4.0</w:t>
            </w:r>
          </w:p>
        </w:tc>
      </w:tr>
    </w:tbl>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 p. 6. AER update for 2012–2015 market data.</w:t>
      </w:r>
    </w:p>
    <w:p w:rsidR="00BB18D4" w:rsidRPr="00BB18D4" w:rsidRDefault="00BB18D4" w:rsidP="00BB18D4">
      <w:pPr>
        <w:pStyle w:val="AERtablesource"/>
      </w:pPr>
      <w:r w:rsidRPr="00BB18D4">
        <w:t xml:space="preserve">Notes: </w:t>
      </w:r>
      <w:r w:rsidRPr="00BB18D4">
        <w:tab/>
        <w:t>Based on a theta of 0.6.</w:t>
      </w:r>
    </w:p>
    <w:p w:rsidR="00BB18D4" w:rsidRPr="00BB18D4" w:rsidRDefault="00BB18D4" w:rsidP="00BB18D4">
      <w:pPr>
        <w:pStyle w:val="Heading8"/>
      </w:pPr>
      <w:bookmarkStart w:id="269" w:name="_Toc443923198"/>
      <w:bookmarkStart w:id="270" w:name="_Ref444735331"/>
      <w:bookmarkStart w:id="271" w:name="_Ref445926700"/>
      <w:bookmarkStart w:id="272" w:name="_Ref449053064"/>
      <w:bookmarkStart w:id="273" w:name="_Toc451938978"/>
      <w:bookmarkStart w:id="274" w:name="_Toc456686726"/>
      <w:bookmarkStart w:id="275" w:name="_Toc481057474"/>
      <w:r w:rsidRPr="00BB18D4">
        <w:t>Prevailing estimates: total returns</w:t>
      </w:r>
      <w:bookmarkEnd w:id="269"/>
      <w:bookmarkEnd w:id="270"/>
      <w:bookmarkEnd w:id="271"/>
      <w:bookmarkEnd w:id="272"/>
      <w:bookmarkEnd w:id="273"/>
      <w:bookmarkEnd w:id="274"/>
      <w:bookmarkEnd w:id="275"/>
    </w:p>
    <w:p w:rsidR="00BB18D4" w:rsidRPr="00BB18D4" w:rsidRDefault="00BB18D4" w:rsidP="00BB18D4">
      <w:r w:rsidRPr="00BB18D4">
        <w:fldChar w:fldCharType="begin"/>
      </w:r>
      <w:r w:rsidRPr="00BB18D4">
        <w:instrText xml:space="preserve"> REF _Ref417570520 \h </w:instrText>
      </w:r>
      <w:r w:rsidRPr="00BB18D4">
        <w:fldChar w:fldCharType="separate"/>
      </w:r>
      <w:r w:rsidR="006B4A74" w:rsidRPr="00BB18D4">
        <w:t xml:space="preserve">Table </w:t>
      </w:r>
      <w:r w:rsidR="006B4A74">
        <w:rPr>
          <w:noProof/>
        </w:rPr>
        <w:t>3</w:t>
      </w:r>
      <w:r w:rsidR="006B4A74">
        <w:noBreakHyphen/>
      </w:r>
      <w:r w:rsidR="006B4A74">
        <w:rPr>
          <w:noProof/>
        </w:rPr>
        <w:t>25</w:t>
      </w:r>
      <w:r w:rsidRPr="00BB18D4">
        <w:fldChar w:fldCharType="end"/>
      </w:r>
      <w:r w:rsidRPr="00BB18D4">
        <w:t xml:space="preserve"> sets out our estimates of historical returns on the market portfolio. The nominal return ranges from 10.0 to 12.7. We use a range because the estimated return on the market will vary depending on the time period used.</w:t>
      </w:r>
      <w:r w:rsidRPr="00BB18D4">
        <w:rPr>
          <w:rStyle w:val="FootnoteReference"/>
        </w:rPr>
        <w:footnoteReference w:id="978"/>
      </w:r>
    </w:p>
    <w:p w:rsidR="00BB18D4" w:rsidRPr="00BB18D4" w:rsidRDefault="00BB18D4" w:rsidP="00BB18D4">
      <w:pPr>
        <w:pStyle w:val="Caption"/>
        <w:rPr>
          <w:rStyle w:val="Strong"/>
        </w:rPr>
      </w:pPr>
      <w:bookmarkStart w:id="276" w:name="_Ref417570520"/>
      <w:r w:rsidRPr="00BB18D4">
        <w:t xml:space="preserve">Table </w:t>
      </w:r>
      <w:fldSimple w:instr=" STYLEREF 1 \s ">
        <w:r w:rsidR="006B4A74">
          <w:rPr>
            <w:noProof/>
          </w:rPr>
          <w:t>3</w:t>
        </w:r>
      </w:fldSimple>
      <w:r w:rsidR="008F29C8">
        <w:noBreakHyphen/>
      </w:r>
      <w:fldSimple w:instr=" SEQ Table \* ARABIC \s 1 ">
        <w:r w:rsidR="006B4A74">
          <w:rPr>
            <w:noProof/>
          </w:rPr>
          <w:t>25</w:t>
        </w:r>
      </w:fldSimple>
      <w:bookmarkEnd w:id="276"/>
      <w:r w:rsidRPr="00BB18D4">
        <w:tab/>
        <w:t>Historical returns on the market portfolio (per cent)</w:t>
      </w:r>
    </w:p>
    <w:tbl>
      <w:tblPr>
        <w:tblStyle w:val="AERtable-numbers"/>
        <w:tblW w:w="8755" w:type="dxa"/>
        <w:tblLook w:val="04A0" w:firstRow="1" w:lastRow="0" w:firstColumn="1" w:lastColumn="0" w:noHBand="0" w:noVBand="1"/>
      </w:tblPr>
      <w:tblGrid>
        <w:gridCol w:w="1909"/>
        <w:gridCol w:w="3423"/>
        <w:gridCol w:w="3423"/>
      </w:tblGrid>
      <w:tr w:rsidR="00BB18D4" w:rsidRPr="00B9584E" w:rsidTr="00BD1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Sampling period</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Market return (real)</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Market return (nominal)</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1883–2015</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8.6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11.3</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1937–2015</w:t>
            </w:r>
          </w:p>
        </w:tc>
        <w:tc>
          <w:tcPr>
            <w:tcW w:w="3423" w:type="dxa"/>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7.3</w:t>
            </w:r>
          </w:p>
        </w:tc>
        <w:tc>
          <w:tcPr>
            <w:tcW w:w="3423" w:type="dxa"/>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10.0</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1958–2015</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8.</w:t>
            </w:r>
            <w:r w:rsidR="00BE50B0">
              <w:t>8</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11.</w:t>
            </w:r>
            <w:r w:rsidR="00BE50B0">
              <w:t>5</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1980–2015</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9.</w:t>
            </w:r>
            <w:r w:rsidR="00BE50B0">
              <w:t>7</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12.</w:t>
            </w:r>
            <w:r w:rsidR="00BE50B0">
              <w:t>5</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1988–2015</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9.</w:t>
            </w:r>
            <w:r w:rsidR="00BE50B0">
              <w:t>0</w:t>
            </w:r>
          </w:p>
        </w:tc>
        <w:tc>
          <w:tcPr>
            <w:tcW w:w="3423" w:type="dxa"/>
          </w:tcPr>
          <w:p w:rsidR="00BB18D4" w:rsidRPr="00BB18D4" w:rsidRDefault="00BE50B0" w:rsidP="00BB18D4">
            <w:pPr>
              <w:cnfStyle w:val="000000000000" w:firstRow="0" w:lastRow="0" w:firstColumn="0" w:lastColumn="0" w:oddVBand="0" w:evenVBand="0" w:oddHBand="0" w:evenHBand="0" w:firstRowFirstColumn="0" w:firstRowLastColumn="0" w:lastRowFirstColumn="0" w:lastRowLastColumn="0"/>
            </w:pPr>
            <w:r>
              <w:t>11.7</w:t>
            </w:r>
          </w:p>
        </w:tc>
      </w:tr>
    </w:tbl>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 p. 6. AER update for 2012–2015 market data.</w:t>
      </w:r>
    </w:p>
    <w:p w:rsidR="00BB18D4" w:rsidRPr="00BB18D4" w:rsidRDefault="00BB18D4" w:rsidP="00BB18D4">
      <w:pPr>
        <w:pStyle w:val="AERtablesource"/>
      </w:pPr>
      <w:r w:rsidRPr="00BB18D4">
        <w:t>Notes</w:t>
      </w:r>
      <w:r w:rsidRPr="00BB18D4">
        <w:tab/>
        <w:t xml:space="preserve">Historical market returns are estimated using arithmetic averages, assuming a theta value of 0.6, and assuming an inflation rate of 2.5 per cent. Nominal figures calculated by the AER using the Fisher equation: </w:t>
      </w:r>
    </w:p>
    <w:p w:rsidR="00BB18D4" w:rsidRPr="00BB18D4" w:rsidRDefault="00BB18D4" w:rsidP="00BB18D4">
      <w:pPr>
        <w:pStyle w:val="AERtablesource"/>
      </w:pPr>
      <w:r w:rsidRPr="00BB18D4">
        <w:tab/>
        <w:t>1+i=(1+r)×(1+</w:t>
      </w:r>
      <w:r w:rsidRPr="00BB18D4">
        <w:rPr>
          <w:rFonts w:hint="eastAsia"/>
        </w:rPr>
        <w:t>π</w:t>
      </w:r>
      <w:r w:rsidRPr="00BB18D4">
        <w:t xml:space="preserve">) where r denotes the real return, i denotes the nominal return and </w:t>
      </w:r>
      <w:r w:rsidRPr="00BB18D4">
        <w:rPr>
          <w:rFonts w:hint="eastAsia"/>
        </w:rPr>
        <w:t>π</w:t>
      </w:r>
      <w:r w:rsidRPr="00BB18D4">
        <w:t xml:space="preserve"> denotes the inflation rate.</w:t>
      </w:r>
    </w:p>
    <w:p w:rsidR="00BB18D4" w:rsidRDefault="00BB18D4" w:rsidP="00BB18D4">
      <w:r w:rsidRPr="00BB18D4">
        <w:t>We estimate a return on equity under the Wright CAPM</w:t>
      </w:r>
      <w:r w:rsidRPr="00BB18D4">
        <w:rPr>
          <w:rStyle w:val="FootnoteReference"/>
        </w:rPr>
        <w:footnoteReference w:id="979"/>
      </w:r>
      <w:r w:rsidRPr="00BB18D4">
        <w:t xml:space="preserve"> by combining the historical nominal market return with our prevailing risk free rate estimate</w:t>
      </w:r>
      <w:r w:rsidRPr="00BB18D4">
        <w:rPr>
          <w:rStyle w:val="FootnoteReference"/>
        </w:rPr>
        <w:footnoteReference w:id="980"/>
      </w:r>
      <w:r w:rsidRPr="00BB18D4">
        <w:t xml:space="preserve"> and equity beta estimates.</w:t>
      </w:r>
      <w:r w:rsidRPr="00BB18D4">
        <w:rPr>
          <w:rStyle w:val="FootnoteReference"/>
        </w:rPr>
        <w:footnoteReference w:id="981"/>
      </w:r>
      <w:r w:rsidRPr="00BB18D4">
        <w:t xml:space="preserve"> As shown in </w:t>
      </w:r>
      <w:r w:rsidRPr="00BB18D4">
        <w:fldChar w:fldCharType="begin"/>
      </w:r>
      <w:r w:rsidRPr="00BB18D4">
        <w:instrText xml:space="preserve"> REF _Ref443916669 \h </w:instrText>
      </w:r>
      <w:r w:rsidRPr="00BB18D4">
        <w:fldChar w:fldCharType="separate"/>
      </w:r>
      <w:r w:rsidR="006B4A74" w:rsidRPr="00BB18D4">
        <w:t xml:space="preserve">Table </w:t>
      </w:r>
      <w:r w:rsidR="006B4A74">
        <w:rPr>
          <w:noProof/>
        </w:rPr>
        <w:t>3</w:t>
      </w:r>
      <w:r w:rsidR="006B4A74">
        <w:noBreakHyphen/>
      </w:r>
      <w:r w:rsidR="006B4A74">
        <w:rPr>
          <w:noProof/>
        </w:rPr>
        <w:t>26</w:t>
      </w:r>
      <w:r w:rsidRPr="00BB18D4">
        <w:fldChar w:fldCharType="end"/>
      </w:r>
      <w:r w:rsidRPr="00BB18D4">
        <w:t>, our estimated range for equity beta and market return results in Wright CAPM return on equity estimates ranging from 5.5 to 9.</w:t>
      </w:r>
      <w:r w:rsidR="006914B3">
        <w:t>6</w:t>
      </w:r>
      <w:r w:rsidRPr="00BB18D4">
        <w:t>.</w:t>
      </w:r>
    </w:p>
    <w:p w:rsidR="00F67D55" w:rsidRPr="00BB18D4" w:rsidRDefault="00F67D55" w:rsidP="00BB18D4"/>
    <w:p w:rsidR="00BB18D4" w:rsidRPr="00BB18D4" w:rsidRDefault="00BB18D4" w:rsidP="00BB18D4">
      <w:pPr>
        <w:pStyle w:val="Caption"/>
        <w:rPr>
          <w:rStyle w:val="Strong"/>
        </w:rPr>
      </w:pPr>
      <w:bookmarkStart w:id="277" w:name="_Ref443916669"/>
      <w:r w:rsidRPr="00BB18D4">
        <w:t xml:space="preserve">Table </w:t>
      </w:r>
      <w:fldSimple w:instr=" STYLEREF 1 \s ">
        <w:r w:rsidR="006B4A74">
          <w:rPr>
            <w:noProof/>
          </w:rPr>
          <w:t>3</w:t>
        </w:r>
      </w:fldSimple>
      <w:r w:rsidR="008F29C8">
        <w:noBreakHyphen/>
      </w:r>
      <w:fldSimple w:instr=" SEQ Table \* ARABIC \s 1 ">
        <w:r w:rsidR="006B4A74">
          <w:rPr>
            <w:noProof/>
          </w:rPr>
          <w:t>26</w:t>
        </w:r>
      </w:fldSimple>
      <w:bookmarkEnd w:id="277"/>
      <w:r w:rsidRPr="00BB18D4">
        <w:tab/>
        <w:t>Wright CAPM return on equity (per cent)</w:t>
      </w:r>
    </w:p>
    <w:tbl>
      <w:tblPr>
        <w:tblStyle w:val="AERtable-numbers"/>
        <w:tblW w:w="8755" w:type="dxa"/>
        <w:tblLook w:val="04A0" w:firstRow="1" w:lastRow="0" w:firstColumn="1" w:lastColumn="0" w:noHBand="0" w:noVBand="1"/>
      </w:tblPr>
      <w:tblGrid>
        <w:gridCol w:w="1909"/>
        <w:gridCol w:w="3423"/>
        <w:gridCol w:w="3423"/>
      </w:tblGrid>
      <w:tr w:rsidR="00BB18D4" w:rsidRPr="00B9584E" w:rsidTr="00BD1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AER equity beta estimate</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Wright CAPM return on equity based on 10.0 market return</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Wright CAPM return on equity based on 12.7 market return</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0.4</w:t>
            </w:r>
          </w:p>
        </w:tc>
        <w:tc>
          <w:tcPr>
            <w:tcW w:w="3423" w:type="dxa"/>
          </w:tcPr>
          <w:p w:rsidR="00BB18D4" w:rsidRPr="00BB18D4" w:rsidRDefault="00BB18D4" w:rsidP="007370F1">
            <w:pPr>
              <w:cnfStyle w:val="000000000000" w:firstRow="0" w:lastRow="0" w:firstColumn="0" w:lastColumn="0" w:oddVBand="0" w:evenVBand="0" w:oddHBand="0" w:evenHBand="0" w:firstRowFirstColumn="0" w:firstRowLastColumn="0" w:lastRowFirstColumn="0" w:lastRowLastColumn="0"/>
            </w:pPr>
            <w:r w:rsidRPr="00BB18D4">
              <w:t>5.</w:t>
            </w:r>
            <w:r w:rsidR="007370F1">
              <w:t>5</w:t>
            </w:r>
          </w:p>
        </w:tc>
        <w:tc>
          <w:tcPr>
            <w:tcW w:w="3423" w:type="dxa"/>
          </w:tcPr>
          <w:p w:rsidR="00BB18D4" w:rsidRPr="00BB18D4" w:rsidRDefault="007370F1" w:rsidP="007370F1">
            <w:pPr>
              <w:cnfStyle w:val="000000000000" w:firstRow="0" w:lastRow="0" w:firstColumn="0" w:lastColumn="0" w:oddVBand="0" w:evenVBand="0" w:oddHBand="0" w:evenHBand="0" w:firstRowFirstColumn="0" w:firstRowLastColumn="0" w:lastRowFirstColumn="0" w:lastRowLastColumn="0"/>
            </w:pPr>
            <w:r>
              <w:t>6</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0.7</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7.</w:t>
            </w:r>
            <w:r w:rsidR="00BE50B0">
              <w:t>9</w:t>
            </w:r>
          </w:p>
        </w:tc>
        <w:tc>
          <w:tcPr>
            <w:tcW w:w="3423" w:type="dxa"/>
          </w:tcPr>
          <w:p w:rsidR="00BB18D4" w:rsidRPr="00BB18D4" w:rsidRDefault="00BB18D4" w:rsidP="006914B3">
            <w:pPr>
              <w:cnfStyle w:val="000000010000" w:firstRow="0" w:lastRow="0" w:firstColumn="0" w:lastColumn="0" w:oddVBand="0" w:evenVBand="0" w:oddHBand="0" w:evenHBand="1" w:firstRowFirstColumn="0" w:firstRowLastColumn="0" w:lastRowFirstColumn="0" w:lastRowLastColumn="0"/>
            </w:pPr>
            <w:r w:rsidRPr="00BB18D4">
              <w:t>9.</w:t>
            </w:r>
            <w:r w:rsidR="006914B3">
              <w:t>6</w:t>
            </w:r>
          </w:p>
        </w:tc>
      </w:tr>
    </w:tbl>
    <w:p w:rsidR="00BB18D4" w:rsidRPr="00BB18D4" w:rsidRDefault="00BB18D4" w:rsidP="00BB18D4">
      <w:pPr>
        <w:pStyle w:val="AERtablesource"/>
      </w:pPr>
      <w:bookmarkStart w:id="278" w:name="_Toc443923200"/>
      <w:bookmarkStart w:id="279" w:name="_Ref448320174"/>
      <w:bookmarkStart w:id="280" w:name="_Toc451938979"/>
      <w:r w:rsidRPr="00BB18D4">
        <w:t>Source:</w:t>
      </w:r>
      <w:r w:rsidRPr="00BB18D4">
        <w:tab/>
        <w:t>AER analysis.</w:t>
      </w:r>
    </w:p>
    <w:p w:rsidR="00BB18D4" w:rsidRPr="00BB18D4" w:rsidRDefault="00BB18D4" w:rsidP="00BB18D4">
      <w:pPr>
        <w:pStyle w:val="AERtablesource"/>
      </w:pPr>
      <w:r w:rsidRPr="00BB18D4">
        <w:t>Notes:</w:t>
      </w:r>
      <w:r w:rsidRPr="00BB18D4">
        <w:tab/>
        <w:t>Based on a risk free rate estimate of 2.5</w:t>
      </w:r>
      <w:r w:rsidR="006914B3">
        <w:t>2</w:t>
      </w:r>
      <w:r w:rsidRPr="00BB18D4">
        <w:t xml:space="preserve"> per cent.</w:t>
      </w:r>
    </w:p>
    <w:p w:rsidR="00BB18D4" w:rsidRPr="00BB18D4" w:rsidRDefault="00BB18D4" w:rsidP="00BB18D4">
      <w:pPr>
        <w:pStyle w:val="Heading8"/>
      </w:pPr>
      <w:bookmarkStart w:id="281" w:name="_Toc456686727"/>
      <w:bookmarkStart w:id="282" w:name="_Toc481057475"/>
      <w:r w:rsidRPr="00BB18D4">
        <w:t>Arithmetic and geometric averages</w:t>
      </w:r>
      <w:bookmarkEnd w:id="278"/>
      <w:bookmarkEnd w:id="279"/>
      <w:bookmarkEnd w:id="280"/>
      <w:bookmarkEnd w:id="281"/>
      <w:bookmarkEnd w:id="282"/>
    </w:p>
    <w:p w:rsidR="00BB18D4" w:rsidRPr="00BB18D4" w:rsidRDefault="00BB18D4" w:rsidP="00BB18D4">
      <w:r w:rsidRPr="00BB18D4">
        <w:t>Historical excess market returns are sensitive to the method of averaging returns over multiple periods. The arithmetic average return is the simple average annual return. The geometric average return is the average compounded annual return.</w:t>
      </w:r>
      <w:r w:rsidRPr="00BB18D4">
        <w:rPr>
          <w:rStyle w:val="FootnoteReference"/>
        </w:rPr>
        <w:footnoteReference w:id="982"/>
      </w:r>
    </w:p>
    <w:p w:rsidR="00BB18D4" w:rsidRPr="00BB18D4" w:rsidRDefault="00BB18D4" w:rsidP="00BB18D4">
      <w:r w:rsidRPr="00BB18D4">
        <w:t>In estimating the market risk premium, we have regard to both arithmetic and geometric average historical excess returns. We set out our reasoning in our final decision for Jemena Gas Networks (JGN), and this material remains relevant.</w:t>
      </w:r>
      <w:r w:rsidRPr="00BB18D4">
        <w:rPr>
          <w:rStyle w:val="FootnoteReference"/>
        </w:rPr>
        <w:footnoteReference w:id="983"/>
      </w:r>
      <w:r w:rsidRPr="00BB18D4">
        <w:t xml:space="preserve"> We also note that Partington and Satchell support our position to have regard to both types of average historical excess returns.</w:t>
      </w:r>
      <w:r w:rsidRPr="00BB18D4">
        <w:rPr>
          <w:rStyle w:val="FootnoteReference"/>
        </w:rPr>
        <w:footnoteReference w:id="984"/>
      </w:r>
      <w:r w:rsidRPr="00BB18D4">
        <w:t xml:space="preserve"> Overall, our decision is informed by the following considerations:</w:t>
      </w:r>
    </w:p>
    <w:p w:rsidR="00BB18D4" w:rsidRPr="00BB18D4" w:rsidRDefault="00BB18D4" w:rsidP="00BB18D4">
      <w:pPr>
        <w:pStyle w:val="AERbulletlistfirststyle"/>
      </w:pPr>
      <w:r w:rsidRPr="00BB18D4">
        <w:t>We consider the arithmetic average of 10-yearly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BB18D4">
        <w:rPr>
          <w:rStyle w:val="FootnoteReference"/>
        </w:rPr>
        <w:footnoteReference w:id="985"/>
      </w:r>
    </w:p>
    <w:p w:rsidR="00BB18D4" w:rsidRPr="00BB18D4" w:rsidRDefault="00BB18D4" w:rsidP="00BB18D4">
      <w:pPr>
        <w:pStyle w:val="AERbulletlistfirststyle"/>
      </w:pPr>
      <w:r w:rsidRPr="00BB18D4">
        <w:t>We have previously considered arithmetic and geometric averages relevant when estimating a 10 year forward looking market risk premium using historical annual excess returns.</w:t>
      </w:r>
      <w:r w:rsidRPr="00BB18D4">
        <w:rPr>
          <w:rStyle w:val="FootnoteReference"/>
        </w:rPr>
        <w:footnoteReference w:id="986"/>
      </w:r>
      <w:r w:rsidRPr="00BB18D4">
        <w:t xml:space="preserve"> The Tribunal found no error with this approach.</w:t>
      </w:r>
      <w:r w:rsidRPr="00BB18D4">
        <w:rPr>
          <w:rStyle w:val="FootnoteReference"/>
        </w:rPr>
        <w:footnoteReference w:id="987"/>
      </w:r>
    </w:p>
    <w:p w:rsidR="00BB18D4" w:rsidRPr="00BB18D4" w:rsidRDefault="00BB18D4" w:rsidP="00BB18D4">
      <w:pPr>
        <w:pStyle w:val="AERbulletlistfirststyle"/>
      </w:pPr>
      <w:r w:rsidRPr="00BB18D4">
        <w:t>In their 2014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sidRPr="00BB18D4">
        <w:rPr>
          <w:rStyle w:val="FootnoteReference"/>
        </w:rPr>
        <w:footnoteReference w:id="988"/>
      </w:r>
      <w:r w:rsidRPr="00BB18D4">
        <w:t xml:space="preserve"> While we do not adopt this approach, this indicates that experts and other regulators consider geometric averages valuable.</w:t>
      </w:r>
    </w:p>
    <w:p w:rsidR="00BB18D4" w:rsidRPr="00BB18D4" w:rsidRDefault="00BB18D4" w:rsidP="00BB18D4">
      <w:pPr>
        <w:pStyle w:val="AERbulletlistfirststyle"/>
      </w:pPr>
      <w:r w:rsidRPr="00BB18D4">
        <w:t>McKenzie, Partington, and Satchell recommended the consideration of both arithmetic and geometric averages, tempered by an understanding of their inherent biases.</w:t>
      </w:r>
      <w:r w:rsidRPr="00BB18D4">
        <w:rPr>
          <w:rStyle w:val="FootnoteReference"/>
        </w:rPr>
        <w:footnoteReference w:id="989"/>
      </w:r>
    </w:p>
    <w:p w:rsidR="00BB18D4" w:rsidRPr="00BB18D4" w:rsidRDefault="00BB18D4" w:rsidP="00BB18D4">
      <w:r w:rsidRPr="00BB18D4">
        <w:t>In a series of reports, NERA recommended we give no weight to geometric average historical excess returns.</w:t>
      </w:r>
      <w:r w:rsidRPr="00BB18D4">
        <w:rPr>
          <w:rStyle w:val="FootnoteReference"/>
        </w:rPr>
        <w:footnoteReference w:id="990"/>
      </w:r>
      <w:r w:rsidRPr="00BB18D4">
        <w:t xml:space="preserve"> In June 2015, NERA submitted a further report on this issue.</w:t>
      </w:r>
      <w:r w:rsidRPr="00BB18D4">
        <w:rPr>
          <w:rStyle w:val="FootnoteReference"/>
        </w:rPr>
        <w:footnoteReference w:id="991"/>
      </w:r>
      <w:r w:rsidRPr="00BB18D4">
        <w:t xml:space="preserve"> In January 2016, HoustonKemp submitted a similar report to NERA that also recommended that no weight be given to geometric average historical excess returns.</w:t>
      </w:r>
      <w:r w:rsidRPr="00BB18D4">
        <w:rPr>
          <w:rStyle w:val="FootnoteReference"/>
        </w:rPr>
        <w:footnoteReference w:id="992"/>
      </w:r>
      <w:r w:rsidRPr="00BB18D4">
        <w:t xml:space="preserve"> </w:t>
      </w:r>
    </w:p>
    <w:p w:rsidR="00BB18D4" w:rsidRPr="00BB18D4" w:rsidRDefault="00BB18D4" w:rsidP="00BB18D4">
      <w:r w:rsidRPr="00BB18D4">
        <w:t>We consider NERA and HoustonKemp's submissions take a narrow view of the issue. As Partington and Satchell stated in their October 2015 report:</w:t>
      </w:r>
      <w:r w:rsidRPr="00BB18D4">
        <w:rPr>
          <w:rStyle w:val="FootnoteReference"/>
        </w:rPr>
        <w:footnoteReference w:id="993"/>
      </w:r>
    </w:p>
    <w:p w:rsidR="00BB18D4" w:rsidRPr="00BB18D4" w:rsidRDefault="00BB18D4" w:rsidP="00BB18D4">
      <w:pPr>
        <w:pStyle w:val="AERquote"/>
      </w:pPr>
      <w:r w:rsidRPr="00BB18D4">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BB18D4" w:rsidRPr="00BB18D4" w:rsidRDefault="00BB18D4" w:rsidP="00BB18D4">
      <w:r w:rsidRPr="00BB18D4">
        <w:t>There remains uncertainty over whether an arithmetic or geometric average (or some combination of the two) of historical excess returns provides a better estimate of expected excess returns. The answer to NERA's concern whether geometric or arithmetic averages are better is unclear and not settled amongst academics. Both methods have limitations. This is well summarised by Partington and Satchell:</w:t>
      </w:r>
      <w:r w:rsidRPr="00BB18D4">
        <w:rPr>
          <w:rStyle w:val="FootnoteReference"/>
        </w:rPr>
        <w:footnoteReference w:id="994"/>
      </w:r>
    </w:p>
    <w:p w:rsidR="00BB18D4" w:rsidRPr="00BB18D4" w:rsidRDefault="00BB18D4" w:rsidP="00BB18D4">
      <w:pPr>
        <w:pStyle w:val="AERquote"/>
      </w:pPr>
      <w:r w:rsidRPr="00BB18D4">
        <w:t xml:space="preserve">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 </w:t>
      </w:r>
    </w:p>
    <w:p w:rsidR="00BB18D4" w:rsidRPr="00BB18D4" w:rsidRDefault="00BB18D4" w:rsidP="00BB18D4">
      <w:r w:rsidRPr="00BB18D4">
        <w:t>In their 2012 report, McKenzie and Partington provided numerous references to academic studies that support this view.</w:t>
      </w:r>
      <w:r w:rsidRPr="00BB18D4">
        <w:rPr>
          <w:rStyle w:val="FootnoteReference"/>
        </w:rPr>
        <w:footnoteReference w:id="995"/>
      </w:r>
      <w:r w:rsidRPr="00BB18D4">
        <w:t xml:space="preserve"> They considered that unbiasedness is only one desirable property of an estimator. Another consideration is efficiency, and 'the question then becomes one of trading off bias and efficiency'.</w:t>
      </w:r>
      <w:r w:rsidRPr="00BB18D4">
        <w:rPr>
          <w:rStyle w:val="FootnoteReference"/>
        </w:rPr>
        <w:footnoteReference w:id="996"/>
      </w:r>
      <w:r w:rsidRPr="00BB18D4">
        <w:t xml:space="preserve"> We agree with this view. </w:t>
      </w:r>
    </w:p>
    <w:p w:rsidR="00BB18D4" w:rsidRPr="00BB18D4" w:rsidRDefault="00BB18D4" w:rsidP="00BB18D4">
      <w:r w:rsidRPr="00BB18D4">
        <w:t>Moreover, in their October 2015 report, Partington and Satchell demonstrate that, even in the restricted case that NERA presents, the geometric average can be a superior estimator.</w:t>
      </w:r>
      <w:r w:rsidRPr="00BB18D4">
        <w:rPr>
          <w:rStyle w:val="FootnoteReference"/>
        </w:rPr>
        <w:footnoteReference w:id="997"/>
      </w:r>
      <w:r w:rsidRPr="00BB18D4">
        <w:t xml:space="preserve"> </w:t>
      </w:r>
    </w:p>
    <w:p w:rsidR="00BB18D4" w:rsidRPr="00BB18D4" w:rsidRDefault="00BB18D4" w:rsidP="00BB18D4">
      <w:r w:rsidRPr="00BB18D4">
        <w:t>HoustonKemp submitted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a large gross return, provide an unbiased estimator.</w:t>
      </w:r>
      <w:r w:rsidRPr="00BB18D4">
        <w:rPr>
          <w:rStyle w:val="FootnoteReference"/>
        </w:rPr>
        <w:footnoteReference w:id="998"/>
      </w:r>
      <w:r w:rsidRPr="00BB18D4">
        <w:t xml:space="preserve"> </w:t>
      </w:r>
    </w:p>
    <w:p w:rsidR="00BB18D4" w:rsidRPr="00BB18D4" w:rsidRDefault="00BB18D4" w:rsidP="00BB18D4">
      <w:r w:rsidRPr="00BB18D4">
        <w:t xml:space="preserve">We consider that </w:t>
      </w:r>
      <w:r w:rsidR="00410AB6" w:rsidRPr="00BB18D4">
        <w:t>Hous</w:t>
      </w:r>
      <w:r w:rsidR="00410AB6">
        <w:t>ton</w:t>
      </w:r>
      <w:r w:rsidR="00410AB6" w:rsidRPr="00BB18D4">
        <w:t>Kemp's</w:t>
      </w:r>
      <w:r w:rsidRPr="00BB18D4">
        <w:t xml:space="preserve"> 2016 report has incorrectly considered Partington and Satchell's results on geometric and arithmetic mean returns.  This is well summarised by Partington and Satchell:</w:t>
      </w:r>
      <w:r w:rsidRPr="00BB18D4">
        <w:rPr>
          <w:rStyle w:val="FootnoteReference"/>
        </w:rPr>
        <w:footnoteReference w:id="999"/>
      </w:r>
    </w:p>
    <w:p w:rsidR="00BB18D4" w:rsidRPr="00BB18D4" w:rsidRDefault="00BB18D4" w:rsidP="00BB18D4">
      <w:pPr>
        <w:pStyle w:val="AERquote"/>
      </w:pPr>
      <w:r w:rsidRPr="00BB18D4">
        <w:t>"We are interested in the term exp(</w:t>
      </w:r>
      <m:oMath>
        <m:r>
          <w:rPr>
            <w:rFonts w:ascii="Cambria Math" w:hAnsi="Cambria Math"/>
          </w:rPr>
          <m:t>μ)-1</m:t>
        </m:r>
      </m:oMath>
      <w:r w:rsidRPr="00BB18D4">
        <w:t xml:space="preserve">; which we call the implied arithmetic rate of return. If we knew that the true geometric rate of return is </w:t>
      </w:r>
      <m:oMath>
        <m:r>
          <w:rPr>
            <w:rFonts w:ascii="Cambria Math" w:hAnsi="Cambria Math"/>
          </w:rPr>
          <m:t>μ</m:t>
        </m:r>
      </m:oMath>
      <w:r w:rsidRPr="00BB18D4">
        <w:t xml:space="preserve"> then the true arithmetic rate of return is exp(</w:t>
      </w:r>
      <m:oMath>
        <m:r>
          <w:rPr>
            <w:rFonts w:ascii="Cambria Math" w:hAnsi="Cambria Math"/>
          </w:rPr>
          <m:t>μ)-1</m:t>
        </m:r>
      </m:oMath>
      <w:r w:rsidRPr="00BB18D4">
        <w:t>. This is a property of the parameters of our model and, as yet, involves no notion of expectations of estimators, contrary to any assertions by HoustonKemp. We then consider the extent to which estimators, based on the arithmetic mean and the geometric mean over or under estimate exp(</w:t>
      </w:r>
      <m:oMath>
        <m:r>
          <w:rPr>
            <w:rFonts w:ascii="Cambria Math" w:hAnsi="Cambria Math"/>
          </w:rPr>
          <m:t>μ)-1</m:t>
        </m:r>
      </m:oMath>
      <w:r w:rsidRPr="00BB18D4">
        <w:t>. We showed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independent of the sample size so it is always biased upwards relative to exp(</w:t>
      </w:r>
      <m:oMath>
        <m:r>
          <w:rPr>
            <w:rFonts w:ascii="Cambria Math" w:hAnsi="Cambria Math"/>
          </w:rPr>
          <m:t>μ)-1</m:t>
        </m:r>
      </m:oMath>
      <w:r w:rsidRPr="00BB18D4">
        <w:t>. 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where T is the size of the sample. This is biased upwards relative to exp(</w:t>
      </w:r>
      <m:oMath>
        <m:r>
          <w:rPr>
            <w:rFonts w:ascii="Cambria Math" w:hAnsi="Cambria Math"/>
          </w:rPr>
          <m:t>μ)-1</m:t>
        </m:r>
      </m:oMath>
      <w:r w:rsidRPr="00BB18D4">
        <w:t>; but the bias disappears as T gets large. HoustonKemp arrive at the same formula, see equation (23), page 36, but then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The report then asserts that the bias, relative to the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is increasing in T. The HoustonKemp analysis is simply irrelevant."</w:t>
      </w:r>
    </w:p>
    <w:p w:rsidR="00BB18D4" w:rsidRPr="00BB18D4" w:rsidRDefault="00BB18D4" w:rsidP="00BB18D4">
      <w:r w:rsidRPr="00BB18D4">
        <w:t>NERA has questioned the relevance of the Akgiray (1989) and the Jacquier, Kane and Marcus (2003) articles referenced by Partington and Satchell.</w:t>
      </w:r>
      <w:r w:rsidRPr="00BB18D4">
        <w:rPr>
          <w:rStyle w:val="FootnoteReference"/>
        </w:rPr>
        <w:footnoteReference w:id="1000"/>
      </w:r>
      <w:r w:rsidRPr="00BB18D4">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BB18D4" w:rsidRPr="00BB18D4" w:rsidRDefault="00BB18D4" w:rsidP="00BB18D4">
      <w:r w:rsidRPr="00BB18D4">
        <w:t>Frontier Economics have also submitted that  no weight should be given to geometric average historical excess returns.</w:t>
      </w:r>
      <w:r w:rsidRPr="00BB18D4">
        <w:rPr>
          <w:rStyle w:val="FootnoteReference"/>
        </w:rPr>
        <w:footnoteReference w:id="1001"/>
      </w:r>
      <w:r w:rsidRPr="00BB18D4">
        <w:rPr>
          <w:rStyle w:val="FootnoteReference"/>
        </w:rPr>
        <w:t xml:space="preserve"> </w:t>
      </w:r>
      <w:r w:rsidRPr="00BB18D4">
        <w:t>Frontier stated that geometric averages do not provide an appropriate estimate of the expected return for the purpose of estimating the market risk premium, notably when forming a range for historical return estimates based on arithmetic averages.</w:t>
      </w:r>
      <w:r w:rsidRPr="00BB18D4">
        <w:rPr>
          <w:rStyle w:val="FootnoteReference"/>
        </w:rPr>
        <w:footnoteReference w:id="1002"/>
      </w:r>
      <w:r w:rsidRPr="00BB18D4">
        <w:t xml:space="preserve"> This reiterates views from previous reports and submissions from Frontier, SFG and </w:t>
      </w:r>
      <w:r w:rsidR="00BB13B7">
        <w:t>some</w:t>
      </w:r>
      <w:r w:rsidR="00BB13B7" w:rsidRPr="00BB18D4">
        <w:t xml:space="preserve"> </w:t>
      </w:r>
      <w:r w:rsidRPr="00BB18D4">
        <w:t>service providers</w:t>
      </w:r>
      <w:r w:rsidR="00BB13B7">
        <w:t xml:space="preserve"> in past determinatin processes</w:t>
      </w:r>
      <w:r w:rsidRPr="00BB18D4">
        <w:t>.</w:t>
      </w:r>
      <w:r w:rsidRPr="00BB18D4">
        <w:rPr>
          <w:rStyle w:val="FootnoteReference"/>
        </w:rPr>
        <w:footnoteReference w:id="1003"/>
      </w:r>
      <w:r w:rsidRPr="00BB18D4">
        <w:t xml:space="preserve"> </w:t>
      </w:r>
      <w:r w:rsidR="00FB3200">
        <w:t>They</w:t>
      </w:r>
      <w:r w:rsidRPr="00BB18D4">
        <w:t xml:space="preserve"> do not provide new evidence except to cite the AER's own concerns with relying solely on the geometric averages as a forward looking estimate of the market risk premium.</w:t>
      </w:r>
      <w:r w:rsidRPr="00BB18D4">
        <w:rPr>
          <w:rStyle w:val="FootnoteReference"/>
        </w:rPr>
        <w:footnoteReference w:id="1004"/>
      </w:r>
    </w:p>
    <w:p w:rsidR="00BB18D4" w:rsidRPr="00BB18D4" w:rsidRDefault="00BB18D4" w:rsidP="00BB18D4">
      <w:r w:rsidRPr="00BB18D4">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 especially considering the weight of evidence we have provided in previous decisions.</w:t>
      </w:r>
      <w:r w:rsidRPr="00BB18D4">
        <w:rPr>
          <w:rStyle w:val="FootnoteReference"/>
        </w:rPr>
        <w:footnoteReference w:id="1005"/>
      </w:r>
      <w:r w:rsidRPr="00BB18D4">
        <w:t xml:space="preserve"> We agree with Partington and Satchell's conclusion (a reiteration of McKenzie and Partington's 2012 conclusion) that:</w:t>
      </w:r>
      <w:r w:rsidRPr="00BB18D4">
        <w:rPr>
          <w:rStyle w:val="FootnoteReference"/>
        </w:rPr>
        <w:footnoteReference w:id="1006"/>
      </w:r>
    </w:p>
    <w:p w:rsidR="00BB18D4" w:rsidRPr="00BB18D4" w:rsidRDefault="00BB18D4" w:rsidP="00BB18D4">
      <w:pPr>
        <w:pStyle w:val="AERquote"/>
      </w:pPr>
      <w:r w:rsidRPr="00BB18D4">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BB18D4" w:rsidRPr="00BB18D4" w:rsidRDefault="00BB18D4" w:rsidP="00BB18D4"/>
    <w:p w:rsidR="00BB18D4" w:rsidRDefault="00BB18D4" w:rsidP="00BB18D4">
      <w:pPr>
        <w:pStyle w:val="Heading7"/>
      </w:pPr>
      <w:bookmarkStart w:id="283" w:name="_Toc443923203"/>
      <w:bookmarkStart w:id="284" w:name="_Ref451685164"/>
      <w:bookmarkStart w:id="285" w:name="_Toc452629086"/>
      <w:bookmarkStart w:id="286" w:name="_Toc456686729"/>
      <w:bookmarkStart w:id="287" w:name="_Ref478395910"/>
      <w:bookmarkStart w:id="288" w:name="_Ref478396177"/>
      <w:bookmarkStart w:id="289" w:name="_Toc481057476"/>
      <w:r w:rsidRPr="00BB18D4">
        <w:t>AER's dividend growth model</w:t>
      </w:r>
      <w:bookmarkEnd w:id="283"/>
      <w:bookmarkEnd w:id="284"/>
      <w:bookmarkEnd w:id="285"/>
      <w:bookmarkEnd w:id="286"/>
      <w:bookmarkEnd w:id="287"/>
      <w:bookmarkEnd w:id="288"/>
      <w:bookmarkEnd w:id="289"/>
    </w:p>
    <w:p w:rsidR="009F0858" w:rsidRPr="00B4711B" w:rsidRDefault="009F0858" w:rsidP="00CC7A1C">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1007"/>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1008"/>
      </w:r>
      <w:r>
        <w:t xml:space="preserve"> However, we consider that limited reliance should be placed on estimates from dividend growth models. </w:t>
      </w:r>
    </w:p>
    <w:p w:rsidR="009F0858" w:rsidRPr="00B4711B" w:rsidRDefault="009F0858" w:rsidP="00CC7A1C">
      <w:pPr>
        <w:numPr>
          <w:ilvl w:val="0"/>
          <w:numId w:val="24"/>
        </w:numPr>
      </w:pPr>
      <w:r w:rsidRPr="00B4711B">
        <w:t>In this appendix we set out:</w:t>
      </w:r>
    </w:p>
    <w:p w:rsidR="009F0858" w:rsidRPr="00B4711B" w:rsidRDefault="009F0858" w:rsidP="009F0858">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9F0858" w:rsidRPr="00B4711B" w:rsidRDefault="009F0858" w:rsidP="009F0858">
      <w:pPr>
        <w:pStyle w:val="AERbulletlistfirststyle"/>
      </w:pPr>
      <w:r w:rsidRPr="00B4711B">
        <w:t>Sensitivity analysis surrounding our prevailing estimates.</w:t>
      </w:r>
    </w:p>
    <w:p w:rsidR="009F0858" w:rsidRPr="00B4711B" w:rsidRDefault="009F0858" w:rsidP="009F0858">
      <w:pPr>
        <w:pStyle w:val="AERbulletlistfirststyle"/>
      </w:pPr>
      <w:r w:rsidRPr="00B4711B">
        <w:t xml:space="preserve">Our preferred construction of the </w:t>
      </w:r>
      <w:r>
        <w:t>dividend growth model</w:t>
      </w:r>
      <w:r w:rsidRPr="00B4711B">
        <w:t>.</w:t>
      </w:r>
    </w:p>
    <w:p w:rsidR="009F0858" w:rsidRPr="00B4711B" w:rsidRDefault="009F0858" w:rsidP="009F0858">
      <w:pPr>
        <w:pStyle w:val="AERbulletlistfirststyle"/>
      </w:pPr>
      <w:r>
        <w:t>Limitations with the use of dividend growth models due to potential upward bias</w:t>
      </w:r>
      <w:r w:rsidRPr="00B4711B">
        <w:t xml:space="preserve">. </w:t>
      </w:r>
    </w:p>
    <w:p w:rsidR="009F0858" w:rsidRDefault="009F0858" w:rsidP="002656D9">
      <w:pPr>
        <w:pStyle w:val="Heading8"/>
        <w:numPr>
          <w:ilvl w:val="1"/>
          <w:numId w:val="28"/>
        </w:numPr>
        <w:tabs>
          <w:tab w:val="clear" w:pos="1305"/>
          <w:tab w:val="num" w:pos="1134"/>
        </w:tabs>
        <w:ind w:left="993" w:hanging="993"/>
      </w:pPr>
      <w:bookmarkStart w:id="290" w:name="_Toc443923204"/>
      <w:bookmarkStart w:id="291" w:name="_Toc451938982"/>
      <w:bookmarkStart w:id="292" w:name="_Toc456686730"/>
      <w:bookmarkStart w:id="293" w:name="_Toc481057477"/>
      <w:r w:rsidRPr="00B4711B">
        <w:t>Prevailing estimates</w:t>
      </w:r>
      <w:bookmarkEnd w:id="290"/>
      <w:bookmarkEnd w:id="291"/>
      <w:bookmarkEnd w:id="292"/>
      <w:bookmarkEnd w:id="293"/>
      <w:r w:rsidRPr="00B4711B">
        <w:t xml:space="preserve"> </w:t>
      </w:r>
    </w:p>
    <w:p w:rsidR="009F0858" w:rsidRPr="00B4711B" w:rsidRDefault="009F0858" w:rsidP="009F0858">
      <w:r w:rsidRPr="00B4711B">
        <w:t xml:space="preserve">Results in </w:t>
      </w:r>
      <w:r>
        <w:fldChar w:fldCharType="begin"/>
      </w:r>
      <w:r>
        <w:instrText xml:space="preserve"> REF _Ref445384078 \h </w:instrText>
      </w:r>
      <w:r>
        <w:fldChar w:fldCharType="separate"/>
      </w:r>
      <w:r w:rsidR="006B4A74" w:rsidRPr="00C2709F">
        <w:t xml:space="preserve">Table </w:t>
      </w:r>
      <w:r w:rsidR="006B4A74">
        <w:rPr>
          <w:noProof/>
        </w:rPr>
        <w:t>3</w:t>
      </w:r>
      <w:r w:rsidR="006B4A74">
        <w:noBreakHyphen/>
      </w:r>
      <w:r w:rsidR="006B4A74">
        <w:rPr>
          <w:noProof/>
        </w:rPr>
        <w:t>27</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t>November</w:t>
      </w:r>
      <w:r w:rsidRPr="00B4711B">
        <w:t xml:space="preserve"> 201</w:t>
      </w:r>
      <w:r>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estimates between 7.19</w:t>
      </w:r>
      <w:r w:rsidRPr="00B4711B">
        <w:rPr>
          <w:rStyle w:val="AERbody"/>
        </w:rPr>
        <w:t xml:space="preserve"> to </w:t>
      </w:r>
      <w:r>
        <w:rPr>
          <w:rStyle w:val="AERbody"/>
        </w:rPr>
        <w:t>8.</w:t>
      </w:r>
      <w:r w:rsidR="00BC7472">
        <w:rPr>
          <w:rStyle w:val="AERbody"/>
        </w:rPr>
        <w:t>5</w:t>
      </w:r>
      <w:r w:rsidR="008D113E">
        <w:rPr>
          <w:rStyle w:val="AERbody"/>
        </w:rPr>
        <w:t>4</w:t>
      </w:r>
      <w:r w:rsidRPr="00B4711B">
        <w:rPr>
          <w:rStyle w:val="AERbody"/>
        </w:rPr>
        <w:t xml:space="preserve"> per </w:t>
      </w:r>
      <w:r w:rsidRPr="00B4711B">
        <w:t>cent.</w:t>
      </w:r>
      <w:r w:rsidRPr="00890846">
        <w:t xml:space="preserve"> </w:t>
      </w:r>
    </w:p>
    <w:p w:rsidR="009F0858" w:rsidRDefault="009F0858" w:rsidP="009F0858">
      <w:pPr>
        <w:pStyle w:val="Caption"/>
      </w:pPr>
      <w:bookmarkStart w:id="294" w:name="_Ref445384078"/>
      <w:bookmarkStart w:id="295" w:name="_Ref443651296"/>
      <w:r w:rsidRPr="00C2709F">
        <w:t xml:space="preserve">Table </w:t>
      </w:r>
      <w:fldSimple w:instr=" STYLEREF 1 \s ">
        <w:r w:rsidR="006B4A74">
          <w:rPr>
            <w:noProof/>
          </w:rPr>
          <w:t>3</w:t>
        </w:r>
      </w:fldSimple>
      <w:r w:rsidR="008F29C8">
        <w:noBreakHyphen/>
      </w:r>
      <w:fldSimple w:instr=" SEQ Table \* ARABIC \s 1 ">
        <w:r w:rsidR="006B4A74">
          <w:rPr>
            <w:noProof/>
          </w:rPr>
          <w:t>27</w:t>
        </w:r>
      </w:fldSimple>
      <w:bookmarkEnd w:id="294"/>
      <w:r w:rsidRPr="00C2709F">
        <w:t xml:space="preserve"> </w:t>
      </w:r>
      <w:r w:rsidRPr="00C2709F">
        <w:tab/>
      </w:r>
      <w:r>
        <w:t>Market risk premium estimates under dividend growth models</w:t>
      </w:r>
      <w:r w:rsidRPr="00C2709F">
        <w:t xml:space="preserve"> (per cent)</w:t>
      </w:r>
      <w:r w:rsidRPr="00C2709F" w:rsidDel="00184676">
        <w:t xml:space="preserve"> </w:t>
      </w:r>
      <w:bookmarkEnd w:id="295"/>
    </w:p>
    <w:tbl>
      <w:tblPr>
        <w:tblStyle w:val="AERtable-text0"/>
        <w:tblW w:w="0" w:type="auto"/>
        <w:tblLook w:val="04A0" w:firstRow="1" w:lastRow="0" w:firstColumn="1" w:lastColumn="0" w:noHBand="0" w:noVBand="1"/>
      </w:tblPr>
      <w:tblGrid>
        <w:gridCol w:w="2897"/>
        <w:gridCol w:w="2898"/>
        <w:gridCol w:w="2898"/>
      </w:tblGrid>
      <w:tr w:rsidR="009F0858" w:rsidTr="009F0858">
        <w:trPr>
          <w:cnfStyle w:val="100000000000" w:firstRow="1" w:lastRow="0" w:firstColumn="0" w:lastColumn="0" w:oddVBand="0" w:evenVBand="0" w:oddHBand="0" w:evenHBand="0" w:firstRowFirstColumn="0" w:firstRowLastColumn="0" w:lastRowFirstColumn="0" w:lastRowLastColumn="0"/>
        </w:trPr>
        <w:tc>
          <w:tcPr>
            <w:tcW w:w="2897" w:type="dxa"/>
          </w:tcPr>
          <w:p w:rsidR="009F0858" w:rsidRPr="009F0858" w:rsidRDefault="009F0858" w:rsidP="009F0858">
            <w:r w:rsidRPr="00B4711B">
              <w:t xml:space="preserve">Growth rate </w:t>
            </w:r>
          </w:p>
        </w:tc>
        <w:tc>
          <w:tcPr>
            <w:tcW w:w="2898" w:type="dxa"/>
          </w:tcPr>
          <w:p w:rsidR="009F0858" w:rsidRPr="009F0858" w:rsidRDefault="009F0858" w:rsidP="009F0858">
            <w:r w:rsidRPr="00B4711B">
              <w:t>Two stage model</w:t>
            </w:r>
          </w:p>
        </w:tc>
        <w:tc>
          <w:tcPr>
            <w:tcW w:w="2898" w:type="dxa"/>
          </w:tcPr>
          <w:p w:rsidR="009F0858" w:rsidRPr="009F0858" w:rsidRDefault="009F0858" w:rsidP="009F0858">
            <w:r w:rsidRPr="00B4711B">
              <w:t>Three stage model</w:t>
            </w:r>
          </w:p>
        </w:tc>
      </w:tr>
      <w:tr w:rsidR="009F0858" w:rsidTr="009F0858">
        <w:tc>
          <w:tcPr>
            <w:tcW w:w="2897" w:type="dxa"/>
          </w:tcPr>
          <w:p w:rsidR="009F0858" w:rsidRPr="009F0858" w:rsidRDefault="009F0858" w:rsidP="009F0858">
            <w:r w:rsidRPr="001F22B0">
              <w:t>3.8</w:t>
            </w:r>
          </w:p>
        </w:tc>
        <w:tc>
          <w:tcPr>
            <w:tcW w:w="2898" w:type="dxa"/>
          </w:tcPr>
          <w:p w:rsidR="009F0858" w:rsidRPr="009F0858" w:rsidRDefault="009F0858" w:rsidP="009F0858">
            <w:r>
              <w:t>7.19</w:t>
            </w:r>
          </w:p>
        </w:tc>
        <w:tc>
          <w:tcPr>
            <w:tcW w:w="2898" w:type="dxa"/>
          </w:tcPr>
          <w:p w:rsidR="009F0858" w:rsidRPr="009F0858" w:rsidRDefault="009F0858" w:rsidP="00665696">
            <w:r>
              <w:t>7.4</w:t>
            </w:r>
            <w:r w:rsidR="00665696">
              <w:t>9</w:t>
            </w:r>
          </w:p>
        </w:tc>
      </w:tr>
      <w:tr w:rsidR="009F0858" w:rsidTr="009F0858">
        <w:trPr>
          <w:cnfStyle w:val="000000010000" w:firstRow="0" w:lastRow="0" w:firstColumn="0" w:lastColumn="0" w:oddVBand="0" w:evenVBand="0" w:oddHBand="0" w:evenHBand="1" w:firstRowFirstColumn="0" w:firstRowLastColumn="0" w:lastRowFirstColumn="0" w:lastRowLastColumn="0"/>
        </w:trPr>
        <w:tc>
          <w:tcPr>
            <w:tcW w:w="2897" w:type="dxa"/>
          </w:tcPr>
          <w:p w:rsidR="009F0858" w:rsidRPr="009F0858" w:rsidRDefault="009F0858" w:rsidP="009F0858">
            <w:r w:rsidRPr="001F22B0">
              <w:t>4.6</w:t>
            </w:r>
          </w:p>
        </w:tc>
        <w:tc>
          <w:tcPr>
            <w:tcW w:w="2898" w:type="dxa"/>
          </w:tcPr>
          <w:p w:rsidR="009F0858" w:rsidRPr="009F0858" w:rsidRDefault="009F0858" w:rsidP="00665696">
            <w:r>
              <w:t>7.9</w:t>
            </w:r>
            <w:r w:rsidR="00665696">
              <w:t>7</w:t>
            </w:r>
          </w:p>
        </w:tc>
        <w:tc>
          <w:tcPr>
            <w:tcW w:w="2898" w:type="dxa"/>
          </w:tcPr>
          <w:p w:rsidR="009F0858" w:rsidRPr="009F0858" w:rsidRDefault="009F0858" w:rsidP="00665696">
            <w:r>
              <w:t>8.1</w:t>
            </w:r>
            <w:r w:rsidR="00665696">
              <w:t>4</w:t>
            </w:r>
          </w:p>
        </w:tc>
      </w:tr>
      <w:tr w:rsidR="009F0858" w:rsidTr="009F0858">
        <w:tc>
          <w:tcPr>
            <w:tcW w:w="2897" w:type="dxa"/>
          </w:tcPr>
          <w:p w:rsidR="009F0858" w:rsidRPr="009F0858" w:rsidRDefault="009F0858" w:rsidP="009F0858">
            <w:r w:rsidRPr="001F22B0">
              <w:t>5.1</w:t>
            </w:r>
          </w:p>
        </w:tc>
        <w:tc>
          <w:tcPr>
            <w:tcW w:w="2898" w:type="dxa"/>
          </w:tcPr>
          <w:p w:rsidR="009F0858" w:rsidRPr="009F0858" w:rsidRDefault="009F0858" w:rsidP="009F0858">
            <w:r>
              <w:t>8.46</w:t>
            </w:r>
          </w:p>
        </w:tc>
        <w:tc>
          <w:tcPr>
            <w:tcW w:w="2898" w:type="dxa"/>
          </w:tcPr>
          <w:p w:rsidR="009F0858" w:rsidRPr="009F0858" w:rsidRDefault="009F0858" w:rsidP="00665696">
            <w:r>
              <w:t>8.5</w:t>
            </w:r>
            <w:r w:rsidR="00665696">
              <w:t>4</w:t>
            </w:r>
          </w:p>
        </w:tc>
      </w:tr>
    </w:tbl>
    <w:p w:rsidR="009F0858" w:rsidRPr="00B4711B" w:rsidRDefault="009F0858" w:rsidP="009F0858">
      <w:pPr>
        <w:pStyle w:val="AERtablesource"/>
      </w:pPr>
      <w:r w:rsidRPr="00B4711B">
        <w:t xml:space="preserve">Source: </w:t>
      </w:r>
      <w:r w:rsidRPr="00B4711B">
        <w:tab/>
        <w:t>Bloomberg, AER analysis.</w:t>
      </w:r>
      <w:r w:rsidRPr="00B4711B">
        <w:tab/>
      </w:r>
    </w:p>
    <w:p w:rsidR="009F0858" w:rsidRPr="00B4711B" w:rsidRDefault="009F0858" w:rsidP="009F0858">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AusNet Services' 2016-20 distribution determination</w:t>
      </w:r>
      <w:r w:rsidRPr="00B4711B">
        <w:t>. Market risk premium estimates are based on an assumed theta of 0.6, and a 2 month average (</w:t>
      </w:r>
      <w:r>
        <w:t>October – November</w:t>
      </w:r>
      <w:r w:rsidRPr="00B4711B">
        <w:t xml:space="preserve"> 2016) of analysts' dividend forecasts.</w:t>
      </w:r>
    </w:p>
    <w:p w:rsidR="009F0858" w:rsidRPr="009F0858" w:rsidRDefault="009F0858" w:rsidP="00A164C0"/>
    <w:p w:rsidR="009F0858" w:rsidRDefault="009F0858" w:rsidP="009F0858">
      <w:pPr>
        <w:pStyle w:val="Heading8"/>
      </w:pPr>
      <w:bookmarkStart w:id="296" w:name="_Ref443651537"/>
      <w:bookmarkStart w:id="297" w:name="_Toc443923205"/>
      <w:bookmarkStart w:id="298" w:name="_Toc451938983"/>
      <w:bookmarkStart w:id="299" w:name="_Toc456686731"/>
      <w:bookmarkStart w:id="300" w:name="_Toc481057478"/>
      <w:r w:rsidRPr="00B4711B">
        <w:t>Sensitivity analysis</w:t>
      </w:r>
      <w:bookmarkEnd w:id="296"/>
      <w:bookmarkEnd w:id="297"/>
      <w:bookmarkEnd w:id="298"/>
      <w:bookmarkEnd w:id="299"/>
      <w:bookmarkEnd w:id="300"/>
    </w:p>
    <w:p w:rsidR="009F0858" w:rsidRPr="00B4711B" w:rsidRDefault="009F0858" w:rsidP="00CC7A1C">
      <w:pPr>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9F0858" w:rsidRPr="00B4711B" w:rsidRDefault="009F0858" w:rsidP="009F0858">
      <w:pPr>
        <w:pStyle w:val="AERbulletlistfirststyle"/>
      </w:pPr>
      <w:r>
        <w:t>L</w:t>
      </w:r>
      <w:r w:rsidRPr="00B4711B">
        <w:t>ong term dividend growth rate</w:t>
      </w:r>
      <w:r>
        <w:t>.</w:t>
      </w:r>
      <w:r w:rsidRPr="00B4711B">
        <w:t xml:space="preserve"> </w:t>
      </w:r>
    </w:p>
    <w:p w:rsidR="009F0858" w:rsidRPr="00B4711B" w:rsidRDefault="009F0858" w:rsidP="009F0858">
      <w:pPr>
        <w:pStyle w:val="AERbulletlistfirststyle"/>
      </w:pPr>
      <w:r>
        <w:t>P</w:t>
      </w:r>
      <w:r w:rsidRPr="00B4711B">
        <w:t>eriod estimates are averaged over</w:t>
      </w:r>
      <w:r>
        <w:t>.</w:t>
      </w:r>
    </w:p>
    <w:p w:rsidR="009F0858" w:rsidRPr="00B4711B" w:rsidRDefault="009F0858" w:rsidP="009F0858">
      <w:pPr>
        <w:pStyle w:val="AERbulletlistfirststyle"/>
      </w:pPr>
      <w:r>
        <w:t>U</w:t>
      </w:r>
      <w:r w:rsidRPr="00B4711B">
        <w:t>se of analyst forecasts, which are likely to be biased.</w:t>
      </w:r>
    </w:p>
    <w:p w:rsidR="009F0858" w:rsidRPr="00B4711B" w:rsidRDefault="009F0858" w:rsidP="009F0858">
      <w:r>
        <w:t>For further discussion of these issues see se</w:t>
      </w:r>
      <w:r w:rsidRPr="00B4711B">
        <w:t>ction</w:t>
      </w:r>
      <w:r>
        <w:t xml:space="preserve"> </w:t>
      </w:r>
      <w:r>
        <w:fldChar w:fldCharType="begin"/>
      </w:r>
      <w:r>
        <w:instrText xml:space="preserve"> REF _Ref446260197 \r \h </w:instrText>
      </w:r>
      <w:r>
        <w:fldChar w:fldCharType="separate"/>
      </w:r>
      <w:r w:rsidR="006B4A74">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6B4A74" w:rsidRPr="00C2709F">
        <w:t xml:space="preserve">Table </w:t>
      </w:r>
      <w:r w:rsidR="006B4A74">
        <w:rPr>
          <w:noProof/>
        </w:rPr>
        <w:t>3</w:t>
      </w:r>
      <w:r w:rsidR="006B4A74">
        <w:noBreakHyphen/>
      </w:r>
      <w:r w:rsidR="006B4A74">
        <w:rPr>
          <w:noProof/>
        </w:rPr>
        <w:t>28</w:t>
      </w:r>
      <w:r>
        <w:fldChar w:fldCharType="end"/>
      </w:r>
      <w:r w:rsidRPr="00B4711B">
        <w:t xml:space="preserve">. </w:t>
      </w:r>
    </w:p>
    <w:p w:rsidR="009F0858" w:rsidRPr="00DB0499" w:rsidRDefault="009F0858" w:rsidP="009F0858">
      <w:pPr>
        <w:pStyle w:val="Caption"/>
      </w:pPr>
      <w:bookmarkStart w:id="301" w:name="_Ref445384013"/>
      <w:bookmarkStart w:id="302" w:name="_Ref443651335"/>
      <w:r w:rsidRPr="00C2709F">
        <w:t xml:space="preserve">Table </w:t>
      </w:r>
      <w:fldSimple w:instr=" STYLEREF 1 \s ">
        <w:r w:rsidR="006B4A74">
          <w:rPr>
            <w:noProof/>
          </w:rPr>
          <w:t>3</w:t>
        </w:r>
      </w:fldSimple>
      <w:r w:rsidR="008F29C8">
        <w:noBreakHyphen/>
      </w:r>
      <w:fldSimple w:instr=" SEQ Table \* ARABIC \s 1 ">
        <w:r w:rsidR="006B4A74">
          <w:rPr>
            <w:noProof/>
          </w:rPr>
          <w:t>28</w:t>
        </w:r>
      </w:fldSimple>
      <w:bookmarkEnd w:id="301"/>
      <w:r w:rsidRPr="00C2709F">
        <w:t xml:space="preserve"> </w:t>
      </w:r>
      <w:r w:rsidRPr="00C2709F">
        <w:tab/>
      </w:r>
      <w:r>
        <w:t>Sensitivities in the dividend growth model</w:t>
      </w:r>
      <w:r w:rsidRPr="00C2709F">
        <w:t xml:space="preserve"> (per cent)</w:t>
      </w:r>
      <w:r w:rsidRPr="00C2709F" w:rsidDel="00184676">
        <w:t xml:space="preserve"> </w:t>
      </w:r>
      <w:bookmarkEnd w:id="302"/>
    </w:p>
    <w:tbl>
      <w:tblPr>
        <w:tblStyle w:val="AERtable-numbers"/>
        <w:tblW w:w="5000" w:type="pct"/>
        <w:tblLook w:val="04A0" w:firstRow="1" w:lastRow="0" w:firstColumn="1" w:lastColumn="0" w:noHBand="0" w:noVBand="1"/>
      </w:tblPr>
      <w:tblGrid>
        <w:gridCol w:w="4236"/>
        <w:gridCol w:w="1866"/>
        <w:gridCol w:w="2591"/>
      </w:tblGrid>
      <w:tr w:rsidR="009F0858" w:rsidTr="009F0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F0858" w:rsidRPr="009F0858" w:rsidRDefault="009F0858" w:rsidP="009F0858">
            <w:r w:rsidRPr="00B4711B">
              <w:t>Sensitivity</w:t>
            </w:r>
          </w:p>
        </w:tc>
        <w:tc>
          <w:tcPr>
            <w:tcW w:w="1073" w:type="pct"/>
            <w:tcBorders>
              <w:top w:val="nil"/>
              <w:left w:val="nil"/>
              <w:bottom w:val="nil"/>
              <w:right w:val="nil"/>
            </w:tcBorders>
            <w:hideMark/>
          </w:tcPr>
          <w:p w:rsidR="009F0858" w:rsidRPr="009F0858" w:rsidRDefault="009F0858" w:rsidP="009F0858">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9F0858" w:rsidRPr="009F0858" w:rsidRDefault="009F0858" w:rsidP="009F0858">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9F0858" w:rsidTr="009F0858">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9F0858" w:rsidRPr="009F0858" w:rsidRDefault="009F0858" w:rsidP="009F0858">
            <w:r w:rsidRPr="00B4711B">
              <w:t>Baseline</w:t>
            </w:r>
          </w:p>
          <w:p w:rsidR="009F0858" w:rsidRPr="009F0858" w:rsidRDefault="009F0858" w:rsidP="009F0858">
            <w:r w:rsidRPr="00B4711B">
              <w:tab/>
              <w:t xml:space="preserve">4.6% long-term growth rate </w:t>
            </w:r>
          </w:p>
          <w:p w:rsidR="009F0858" w:rsidRPr="009F0858" w:rsidRDefault="009F0858" w:rsidP="009F0858">
            <w:r w:rsidRPr="00B4711B">
              <w:tab/>
            </w:r>
            <w:r w:rsidRPr="009F0858">
              <w:t>2 month average to end November 2016</w:t>
            </w:r>
          </w:p>
          <w:p w:rsidR="009F0858" w:rsidRPr="009F0858" w:rsidRDefault="009F0858" w:rsidP="009F0858">
            <w:r w:rsidRPr="00B4711B">
              <w:tab/>
              <w:t>unadjusted analysts' forecasts</w:t>
            </w:r>
          </w:p>
        </w:tc>
        <w:tc>
          <w:tcPr>
            <w:tcW w:w="1073" w:type="pct"/>
            <w:tcBorders>
              <w:top w:val="nil"/>
              <w:left w:val="nil"/>
              <w:bottom w:val="single" w:sz="4" w:space="0" w:color="365F91"/>
              <w:right w:val="nil"/>
            </w:tcBorders>
          </w:tcPr>
          <w:p w:rsidR="009F0858" w:rsidRPr="009F0858" w:rsidRDefault="009F0858" w:rsidP="00955B8B">
            <w:pPr>
              <w:cnfStyle w:val="000000000000" w:firstRow="0" w:lastRow="0" w:firstColumn="0" w:lastColumn="0" w:oddVBand="0" w:evenVBand="0" w:oddHBand="0" w:evenHBand="0" w:firstRowFirstColumn="0" w:firstRowLastColumn="0" w:lastRowFirstColumn="0" w:lastRowLastColumn="0"/>
            </w:pPr>
            <w:r>
              <w:t>7.9</w:t>
            </w:r>
            <w:r w:rsidR="00955B8B">
              <w:t>7</w:t>
            </w:r>
          </w:p>
        </w:tc>
        <w:tc>
          <w:tcPr>
            <w:tcW w:w="1490" w:type="pct"/>
            <w:tcBorders>
              <w:top w:val="nil"/>
              <w:left w:val="nil"/>
              <w:bottom w:val="single" w:sz="4" w:space="0" w:color="365F91"/>
              <w:right w:val="nil"/>
            </w:tcBorders>
          </w:tcPr>
          <w:p w:rsidR="009F0858" w:rsidRPr="009F0858" w:rsidRDefault="009F0858" w:rsidP="00955B8B">
            <w:pPr>
              <w:cnfStyle w:val="000000000000" w:firstRow="0" w:lastRow="0" w:firstColumn="0" w:lastColumn="0" w:oddVBand="0" w:evenVBand="0" w:oddHBand="0" w:evenHBand="0" w:firstRowFirstColumn="0" w:firstRowLastColumn="0" w:lastRowFirstColumn="0" w:lastRowLastColumn="0"/>
            </w:pPr>
            <w:r>
              <w:t>8.1</w:t>
            </w:r>
            <w:r w:rsidR="00955B8B">
              <w:t>4</w:t>
            </w:r>
          </w:p>
        </w:tc>
      </w:tr>
      <w:tr w:rsidR="009F0858" w:rsidTr="009F08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9F0858" w:rsidRPr="009F0858" w:rsidRDefault="009F0858" w:rsidP="009F0858">
            <w:r w:rsidRPr="00B4711B">
              <w:t xml:space="preserve">5.1% long-term growth </w:t>
            </w:r>
            <w:r w:rsidRPr="009F0858">
              <w:t>rate</w:t>
            </w:r>
          </w:p>
        </w:tc>
        <w:tc>
          <w:tcPr>
            <w:tcW w:w="1073" w:type="pct"/>
            <w:tcBorders>
              <w:top w:val="nil"/>
              <w:left w:val="nil"/>
              <w:bottom w:val="nil"/>
              <w:right w:val="nil"/>
            </w:tcBorders>
          </w:tcPr>
          <w:p w:rsidR="009F0858" w:rsidRPr="009F0858" w:rsidRDefault="009F0858" w:rsidP="009F0858">
            <w:pPr>
              <w:cnfStyle w:val="000000010000" w:firstRow="0" w:lastRow="0" w:firstColumn="0" w:lastColumn="0" w:oddVBand="0" w:evenVBand="0" w:oddHBand="0" w:evenHBand="1" w:firstRowFirstColumn="0" w:firstRowLastColumn="0" w:lastRowFirstColumn="0" w:lastRowLastColumn="0"/>
            </w:pPr>
            <w:r>
              <w:t>8.46</w:t>
            </w:r>
          </w:p>
        </w:tc>
        <w:tc>
          <w:tcPr>
            <w:tcW w:w="1490" w:type="pct"/>
            <w:tcBorders>
              <w:top w:val="nil"/>
              <w:left w:val="nil"/>
              <w:bottom w:val="nil"/>
              <w:right w:val="nil"/>
            </w:tcBorders>
          </w:tcPr>
          <w:p w:rsidR="009F0858" w:rsidRPr="009F0858" w:rsidRDefault="009F0858" w:rsidP="00955B8B">
            <w:pPr>
              <w:cnfStyle w:val="000000010000" w:firstRow="0" w:lastRow="0" w:firstColumn="0" w:lastColumn="0" w:oddVBand="0" w:evenVBand="0" w:oddHBand="0" w:evenHBand="1" w:firstRowFirstColumn="0" w:firstRowLastColumn="0" w:lastRowFirstColumn="0" w:lastRowLastColumn="0"/>
            </w:pPr>
            <w:r>
              <w:t>8.5</w:t>
            </w:r>
            <w:r w:rsidR="00955B8B">
              <w:t>4</w:t>
            </w:r>
          </w:p>
        </w:tc>
      </w:tr>
      <w:tr w:rsidR="009F0858" w:rsidTr="009F0858">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9F0858" w:rsidRPr="009F0858" w:rsidRDefault="009F0858" w:rsidP="009F0858">
            <w:r w:rsidRPr="00B4711B">
              <w:t>3.78% long-term growth rate</w:t>
            </w:r>
          </w:p>
        </w:tc>
        <w:tc>
          <w:tcPr>
            <w:tcW w:w="1073" w:type="pct"/>
            <w:tcBorders>
              <w:top w:val="nil"/>
              <w:left w:val="nil"/>
              <w:bottom w:val="single" w:sz="4" w:space="0" w:color="365F91"/>
              <w:right w:val="nil"/>
            </w:tcBorders>
          </w:tcPr>
          <w:p w:rsidR="009F0858" w:rsidRPr="009F0858" w:rsidRDefault="009F0858" w:rsidP="009F0858">
            <w:pPr>
              <w:cnfStyle w:val="000000000000" w:firstRow="0" w:lastRow="0" w:firstColumn="0" w:lastColumn="0" w:oddVBand="0" w:evenVBand="0" w:oddHBand="0" w:evenHBand="0" w:firstRowFirstColumn="0" w:firstRowLastColumn="0" w:lastRowFirstColumn="0" w:lastRowLastColumn="0"/>
            </w:pPr>
            <w:r>
              <w:t>7.19</w:t>
            </w:r>
          </w:p>
        </w:tc>
        <w:tc>
          <w:tcPr>
            <w:tcW w:w="1490" w:type="pct"/>
            <w:tcBorders>
              <w:top w:val="nil"/>
              <w:left w:val="nil"/>
              <w:bottom w:val="single" w:sz="4" w:space="0" w:color="365F91"/>
              <w:right w:val="nil"/>
            </w:tcBorders>
          </w:tcPr>
          <w:p w:rsidR="009F0858" w:rsidRPr="009F0858" w:rsidRDefault="009F0858" w:rsidP="00955B8B">
            <w:pPr>
              <w:cnfStyle w:val="000000000000" w:firstRow="0" w:lastRow="0" w:firstColumn="0" w:lastColumn="0" w:oddVBand="0" w:evenVBand="0" w:oddHBand="0" w:evenHBand="0" w:firstRowFirstColumn="0" w:firstRowLastColumn="0" w:lastRowFirstColumn="0" w:lastRowLastColumn="0"/>
            </w:pPr>
            <w:r>
              <w:t>7.4</w:t>
            </w:r>
            <w:r w:rsidR="00955B8B">
              <w:t>9</w:t>
            </w:r>
          </w:p>
        </w:tc>
      </w:tr>
      <w:tr w:rsidR="009F0858" w:rsidTr="009F08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rsidR="009F0858" w:rsidRPr="009F0858" w:rsidRDefault="009F0858" w:rsidP="009F0858">
            <w:r w:rsidRPr="00B4711B">
              <w:t xml:space="preserve">6 months to end </w:t>
            </w:r>
            <w:r w:rsidRPr="009F0858">
              <w:t>November 2016</w:t>
            </w:r>
          </w:p>
        </w:tc>
        <w:tc>
          <w:tcPr>
            <w:tcW w:w="1073" w:type="pct"/>
          </w:tcPr>
          <w:p w:rsidR="009F0858" w:rsidRPr="009F0858" w:rsidRDefault="009F0858" w:rsidP="00955B8B">
            <w:pPr>
              <w:cnfStyle w:val="000000010000" w:firstRow="0" w:lastRow="0" w:firstColumn="0" w:lastColumn="0" w:oddVBand="0" w:evenVBand="0" w:oddHBand="0" w:evenHBand="1" w:firstRowFirstColumn="0" w:firstRowLastColumn="0" w:lastRowFirstColumn="0" w:lastRowLastColumn="0"/>
            </w:pPr>
            <w:r>
              <w:t>7.8</w:t>
            </w:r>
            <w:r w:rsidR="00955B8B">
              <w:t>8</w:t>
            </w:r>
          </w:p>
        </w:tc>
        <w:tc>
          <w:tcPr>
            <w:tcW w:w="1490" w:type="pct"/>
          </w:tcPr>
          <w:p w:rsidR="009F0858" w:rsidRPr="009F0858" w:rsidRDefault="009F0858" w:rsidP="009F0858">
            <w:pPr>
              <w:cnfStyle w:val="000000010000" w:firstRow="0" w:lastRow="0" w:firstColumn="0" w:lastColumn="0" w:oddVBand="0" w:evenVBand="0" w:oddHBand="0" w:evenHBand="1" w:firstRowFirstColumn="0" w:firstRowLastColumn="0" w:lastRowFirstColumn="0" w:lastRowLastColumn="0"/>
            </w:pPr>
            <w:r>
              <w:t>8.</w:t>
            </w:r>
            <w:r w:rsidR="00BE50B0">
              <w:t>00</w:t>
            </w:r>
          </w:p>
        </w:tc>
      </w:tr>
      <w:tr w:rsidR="009F0858" w:rsidTr="009F0858">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9F0858" w:rsidRPr="009F0858" w:rsidRDefault="009F0858" w:rsidP="009F0858">
            <w:r w:rsidRPr="00B4711B">
              <w:t xml:space="preserve">12 months to end </w:t>
            </w:r>
            <w:r w:rsidRPr="009F0858">
              <w:t>November 2016</w:t>
            </w:r>
          </w:p>
        </w:tc>
        <w:tc>
          <w:tcPr>
            <w:tcW w:w="1073" w:type="pct"/>
            <w:tcBorders>
              <w:top w:val="nil"/>
              <w:left w:val="nil"/>
              <w:bottom w:val="single" w:sz="4" w:space="0" w:color="365F91"/>
              <w:right w:val="nil"/>
            </w:tcBorders>
          </w:tcPr>
          <w:p w:rsidR="009F0858" w:rsidRPr="009F0858" w:rsidRDefault="009F0858" w:rsidP="009F0858">
            <w:pPr>
              <w:cnfStyle w:val="000000000000" w:firstRow="0" w:lastRow="0" w:firstColumn="0" w:lastColumn="0" w:oddVBand="0" w:evenVBand="0" w:oddHBand="0" w:evenHBand="0" w:firstRowFirstColumn="0" w:firstRowLastColumn="0" w:lastRowFirstColumn="0" w:lastRowLastColumn="0"/>
            </w:pPr>
            <w:r>
              <w:t>8.02</w:t>
            </w:r>
          </w:p>
        </w:tc>
        <w:tc>
          <w:tcPr>
            <w:tcW w:w="1490" w:type="pct"/>
            <w:tcBorders>
              <w:top w:val="nil"/>
              <w:left w:val="nil"/>
              <w:bottom w:val="single" w:sz="4" w:space="0" w:color="365F91"/>
              <w:right w:val="nil"/>
            </w:tcBorders>
          </w:tcPr>
          <w:p w:rsidR="009F0858" w:rsidRPr="009F0858" w:rsidRDefault="009F0858" w:rsidP="009F0858">
            <w:pPr>
              <w:cnfStyle w:val="000000000000" w:firstRow="0" w:lastRow="0" w:firstColumn="0" w:lastColumn="0" w:oddVBand="0" w:evenVBand="0" w:oddHBand="0" w:evenHBand="0" w:firstRowFirstColumn="0" w:firstRowLastColumn="0" w:lastRowFirstColumn="0" w:lastRowLastColumn="0"/>
            </w:pPr>
            <w:r>
              <w:t>8.15</w:t>
            </w:r>
          </w:p>
        </w:tc>
      </w:tr>
      <w:tr w:rsidR="009F0858" w:rsidTr="009F08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9F0858" w:rsidRPr="009F0858" w:rsidRDefault="009F0858" w:rsidP="009F0858">
            <w:r w:rsidRPr="00B4711B">
              <w:t xml:space="preserve">Analysts' </w:t>
            </w:r>
            <w:r w:rsidRPr="009F0858">
              <w:t>forecast  + 10%</w:t>
            </w:r>
          </w:p>
        </w:tc>
        <w:tc>
          <w:tcPr>
            <w:tcW w:w="1073" w:type="pct"/>
          </w:tcPr>
          <w:p w:rsidR="009F0858" w:rsidRPr="009F0858" w:rsidRDefault="009F0858" w:rsidP="009F0858">
            <w:pPr>
              <w:cnfStyle w:val="000000010000" w:firstRow="0" w:lastRow="0" w:firstColumn="0" w:lastColumn="0" w:oddVBand="0" w:evenVBand="0" w:oddHBand="0" w:evenHBand="1" w:firstRowFirstColumn="0" w:firstRowLastColumn="0" w:lastRowFirstColumn="0" w:lastRowLastColumn="0"/>
            </w:pPr>
            <w:r>
              <w:t>8.58</w:t>
            </w:r>
          </w:p>
        </w:tc>
        <w:tc>
          <w:tcPr>
            <w:tcW w:w="1490" w:type="pct"/>
          </w:tcPr>
          <w:p w:rsidR="009F0858" w:rsidRPr="009F0858" w:rsidRDefault="009F0858" w:rsidP="00496561">
            <w:pPr>
              <w:cnfStyle w:val="000000010000" w:firstRow="0" w:lastRow="0" w:firstColumn="0" w:lastColumn="0" w:oddVBand="0" w:evenVBand="0" w:oddHBand="0" w:evenHBand="1" w:firstRowFirstColumn="0" w:firstRowLastColumn="0" w:lastRowFirstColumn="0" w:lastRowLastColumn="0"/>
            </w:pPr>
            <w:r>
              <w:t>8.7</w:t>
            </w:r>
            <w:r w:rsidR="00496561">
              <w:t>5</w:t>
            </w:r>
          </w:p>
        </w:tc>
      </w:tr>
      <w:tr w:rsidR="009F0858" w:rsidTr="009F0858">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9F0858" w:rsidRPr="009F0858" w:rsidRDefault="009F0858" w:rsidP="009F0858">
            <w:r w:rsidRPr="00B4711B">
              <w:t>Analysts' forecast  - 10%</w:t>
            </w:r>
          </w:p>
        </w:tc>
        <w:tc>
          <w:tcPr>
            <w:tcW w:w="1073" w:type="pct"/>
            <w:tcBorders>
              <w:top w:val="nil"/>
              <w:left w:val="nil"/>
              <w:bottom w:val="single" w:sz="4" w:space="0" w:color="365F91"/>
              <w:right w:val="nil"/>
            </w:tcBorders>
          </w:tcPr>
          <w:p w:rsidR="009F0858" w:rsidRPr="009F0858" w:rsidRDefault="009F0858" w:rsidP="009F0858">
            <w:pPr>
              <w:cnfStyle w:val="000000000000" w:firstRow="0" w:lastRow="0" w:firstColumn="0" w:lastColumn="0" w:oddVBand="0" w:evenVBand="0" w:oddHBand="0" w:evenHBand="0" w:firstRowFirstColumn="0" w:firstRowLastColumn="0" w:lastRowFirstColumn="0" w:lastRowLastColumn="0"/>
            </w:pPr>
            <w:r>
              <w:t>7.38</w:t>
            </w:r>
          </w:p>
        </w:tc>
        <w:tc>
          <w:tcPr>
            <w:tcW w:w="1490" w:type="pct"/>
            <w:tcBorders>
              <w:top w:val="nil"/>
              <w:left w:val="nil"/>
              <w:bottom w:val="single" w:sz="4" w:space="0" w:color="365F91"/>
              <w:right w:val="nil"/>
            </w:tcBorders>
          </w:tcPr>
          <w:p w:rsidR="009F0858" w:rsidRPr="009F0858" w:rsidRDefault="009F0858" w:rsidP="009F0858">
            <w:pPr>
              <w:cnfStyle w:val="000000000000" w:firstRow="0" w:lastRow="0" w:firstColumn="0" w:lastColumn="0" w:oddVBand="0" w:evenVBand="0" w:oddHBand="0" w:evenHBand="0" w:firstRowFirstColumn="0" w:firstRowLastColumn="0" w:lastRowFirstColumn="0" w:lastRowLastColumn="0"/>
            </w:pPr>
            <w:r>
              <w:t>7.52</w:t>
            </w:r>
          </w:p>
        </w:tc>
      </w:tr>
      <w:tr w:rsidR="009F0858" w:rsidTr="009F08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9F0858" w:rsidRPr="009F0858" w:rsidRDefault="009F0858" w:rsidP="009F0858">
            <w:r w:rsidRPr="00B4711B">
              <w:t xml:space="preserve">Combined - </w:t>
            </w:r>
            <w:r w:rsidRPr="009F0858">
              <w:t>low</w:t>
            </w:r>
          </w:p>
        </w:tc>
        <w:tc>
          <w:tcPr>
            <w:tcW w:w="1073" w:type="pct"/>
          </w:tcPr>
          <w:p w:rsidR="009F0858" w:rsidRPr="009F0858" w:rsidRDefault="009F0858" w:rsidP="009F0858">
            <w:pPr>
              <w:cnfStyle w:val="000000010000" w:firstRow="0" w:lastRow="0" w:firstColumn="0" w:lastColumn="0" w:oddVBand="0" w:evenVBand="0" w:oddHBand="0" w:evenHBand="1" w:firstRowFirstColumn="0" w:firstRowLastColumn="0" w:lastRowFirstColumn="0" w:lastRowLastColumn="0"/>
            </w:pPr>
            <w:r>
              <w:t>6.51</w:t>
            </w:r>
          </w:p>
        </w:tc>
        <w:tc>
          <w:tcPr>
            <w:tcW w:w="1490" w:type="pct"/>
          </w:tcPr>
          <w:p w:rsidR="009F0858" w:rsidRPr="009F0858" w:rsidRDefault="009F0858" w:rsidP="009F0858">
            <w:pPr>
              <w:cnfStyle w:val="000000010000" w:firstRow="0" w:lastRow="0" w:firstColumn="0" w:lastColumn="0" w:oddVBand="0" w:evenVBand="0" w:oddHBand="0" w:evenHBand="1" w:firstRowFirstColumn="0" w:firstRowLastColumn="0" w:lastRowFirstColumn="0" w:lastRowLastColumn="0"/>
            </w:pPr>
            <w:r>
              <w:t>6.74</w:t>
            </w:r>
          </w:p>
        </w:tc>
      </w:tr>
      <w:tr w:rsidR="009F0858" w:rsidTr="009F0858">
        <w:tc>
          <w:tcPr>
            <w:cnfStyle w:val="001000000000" w:firstRow="0" w:lastRow="0" w:firstColumn="1" w:lastColumn="0" w:oddVBand="0" w:evenVBand="0" w:oddHBand="0" w:evenHBand="0" w:firstRowFirstColumn="0" w:firstRowLastColumn="0" w:lastRowFirstColumn="0" w:lastRowLastColumn="0"/>
            <w:tcW w:w="2437" w:type="pct"/>
            <w:hideMark/>
          </w:tcPr>
          <w:p w:rsidR="009F0858" w:rsidRPr="009F0858" w:rsidRDefault="009F0858" w:rsidP="009F0858">
            <w:r w:rsidRPr="00B4711B">
              <w:t>Combined - high</w:t>
            </w:r>
          </w:p>
        </w:tc>
        <w:tc>
          <w:tcPr>
            <w:tcW w:w="1073" w:type="pct"/>
          </w:tcPr>
          <w:p w:rsidR="009F0858" w:rsidRPr="009F0858" w:rsidRDefault="009F0858" w:rsidP="009F0858">
            <w:pPr>
              <w:cnfStyle w:val="000000000000" w:firstRow="0" w:lastRow="0" w:firstColumn="0" w:lastColumn="0" w:oddVBand="0" w:evenVBand="0" w:oddHBand="0" w:evenHBand="0" w:firstRowFirstColumn="0" w:firstRowLastColumn="0" w:lastRowFirstColumn="0" w:lastRowLastColumn="0"/>
            </w:pPr>
            <w:r>
              <w:t>9.10</w:t>
            </w:r>
          </w:p>
        </w:tc>
        <w:tc>
          <w:tcPr>
            <w:tcW w:w="1490" w:type="pct"/>
          </w:tcPr>
          <w:p w:rsidR="009F0858" w:rsidRPr="009F0858" w:rsidRDefault="009F0858" w:rsidP="009F0858">
            <w:pPr>
              <w:cnfStyle w:val="000000000000" w:firstRow="0" w:lastRow="0" w:firstColumn="0" w:lastColumn="0" w:oddVBand="0" w:evenVBand="0" w:oddHBand="0" w:evenHBand="0" w:firstRowFirstColumn="0" w:firstRowLastColumn="0" w:lastRowFirstColumn="0" w:lastRowLastColumn="0"/>
            </w:pPr>
            <w:r>
              <w:t>9.16</w:t>
            </w:r>
          </w:p>
        </w:tc>
      </w:tr>
    </w:tbl>
    <w:p w:rsidR="009F0858" w:rsidRPr="00B4711B" w:rsidRDefault="009F0858" w:rsidP="009F0858">
      <w:pPr>
        <w:pStyle w:val="AERtablesource"/>
      </w:pPr>
      <w:r w:rsidRPr="00B4711B">
        <w:t xml:space="preserve">Source: </w:t>
      </w:r>
      <w:r w:rsidRPr="00B4711B">
        <w:tab/>
        <w:t>Bloomberg, AER analysis.</w:t>
      </w:r>
    </w:p>
    <w:p w:rsidR="009F0858" w:rsidRPr="00B4711B" w:rsidRDefault="009F0858" w:rsidP="009F0858">
      <w:pPr>
        <w:pStyle w:val="AERtablesource"/>
      </w:pPr>
      <w:r w:rsidRPr="00B4711B">
        <w:t>Notes:</w:t>
      </w:r>
      <w:r w:rsidRPr="00B4711B">
        <w:tab/>
        <w:t>All market risk premium estimates are based on an assumed theta of 0.6.</w:t>
      </w:r>
    </w:p>
    <w:p w:rsidR="009F0858" w:rsidRPr="00B4711B" w:rsidRDefault="009F0858" w:rsidP="009F0858">
      <w:pPr>
        <w:pStyle w:val="AERtablesource"/>
      </w:pPr>
      <w:r w:rsidRPr="00B4711B">
        <w:tab/>
        <w:t>Combined -</w:t>
      </w:r>
      <w:r>
        <w:t xml:space="preserve"> low is based on 3.78% growth, </w:t>
      </w:r>
      <w:r w:rsidR="0031707B">
        <w:t>6</w:t>
      </w:r>
      <w:r w:rsidRPr="00B4711B">
        <w:t xml:space="preserve"> month averaging, analysts' forecasts - 10%.</w:t>
      </w:r>
    </w:p>
    <w:p w:rsidR="009F0858" w:rsidRDefault="009F0858" w:rsidP="009F0858">
      <w:pPr>
        <w:pStyle w:val="AERtablesource"/>
      </w:pPr>
      <w:r w:rsidRPr="00B4711B">
        <w:tab/>
        <w:t xml:space="preserve">Combined - high is based on 5.1% growth, </w:t>
      </w:r>
      <w:r w:rsidR="00496561">
        <w:t>1</w:t>
      </w:r>
      <w:r w:rsidRPr="00B4711B">
        <w:t>2 month averaging, analysts' forecasts + 10%.</w:t>
      </w:r>
    </w:p>
    <w:p w:rsidR="009F0858" w:rsidRPr="0046661C" w:rsidRDefault="009F0858" w:rsidP="009F0858">
      <w:pPr>
        <w:pStyle w:val="TOC1"/>
      </w:pPr>
      <w:r>
        <w:t>Long-term</w:t>
      </w:r>
      <w:r w:rsidRPr="0046661C">
        <w:t xml:space="preserve"> dividend</w:t>
      </w:r>
      <w:r>
        <w:t xml:space="preserve"> growth rate</w:t>
      </w:r>
      <w:r w:rsidRPr="0046661C">
        <w:t xml:space="preserve">  </w:t>
      </w:r>
    </w:p>
    <w:p w:rsidR="009F0858" w:rsidRDefault="009F0858" w:rsidP="009F0858">
      <w:r w:rsidRPr="00B4711B">
        <w:t xml:space="preserve">We </w:t>
      </w:r>
      <w:r>
        <w:t>use</w:t>
      </w:r>
      <w:r w:rsidRPr="00B4711B">
        <w:t xml:space="preserve">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1009"/>
      </w:r>
      <w:r w:rsidRPr="00B4711B">
        <w:t xml:space="preserve"> </w:t>
      </w:r>
      <w:r>
        <w:t xml:space="preserve">While </w:t>
      </w:r>
      <w:r w:rsidRPr="00B4711B">
        <w:t xml:space="preserve">the top of Lally's range </w:t>
      </w:r>
      <w:r>
        <w:t xml:space="preserve">is </w:t>
      </w:r>
      <w:r w:rsidRPr="00B4711B">
        <w:t>5.1</w:t>
      </w:r>
      <w:r>
        <w:t xml:space="preserve"> </w:t>
      </w:r>
      <w:r w:rsidRPr="00B4711B">
        <w:t>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1010"/>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1011"/>
      </w:r>
    </w:p>
    <w:p w:rsidR="009F0858" w:rsidRPr="00B4711B" w:rsidRDefault="009F0858" w:rsidP="009F0858">
      <w:r w:rsidRPr="00B4711B">
        <w:t xml:space="preserve">We have not changed our approach set out in the Guideline. We do not adopt a lower long term dividend growth rate. </w:t>
      </w:r>
    </w:p>
    <w:p w:rsidR="009F0858" w:rsidRPr="0046661C" w:rsidRDefault="009F0858" w:rsidP="00CC7A1C">
      <w:pPr>
        <w:pStyle w:val="TOC1"/>
        <w:numPr>
          <w:ilvl w:val="0"/>
          <w:numId w:val="24"/>
        </w:numPr>
      </w:pPr>
      <w:r>
        <w:t>Averaging period</w:t>
      </w:r>
    </w:p>
    <w:p w:rsidR="009F0858" w:rsidRPr="00B4711B" w:rsidRDefault="009F0858" w:rsidP="00CC7A1C">
      <w:pPr>
        <w:numPr>
          <w:ilvl w:val="0"/>
          <w:numId w:val="24"/>
        </w:numPr>
      </w:pPr>
      <w:r w:rsidRPr="00B4711B">
        <w:t xml:space="preserve">We based our </w:t>
      </w:r>
      <w:r>
        <w:t>dividend growth model</w:t>
      </w:r>
      <w:r w:rsidRPr="00B4711B">
        <w:t xml:space="preserve"> estimate on data over </w:t>
      </w:r>
      <w:r>
        <w:t xml:space="preserve">the October and November </w:t>
      </w:r>
      <w:r w:rsidRPr="00B4711B">
        <w:t>2016</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9F0858" w:rsidRPr="00B4711B" w:rsidRDefault="009F0858" w:rsidP="00CC7A1C">
      <w:pPr>
        <w:numPr>
          <w:ilvl w:val="0"/>
          <w:numId w:val="24"/>
        </w:numPr>
      </w:pPr>
      <w:r w:rsidRPr="00B4711B">
        <w:t>As seen in</w:t>
      </w:r>
      <w:r>
        <w:t xml:space="preserve"> </w:t>
      </w:r>
      <w:r>
        <w:fldChar w:fldCharType="begin"/>
      </w:r>
      <w:r>
        <w:instrText xml:space="preserve"> REF _Ref445384013 \h </w:instrText>
      </w:r>
      <w:r>
        <w:fldChar w:fldCharType="separate"/>
      </w:r>
      <w:r w:rsidR="006B4A74" w:rsidRPr="00C2709F">
        <w:t xml:space="preserve">Table </w:t>
      </w:r>
      <w:r w:rsidR="006B4A74">
        <w:rPr>
          <w:noProof/>
        </w:rPr>
        <w:t>3</w:t>
      </w:r>
      <w:r w:rsidR="006B4A74">
        <w:noBreakHyphen/>
      </w:r>
      <w:r w:rsidR="006B4A74">
        <w:rPr>
          <w:noProof/>
        </w:rPr>
        <w:t>28</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1012"/>
      </w:r>
      <w:r w:rsidRPr="00B4711B">
        <w:t xml:space="preserve"> Having regard to McKenzie and Partington's advice, we also consider a 12 month averaging period.</w:t>
      </w:r>
      <w:r>
        <w:rPr>
          <w:rStyle w:val="FootnoteReference"/>
        </w:rPr>
        <w:footnoteReference w:id="1013"/>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1014"/>
      </w:r>
      <w:r w:rsidRPr="00B4711B">
        <w:t xml:space="preserve"> </w:t>
      </w:r>
      <w:r>
        <w:t>Partington and Satchell continue to note this limitation in their latest advice.</w:t>
      </w:r>
      <w:r>
        <w:rPr>
          <w:rStyle w:val="FootnoteReference"/>
        </w:rPr>
        <w:footnoteReference w:id="1015"/>
      </w:r>
    </w:p>
    <w:p w:rsidR="009F0858" w:rsidRPr="00B4711B" w:rsidRDefault="009F0858" w:rsidP="00CC7A1C">
      <w:pPr>
        <w:numPr>
          <w:ilvl w:val="0"/>
          <w:numId w:val="24"/>
        </w:numPr>
      </w:pPr>
      <w:r w:rsidRPr="00B4711B">
        <w:t xml:space="preserve">To </w:t>
      </w:r>
      <w:r>
        <w:t>demonstrate the potential</w:t>
      </w:r>
      <w:r w:rsidRPr="00B4711B">
        <w:t xml:space="preserve"> impact, we adjusted forecast dividends per share </w:t>
      </w:r>
      <w:r>
        <w:t xml:space="preserve">by </w:t>
      </w:r>
      <w:r w:rsidRPr="00B4711B">
        <w:t>10 per cent downwards</w:t>
      </w:r>
      <w:r>
        <w:t xml:space="preserve"> and </w:t>
      </w:r>
      <w:r w:rsidRPr="00B4711B">
        <w:t xml:space="preserve">upwards. </w:t>
      </w:r>
    </w:p>
    <w:p w:rsidR="009F0858" w:rsidRDefault="009F0858" w:rsidP="009F0858">
      <w:pPr>
        <w:pStyle w:val="Heading8"/>
      </w:pPr>
      <w:bookmarkStart w:id="303" w:name="_Ref448787515"/>
      <w:bookmarkStart w:id="304" w:name="_Toc451938984"/>
      <w:bookmarkStart w:id="305" w:name="_Toc456686732"/>
      <w:bookmarkStart w:id="306" w:name="_Toc481057479"/>
      <w:r w:rsidRPr="00B4711B">
        <w:t>Preferred construction of the dividend growth model</w:t>
      </w:r>
      <w:bookmarkEnd w:id="303"/>
      <w:bookmarkEnd w:id="304"/>
      <w:bookmarkEnd w:id="305"/>
      <w:bookmarkEnd w:id="306"/>
    </w:p>
    <w:p w:rsidR="009F0858" w:rsidRPr="00B4711B" w:rsidRDefault="009F0858" w:rsidP="009F0858">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1016"/>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9F0858" w:rsidRPr="00B4711B" w:rsidRDefault="00334917" w:rsidP="009F0858">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F0858" w:rsidRPr="00B4711B" w:rsidRDefault="009F0858" w:rsidP="009F0858">
      <w:pPr>
        <w:pStyle w:val="AERtablesource"/>
      </w:pPr>
      <w:r w:rsidRPr="00B4711B">
        <w:t>Where:</w:t>
      </w:r>
      <w:r w:rsidRPr="00B4711B">
        <w:tab/>
        <w:t>Pc is the current price of equity, for which we use the S&amp;P/ASX 200 index as the proxy</w:t>
      </w:r>
    </w:p>
    <w:p w:rsidR="009F0858" w:rsidRPr="00B4711B" w:rsidRDefault="009F0858" w:rsidP="009F0858">
      <w:pPr>
        <w:pStyle w:val="AERtablesource"/>
      </w:pPr>
      <w:r w:rsidRPr="00B4711B">
        <w:tab/>
        <w:t>E(Dc) is expected dividends per share for the current financial year</w:t>
      </w:r>
      <w:r w:rsidRPr="00B4711B">
        <w:rPr>
          <w:rStyle w:val="FootnoteReference"/>
        </w:rPr>
        <w:footnoteReference w:id="1017"/>
      </w:r>
    </w:p>
    <w:p w:rsidR="009F0858" w:rsidRPr="00B4711B" w:rsidRDefault="009F0858" w:rsidP="009F0858">
      <w:pPr>
        <w:pStyle w:val="AERtablesource"/>
      </w:pPr>
      <w:r w:rsidRPr="00B4711B">
        <w:tab/>
        <w:t>E(Dt) is expected dividends per share for the financial year t years after the current financial year</w:t>
      </w:r>
    </w:p>
    <w:p w:rsidR="009F0858" w:rsidRPr="00B4711B" w:rsidRDefault="009F0858" w:rsidP="009F0858">
      <w:pPr>
        <w:pStyle w:val="AERtablesource"/>
      </w:pPr>
      <w:r w:rsidRPr="00B4711B">
        <w:tab/>
        <w:t>m is the fraction of the current financial year remaining, expressed as a decimal point</w:t>
      </w:r>
    </w:p>
    <w:p w:rsidR="009F0858" w:rsidRPr="00B4711B" w:rsidRDefault="009F0858" w:rsidP="009F0858">
      <w:pPr>
        <w:pStyle w:val="AERtablesource"/>
      </w:pPr>
      <w:r w:rsidRPr="00B4711B">
        <w:tab/>
        <w:t>N is the time period after which dividend growth reverts to its long-term rate (for the two stage model, N = 2, for the three stage model N = 9)</w:t>
      </w:r>
    </w:p>
    <w:p w:rsidR="009F0858" w:rsidRPr="00B4711B" w:rsidRDefault="009F0858" w:rsidP="009F0858">
      <w:pPr>
        <w:pStyle w:val="AERtablesource"/>
      </w:pPr>
      <w:r w:rsidRPr="00B4711B">
        <w:tab/>
        <w:t xml:space="preserve">g is the expected long term growth rate in nominal dividends per share. For this parameter, we use a range of 4.0 to 5.1 per cent, with a point estimate of 4.6 per cent. </w:t>
      </w:r>
    </w:p>
    <w:p w:rsidR="009F0858" w:rsidRPr="00B4711B" w:rsidRDefault="009F0858" w:rsidP="00CC7A1C">
      <w:pPr>
        <w:numPr>
          <w:ilvl w:val="0"/>
          <w:numId w:val="24"/>
        </w:numPr>
      </w:pPr>
      <w:r w:rsidRPr="00B4711B">
        <w:t xml:space="preserve">We adopt two versions of a simple standard </w:t>
      </w:r>
      <w:r>
        <w:t>dividend growth model</w:t>
      </w:r>
      <w:r w:rsidRPr="00B4711B">
        <w:t>:</w:t>
      </w:r>
    </w:p>
    <w:p w:rsidR="009F0858" w:rsidRPr="00B4711B" w:rsidRDefault="009F0858" w:rsidP="009F0858">
      <w:pPr>
        <w:pStyle w:val="AERbulletlistfirststyle"/>
      </w:pPr>
      <w:r w:rsidRPr="00B4711B">
        <w:t xml:space="preserve">A two stage </w:t>
      </w:r>
      <w:r>
        <w:t>model</w:t>
      </w:r>
      <w:r w:rsidRPr="00B4711B">
        <w:t>, which assumes that dividends grow at the long term growth rate following the dividend forecast period.</w:t>
      </w:r>
    </w:p>
    <w:p w:rsidR="009F0858" w:rsidRPr="00B4711B" w:rsidRDefault="009F0858" w:rsidP="009F0858">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9F0858" w:rsidRPr="00B4711B" w:rsidRDefault="009F0858" w:rsidP="009F0858">
      <w:r w:rsidRPr="00B4711B">
        <w:t xml:space="preserve">Our </w:t>
      </w:r>
      <w:r>
        <w:t>dividend growth models</w:t>
      </w:r>
      <w:r w:rsidRPr="00B4711B">
        <w:t xml:space="preserve"> also display the following characteristics:</w:t>
      </w:r>
    </w:p>
    <w:p w:rsidR="009F0858" w:rsidRPr="00B4711B" w:rsidRDefault="009F0858" w:rsidP="009F0858">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of the daily data.</w:t>
      </w:r>
    </w:p>
    <w:p w:rsidR="009F0858" w:rsidRPr="00B4711B" w:rsidRDefault="009F0858" w:rsidP="009F0858">
      <w:pPr>
        <w:pStyle w:val="AERbulletlistfirststyle"/>
      </w:pPr>
      <w:r w:rsidRPr="00B4711B">
        <w:t xml:space="preserve">They </w:t>
      </w:r>
      <w:r>
        <w:t>use market prices for the ASX 200</w:t>
      </w:r>
      <w:r>
        <w:rPr>
          <w:rStyle w:val="FootnoteReference"/>
        </w:rPr>
        <w:footnoteReference w:id="1018"/>
      </w:r>
      <w:r w:rsidRPr="00B4711B">
        <w:t>.</w:t>
      </w:r>
    </w:p>
    <w:p w:rsidR="009F0858" w:rsidRPr="00B4711B" w:rsidRDefault="009F0858" w:rsidP="009F0858">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1019"/>
      </w:r>
    </w:p>
    <w:p w:rsidR="009F0858" w:rsidRPr="00B4711B" w:rsidRDefault="009F0858" w:rsidP="009F0858">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1020"/>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1021"/>
      </w:r>
      <w:r w:rsidRPr="00B4711B">
        <w:t xml:space="preserve"> which have not persuaded us to depart.</w:t>
      </w:r>
      <w:r w:rsidRPr="00B4711B">
        <w:rPr>
          <w:rStyle w:val="FootnoteReference"/>
        </w:rPr>
        <w:footnoteReference w:id="1022"/>
      </w:r>
      <w:r w:rsidRPr="00B4711B">
        <w:t xml:space="preserve"> Further, experts have critically reviewed</w:t>
      </w:r>
      <w:r w:rsidRPr="00B4711B">
        <w:rPr>
          <w:rStyle w:val="FootnoteReference"/>
        </w:rPr>
        <w:footnoteReference w:id="1023"/>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1024"/>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our preliminary decision on AusNet Services' 2016-20 distribution determination.</w:t>
      </w:r>
    </w:p>
    <w:p w:rsidR="009F0858" w:rsidRDefault="009F0858" w:rsidP="009F0858">
      <w:r>
        <w:t>We note that AusNet Services used the AER's construction of the dividend growth model</w:t>
      </w:r>
      <w:r>
        <w:rPr>
          <w:rStyle w:val="FootnoteReference"/>
        </w:rPr>
        <w:footnoteReference w:id="1025"/>
      </w:r>
      <w:r>
        <w:t xml:space="preserve"> in its multi-model approach to estimating its proposed market risk premium.</w:t>
      </w:r>
      <w:r>
        <w:rPr>
          <w:rStyle w:val="FootnoteReference"/>
        </w:rPr>
        <w:footnoteReference w:id="1026"/>
      </w:r>
      <w:r>
        <w:t xml:space="preserve"> We observe a similar approach in AusNet Services’ revised revenue proposal for its transmission services where it uses the AER’s construction of the 3-stage model modified to set the theta to 0.</w:t>
      </w:r>
      <w:r w:rsidR="005B313B">
        <w:t>3</w:t>
      </w:r>
      <w:r>
        <w:t>5 and no downward adjustment to the long-run GDP growth.</w:t>
      </w:r>
      <w:r>
        <w:rPr>
          <w:rStyle w:val="FootnoteReference"/>
        </w:rPr>
        <w:footnoteReference w:id="1027"/>
      </w:r>
    </w:p>
    <w:p w:rsidR="009F0858" w:rsidRPr="009F0858" w:rsidRDefault="009F0858" w:rsidP="00A164C0">
      <w:r>
        <w:t xml:space="preserve">Service providers have in the past proposed the use of SFG's dividend growth model. </w:t>
      </w:r>
    </w:p>
    <w:p w:rsidR="009F0858" w:rsidRPr="00B4711B" w:rsidRDefault="009F0858" w:rsidP="009F0858">
      <w:pPr>
        <w:pStyle w:val="Heading8"/>
      </w:pPr>
      <w:bookmarkStart w:id="307" w:name="_Ref446260197"/>
      <w:bookmarkStart w:id="308" w:name="_Toc451938985"/>
      <w:bookmarkStart w:id="309" w:name="_Toc456686733"/>
      <w:bookmarkStart w:id="310" w:name="_Toc481057480"/>
      <w:r>
        <w:t>Sources of potential upward bias</w:t>
      </w:r>
      <w:bookmarkEnd w:id="307"/>
      <w:bookmarkEnd w:id="308"/>
      <w:bookmarkEnd w:id="309"/>
      <w:bookmarkEnd w:id="310"/>
    </w:p>
    <w:p w:rsidR="009F0858" w:rsidRDefault="009F0858" w:rsidP="009F0858">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1028"/>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594C61" w:rsidRDefault="00594C61" w:rsidP="009F0858"/>
    <w:p w:rsidR="00594C61" w:rsidRDefault="00594C61" w:rsidP="009F0858"/>
    <w:p w:rsidR="009F0858" w:rsidRDefault="009F0858" w:rsidP="009F0858">
      <w:pPr>
        <w:pStyle w:val="TOC1"/>
      </w:pPr>
      <w:bookmarkStart w:id="311" w:name="_Toc443923219"/>
      <w:r w:rsidRPr="0046661C">
        <w:t>Slow-changing dividends</w:t>
      </w:r>
      <w:bookmarkEnd w:id="311"/>
      <w:r w:rsidRPr="0046661C">
        <w:t xml:space="preserve">  </w:t>
      </w:r>
    </w:p>
    <w:p w:rsidR="009F0858" w:rsidRPr="0065391F" w:rsidRDefault="009F0858" w:rsidP="009F0858">
      <w:r w:rsidRPr="00B4711B">
        <w:t>Dividends are a smoothed version of both free cash flow to equity and profits.</w:t>
      </w:r>
      <w:r w:rsidRPr="00B4711B">
        <w:rPr>
          <w:rStyle w:val="FootnoteReference"/>
        </w:rPr>
        <w:footnoteReference w:id="1029"/>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1030"/>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1031"/>
      </w:r>
      <w:r w:rsidRPr="0065391F">
        <w:t xml:space="preserve"> </w:t>
      </w:r>
    </w:p>
    <w:p w:rsidR="009F0858" w:rsidRDefault="009F0858" w:rsidP="009F0858">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9F0858" w:rsidRDefault="009F0858" w:rsidP="009F0858">
      <w:r>
        <w:t>Frontier submitted that this theoretical possibility is not material in current circumstances. Frontier submitted that:</w:t>
      </w:r>
      <w:r>
        <w:rPr>
          <w:rStyle w:val="FootnoteReference"/>
        </w:rPr>
        <w:footnoteReference w:id="1032"/>
      </w:r>
    </w:p>
    <w:p w:rsidR="009F0858" w:rsidRDefault="009F0858" w:rsidP="009F0858">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EC5833" w:rsidRPr="00D93D9B" w:rsidRDefault="009F0858" w:rsidP="00EC5833">
      <w:pPr>
        <w:rPr>
          <w:rStyle w:val="AERbody"/>
        </w:rPr>
      </w:pPr>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1033"/>
      </w:r>
      <w:r w:rsidR="00EC5833" w:rsidRPr="00D93D9B">
        <w:rPr>
          <w:rStyle w:val="AERbody"/>
        </w:rPr>
        <w:t>Frontier responded to our concerns</w:t>
      </w:r>
      <w:r w:rsidR="00EC5833">
        <w:rPr>
          <w:rStyle w:val="AERbody"/>
        </w:rPr>
        <w:t xml:space="preserve"> about the dividend growth model's use in estimating the market risk premium</w:t>
      </w:r>
      <w:r w:rsidR="00EC5833" w:rsidRPr="00D93D9B">
        <w:rPr>
          <w:rStyle w:val="AERbody"/>
        </w:rPr>
        <w:t xml:space="preserve"> by noting that it is 'highly unlikely for analysts to forecast dividend growth based on strong earnings over the short term if they considered those dividends to be unsustainable in the longer term'.</w:t>
      </w:r>
      <w:r w:rsidR="00EC5833">
        <w:rPr>
          <w:rStyle w:val="FootnoteReference"/>
        </w:rPr>
        <w:footnoteReference w:id="1034"/>
      </w:r>
    </w:p>
    <w:p w:rsidR="00EC5833" w:rsidRPr="00D93D9B" w:rsidRDefault="00EC5833" w:rsidP="00EC5833">
      <w:pPr>
        <w:rPr>
          <w:rStyle w:val="AERbody"/>
        </w:rPr>
      </w:pPr>
      <w:r w:rsidRPr="00D93D9B">
        <w:rPr>
          <w:rStyle w:val="AERbody"/>
        </w:rPr>
        <w:t xml:space="preserve">We note that dividends may be forecasted to increase for a number of reasons, including absence of satisfactory projects for reinvestment of earnings, and not necessarily related to strong earnings. </w:t>
      </w:r>
      <w:r w:rsidR="00FB3200">
        <w:rPr>
          <w:rStyle w:val="AERbody"/>
        </w:rPr>
        <w:t>As a result,</w:t>
      </w:r>
      <w:r w:rsidRPr="00D93D9B">
        <w:rPr>
          <w:rStyle w:val="AERbody"/>
        </w:rPr>
        <w:t xml:space="preserve"> it is not apparent that there is or will be strong earnings growth. In the RBA chart, while forecast earnings per share in 2016–17 is above that of 2015–16</w:t>
      </w:r>
      <w:r>
        <w:rPr>
          <w:rStyle w:val="AERbody"/>
        </w:rPr>
        <w:t xml:space="preserve"> as Frontier points out</w:t>
      </w:r>
      <w:r w:rsidRPr="00D93D9B">
        <w:rPr>
          <w:rStyle w:val="AERbody"/>
        </w:rPr>
        <w:t>, both slow over time which has been the pattern since 2011–12.</w:t>
      </w:r>
      <w:r>
        <w:rPr>
          <w:rStyle w:val="FootnoteReference"/>
        </w:rPr>
        <w:footnoteReference w:id="1035"/>
      </w:r>
      <w:r w:rsidRPr="00D93D9B">
        <w:rPr>
          <w:rStyle w:val="AERbody"/>
        </w:rPr>
        <w:t xml:space="preserve"> We do not consider that this is indicative or supportive of strong earnings growth. </w:t>
      </w:r>
    </w:p>
    <w:p w:rsidR="009F0858" w:rsidRPr="00BA300D" w:rsidRDefault="00EC5833" w:rsidP="00A164C0">
      <w:r w:rsidRPr="00D93D9B">
        <w:rPr>
          <w:rStyle w:val="AERbody"/>
        </w:rPr>
        <w:t xml:space="preserve">Frontier </w:t>
      </w:r>
      <w:r>
        <w:rPr>
          <w:rStyle w:val="AERbody"/>
        </w:rPr>
        <w:t>added</w:t>
      </w:r>
      <w:r w:rsidRPr="00D93D9B">
        <w:rPr>
          <w:rStyle w:val="AERbody"/>
        </w:rPr>
        <w:t xml:space="preserve"> that there is no evidence to indicate 'future dividends were likely to fall so materially as to make the current dividend unsustainable'.</w:t>
      </w:r>
      <w:r>
        <w:rPr>
          <w:rStyle w:val="FootnoteReference"/>
        </w:rPr>
        <w:footnoteReference w:id="1036"/>
      </w:r>
      <w:r w:rsidRPr="00D93D9B">
        <w:rPr>
          <w:rStyle w:val="AERbody"/>
        </w:rPr>
        <w:t xml:space="preserve"> We note that dividends can be stylised as a function of earning and given information suggests material declines in earnings per share</w:t>
      </w:r>
      <w:r>
        <w:rPr>
          <w:rStyle w:val="AERbody"/>
        </w:rPr>
        <w:t>.</w:t>
      </w:r>
      <w:r>
        <w:rPr>
          <w:rStyle w:val="FootnoteReference"/>
        </w:rPr>
        <w:footnoteReference w:id="1037"/>
      </w:r>
      <w:r w:rsidRPr="00D93D9B">
        <w:rPr>
          <w:rStyle w:val="AERbody"/>
        </w:rPr>
        <w:t xml:space="preserve"> </w:t>
      </w:r>
      <w:r w:rsidRPr="00DD6215">
        <w:t xml:space="preserve"> </w:t>
      </w:r>
      <w:r>
        <w:t xml:space="preserve">We also note that the </w:t>
      </w:r>
      <w:r w:rsidRPr="00691150">
        <w:t xml:space="preserve">chartpack relates to one-year forecasts </w:t>
      </w:r>
      <w:r>
        <w:t>which would not provide conclusive evidence consistent with our 10-year time frame</w:t>
      </w:r>
      <w:r w:rsidRPr="00691150">
        <w:t>.</w:t>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Analyst forecasts are well understood to be upward</w:t>
      </w:r>
      <w:r>
        <w:t>ly</w:t>
      </w:r>
      <w:r w:rsidRPr="00B4711B">
        <w:t xml:space="preserve"> biased.</w:t>
      </w:r>
      <w:r w:rsidRPr="00B4711B">
        <w:rPr>
          <w:rStyle w:val="FootnoteReference"/>
        </w:rPr>
        <w:footnoteReference w:id="1038"/>
      </w:r>
      <w:r w:rsidRPr="00B4711B">
        <w:t xml:space="preserve"> McKenzie and Partington also consider that analysts’ forecasts are slow to adjust to changing information.</w:t>
      </w:r>
      <w:r w:rsidRPr="00B4711B">
        <w:rPr>
          <w:rStyle w:val="FootnoteReference"/>
        </w:rPr>
        <w:footnoteReference w:id="1039"/>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BC7472" w:rsidRDefault="009F0858" w:rsidP="009F0858">
      <w:r>
        <w:t xml:space="preserve">We note that Frontier has not provided any evidence that bias has not increased. </w:t>
      </w:r>
      <w:r w:rsidR="00E574A3">
        <w:t xml:space="preserve">In response, </w:t>
      </w:r>
      <w:r w:rsidR="00B60505">
        <w:t>F</w:t>
      </w:r>
      <w:r w:rsidR="00BC7472">
        <w:t xml:space="preserve">rontier </w:t>
      </w:r>
      <w:r w:rsidR="00B60505">
        <w:t xml:space="preserve">estimated </w:t>
      </w:r>
      <w:r w:rsidR="00FE51DA">
        <w:t xml:space="preserve">that </w:t>
      </w:r>
      <w:r w:rsidR="00B60505">
        <w:t>actual earnings for ASX-20 firms is slightly above (2.37 per cent) the forecast and stated that this is inconsistent with the proposition that forecast earnings are becoming more optimistic over time</w:t>
      </w:r>
      <w:r w:rsidR="00BC7472">
        <w:t>.</w:t>
      </w:r>
      <w:r w:rsidR="00B60505">
        <w:rPr>
          <w:rStyle w:val="FootnoteReference"/>
        </w:rPr>
        <w:footnoteReference w:id="1040"/>
      </w:r>
    </w:p>
    <w:p w:rsidR="009F0858" w:rsidRDefault="009F0858" w:rsidP="009F0858">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B60505" w:rsidRPr="00CE0902" w:rsidRDefault="009F0858" w:rsidP="00CC7A1C">
      <w:pPr>
        <w:numPr>
          <w:ilvl w:val="0"/>
          <w:numId w:val="24"/>
        </w:numPr>
      </w:pPr>
      <w:r>
        <w:t>Further, we do not hold a view either way about whether bias has increased or not. However, Frontier refers to a report by JP Morgan that notes that current price-to-earnings ratios</w:t>
      </w:r>
      <w:r>
        <w:rPr>
          <w:rStyle w:val="FootnoteReference"/>
        </w:rPr>
        <w:footnoteReference w:id="1041"/>
      </w:r>
      <w:r>
        <w:t xml:space="preserve"> could be evidence that the prevailing </w:t>
      </w:r>
      <w:r w:rsidRPr="00C365B3">
        <w:t>market is now more sceptical of analysts’ forecasts than they have been in the past</w:t>
      </w:r>
      <w:r>
        <w:t>.</w:t>
      </w:r>
      <w:r>
        <w:rPr>
          <w:rStyle w:val="FootnoteReference"/>
        </w:rPr>
        <w:footnoteReference w:id="1042"/>
      </w:r>
      <w:r w:rsidRPr="00D03E8B">
        <w:t xml:space="preserve"> </w:t>
      </w:r>
      <w:r>
        <w:t xml:space="preserve">That is, </w:t>
      </w:r>
      <w:r w:rsidRPr="00C365B3">
        <w:t>bias (or at least the market’s perception of bias) may have increased</w:t>
      </w:r>
      <w:r>
        <w:t xml:space="preserve">. </w:t>
      </w:r>
      <w:r w:rsidR="00B60505">
        <w:t>We also have reservations a</w:t>
      </w:r>
      <w:r w:rsidR="008423B5">
        <w:t>bout a survey from only 20 firms.</w:t>
      </w:r>
      <w:r w:rsidR="00B60505">
        <w:t xml:space="preserve"> Partington and Satchell </w:t>
      </w:r>
      <w:r w:rsidR="008423B5">
        <w:t xml:space="preserve">advised that they would </w:t>
      </w:r>
      <w:r w:rsidR="00B60505">
        <w:t>"place little weight on a non-random sample of twenty firms and one year's observations" when assessing the reliability of analyst's forecasts.</w:t>
      </w:r>
      <w:r w:rsidR="00B60505">
        <w:rPr>
          <w:rStyle w:val="FootnoteReference"/>
        </w:rPr>
        <w:footnoteReference w:id="1043"/>
      </w:r>
    </w:p>
    <w:p w:rsidR="0048197D" w:rsidRDefault="0048197D" w:rsidP="00CC7A1C">
      <w:pPr>
        <w:numPr>
          <w:ilvl w:val="0"/>
          <w:numId w:val="24"/>
        </w:numPr>
      </w:pPr>
      <w:r>
        <w:t>Frontier submitted that the AER should focus on estimating the implied return that equates the dividend forecast to the actual stock price, and not on the dividend forecast that the AER thinks the market should have used.</w:t>
      </w:r>
      <w:r>
        <w:rPr>
          <w:rStyle w:val="FootnoteReference"/>
        </w:rPr>
        <w:footnoteReference w:id="1044"/>
      </w:r>
    </w:p>
    <w:p w:rsidR="00827E36" w:rsidRPr="00827E36" w:rsidRDefault="0048197D" w:rsidP="00CC7A1C">
      <w:pPr>
        <w:pStyle w:val="ListParagraph"/>
        <w:numPr>
          <w:ilvl w:val="0"/>
          <w:numId w:val="24"/>
        </w:numPr>
      </w:pPr>
      <w:r>
        <w:t>We remain of the view that i</w:t>
      </w:r>
      <w:r w:rsidRPr="00952754">
        <w:t>f analysts’ dividend and price forecasts are biased, it is also plausible that the analysts’ implied return on equity is biased.</w:t>
      </w:r>
      <w:r w:rsidRPr="00B4711B">
        <w:t xml:space="preserve"> </w:t>
      </w:r>
      <w:r w:rsidR="00827E36" w:rsidRPr="00827E36">
        <w:t xml:space="preserve">Partington and Satchell </w:t>
      </w:r>
      <w:r w:rsidR="00827E36">
        <w:t>agree with us and noted that 'i</w:t>
      </w:r>
      <w:r w:rsidR="00827E36" w:rsidRPr="00827E36">
        <w:t>f we assume the market is unbiased, then the AER are correct in observing that any upward bias in analysts’ forecasts will result in a higher implied return on the market for a given method of inferring that implied return</w:t>
      </w:r>
      <w:r w:rsidR="00827E36">
        <w:t>'.</w:t>
      </w:r>
      <w:r w:rsidR="00827E36">
        <w:rPr>
          <w:rStyle w:val="FootnoteReference"/>
        </w:rPr>
        <w:footnoteReference w:id="1045"/>
      </w:r>
    </w:p>
    <w:p w:rsidR="009F0858" w:rsidRDefault="0048197D" w:rsidP="00CC7A1C">
      <w:pPr>
        <w:numPr>
          <w:ilvl w:val="0"/>
          <w:numId w:val="24"/>
        </w:numPr>
      </w:pPr>
      <w:r w:rsidRPr="00B4711B">
        <w:t>McKenzie and Partington also consider that analysts’ forecasts are slow to adjust to changing information.</w:t>
      </w:r>
      <w:r w:rsidRPr="00B4711B">
        <w:rPr>
          <w:rStyle w:val="FootnoteReference"/>
        </w:rPr>
        <w:footnoteReference w:id="1046"/>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9F0858" w:rsidRPr="0046661C" w:rsidRDefault="009F0858" w:rsidP="00CC7A1C">
      <w:pPr>
        <w:pStyle w:val="TOC1"/>
        <w:numPr>
          <w:ilvl w:val="0"/>
          <w:numId w:val="24"/>
        </w:numPr>
      </w:pPr>
      <w:r>
        <w:t>Dividends as a proxy for free cash flow to equity</w:t>
      </w:r>
    </w:p>
    <w:p w:rsidR="009F0858" w:rsidRPr="009F0858" w:rsidRDefault="009F0858" w:rsidP="00CC7A1C">
      <w:pPr>
        <w:pStyle w:val="ListParagraph"/>
        <w:numPr>
          <w:ilvl w:val="0"/>
          <w:numId w:val="24"/>
        </w:numPr>
        <w:rPr>
          <w:rStyle w:val="AERbody"/>
        </w:rPr>
      </w:pPr>
      <w:r w:rsidRPr="009F0858">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sidRPr="009F0858">
        <w:rPr>
          <w:rStyle w:val="FootnoteReference"/>
        </w:rPr>
        <w:footnoteReference w:id="1047"/>
      </w:r>
    </w:p>
    <w:p w:rsidR="009F0858" w:rsidRDefault="00EC5833" w:rsidP="00CC7A1C">
      <w:pPr>
        <w:pStyle w:val="AERbulletlistfirststyle"/>
        <w:numPr>
          <w:ilvl w:val="0"/>
          <w:numId w:val="24"/>
        </w:numPr>
      </w:pPr>
      <w:r>
        <w:t>Partington and Satchell</w:t>
      </w:r>
      <w:r w:rsidRPr="00772B77">
        <w:t xml:space="preserve"> has advised the need for a downward adjustment</w:t>
      </w:r>
      <w:r>
        <w:t xml:space="preserve"> to the growth rate</w:t>
      </w:r>
      <w:r w:rsidRPr="00772B77">
        <w:t xml:space="preserve">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048"/>
      </w:r>
      <w:r w:rsidRPr="00772B77">
        <w:t xml:space="preserve"> We agree and consider that the downward adjustment remains appropriate.</w:t>
      </w:r>
      <w:r>
        <w:t xml:space="preserve"> </w:t>
      </w:r>
    </w:p>
    <w:p w:rsidR="009F0858" w:rsidRPr="0046661C" w:rsidRDefault="009F0858" w:rsidP="009F0858">
      <w:pPr>
        <w:pStyle w:val="TOC1"/>
      </w:pPr>
      <w:r>
        <w:t>Low risk free rate and term structure for equity</w:t>
      </w:r>
    </w:p>
    <w:p w:rsidR="009F0858" w:rsidRPr="0065391F" w:rsidRDefault="009F0858" w:rsidP="009F0858">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1049"/>
      </w:r>
      <w:r w:rsidRPr="0065391F">
        <w:rPr>
          <w:rStyle w:val="AERbody"/>
        </w:rPr>
        <w:t xml:space="preserve"> We consider it useful to be aware of this potential bias. This is consistent with McKenzie and Partington’s advice:</w:t>
      </w:r>
      <w:r w:rsidRPr="00F37CD8">
        <w:rPr>
          <w:rStyle w:val="FootnoteReference"/>
        </w:rPr>
        <w:footnoteReference w:id="1050"/>
      </w:r>
    </w:p>
    <w:p w:rsidR="009F0858" w:rsidRPr="00B4711B" w:rsidRDefault="009F0858" w:rsidP="009F0858">
      <w:pPr>
        <w:pStyle w:val="AERquote"/>
      </w:pPr>
      <w:r w:rsidRPr="00B4711B">
        <w:t>we do recommend that it be borne in mind that the existence of a term structure could materially change cost of equity estimates from the DGM.</w:t>
      </w:r>
    </w:p>
    <w:p w:rsidR="009F0858" w:rsidRPr="00B4711B" w:rsidRDefault="009F0858" w:rsidP="009F0858"/>
    <w:p w:rsidR="009F0858" w:rsidRPr="009F0858" w:rsidRDefault="009F0858" w:rsidP="00A164C0"/>
    <w:p w:rsidR="009F0858" w:rsidRPr="009F0858" w:rsidRDefault="009F0858" w:rsidP="00A164C0"/>
    <w:p w:rsidR="006A3314" w:rsidRDefault="006A3314" w:rsidP="006A3314">
      <w:pPr>
        <w:pStyle w:val="Heading7"/>
      </w:pPr>
      <w:bookmarkStart w:id="312" w:name="_Ref451685221"/>
      <w:bookmarkStart w:id="313" w:name="_Ref451685409"/>
      <w:bookmarkStart w:id="314" w:name="_Toc452629087"/>
      <w:bookmarkStart w:id="315" w:name="_Toc456686734"/>
      <w:bookmarkStart w:id="316" w:name="_Toc481057481"/>
      <w:r>
        <w:t>Return on equity conditioning variables</w:t>
      </w:r>
      <w:bookmarkEnd w:id="312"/>
      <w:bookmarkEnd w:id="313"/>
      <w:bookmarkEnd w:id="314"/>
      <w:bookmarkEnd w:id="315"/>
      <w:bookmarkEnd w:id="316"/>
    </w:p>
    <w:p w:rsidR="006A3314" w:rsidRPr="00D7763D" w:rsidRDefault="006A3314" w:rsidP="00CC7A1C">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1051"/>
      </w:r>
      <w:r w:rsidRPr="00D7763D">
        <w:t xml:space="preserve"> However, </w:t>
      </w:r>
      <w:r>
        <w:t>we consider that this</w:t>
      </w:r>
      <w:r w:rsidRPr="00D7763D">
        <w:t xml:space="preserve"> information is relevant and may be useful for indicating changes in </w:t>
      </w:r>
      <w:r>
        <w:t>prevailing</w:t>
      </w:r>
      <w:r w:rsidRPr="00D7763D">
        <w:t xml:space="preserve"> market conditions. </w:t>
      </w:r>
    </w:p>
    <w:p w:rsidR="006A3314" w:rsidRPr="00C4668D" w:rsidRDefault="006A3314" w:rsidP="009D5C18">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w:t>
      </w:r>
      <w:r w:rsidR="00BB13B7">
        <w:t>Some s</w:t>
      </w:r>
      <w:r w:rsidRPr="00C4668D">
        <w:t>ervice providers have also proposed the use of price</w:t>
      </w:r>
      <w:r>
        <w:t>-to-</w:t>
      </w:r>
      <w:r w:rsidRPr="00C4668D">
        <w:t>earnings ratios, and we consider</w:t>
      </w:r>
      <w:r>
        <w:t>ed</w:t>
      </w:r>
      <w:r w:rsidRPr="00C4668D">
        <w:t xml:space="preserve"> these </w:t>
      </w:r>
      <w:r>
        <w:t xml:space="preserve">in </w:t>
      </w:r>
      <w:r w:rsidR="0059002D">
        <w:t xml:space="preserve">the 'Price-to-earnings ratios' section </w:t>
      </w:r>
      <w:r>
        <w:t>above</w:t>
      </w:r>
      <w:r w:rsidRPr="00C4668D">
        <w:t>.</w:t>
      </w:r>
      <w:r>
        <w:t xml:space="preserve"> In the Guideline we also stated that we would use yield spreads to inform our overall return on equity estimate.</w:t>
      </w:r>
    </w:p>
    <w:p w:rsidR="006A3314" w:rsidRDefault="006A3314" w:rsidP="006A331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w:t>
      </w:r>
      <w:r w:rsidR="00BB13B7">
        <w:t xml:space="preserve">some </w:t>
      </w:r>
      <w:r w:rsidRPr="00D7763D">
        <w:t>service providers relied upon this evidence.</w:t>
      </w:r>
      <w:r w:rsidRPr="00D7763D">
        <w:rPr>
          <w:rStyle w:val="FootnoteReference"/>
        </w:rPr>
        <w:footnoteReference w:id="1052"/>
      </w:r>
      <w:r w:rsidRPr="00D7763D">
        <w:t xml:space="preserve"> However, when implied volatility estimates fell in 2013, </w:t>
      </w:r>
      <w:r w:rsidR="00BB13B7">
        <w:t xml:space="preserve">other </w:t>
      </w:r>
      <w:r w:rsidRPr="00D7763D">
        <w:t>service providers did not propose we consider this evidence.</w:t>
      </w:r>
      <w:r w:rsidRPr="00D7763D">
        <w:rPr>
          <w:rStyle w:val="FootnoteReference"/>
        </w:rPr>
        <w:footnoteReference w:id="1053"/>
      </w:r>
      <w:r w:rsidRPr="00D7763D">
        <w:t xml:space="preserve"> </w:t>
      </w:r>
    </w:p>
    <w:p w:rsidR="006A3314" w:rsidRPr="00D7763D" w:rsidRDefault="006A3314" w:rsidP="006A3314">
      <w:r>
        <w:t>AusNet, in their most recent submission, put forward that no reliance should be placed on the conditioning variables in the absence of formal econometric mapping to a point estimate. However they feel that if they are to be used, they point to a higher market risk premium than the AER estimated given indications of a stable return on equity indicated.</w:t>
      </w:r>
      <w:r>
        <w:rPr>
          <w:rStyle w:val="FootnoteReference"/>
        </w:rPr>
        <w:footnoteReference w:id="1054"/>
      </w:r>
      <w:r>
        <w:t xml:space="preserve"> </w:t>
      </w:r>
    </w:p>
    <w:p w:rsidR="006A3314" w:rsidRDefault="006A3314" w:rsidP="006A3314">
      <w:r w:rsidRPr="00D7763D">
        <w:t xml:space="preserve">For the reasons set out below, we consider that, overall, the conditioning variables </w:t>
      </w:r>
      <w:r>
        <w:t>appear to have experienced moderate short term movement. Consideration of the implied volatility approach, dividend yields and corporate bond spreads show slight increases.</w:t>
      </w:r>
      <w:r>
        <w:rPr>
          <w:rStyle w:val="FootnoteReference"/>
        </w:rPr>
        <w:footnoteReference w:id="1055"/>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1056"/>
      </w:r>
      <w:r>
        <w:t xml:space="preserve"> Taken together, we see no significant trend to </w:t>
      </w:r>
      <w:r w:rsidRPr="00D51EE9">
        <w:t>support any further change</w:t>
      </w:r>
      <w:r>
        <w:t xml:space="preserve">s to our approach. </w:t>
      </w:r>
    </w:p>
    <w:p w:rsidR="006A3314" w:rsidRPr="00D7763D" w:rsidRDefault="006A3314" w:rsidP="006A3314">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t>implied volatility and dividend yields</w:t>
      </w:r>
      <w:r w:rsidRPr="00D7763D">
        <w:t xml:space="preserve"> increased above their long term averages towards the end of </w:t>
      </w:r>
      <w:r>
        <w:t>2015</w:t>
      </w:r>
      <w:r w:rsidRPr="00D7763D">
        <w:t xml:space="preserve">. However, we consider there is </w:t>
      </w:r>
      <w:r>
        <w:t>in</w:t>
      </w:r>
      <w:r w:rsidRPr="00D7763D">
        <w:t xml:space="preserve">sufficient evidence of a sustained trend away from their long term averages. </w:t>
      </w:r>
    </w:p>
    <w:p w:rsidR="006A3314" w:rsidRPr="00D7763D" w:rsidRDefault="006A3314" w:rsidP="006A331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6A3314" w:rsidRPr="006A3314" w:rsidRDefault="006A3314" w:rsidP="002656D9">
      <w:pPr>
        <w:pStyle w:val="Heading8"/>
        <w:numPr>
          <w:ilvl w:val="1"/>
          <w:numId w:val="30"/>
        </w:numPr>
        <w:tabs>
          <w:tab w:val="clear" w:pos="1305"/>
          <w:tab w:val="num" w:pos="993"/>
        </w:tabs>
        <w:ind w:hanging="1305"/>
      </w:pPr>
      <w:bookmarkStart w:id="317" w:name="_Toc443923225"/>
      <w:bookmarkStart w:id="318" w:name="_Toc451938987"/>
      <w:bookmarkStart w:id="319" w:name="_Toc456686735"/>
      <w:bookmarkStart w:id="320" w:name="_Toc481057482"/>
      <w:r>
        <w:t>Implied volatility</w:t>
      </w:r>
      <w:bookmarkEnd w:id="317"/>
      <w:bookmarkEnd w:id="318"/>
      <w:bookmarkEnd w:id="319"/>
      <w:bookmarkEnd w:id="320"/>
    </w:p>
    <w:p w:rsidR="006A3314" w:rsidRPr="002A6C79" w:rsidRDefault="006A3314" w:rsidP="00CC7A1C">
      <w:pPr>
        <w:numPr>
          <w:ilvl w:val="0"/>
          <w:numId w:val="24"/>
        </w:numPr>
      </w:pPr>
      <w:bookmarkStart w:id="321" w:name="_Ref433023909"/>
      <w:r w:rsidRPr="002A6C79">
        <w:t>The implied volatility approach assumes that the market risk premium is the price of risk multiplied by the volume of risk (volatility).</w:t>
      </w:r>
      <w:r w:rsidRPr="002A6C79">
        <w:rPr>
          <w:rStyle w:val="FootnoteReference"/>
        </w:rPr>
        <w:footnoteReference w:id="1057"/>
      </w:r>
      <w:r w:rsidRPr="002A6C79">
        <w:t xml:space="preserve"> </w:t>
      </w:r>
      <w:r w:rsidRPr="002A6C79">
        <w:fldChar w:fldCharType="begin"/>
      </w:r>
      <w:r w:rsidRPr="002A6C79">
        <w:instrText xml:space="preserve"> REF _Ref456703448 \h </w:instrText>
      </w:r>
      <w:r w:rsidRPr="002A6C79">
        <w:fldChar w:fldCharType="separate"/>
      </w:r>
      <w:r w:rsidR="006B4A74" w:rsidRPr="00866A7A">
        <w:t xml:space="preserve">Figure </w:t>
      </w:r>
      <w:r w:rsidR="006B4A74">
        <w:rPr>
          <w:noProof/>
        </w:rPr>
        <w:t>3</w:t>
      </w:r>
      <w:r w:rsidR="006B4A74">
        <w:noBreakHyphen/>
      </w:r>
      <w:r w:rsidR="006B4A74">
        <w:rPr>
          <w:noProof/>
        </w:rPr>
        <w:t>7</w:t>
      </w:r>
      <w:r w:rsidRPr="002A6C79">
        <w:fldChar w:fldCharType="end"/>
      </w:r>
      <w:r w:rsidRPr="002A6C79">
        <w:t xml:space="preserve"> shows volume of risk in the market portfolio estimated using the implied volatility index.</w:t>
      </w:r>
    </w:p>
    <w:p w:rsidR="006A3314" w:rsidRPr="002A6C79" w:rsidRDefault="006A3314" w:rsidP="006A3314">
      <w:r w:rsidRPr="002A6C79">
        <w:t>Implied volatility was high during the global financial crisis and the height of the European debt crisis. However, recent implied volatility levels have generally been below or close to the long run average of 18.2 per cent (measured from the start of the data series in 1997). We note that after a spike in volatility levels in mid to late 2015 levels have fallen again to below the long term average, leading to our belief that volatility has not seen a sustained move away from the long run average.</w:t>
      </w:r>
    </w:p>
    <w:p w:rsidR="006A3314" w:rsidRDefault="006A3314" w:rsidP="006A3314">
      <w:r w:rsidRPr="002A6C79">
        <w:fldChar w:fldCharType="begin"/>
      </w:r>
      <w:r w:rsidRPr="002A6C79">
        <w:instrText xml:space="preserve"> REF _Ref456703448 \h </w:instrText>
      </w:r>
      <w:r w:rsidRPr="002A6C79">
        <w:fldChar w:fldCharType="separate"/>
      </w:r>
      <w:r w:rsidR="006B4A74" w:rsidRPr="00866A7A">
        <w:t xml:space="preserve">Figure </w:t>
      </w:r>
      <w:r w:rsidR="006B4A74">
        <w:rPr>
          <w:noProof/>
        </w:rPr>
        <w:t>3</w:t>
      </w:r>
      <w:r w:rsidR="006B4A74">
        <w:noBreakHyphen/>
      </w:r>
      <w:r w:rsidR="006B4A74">
        <w:rPr>
          <w:noProof/>
        </w:rPr>
        <w:t>7</w:t>
      </w:r>
      <w:r w:rsidRPr="002A6C79">
        <w:fldChar w:fldCharType="end"/>
      </w:r>
      <w:r w:rsidRPr="002A6C79">
        <w:t xml:space="preserve"> shows the value of this measure of implied volatility relative to its long run average level since the start of the data series in 1997 to 25 November 2016</w:t>
      </w:r>
      <w:r w:rsidRPr="002A6C79">
        <w:rPr>
          <w:rStyle w:val="AERbody"/>
        </w:rPr>
        <w:t>.</w:t>
      </w:r>
      <w:r>
        <w:rPr>
          <w:rStyle w:val="AERbody"/>
        </w:rPr>
        <w:t xml:space="preserve"> We observe that </w:t>
      </w:r>
      <w:r w:rsidRPr="002A6C79">
        <w:t xml:space="preserve">the volatility index </w:t>
      </w:r>
      <w:r>
        <w:t>appears to show a downward trend:</w:t>
      </w:r>
    </w:p>
    <w:p w:rsidR="006A3314" w:rsidRDefault="006A3314" w:rsidP="006A3314">
      <w:pPr>
        <w:pStyle w:val="AERbulletlistfirststyle"/>
      </w:pPr>
      <w:r>
        <w:t xml:space="preserve">The index </w:t>
      </w:r>
      <w:r w:rsidRPr="002A6C79">
        <w:t>was 17.4 per cent</w:t>
      </w:r>
      <w:r>
        <w:t xml:space="preserve"> if</w:t>
      </w:r>
      <w:r>
        <w:rPr>
          <w:rStyle w:val="AERbody"/>
        </w:rPr>
        <w:t xml:space="preserve"> a</w:t>
      </w:r>
      <w:r>
        <w:t>veraging o</w:t>
      </w:r>
      <w:r w:rsidRPr="002A6C79">
        <w:t xml:space="preserve">ver the year ending 25 November 2016. </w:t>
      </w:r>
      <w:r w:rsidRPr="0083744B">
        <w:t xml:space="preserve"> </w:t>
      </w:r>
      <w:r w:rsidRPr="002A6C79">
        <w:t xml:space="preserve"> </w:t>
      </w:r>
    </w:p>
    <w:p w:rsidR="006A3314" w:rsidRDefault="006A3314" w:rsidP="006A3314">
      <w:pPr>
        <w:pStyle w:val="AERbulletlistfirststyle"/>
      </w:pPr>
      <w:r>
        <w:t xml:space="preserve">The index was </w:t>
      </w:r>
      <w:r w:rsidRPr="002A6C79">
        <w:t>15.6 per cent</w:t>
      </w:r>
      <w:r>
        <w:t xml:space="preserve"> over AusNet Services'</w:t>
      </w:r>
      <w:r w:rsidRPr="002A6C79">
        <w:t xml:space="preserve"> risk free rate</w:t>
      </w:r>
      <w:r>
        <w:t xml:space="preserve"> averaging period (31 October 2016 to 25 November 2016)</w:t>
      </w:r>
      <w:r w:rsidRPr="002A6C79">
        <w:t>.</w:t>
      </w:r>
      <w:r w:rsidRPr="002A6C79">
        <w:rPr>
          <w:rStyle w:val="FootnoteReference"/>
        </w:rPr>
        <w:footnoteReference w:id="1058"/>
      </w:r>
      <w:r w:rsidRPr="0083744B">
        <w:t xml:space="preserve"> </w:t>
      </w:r>
    </w:p>
    <w:p w:rsidR="006A3314" w:rsidRDefault="006A3314" w:rsidP="006A3314">
      <w:pPr>
        <w:pStyle w:val="AERbulletlistfirststyle"/>
      </w:pPr>
      <w:r>
        <w:t>T</w:t>
      </w:r>
      <w:r w:rsidRPr="002A6C79">
        <w:t>he index was 11.91 per cent</w:t>
      </w:r>
      <w:r>
        <w:t xml:space="preserve"> o</w:t>
      </w:r>
      <w:r w:rsidRPr="002A6C79">
        <w:t xml:space="preserve">n 25 November 2016. </w:t>
      </w:r>
      <w:r>
        <w:t xml:space="preserve"> </w:t>
      </w:r>
    </w:p>
    <w:p w:rsidR="006A3314" w:rsidRPr="002A6C79" w:rsidRDefault="006A3314" w:rsidP="006A3314">
      <w:r w:rsidRPr="002A6C79">
        <w:rPr>
          <w:rStyle w:val="AERbody"/>
        </w:rPr>
        <w:t xml:space="preserve">Overall, despite this downward trend over the past year, we consider that </w:t>
      </w:r>
      <w:r w:rsidRPr="002A6C79">
        <w:rPr>
          <w:rStyle w:val="AERbody"/>
        </w:rPr>
        <w:fldChar w:fldCharType="begin"/>
      </w:r>
      <w:r w:rsidRPr="002A6C79">
        <w:rPr>
          <w:rStyle w:val="AERbody"/>
        </w:rPr>
        <w:instrText xml:space="preserve"> REF _Ref456703448 \h </w:instrText>
      </w:r>
      <w:r w:rsidRPr="002A6C79">
        <w:rPr>
          <w:rStyle w:val="AERbody"/>
        </w:rPr>
      </w:r>
      <w:r w:rsidRPr="002A6C79">
        <w:rPr>
          <w:rStyle w:val="AERbody"/>
        </w:rPr>
        <w:fldChar w:fldCharType="separate"/>
      </w:r>
      <w:r w:rsidR="006B4A74" w:rsidRPr="00866A7A">
        <w:t xml:space="preserve">Figure </w:t>
      </w:r>
      <w:r w:rsidR="006B4A74">
        <w:rPr>
          <w:noProof/>
        </w:rPr>
        <w:t>3</w:t>
      </w:r>
      <w:r w:rsidR="006B4A74">
        <w:noBreakHyphen/>
      </w:r>
      <w:r w:rsidR="006B4A74">
        <w:rPr>
          <w:noProof/>
        </w:rPr>
        <w:t>7</w:t>
      </w:r>
      <w:r w:rsidRPr="002A6C79">
        <w:rPr>
          <w:rStyle w:val="AERbody"/>
        </w:rPr>
        <w:fldChar w:fldCharType="end"/>
      </w:r>
      <w:r w:rsidRPr="002A6C79">
        <w:rPr>
          <w:rStyle w:val="AERbody"/>
        </w:rPr>
        <w:t xml:space="preserve"> </w:t>
      </w:r>
      <w:r w:rsidRPr="002A6C79">
        <w:t>shows implied volatility is around its long run average.</w:t>
      </w:r>
      <w:r w:rsidRPr="002A6C79">
        <w:rPr>
          <w:rStyle w:val="AERbody"/>
        </w:rPr>
        <w:t xml:space="preserve"> </w:t>
      </w:r>
    </w:p>
    <w:p w:rsidR="006A3314" w:rsidRDefault="006A3314" w:rsidP="006A3314">
      <w:pPr>
        <w:rPr>
          <w:rStyle w:val="AERbody"/>
        </w:rPr>
      </w:pPr>
    </w:p>
    <w:p w:rsidR="006A3314" w:rsidRPr="00866A7A" w:rsidRDefault="006A3314" w:rsidP="006A3314">
      <w:pPr>
        <w:pStyle w:val="Caption"/>
      </w:pPr>
      <w:bookmarkStart w:id="322" w:name="_Ref456703448"/>
      <w:r w:rsidRPr="00866A7A">
        <w:t xml:space="preserve">Figure </w:t>
      </w:r>
      <w:fldSimple w:instr=" STYLEREF 1 \s ">
        <w:r w:rsidR="006B4A74">
          <w:rPr>
            <w:noProof/>
          </w:rPr>
          <w:t>3</w:t>
        </w:r>
      </w:fldSimple>
      <w:r w:rsidR="008A2B2B">
        <w:noBreakHyphen/>
      </w:r>
      <w:fldSimple w:instr=" SEQ Figure \* ARABIC \s 1 ">
        <w:r w:rsidR="006B4A74">
          <w:rPr>
            <w:noProof/>
          </w:rPr>
          <w:t>7</w:t>
        </w:r>
      </w:fldSimple>
      <w:bookmarkEnd w:id="321"/>
      <w:bookmarkEnd w:id="322"/>
      <w:r w:rsidRPr="00866A7A">
        <w:tab/>
        <w:t>Implied volatility (VIX) over time</w:t>
      </w:r>
    </w:p>
    <w:p w:rsidR="006A3314" w:rsidRPr="00866A7A" w:rsidRDefault="006A3314" w:rsidP="00CC7A1C">
      <w:pPr>
        <w:numPr>
          <w:ilvl w:val="0"/>
          <w:numId w:val="24"/>
        </w:numPr>
      </w:pPr>
      <w:r w:rsidRPr="00CD667A">
        <w:t xml:space="preserve"> </w:t>
      </w:r>
      <w:r w:rsidR="00BE50B0" w:rsidRPr="00BE50B0">
        <w:rPr>
          <w:noProof/>
          <w:lang w:eastAsia="en-AU"/>
        </w:rPr>
        <w:drawing>
          <wp:inline distT="0" distB="0" distL="0" distR="0" wp14:anchorId="7117B332" wp14:editId="35428704">
            <wp:extent cx="5382895" cy="29908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2990850"/>
                    </a:xfrm>
                    <a:prstGeom prst="rect">
                      <a:avLst/>
                    </a:prstGeom>
                  </pic:spPr>
                </pic:pic>
              </a:graphicData>
            </a:graphic>
          </wp:inline>
        </w:drawing>
      </w:r>
    </w:p>
    <w:p w:rsidR="006A3314" w:rsidRDefault="006A3314" w:rsidP="006A3314">
      <w:pPr>
        <w:pStyle w:val="AERtablesource"/>
      </w:pPr>
      <w:r w:rsidRPr="00866A7A">
        <w:t xml:space="preserve">Source: </w:t>
      </w:r>
      <w:r w:rsidRPr="00866A7A">
        <w:tab/>
      </w:r>
      <w:r w:rsidR="00B82EC0">
        <w:t xml:space="preserve">AER analysis; </w:t>
      </w:r>
      <w:r w:rsidRPr="00866A7A">
        <w:t>ASX200 VIX volatility index, sourced via Bloomberg co</w:t>
      </w:r>
      <w:r>
        <w:t>de</w:t>
      </w:r>
      <w:r w:rsidRPr="00866A7A">
        <w:t xml:space="preserve"> AS51VIX from 2/1/2008 and </w:t>
      </w:r>
      <w:r>
        <w:t xml:space="preserve">code </w:t>
      </w:r>
      <w:r w:rsidRPr="00866A7A">
        <w:t>CITJAVIX prior to 2/1/2008.</w:t>
      </w:r>
      <w:r>
        <w:t xml:space="preserve"> </w:t>
      </w:r>
    </w:p>
    <w:p w:rsidR="006A3314" w:rsidRDefault="006A3314" w:rsidP="006A3314">
      <w:pPr>
        <w:pStyle w:val="Heading8"/>
      </w:pPr>
      <w:bookmarkStart w:id="323" w:name="_Toc443923226"/>
      <w:bookmarkStart w:id="324" w:name="_Toc451938988"/>
      <w:bookmarkStart w:id="325" w:name="_Toc456686736"/>
      <w:bookmarkStart w:id="326" w:name="_Toc481057483"/>
      <w:r>
        <w:t>Dividend yields</w:t>
      </w:r>
      <w:bookmarkEnd w:id="323"/>
      <w:bookmarkEnd w:id="324"/>
      <w:bookmarkEnd w:id="325"/>
      <w:bookmarkEnd w:id="326"/>
    </w:p>
    <w:p w:rsidR="006A3314" w:rsidRDefault="006A3314" w:rsidP="00CC7A1C">
      <w:pPr>
        <w:numPr>
          <w:ilvl w:val="0"/>
          <w:numId w:val="24"/>
        </w:numPr>
      </w:pPr>
      <w:bookmarkStart w:id="327" w:name="_Ref400009547"/>
      <w:bookmarkStart w:id="328" w:name="_Ref417224600"/>
      <w:bookmarkStart w:id="329" w:name="_Ref433023708"/>
      <w:r w:rsidRPr="00866A7A">
        <w:t xml:space="preserve">We use dividend yields as a directional indicator of the </w:t>
      </w:r>
      <w:r>
        <w:t>market risk premium</w:t>
      </w:r>
      <w:r w:rsidRPr="00866A7A">
        <w:t>.</w:t>
      </w:r>
      <w:r w:rsidRPr="00866A7A">
        <w:rPr>
          <w:rStyle w:val="FootnoteReference"/>
        </w:rPr>
        <w:footnoteReference w:id="1059"/>
      </w:r>
      <w:r w:rsidRPr="00866A7A">
        <w:t xml:space="preserve"> We consider this information by comparing current dividend yields with the average dividend yield through time.</w:t>
      </w:r>
      <w:r w:rsidRPr="00866A7A">
        <w:rPr>
          <w:rStyle w:val="FootnoteReference"/>
        </w:rPr>
        <w:footnoteReference w:id="1060"/>
      </w:r>
      <w:r w:rsidRPr="00866A7A">
        <w:t xml:space="preserve"> </w:t>
      </w:r>
      <w:r>
        <w:fldChar w:fldCharType="begin"/>
      </w:r>
      <w:r>
        <w:instrText xml:space="preserve"> REF _Ref456702693 \h </w:instrText>
      </w:r>
      <w:r>
        <w:fldChar w:fldCharType="separate"/>
      </w:r>
      <w:r w:rsidR="006B4A74" w:rsidRPr="00866A7A">
        <w:t xml:space="preserve">Figure </w:t>
      </w:r>
      <w:r w:rsidR="006B4A74">
        <w:rPr>
          <w:noProof/>
        </w:rPr>
        <w:t>3</w:t>
      </w:r>
      <w:r w:rsidR="006B4A74">
        <w:noBreakHyphen/>
      </w:r>
      <w:r w:rsidR="006B4A74">
        <w:rPr>
          <w:noProof/>
        </w:rPr>
        <w:t>8</w:t>
      </w:r>
      <w:r>
        <w:fldChar w:fldCharType="end"/>
      </w:r>
      <w:r>
        <w:t xml:space="preserve"> </w:t>
      </w:r>
      <w:r w:rsidRPr="00866A7A">
        <w:t>shows dividend yields against their historical average</w:t>
      </w:r>
      <w:r>
        <w:t xml:space="preserve"> up to 2</w:t>
      </w:r>
      <w:r w:rsidR="00AF6F4F">
        <w:t>5</w:t>
      </w:r>
      <w:r>
        <w:t xml:space="preserve"> November 2016.</w:t>
      </w:r>
    </w:p>
    <w:p w:rsidR="006A3314" w:rsidRDefault="006A3314" w:rsidP="006A3314">
      <w:r>
        <w:fldChar w:fldCharType="begin"/>
      </w:r>
      <w:r>
        <w:instrText xml:space="preserve"> REF _Ref456702693 \h </w:instrText>
      </w:r>
      <w:r>
        <w:fldChar w:fldCharType="separate"/>
      </w:r>
      <w:r w:rsidR="006B4A74" w:rsidRPr="00866A7A">
        <w:t xml:space="preserve">Figure </w:t>
      </w:r>
      <w:r w:rsidR="006B4A74">
        <w:rPr>
          <w:noProof/>
        </w:rPr>
        <w:t>3</w:t>
      </w:r>
      <w:r w:rsidR="006B4A74">
        <w:noBreakHyphen/>
      </w:r>
      <w:r w:rsidR="006B4A74">
        <w:rPr>
          <w:noProof/>
        </w:rPr>
        <w:t>8</w:t>
      </w:r>
      <w:r>
        <w:fldChar w:fldCharType="end"/>
      </w:r>
      <w:r>
        <w:t xml:space="preserve"> </w:t>
      </w:r>
      <w:r w:rsidRPr="00866A7A">
        <w:t xml:space="preserve">shows dividend yields are </w:t>
      </w:r>
      <w:r>
        <w:t>currently slightly below their long term average. This decrease occurred during 2016 and appears to offset the increase from 2015. It is unclear whether this downward trend will continue however there is no strong evidence to suggest a sustained movement away from the long term average.</w:t>
      </w:r>
    </w:p>
    <w:p w:rsidR="006A3314" w:rsidRPr="00866A7A" w:rsidRDefault="006A3314" w:rsidP="006A3314">
      <w:pPr>
        <w:pStyle w:val="Caption"/>
      </w:pPr>
      <w:bookmarkStart w:id="330" w:name="_Ref456702693"/>
      <w:bookmarkEnd w:id="327"/>
      <w:bookmarkEnd w:id="328"/>
      <w:r w:rsidRPr="00866A7A">
        <w:t xml:space="preserve">Figure </w:t>
      </w:r>
      <w:fldSimple w:instr=" STYLEREF 1 \s ">
        <w:r w:rsidR="006B4A74">
          <w:rPr>
            <w:noProof/>
          </w:rPr>
          <w:t>3</w:t>
        </w:r>
      </w:fldSimple>
      <w:r w:rsidR="008A2B2B">
        <w:noBreakHyphen/>
      </w:r>
      <w:fldSimple w:instr=" SEQ Figure \* ARABIC \s 1 ">
        <w:r w:rsidR="006B4A74">
          <w:rPr>
            <w:noProof/>
          </w:rPr>
          <w:t>8</w:t>
        </w:r>
      </w:fldSimple>
      <w:bookmarkEnd w:id="329"/>
      <w:bookmarkEnd w:id="330"/>
      <w:r w:rsidRPr="00866A7A">
        <w:tab/>
        <w:t>Dividend yields</w:t>
      </w:r>
    </w:p>
    <w:p w:rsidR="006A3314" w:rsidRPr="00866A7A" w:rsidRDefault="00BE50B0" w:rsidP="00CC7A1C">
      <w:pPr>
        <w:numPr>
          <w:ilvl w:val="0"/>
          <w:numId w:val="24"/>
        </w:numPr>
      </w:pPr>
      <w:r w:rsidRPr="00BE50B0">
        <w:rPr>
          <w:noProof/>
          <w:lang w:eastAsia="en-AU"/>
        </w:rPr>
        <w:drawing>
          <wp:inline distT="0" distB="0" distL="0" distR="0" wp14:anchorId="5442760D" wp14:editId="14B7A326">
            <wp:extent cx="5382895" cy="25609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2560955"/>
                    </a:xfrm>
                    <a:prstGeom prst="rect">
                      <a:avLst/>
                    </a:prstGeom>
                  </pic:spPr>
                </pic:pic>
              </a:graphicData>
            </a:graphic>
          </wp:inline>
        </w:drawing>
      </w:r>
    </w:p>
    <w:p w:rsidR="006A3314" w:rsidRDefault="006A3314" w:rsidP="006A3314">
      <w:pPr>
        <w:pStyle w:val="AERtablesource"/>
      </w:pPr>
      <w:r w:rsidRPr="00866A7A">
        <w:t>Source:</w:t>
      </w:r>
      <w:r w:rsidRPr="00866A7A">
        <w:tab/>
        <w:t>Bloomberg</w:t>
      </w:r>
      <w:r>
        <w:t xml:space="preserve"> AS51 Index</w:t>
      </w:r>
      <w:r w:rsidRPr="00866A7A">
        <w:t>, AER analysis.</w:t>
      </w:r>
    </w:p>
    <w:p w:rsidR="006A3314" w:rsidRDefault="006A3314" w:rsidP="006A3314">
      <w:pPr>
        <w:pStyle w:val="Heading8"/>
      </w:pPr>
      <w:bookmarkStart w:id="331" w:name="_Toc443923227"/>
      <w:bookmarkStart w:id="332" w:name="_Ref449052987"/>
      <w:r>
        <w:t xml:space="preserve"> </w:t>
      </w:r>
      <w:bookmarkStart w:id="333" w:name="_Ref451685642"/>
      <w:bookmarkStart w:id="334" w:name="_Toc451938989"/>
      <w:bookmarkStart w:id="335" w:name="_Toc456686737"/>
      <w:bookmarkStart w:id="336" w:name="_Toc481057484"/>
      <w:r>
        <w:t>Yield spreads</w:t>
      </w:r>
      <w:bookmarkEnd w:id="331"/>
      <w:bookmarkEnd w:id="332"/>
      <w:bookmarkEnd w:id="333"/>
      <w:bookmarkEnd w:id="334"/>
      <w:bookmarkEnd w:id="335"/>
      <w:bookmarkEnd w:id="336"/>
    </w:p>
    <w:p w:rsidR="006A3314" w:rsidRPr="00033144" w:rsidRDefault="006A3314" w:rsidP="00CC7A1C">
      <w:pPr>
        <w:numPr>
          <w:ilvl w:val="0"/>
          <w:numId w:val="24"/>
        </w:numPr>
      </w:pPr>
      <w:bookmarkStart w:id="337" w:name="_Ref433023841"/>
      <w:r w:rsidRPr="00033144">
        <w:t>Yield spreads are the difference between the yields on different assets, typically debt instruments. We examine two categories of yield spreads:</w:t>
      </w:r>
    </w:p>
    <w:p w:rsidR="006A3314" w:rsidRPr="00A71C54" w:rsidRDefault="006A3314" w:rsidP="006A3314">
      <w:pPr>
        <w:pStyle w:val="AERbulletlistfirststyle"/>
      </w:pPr>
      <w:r w:rsidRPr="00033144">
        <w:t>Credit spreads, used to inform our market risk premium estimate.</w:t>
      </w:r>
    </w:p>
    <w:p w:rsidR="006A3314" w:rsidRPr="00A71C54" w:rsidRDefault="006A3314" w:rsidP="006A3314">
      <w:pPr>
        <w:pStyle w:val="AERbulletlistfirststyle"/>
      </w:pPr>
      <w:r w:rsidRPr="00033144">
        <w:t>The spread between our equity risk premium and debt risk premium, used to inform our overall return on equity estimate.</w:t>
      </w:r>
    </w:p>
    <w:p w:rsidR="006A3314" w:rsidRPr="00033144" w:rsidRDefault="006A3314" w:rsidP="00CC7A1C">
      <w:pPr>
        <w:numPr>
          <w:ilvl w:val="0"/>
          <w:numId w:val="24"/>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1061"/>
      </w:r>
      <w:r w:rsidRPr="00033144">
        <w:t xml:space="preserve"> We consider this information can be used to indicate changes in market conditions. That is, to indicate whether spreads are widening, stabilising or narrowing.</w:t>
      </w:r>
    </w:p>
    <w:p w:rsidR="006A3314" w:rsidRPr="00033144" w:rsidRDefault="006A3314" w:rsidP="00CC7A1C">
      <w:pPr>
        <w:numPr>
          <w:ilvl w:val="0"/>
          <w:numId w:val="24"/>
        </w:numPr>
      </w:pPr>
      <w:r w:rsidRPr="00033144">
        <w:fldChar w:fldCharType="begin"/>
      </w:r>
      <w:r w:rsidRPr="00033144">
        <w:instrText xml:space="preserve"> REF _Ref433023804 \h </w:instrText>
      </w:r>
      <w:r w:rsidRPr="00033144">
        <w:fldChar w:fldCharType="separate"/>
      </w:r>
      <w:r w:rsidR="006B4A74" w:rsidRPr="00033144">
        <w:t xml:space="preserve">Figure </w:t>
      </w:r>
      <w:r w:rsidR="006B4A74">
        <w:rPr>
          <w:noProof/>
        </w:rPr>
        <w:t>3</w:t>
      </w:r>
      <w:r w:rsidR="006B4A74">
        <w:noBreakHyphen/>
      </w:r>
      <w:r w:rsidR="006B4A74">
        <w:rPr>
          <w:noProof/>
        </w:rPr>
        <w:t>9</w:t>
      </w:r>
      <w:r w:rsidRPr="00033144">
        <w:fldChar w:fldCharType="end"/>
      </w:r>
      <w:r w:rsidRPr="00033144">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6A3314" w:rsidRPr="00033144" w:rsidRDefault="006A3314" w:rsidP="00CC7A1C">
      <w:pPr>
        <w:numPr>
          <w:ilvl w:val="0"/>
          <w:numId w:val="24"/>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6A3314" w:rsidRPr="00033144" w:rsidRDefault="006A3314" w:rsidP="006A3314">
      <w:pPr>
        <w:pStyle w:val="Caption"/>
        <w:rPr>
          <w:rStyle w:val="Strong"/>
        </w:rPr>
      </w:pPr>
      <w:bookmarkStart w:id="338" w:name="_Ref433023804"/>
      <w:r w:rsidRPr="00033144">
        <w:t xml:space="preserve">Figure </w:t>
      </w:r>
      <w:fldSimple w:instr=" STYLEREF 1 \s ">
        <w:r w:rsidR="006B4A74">
          <w:rPr>
            <w:noProof/>
          </w:rPr>
          <w:t>3</w:t>
        </w:r>
      </w:fldSimple>
      <w:r w:rsidR="008A2B2B">
        <w:noBreakHyphen/>
      </w:r>
      <w:fldSimple w:instr=" SEQ Figure \* ARABIC \s 1 ">
        <w:r w:rsidR="006B4A74">
          <w:rPr>
            <w:noProof/>
          </w:rPr>
          <w:t>9</w:t>
        </w:r>
      </w:fldSimple>
      <w:bookmarkEnd w:id="338"/>
      <w:r w:rsidRPr="00033144">
        <w:tab/>
        <w:t>Australian bond spreads over government yields</w:t>
      </w:r>
    </w:p>
    <w:p w:rsidR="006A3314" w:rsidRPr="00033144" w:rsidRDefault="006A3314" w:rsidP="00CC7A1C">
      <w:pPr>
        <w:numPr>
          <w:ilvl w:val="0"/>
          <w:numId w:val="24"/>
        </w:numPr>
      </w:pPr>
      <w:r w:rsidRPr="006A3314">
        <w:rPr>
          <w:noProof/>
          <w:lang w:eastAsia="en-AU"/>
        </w:rPr>
        <w:drawing>
          <wp:inline distT="0" distB="0" distL="0" distR="0" wp14:anchorId="63FA94C9" wp14:editId="1F2AD4C3">
            <wp:extent cx="3810000" cy="3467100"/>
            <wp:effectExtent l="0" t="0" r="0" b="0"/>
            <wp:docPr id="11" name="Picture 11" descr="Australian Corporate Bond Spreads graph">
              <a:hlinkClick xmlns:a="http://schemas.openxmlformats.org/drawingml/2006/main" r:id="rId25" tooltip="&quot;Australian Corporate Bond Spreads graph&quot;"/>
            </wp:docPr>
            <wp:cNvGraphicFramePr/>
            <a:graphic xmlns:a="http://schemas.openxmlformats.org/drawingml/2006/main">
              <a:graphicData uri="http://schemas.openxmlformats.org/drawingml/2006/picture">
                <pic:pic xmlns:pic="http://schemas.openxmlformats.org/drawingml/2006/picture">
                  <pic:nvPicPr>
                    <pic:cNvPr id="11" name="Picture 11" descr="Australian Corporate Bond Spreads graph">
                      <a:hlinkClick r:id="rId25" tooltip="&quot;Australian Corporate Bond Spreads graph&quo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467100"/>
                    </a:xfrm>
                    <a:prstGeom prst="rect">
                      <a:avLst/>
                    </a:prstGeom>
                    <a:noFill/>
                    <a:ln>
                      <a:noFill/>
                    </a:ln>
                  </pic:spPr>
                </pic:pic>
              </a:graphicData>
            </a:graphic>
          </wp:inline>
        </w:drawing>
      </w:r>
    </w:p>
    <w:p w:rsidR="006A3314" w:rsidRPr="00033144" w:rsidRDefault="006A3314" w:rsidP="006A3314">
      <w:pPr>
        <w:pStyle w:val="AERtablesource"/>
        <w:rPr>
          <w:rStyle w:val="AERtexthighlight"/>
        </w:rPr>
      </w:pPr>
      <w:r w:rsidRPr="00033144">
        <w:t xml:space="preserve">Source: </w:t>
      </w:r>
      <w:r w:rsidRPr="00033144">
        <w:tab/>
      </w:r>
      <w:r>
        <w:t>RBA, Chart Pack, November 2016</w:t>
      </w:r>
      <w:r w:rsidRPr="00033144">
        <w:t xml:space="preserve">. </w:t>
      </w:r>
    </w:p>
    <w:p w:rsidR="006A3314" w:rsidRPr="00033144" w:rsidRDefault="006A3314" w:rsidP="006A3314">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6A3314" w:rsidRPr="00033144" w:rsidRDefault="006A3314" w:rsidP="006A3314">
      <w:r>
        <w:fldChar w:fldCharType="begin"/>
      </w:r>
      <w:r>
        <w:instrText xml:space="preserve"> REF _Ref456702743 \h </w:instrText>
      </w:r>
      <w:r>
        <w:fldChar w:fldCharType="separate"/>
      </w:r>
      <w:r w:rsidR="006B4A74" w:rsidRPr="00FA1E95">
        <w:t xml:space="preserve">Figure </w:t>
      </w:r>
      <w:r w:rsidR="006B4A74">
        <w:rPr>
          <w:noProof/>
        </w:rPr>
        <w:t>3</w:t>
      </w:r>
      <w:r w:rsidR="006B4A74">
        <w:noBreakHyphen/>
      </w:r>
      <w:r w:rsidR="006B4A74">
        <w:rPr>
          <w:noProof/>
        </w:rPr>
        <w:t>10</w:t>
      </w:r>
      <w:r>
        <w:fldChar w:fldCharType="end"/>
      </w:r>
      <w:r>
        <w:t xml:space="preserve"> </w:t>
      </w:r>
      <w:r w:rsidRPr="00033144">
        <w:t xml:space="preserve">shows the spread between state government debt and Australian government debt up to </w:t>
      </w:r>
      <w:r>
        <w:t>December 2016</w:t>
      </w:r>
      <w:r w:rsidRPr="00033144">
        <w:t xml:space="preserve">. This uses maturities of three years as more data are available. </w:t>
      </w:r>
      <w:r>
        <w:fldChar w:fldCharType="begin"/>
      </w:r>
      <w:r>
        <w:instrText xml:space="preserve"> REF _Ref456702743 \h </w:instrText>
      </w:r>
      <w:r>
        <w:fldChar w:fldCharType="separate"/>
      </w:r>
      <w:r w:rsidR="006B4A74" w:rsidRPr="00FA1E95">
        <w:t xml:space="preserve">Figure </w:t>
      </w:r>
      <w:r w:rsidR="006B4A74">
        <w:rPr>
          <w:noProof/>
        </w:rPr>
        <w:t>3</w:t>
      </w:r>
      <w:r w:rsidR="006B4A74">
        <w:noBreakHyphen/>
      </w:r>
      <w:r w:rsidR="006B4A74">
        <w:rPr>
          <w:noProof/>
        </w:rPr>
        <w:t>10</w:t>
      </w:r>
      <w:r>
        <w:fldChar w:fldCharType="end"/>
      </w:r>
      <w:r>
        <w:t xml:space="preserve"> </w:t>
      </w:r>
      <w:r w:rsidRPr="00033144">
        <w:t xml:space="preserve">shows that credit spreads were falling since late 2012, and are now around their pre-2007 levels with no discernible trend. </w:t>
      </w:r>
    </w:p>
    <w:p w:rsidR="006A3314" w:rsidRPr="00FA1E95" w:rsidRDefault="006A3314" w:rsidP="006A3314">
      <w:pPr>
        <w:pStyle w:val="Caption"/>
      </w:pPr>
      <w:bookmarkStart w:id="339" w:name="_Ref456702743"/>
      <w:r w:rsidRPr="00FA1E95">
        <w:t xml:space="preserve">Figure </w:t>
      </w:r>
      <w:fldSimple w:instr=" STYLEREF 1 \s ">
        <w:r w:rsidR="006B4A74">
          <w:rPr>
            <w:noProof/>
          </w:rPr>
          <w:t>3</w:t>
        </w:r>
      </w:fldSimple>
      <w:r w:rsidR="008A2B2B">
        <w:noBreakHyphen/>
      </w:r>
      <w:fldSimple w:instr=" SEQ Figure \* ARABIC \s 1 ">
        <w:r w:rsidR="006B4A74">
          <w:rPr>
            <w:noProof/>
          </w:rPr>
          <w:t>10</w:t>
        </w:r>
      </w:fldSimple>
      <w:bookmarkEnd w:id="337"/>
      <w:bookmarkEnd w:id="339"/>
      <w:r w:rsidRPr="00FA1E95">
        <w:tab/>
        <w:t>State government bond spreads over government yields</w:t>
      </w:r>
    </w:p>
    <w:p w:rsidR="006A3314" w:rsidRPr="00FA1E95" w:rsidRDefault="00BE50B0" w:rsidP="00CC7A1C">
      <w:pPr>
        <w:numPr>
          <w:ilvl w:val="0"/>
          <w:numId w:val="24"/>
        </w:numPr>
      </w:pPr>
      <w:r w:rsidRPr="00BE50B0">
        <w:rPr>
          <w:noProof/>
          <w:lang w:eastAsia="en-AU"/>
        </w:rPr>
        <w:drawing>
          <wp:inline distT="0" distB="0" distL="0" distR="0" wp14:anchorId="49310C57" wp14:editId="79B334BA">
            <wp:extent cx="5382895" cy="330327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3303270"/>
                    </a:xfrm>
                    <a:prstGeom prst="rect">
                      <a:avLst/>
                    </a:prstGeom>
                  </pic:spPr>
                </pic:pic>
              </a:graphicData>
            </a:graphic>
          </wp:inline>
        </w:drawing>
      </w:r>
    </w:p>
    <w:p w:rsidR="006A3314" w:rsidRPr="00FA1E95" w:rsidRDefault="006A3314" w:rsidP="006A3314">
      <w:pPr>
        <w:pStyle w:val="AERtablesource"/>
      </w:pPr>
      <w:r w:rsidRPr="00FA1E95">
        <w:t xml:space="preserve">Source: </w:t>
      </w:r>
      <w:r w:rsidRPr="00FA1E95">
        <w:tab/>
        <w:t xml:space="preserve">AER analysis, RBA F.2 interest rate statistics. </w:t>
      </w:r>
    </w:p>
    <w:p w:rsidR="006A3314" w:rsidRPr="00033144" w:rsidRDefault="006A3314" w:rsidP="006A3314">
      <w:pPr>
        <w:rPr>
          <w:rStyle w:val="AERbody"/>
        </w:rPr>
      </w:pPr>
      <w:bookmarkStart w:id="340" w:name="_Ref417589908"/>
      <w:r w:rsidRPr="00033144">
        <w:rPr>
          <w:rStyle w:val="AERbody"/>
        </w:rPr>
        <w:t>On the comparison between the return on equity and return on debt, we consider that prevailing debt market conditions provide support for the view that:</w:t>
      </w:r>
    </w:p>
    <w:p w:rsidR="006A3314" w:rsidRPr="00A71C54" w:rsidRDefault="006A3314" w:rsidP="006A3314">
      <w:pPr>
        <w:pStyle w:val="AERbulletlistfirststyle"/>
      </w:pPr>
      <w:r w:rsidRPr="00033144">
        <w:t>our estimated return on equity is not below efficient financing costs</w:t>
      </w:r>
      <w:r w:rsidRPr="00A71C54">
        <w:rPr>
          <w:rStyle w:val="FootnoteReference"/>
        </w:rPr>
        <w:footnoteReference w:id="1062"/>
      </w:r>
    </w:p>
    <w:p w:rsidR="006A3314" w:rsidRPr="00A71C54" w:rsidRDefault="006A3314" w:rsidP="006A3314">
      <w:pPr>
        <w:pStyle w:val="AERbulletlistfirststyle"/>
      </w:pPr>
      <w:r>
        <w:t>AusNet Services'</w:t>
      </w:r>
      <w:r w:rsidRPr="00A71C54">
        <w:t xml:space="preserve"> proposed return on equity is likely to exceed efficient financing costs.</w:t>
      </w:r>
    </w:p>
    <w:p w:rsidR="006A3314" w:rsidRPr="00033144" w:rsidRDefault="006A3314" w:rsidP="00CC7A1C">
      <w:pPr>
        <w:numPr>
          <w:ilvl w:val="0"/>
          <w:numId w:val="24"/>
        </w:numPr>
      </w:pPr>
      <w:r w:rsidRPr="00033144">
        <w:t xml:space="preserve">The current debt market is indicating a premium over the risk free rate of about </w:t>
      </w:r>
      <w:r>
        <w:t>2.92</w:t>
      </w:r>
      <w:r w:rsidRPr="00033144">
        <w:t xml:space="preserve"> per cent.</w:t>
      </w:r>
      <w:r w:rsidRPr="00033144">
        <w:rPr>
          <w:rStyle w:val="FootnoteReference"/>
        </w:rPr>
        <w:footnoteReference w:id="1063"/>
      </w:r>
      <w:r w:rsidRPr="00033144">
        <w:t xml:space="preserve"> This compares to our foundation model equity premium over the risk free rate of 4.55 per cent (given a market risk premium of 6.5 per cent and a beta of 0.7). </w:t>
      </w:r>
      <w:r>
        <w:fldChar w:fldCharType="begin"/>
      </w:r>
      <w:r>
        <w:instrText xml:space="preserve"> REF _Ref456700933 \h </w:instrText>
      </w:r>
      <w:r>
        <w:fldChar w:fldCharType="separate"/>
      </w:r>
      <w:r w:rsidR="006B4A74">
        <w:t xml:space="preserve">Figure </w:t>
      </w:r>
      <w:r w:rsidR="006B4A74">
        <w:rPr>
          <w:noProof/>
        </w:rPr>
        <w:t>3</w:t>
      </w:r>
      <w:r w:rsidR="006B4A74">
        <w:noBreakHyphen/>
      </w:r>
      <w:r w:rsidR="006B4A74">
        <w:rPr>
          <w:noProof/>
        </w:rPr>
        <w:t>11</w:t>
      </w:r>
      <w:r>
        <w:fldChar w:fldCharType="end"/>
      </w:r>
      <w:r>
        <w:t xml:space="preserve"> </w:t>
      </w:r>
      <w:r w:rsidRPr="00033144">
        <w:t xml:space="preserve">shows the current and historical debt risk premium and our foundation model equity risk premium. </w:t>
      </w:r>
      <w:r>
        <w:t xml:space="preserve">AusNet Services </w:t>
      </w:r>
      <w:r w:rsidRPr="00033144">
        <w:t xml:space="preserve">proposed an equity risk premium of </w:t>
      </w:r>
      <w:r>
        <w:t>7.01</w:t>
      </w:r>
      <w:r w:rsidRPr="00033144">
        <w:t xml:space="preserve"> per cent.</w:t>
      </w:r>
      <w:r w:rsidRPr="00033144">
        <w:rPr>
          <w:rStyle w:val="FootnoteReference"/>
        </w:rPr>
        <w:footnoteReference w:id="1064"/>
      </w:r>
    </w:p>
    <w:p w:rsidR="006A3314" w:rsidRDefault="006A3314" w:rsidP="006A3314">
      <w:pPr>
        <w:pStyle w:val="Caption"/>
      </w:pPr>
      <w:bookmarkStart w:id="341" w:name="_Ref456700933"/>
      <w:bookmarkEnd w:id="340"/>
      <w:r>
        <w:t xml:space="preserve">Figure </w:t>
      </w:r>
      <w:fldSimple w:instr=" STYLEREF 1 \s ">
        <w:r w:rsidR="006B4A74">
          <w:rPr>
            <w:noProof/>
          </w:rPr>
          <w:t>3</w:t>
        </w:r>
      </w:fldSimple>
      <w:r w:rsidR="008A2B2B">
        <w:noBreakHyphen/>
      </w:r>
      <w:fldSimple w:instr=" SEQ Figure \* ARABIC \s 1 ">
        <w:r w:rsidR="006B4A74">
          <w:rPr>
            <w:noProof/>
          </w:rPr>
          <w:t>11</w:t>
        </w:r>
      </w:fldSimple>
      <w:bookmarkEnd w:id="341"/>
      <w:r>
        <w:t xml:space="preserve"> </w:t>
      </w:r>
      <w:r w:rsidRPr="00E4520A">
        <w:t>Comparison of equity risk premium and indicative debt risk premiums</w:t>
      </w:r>
    </w:p>
    <w:p w:rsidR="006A3314" w:rsidRPr="003C3515" w:rsidRDefault="00BE50B0" w:rsidP="006A3314">
      <w:r w:rsidRPr="00BE50B0">
        <w:rPr>
          <w:noProof/>
          <w:lang w:eastAsia="en-AU"/>
        </w:rPr>
        <w:drawing>
          <wp:inline distT="0" distB="0" distL="0" distR="0" wp14:anchorId="6AFABC94" wp14:editId="30216118">
            <wp:extent cx="5382895" cy="2740660"/>
            <wp:effectExtent l="0" t="0" r="825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2740660"/>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RBA interest rates statistics, Bloomberg data.</w:t>
      </w:r>
    </w:p>
    <w:p w:rsidR="006A3314" w:rsidRPr="00033144" w:rsidRDefault="006A3314" w:rsidP="00CC7A1C">
      <w:pPr>
        <w:numPr>
          <w:ilvl w:val="0"/>
          <w:numId w:val="24"/>
        </w:numPr>
      </w:pPr>
      <w:r w:rsidRPr="00033144">
        <w:t xml:space="preserve">We do not consider that the current </w:t>
      </w:r>
      <w:r>
        <w:t>219</w:t>
      </w:r>
      <w:r w:rsidRPr="00033144">
        <w:t xml:space="preserve"> basis points difference between the equity risk premium allowed in this decision and debt risk premiums</w:t>
      </w:r>
      <w:r w:rsidRPr="00033144">
        <w:rPr>
          <w:rStyle w:val="FootnoteReference"/>
        </w:rPr>
        <w:footnoteReference w:id="1065"/>
      </w:r>
      <w:r w:rsidRPr="00033144">
        <w:t xml:space="preserve"> to be too low, on the basis of:</w:t>
      </w:r>
    </w:p>
    <w:p w:rsidR="006A3314" w:rsidRPr="00A71C54" w:rsidRDefault="006A3314" w:rsidP="006A3314">
      <w:pPr>
        <w:pStyle w:val="AERbulletlistfirststyle"/>
      </w:pPr>
      <w:r w:rsidRPr="00033144">
        <w:t>the low risk nature of a benchmark efficient entity as outlined above</w:t>
      </w:r>
    </w:p>
    <w:p w:rsidR="006A3314" w:rsidRPr="00A71C54" w:rsidRDefault="006A3314" w:rsidP="006A3314">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1066"/>
      </w:r>
    </w:p>
    <w:p w:rsidR="006A3314" w:rsidRPr="00033144" w:rsidRDefault="006A3314" w:rsidP="006A3314">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1067"/>
      </w:r>
    </w:p>
    <w:p w:rsidR="006A3314" w:rsidRPr="00033144" w:rsidRDefault="006A3314" w:rsidP="006A3314">
      <w:pPr>
        <w:pStyle w:val="AERquote"/>
      </w:pPr>
      <w:r w:rsidRPr="00033144">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6A3314" w:rsidRPr="00033144" w:rsidRDefault="006A3314" w:rsidP="006A3314">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1068"/>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1069"/>
      </w:r>
    </w:p>
    <w:p w:rsidR="006A3314" w:rsidRPr="00033144" w:rsidRDefault="006A3314" w:rsidP="006A3314">
      <w:r w:rsidRPr="00033144">
        <w:t xml:space="preserve">We note that the overall directional evidence shows that debt risk </w:t>
      </w:r>
      <w:r>
        <w:t>decreased during the middle of 2016 but then increased towards the end of the year</w:t>
      </w:r>
      <w:r w:rsidRPr="00033144">
        <w:t xml:space="preserve">, </w:t>
      </w:r>
      <w:r>
        <w:t>keeping them</w:t>
      </w:r>
      <w:r w:rsidRPr="00033144">
        <w:t xml:space="preserve"> below the levels in December 2013 (when our Rate of Return Guideline was published), as shown in</w:t>
      </w:r>
      <w:r>
        <w:t xml:space="preserve"> </w:t>
      </w:r>
      <w:r>
        <w:fldChar w:fldCharType="begin"/>
      </w:r>
      <w:r>
        <w:instrText xml:space="preserve"> REF _Ref456700933 \h </w:instrText>
      </w:r>
      <w:r>
        <w:fldChar w:fldCharType="separate"/>
      </w:r>
      <w:r w:rsidR="006B4A74">
        <w:t xml:space="preserve">Figure </w:t>
      </w:r>
      <w:r w:rsidR="006B4A74">
        <w:rPr>
          <w:noProof/>
        </w:rPr>
        <w:t>3</w:t>
      </w:r>
      <w:r w:rsidR="006B4A74">
        <w:noBreakHyphen/>
      </w:r>
      <w:r w:rsidR="006B4A74">
        <w:rPr>
          <w:noProof/>
        </w:rPr>
        <w:t>11</w:t>
      </w:r>
      <w:r>
        <w:fldChar w:fldCharType="end"/>
      </w:r>
      <w:r>
        <w:t xml:space="preserve">. </w:t>
      </w:r>
    </w:p>
    <w:p w:rsidR="006A3314" w:rsidRPr="00033144" w:rsidRDefault="006A3314" w:rsidP="006A3314">
      <w:r w:rsidRPr="00033144">
        <w:t xml:space="preserve">We have also examined estimates from broker reports of the spread between debt and equity risk premiums for comparable businesses (see </w:t>
      </w:r>
      <w:r w:rsidRPr="00033144">
        <w:fldChar w:fldCharType="begin"/>
      </w:r>
      <w:r w:rsidRPr="00033144">
        <w:instrText xml:space="preserve"> REF _Ref444730279 \h </w:instrText>
      </w:r>
      <w:r w:rsidRPr="00033144">
        <w:fldChar w:fldCharType="separate"/>
      </w:r>
      <w:r w:rsidR="006B4A74" w:rsidRPr="00033144">
        <w:t xml:space="preserve">Figure </w:t>
      </w:r>
      <w:r w:rsidR="006B4A74">
        <w:rPr>
          <w:noProof/>
        </w:rPr>
        <w:t>3</w:t>
      </w:r>
      <w:r w:rsidR="006B4A74">
        <w:noBreakHyphen/>
      </w:r>
      <w:r w:rsidR="006B4A74">
        <w:rPr>
          <w:noProof/>
        </w:rPr>
        <w:t>12</w:t>
      </w:r>
      <w:r w:rsidRPr="00033144">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6A3314" w:rsidRDefault="006A3314" w:rsidP="006A3314">
      <w:pPr>
        <w:pStyle w:val="Caption"/>
      </w:pPr>
      <w:bookmarkStart w:id="342" w:name="_Ref444730279"/>
      <w:r w:rsidRPr="00033144">
        <w:t xml:space="preserve">Figure </w:t>
      </w:r>
      <w:fldSimple w:instr=" STYLEREF 1 \s ">
        <w:r w:rsidR="006B4A74">
          <w:rPr>
            <w:noProof/>
          </w:rPr>
          <w:t>3</w:t>
        </w:r>
      </w:fldSimple>
      <w:r w:rsidR="008A2B2B">
        <w:noBreakHyphen/>
      </w:r>
      <w:fldSimple w:instr=" SEQ Figure \* ARABIC \s 1 ">
        <w:r w:rsidR="006B4A74">
          <w:rPr>
            <w:noProof/>
          </w:rPr>
          <w:t>12</w:t>
        </w:r>
      </w:fldSimple>
      <w:bookmarkEnd w:id="342"/>
      <w:r w:rsidRPr="00033144">
        <w:tab/>
        <w:t>Difference between equity and debt premiums in broker reports</w:t>
      </w:r>
    </w:p>
    <w:p w:rsidR="006A3314" w:rsidRPr="00033144" w:rsidRDefault="006605BD" w:rsidP="006A3314">
      <w:r w:rsidRPr="006605BD">
        <w:rPr>
          <w:noProof/>
          <w:lang w:eastAsia="en-AU"/>
        </w:rPr>
        <w:drawing>
          <wp:inline distT="0" distB="0" distL="0" distR="0" wp14:anchorId="0B969BC8" wp14:editId="2BE2F4C4">
            <wp:extent cx="5382895" cy="3531662"/>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2895" cy="3531662"/>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of various relevant broker reports, RBA and Bloomberg data.</w:t>
      </w:r>
    </w:p>
    <w:p w:rsidR="006A3314" w:rsidRPr="00033144" w:rsidRDefault="006A3314" w:rsidP="006A331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6A3314" w:rsidRPr="00033144" w:rsidRDefault="006A3314" w:rsidP="006A331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6A3314" w:rsidRPr="00F409A8" w:rsidRDefault="006A3314" w:rsidP="006A3314">
      <w:pPr>
        <w:pStyle w:val="Caption"/>
      </w:pPr>
    </w:p>
    <w:p w:rsidR="006A3314" w:rsidRDefault="006A3314" w:rsidP="006A3314"/>
    <w:p w:rsidR="006A3314" w:rsidRDefault="006A3314" w:rsidP="006A3314"/>
    <w:p w:rsidR="006A3314" w:rsidRDefault="006A3314" w:rsidP="006A3314">
      <w:pPr>
        <w:pStyle w:val="Heading7"/>
      </w:pPr>
      <w:bookmarkStart w:id="343" w:name="_Toc452629088"/>
      <w:bookmarkStart w:id="344" w:name="_Toc456686738"/>
      <w:bookmarkStart w:id="345" w:name="_Toc481057485"/>
      <w:r>
        <w:t>Other practitioner's return on equity estimates</w:t>
      </w:r>
      <w:bookmarkEnd w:id="343"/>
      <w:bookmarkEnd w:id="344"/>
      <w:bookmarkEnd w:id="345"/>
    </w:p>
    <w:p w:rsidR="006A3314" w:rsidRPr="008F4F73" w:rsidRDefault="006A3314" w:rsidP="00CC7A1C">
      <w:pPr>
        <w:numPr>
          <w:ilvl w:val="0"/>
          <w:numId w:val="24"/>
        </w:numPr>
      </w:pPr>
      <w:r w:rsidRPr="008F4F73">
        <w:t xml:space="preserve">Other market practitioners may, in the course of their operations, produce return on equity estimates for entities with a similar degree of risk as </w:t>
      </w:r>
      <w:r>
        <w:t>AusNet Services/</w:t>
      </w:r>
      <w:r w:rsidRPr="008F4F73">
        <w:t xml:space="preserve">. Other practitioners may also produce estimates of input parameters required in the Sharpe-Lintner CAPM (our foundation model). These estimates may be relevant material that can inform our return on equity estimation. </w:t>
      </w:r>
    </w:p>
    <w:p w:rsidR="006A3314" w:rsidRPr="008F4F73" w:rsidRDefault="006A3314" w:rsidP="00CC7A1C">
      <w:pPr>
        <w:numPr>
          <w:ilvl w:val="0"/>
          <w:numId w:val="24"/>
        </w:numPr>
      </w:pPr>
      <w:r w:rsidRPr="008F4F73">
        <w:t>Relevant estimates of other market practitioners are typically sourced from surveys, broker reports, valuation reports, and other regulators' decisions. Such estimates are discussed further in the subsections below.</w:t>
      </w:r>
    </w:p>
    <w:p w:rsidR="006A3314" w:rsidRPr="008F4F73" w:rsidRDefault="006A3314" w:rsidP="006A3314">
      <w:r w:rsidRPr="008F4F73">
        <w:t xml:space="preserve">We have focused on return on equity estimates for companies with a similar degree of non-diversifiable risks as </w:t>
      </w:r>
      <w:r w:rsidRPr="00B01FE9">
        <w:t xml:space="preserve">AusNet Services/ </w:t>
      </w:r>
      <w:r w:rsidRPr="008F4F73">
        <w:t>in providing regulated (</w:t>
      </w:r>
      <w:r>
        <w:t>prescribed transmission</w:t>
      </w:r>
      <w:r w:rsidRPr="008F4F73">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Pr="00B01FE9">
        <w:t xml:space="preserve">AusNet Services/ </w:t>
      </w:r>
      <w:r w:rsidRPr="008F4F73">
        <w:t>in relation to the provision of regulated services.</w:t>
      </w:r>
    </w:p>
    <w:p w:rsidR="006A3314" w:rsidRDefault="006A3314" w:rsidP="006A3314">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1070"/>
      </w:r>
    </w:p>
    <w:p w:rsidR="006A3314" w:rsidRDefault="00BB13B7" w:rsidP="006A3314">
      <w:r>
        <w:t>Some s</w:t>
      </w:r>
      <w:r w:rsidR="006A3314">
        <w:t>ervice providers</w:t>
      </w:r>
      <w:r w:rsidR="006A3314" w:rsidRPr="008F4F73">
        <w:t xml:space="preserve"> </w:t>
      </w:r>
      <w:r>
        <w:t xml:space="preserve">have </w:t>
      </w:r>
      <w:r w:rsidR="006A3314" w:rsidRPr="008F4F73">
        <w:t>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006A3314" w:rsidRPr="008F4F73">
        <w:rPr>
          <w:rStyle w:val="FootnoteReference"/>
        </w:rPr>
        <w:footnoteReference w:id="1071"/>
      </w:r>
      <w:r w:rsidR="006A3314" w:rsidRPr="008F4F73">
        <w:t xml:space="preserve"> We note that some estimates from other market practitioners—including from survey respondents, brokers and valuers—may be affected to some extent by 'herding' behaviour.</w:t>
      </w:r>
      <w:r w:rsidR="006A3314" w:rsidRPr="008F4F73">
        <w:rPr>
          <w:rStyle w:val="FootnoteReference"/>
        </w:rPr>
        <w:footnoteReference w:id="1072"/>
      </w:r>
      <w:r w:rsidR="006A3314" w:rsidRPr="008F4F73">
        <w:t xml:space="preserve"> We continue to consider that it is relevant for us to have some regard to these estimates, as long as we remain aware of their limitations.</w:t>
      </w:r>
    </w:p>
    <w:p w:rsidR="006A3314" w:rsidRPr="00286F47" w:rsidRDefault="006A3314" w:rsidP="002656D9">
      <w:pPr>
        <w:pStyle w:val="Heading8"/>
        <w:numPr>
          <w:ilvl w:val="1"/>
          <w:numId w:val="31"/>
        </w:numPr>
        <w:tabs>
          <w:tab w:val="clear" w:pos="1305"/>
          <w:tab w:val="num" w:pos="993"/>
        </w:tabs>
        <w:ind w:hanging="1305"/>
      </w:pPr>
      <w:bookmarkStart w:id="346" w:name="_Toc443923230"/>
      <w:bookmarkStart w:id="347" w:name="_Ref446272549"/>
      <w:bookmarkStart w:id="348" w:name="_Toc451943806"/>
      <w:bookmarkStart w:id="349" w:name="_Toc456686739"/>
      <w:bookmarkStart w:id="350" w:name="_Toc481057486"/>
      <w:r>
        <w:t>Prevailing estimates: surveys</w:t>
      </w:r>
      <w:bookmarkEnd w:id="346"/>
      <w:bookmarkEnd w:id="347"/>
      <w:bookmarkEnd w:id="348"/>
      <w:bookmarkEnd w:id="349"/>
      <w:bookmarkEnd w:id="350"/>
    </w:p>
    <w:p w:rsidR="006A3314" w:rsidRPr="00954DE4" w:rsidRDefault="006A3314" w:rsidP="006A3314">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6A3314" w:rsidRPr="00954DE4" w:rsidRDefault="006A3314" w:rsidP="006A3314">
      <w:r>
        <w:fldChar w:fldCharType="begin"/>
      </w:r>
      <w:r>
        <w:instrText xml:space="preserve"> REF _Ref432620068 \h </w:instrText>
      </w:r>
      <w:r>
        <w:fldChar w:fldCharType="separate"/>
      </w:r>
      <w:r w:rsidR="006B4A74">
        <w:t xml:space="preserve">Table </w:t>
      </w:r>
      <w:r w:rsidR="006B4A74">
        <w:rPr>
          <w:noProof/>
        </w:rPr>
        <w:t>3</w:t>
      </w:r>
      <w:r w:rsidR="006B4A74">
        <w:noBreakHyphen/>
      </w:r>
      <w:r w:rsidR="006B4A74">
        <w:rPr>
          <w:noProof/>
        </w:rPr>
        <w:t>29</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6A3314" w:rsidRPr="006F371E" w:rsidRDefault="006A3314" w:rsidP="006A3314">
      <w:pPr>
        <w:pStyle w:val="Caption"/>
      </w:pPr>
      <w:bookmarkStart w:id="351" w:name="_Ref432620068"/>
      <w:r>
        <w:t xml:space="preserve">Table </w:t>
      </w:r>
      <w:fldSimple w:instr=" STYLEREF 1 \s ">
        <w:r w:rsidR="006B4A74">
          <w:rPr>
            <w:noProof/>
          </w:rPr>
          <w:t>3</w:t>
        </w:r>
      </w:fldSimple>
      <w:r w:rsidR="008F29C8">
        <w:noBreakHyphen/>
      </w:r>
      <w:fldSimple w:instr=" SEQ Table \* ARABIC \s 1 ">
        <w:r w:rsidR="006B4A74">
          <w:rPr>
            <w:noProof/>
          </w:rPr>
          <w:t>29</w:t>
        </w:r>
      </w:fldSimple>
      <w:bookmarkEnd w:id="351"/>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BE50B0" w:rsidRPr="00286F47" w:rsidTr="00737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Survey</w:t>
            </w:r>
          </w:p>
        </w:tc>
        <w:tc>
          <w:tcPr>
            <w:tcW w:w="1890"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Mean</w:t>
            </w:r>
            <w:r w:rsidRPr="00BE50B0">
              <w:t xml:space="preserve"> (%)</w:t>
            </w:r>
          </w:p>
        </w:tc>
        <w:tc>
          <w:tcPr>
            <w:tcW w:w="1355"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Median</w:t>
            </w:r>
            <w:r w:rsidRPr="00BE50B0">
              <w:t xml:space="preserve"> (%)</w:t>
            </w:r>
          </w:p>
        </w:tc>
        <w:tc>
          <w:tcPr>
            <w:tcW w:w="1388"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Mode</w:t>
            </w:r>
            <w:r w:rsidRPr="00BE50B0">
              <w:t xml:space="preserve"> (%)</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Fernandez</w:t>
            </w:r>
            <w:r w:rsidRPr="00BE50B0">
              <w:t xml:space="preserve"> et al (2013)</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KPMG (2013)</w:t>
            </w:r>
            <w:r w:rsidRPr="00BE50B0">
              <w:rPr>
                <w:rStyle w:val="AERsuperscript"/>
              </w:rPr>
              <w:t>a</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Fernandez et</w:t>
            </w:r>
            <w:r w:rsidRPr="00BE50B0">
              <w:t xml:space="preserve"> al (2013)</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 and Hickling (2013)</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 xml:space="preserve">Fernandez </w:t>
            </w:r>
            <w:r w:rsidRPr="00BE50B0">
              <w:t>et al (2014)</w:t>
            </w:r>
            <w:r w:rsidRPr="00BE50B0">
              <w:rPr>
                <w:rStyle w:val="AERsuperscript"/>
              </w:rPr>
              <w:t xml:space="preserve"> b</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w:t>
            </w:r>
            <w:r w:rsidRPr="00BE50B0">
              <w:t xml:space="preserve"> and Hickling (2014)</w:t>
            </w:r>
            <w:r w:rsidRPr="00BE50B0">
              <w:rPr>
                <w:rStyle w:val="AERsuperscript"/>
              </w:rPr>
              <w:t xml:space="preserve"> c</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 xml:space="preserve">Fernandez et al </w:t>
            </w:r>
            <w:r w:rsidRPr="00BE50B0">
              <w:t>(2015)</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KPMG (2015)</w:t>
            </w:r>
            <w:r w:rsidRPr="00BE50B0">
              <w:rPr>
                <w:rStyle w:val="AERsuperscript"/>
              </w:rPr>
              <w:t xml:space="preserve"> d</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 and Carruther (2015)</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29</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4.9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Fernandez et al (2016)</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87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N/A</w:t>
            </w:r>
          </w:p>
        </w:tc>
      </w:tr>
    </w:tbl>
    <w:p w:rsidR="006A3314" w:rsidRDefault="006A3314" w:rsidP="006A3314">
      <w:pPr>
        <w:pStyle w:val="AERtablesource"/>
      </w:pPr>
      <w:r>
        <w:t>Sources:  Several survey reports.</w:t>
      </w:r>
      <w:r>
        <w:rPr>
          <w:rStyle w:val="FootnoteReference"/>
        </w:rPr>
        <w:footnoteReference w:id="1073"/>
      </w:r>
    </w:p>
    <w:p w:rsidR="006A3314" w:rsidRDefault="006A3314" w:rsidP="006A3314">
      <w:pPr>
        <w:pStyle w:val="AERtablesource"/>
      </w:pPr>
      <w:r w:rsidRPr="003723C8">
        <w:t xml:space="preserve">Notes: </w:t>
      </w:r>
      <w:r w:rsidRPr="003723C8">
        <w:tab/>
      </w:r>
      <w:r>
        <w:t>a) While this survey had 23 market participants, 19 specified what market risk premium they used.</w:t>
      </w:r>
    </w:p>
    <w:p w:rsidR="006A3314" w:rsidRDefault="006A3314" w:rsidP="006A3314">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6A3314" w:rsidRDefault="006A3314" w:rsidP="006A3314">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6A3314" w:rsidRPr="00B74249" w:rsidRDefault="006A3314" w:rsidP="006A3314">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6A3314" w:rsidRDefault="006A3314" w:rsidP="006A3314">
      <w:pPr>
        <w:rPr>
          <w:rStyle w:val="AERbody"/>
        </w:rPr>
      </w:pPr>
      <w:r>
        <w:rPr>
          <w:rStyle w:val="AERbody"/>
        </w:rPr>
        <w:t>Several factors should be considered when examining survey evidence:</w:t>
      </w:r>
      <w:r>
        <w:rPr>
          <w:rStyle w:val="FootnoteReference"/>
        </w:rPr>
        <w:footnoteReference w:id="1074"/>
      </w:r>
    </w:p>
    <w:p w:rsidR="006A3314" w:rsidRPr="006C49DC" w:rsidRDefault="006A3314" w:rsidP="006A3314">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1075"/>
      </w:r>
      <w:r w:rsidRPr="006C49DC">
        <w:t xml:space="preserve">  </w:t>
      </w:r>
    </w:p>
    <w:p w:rsidR="006A3314" w:rsidRPr="006C49DC" w:rsidRDefault="006A3314" w:rsidP="006A3314">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1076"/>
      </w:r>
    </w:p>
    <w:p w:rsidR="006A3314" w:rsidRPr="006C49DC" w:rsidRDefault="006A3314" w:rsidP="006A3314">
      <w:pPr>
        <w:pStyle w:val="AERbulletlistfirststyle"/>
      </w:pPr>
      <w:r>
        <w:t xml:space="preserve">Wording of survey questionnaires—we consider the </w:t>
      </w:r>
      <w:r w:rsidRPr="006C49DC">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6A3314" w:rsidRPr="006C49DC" w:rsidRDefault="006A3314" w:rsidP="006A3314">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1077"/>
      </w:r>
      <w:r w:rsidRPr="006C49DC">
        <w:t xml:space="preserve"> </w:t>
      </w:r>
    </w:p>
    <w:p w:rsidR="006A3314" w:rsidRDefault="006A3314" w:rsidP="006A3314">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6B4A74">
        <w:t xml:space="preserve">Table </w:t>
      </w:r>
      <w:r w:rsidR="006B4A74">
        <w:rPr>
          <w:noProof/>
        </w:rPr>
        <w:t>3</w:t>
      </w:r>
      <w:r w:rsidR="006B4A74">
        <w:noBreakHyphen/>
      </w:r>
      <w:r w:rsidR="006B4A74">
        <w:rPr>
          <w:noProof/>
        </w:rPr>
        <w:t>29</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1078"/>
      </w:r>
      <w:r>
        <w:t xml:space="preserve"> </w:t>
      </w:r>
    </w:p>
    <w:p w:rsidR="006A3314" w:rsidRPr="00C852A1" w:rsidRDefault="006A3314" w:rsidP="006A3314">
      <w:r>
        <w:t>AusNet Services has re</w:t>
      </w:r>
      <w:r w:rsidRPr="00C852A1">
        <w:t xml:space="preserve">submitted that survey evidence </w:t>
      </w:r>
      <w:r>
        <w:t>should not be considered given methodological shortcomings (such as the content and relevance of the questions and potential bias in the survey groups).</w:t>
      </w:r>
      <w:r>
        <w:rPr>
          <w:rStyle w:val="FootnoteReference"/>
        </w:rPr>
        <w:footnoteReference w:id="1079"/>
      </w:r>
      <w:r>
        <w:t xml:space="preserve"> </w:t>
      </w:r>
      <w:r w:rsidRPr="00C852A1">
        <w:t xml:space="preserve">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6A3314" w:rsidRDefault="006A3314" w:rsidP="006A3314">
      <w:r w:rsidRPr="00C852A1">
        <w:t xml:space="preserve">Several service providers </w:t>
      </w:r>
      <w:r>
        <w:t>previously</w:t>
      </w:r>
      <w:r w:rsidRPr="00C852A1">
        <w:t xml:space="preserve"> submitted that the surveys we use do not appear to </w:t>
      </w:r>
      <w:r>
        <w:t>comply</w:t>
      </w:r>
      <w:r w:rsidRPr="00C852A1">
        <w:t xml:space="preserve"> with the Federal Court guidelines for conducting surveys.</w:t>
      </w:r>
      <w:r w:rsidRPr="00C852A1">
        <w:rPr>
          <w:rStyle w:val="FootnoteReference"/>
        </w:rPr>
        <w:footnoteReference w:id="1080"/>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6A3314" w:rsidRPr="008F4F73" w:rsidRDefault="006A3314" w:rsidP="006A3314">
      <w:pPr>
        <w:pStyle w:val="Heading8"/>
      </w:pPr>
      <w:bookmarkStart w:id="352" w:name="_Ref445898024"/>
      <w:bookmarkStart w:id="353" w:name="_Toc451943807"/>
      <w:bookmarkStart w:id="354" w:name="_Toc456686740"/>
      <w:bookmarkStart w:id="355" w:name="_Toc481057487"/>
      <w:r w:rsidRPr="008F4F73">
        <w:t>Prevailing estimates: broker reports</w:t>
      </w:r>
      <w:bookmarkEnd w:id="352"/>
      <w:bookmarkEnd w:id="353"/>
      <w:bookmarkEnd w:id="354"/>
      <w:bookmarkEnd w:id="355"/>
    </w:p>
    <w:p w:rsidR="006A3314" w:rsidRPr="003C2547" w:rsidRDefault="006A3314" w:rsidP="00CC7A1C">
      <w:pPr>
        <w:numPr>
          <w:ilvl w:val="0"/>
          <w:numId w:val="24"/>
        </w:numPr>
        <w:rPr>
          <w:rStyle w:val="AERtextblue"/>
        </w:rPr>
      </w:pPr>
      <w:r w:rsidRPr="003C2547">
        <w:fldChar w:fldCharType="begin"/>
      </w:r>
      <w:r w:rsidRPr="003C2547">
        <w:instrText xml:space="preserve"> REF _Ref443644282 \h </w:instrText>
      </w:r>
      <w:r w:rsidRPr="003C2547">
        <w:fldChar w:fldCharType="separate"/>
      </w:r>
      <w:r w:rsidR="006B4A74" w:rsidRPr="003C2547">
        <w:t xml:space="preserve">Table </w:t>
      </w:r>
      <w:r w:rsidR="006B4A74">
        <w:rPr>
          <w:noProof/>
        </w:rPr>
        <w:t>3</w:t>
      </w:r>
      <w:r w:rsidR="006B4A74">
        <w:noBreakHyphen/>
      </w:r>
      <w:r w:rsidR="006B4A74">
        <w:rPr>
          <w:noProof/>
        </w:rPr>
        <w:t>30</w:t>
      </w:r>
      <w:r w:rsidRPr="003C2547">
        <w:fldChar w:fldCharType="end"/>
      </w:r>
      <w:r w:rsidRPr="003C2547">
        <w:t xml:space="preserve"> shows the estimates of return on equity and premium above the risk free rate contained in broker reports which we have examined since our draft decision.</w:t>
      </w:r>
      <w:r w:rsidRPr="003C2547">
        <w:rPr>
          <w:rStyle w:val="FootnoteReference"/>
        </w:rPr>
        <w:footnoteReference w:id="1081"/>
      </w:r>
    </w:p>
    <w:p w:rsidR="006A3314" w:rsidRPr="003C2547" w:rsidRDefault="006A3314" w:rsidP="00CC7A1C">
      <w:pPr>
        <w:pStyle w:val="Caption"/>
        <w:numPr>
          <w:ilvl w:val="0"/>
          <w:numId w:val="24"/>
        </w:numPr>
      </w:pPr>
      <w:bookmarkStart w:id="356" w:name="_Ref443644282"/>
      <w:r w:rsidRPr="003C2547">
        <w:t xml:space="preserve">Table </w:t>
      </w:r>
      <w:fldSimple w:instr=" STYLEREF 1 \s ">
        <w:r w:rsidR="006B4A74">
          <w:rPr>
            <w:noProof/>
          </w:rPr>
          <w:t>3</w:t>
        </w:r>
      </w:fldSimple>
      <w:r w:rsidR="008F29C8">
        <w:noBreakHyphen/>
      </w:r>
      <w:fldSimple w:instr=" SEQ Table \* ARABIC \s 1 ">
        <w:r w:rsidR="006B4A74">
          <w:rPr>
            <w:noProof/>
          </w:rPr>
          <w:t>30</w:t>
        </w:r>
      </w:fldSimple>
      <w:bookmarkEnd w:id="356"/>
      <w:r w:rsidRPr="003C2547">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6A3314" w:rsidTr="00A21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tcPr>
          <w:p w:rsidR="006A3314" w:rsidRPr="003C2547" w:rsidRDefault="006A3314" w:rsidP="006A3314"/>
        </w:tc>
        <w:tc>
          <w:tcPr>
            <w:tcW w:w="1275" w:type="dxa"/>
            <w:tcBorders>
              <w:top w:val="nil"/>
              <w:left w:val="nil"/>
              <w:bottom w:val="nil"/>
              <w:right w:val="nil"/>
            </w:tcBorders>
          </w:tcPr>
          <w:p w:rsidR="006A3314" w:rsidRPr="003C2547" w:rsidRDefault="006A3314" w:rsidP="006A3314">
            <w:pPr>
              <w:cnfStyle w:val="100000000000" w:firstRow="1" w:lastRow="0" w:firstColumn="0" w:lastColumn="0" w:oddVBand="0" w:evenVBand="0" w:oddHBand="0" w:evenHBand="0" w:firstRowFirstColumn="0" w:firstRowLastColumn="0" w:lastRowFirstColumn="0" w:lastRowLastColumn="0"/>
            </w:pPr>
          </w:p>
        </w:tc>
        <w:tc>
          <w:tcPr>
            <w:tcW w:w="1418" w:type="dxa"/>
            <w:tcBorders>
              <w:top w:val="nil"/>
              <w:left w:val="nil"/>
              <w:bottom w:val="nil"/>
              <w:right w:val="nil"/>
            </w:tcBorders>
            <w:hideMark/>
          </w:tcPr>
          <w:p w:rsidR="006A3314" w:rsidRPr="006A3314" w:rsidRDefault="006A3314" w:rsidP="006A3314">
            <w:pPr>
              <w:cnfStyle w:val="100000000000" w:firstRow="1" w:lastRow="0" w:firstColumn="0" w:lastColumn="0" w:oddVBand="0" w:evenVBand="0" w:oddHBand="0" w:evenHBand="0" w:firstRowFirstColumn="0" w:firstRowLastColumn="0" w:lastRowFirstColumn="0" w:lastRowLastColumn="0"/>
            </w:pPr>
            <w:r w:rsidRPr="003C2547">
              <w:t>Return on equity</w:t>
            </w:r>
          </w:p>
        </w:tc>
        <w:tc>
          <w:tcPr>
            <w:tcW w:w="1497" w:type="dxa"/>
            <w:tcBorders>
              <w:top w:val="nil"/>
              <w:left w:val="nil"/>
              <w:bottom w:val="nil"/>
              <w:right w:val="nil"/>
            </w:tcBorders>
            <w:hideMark/>
          </w:tcPr>
          <w:p w:rsidR="006A3314" w:rsidRPr="006A3314" w:rsidRDefault="006A3314" w:rsidP="006A3314">
            <w:pPr>
              <w:cnfStyle w:val="100000000000" w:firstRow="1" w:lastRow="0" w:firstColumn="0" w:lastColumn="0" w:oddVBand="0" w:evenVBand="0" w:oddHBand="0" w:evenHBand="0" w:firstRowFirstColumn="0" w:firstRowLastColumn="0" w:lastRowFirstColumn="0" w:lastRowLastColumn="0"/>
            </w:pPr>
            <w:r w:rsidRPr="003C2547">
              <w:t>Equity risk premium</w:t>
            </w:r>
          </w:p>
        </w:tc>
      </w:tr>
      <w:tr w:rsidR="006A3314" w:rsidTr="00A210B3">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Broker estimate—no imputation adjustment</w:t>
            </w:r>
          </w:p>
        </w:tc>
        <w:tc>
          <w:tcPr>
            <w:tcW w:w="1275"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tcBorders>
              <w:top w:val="nil"/>
              <w:left w:val="nil"/>
              <w:bottom w:val="nil"/>
              <w:right w:val="nil"/>
            </w:tcBorders>
            <w:hideMark/>
          </w:tcPr>
          <w:p w:rsidR="006A3314" w:rsidRPr="006A3314" w:rsidRDefault="00CB491E" w:rsidP="005414F9">
            <w:pPr>
              <w:cnfStyle w:val="000000000000" w:firstRow="0" w:lastRow="0" w:firstColumn="0" w:lastColumn="0" w:oddVBand="0" w:evenVBand="0" w:oddHBand="0" w:evenHBand="0" w:firstRowFirstColumn="0" w:firstRowLastColumn="0" w:lastRowFirstColumn="0" w:lastRowLastColumn="0"/>
            </w:pPr>
            <w:r>
              <w:t>6.</w:t>
            </w:r>
            <w:r w:rsidR="005414F9">
              <w:t>2</w:t>
            </w:r>
          </w:p>
        </w:tc>
        <w:tc>
          <w:tcPr>
            <w:tcW w:w="1497" w:type="dxa"/>
            <w:tcBorders>
              <w:top w:val="nil"/>
              <w:left w:val="nil"/>
              <w:bottom w:val="nil"/>
              <w:right w:val="nil"/>
            </w:tcBorders>
            <w:hideMark/>
          </w:tcPr>
          <w:p w:rsidR="006A3314" w:rsidRPr="006A3314" w:rsidRDefault="006A3314" w:rsidP="005414F9">
            <w:pPr>
              <w:cnfStyle w:val="000000000000" w:firstRow="0" w:lastRow="0" w:firstColumn="0" w:lastColumn="0" w:oddVBand="0" w:evenVBand="0" w:oddHBand="0" w:evenHBand="0" w:firstRowFirstColumn="0" w:firstRowLastColumn="0" w:lastRowFirstColumn="0" w:lastRowLastColumn="0"/>
            </w:pPr>
            <w:r w:rsidRPr="003C2547">
              <w:t>3.</w:t>
            </w:r>
            <w:r w:rsidR="005414F9">
              <w:t>5</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Broker estimate—no imputation adjustment</w:t>
            </w:r>
          </w:p>
        </w:tc>
        <w:tc>
          <w:tcPr>
            <w:tcW w:w="1275" w:type="dxa"/>
            <w:tcBorders>
              <w:top w:val="nil"/>
              <w:left w:val="nil"/>
              <w:bottom w:val="nil"/>
              <w:right w:val="nil"/>
            </w:tcBorders>
            <w:hideMark/>
          </w:tcPr>
          <w:p w:rsidR="006A3314" w:rsidRPr="006A3314" w:rsidRDefault="006A3314" w:rsidP="006A3314">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tcBorders>
              <w:top w:val="nil"/>
              <w:left w:val="nil"/>
              <w:bottom w:val="nil"/>
              <w:right w:val="nil"/>
            </w:tcBorders>
            <w:hideMark/>
          </w:tcPr>
          <w:p w:rsidR="006A3314" w:rsidRPr="006A3314" w:rsidRDefault="005414F9" w:rsidP="00CB491E">
            <w:pPr>
              <w:cnfStyle w:val="000000010000" w:firstRow="0" w:lastRow="0" w:firstColumn="0" w:lastColumn="0" w:oddVBand="0" w:evenVBand="0" w:oddHBand="0" w:evenHBand="1" w:firstRowFirstColumn="0" w:firstRowLastColumn="0" w:lastRowFirstColumn="0" w:lastRowLastColumn="0"/>
            </w:pPr>
            <w:r>
              <w:t>9.4</w:t>
            </w:r>
          </w:p>
        </w:tc>
        <w:tc>
          <w:tcPr>
            <w:tcW w:w="1497" w:type="dxa"/>
            <w:tcBorders>
              <w:top w:val="nil"/>
              <w:left w:val="nil"/>
              <w:bottom w:val="nil"/>
              <w:right w:val="nil"/>
            </w:tcBorders>
            <w:hideMark/>
          </w:tcPr>
          <w:p w:rsidR="006A3314" w:rsidRPr="006A3314" w:rsidRDefault="005414F9" w:rsidP="006A3314">
            <w:pPr>
              <w:cnfStyle w:val="000000010000" w:firstRow="0" w:lastRow="0" w:firstColumn="0" w:lastColumn="0" w:oddVBand="0" w:evenVBand="0" w:oddHBand="0" w:evenHBand="1" w:firstRowFirstColumn="0" w:firstRowLastColumn="0" w:lastRowFirstColumn="0" w:lastRowLastColumn="0"/>
            </w:pPr>
            <w:r>
              <w:t>5.79</w:t>
            </w:r>
          </w:p>
        </w:tc>
      </w:tr>
      <w:tr w:rsidR="006A3314" w:rsidTr="00A210B3">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 xml:space="preserve">Broker estimate—adjusted </w:t>
            </w:r>
            <w:r w:rsidRPr="006A3314">
              <w:t>for imputation</w:t>
            </w:r>
          </w:p>
        </w:tc>
        <w:tc>
          <w:tcPr>
            <w:tcW w:w="1275"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tcBorders>
              <w:top w:val="nil"/>
              <w:left w:val="nil"/>
              <w:bottom w:val="nil"/>
              <w:right w:val="nil"/>
            </w:tcBorders>
            <w:hideMark/>
          </w:tcPr>
          <w:p w:rsidR="006A3314" w:rsidRPr="006A3314" w:rsidRDefault="006A3314" w:rsidP="00CB491E">
            <w:pPr>
              <w:cnfStyle w:val="000000000000" w:firstRow="0" w:lastRow="0" w:firstColumn="0" w:lastColumn="0" w:oddVBand="0" w:evenVBand="0" w:oddHBand="0" w:evenHBand="0" w:firstRowFirstColumn="0" w:firstRowLastColumn="0" w:lastRowFirstColumn="0" w:lastRowLastColumn="0"/>
            </w:pPr>
            <w:r w:rsidRPr="003C2547">
              <w:t>6</w:t>
            </w:r>
            <w:r w:rsidR="00BE50B0">
              <w:t>.7</w:t>
            </w:r>
          </w:p>
        </w:tc>
        <w:tc>
          <w:tcPr>
            <w:tcW w:w="1497"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4.1</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single" w:sz="4" w:space="0" w:color="365F91"/>
              <w:right w:val="nil"/>
            </w:tcBorders>
            <w:hideMark/>
          </w:tcPr>
          <w:p w:rsidR="006A3314" w:rsidRPr="006A3314" w:rsidRDefault="006A3314" w:rsidP="006A3314">
            <w:r w:rsidRPr="003C2547">
              <w:t>Broker estimate—adjusted for imputation</w:t>
            </w:r>
          </w:p>
        </w:tc>
        <w:tc>
          <w:tcPr>
            <w:tcW w:w="1275" w:type="dxa"/>
            <w:tcBorders>
              <w:top w:val="nil"/>
              <w:left w:val="nil"/>
              <w:bottom w:val="single" w:sz="4" w:space="0" w:color="365F91"/>
              <w:right w:val="nil"/>
            </w:tcBorders>
            <w:hideMark/>
          </w:tcPr>
          <w:p w:rsidR="006A3314" w:rsidRPr="006A3314" w:rsidRDefault="006A3314" w:rsidP="006A3314">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tcBorders>
              <w:top w:val="nil"/>
              <w:left w:val="nil"/>
              <w:bottom w:val="single" w:sz="4" w:space="0" w:color="365F91"/>
              <w:right w:val="nil"/>
            </w:tcBorders>
            <w:hideMark/>
          </w:tcPr>
          <w:p w:rsidR="006A3314" w:rsidRPr="006A3314" w:rsidRDefault="005414F9" w:rsidP="00BE50B0">
            <w:pPr>
              <w:cnfStyle w:val="000000010000" w:firstRow="0" w:lastRow="0" w:firstColumn="0" w:lastColumn="0" w:oddVBand="0" w:evenVBand="0" w:oddHBand="0" w:evenHBand="1" w:firstRowFirstColumn="0" w:firstRowLastColumn="0" w:lastRowFirstColumn="0" w:lastRowLastColumn="0"/>
            </w:pPr>
            <w:r>
              <w:t>10</w:t>
            </w:r>
          </w:p>
        </w:tc>
        <w:tc>
          <w:tcPr>
            <w:tcW w:w="1497" w:type="dxa"/>
            <w:tcBorders>
              <w:top w:val="nil"/>
              <w:left w:val="nil"/>
              <w:bottom w:val="single" w:sz="4" w:space="0" w:color="365F91"/>
              <w:right w:val="nil"/>
            </w:tcBorders>
            <w:hideMark/>
          </w:tcPr>
          <w:p w:rsidR="006A3314" w:rsidRPr="006A3314" w:rsidRDefault="005414F9" w:rsidP="006A3314">
            <w:pPr>
              <w:cnfStyle w:val="000000010000" w:firstRow="0" w:lastRow="0" w:firstColumn="0" w:lastColumn="0" w:oddVBand="0" w:evenVBand="0" w:oddHBand="0" w:evenHBand="1" w:firstRowFirstColumn="0" w:firstRowLastColumn="0" w:lastRowFirstColumn="0" w:lastRowLastColumn="0"/>
            </w:pPr>
            <w:r>
              <w:t>6.6</w:t>
            </w:r>
          </w:p>
        </w:tc>
      </w:tr>
    </w:tbl>
    <w:p w:rsidR="006A3314" w:rsidRPr="003C2547" w:rsidRDefault="006A3314" w:rsidP="00CC7A1C">
      <w:pPr>
        <w:pStyle w:val="AERtablesource"/>
        <w:numPr>
          <w:ilvl w:val="0"/>
          <w:numId w:val="24"/>
        </w:numPr>
      </w:pPr>
      <w:r w:rsidRPr="003C2547">
        <w:t>Source:</w:t>
      </w:r>
      <w:r w:rsidRPr="003C2547">
        <w:tab/>
        <w:t>AER analysis of broker reports, dated 1 June 2016 to 20 December 2016 by Credit Suisse, JP Morgan, Morgan Stanley, and Macquarie Bank that include a valuation for AusNet Services, Spark Infrastructure, APA Group, and/or DUET Group.</w:t>
      </w:r>
    </w:p>
    <w:p w:rsidR="006A3314" w:rsidRPr="00594C61" w:rsidRDefault="006A3314" w:rsidP="00A164C0">
      <w:pPr>
        <w:pStyle w:val="ListContinue"/>
        <w:rPr>
          <w:rStyle w:val="AERbody"/>
        </w:rPr>
      </w:pPr>
      <w:r w:rsidRPr="003C2547">
        <w:t>The equity risk premium from the AER's foundation model of 4.55 per cent is within the range of premiums recently estimated by brokers, even when these estimates are adjusted for imputation.</w:t>
      </w:r>
      <w:r w:rsidR="00594C61">
        <w:t xml:space="preserve"> AusNet Services’ proposed equity risk premium of 5.25 per cent is at the upper bound of the range of premiums recently estimated by brokers. </w:t>
      </w:r>
      <w:r w:rsidRPr="003C2547">
        <w:t xml:space="preserve">  </w:t>
      </w:r>
    </w:p>
    <w:p w:rsidR="006A3314" w:rsidRPr="008F4F73" w:rsidRDefault="006A3314" w:rsidP="006A3314">
      <w:r w:rsidRPr="008F4F73">
        <w:t xml:space="preserve">Directionally, as shown in </w:t>
      </w:r>
      <w:r w:rsidRPr="008F4F73">
        <w:fldChar w:fldCharType="begin"/>
      </w:r>
      <w:r w:rsidRPr="008F4F73">
        <w:instrText xml:space="preserve"> REF _Ref444708458 \h </w:instrText>
      </w:r>
      <w:r w:rsidRPr="008F4F73">
        <w:fldChar w:fldCharType="separate"/>
      </w:r>
      <w:r w:rsidR="006B4A74" w:rsidRPr="008F4F73">
        <w:t xml:space="preserve">Figure </w:t>
      </w:r>
      <w:r w:rsidR="006B4A74">
        <w:rPr>
          <w:noProof/>
        </w:rPr>
        <w:t>3</w:t>
      </w:r>
      <w:r w:rsidR="006B4A74">
        <w:noBreakHyphen/>
      </w:r>
      <w:r w:rsidR="006B4A74">
        <w:rPr>
          <w:noProof/>
        </w:rPr>
        <w:t>13</w:t>
      </w:r>
      <w:r w:rsidRPr="008F4F73">
        <w:fldChar w:fldCharType="end"/>
      </w:r>
      <w:r w:rsidRPr="008F4F73">
        <w:t xml:space="preserve">, </w:t>
      </w:r>
      <w:r>
        <w:t xml:space="preserve">the ERP has remained within similar parameters for the duration of 2016 which was a movement upwards from 2015 levels. </w:t>
      </w:r>
      <w:r w:rsidRPr="008F4F73">
        <w:t>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A3314" w:rsidRPr="008F4F73" w:rsidRDefault="006A3314" w:rsidP="00CC7A1C">
      <w:pPr>
        <w:pStyle w:val="Caption"/>
        <w:numPr>
          <w:ilvl w:val="0"/>
          <w:numId w:val="24"/>
        </w:numPr>
      </w:pPr>
      <w:bookmarkStart w:id="357" w:name="_Ref444708458"/>
      <w:r w:rsidRPr="008F4F73">
        <w:t xml:space="preserve">Figure </w:t>
      </w:r>
      <w:fldSimple w:instr=" STYLEREF 1 \s ">
        <w:r w:rsidR="006B4A74">
          <w:rPr>
            <w:noProof/>
          </w:rPr>
          <w:t>3</w:t>
        </w:r>
      </w:fldSimple>
      <w:r w:rsidR="008A2B2B">
        <w:noBreakHyphen/>
      </w:r>
      <w:fldSimple w:instr=" SEQ Figure \* ARABIC \s 1 ">
        <w:r w:rsidR="006B4A74">
          <w:rPr>
            <w:noProof/>
          </w:rPr>
          <w:t>13</w:t>
        </w:r>
      </w:fldSimple>
      <w:bookmarkEnd w:id="357"/>
      <w:r w:rsidRPr="008F4F73">
        <w:tab/>
        <w:t>Equity risk premium estimates from broker reports</w:t>
      </w:r>
    </w:p>
    <w:p w:rsidR="006A3314" w:rsidRPr="008F4F73" w:rsidRDefault="00036687" w:rsidP="006A3314">
      <w:pPr>
        <w:rPr>
          <w:rStyle w:val="AERtextblue"/>
        </w:rPr>
      </w:pPr>
      <w:r w:rsidRPr="00036687">
        <w:rPr>
          <w:noProof/>
          <w:lang w:eastAsia="en-AU"/>
        </w:rPr>
        <w:drawing>
          <wp:inline distT="0" distB="0" distL="0" distR="0" wp14:anchorId="3CD4C404" wp14:editId="4970ABDD">
            <wp:extent cx="5382895" cy="3538563"/>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2895" cy="3538563"/>
                    </a:xfrm>
                    <a:prstGeom prst="rect">
                      <a:avLst/>
                    </a:prstGeom>
                  </pic:spPr>
                </pic:pic>
              </a:graphicData>
            </a:graphic>
          </wp:inline>
        </w:drawing>
      </w:r>
    </w:p>
    <w:p w:rsidR="006A3314" w:rsidRPr="008F4F73" w:rsidRDefault="006A3314" w:rsidP="006A3314">
      <w:pPr>
        <w:pStyle w:val="AERtablesource"/>
      </w:pPr>
      <w:r w:rsidRPr="008F4F73">
        <w:t>Source:</w:t>
      </w:r>
      <w:r w:rsidRPr="008F4F73">
        <w:tab/>
        <w:t>AER analysis of broker reports by Credit Suisse, JP Morgan, Morgan Stanley, and Macquarie Bank that include a valuation for AusNet Services, Spark Infrastructure, APA Group, and/or DUET Group.</w:t>
      </w:r>
    </w:p>
    <w:p w:rsidR="006A3314" w:rsidRPr="008F4F73" w:rsidRDefault="006A3314" w:rsidP="006A3314">
      <w:pPr>
        <w:pStyle w:val="AERtablesource"/>
      </w:pPr>
      <w:bookmarkStart w:id="358" w:name="_Ref445926689"/>
      <w:r w:rsidRPr="008F4F73">
        <w:t>Notes:</w:t>
      </w:r>
      <w:r w:rsidRPr="008F4F73">
        <w:tab/>
        <w:t>Average broker ERP is the mean of estimates from all brokers and for all busin</w:t>
      </w:r>
      <w:r>
        <w:t>esses available at the time.</w:t>
      </w:r>
      <w:r w:rsidRPr="008F4F73">
        <w:t xml:space="preserve"> </w:t>
      </w:r>
    </w:p>
    <w:p w:rsidR="006A3314" w:rsidRPr="008F4F73" w:rsidRDefault="006A3314" w:rsidP="006A3314">
      <w:pPr>
        <w:pStyle w:val="Heading8"/>
      </w:pPr>
      <w:bookmarkStart w:id="359" w:name="_Ref451416171"/>
      <w:bookmarkStart w:id="360" w:name="_Toc451943808"/>
      <w:bookmarkStart w:id="361" w:name="_Toc456686741"/>
      <w:bookmarkStart w:id="362" w:name="_Toc481057488"/>
      <w:r w:rsidRPr="008F4F73">
        <w:t>Prevailing estimates: valuation reports</w:t>
      </w:r>
      <w:bookmarkEnd w:id="358"/>
      <w:bookmarkEnd w:id="359"/>
      <w:bookmarkEnd w:id="360"/>
      <w:bookmarkEnd w:id="361"/>
      <w:bookmarkEnd w:id="362"/>
    </w:p>
    <w:p w:rsidR="006A3314" w:rsidRPr="008F4F73" w:rsidRDefault="006A3314" w:rsidP="00CC7A1C">
      <w:pPr>
        <w:numPr>
          <w:ilvl w:val="0"/>
          <w:numId w:val="24"/>
        </w:numPr>
      </w:pPr>
      <w:r w:rsidRPr="008F4F73">
        <w:rPr>
          <w:rStyle w:val="AERtextblue"/>
        </w:rPr>
        <w:fldChar w:fldCharType="begin"/>
      </w:r>
      <w:r w:rsidRPr="008F4F73">
        <w:rPr>
          <w:rStyle w:val="AERtextblue"/>
        </w:rPr>
        <w:instrText xml:space="preserve"> REF _Ref448176907 \h </w:instrText>
      </w:r>
      <w:r w:rsidRPr="008F4F73">
        <w:rPr>
          <w:rStyle w:val="AERtextblue"/>
        </w:rPr>
      </w:r>
      <w:r w:rsidRPr="008F4F73">
        <w:rPr>
          <w:rStyle w:val="AERtextblue"/>
        </w:rPr>
        <w:fldChar w:fldCharType="separate"/>
      </w:r>
      <w:r w:rsidR="006B4A74" w:rsidRPr="008F4F73">
        <w:t xml:space="preserve">Figure </w:t>
      </w:r>
      <w:r w:rsidR="006B4A74">
        <w:rPr>
          <w:noProof/>
        </w:rPr>
        <w:t>3</w:t>
      </w:r>
      <w:r w:rsidR="006B4A74">
        <w:noBreakHyphen/>
      </w:r>
      <w:r w:rsidR="006B4A74">
        <w:rPr>
          <w:noProof/>
        </w:rPr>
        <w:t>14</w:t>
      </w:r>
      <w:r w:rsidRPr="008F4F73">
        <w:rPr>
          <w:rStyle w:val="AERtextblue"/>
        </w:rPr>
        <w:fldChar w:fldCharType="end"/>
      </w:r>
      <w:r w:rsidRPr="008F4F73">
        <w:rPr>
          <w:rStyle w:val="AERtextblue"/>
        </w:rPr>
        <w:t xml:space="preserve"> </w:t>
      </w:r>
      <w:r w:rsidRPr="008F4F73">
        <w:t xml:space="preserve">outlines the range of return on equity and equity risk premium estimates from relevant independent valuation reports. </w:t>
      </w:r>
      <w:bookmarkStart w:id="363" w:name="_Ref417589947"/>
      <w:r w:rsidRPr="008F4F73">
        <w:t>We consider that the number of reports is too low and the concentration of reports among only a few valuers is too high to be able to place significant reliance on the evidence from valuation reports.</w:t>
      </w:r>
      <w:r w:rsidRPr="008F4F73">
        <w:rPr>
          <w:rStyle w:val="FootnoteReference"/>
        </w:rPr>
        <w:footnoteReference w:id="1082"/>
      </w:r>
    </w:p>
    <w:p w:rsidR="006A3314" w:rsidRPr="008F4F73" w:rsidRDefault="006A3314" w:rsidP="006A3314">
      <w:pPr>
        <w:pStyle w:val="Caption"/>
      </w:pPr>
      <w:bookmarkStart w:id="364" w:name="_Ref448176907"/>
      <w:r w:rsidRPr="008F4F73">
        <w:t xml:space="preserve">Figure </w:t>
      </w:r>
      <w:fldSimple w:instr=" STYLEREF 1 \s ">
        <w:r w:rsidR="006B4A74">
          <w:rPr>
            <w:noProof/>
          </w:rPr>
          <w:t>3</w:t>
        </w:r>
      </w:fldSimple>
      <w:r w:rsidR="008A2B2B">
        <w:noBreakHyphen/>
      </w:r>
      <w:fldSimple w:instr=" SEQ Figure \* ARABIC \s 1 ">
        <w:r w:rsidR="006B4A74">
          <w:rPr>
            <w:noProof/>
          </w:rPr>
          <w:t>14</w:t>
        </w:r>
      </w:fldSimple>
      <w:bookmarkEnd w:id="363"/>
      <w:bookmarkEnd w:id="364"/>
      <w:r w:rsidRPr="008F4F73">
        <w:tab/>
        <w:t xml:space="preserve">Equity risk premium from relevant </w:t>
      </w:r>
      <w:r>
        <w:t>valuation</w:t>
      </w:r>
      <w:r w:rsidRPr="008F4F73">
        <w:t xml:space="preserve"> reports over time</w:t>
      </w:r>
    </w:p>
    <w:p w:rsidR="00C9373C" w:rsidRPr="00C9373C" w:rsidRDefault="00C9373C" w:rsidP="00C9373C">
      <w:pPr>
        <w:pStyle w:val="AERtablesource"/>
      </w:pPr>
      <w:r w:rsidRPr="00C9373C">
        <w:rPr>
          <w:noProof/>
          <w:lang w:eastAsia="en-AU"/>
        </w:rPr>
        <w:drawing>
          <wp:inline distT="0" distB="0" distL="0" distR="0" wp14:anchorId="027E1208" wp14:editId="39868117">
            <wp:extent cx="5382895" cy="324008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3240089"/>
                    </a:xfrm>
                    <a:prstGeom prst="rect">
                      <a:avLst/>
                    </a:prstGeom>
                  </pic:spPr>
                </pic:pic>
              </a:graphicData>
            </a:graphic>
          </wp:inline>
        </w:drawing>
      </w:r>
    </w:p>
    <w:p w:rsidR="006A3314" w:rsidRPr="008F4F73" w:rsidRDefault="006A3314" w:rsidP="006A3314">
      <w:pPr>
        <w:pStyle w:val="AERtablesource"/>
      </w:pPr>
      <w:r w:rsidRPr="008F4F73">
        <w:t>Source:</w:t>
      </w:r>
      <w:r w:rsidRPr="008F4F73">
        <w:tab/>
        <w:t xml:space="preserve">AER analysis of reports from the Thomson Reuters Connect4 database </w:t>
      </w:r>
    </w:p>
    <w:p w:rsidR="006A3314" w:rsidRPr="008F4F73" w:rsidRDefault="006A3314" w:rsidP="006A3314">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6A3314" w:rsidRPr="008F4F73" w:rsidRDefault="006A3314" w:rsidP="00CC7A1C">
      <w:pPr>
        <w:pStyle w:val="ListParagraph"/>
        <w:numPr>
          <w:ilvl w:val="0"/>
          <w:numId w:val="24"/>
        </w:numPr>
      </w:pPr>
      <w:r w:rsidRPr="008F4F73">
        <w:t>There have been only 18 relevant independent valuation reports spanning a period going back to 1991.</w:t>
      </w:r>
      <w:r w:rsidRPr="008F4F73">
        <w:rPr>
          <w:rStyle w:val="AERsuperscript"/>
        </w:rPr>
        <w:footnoteReference w:id="1083"/>
      </w:r>
      <w:r w:rsidRPr="008F4F73">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6A3314" w:rsidRPr="008F4F73" w:rsidRDefault="006A3314" w:rsidP="009D5C18">
      <w:r w:rsidRPr="008F4F73">
        <w:t xml:space="preserve">We note that the ranges for return on equity and equity risk premium estimates contained in </w:t>
      </w:r>
      <w:r>
        <w:fldChar w:fldCharType="begin"/>
      </w:r>
      <w:r>
        <w:instrText xml:space="preserve"> REF _Ref448176907 \h </w:instrText>
      </w:r>
      <w:r>
        <w:fldChar w:fldCharType="separate"/>
      </w:r>
      <w:r w:rsidR="006B4A74" w:rsidRPr="008F4F73">
        <w:t xml:space="preserve">Figure </w:t>
      </w:r>
      <w:r w:rsidR="006B4A74">
        <w:rPr>
          <w:noProof/>
        </w:rPr>
        <w:t>3</w:t>
      </w:r>
      <w:r w:rsidR="006B4A74">
        <w:noBreakHyphen/>
      </w:r>
      <w:r w:rsidR="006B4A74">
        <w:rPr>
          <w:noProof/>
        </w:rPr>
        <w:t>14</w:t>
      </w:r>
      <w:r>
        <w:fldChar w:fldCharType="end"/>
      </w:r>
      <w:r w:rsidRPr="008F4F73">
        <w:t xml:space="preserve"> include the final values used in the independent valuation reports and reflect any uplifts applied. However, as noted </w:t>
      </w:r>
      <w:r w:rsidR="00410AB6" w:rsidRPr="008F4F73">
        <w:t>in Table</w:t>
      </w:r>
      <w:r w:rsidR="009D5C18">
        <w:t xml:space="preserve"> 3–8</w:t>
      </w:r>
      <w:r w:rsidRPr="008F4F73">
        <w:t>, we have concerns about the applicability of these uplifts to the allowed rate of return objective.</w:t>
      </w:r>
      <w:r w:rsidRPr="008F4F73">
        <w:rPr>
          <w:rStyle w:val="FootnoteReference"/>
        </w:rPr>
        <w:footnoteReference w:id="1084"/>
      </w:r>
      <w:r w:rsidRPr="008F4F73">
        <w:t xml:space="preserve"> We also have concerns that the adjustment for dividend imputation may not be appropriate (see</w:t>
      </w:r>
      <w:r w:rsidR="0002321D">
        <w:t xml:space="preserve"> </w:t>
      </w:r>
      <w:r w:rsidR="009D5C18">
        <w:t>Table 3–8</w:t>
      </w:r>
      <w:r w:rsidR="00BB13B7">
        <w:t>)</w:t>
      </w:r>
      <w:r w:rsidRPr="008F4F73">
        <w:t>. The risk premium appropriately reflecting dividend imputation is likely somewhere between the adjusted and unadjusted premiums, but we are unable to distil a precise estimate due to a lack of transparency in valuation reports.</w:t>
      </w:r>
    </w:p>
    <w:p w:rsidR="006A3314" w:rsidRPr="008F4F73" w:rsidRDefault="006A3314" w:rsidP="00CC7A1C">
      <w:pPr>
        <w:numPr>
          <w:ilvl w:val="0"/>
          <w:numId w:val="24"/>
        </w:numPr>
      </w:pPr>
      <w:r w:rsidRPr="008F4F73">
        <w:t>The most recent report for a regulated energy network business is Grant Samuel’s report for Envestra on 4 March 2014. We find that this evidence does not support a move away from our foundation model estimate of 4.55 per cent. We note that:</w:t>
      </w:r>
    </w:p>
    <w:p w:rsidR="006A3314" w:rsidRPr="006C49DC" w:rsidRDefault="006A3314" w:rsidP="006A3314">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6A3314" w:rsidRPr="006C49DC" w:rsidRDefault="006A3314" w:rsidP="006A3314">
      <w:pPr>
        <w:pStyle w:val="AERbulletlistfirststyle"/>
      </w:pPr>
      <w:r w:rsidRPr="008F4F73">
        <w:t>Grant Samuel outlined four separate uplift scenarios that supported its discretionary uplift to its rate of return above the initial Sharpe-Lintner CAPM-based estimate.</w:t>
      </w:r>
      <w:r w:rsidRPr="006C49DC">
        <w:rPr>
          <w:rStyle w:val="FootnoteReference"/>
        </w:rPr>
        <w:footnoteReference w:id="1085"/>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1086"/>
      </w:r>
    </w:p>
    <w:p w:rsidR="006A3314" w:rsidRPr="002656D9" w:rsidRDefault="006A3314" w:rsidP="00CC7A1C">
      <w:pPr>
        <w:pStyle w:val="ListParagraph"/>
        <w:numPr>
          <w:ilvl w:val="0"/>
          <w:numId w:val="24"/>
        </w:numPr>
        <w:rPr>
          <w:color w:val="365F91"/>
        </w:rPr>
      </w:pPr>
      <w:r w:rsidRPr="008F4F73">
        <w:t xml:space="preserve">In </w:t>
      </w:r>
      <w:r>
        <w:t>response to our previous decisions</w:t>
      </w:r>
      <w:r w:rsidRPr="008F4F73">
        <w:t xml:space="preserve">, </w:t>
      </w:r>
      <w:r>
        <w:t>some service providers</w:t>
      </w:r>
      <w:r w:rsidRPr="008F4F73">
        <w:t xml:space="preserve"> submitted that it is not clear how we arrived at our imputation-adjusted equity risk premium range.</w:t>
      </w:r>
      <w:r w:rsidRPr="008F4F73">
        <w:rPr>
          <w:rStyle w:val="FootnoteReference"/>
        </w:rPr>
        <w:footnoteReference w:id="1087"/>
      </w:r>
      <w:r w:rsidRPr="008F4F73">
        <w:t xml:space="preserve"> This range was calculated using the premiums implied by the low (high) equity beta estimate given by the independent valuer for the bottom (top) of the range for each independent valuation report. </w:t>
      </w:r>
    </w:p>
    <w:p w:rsidR="00594C61" w:rsidRPr="008F4F73" w:rsidRDefault="00594C61" w:rsidP="002656D9">
      <w:pPr>
        <w:rPr>
          <w:rStyle w:val="AERtextblue"/>
        </w:rPr>
      </w:pPr>
    </w:p>
    <w:p w:rsidR="006A3314" w:rsidRPr="008F4F73" w:rsidRDefault="006A3314" w:rsidP="006A3314">
      <w:pPr>
        <w:pStyle w:val="Heading8"/>
      </w:pPr>
      <w:bookmarkStart w:id="365" w:name="_Ref451416189"/>
      <w:bookmarkStart w:id="366" w:name="_Toc451943809"/>
      <w:bookmarkStart w:id="367" w:name="_Toc456686742"/>
      <w:bookmarkStart w:id="368" w:name="_Toc481057489"/>
      <w:bookmarkStart w:id="369" w:name="_Toc443923234"/>
      <w:r w:rsidRPr="008F4F73">
        <w:t>Prevailing estimates: other regulators</w:t>
      </w:r>
      <w:bookmarkEnd w:id="365"/>
      <w:bookmarkEnd w:id="366"/>
      <w:bookmarkEnd w:id="367"/>
      <w:bookmarkEnd w:id="368"/>
    </w:p>
    <w:p w:rsidR="006A3314" w:rsidRPr="008F4F73" w:rsidRDefault="006A3314" w:rsidP="00CC7A1C">
      <w:pPr>
        <w:numPr>
          <w:ilvl w:val="0"/>
          <w:numId w:val="24"/>
        </w:numPr>
      </w:pPr>
      <w:r w:rsidRPr="008F4F73">
        <w:t>The estimates of return on equity from other regulators' decisions (dated between March 2016</w:t>
      </w:r>
      <w:r>
        <w:t xml:space="preserve"> and November 2016</w:t>
      </w:r>
      <w:r w:rsidRPr="008F4F73">
        <w:t>) range from 6.</w:t>
      </w:r>
      <w:r w:rsidR="007D2A5D">
        <w:t>6</w:t>
      </w:r>
      <w:r w:rsidR="00F40227">
        <w:t>6</w:t>
      </w:r>
      <w:r>
        <w:t xml:space="preserve"> to </w:t>
      </w:r>
      <w:r w:rsidR="00F40227">
        <w:t>10.5</w:t>
      </w:r>
      <w:r w:rsidRPr="008F4F73">
        <w:t xml:space="preserve"> per cent. The premium above the risk free rate from these return on equity estimates decisions ranges from </w:t>
      </w:r>
      <w:r w:rsidR="00F40227">
        <w:t>3.9</w:t>
      </w:r>
      <w:r w:rsidRPr="008F4F73">
        <w:t xml:space="preserve"> to </w:t>
      </w:r>
      <w:r w:rsidR="00F40227">
        <w:t xml:space="preserve">7.3 </w:t>
      </w:r>
      <w:r w:rsidRPr="008F4F73">
        <w:t>per cent.</w:t>
      </w:r>
      <w:r w:rsidRPr="008F4F73">
        <w:rPr>
          <w:rStyle w:val="FootnoteReference"/>
        </w:rPr>
        <w:footnoteReference w:id="1088"/>
      </w:r>
      <w:r w:rsidRPr="008F4F73">
        <w:t xml:space="preserve"> </w:t>
      </w:r>
    </w:p>
    <w:p w:rsidR="006A3314" w:rsidRPr="008F4F73" w:rsidRDefault="006A3314" w:rsidP="00CC7A1C">
      <w:pPr>
        <w:numPr>
          <w:ilvl w:val="0"/>
          <w:numId w:val="24"/>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1089"/>
      </w:r>
      <w:r w:rsidRPr="008F4F73">
        <w:t xml:space="preserve"> as shown in </w:t>
      </w:r>
      <w:r w:rsidRPr="008F4F73">
        <w:fldChar w:fldCharType="begin"/>
      </w:r>
      <w:r w:rsidRPr="008F4F73">
        <w:instrText xml:space="preserve"> REF _Ref444707385 \h </w:instrText>
      </w:r>
      <w:r w:rsidRPr="008F4F73">
        <w:fldChar w:fldCharType="separate"/>
      </w:r>
      <w:r w:rsidR="006B4A74" w:rsidRPr="008F4F73">
        <w:t xml:space="preserve">Figure </w:t>
      </w:r>
      <w:r w:rsidR="006B4A74">
        <w:rPr>
          <w:noProof/>
        </w:rPr>
        <w:t>3</w:t>
      </w:r>
      <w:r w:rsidR="006B4A74">
        <w:noBreakHyphen/>
      </w:r>
      <w:r w:rsidR="006B4A74">
        <w:rPr>
          <w:noProof/>
        </w:rPr>
        <w:t>15</w:t>
      </w:r>
      <w:r w:rsidRPr="008F4F73">
        <w:fldChar w:fldCharType="end"/>
      </w:r>
      <w:r w:rsidRPr="008F4F73">
        <w:t>.</w:t>
      </w:r>
      <w:r w:rsidRPr="008F4F73">
        <w:rPr>
          <w:rStyle w:val="FootnoteReference"/>
        </w:rPr>
        <w:footnoteReference w:id="1090"/>
      </w:r>
      <w:r w:rsidRPr="008F4F73">
        <w:t xml:space="preserve"> </w:t>
      </w:r>
    </w:p>
    <w:p w:rsidR="006A3314" w:rsidRPr="008F4F73" w:rsidRDefault="006A3314" w:rsidP="00CC7A1C">
      <w:pPr>
        <w:pStyle w:val="Caption"/>
        <w:numPr>
          <w:ilvl w:val="0"/>
          <w:numId w:val="24"/>
        </w:numPr>
      </w:pPr>
      <w:bookmarkStart w:id="370" w:name="_Ref444707385"/>
      <w:r w:rsidRPr="008F4F73">
        <w:t xml:space="preserve">Figure </w:t>
      </w:r>
      <w:fldSimple w:instr=" STYLEREF 1 \s ">
        <w:r w:rsidR="006B4A74">
          <w:rPr>
            <w:noProof/>
          </w:rPr>
          <w:t>3</w:t>
        </w:r>
      </w:fldSimple>
      <w:r w:rsidR="008A2B2B">
        <w:noBreakHyphen/>
      </w:r>
      <w:fldSimple w:instr=" SEQ Figure \* ARABIC \s 1 ">
        <w:r w:rsidR="006B4A74">
          <w:rPr>
            <w:noProof/>
          </w:rPr>
          <w:t>15</w:t>
        </w:r>
      </w:fldSimple>
      <w:bookmarkEnd w:id="370"/>
      <w:r w:rsidRPr="008F4F73">
        <w:tab/>
        <w:t>Equity risk premium estimates from other regulators' decisions</w:t>
      </w:r>
    </w:p>
    <w:p w:rsidR="006A3314" w:rsidRPr="008F4F73" w:rsidRDefault="006A3314" w:rsidP="006A3314">
      <w:r w:rsidRPr="0068661A">
        <w:t xml:space="preserve"> </w:t>
      </w:r>
      <w:r w:rsidR="00CB0BDE" w:rsidRPr="00CB0BDE">
        <w:t xml:space="preserve"> </w:t>
      </w:r>
      <w:r w:rsidR="007C3A1D" w:rsidRPr="007C3A1D">
        <w:rPr>
          <w:noProof/>
          <w:lang w:eastAsia="en-AU"/>
        </w:rPr>
        <w:drawing>
          <wp:inline distT="0" distB="0" distL="0" distR="0" wp14:anchorId="7813346F" wp14:editId="13CF7871">
            <wp:extent cx="5382895" cy="42712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2895" cy="4271235"/>
                    </a:xfrm>
                    <a:prstGeom prst="rect">
                      <a:avLst/>
                    </a:prstGeom>
                  </pic:spPr>
                </pic:pic>
              </a:graphicData>
            </a:graphic>
          </wp:inline>
        </w:drawing>
      </w:r>
    </w:p>
    <w:p w:rsidR="006A3314" w:rsidRPr="008F4F73" w:rsidRDefault="006A3314" w:rsidP="006A3314">
      <w:r w:rsidRPr="006A3314">
        <w:rPr>
          <w:noProof/>
          <w:lang w:eastAsia="en-AU"/>
        </w:rPr>
        <w:drawing>
          <wp:inline distT="0" distB="0" distL="0" distR="0" wp14:anchorId="194C531B" wp14:editId="201CF44C">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82895" cy="172700"/>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8F4F73" w:rsidRDefault="006A3314" w:rsidP="006A3314">
      <w:r w:rsidRPr="008F4F73">
        <w:t xml:space="preserve">The estimates of the market risk premium from other regulators' decisions (dated between </w:t>
      </w:r>
      <w:r>
        <w:t>March 2016</w:t>
      </w:r>
      <w:r w:rsidRPr="008F4F73">
        <w:t xml:space="preserve"> and </w:t>
      </w:r>
      <w:r>
        <w:t>November 2016) range from 6 to 7.</w:t>
      </w:r>
      <w:r w:rsidR="00F40227">
        <w:t>6</w:t>
      </w:r>
      <w:r w:rsidRPr="008F4F73">
        <w:t xml:space="preserve"> per cent.</w:t>
      </w:r>
      <w:r w:rsidRPr="008F4F73">
        <w:rPr>
          <w:rStyle w:val="FootnoteReference"/>
        </w:rPr>
        <w:footnoteReference w:id="1091"/>
      </w:r>
      <w:r w:rsidRPr="008F4F73">
        <w:t xml:space="preserve"> </w:t>
      </w:r>
      <w:r w:rsidRPr="008F4F73">
        <w:fldChar w:fldCharType="begin"/>
      </w:r>
      <w:r w:rsidRPr="008F4F73">
        <w:instrText xml:space="preserve"> REF _Ref449019545 \h </w:instrText>
      </w:r>
      <w:r w:rsidRPr="008F4F73">
        <w:fldChar w:fldCharType="separate"/>
      </w:r>
      <w:r w:rsidR="006B4A74" w:rsidRPr="008F4F73">
        <w:t xml:space="preserve">Figure </w:t>
      </w:r>
      <w:r w:rsidR="006B4A74">
        <w:rPr>
          <w:noProof/>
        </w:rPr>
        <w:t>3</w:t>
      </w:r>
      <w:r w:rsidR="006B4A74">
        <w:noBreakHyphen/>
      </w:r>
      <w:r w:rsidR="006B4A74">
        <w:rPr>
          <w:noProof/>
        </w:rPr>
        <w:t>16</w:t>
      </w:r>
      <w:r w:rsidRPr="008F4F73">
        <w:fldChar w:fldCharType="end"/>
      </w:r>
      <w:r w:rsidRPr="008F4F73">
        <w:t xml:space="preserve"> shows that our estimate (6.5 per cent) of the market risk premium is consistent with the range of estimates from other regulators over time.</w:t>
      </w:r>
    </w:p>
    <w:p w:rsidR="006A3314" w:rsidRPr="008F4F73" w:rsidRDefault="006A3314" w:rsidP="00CC7A1C">
      <w:pPr>
        <w:pStyle w:val="Caption"/>
        <w:numPr>
          <w:ilvl w:val="0"/>
          <w:numId w:val="24"/>
        </w:numPr>
      </w:pPr>
      <w:bookmarkStart w:id="371" w:name="_Ref449019545"/>
      <w:r w:rsidRPr="008F4F73">
        <w:t xml:space="preserve">Figure </w:t>
      </w:r>
      <w:fldSimple w:instr=" STYLEREF 1 \s ">
        <w:r w:rsidR="006B4A74">
          <w:rPr>
            <w:noProof/>
          </w:rPr>
          <w:t>3</w:t>
        </w:r>
      </w:fldSimple>
      <w:r w:rsidR="008A2B2B">
        <w:noBreakHyphen/>
      </w:r>
      <w:fldSimple w:instr=" SEQ Figure \* ARABIC \s 1 ">
        <w:r w:rsidR="006B4A74">
          <w:rPr>
            <w:noProof/>
          </w:rPr>
          <w:t>16</w:t>
        </w:r>
      </w:fldSimple>
      <w:bookmarkEnd w:id="371"/>
      <w:r w:rsidRPr="008F4F73">
        <w:tab/>
        <w:t>Market risk premium estimates from other regulators' decisions</w:t>
      </w:r>
    </w:p>
    <w:p w:rsidR="006A3314" w:rsidRDefault="00D3402F" w:rsidP="006A3314">
      <w:r w:rsidRPr="00D3402F">
        <w:t xml:space="preserve"> </w:t>
      </w:r>
      <w:r w:rsidR="006A3314" w:rsidRPr="008F4F73">
        <w:tab/>
      </w:r>
      <w:r w:rsidR="007C3A1D" w:rsidRPr="007C3A1D">
        <w:rPr>
          <w:noProof/>
          <w:lang w:eastAsia="en-AU"/>
        </w:rPr>
        <w:drawing>
          <wp:inline distT="0" distB="0" distL="0" distR="0" wp14:anchorId="11D4D803" wp14:editId="2D6F9ABF">
            <wp:extent cx="5382895" cy="2848449"/>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82895" cy="2848449"/>
                    </a:xfrm>
                    <a:prstGeom prst="rect">
                      <a:avLst/>
                    </a:prstGeom>
                  </pic:spPr>
                </pic:pic>
              </a:graphicData>
            </a:graphic>
          </wp:inline>
        </w:drawing>
      </w:r>
      <w:r w:rsidR="006A3314" w:rsidRPr="006A3314">
        <w:rPr>
          <w:noProof/>
          <w:lang w:eastAsia="en-AU"/>
        </w:rPr>
        <w:drawing>
          <wp:inline distT="0" distB="0" distL="0" distR="0" wp14:anchorId="2D9058F2" wp14:editId="15B1014D">
            <wp:extent cx="5382895" cy="1720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82895" cy="172085"/>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6C49DC" w:rsidRDefault="006A3314" w:rsidP="006A3314">
      <w:pPr>
        <w:pStyle w:val="Heading8"/>
      </w:pPr>
      <w:bookmarkStart w:id="372" w:name="_Toc443923237"/>
      <w:bookmarkStart w:id="373" w:name="_Ref445933050"/>
      <w:bookmarkStart w:id="374" w:name="_Ref446278671"/>
      <w:bookmarkStart w:id="375" w:name="_Ref446280177"/>
      <w:bookmarkStart w:id="376" w:name="_Ref449020986"/>
      <w:bookmarkStart w:id="377" w:name="_Toc451333507"/>
      <w:bookmarkStart w:id="378" w:name="_Toc451943810"/>
      <w:bookmarkStart w:id="379" w:name="_Toc456686743"/>
      <w:bookmarkStart w:id="380" w:name="_Toc481057490"/>
      <w:bookmarkEnd w:id="369"/>
      <w:r w:rsidRPr="008F4F73">
        <w:t xml:space="preserve">Relationship between risk free rate and market risk premium in </w:t>
      </w:r>
      <w:r w:rsidRPr="006C49DC">
        <w:t>valuation reports</w:t>
      </w:r>
      <w:bookmarkEnd w:id="372"/>
      <w:bookmarkEnd w:id="373"/>
      <w:bookmarkEnd w:id="374"/>
      <w:bookmarkEnd w:id="375"/>
      <w:bookmarkEnd w:id="376"/>
      <w:bookmarkEnd w:id="377"/>
      <w:bookmarkEnd w:id="378"/>
      <w:bookmarkEnd w:id="379"/>
      <w:bookmarkEnd w:id="380"/>
    </w:p>
    <w:p w:rsidR="006A3314" w:rsidRPr="00C63A90" w:rsidRDefault="00BB13B7" w:rsidP="006A3314">
      <w:r>
        <w:rPr>
          <w:rStyle w:val="AERbody"/>
        </w:rPr>
        <w:t>Some s</w:t>
      </w:r>
      <w:r w:rsidR="006A3314" w:rsidRPr="00C63A90">
        <w:rPr>
          <w:rStyle w:val="AERbody"/>
        </w:rPr>
        <w:t>ervice providers</w:t>
      </w:r>
      <w:r w:rsidR="006A3314" w:rsidRPr="00C63A90">
        <w:t xml:space="preserve"> </w:t>
      </w:r>
      <w:r w:rsidR="006A3314">
        <w:t xml:space="preserve">have previously </w:t>
      </w:r>
      <w:r w:rsidR="006A3314" w:rsidRPr="00C63A90">
        <w:t>submitted that independent valuation reports provide evidence of an inverse relationship between the risk free rate and the market risk premium.</w:t>
      </w:r>
      <w:r w:rsidR="006A3314" w:rsidRPr="00C63A90">
        <w:rPr>
          <w:rStyle w:val="FootnoteReference"/>
        </w:rPr>
        <w:footnoteReference w:id="1092"/>
      </w:r>
      <w:r w:rsidR="006A3314" w:rsidRPr="00C63A90">
        <w:t xml:space="preserve"> In addition to reports by Incenta and NERA considered in our October and November 2015 decisions, the HoustonKemp report considered in the April and May 2016 decisions submits that there is a statistically significant inverse relationship between the government bond yield and the market risk premium that is applied by independent expert valuation professionals.</w:t>
      </w:r>
      <w:r w:rsidR="006A3314" w:rsidRPr="00C63A90">
        <w:rPr>
          <w:rStyle w:val="FootnoteReference"/>
        </w:rPr>
        <w:footnoteReference w:id="1093"/>
      </w:r>
    </w:p>
    <w:p w:rsidR="006A3314" w:rsidRPr="00C63A90" w:rsidRDefault="006A3314" w:rsidP="00CC7A1C">
      <w:pPr>
        <w:numPr>
          <w:ilvl w:val="0"/>
          <w:numId w:val="24"/>
        </w:numPr>
      </w:pPr>
      <w:r w:rsidRPr="00C63A90">
        <w:t>As stated in previous decisions we consider that there is not sufficient evidence to establish the existence of such a relationship in valuers' estimates, because:</w:t>
      </w:r>
    </w:p>
    <w:p w:rsidR="006A3314" w:rsidRPr="00C63A90" w:rsidRDefault="006A3314" w:rsidP="006A3314">
      <w:pPr>
        <w:pStyle w:val="AERbulletlistfirststyle"/>
      </w:pPr>
      <w:r w:rsidRPr="00C63A90">
        <w:t>Incenta's sample is too small to support a reliable inference.</w:t>
      </w:r>
    </w:p>
    <w:p w:rsidR="006A3314" w:rsidRPr="00C63A90" w:rsidRDefault="006A3314" w:rsidP="006A3314">
      <w:pPr>
        <w:pStyle w:val="AERbulletlistfirststyle"/>
      </w:pPr>
      <w:r w:rsidRPr="00C63A90">
        <w:t>NERA's regression results are driven by its unsupported assumption that any difference between a valuer's stated risk free rate and the prevailing yield on Commonwealth government securities is to be taken as part of their adopted market risk premium.</w:t>
      </w:r>
    </w:p>
    <w:p w:rsidR="006A3314" w:rsidRPr="00C63A90" w:rsidRDefault="006A3314" w:rsidP="006A3314">
      <w:r w:rsidRPr="00C63A90">
        <w:t xml:space="preserve">As HoustonKemp's analysis uses the same methods to that of NERA, our assessment of NERA's analysis in our October and November 2015 decisions are equally applicable to it. </w:t>
      </w:r>
      <w:r w:rsidRPr="00C63A90">
        <w:rPr>
          <w:rStyle w:val="AERbody"/>
        </w:rPr>
        <w:t>These reasons were supported by Partington and Satchell.</w:t>
      </w:r>
      <w:r w:rsidRPr="00C63A90">
        <w:rPr>
          <w:rStyle w:val="FootnoteReference"/>
        </w:rPr>
        <w:footnoteReference w:id="1094"/>
      </w:r>
      <w:r w:rsidRPr="00C63A90">
        <w:rPr>
          <w:rStyle w:val="AERbody"/>
        </w:rPr>
        <w:t xml:space="preserve"> </w:t>
      </w:r>
    </w:p>
    <w:p w:rsidR="006A3314" w:rsidRPr="006A3314" w:rsidRDefault="006A3314" w:rsidP="006A3314"/>
    <w:p w:rsidR="0070354B" w:rsidRDefault="0070354B" w:rsidP="0070354B">
      <w:pPr>
        <w:pStyle w:val="Heading7"/>
      </w:pPr>
      <w:bookmarkStart w:id="381" w:name="_Ref478460051"/>
      <w:bookmarkStart w:id="382" w:name="_Toc481057491"/>
      <w:r>
        <w:t>Empirical estimates of equity beta</w:t>
      </w:r>
      <w:bookmarkEnd w:id="381"/>
      <w:bookmarkEnd w:id="382"/>
    </w:p>
    <w:p w:rsidR="00352220" w:rsidRDefault="00352220" w:rsidP="00CC7A1C">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95"/>
      </w:r>
      <w:r>
        <w:t xml:space="preserve"> </w:t>
      </w:r>
    </w:p>
    <w:p w:rsidR="00352220" w:rsidRDefault="00352220" w:rsidP="00CC7A1C">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352220" w:rsidRDefault="00352220" w:rsidP="00CC7A1C">
      <w:pPr>
        <w:numPr>
          <w:ilvl w:val="0"/>
          <w:numId w:val="24"/>
        </w:numPr>
      </w:pPr>
      <w:r>
        <w:t>As discussed in section 3.4.1, empirical estimates using a comparator set of listed Australian energy network firms from Henry's 2014 report are the main determinants of our equity beta estimate for a benchmark efficient entity with a similar degree of risk as AusNet Services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r w:rsidRPr="002A2A95">
        <w:t xml:space="preserve"> </w:t>
      </w:r>
    </w:p>
    <w:p w:rsidR="00352220" w:rsidRDefault="00352220" w:rsidP="00CC7A1C">
      <w:pPr>
        <w:numPr>
          <w:ilvl w:val="0"/>
          <w:numId w:val="24"/>
        </w:numPr>
      </w:pPr>
      <w:r>
        <w:t>We note (and accept) AusNet Services adopted our Guideline equity beta of 0.7.</w:t>
      </w:r>
      <w:r>
        <w:rPr>
          <w:rStyle w:val="FootnoteReference"/>
        </w:rPr>
        <w:footnoteReference w:id="1096"/>
      </w:r>
      <w:r>
        <w:t xml:space="preserve"> However it submitted a CEG report (dated September 2016) that suggested a higher value based on updating and extending Henry's empirical Australian estimates.</w:t>
      </w:r>
      <w:r>
        <w:rPr>
          <w:rStyle w:val="FootnoteReference"/>
        </w:rPr>
        <w:footnoteReference w:id="1097"/>
      </w:r>
      <w:r>
        <w:t xml:space="preserve"> We responded to this material in section 3.4.1 and discuss them in more detail in this appendix. 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AusNet Services in providing regulated services. We consider this information provides some support for an equity beta point estimate towards the upper end of the range.</w:t>
      </w:r>
    </w:p>
    <w:p w:rsidR="00352220" w:rsidRDefault="00352220" w:rsidP="00CC7A1C">
      <w:pPr>
        <w:numPr>
          <w:ilvl w:val="0"/>
          <w:numId w:val="24"/>
        </w:numPr>
      </w:pPr>
      <w:r>
        <w:t>This appendix sets out:</w:t>
      </w:r>
    </w:p>
    <w:p w:rsidR="00352220" w:rsidRDefault="00352220" w:rsidP="00352220">
      <w:pPr>
        <w:pStyle w:val="AERbulletlistfirststyle"/>
        <w:rPr>
          <w:rStyle w:val="AERbody"/>
        </w:rPr>
      </w:pPr>
      <w:r>
        <w:rPr>
          <w:rStyle w:val="AERbody"/>
        </w:rPr>
        <w:t>the Australian and international empirical estimates we consider in this decision</w:t>
      </w:r>
    </w:p>
    <w:p w:rsidR="00352220" w:rsidRDefault="00352220" w:rsidP="00352220">
      <w:pPr>
        <w:pStyle w:val="AERbulletlistfirststyle"/>
        <w:rPr>
          <w:rStyle w:val="AERbody"/>
        </w:rPr>
      </w:pPr>
      <w:r>
        <w:rPr>
          <w:rStyle w:val="AERbody"/>
        </w:rPr>
        <w:t>the comparator set we use for our empirical analysis and our reasons for using this comparator set.</w:t>
      </w:r>
    </w:p>
    <w:p w:rsidR="00352220" w:rsidRPr="00352220" w:rsidRDefault="00352220" w:rsidP="002656D9">
      <w:pPr>
        <w:pStyle w:val="Heading8"/>
        <w:numPr>
          <w:ilvl w:val="1"/>
          <w:numId w:val="32"/>
        </w:numPr>
        <w:tabs>
          <w:tab w:val="clear" w:pos="1305"/>
          <w:tab w:val="num" w:pos="993"/>
        </w:tabs>
        <w:ind w:left="993" w:hanging="993"/>
      </w:pPr>
      <w:bookmarkStart w:id="383" w:name="_Ref446255169"/>
      <w:bookmarkStart w:id="384" w:name="_Toc451938999"/>
      <w:bookmarkStart w:id="385" w:name="_Toc481057492"/>
      <w:r>
        <w:t>Australian e</w:t>
      </w:r>
      <w:r w:rsidRPr="00352220">
        <w:t>mpirical estimates from Henry's 2014 report</w:t>
      </w:r>
      <w:bookmarkEnd w:id="383"/>
      <w:bookmarkEnd w:id="384"/>
      <w:bookmarkEnd w:id="385"/>
    </w:p>
    <w:p w:rsidR="00352220" w:rsidRDefault="00352220" w:rsidP="00CC7A1C">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98"/>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99"/>
      </w:r>
    </w:p>
    <w:p w:rsidR="00352220" w:rsidRPr="00C01E61" w:rsidRDefault="00352220" w:rsidP="00CC7A1C">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6B4A74">
        <w:t>G.4.1</w:t>
      </w:r>
      <w:r>
        <w:fldChar w:fldCharType="end"/>
      </w:r>
      <w:r>
        <w:t>)</w:t>
      </w:r>
      <w:r w:rsidRPr="00C01E61">
        <w:t xml:space="preserve">, using </w:t>
      </w:r>
      <w:r>
        <w:t xml:space="preserve">available </w:t>
      </w:r>
      <w:r w:rsidRPr="00C01E61">
        <w:t>data from 29 May 1992 to 28 June 2013.</w:t>
      </w:r>
      <w:r>
        <w:rPr>
          <w:rStyle w:val="FootnoteReference"/>
        </w:rPr>
        <w:footnoteReference w:id="1100"/>
      </w:r>
      <w:r w:rsidRPr="00C01E61">
        <w:t xml:space="preserve"> </w:t>
      </w:r>
      <w:r>
        <w:t>Based on our detailed discussion of methodological choices in recent decisions,</w:t>
      </w:r>
      <w:r>
        <w:rPr>
          <w:rStyle w:val="FootnoteReference"/>
        </w:rPr>
        <w:footnoteReference w:id="1101"/>
      </w:r>
      <w:r>
        <w:t xml:space="preserve"> w</w:t>
      </w:r>
      <w:r w:rsidRPr="00C01E61">
        <w:t>e consider the most useful empirical estimates:</w:t>
      </w:r>
    </w:p>
    <w:p w:rsidR="00352220" w:rsidRPr="001F00F1" w:rsidRDefault="00352220" w:rsidP="00352220">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352220" w:rsidRPr="001F00F1" w:rsidRDefault="00352220" w:rsidP="00352220">
      <w:pPr>
        <w:pStyle w:val="AERbulletlistfirststyle"/>
      </w:pPr>
      <w:r w:rsidRPr="00517D1B">
        <w:t>are measured over multiple estimation periods</w:t>
      </w:r>
      <w:r>
        <w:t xml:space="preserve"> </w:t>
      </w:r>
    </w:p>
    <w:p w:rsidR="00352220" w:rsidRDefault="00352220" w:rsidP="00352220">
      <w:pPr>
        <w:pStyle w:val="AERbulletlistfirststyle"/>
      </w:pPr>
      <w:r w:rsidRPr="00517D1B">
        <w:t>use weekly return intervals (with monthly returns used as a robustness check)</w:t>
      </w:r>
    </w:p>
    <w:p w:rsidR="00352220" w:rsidRPr="001F00F1" w:rsidRDefault="00352220" w:rsidP="00352220">
      <w:pPr>
        <w:pStyle w:val="AERbulletlistfirststyle"/>
      </w:pPr>
      <w:r>
        <w:t>use the Brealey–Myers formula</w:t>
      </w:r>
      <w:r w:rsidRPr="00517D1B">
        <w:t xml:space="preserve"> </w:t>
      </w:r>
      <w:r>
        <w:t>to de- and re-lever raw</w:t>
      </w:r>
      <w:r>
        <w:rPr>
          <w:rStyle w:val="FootnoteReference"/>
        </w:rPr>
        <w:footnoteReference w:id="1102"/>
      </w:r>
      <w:r>
        <w:t xml:space="preserve"> estimates to a benchmark gearing of 60 per cent, although we consider both raw and re-levered estimates </w:t>
      </w:r>
    </w:p>
    <w:p w:rsidR="00352220" w:rsidRPr="001F00F1" w:rsidRDefault="00352220" w:rsidP="00352220">
      <w:pPr>
        <w:pStyle w:val="AERbulletlistfirststyle"/>
      </w:pPr>
      <w:r w:rsidRPr="00517D1B">
        <w:t>are based on averages of individual firm estimates and fixed weight portfolios (equal weighting and value weighting)</w:t>
      </w:r>
    </w:p>
    <w:p w:rsidR="00352220" w:rsidRDefault="00352220" w:rsidP="00352220">
      <w:pPr>
        <w:pStyle w:val="AERbulletlistfirststyle"/>
      </w:pPr>
      <w:r w:rsidRPr="00517D1B">
        <w:t>do not apply a Blume or Vasicek adjustment</w:t>
      </w:r>
      <w:r w:rsidRPr="001F00F1">
        <w:t>.</w:t>
      </w:r>
      <w:r w:rsidRPr="001F00F1">
        <w:rPr>
          <w:rStyle w:val="FootnoteReference"/>
        </w:rPr>
        <w:footnoteReference w:id="1103"/>
      </w:r>
    </w:p>
    <w:p w:rsidR="00352220" w:rsidRPr="00D70AB3" w:rsidRDefault="00352220" w:rsidP="00CC7A1C">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6B4A74">
        <w:t xml:space="preserve">Table </w:t>
      </w:r>
      <w:r w:rsidR="006B4A74">
        <w:rPr>
          <w:noProof/>
        </w:rPr>
        <w:t>3</w:t>
      </w:r>
      <w:r w:rsidR="006B4A74">
        <w:noBreakHyphen/>
      </w:r>
      <w:r w:rsidR="006B4A74">
        <w:rPr>
          <w:noProof/>
        </w:rPr>
        <w:t>31</w:t>
      </w:r>
      <w:r>
        <w:fldChar w:fldCharType="end"/>
      </w:r>
      <w:r>
        <w:t xml:space="preserve"> and </w:t>
      </w:r>
      <w:r>
        <w:fldChar w:fldCharType="begin"/>
      </w:r>
      <w:r>
        <w:instrText xml:space="preserve"> REF  _Ref446197176 \* Lower \h </w:instrText>
      </w:r>
      <w:r>
        <w:fldChar w:fldCharType="separate"/>
      </w:r>
      <w:r w:rsidR="006B4A74">
        <w:t xml:space="preserve">table </w:t>
      </w:r>
      <w:r w:rsidR="006B4A74">
        <w:rPr>
          <w:noProof/>
        </w:rPr>
        <w:t>3</w:t>
      </w:r>
      <w:r w:rsidR="006B4A74">
        <w:noBreakHyphen/>
      </w:r>
      <w:r w:rsidR="006B4A74">
        <w:rPr>
          <w:noProof/>
        </w:rPr>
        <w:t>32</w:t>
      </w:r>
      <w:r>
        <w:fldChar w:fldCharType="end"/>
      </w:r>
      <w:r>
        <w:t xml:space="preserve"> set out </w:t>
      </w:r>
      <w:r w:rsidRPr="00D70AB3">
        <w:t>Henry's re-levered OLS equity beta estimates for the individual comparator firms (averaged across firms) and fixed weight portfolios respectively. The results show that:</w:t>
      </w:r>
    </w:p>
    <w:p w:rsidR="00352220" w:rsidRPr="001F00F1" w:rsidRDefault="00352220" w:rsidP="00352220">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104"/>
      </w:r>
      <w:r w:rsidRPr="001F00F1">
        <w:t xml:space="preserve"> </w:t>
      </w:r>
    </w:p>
    <w:p w:rsidR="00352220" w:rsidRPr="001F00F1" w:rsidRDefault="00352220" w:rsidP="00352220">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105"/>
      </w:r>
    </w:p>
    <w:p w:rsidR="00352220" w:rsidRDefault="00352220" w:rsidP="00352220">
      <w:pPr>
        <w:pStyle w:val="Caption"/>
      </w:pPr>
      <w:bookmarkStart w:id="386" w:name="_Ref446197185"/>
      <w:r>
        <w:t xml:space="preserve">Table </w:t>
      </w:r>
      <w:fldSimple w:instr=" STYLEREF 1 \s ">
        <w:r w:rsidR="006B4A74">
          <w:rPr>
            <w:noProof/>
          </w:rPr>
          <w:t>3</w:t>
        </w:r>
      </w:fldSimple>
      <w:r w:rsidR="008F29C8">
        <w:noBreakHyphen/>
      </w:r>
      <w:fldSimple w:instr=" SEQ Table \* ARABIC \s 1 ">
        <w:r w:rsidR="006B4A74">
          <w:rPr>
            <w:noProof/>
          </w:rPr>
          <w:t>31</w:t>
        </w:r>
      </w:fldSimple>
      <w:bookmarkEnd w:id="386"/>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352220" w:rsidTr="009D1AA8">
        <w:trPr>
          <w:cnfStyle w:val="100000000000" w:firstRow="1" w:lastRow="0" w:firstColumn="0" w:lastColumn="0" w:oddVBand="0" w:evenVBand="0" w:oddHBand="0" w:evenHBand="0" w:firstRowFirstColumn="0" w:firstRowLastColumn="0" w:lastRowFirstColumn="0" w:lastRowLastColumn="0"/>
        </w:trPr>
        <w:tc>
          <w:tcPr>
            <w:tcW w:w="2093" w:type="dxa"/>
          </w:tcPr>
          <w:p w:rsidR="00352220" w:rsidRPr="00352220" w:rsidRDefault="00352220" w:rsidP="00352220">
            <w:r>
              <w:t>Issue</w:t>
            </w:r>
          </w:p>
        </w:tc>
        <w:tc>
          <w:tcPr>
            <w:tcW w:w="2360" w:type="dxa"/>
          </w:tcPr>
          <w:p w:rsidR="00352220" w:rsidRPr="00352220" w:rsidRDefault="00352220" w:rsidP="00352220">
            <w:r>
              <w:t>Longest available period</w:t>
            </w:r>
          </w:p>
        </w:tc>
        <w:tc>
          <w:tcPr>
            <w:tcW w:w="2459" w:type="dxa"/>
          </w:tcPr>
          <w:p w:rsidR="00352220" w:rsidRPr="00352220" w:rsidRDefault="00352220" w:rsidP="00352220">
            <w:r>
              <w:t>2002 to 2013 (excluding GFC)</w:t>
            </w:r>
          </w:p>
        </w:tc>
        <w:tc>
          <w:tcPr>
            <w:tcW w:w="1781" w:type="dxa"/>
          </w:tcPr>
          <w:p w:rsidR="00352220" w:rsidRPr="00352220" w:rsidRDefault="00352220" w:rsidP="00352220">
            <w:r>
              <w:t xml:space="preserve">Last five years </w:t>
            </w:r>
            <w:r w:rsidRPr="00352220">
              <w:rPr>
                <w:rStyle w:val="FootnoteReference"/>
              </w:rPr>
              <w:t>(a)</w:t>
            </w:r>
          </w:p>
        </w:tc>
      </w:tr>
      <w:tr w:rsidR="00352220" w:rsidTr="009D1AA8">
        <w:tc>
          <w:tcPr>
            <w:tcW w:w="2093" w:type="dxa"/>
          </w:tcPr>
          <w:p w:rsidR="00352220" w:rsidRPr="00352220" w:rsidRDefault="00352220" w:rsidP="00352220">
            <w:r>
              <w:t>Re-levered OLS estimates</w:t>
            </w:r>
          </w:p>
        </w:tc>
        <w:tc>
          <w:tcPr>
            <w:tcW w:w="2360" w:type="dxa"/>
          </w:tcPr>
          <w:p w:rsidR="00352220" w:rsidRPr="00352220" w:rsidRDefault="00352220" w:rsidP="00352220">
            <w:r>
              <w:t>0.52</w:t>
            </w:r>
          </w:p>
        </w:tc>
        <w:tc>
          <w:tcPr>
            <w:tcW w:w="2459" w:type="dxa"/>
          </w:tcPr>
          <w:p w:rsidR="00352220" w:rsidRPr="00352220" w:rsidRDefault="00352220" w:rsidP="00352220">
            <w:r>
              <w:t>0.56</w:t>
            </w:r>
          </w:p>
        </w:tc>
        <w:tc>
          <w:tcPr>
            <w:tcW w:w="1781" w:type="dxa"/>
          </w:tcPr>
          <w:p w:rsidR="00352220" w:rsidRPr="00352220" w:rsidRDefault="00352220" w:rsidP="00352220">
            <w:r>
              <w:t>0.46</w:t>
            </w:r>
          </w:p>
        </w:tc>
      </w:tr>
    </w:tbl>
    <w:p w:rsidR="00352220" w:rsidRPr="0070354B" w:rsidRDefault="00352220" w:rsidP="00352220">
      <w:pPr>
        <w:pStyle w:val="AERtablesource"/>
      </w:pPr>
      <w:r w:rsidRPr="00C01E61">
        <w:t>Source:</w:t>
      </w:r>
      <w:r w:rsidRPr="00C01E61">
        <w:tab/>
      </w:r>
      <w:r w:rsidRPr="0070354B">
        <w:t xml:space="preserve">AER analysis; Henry, </w:t>
      </w:r>
      <w:r w:rsidRPr="0070354B">
        <w:rPr>
          <w:rStyle w:val="AERtextitalic"/>
        </w:rPr>
        <w:t>Estimating β: An update</w:t>
      </w:r>
      <w:r w:rsidRPr="0070354B">
        <w:t>, April 2014.</w:t>
      </w:r>
    </w:p>
    <w:p w:rsidR="00352220" w:rsidRDefault="00352220" w:rsidP="00352220">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352220" w:rsidRDefault="00352220" w:rsidP="00352220">
      <w:pPr>
        <w:pStyle w:val="Caption"/>
      </w:pPr>
      <w:bookmarkStart w:id="387" w:name="_Ref446197176"/>
      <w:r>
        <w:t xml:space="preserve">Table </w:t>
      </w:r>
      <w:fldSimple w:instr=" STYLEREF 1 \s ">
        <w:r w:rsidR="006B4A74">
          <w:rPr>
            <w:noProof/>
          </w:rPr>
          <w:t>3</w:t>
        </w:r>
      </w:fldSimple>
      <w:r w:rsidR="008F29C8">
        <w:noBreakHyphen/>
      </w:r>
      <w:fldSimple w:instr=" SEQ Table \* ARABIC \s 1 ">
        <w:r w:rsidR="006B4A74">
          <w:rPr>
            <w:noProof/>
          </w:rPr>
          <w:t>32</w:t>
        </w:r>
      </w:fldSimple>
      <w:bookmarkEnd w:id="387"/>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352220" w:rsidTr="009D1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9279A1" w:rsidRDefault="00352220" w:rsidP="00352220"/>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Firms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SKI, SPN</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Equal weighted</w:t>
            </w: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 xml:space="preserve">Longest available </w:t>
            </w:r>
            <w:r w:rsidRPr="00352220">
              <w:t>period</w:t>
            </w:r>
            <w:r w:rsidRPr="00352220">
              <w:rPr>
                <w:rStyle w:val="AERsuperscript"/>
              </w:rPr>
              <w:t>(a)</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0.39</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Value weighted</w:t>
            </w: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Longest available period</w:t>
            </w:r>
            <w:r w:rsidRPr="00352220">
              <w:rPr>
                <w:rStyle w:val="AERsuperscript"/>
              </w:rPr>
              <w:t>(a)</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0.39</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r>
    </w:tbl>
    <w:p w:rsidR="00352220" w:rsidRPr="00C01E61" w:rsidRDefault="00352220" w:rsidP="0035222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352220" w:rsidRPr="006460A6" w:rsidRDefault="00352220" w:rsidP="00352220">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AusNet Services' preliminary decision</w:t>
      </w:r>
      <w:r w:rsidRPr="006460A6">
        <w:t>.</w:t>
      </w:r>
    </w:p>
    <w:p w:rsidR="00352220" w:rsidRPr="006460A6" w:rsidRDefault="00352220" w:rsidP="0035222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352220" w:rsidRDefault="00352220" w:rsidP="00CC7A1C">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w:t>
      </w:r>
      <w:r w:rsidR="009A33A2">
        <w:t xml:space="preserve"> </w:t>
      </w:r>
      <w:r>
        <w:t>estimates are 'almost universally statistically insignificant'.</w:t>
      </w:r>
      <w:r>
        <w:rPr>
          <w:rStyle w:val="FootnoteReference"/>
        </w:rPr>
        <w:footnoteReference w:id="1106"/>
      </w:r>
      <w:r>
        <w:t xml:space="preserve"> The results are as follows:</w:t>
      </w:r>
      <w:r>
        <w:rPr>
          <w:rStyle w:val="FootnoteReference"/>
        </w:rPr>
        <w:footnoteReference w:id="1107"/>
      </w:r>
    </w:p>
    <w:p w:rsidR="00352220" w:rsidRPr="001F00F1" w:rsidRDefault="00352220" w:rsidP="00352220">
      <w:pPr>
        <w:pStyle w:val="AERbulletlistfirststyle"/>
      </w:pPr>
      <w:r w:rsidRPr="00CA72A5">
        <w:t>the re-levered LAD estimates range from 0.38 to 0.58 and the raw LAD estimates range from 0.31 to 0.60.</w:t>
      </w:r>
      <w:r w:rsidRPr="001F00F1">
        <w:rPr>
          <w:rStyle w:val="FootnoteReference"/>
        </w:rPr>
        <w:footnoteReference w:id="1108"/>
      </w:r>
    </w:p>
    <w:p w:rsidR="00352220" w:rsidRPr="001F00F1" w:rsidRDefault="00352220" w:rsidP="00352220">
      <w:pPr>
        <w:pStyle w:val="AERbulletlistfirststyle"/>
      </w:pPr>
      <w:r w:rsidRPr="00CA72A5">
        <w:t>the OLS estimates using monthly return intervals range from 0.37 to 0.58.</w:t>
      </w:r>
      <w:r w:rsidRPr="001F00F1">
        <w:rPr>
          <w:rStyle w:val="FootnoteReference"/>
        </w:rPr>
        <w:footnoteReference w:id="1109"/>
      </w:r>
      <w:r w:rsidRPr="001F00F1">
        <w:t xml:space="preserve"> </w:t>
      </w:r>
    </w:p>
    <w:p w:rsidR="00352220" w:rsidRDefault="00352220" w:rsidP="00CC7A1C">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10"/>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111"/>
      </w:r>
    </w:p>
    <w:p w:rsidR="00352220" w:rsidRDefault="00352220" w:rsidP="00352220">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352220" w:rsidRDefault="00352220" w:rsidP="00CC7A1C">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6B4A74">
        <w:t xml:space="preserve">figure </w:t>
      </w:r>
      <w:r w:rsidR="006B4A74">
        <w:rPr>
          <w:noProof/>
        </w:rPr>
        <w:t>3</w:t>
      </w:r>
      <w:r w:rsidR="006B4A74">
        <w:noBreakHyphen/>
      </w:r>
      <w:r w:rsidR="006B4A74">
        <w:rPr>
          <w:noProof/>
        </w:rPr>
        <w:t>17</w:t>
      </w:r>
      <w:r>
        <w:fldChar w:fldCharType="end"/>
      </w:r>
      <w:r>
        <w:t>.</w:t>
      </w:r>
    </w:p>
    <w:p w:rsidR="00352220" w:rsidRDefault="00352220" w:rsidP="00352220">
      <w:pPr>
        <w:pStyle w:val="Caption"/>
      </w:pPr>
      <w:bookmarkStart w:id="388" w:name="_Ref446243940"/>
      <w:r>
        <w:t xml:space="preserve">Figure </w:t>
      </w:r>
      <w:fldSimple w:instr=" STYLEREF 1 \s ">
        <w:r w:rsidR="006B4A74">
          <w:rPr>
            <w:noProof/>
          </w:rPr>
          <w:t>3</w:t>
        </w:r>
      </w:fldSimple>
      <w:r w:rsidR="008A2B2B">
        <w:noBreakHyphen/>
      </w:r>
      <w:fldSimple w:instr=" SEQ Figure \* ARABIC \s 1 ">
        <w:r w:rsidR="006B4A74">
          <w:rPr>
            <w:noProof/>
          </w:rPr>
          <w:t>17</w:t>
        </w:r>
      </w:fldSimple>
      <w:bookmarkEnd w:id="388"/>
      <w:r>
        <w:tab/>
        <w:t>Equity beta estimates from Henry's 2014 report (average of individual firm estimates and fixed weight portfolio estimates)</w:t>
      </w:r>
    </w:p>
    <w:p w:rsidR="00352220" w:rsidRDefault="00352220" w:rsidP="00CC7A1C">
      <w:pPr>
        <w:numPr>
          <w:ilvl w:val="0"/>
          <w:numId w:val="24"/>
        </w:numPr>
      </w:pPr>
      <w:r w:rsidRPr="00352220">
        <w:rPr>
          <w:noProof/>
          <w:lang w:eastAsia="en-AU"/>
        </w:rPr>
        <w:drawing>
          <wp:inline distT="0" distB="0" distL="0" distR="0" wp14:anchorId="428BA217" wp14:editId="01D63243">
            <wp:extent cx="5472000" cy="32905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352220" w:rsidRPr="00812C81" w:rsidRDefault="00352220" w:rsidP="0035222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352220" w:rsidRDefault="00352220" w:rsidP="0035222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352220" w:rsidRPr="0070354B" w:rsidRDefault="00352220" w:rsidP="00352220">
      <w:pPr>
        <w:pStyle w:val="Heading8"/>
      </w:pPr>
      <w:bookmarkStart w:id="389" w:name="_Ref446255164"/>
      <w:bookmarkStart w:id="390" w:name="_Toc451939000"/>
      <w:bookmarkStart w:id="391" w:name="_Toc481057493"/>
      <w:bookmarkStart w:id="392" w:name="_Ref401311140"/>
      <w:bookmarkStart w:id="393" w:name="_Toc401315943"/>
      <w:bookmarkStart w:id="394" w:name="_Toc403990360"/>
      <w:bookmarkStart w:id="395" w:name="_Toc404643523"/>
      <w:bookmarkStart w:id="396" w:name="_Toc415561729"/>
      <w:bookmarkStart w:id="397" w:name="_Toc417396119"/>
      <w:bookmarkStart w:id="398" w:name="_Toc418006918"/>
      <w:bookmarkStart w:id="399" w:name="_Toc431206901"/>
      <w:bookmarkStart w:id="400" w:name="_Toc443584848"/>
      <w:r>
        <w:t>Australian e</w:t>
      </w:r>
      <w:r w:rsidRPr="0070354B">
        <w:t>mpirical estimates from other studies</w:t>
      </w:r>
      <w:bookmarkEnd w:id="389"/>
      <w:bookmarkEnd w:id="390"/>
      <w:bookmarkEnd w:id="391"/>
    </w:p>
    <w:bookmarkEnd w:id="392"/>
    <w:bookmarkEnd w:id="393"/>
    <w:bookmarkEnd w:id="394"/>
    <w:bookmarkEnd w:id="395"/>
    <w:bookmarkEnd w:id="396"/>
    <w:bookmarkEnd w:id="397"/>
    <w:bookmarkEnd w:id="398"/>
    <w:bookmarkEnd w:id="399"/>
    <w:bookmarkEnd w:id="400"/>
    <w:p w:rsidR="00352220" w:rsidRDefault="00352220" w:rsidP="00CC7A1C">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6B4A74">
        <w:t xml:space="preserve">table </w:t>
      </w:r>
      <w:r w:rsidR="006B4A74">
        <w:rPr>
          <w:noProof/>
        </w:rPr>
        <w:t>3</w:t>
      </w:r>
      <w:r w:rsidR="006B4A74">
        <w:noBreakHyphen/>
      </w:r>
      <w:r w:rsidR="006B4A74">
        <w:rPr>
          <w:noProof/>
        </w:rPr>
        <w:t>33</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112"/>
      </w:r>
      <w:r>
        <w:t xml:space="preserve"> Nonetheless, the empirical estimates presented give us confidence that there is an extensive pattern of support for an empirical equity beta within a range of 0.4 to 0.7.</w:t>
      </w:r>
    </w:p>
    <w:p w:rsidR="00352220" w:rsidRDefault="00352220" w:rsidP="00352220">
      <w:pPr>
        <w:pStyle w:val="Caption"/>
      </w:pPr>
      <w:bookmarkStart w:id="401" w:name="_Ref446197667"/>
      <w:r>
        <w:t xml:space="preserve">Table </w:t>
      </w:r>
      <w:fldSimple w:instr=" STYLEREF 1 \s ">
        <w:r w:rsidR="006B4A74">
          <w:rPr>
            <w:noProof/>
          </w:rPr>
          <w:t>3</w:t>
        </w:r>
      </w:fldSimple>
      <w:r w:rsidR="008F29C8">
        <w:noBreakHyphen/>
      </w:r>
      <w:fldSimple w:instr=" SEQ Table \* ARABIC \s 1 ">
        <w:r w:rsidR="006B4A74">
          <w:rPr>
            <w:noProof/>
          </w:rPr>
          <w:t>33</w:t>
        </w:r>
      </w:fldSimple>
      <w:bookmarkEnd w:id="401"/>
      <w:r>
        <w:tab/>
        <w:t>Equity beta estimates for Australian energy network firms</w:t>
      </w:r>
    </w:p>
    <w:tbl>
      <w:tblPr>
        <w:tblStyle w:val="AERtable-text0"/>
        <w:tblW w:w="0" w:type="auto"/>
        <w:tblLook w:val="04A0" w:firstRow="1" w:lastRow="0" w:firstColumn="1" w:lastColumn="0" w:noHBand="0" w:noVBand="1"/>
      </w:tblPr>
      <w:tblGrid>
        <w:gridCol w:w="1089"/>
        <w:gridCol w:w="844"/>
        <w:gridCol w:w="991"/>
        <w:gridCol w:w="991"/>
        <w:gridCol w:w="1076"/>
        <w:gridCol w:w="3702"/>
      </w:tblGrid>
      <w:tr w:rsidR="00352220" w:rsidTr="002656D9">
        <w:trPr>
          <w:cnfStyle w:val="100000000000" w:firstRow="1" w:lastRow="0" w:firstColumn="0" w:lastColumn="0" w:oddVBand="0" w:evenVBand="0" w:oddHBand="0" w:evenHBand="0" w:firstRowFirstColumn="0" w:firstRowLastColumn="0" w:lastRowFirstColumn="0" w:lastRowLastColumn="0"/>
          <w:tblHeader/>
        </w:trPr>
        <w:tc>
          <w:tcPr>
            <w:tcW w:w="1101" w:type="dxa"/>
          </w:tcPr>
          <w:p w:rsidR="00352220" w:rsidRPr="00352220" w:rsidRDefault="00352220" w:rsidP="00352220">
            <w:r>
              <w:t>Source</w:t>
            </w:r>
          </w:p>
        </w:tc>
        <w:tc>
          <w:tcPr>
            <w:tcW w:w="850" w:type="dxa"/>
          </w:tcPr>
          <w:p w:rsidR="00352220" w:rsidRPr="00352220" w:rsidRDefault="00352220" w:rsidP="00352220">
            <w:r>
              <w:t xml:space="preserve">Time </w:t>
            </w:r>
            <w:r w:rsidRPr="00352220">
              <w:t>period</w:t>
            </w:r>
          </w:p>
        </w:tc>
        <w:tc>
          <w:tcPr>
            <w:tcW w:w="992" w:type="dxa"/>
          </w:tcPr>
          <w:p w:rsidR="00352220" w:rsidRPr="00352220" w:rsidRDefault="00352220" w:rsidP="00352220">
            <w:r>
              <w:t>Individual firm averages</w:t>
            </w:r>
          </w:p>
        </w:tc>
        <w:tc>
          <w:tcPr>
            <w:tcW w:w="993" w:type="dxa"/>
          </w:tcPr>
          <w:p w:rsidR="00352220" w:rsidRPr="00352220" w:rsidRDefault="00352220" w:rsidP="00352220">
            <w:r>
              <w:t>Fixed portfolios</w:t>
            </w:r>
          </w:p>
        </w:tc>
        <w:tc>
          <w:tcPr>
            <w:tcW w:w="992" w:type="dxa"/>
          </w:tcPr>
          <w:p w:rsidR="00352220" w:rsidRPr="00352220" w:rsidRDefault="00352220" w:rsidP="0064130D">
            <w:r>
              <w:t>Varying portfolios</w:t>
            </w:r>
            <w:r w:rsidR="0064130D" w:rsidRPr="00352220">
              <w:rPr>
                <w:rStyle w:val="AERsuperscript"/>
              </w:rPr>
              <w:t>(</w:t>
            </w:r>
            <w:r w:rsidR="0064130D">
              <w:rPr>
                <w:rStyle w:val="AERsuperscript"/>
              </w:rPr>
              <w:t>a</w:t>
            </w:r>
            <w:r w:rsidR="0064130D" w:rsidRPr="00352220">
              <w:rPr>
                <w:rStyle w:val="AERsuperscript"/>
              </w:rPr>
              <w:t>)</w:t>
            </w:r>
          </w:p>
        </w:tc>
        <w:tc>
          <w:tcPr>
            <w:tcW w:w="3765" w:type="dxa"/>
          </w:tcPr>
          <w:p w:rsidR="00352220" w:rsidRPr="00352220" w:rsidRDefault="00352220" w:rsidP="00352220">
            <w:r>
              <w:t>Summary of regression permutations</w:t>
            </w:r>
          </w:p>
        </w:tc>
      </w:tr>
      <w:tr w:rsidR="00352220" w:rsidTr="009D1AA8">
        <w:tc>
          <w:tcPr>
            <w:tcW w:w="1101" w:type="dxa"/>
          </w:tcPr>
          <w:p w:rsidR="00352220" w:rsidRPr="00352220" w:rsidRDefault="00352220" w:rsidP="00352220">
            <w:r>
              <w:t>CEG 2016</w:t>
            </w:r>
          </w:p>
        </w:tc>
        <w:tc>
          <w:tcPr>
            <w:tcW w:w="850" w:type="dxa"/>
          </w:tcPr>
          <w:p w:rsidR="00352220" w:rsidRPr="00352220" w:rsidRDefault="00352220" w:rsidP="00352220">
            <w:r>
              <w:t>1992 -2016</w:t>
            </w:r>
          </w:p>
        </w:tc>
        <w:tc>
          <w:tcPr>
            <w:tcW w:w="992" w:type="dxa"/>
          </w:tcPr>
          <w:p w:rsidR="00352220" w:rsidRPr="00352220" w:rsidRDefault="00352220" w:rsidP="0064130D">
            <w:r>
              <w:t>0.6-0.6</w:t>
            </w:r>
            <w:r w:rsidR="0064130D">
              <w:t>8</w:t>
            </w:r>
          </w:p>
        </w:tc>
        <w:tc>
          <w:tcPr>
            <w:tcW w:w="993" w:type="dxa"/>
          </w:tcPr>
          <w:p w:rsidR="00352220" w:rsidRPr="00352220" w:rsidRDefault="0064130D" w:rsidP="00352220">
            <w:r>
              <w:t>0.62–0.78</w:t>
            </w:r>
            <w:r w:rsidRPr="00352220">
              <w:rPr>
                <w:rStyle w:val="AERsuperscript"/>
              </w:rPr>
              <w:t>(b)</w:t>
            </w:r>
          </w:p>
        </w:tc>
        <w:tc>
          <w:tcPr>
            <w:tcW w:w="992" w:type="dxa"/>
          </w:tcPr>
          <w:p w:rsidR="00352220" w:rsidRPr="00352220" w:rsidRDefault="00B37A84" w:rsidP="00352220">
            <w:r>
              <w:t>0.5</w:t>
            </w:r>
            <w:r w:rsidRPr="00B37A84">
              <w:t>3-0.64</w:t>
            </w:r>
          </w:p>
        </w:tc>
        <w:tc>
          <w:tcPr>
            <w:tcW w:w="3765" w:type="dxa"/>
          </w:tcPr>
          <w:p w:rsidR="00352220" w:rsidRPr="00352220" w:rsidRDefault="00352220" w:rsidP="00B37A84">
            <w:r w:rsidRPr="001F00F1">
              <w:t xml:space="preserve">weekly return intervals, multiple estimation period, OLS regression, </w:t>
            </w:r>
            <w:r w:rsidR="00B37A84">
              <w:t xml:space="preserve">time varying </w:t>
            </w:r>
            <w:r w:rsidRPr="001F00F1">
              <w:t xml:space="preserve">portfolios, average/median varying portfolios, </w:t>
            </w:r>
            <w:r w:rsidRPr="00352220">
              <w:t>raw/re-levered estimates, 9 comparators</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352220" w:rsidRPr="00352220" w:rsidRDefault="00352220" w:rsidP="00352220">
            <w:r>
              <w:t>ERA 2016</w:t>
            </w:r>
          </w:p>
        </w:tc>
        <w:tc>
          <w:tcPr>
            <w:tcW w:w="850" w:type="dxa"/>
          </w:tcPr>
          <w:p w:rsidR="00352220" w:rsidRPr="00352220" w:rsidRDefault="00352220" w:rsidP="00352220">
            <w:r>
              <w:t>20</w:t>
            </w:r>
            <w:r w:rsidRPr="00352220">
              <w:t>11-2016</w:t>
            </w:r>
          </w:p>
        </w:tc>
        <w:tc>
          <w:tcPr>
            <w:tcW w:w="992" w:type="dxa"/>
          </w:tcPr>
          <w:p w:rsidR="00352220" w:rsidRPr="00352220" w:rsidRDefault="00352220" w:rsidP="00352220">
            <w:r w:rsidRPr="0070354B">
              <w:t>0.54–0.6</w:t>
            </w:r>
          </w:p>
        </w:tc>
        <w:tc>
          <w:tcPr>
            <w:tcW w:w="993" w:type="dxa"/>
          </w:tcPr>
          <w:p w:rsidR="00352220" w:rsidRPr="00352220" w:rsidRDefault="00352220" w:rsidP="00B37A84">
            <w:r w:rsidRPr="0070354B">
              <w:t>0.64–0.7</w:t>
            </w:r>
            <w:r w:rsidR="00B37A84">
              <w:t>8</w:t>
            </w:r>
          </w:p>
        </w:tc>
        <w:tc>
          <w:tcPr>
            <w:tcW w:w="992" w:type="dxa"/>
          </w:tcPr>
          <w:p w:rsidR="00352220" w:rsidRPr="00352220" w:rsidRDefault="00352220" w:rsidP="00352220">
            <w:r>
              <w:t>n/a</w:t>
            </w:r>
          </w:p>
        </w:tc>
        <w:tc>
          <w:tcPr>
            <w:tcW w:w="3765" w:type="dxa"/>
          </w:tcPr>
          <w:p w:rsidR="00352220" w:rsidRPr="00352220" w:rsidRDefault="00352220" w:rsidP="00B37A84">
            <w:r>
              <w:t xml:space="preserve">weekly return intervals, 5 years </w:t>
            </w:r>
            <w:r w:rsidR="00B37A84">
              <w:t>(J</w:t>
            </w:r>
            <w:r w:rsidR="00B37A84" w:rsidRPr="00B37A84">
              <w:t xml:space="preserve">une 2011 to May 2016 </w:t>
            </w:r>
            <w:r w:rsidR="00B37A84">
              <w:t xml:space="preserve">) </w:t>
            </w:r>
            <w:r>
              <w:t xml:space="preserve">for individual </w:t>
            </w:r>
            <w:r w:rsidR="00410AB6">
              <w:t>firms and</w:t>
            </w:r>
            <w:r w:rsidRPr="00352220">
              <w:t xml:space="preserve"> portfolio</w:t>
            </w:r>
            <w:r w:rsidR="00B37A84">
              <w:t>s</w:t>
            </w:r>
            <w:r w:rsidRPr="00352220">
              <w:t>, OLS/LAD/MM/T-S/ARIMAX/GARCH regressions, equal weight fixed/value weighted portfolios raw estimates, 4 comparators</w:t>
            </w:r>
          </w:p>
        </w:tc>
      </w:tr>
      <w:tr w:rsidR="00352220" w:rsidTr="009D1AA8">
        <w:tc>
          <w:tcPr>
            <w:tcW w:w="1101" w:type="dxa"/>
          </w:tcPr>
          <w:p w:rsidR="00352220" w:rsidRPr="00352220" w:rsidRDefault="00352220" w:rsidP="00352220">
            <w:r>
              <w:t>ERA 2015</w:t>
            </w:r>
          </w:p>
        </w:tc>
        <w:tc>
          <w:tcPr>
            <w:tcW w:w="850" w:type="dxa"/>
          </w:tcPr>
          <w:p w:rsidR="00352220" w:rsidRPr="00352220" w:rsidRDefault="00352220" w:rsidP="00352220">
            <w:r>
              <w:t>2010–2015</w:t>
            </w:r>
          </w:p>
        </w:tc>
        <w:tc>
          <w:tcPr>
            <w:tcW w:w="992" w:type="dxa"/>
          </w:tcPr>
          <w:p w:rsidR="00352220" w:rsidRPr="00352220" w:rsidRDefault="00352220" w:rsidP="00352220">
            <w:r>
              <w:t>0</w:t>
            </w:r>
            <w:r w:rsidRPr="00352220">
              <w:t>.55–0.59</w:t>
            </w:r>
          </w:p>
        </w:tc>
        <w:tc>
          <w:tcPr>
            <w:tcW w:w="993" w:type="dxa"/>
          </w:tcPr>
          <w:p w:rsidR="00352220" w:rsidRPr="00352220" w:rsidRDefault="00352220" w:rsidP="00B37A84">
            <w:r>
              <w:t>0</w:t>
            </w:r>
            <w:r w:rsidRPr="00352220">
              <w:t>.6</w:t>
            </w:r>
            <w:r w:rsidR="00B37A84">
              <w:t>5</w:t>
            </w:r>
            <w:r w:rsidRPr="00352220">
              <w:t>–0.79</w:t>
            </w:r>
          </w:p>
        </w:tc>
        <w:tc>
          <w:tcPr>
            <w:tcW w:w="992" w:type="dxa"/>
          </w:tcPr>
          <w:p w:rsidR="00352220" w:rsidRPr="00352220" w:rsidRDefault="00352220" w:rsidP="00352220">
            <w:r>
              <w:t>n/a</w:t>
            </w:r>
          </w:p>
        </w:tc>
        <w:tc>
          <w:tcPr>
            <w:tcW w:w="3765" w:type="dxa"/>
          </w:tcPr>
          <w:p w:rsidR="00352220" w:rsidRPr="00352220" w:rsidRDefault="00352220" w:rsidP="00352220">
            <w:r>
              <w:t>weekly return intervals, 5 years for individual firms</w:t>
            </w:r>
            <w:r w:rsidR="00B37A84">
              <w:t xml:space="preserve"> and portfolios</w:t>
            </w:r>
            <w:r>
              <w:t xml:space="preserve">, start </w:t>
            </w:r>
            <w:r w:rsidRPr="00352220">
              <w:t>November 2010 to October 2015, OLS/LAD/MM/T-S/ARIMAX/GARCH regressions, equal weight fixed/value weighted portfolios raw estimates, 4 comparators</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352220" w:rsidRPr="00352220" w:rsidRDefault="00352220" w:rsidP="00352220">
            <w:r>
              <w:t>S</w:t>
            </w:r>
            <w:r w:rsidRPr="00352220">
              <w:t>FG 2015</w:t>
            </w:r>
          </w:p>
        </w:tc>
        <w:tc>
          <w:tcPr>
            <w:tcW w:w="850" w:type="dxa"/>
          </w:tcPr>
          <w:p w:rsidR="00352220" w:rsidRPr="00352220" w:rsidRDefault="00352220" w:rsidP="00352220">
            <w:r>
              <w:t>2002-2013</w:t>
            </w:r>
          </w:p>
        </w:tc>
        <w:tc>
          <w:tcPr>
            <w:tcW w:w="992" w:type="dxa"/>
          </w:tcPr>
          <w:p w:rsidR="00352220" w:rsidRPr="00352220" w:rsidRDefault="00352220" w:rsidP="00352220">
            <w:r>
              <w:t>0.37-0.83</w:t>
            </w:r>
          </w:p>
        </w:tc>
        <w:tc>
          <w:tcPr>
            <w:tcW w:w="993" w:type="dxa"/>
          </w:tcPr>
          <w:p w:rsidR="00352220" w:rsidRPr="00352220" w:rsidRDefault="00352220" w:rsidP="00352220">
            <w:r>
              <w:t>0.39-0.70</w:t>
            </w:r>
          </w:p>
        </w:tc>
        <w:tc>
          <w:tcPr>
            <w:tcW w:w="992" w:type="dxa"/>
          </w:tcPr>
          <w:p w:rsidR="00352220" w:rsidRPr="00352220" w:rsidRDefault="00352220" w:rsidP="00352220">
            <w:r>
              <w:t>n/a</w:t>
            </w:r>
          </w:p>
        </w:tc>
        <w:tc>
          <w:tcPr>
            <w:tcW w:w="3765" w:type="dxa"/>
          </w:tcPr>
          <w:p w:rsidR="00352220" w:rsidRPr="00352220" w:rsidRDefault="00352220" w:rsidP="00352220">
            <w:r>
              <w:t>weekly</w:t>
            </w:r>
            <w:r w:rsidRPr="00352220">
              <w:t xml:space="preserve"> return intervals, multiple estimation periods, OLS/LAD regressions, equal weight fixed portfolios raw/re-levered estimates, 9 comparators</w:t>
            </w:r>
          </w:p>
        </w:tc>
      </w:tr>
      <w:tr w:rsidR="00352220" w:rsidTr="009D1AA8">
        <w:tc>
          <w:tcPr>
            <w:tcW w:w="1101" w:type="dxa"/>
          </w:tcPr>
          <w:p w:rsidR="00352220" w:rsidRPr="00352220" w:rsidRDefault="00352220" w:rsidP="00352220">
            <w:r>
              <w:t>Henry 2014</w:t>
            </w:r>
          </w:p>
        </w:tc>
        <w:tc>
          <w:tcPr>
            <w:tcW w:w="850" w:type="dxa"/>
          </w:tcPr>
          <w:p w:rsidR="00352220" w:rsidRPr="00352220" w:rsidRDefault="00352220" w:rsidP="00352220">
            <w:r>
              <w:t>1992–2013</w:t>
            </w:r>
          </w:p>
        </w:tc>
        <w:tc>
          <w:tcPr>
            <w:tcW w:w="992" w:type="dxa"/>
          </w:tcPr>
          <w:p w:rsidR="00352220" w:rsidRPr="00352220" w:rsidRDefault="00352220" w:rsidP="00352220">
            <w:r>
              <w:t>0.37–0.56</w:t>
            </w:r>
          </w:p>
        </w:tc>
        <w:tc>
          <w:tcPr>
            <w:tcW w:w="993" w:type="dxa"/>
          </w:tcPr>
          <w:p w:rsidR="00352220" w:rsidRPr="00352220" w:rsidRDefault="00352220" w:rsidP="0064130D">
            <w:r>
              <w:t>0.31–0.70</w:t>
            </w:r>
            <w:r w:rsidRPr="00352220">
              <w:rPr>
                <w:rStyle w:val="AERsuperscript"/>
              </w:rPr>
              <w:t>(</w:t>
            </w:r>
            <w:r w:rsidR="0064130D">
              <w:rPr>
                <w:rStyle w:val="AERsuperscript"/>
              </w:rPr>
              <w:t>c</w:t>
            </w:r>
            <w:r w:rsidRPr="00352220">
              <w:rPr>
                <w:rStyle w:val="AERsuperscript"/>
              </w:rPr>
              <w:t>)</w:t>
            </w:r>
          </w:p>
        </w:tc>
        <w:tc>
          <w:tcPr>
            <w:tcW w:w="992" w:type="dxa"/>
          </w:tcPr>
          <w:p w:rsidR="00352220" w:rsidRPr="00352220" w:rsidRDefault="00352220" w:rsidP="00352220">
            <w:r>
              <w:t>0.39–0.53</w:t>
            </w:r>
          </w:p>
        </w:tc>
        <w:tc>
          <w:tcPr>
            <w:tcW w:w="3765" w:type="dxa"/>
          </w:tcPr>
          <w:p w:rsidR="00352220" w:rsidRPr="00352220" w:rsidRDefault="00352220" w:rsidP="00352220">
            <w:r w:rsidRPr="001F00F1">
              <w:t xml:space="preserve">weekly/monthly return intervals, multiple estimation periods, OLS/LAD regressions, value/equal weight fixed portfolios, average/median varying portfolios, </w:t>
            </w:r>
            <w:r w:rsidRPr="00352220">
              <w:t>raw/re-levered estimates, 9 comparators</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352220" w:rsidRPr="00352220" w:rsidRDefault="00352220" w:rsidP="00352220">
            <w:r>
              <w:t>Grant Samuel 2014</w:t>
            </w:r>
          </w:p>
        </w:tc>
        <w:tc>
          <w:tcPr>
            <w:tcW w:w="850" w:type="dxa"/>
          </w:tcPr>
          <w:p w:rsidR="00352220" w:rsidRPr="00352220" w:rsidRDefault="00352220" w:rsidP="0064130D">
            <w:r>
              <w:t>2009–2014</w:t>
            </w:r>
            <w:r w:rsidRPr="00352220">
              <w:rPr>
                <w:rStyle w:val="AERsuperscript"/>
              </w:rPr>
              <w:t>(</w:t>
            </w:r>
            <w:r w:rsidR="0064130D">
              <w:rPr>
                <w:rStyle w:val="AERsuperscript"/>
              </w:rPr>
              <w:t>d</w:t>
            </w:r>
            <w:r w:rsidRPr="00352220">
              <w:rPr>
                <w:rStyle w:val="AERsuperscript"/>
              </w:rPr>
              <w:t>)</w:t>
            </w:r>
          </w:p>
        </w:tc>
        <w:tc>
          <w:tcPr>
            <w:tcW w:w="992" w:type="dxa"/>
          </w:tcPr>
          <w:p w:rsidR="00352220" w:rsidRPr="00352220" w:rsidRDefault="00352220" w:rsidP="00352220">
            <w:r>
              <w:t>0.42–0.64</w:t>
            </w:r>
          </w:p>
        </w:tc>
        <w:tc>
          <w:tcPr>
            <w:tcW w:w="993" w:type="dxa"/>
          </w:tcPr>
          <w:p w:rsidR="00352220" w:rsidRPr="00352220" w:rsidRDefault="00352220" w:rsidP="00352220">
            <w:r>
              <w:t>n/a</w:t>
            </w:r>
          </w:p>
        </w:tc>
        <w:tc>
          <w:tcPr>
            <w:tcW w:w="992" w:type="dxa"/>
          </w:tcPr>
          <w:p w:rsidR="00352220" w:rsidRPr="00352220" w:rsidRDefault="00352220" w:rsidP="00352220">
            <w:r>
              <w:t>n/a</w:t>
            </w:r>
          </w:p>
        </w:tc>
        <w:tc>
          <w:tcPr>
            <w:tcW w:w="3765" w:type="dxa"/>
          </w:tcPr>
          <w:p w:rsidR="00352220" w:rsidRPr="00352220" w:rsidRDefault="00352220" w:rsidP="00352220">
            <w:r w:rsidRPr="001F00F1">
              <w:t xml:space="preserve">weekly/monthly </w:t>
            </w:r>
            <w:r w:rsidRPr="00352220">
              <w:t>return intervals, multiple estimation periods, OLS regressions, Bloomberg adjusted betas, raw estimates, 5 comparators</w:t>
            </w:r>
          </w:p>
        </w:tc>
      </w:tr>
      <w:tr w:rsidR="00352220" w:rsidTr="009D1AA8">
        <w:tc>
          <w:tcPr>
            <w:tcW w:w="1101" w:type="dxa"/>
          </w:tcPr>
          <w:p w:rsidR="00352220" w:rsidRPr="00352220" w:rsidRDefault="00352220" w:rsidP="00352220">
            <w:r>
              <w:t>ERA 2013</w:t>
            </w:r>
          </w:p>
        </w:tc>
        <w:tc>
          <w:tcPr>
            <w:tcW w:w="850" w:type="dxa"/>
          </w:tcPr>
          <w:p w:rsidR="00352220" w:rsidRPr="00352220" w:rsidRDefault="00352220" w:rsidP="00352220">
            <w:r>
              <w:t>2002–2013</w:t>
            </w:r>
          </w:p>
        </w:tc>
        <w:tc>
          <w:tcPr>
            <w:tcW w:w="992" w:type="dxa"/>
          </w:tcPr>
          <w:p w:rsidR="00352220" w:rsidRPr="00352220" w:rsidRDefault="00352220" w:rsidP="00352220">
            <w:r>
              <w:t>0.48–0.52</w:t>
            </w:r>
          </w:p>
        </w:tc>
        <w:tc>
          <w:tcPr>
            <w:tcW w:w="993" w:type="dxa"/>
          </w:tcPr>
          <w:p w:rsidR="00352220" w:rsidRPr="00352220" w:rsidRDefault="00352220" w:rsidP="00352220">
            <w:r>
              <w:t>0.39–0.59</w:t>
            </w:r>
          </w:p>
        </w:tc>
        <w:tc>
          <w:tcPr>
            <w:tcW w:w="992" w:type="dxa"/>
          </w:tcPr>
          <w:p w:rsidR="00352220" w:rsidRPr="00352220" w:rsidRDefault="00352220" w:rsidP="00352220">
            <w:r>
              <w:t>n/a</w:t>
            </w:r>
          </w:p>
        </w:tc>
        <w:tc>
          <w:tcPr>
            <w:tcW w:w="3765" w:type="dxa"/>
          </w:tcPr>
          <w:p w:rsidR="00352220" w:rsidRPr="00352220" w:rsidRDefault="00352220" w:rsidP="00352220">
            <w:r w:rsidRPr="001F00F1">
              <w:t xml:space="preserve">weekly return intervals, OLS/LAD/MM/TS regressions, value/equal weight fixed portfolios, </w:t>
            </w:r>
            <w:r w:rsidRPr="00352220">
              <w:t>multiple estimation periods, re-levered estimates, 6 comparators</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352220" w:rsidRPr="00352220" w:rsidRDefault="00352220" w:rsidP="00352220">
            <w:r>
              <w:t>SFG 2013</w:t>
            </w:r>
          </w:p>
        </w:tc>
        <w:tc>
          <w:tcPr>
            <w:tcW w:w="850" w:type="dxa"/>
          </w:tcPr>
          <w:p w:rsidR="00352220" w:rsidRPr="00352220" w:rsidRDefault="00352220" w:rsidP="00352220">
            <w:r>
              <w:t>2002–2013</w:t>
            </w:r>
          </w:p>
        </w:tc>
        <w:tc>
          <w:tcPr>
            <w:tcW w:w="992" w:type="dxa"/>
          </w:tcPr>
          <w:p w:rsidR="00352220" w:rsidRPr="00352220" w:rsidRDefault="00352220" w:rsidP="00352220">
            <w:r>
              <w:t>0.60</w:t>
            </w:r>
          </w:p>
        </w:tc>
        <w:tc>
          <w:tcPr>
            <w:tcW w:w="993" w:type="dxa"/>
          </w:tcPr>
          <w:p w:rsidR="00352220" w:rsidRPr="00352220" w:rsidRDefault="00352220" w:rsidP="00352220">
            <w:r>
              <w:t>n/a</w:t>
            </w:r>
          </w:p>
        </w:tc>
        <w:tc>
          <w:tcPr>
            <w:tcW w:w="992" w:type="dxa"/>
          </w:tcPr>
          <w:p w:rsidR="00352220" w:rsidRPr="00352220" w:rsidRDefault="00352220" w:rsidP="00352220">
            <w:r>
              <w:t>0.55</w:t>
            </w:r>
          </w:p>
        </w:tc>
        <w:tc>
          <w:tcPr>
            <w:tcW w:w="3765" w:type="dxa"/>
          </w:tcPr>
          <w:p w:rsidR="00352220" w:rsidRPr="00352220" w:rsidRDefault="00352220" w:rsidP="00352220">
            <w:r w:rsidRPr="001F00F1">
              <w:t>OLS regressions, four weekly repeat sampling, Vasicek</w:t>
            </w:r>
            <w:r w:rsidRPr="00352220">
              <w:t xml:space="preserve"> adjustment, re-levered estimates, 9 comparators</w:t>
            </w:r>
          </w:p>
        </w:tc>
      </w:tr>
      <w:tr w:rsidR="00352220" w:rsidTr="009D1AA8">
        <w:tc>
          <w:tcPr>
            <w:tcW w:w="1101" w:type="dxa"/>
          </w:tcPr>
          <w:p w:rsidR="00352220" w:rsidRPr="00352220" w:rsidRDefault="00352220" w:rsidP="00352220">
            <w:r>
              <w:t>ERA 2012</w:t>
            </w:r>
          </w:p>
        </w:tc>
        <w:tc>
          <w:tcPr>
            <w:tcW w:w="850" w:type="dxa"/>
          </w:tcPr>
          <w:p w:rsidR="00352220" w:rsidRPr="00352220" w:rsidRDefault="00352220" w:rsidP="00352220">
            <w:r>
              <w:t>2002–2011</w:t>
            </w:r>
          </w:p>
        </w:tc>
        <w:tc>
          <w:tcPr>
            <w:tcW w:w="992" w:type="dxa"/>
          </w:tcPr>
          <w:p w:rsidR="00352220" w:rsidRPr="00352220" w:rsidRDefault="00352220" w:rsidP="00352220">
            <w:r>
              <w:t>0.44–0.60</w:t>
            </w:r>
          </w:p>
        </w:tc>
        <w:tc>
          <w:tcPr>
            <w:tcW w:w="993" w:type="dxa"/>
          </w:tcPr>
          <w:p w:rsidR="00352220" w:rsidRPr="00352220" w:rsidRDefault="00352220" w:rsidP="00352220">
            <w:r>
              <w:t>n/a</w:t>
            </w:r>
          </w:p>
        </w:tc>
        <w:tc>
          <w:tcPr>
            <w:tcW w:w="992" w:type="dxa"/>
          </w:tcPr>
          <w:p w:rsidR="00352220" w:rsidRPr="00352220" w:rsidRDefault="00352220" w:rsidP="00352220">
            <w:r>
              <w:t>n/a</w:t>
            </w:r>
          </w:p>
        </w:tc>
        <w:tc>
          <w:tcPr>
            <w:tcW w:w="3765" w:type="dxa"/>
          </w:tcPr>
          <w:p w:rsidR="00352220" w:rsidRPr="00352220" w:rsidRDefault="00352220" w:rsidP="00352220">
            <w:r w:rsidRPr="001F00F1">
              <w:t xml:space="preserve">weekly/monthly </w:t>
            </w:r>
            <w:r w:rsidRPr="00352220">
              <w:t>return intervals, OLS/LAD regressions, re-levered estimates, 9 comparators</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352220" w:rsidRPr="00352220" w:rsidRDefault="00352220" w:rsidP="00352220">
            <w:r>
              <w:t>Henry 2009</w:t>
            </w:r>
          </w:p>
        </w:tc>
        <w:tc>
          <w:tcPr>
            <w:tcW w:w="850" w:type="dxa"/>
          </w:tcPr>
          <w:p w:rsidR="00352220" w:rsidRPr="00352220" w:rsidRDefault="00352220" w:rsidP="00352220">
            <w:r>
              <w:t>2002–2008</w:t>
            </w:r>
          </w:p>
        </w:tc>
        <w:tc>
          <w:tcPr>
            <w:tcW w:w="992" w:type="dxa"/>
          </w:tcPr>
          <w:p w:rsidR="00352220" w:rsidRPr="00352220" w:rsidRDefault="00352220" w:rsidP="00352220">
            <w:r>
              <w:t>0.45–0.71</w:t>
            </w:r>
          </w:p>
        </w:tc>
        <w:tc>
          <w:tcPr>
            <w:tcW w:w="993" w:type="dxa"/>
          </w:tcPr>
          <w:p w:rsidR="00352220" w:rsidRPr="00352220" w:rsidRDefault="00352220" w:rsidP="0064130D">
            <w:r>
              <w:t>0.35–0.94</w:t>
            </w:r>
            <w:r w:rsidRPr="00352220">
              <w:rPr>
                <w:rStyle w:val="AERsuperscript"/>
              </w:rPr>
              <w:t>(</w:t>
            </w:r>
            <w:r w:rsidR="0064130D">
              <w:rPr>
                <w:rStyle w:val="AERsuperscript"/>
              </w:rPr>
              <w:t>e</w:t>
            </w:r>
            <w:r w:rsidRPr="00352220">
              <w:rPr>
                <w:rStyle w:val="AERsuperscript"/>
              </w:rPr>
              <w:t>)</w:t>
            </w:r>
          </w:p>
        </w:tc>
        <w:tc>
          <w:tcPr>
            <w:tcW w:w="992" w:type="dxa"/>
          </w:tcPr>
          <w:p w:rsidR="00352220" w:rsidRPr="00352220" w:rsidRDefault="00352220" w:rsidP="00352220">
            <w:r>
              <w:t>0.41</w:t>
            </w:r>
            <w:r>
              <w:softHyphen/>
              <w:t>–0.78</w:t>
            </w:r>
          </w:p>
        </w:tc>
        <w:tc>
          <w:tcPr>
            <w:tcW w:w="3765" w:type="dxa"/>
          </w:tcPr>
          <w:p w:rsidR="00352220" w:rsidRPr="00352220" w:rsidRDefault="00352220" w:rsidP="00352220">
            <w:r w:rsidRPr="001F00F1">
              <w:t xml:space="preserve">weekly/monthly return </w:t>
            </w:r>
            <w:r w:rsidRPr="00352220">
              <w:t>intervals, various estimation periods, OLS/LAD regressions, value/equal weight fixed portfolios, average/median varying portfolios, re-levered estimates, 9 comparators</w:t>
            </w:r>
          </w:p>
        </w:tc>
      </w:tr>
      <w:tr w:rsidR="00352220" w:rsidTr="009D1AA8">
        <w:tc>
          <w:tcPr>
            <w:tcW w:w="1101" w:type="dxa"/>
          </w:tcPr>
          <w:p w:rsidR="00352220" w:rsidRPr="00352220" w:rsidRDefault="00352220" w:rsidP="00352220">
            <w:r>
              <w:t>ACG 2009</w:t>
            </w:r>
            <w:r w:rsidR="0064130D" w:rsidRPr="00352220">
              <w:rPr>
                <w:rStyle w:val="AERsuperscript"/>
              </w:rPr>
              <w:t>(</w:t>
            </w:r>
            <w:r w:rsidR="0064130D" w:rsidRPr="0064130D">
              <w:rPr>
                <w:rStyle w:val="AERsuperscript"/>
              </w:rPr>
              <w:t>f)</w:t>
            </w:r>
          </w:p>
        </w:tc>
        <w:tc>
          <w:tcPr>
            <w:tcW w:w="850" w:type="dxa"/>
          </w:tcPr>
          <w:p w:rsidR="00352220" w:rsidRPr="00352220" w:rsidRDefault="00352220" w:rsidP="00352220">
            <w:r>
              <w:t>1990–2008</w:t>
            </w:r>
          </w:p>
        </w:tc>
        <w:tc>
          <w:tcPr>
            <w:tcW w:w="992" w:type="dxa"/>
          </w:tcPr>
          <w:p w:rsidR="00352220" w:rsidRPr="00352220" w:rsidRDefault="00352220" w:rsidP="00352220">
            <w:r>
              <w:t>0.50–0.58</w:t>
            </w:r>
          </w:p>
        </w:tc>
        <w:tc>
          <w:tcPr>
            <w:tcW w:w="993" w:type="dxa"/>
          </w:tcPr>
          <w:p w:rsidR="00352220" w:rsidRPr="00352220" w:rsidRDefault="00352220" w:rsidP="00352220">
            <w:r>
              <w:t>n/a</w:t>
            </w:r>
          </w:p>
        </w:tc>
        <w:tc>
          <w:tcPr>
            <w:tcW w:w="992" w:type="dxa"/>
          </w:tcPr>
          <w:p w:rsidR="00352220" w:rsidRPr="00352220" w:rsidRDefault="00352220" w:rsidP="00352220">
            <w:r>
              <w:t>0.69–0.91</w:t>
            </w:r>
          </w:p>
        </w:tc>
        <w:tc>
          <w:tcPr>
            <w:tcW w:w="3765" w:type="dxa"/>
          </w:tcPr>
          <w:p w:rsidR="00352220" w:rsidRPr="00352220" w:rsidRDefault="00352220" w:rsidP="00352220">
            <w:r w:rsidRPr="001F00F1">
              <w:t>monthly return intervals, OLS/LAD regressions, multiple estimation periods, raw/re-levered estimates, average/median varying portfolios, 9 comparators</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352220" w:rsidRPr="00352220" w:rsidRDefault="00352220" w:rsidP="00352220">
            <w:r>
              <w:t>Henry 2008</w:t>
            </w:r>
          </w:p>
        </w:tc>
        <w:tc>
          <w:tcPr>
            <w:tcW w:w="850" w:type="dxa"/>
          </w:tcPr>
          <w:p w:rsidR="00352220" w:rsidRPr="00352220" w:rsidRDefault="00352220" w:rsidP="00352220">
            <w:r>
              <w:t>2002–2008</w:t>
            </w:r>
          </w:p>
        </w:tc>
        <w:tc>
          <w:tcPr>
            <w:tcW w:w="992" w:type="dxa"/>
          </w:tcPr>
          <w:p w:rsidR="00352220" w:rsidRPr="00352220" w:rsidRDefault="00352220" w:rsidP="00352220">
            <w:r>
              <w:t>0.35–0.67</w:t>
            </w:r>
          </w:p>
        </w:tc>
        <w:tc>
          <w:tcPr>
            <w:tcW w:w="993" w:type="dxa"/>
          </w:tcPr>
          <w:p w:rsidR="00352220" w:rsidRPr="00352220" w:rsidRDefault="00352220" w:rsidP="0064130D">
            <w:r>
              <w:t>0.31–0.77</w:t>
            </w:r>
            <w:r w:rsidRPr="00352220">
              <w:rPr>
                <w:rStyle w:val="AERsuperscript"/>
              </w:rPr>
              <w:t>(</w:t>
            </w:r>
            <w:r w:rsidR="0064130D">
              <w:rPr>
                <w:rStyle w:val="AERsuperscript"/>
              </w:rPr>
              <w:t>g</w:t>
            </w:r>
            <w:r w:rsidRPr="00352220">
              <w:rPr>
                <w:rStyle w:val="AERsuperscript"/>
              </w:rPr>
              <w:t>)</w:t>
            </w:r>
          </w:p>
        </w:tc>
        <w:tc>
          <w:tcPr>
            <w:tcW w:w="992" w:type="dxa"/>
          </w:tcPr>
          <w:p w:rsidR="00352220" w:rsidRPr="00352220" w:rsidRDefault="00352220" w:rsidP="00352220">
            <w:r>
              <w:t>n/a</w:t>
            </w:r>
          </w:p>
        </w:tc>
        <w:tc>
          <w:tcPr>
            <w:tcW w:w="3765" w:type="dxa"/>
          </w:tcPr>
          <w:p w:rsidR="00352220" w:rsidRPr="00352220" w:rsidRDefault="00352220" w:rsidP="00352220">
            <w:r w:rsidRPr="001F00F1">
              <w:t xml:space="preserve">daily/weekly/monthly return intervals, discrete/continuous returns, various estimation periods, OLS/LAD regressions, value/equal weight portfolios, raw/re-levered estimates, no adjustment/Vasicek/Blume, 10 comparators </w:t>
            </w:r>
          </w:p>
        </w:tc>
      </w:tr>
    </w:tbl>
    <w:p w:rsidR="00352220" w:rsidRPr="00EB6387" w:rsidRDefault="00352220" w:rsidP="00352220">
      <w:pPr>
        <w:pStyle w:val="AERtablesource"/>
      </w:pPr>
      <w:r w:rsidRPr="00660C1E">
        <w:t>Source:</w:t>
      </w:r>
      <w:r w:rsidRPr="00660C1E">
        <w:tab/>
        <w:t>AER analysis</w:t>
      </w:r>
      <w:r w:rsidRPr="00EB6387">
        <w:t>.</w:t>
      </w:r>
      <w:r w:rsidRPr="00EB6387">
        <w:rPr>
          <w:rStyle w:val="FootnoteReference"/>
        </w:rPr>
        <w:footnoteReference w:id="1113"/>
      </w:r>
    </w:p>
    <w:p w:rsidR="00352220" w:rsidRDefault="00352220" w:rsidP="00352220">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64130D" w:rsidRPr="00660C1E" w:rsidRDefault="0064130D" w:rsidP="0064130D">
      <w:pPr>
        <w:pStyle w:val="AERtablesource"/>
      </w:pPr>
      <w:r w:rsidRPr="00660C1E">
        <w:t>(</w:t>
      </w:r>
      <w:r>
        <w:t>b</w:t>
      </w:r>
      <w:r w:rsidRPr="00660C1E">
        <w:t>)</w:t>
      </w:r>
      <w:r w:rsidRPr="00660C1E">
        <w:tab/>
      </w:r>
      <w:r>
        <w:t>These estimates are based on five-year and one year data to June 2016 for the 4 remaining comparator firms (AST, DUE, SKI and APA).</w:t>
      </w:r>
    </w:p>
    <w:p w:rsidR="00352220" w:rsidRPr="00660C1E" w:rsidRDefault="00352220" w:rsidP="00352220">
      <w:pPr>
        <w:pStyle w:val="AERtablesource"/>
      </w:pPr>
      <w:r w:rsidRPr="00660C1E">
        <w:t>(</w:t>
      </w:r>
      <w:r w:rsidR="0064130D">
        <w:t>c</w:t>
      </w:r>
      <w:r w:rsidRPr="00660C1E">
        <w:t>)</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352220" w:rsidRPr="00660C1E" w:rsidRDefault="00352220" w:rsidP="00352220">
      <w:pPr>
        <w:pStyle w:val="AERtablesource"/>
      </w:pPr>
      <w:r w:rsidRPr="00660C1E">
        <w:t>(</w:t>
      </w:r>
      <w:r w:rsidR="0064130D">
        <w:t>d</w:t>
      </w:r>
      <w:r w:rsidRPr="00660C1E">
        <w:t>)</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352220" w:rsidRPr="00660C1E" w:rsidRDefault="00352220" w:rsidP="00352220">
      <w:pPr>
        <w:pStyle w:val="AERtablesource"/>
      </w:pPr>
      <w:r w:rsidRPr="00660C1E">
        <w:t>(</w:t>
      </w:r>
      <w:r w:rsidR="0064130D">
        <w:t>e</w:t>
      </w:r>
      <w:r w:rsidRPr="00660C1E">
        <w:t>)</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352220" w:rsidRDefault="0064130D" w:rsidP="00352220">
      <w:pPr>
        <w:pStyle w:val="AERtablesource"/>
      </w:pPr>
      <w:r>
        <w:t>(f</w:t>
      </w:r>
      <w:r w:rsidR="00352220" w:rsidRPr="00660C1E">
        <w:t>)</w:t>
      </w:r>
      <w:r w:rsidR="00352220" w:rsidRPr="00660C1E">
        <w:tab/>
        <w:t>ACG did not make it clear what time period its data covered. However, it noted that equity beta estimates were only used where there were more than 20 observations.</w:t>
      </w:r>
    </w:p>
    <w:p w:rsidR="0064130D" w:rsidRPr="0064130D" w:rsidRDefault="0064130D" w:rsidP="0064130D">
      <w:pPr>
        <w:pStyle w:val="AERtablesource"/>
      </w:pPr>
      <w:r w:rsidRPr="00660C1E">
        <w:t>(</w:t>
      </w:r>
      <w:r>
        <w:t>g</w:t>
      </w:r>
      <w:r w:rsidRPr="00660C1E">
        <w:t>)</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5A28D5" w:rsidRDefault="00352220" w:rsidP="00071636">
      <w:r>
        <w:t>We</w:t>
      </w:r>
      <w:r w:rsidRPr="00352220">
        <w:t xml:space="preserve"> note</w:t>
      </w:r>
      <w:r w:rsidR="005F7600">
        <w:t xml:space="preserve"> AusNet Services</w:t>
      </w:r>
      <w:r w:rsidRPr="00352220">
        <w:t xml:space="preserve"> submitted more recent Australian empirical estimates of equity beta since our previous regulatory decision. </w:t>
      </w:r>
      <w:r w:rsidR="00071636">
        <w:t>This new material is a</w:t>
      </w:r>
      <w:r w:rsidRPr="00352220">
        <w:t xml:space="preserve"> September 2016 CEG report that claim replication and extension of Henry’s 2014 empirical Australian estimates of equity beta</w:t>
      </w:r>
      <w:r w:rsidR="00071636">
        <w:t>.</w:t>
      </w:r>
      <w:r w:rsidRPr="00352220">
        <w:rPr>
          <w:rStyle w:val="FootnoteReference"/>
        </w:rPr>
        <w:footnoteReference w:id="1114"/>
      </w:r>
    </w:p>
    <w:p w:rsidR="00352220" w:rsidRPr="00352220" w:rsidRDefault="00352220" w:rsidP="00071636">
      <w:pPr>
        <w:pStyle w:val="AERbulletlistfirststyle"/>
        <w:numPr>
          <w:ilvl w:val="0"/>
          <w:numId w:val="0"/>
        </w:numPr>
      </w:pPr>
      <w:r>
        <w:t xml:space="preserve">After considering </w:t>
      </w:r>
      <w:r w:rsidR="00071636">
        <w:t>this material</w:t>
      </w:r>
      <w:r>
        <w:t xml:space="preserve">, we are of the view that </w:t>
      </w:r>
      <w:r w:rsidRPr="00352220">
        <w:t xml:space="preserve">they do not provide satisfactory evidence to depart from our empirical range of 0.4–0.7 and point estimate of 0.7. </w:t>
      </w:r>
    </w:p>
    <w:p w:rsidR="00352220" w:rsidRPr="00352220" w:rsidRDefault="00352220" w:rsidP="00A164C0">
      <w:pPr>
        <w:pStyle w:val="AERbulletlistfirststyle"/>
        <w:numPr>
          <w:ilvl w:val="0"/>
          <w:numId w:val="0"/>
        </w:numPr>
      </w:pPr>
      <w:r>
        <w:t>We discuss each of this material below.</w:t>
      </w:r>
    </w:p>
    <w:p w:rsidR="00352220" w:rsidRPr="009A33A2" w:rsidRDefault="00352220" w:rsidP="009A33A2">
      <w:pPr>
        <w:pStyle w:val="Heading9"/>
      </w:pPr>
      <w:bookmarkStart w:id="402" w:name="_Toc480460872"/>
      <w:r w:rsidRPr="009A33A2">
        <w:t>September 2016 CEG reports</w:t>
      </w:r>
      <w:bookmarkEnd w:id="402"/>
    </w:p>
    <w:p w:rsidR="00352220" w:rsidRDefault="00352220" w:rsidP="00352220">
      <w:pPr>
        <w:rPr>
          <w:rStyle w:val="AERbody"/>
        </w:rPr>
      </w:pPr>
      <w:r>
        <w:t>We</w:t>
      </w:r>
      <w:r w:rsidRPr="00352220">
        <w:t xml:space="preserve"> note AusNet Services has adopted the Guideline equity beta of 0.7 but still submitted </w:t>
      </w:r>
      <w:r>
        <w:rPr>
          <w:rStyle w:val="AERbody"/>
        </w:rPr>
        <w:t>CEG's September 2016 report in support of a higher beta. We note CEG's main conclusions are:</w:t>
      </w:r>
    </w:p>
    <w:p w:rsidR="00352220" w:rsidRDefault="00352220" w:rsidP="00352220">
      <w:pPr>
        <w:pStyle w:val="AERbulletlistfirststyle"/>
      </w:pPr>
      <w:r>
        <w:t>CEG's extension of Henry's estimates to June 2016 suggest that empirical estimates of equity have increased since Henry's 2014 report</w:t>
      </w:r>
    </w:p>
    <w:p w:rsidR="00352220" w:rsidRPr="00352220" w:rsidRDefault="00352220" w:rsidP="00A164C0">
      <w:pPr>
        <w:pStyle w:val="AERbulletlistfirststyle"/>
      </w:pPr>
      <w:r>
        <w:t>CEG's more recent estimates (one year and five year estimates to June 2016) for still listed firms indicate a more prominent increase in the equity beta</w:t>
      </w:r>
    </w:p>
    <w:p w:rsidR="00352220" w:rsidRDefault="00352220" w:rsidP="00352220">
      <w:pPr>
        <w:rPr>
          <w:rStyle w:val="AERbody"/>
        </w:rPr>
      </w:pPr>
      <w:r>
        <w:rPr>
          <w:rStyle w:val="AERbody"/>
        </w:rPr>
        <w:t>We discuss each conclusion below.</w:t>
      </w:r>
    </w:p>
    <w:p w:rsidR="00352220" w:rsidRPr="002656D9" w:rsidRDefault="00352220" w:rsidP="009A33A2">
      <w:pPr>
        <w:pStyle w:val="HeadingBoldItalic"/>
      </w:pPr>
      <w:bookmarkStart w:id="403" w:name="_Toc480460873"/>
      <w:r w:rsidRPr="002656D9">
        <w:t>Extension of Henry's results</w:t>
      </w:r>
      <w:bookmarkEnd w:id="403"/>
    </w:p>
    <w:p w:rsidR="00352220" w:rsidRPr="00D609EE" w:rsidRDefault="00352220" w:rsidP="00352220">
      <w:r>
        <w:t>CEG extended</w:t>
      </w:r>
      <w:r w:rsidRPr="00D609EE">
        <w:t xml:space="preserve"> Henry’s estimates to June 2016 </w:t>
      </w:r>
      <w:r>
        <w:t xml:space="preserve">and concluded </w:t>
      </w:r>
      <w:r w:rsidRPr="00D609EE">
        <w:t>that empirical estimates of equity beta have increased since Henry’s 2014 report</w:t>
      </w:r>
      <w:r>
        <w:t xml:space="preserve"> based on the following results</w:t>
      </w:r>
      <w:r w:rsidRPr="00D609EE">
        <w:t xml:space="preserve">: </w:t>
      </w:r>
    </w:p>
    <w:p w:rsidR="00352220" w:rsidRDefault="00352220" w:rsidP="00352220">
      <w:pPr>
        <w:pStyle w:val="AERbulletlistfirststyle"/>
      </w:pPr>
      <w:r>
        <w:t>Individual firm estimates show that the average re-levered equity beta has increased by around (0.04) since the end of Henry’s sample period (or an increase of around 0.09 for firms with 3 years of additional data is available)</w:t>
      </w:r>
      <w:r>
        <w:rPr>
          <w:rStyle w:val="FootnoteReference"/>
        </w:rPr>
        <w:footnoteReference w:id="1115"/>
      </w:r>
    </w:p>
    <w:p w:rsidR="00352220" w:rsidRPr="00D609EE" w:rsidRDefault="00352220" w:rsidP="00352220">
      <w:pPr>
        <w:pStyle w:val="AERbulletlistfirststyle"/>
      </w:pPr>
      <w:r>
        <w:t>Weekly equal weighted portfolio beta show that average beta has increased by around 0.04 since the end of Henry’s sample period (or an increase of around 0.07 for portfolios for which additional data is available)</w:t>
      </w:r>
      <w:r w:rsidRPr="00D609EE">
        <w:rPr>
          <w:rStyle w:val="FootnoteReference"/>
        </w:rPr>
        <w:footnoteReference w:id="1116"/>
      </w:r>
      <w:r w:rsidRPr="00D609EE">
        <w:rPr>
          <w:rStyle w:val="FootnoteReference"/>
        </w:rPr>
        <w:t xml:space="preserve"> </w:t>
      </w:r>
    </w:p>
    <w:p w:rsidR="00352220" w:rsidRPr="00352220" w:rsidRDefault="00352220" w:rsidP="00A164C0">
      <w:pPr>
        <w:pStyle w:val="AERbulletlistfirststyle"/>
        <w:rPr>
          <w:rStyle w:val="AERbody"/>
        </w:rPr>
      </w:pPr>
      <w:r>
        <w:t>W</w:t>
      </w:r>
      <w:r w:rsidRPr="00352220">
        <w:t>eekly value weighted portfolio beta show that re-levered equity beta has increased by around 0.05 since the end of Henry’s sample period (or an increase of around 0.1 for portfolios for which additional data is available)</w:t>
      </w:r>
      <w:r w:rsidRPr="00352220">
        <w:rPr>
          <w:rStyle w:val="FootnoteReference"/>
        </w:rPr>
        <w:footnoteReference w:id="1117"/>
      </w:r>
    </w:p>
    <w:p w:rsidR="00352220" w:rsidRPr="00A164C0" w:rsidRDefault="00352220" w:rsidP="00352220">
      <w:pPr>
        <w:rPr>
          <w:rStyle w:val="AERbody"/>
        </w:rPr>
      </w:pPr>
      <w:r w:rsidRPr="00A164C0">
        <w:rPr>
          <w:rStyle w:val="AERbody"/>
        </w:rPr>
        <w:t>Having analysed CEG’s results, we do not consider that CEG’s extension provides satisfactory evidence of a material change in equity beta estimates</w:t>
      </w:r>
      <w:r>
        <w:rPr>
          <w:rStyle w:val="AERbody"/>
        </w:rPr>
        <w:t xml:space="preserve"> to warrant departure from our empirical range of 0.4–0.7 and point estimate of 0.7</w:t>
      </w:r>
      <w:r w:rsidRPr="00A164C0">
        <w:rPr>
          <w:rStyle w:val="AERbody"/>
        </w:rPr>
        <w:t xml:space="preserve"> for a number of reasons, including: </w:t>
      </w:r>
    </w:p>
    <w:p w:rsidR="00352220" w:rsidRPr="00352220" w:rsidRDefault="00352220" w:rsidP="00A164C0">
      <w:pPr>
        <w:pStyle w:val="AERbulletlistfirststyle"/>
        <w:rPr>
          <w:rStyle w:val="AERbody"/>
          <w:rFonts w:cstheme="minorBidi"/>
        </w:rPr>
      </w:pPr>
      <w:r w:rsidRPr="00A164C0">
        <w:rPr>
          <w:rStyle w:val="AERbody"/>
        </w:rPr>
        <w:t xml:space="preserve">There is no statistical test to see if the </w:t>
      </w:r>
      <w:r w:rsidRPr="00352220">
        <w:rPr>
          <w:rStyle w:val="AERbody"/>
        </w:rPr>
        <w:t>empirical estimates</w:t>
      </w:r>
      <w:r w:rsidRPr="00A164C0">
        <w:rPr>
          <w:rStyle w:val="AERbody"/>
        </w:rPr>
        <w:t xml:space="preserve"> ha</w:t>
      </w:r>
      <w:r w:rsidRPr="00352220">
        <w:rPr>
          <w:rStyle w:val="AERbody"/>
        </w:rPr>
        <w:t>ve</w:t>
      </w:r>
      <w:r w:rsidRPr="00A164C0">
        <w:rPr>
          <w:rStyle w:val="AERbody"/>
        </w:rPr>
        <w:t xml:space="preserve"> changed significantly from Henry’s results</w:t>
      </w:r>
      <w:r w:rsidRPr="00352220">
        <w:rPr>
          <w:rStyle w:val="AERbody"/>
        </w:rPr>
        <w:t xml:space="preserve"> at a statistically significant level</w:t>
      </w:r>
      <w:r w:rsidRPr="00A164C0">
        <w:rPr>
          <w:rStyle w:val="AERbody"/>
        </w:rPr>
        <w:t>.</w:t>
      </w:r>
    </w:p>
    <w:p w:rsidR="00352220" w:rsidRPr="00352220" w:rsidRDefault="00352220" w:rsidP="00A164C0">
      <w:pPr>
        <w:pStyle w:val="AERbulletlistfirststyle"/>
        <w:rPr>
          <w:rStyle w:val="AERbody"/>
        </w:rPr>
      </w:pPr>
      <w:r w:rsidRPr="00A164C0">
        <w:rPr>
          <w:rStyle w:val="AERbody"/>
        </w:rPr>
        <w:t>We note</w:t>
      </w:r>
      <w:r w:rsidRPr="00352220">
        <w:rPr>
          <w:rStyle w:val="AERbody"/>
        </w:rPr>
        <w:t xml:space="preserve"> CEG's replication are generally higher than Henry's original results. In particular,</w:t>
      </w:r>
      <w:r w:rsidRPr="00A164C0">
        <w:rPr>
          <w:rStyle w:val="AERbody"/>
        </w:rPr>
        <w:t xml:space="preserve"> CEG’s </w:t>
      </w:r>
      <w:r w:rsidRPr="00352220">
        <w:rPr>
          <w:rStyle w:val="AERbody"/>
        </w:rPr>
        <w:t xml:space="preserve">replication of SKI's re-levered beta is </w:t>
      </w:r>
      <w:r w:rsidRPr="00A164C0">
        <w:rPr>
          <w:rStyle w:val="AERbody"/>
        </w:rPr>
        <w:t>57 per cent higher than Henry’s estimate which would drive differences between CEG’s replication (and extension) and Henry’s original results</w:t>
      </w:r>
      <w:r w:rsidRPr="00352220">
        <w:rPr>
          <w:rStyle w:val="AERtextsize8"/>
        </w:rPr>
        <w:t>.</w:t>
      </w:r>
      <w:r w:rsidRPr="00352220">
        <w:rPr>
          <w:rStyle w:val="FootnoteReference"/>
        </w:rPr>
        <w:footnoteReference w:id="1118"/>
      </w:r>
      <w:r w:rsidRPr="00352220">
        <w:rPr>
          <w:rStyle w:val="AERtextsize8"/>
        </w:rPr>
        <w:t xml:space="preserve"> </w:t>
      </w:r>
      <w:r w:rsidRPr="00352220">
        <w:rPr>
          <w:rStyle w:val="AERbody"/>
        </w:rPr>
        <w:t>CEG also acknowledged the discrepancy between its replication and Henry's results</w:t>
      </w:r>
      <w:r w:rsidRPr="00A164C0">
        <w:rPr>
          <w:rStyle w:val="AERbody"/>
        </w:rPr>
        <w:t>.</w:t>
      </w:r>
      <w:r w:rsidRPr="00352220">
        <w:rPr>
          <w:rStyle w:val="FootnoteReference"/>
        </w:rPr>
        <w:footnoteReference w:id="1119"/>
      </w:r>
      <w:r w:rsidRPr="00352220">
        <w:rPr>
          <w:rStyle w:val="AERtextsize8"/>
        </w:rPr>
        <w:t xml:space="preserve"> </w:t>
      </w:r>
    </w:p>
    <w:p w:rsidR="00352220" w:rsidRPr="00EA732D" w:rsidRDefault="00352220" w:rsidP="00352220">
      <w:pPr>
        <w:pStyle w:val="AERbulletlistfirststyle"/>
      </w:pPr>
      <w:r w:rsidRPr="0056528A">
        <w:rPr>
          <w:rStyle w:val="AERbody"/>
        </w:rPr>
        <w:t>CEG’s extension does not suggest a material change in empirical estimates to warrant departure from our range of 0.4–0.7 and point estimate of 0.7</w:t>
      </w:r>
      <w:r w:rsidRPr="00EA732D">
        <w:rPr>
          <w:rStyle w:val="AERtextsize8"/>
        </w:rPr>
        <w:t xml:space="preserve">. </w:t>
      </w:r>
      <w:r w:rsidRPr="00EA732D">
        <w:t xml:space="preserve">For example: </w:t>
      </w:r>
    </w:p>
    <w:p w:rsidR="00352220" w:rsidRPr="00EA732D" w:rsidRDefault="00352220" w:rsidP="00352220">
      <w:pPr>
        <w:pStyle w:val="AERbulletlistsecondstyle"/>
        <w:rPr>
          <w:rStyle w:val="AERtextsize8"/>
        </w:rPr>
      </w:pPr>
      <w:r>
        <w:t>T</w:t>
      </w:r>
      <w:r w:rsidRPr="00EA732D">
        <w:t>he average re-levered firm-level estimates increased slightly (by 0.042) from 0.554 to 0.596. The average re-levered portfolio estimates increased by a similar magnitude.</w:t>
      </w:r>
      <w:r>
        <w:t xml:space="preserve"> These estimates are consistent with our range of 0.4–0.7.</w:t>
      </w:r>
    </w:p>
    <w:p w:rsidR="00352220" w:rsidRPr="00EA732D" w:rsidRDefault="00352220" w:rsidP="00352220">
      <w:pPr>
        <w:pStyle w:val="AERbulletlistsecondstyle"/>
        <w:rPr>
          <w:rStyle w:val="AERbody"/>
        </w:rPr>
      </w:pPr>
      <w:r>
        <w:rPr>
          <w:rStyle w:val="AERbody"/>
        </w:rPr>
        <w:t xml:space="preserve">Partington and Satchell advised that </w:t>
      </w:r>
      <w:r w:rsidRPr="00EA732D">
        <w:rPr>
          <w:rStyle w:val="AERbody"/>
        </w:rPr>
        <w:t>'with one exception, all the betas resulting from [CEG’s extension of individual firm beta estimates (longest time period) lay within the 95% confidence interval of Henry’s estimates].</w:t>
      </w:r>
      <w:r w:rsidRPr="00EA732D">
        <w:rPr>
          <w:rStyle w:val="FootnoteReference"/>
        </w:rPr>
        <w:footnoteReference w:id="1120"/>
      </w:r>
      <w:r w:rsidRPr="00EA732D">
        <w:rPr>
          <w:rStyle w:val="AERbody"/>
        </w:rPr>
        <w:t xml:space="preserve"> For equally weighted portfolios, only one portfolio (P5) lay outside the 95% confidence intervals of Henry’s estimates.</w:t>
      </w:r>
      <w:r>
        <w:rPr>
          <w:rStyle w:val="AERbody"/>
        </w:rPr>
        <w:t xml:space="preserve"> This does not suggest a material change in empirical estimates of equity beta.</w:t>
      </w:r>
    </w:p>
    <w:p w:rsidR="00352220" w:rsidRPr="00A164C0" w:rsidRDefault="00352220" w:rsidP="00A164C0">
      <w:pPr>
        <w:pStyle w:val="AERbulletlistsecondstyle"/>
        <w:rPr>
          <w:rStyle w:val="AERbody"/>
        </w:rPr>
      </w:pPr>
      <w:r w:rsidRPr="00EA732D">
        <w:rPr>
          <w:rStyle w:val="AERbody"/>
        </w:rPr>
        <w:t xml:space="preserve">CEG's observed 'increases' in the equity beta </w:t>
      </w:r>
      <w:r w:rsidRPr="00352220">
        <w:rPr>
          <w:rStyle w:val="AERbody"/>
        </w:rPr>
        <w:t>would be overstated due to discrepancies with Henry's original results.</w:t>
      </w:r>
    </w:p>
    <w:p w:rsidR="00352220" w:rsidRPr="00A164C0" w:rsidRDefault="00352220" w:rsidP="00A164C0">
      <w:pPr>
        <w:pStyle w:val="AERbulletlistfirststyle"/>
        <w:rPr>
          <w:rStyle w:val="AERbody"/>
        </w:rPr>
      </w:pPr>
      <w:r w:rsidRPr="00A164C0">
        <w:rPr>
          <w:rStyle w:val="AERbody"/>
        </w:rPr>
        <w:t>Given the above</w:t>
      </w:r>
      <w:r w:rsidRPr="00352220">
        <w:rPr>
          <w:rStyle w:val="AERbody"/>
        </w:rPr>
        <w:t xml:space="preserve"> discrepancy with re-levered equity betas</w:t>
      </w:r>
      <w:r w:rsidRPr="00A164C0">
        <w:rPr>
          <w:rStyle w:val="AERbody"/>
        </w:rPr>
        <w:t xml:space="preserve">, </w:t>
      </w:r>
      <w:r w:rsidRPr="00352220">
        <w:rPr>
          <w:rStyle w:val="AERbody"/>
        </w:rPr>
        <w:t>a</w:t>
      </w:r>
      <w:r w:rsidRPr="00A164C0">
        <w:rPr>
          <w:rStyle w:val="AERbody"/>
        </w:rPr>
        <w:t xml:space="preserve"> comparison of the asset betas (of Henry’s original results and CEG’s extension) shows </w:t>
      </w:r>
      <w:r w:rsidRPr="00352220">
        <w:rPr>
          <w:rStyle w:val="AERbody"/>
        </w:rPr>
        <w:t>little</w:t>
      </w:r>
      <w:r w:rsidRPr="00A164C0">
        <w:rPr>
          <w:rStyle w:val="AERbody"/>
        </w:rPr>
        <w:t xml:space="preserve"> change. </w:t>
      </w:r>
      <w:r w:rsidRPr="00352220">
        <w:rPr>
          <w:rStyle w:val="AERbody"/>
        </w:rPr>
        <w:t>Partington and Satchell also agreed that ‘all increases seem rather small and are very likely statistically insignificant’.</w:t>
      </w:r>
      <w:r w:rsidRPr="00352220">
        <w:rPr>
          <w:rStyle w:val="FootnoteReference"/>
        </w:rPr>
        <w:footnoteReference w:id="1121"/>
      </w:r>
    </w:p>
    <w:p w:rsidR="00352220" w:rsidRPr="00352220" w:rsidRDefault="00352220" w:rsidP="00A164C0">
      <w:pPr>
        <w:pStyle w:val="AERbulletlistfirststyle"/>
        <w:rPr>
          <w:rStyle w:val="AERtextsize8"/>
          <w:rFonts w:cstheme="minorBidi"/>
        </w:rPr>
      </w:pPr>
      <w:r w:rsidRPr="00BA79D8">
        <w:t xml:space="preserve">CEG included a time varying element in the extension estimation of portfolios </w:t>
      </w:r>
      <w:r w:rsidRPr="00352220">
        <w:t>estimates.  Henry 2014 had stated that great caution should be exercised when interpreting the beta estimates from the resulting time varying portfolios as they were not grounded in financial theory.</w:t>
      </w:r>
    </w:p>
    <w:p w:rsidR="00352220" w:rsidRDefault="00352220" w:rsidP="00352220">
      <w:r w:rsidRPr="00A164C0">
        <w:rPr>
          <w:rStyle w:val="AERbody"/>
        </w:rPr>
        <w:t>Our views are supported by</w:t>
      </w:r>
      <w:r>
        <w:rPr>
          <w:rStyle w:val="AERtextsize8"/>
        </w:rPr>
        <w:t xml:space="preserve"> </w:t>
      </w:r>
      <w:r w:rsidRPr="00D609EE">
        <w:t>Partington and Satchell who noted that they ‘are not convinced that there has been material change in beta’ after reviewing CEG’s estimates.</w:t>
      </w:r>
      <w:r>
        <w:rPr>
          <w:rStyle w:val="FootnoteReference"/>
        </w:rPr>
        <w:footnoteReference w:id="1122"/>
      </w:r>
      <w:r w:rsidRPr="00D609EE">
        <w:t xml:space="preserve"> </w:t>
      </w:r>
    </w:p>
    <w:p w:rsidR="009A33A2" w:rsidRPr="00D609EE" w:rsidRDefault="009A33A2" w:rsidP="00352220"/>
    <w:p w:rsidR="00352220" w:rsidRDefault="00352220" w:rsidP="009D1AA8">
      <w:pPr>
        <w:pStyle w:val="HeadingBoldItalic"/>
        <w:rPr>
          <w:rStyle w:val="AERtextorange"/>
        </w:rPr>
      </w:pPr>
      <w:bookmarkStart w:id="404" w:name="_Toc480460874"/>
      <w:r>
        <w:t>One year and five year estimates of equity beta</w:t>
      </w:r>
      <w:bookmarkEnd w:id="404"/>
    </w:p>
    <w:p w:rsidR="00352220" w:rsidRDefault="00352220" w:rsidP="00352220">
      <w:r>
        <w:t>CEG estimated one year and five year equity beta for the four still-listed firms (APA, SKI, DUE and AST) in Henry's comparator firms and concluded that this suggested a more prominent increase in the equity beta:</w:t>
      </w:r>
    </w:p>
    <w:p w:rsidR="00352220" w:rsidRPr="00F674B0" w:rsidRDefault="00352220" w:rsidP="00352220">
      <w:pPr>
        <w:pStyle w:val="AERbulletlistfirststyle"/>
      </w:pPr>
      <w:r>
        <w:t>Most recent 5 year equity beta have almost doubled on average compared to Henry’s 5 year estimates</w:t>
      </w:r>
      <w:r w:rsidRPr="00F674B0">
        <w:rPr>
          <w:rStyle w:val="FootnoteReference"/>
        </w:rPr>
        <w:footnoteReference w:id="1123"/>
      </w:r>
    </w:p>
    <w:p w:rsidR="00352220" w:rsidRPr="00F674B0" w:rsidRDefault="00352220" w:rsidP="00352220">
      <w:pPr>
        <w:pStyle w:val="AERbulletlistfirststyle"/>
      </w:pPr>
      <w:r>
        <w:t>Most recent one year estimate show a</w:t>
      </w:r>
      <w:r w:rsidRPr="00F674B0">
        <w:t>verage re-levered equity beta has increased by around 0.13 compared to Henry’s 5-year estimates.</w:t>
      </w:r>
      <w:r w:rsidRPr="00F674B0">
        <w:rPr>
          <w:rStyle w:val="FootnoteReference"/>
        </w:rPr>
        <w:footnoteReference w:id="1124"/>
      </w:r>
      <w:r w:rsidRPr="00F674B0">
        <w:t xml:space="preserve">  </w:t>
      </w:r>
    </w:p>
    <w:p w:rsidR="00352220" w:rsidRPr="00352220" w:rsidRDefault="00B62985" w:rsidP="00352220">
      <w:pPr>
        <w:rPr>
          <w:rStyle w:val="AERbody"/>
        </w:rPr>
      </w:pPr>
      <w:r>
        <w:rPr>
          <w:rStyle w:val="AERbody"/>
        </w:rPr>
        <w:t>W</w:t>
      </w:r>
      <w:r w:rsidR="00352220" w:rsidRPr="00A164C0">
        <w:rPr>
          <w:rStyle w:val="AERbody"/>
        </w:rPr>
        <w:t xml:space="preserve">e </w:t>
      </w:r>
      <w:r>
        <w:rPr>
          <w:rStyle w:val="AERbody"/>
        </w:rPr>
        <w:t>have previously outlined</w:t>
      </w:r>
      <w:r w:rsidR="00352220" w:rsidRPr="00A164C0">
        <w:rPr>
          <w:rStyle w:val="AERbody"/>
        </w:rPr>
        <w:t xml:space="preserve"> reservations about the imprecise nature of empirical estimates, particularly for shorter-term estimates and small samples</w:t>
      </w:r>
      <w:r w:rsidR="00352220" w:rsidRPr="003379AF">
        <w:rPr>
          <w:rStyle w:val="AERtextsize8"/>
        </w:rPr>
        <w:t>.</w:t>
      </w:r>
      <w:r w:rsidR="00352220" w:rsidRPr="003379AF">
        <w:rPr>
          <w:rStyle w:val="FootnoteReference"/>
        </w:rPr>
        <w:footnoteReference w:id="1125"/>
      </w:r>
      <w:r w:rsidR="00352220">
        <w:rPr>
          <w:rStyle w:val="AERtextsize8"/>
        </w:rPr>
        <w:t xml:space="preserve"> </w:t>
      </w:r>
      <w:r w:rsidR="00352220" w:rsidRPr="00A164C0">
        <w:rPr>
          <w:rStyle w:val="AERbody"/>
        </w:rPr>
        <w:t xml:space="preserve">We continue to be of this view </w:t>
      </w:r>
      <w:r w:rsidR="00352220">
        <w:rPr>
          <w:rStyle w:val="AERbody"/>
        </w:rPr>
        <w:t xml:space="preserve">and consider that </w:t>
      </w:r>
      <w:r w:rsidR="00352220" w:rsidRPr="00A164C0">
        <w:rPr>
          <w:rStyle w:val="AERbody"/>
        </w:rPr>
        <w:t xml:space="preserve">short term data is more prone to one-off events, fluctuations and volatilities in the market–which may obscure the ‘true’ equity beta for a benchmark efficient entity. Therefore, we have </w:t>
      </w:r>
      <w:r w:rsidR="00E60AE4">
        <w:rPr>
          <w:rStyle w:val="AERbody"/>
        </w:rPr>
        <w:t xml:space="preserve">most </w:t>
      </w:r>
      <w:r w:rsidR="00352220" w:rsidRPr="00A164C0">
        <w:rPr>
          <w:rStyle w:val="AERbody"/>
        </w:rPr>
        <w:t>regard to longer term estimates when determining the equity beta</w:t>
      </w:r>
      <w:r w:rsidR="00352220">
        <w:rPr>
          <w:rStyle w:val="AERbody"/>
        </w:rPr>
        <w:t xml:space="preserve"> and do not consider, as proposed by CEG, that more recent estimates of equity sufficiently justify an increase to our range and/or point estimates.</w:t>
      </w:r>
    </w:p>
    <w:p w:rsidR="0070354B" w:rsidRPr="0070354B" w:rsidRDefault="0070354B" w:rsidP="0070354B">
      <w:pPr>
        <w:pStyle w:val="Heading8"/>
      </w:pPr>
      <w:bookmarkStart w:id="405" w:name="_Toc451939001"/>
      <w:bookmarkStart w:id="406" w:name="_Toc481057494"/>
      <w:r>
        <w:t>International e</w:t>
      </w:r>
      <w:r w:rsidRPr="0070354B">
        <w:t>mpirical estimates</w:t>
      </w:r>
      <w:bookmarkEnd w:id="405"/>
      <w:bookmarkEnd w:id="406"/>
      <w:r w:rsidRPr="0070354B">
        <w:t xml:space="preserve"> </w:t>
      </w:r>
    </w:p>
    <w:p w:rsidR="0070354B" w:rsidRDefault="0070354B" w:rsidP="0070354B">
      <w:r>
        <w:t xml:space="preserve">The international empirical estimates we consider in this decision are set out in </w:t>
      </w:r>
      <w:r>
        <w:fldChar w:fldCharType="begin"/>
      </w:r>
      <w:r>
        <w:instrText xml:space="preserve"> REF  _Ref446238074 \* Lower \h </w:instrText>
      </w:r>
      <w:r>
        <w:fldChar w:fldCharType="separate"/>
      </w:r>
      <w:r w:rsidR="006B4A74">
        <w:t xml:space="preserve">table </w:t>
      </w:r>
      <w:r w:rsidR="006B4A74">
        <w:rPr>
          <w:noProof/>
        </w:rPr>
        <w:t>3</w:t>
      </w:r>
      <w:r w:rsidR="006B4A74">
        <w:noBreakHyphen/>
      </w:r>
      <w:r w:rsidR="006B4A74">
        <w:rPr>
          <w:noProof/>
        </w:rPr>
        <w:t>34</w:t>
      </w:r>
      <w:r>
        <w:fldChar w:fldCharType="end"/>
      </w:r>
      <w:r>
        <w:t xml:space="preserve"> and range from 0.3 to 1.0.</w:t>
      </w:r>
      <w:r>
        <w:rPr>
          <w:rStyle w:val="FootnoteReference"/>
        </w:rPr>
        <w:footnoteReference w:id="1126"/>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AusNet Services in providing regulated services (see section </w:t>
      </w:r>
      <w:r>
        <w:fldChar w:fldCharType="begin"/>
      </w:r>
      <w:r>
        <w:instrText xml:space="preserve"> REF _Ref446254445 \r \h </w:instrText>
      </w:r>
      <w:r>
        <w:fldChar w:fldCharType="separate"/>
      </w:r>
      <w:r w:rsidR="006B4A74">
        <w:t>G.4.3</w:t>
      </w:r>
      <w:r>
        <w:fldChar w:fldCharType="end"/>
      </w:r>
      <w:r>
        <w:t>).</w:t>
      </w:r>
    </w:p>
    <w:p w:rsidR="009A33A2" w:rsidRDefault="009A33A2" w:rsidP="0070354B"/>
    <w:p w:rsidR="009A33A2" w:rsidRDefault="009A33A2" w:rsidP="0070354B"/>
    <w:p w:rsidR="0070354B" w:rsidRDefault="0070354B" w:rsidP="0070354B">
      <w:pPr>
        <w:pStyle w:val="Caption"/>
      </w:pPr>
      <w:bookmarkStart w:id="407" w:name="_Ref446238074"/>
      <w:r>
        <w:t xml:space="preserve">Table </w:t>
      </w:r>
      <w:fldSimple w:instr=" STYLEREF 1 \s ">
        <w:r w:rsidR="006B4A74">
          <w:rPr>
            <w:noProof/>
          </w:rPr>
          <w:t>3</w:t>
        </w:r>
      </w:fldSimple>
      <w:r w:rsidR="008F29C8">
        <w:noBreakHyphen/>
      </w:r>
      <w:fldSimple w:instr=" SEQ Table \* ARABIC \s 1 ">
        <w:r w:rsidR="006B4A74">
          <w:rPr>
            <w:noProof/>
          </w:rPr>
          <w:t>34</w:t>
        </w:r>
      </w:fldSimple>
      <w:bookmarkEnd w:id="407"/>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0354B" w:rsidTr="002656D9">
        <w:trPr>
          <w:cnfStyle w:val="100000000000" w:firstRow="1" w:lastRow="0" w:firstColumn="0" w:lastColumn="0" w:oddVBand="0" w:evenVBand="0" w:oddHBand="0" w:evenHBand="0" w:firstRowFirstColumn="0" w:firstRowLastColumn="0" w:lastRowFirstColumn="0" w:lastRowLastColumn="0"/>
          <w:tblHeader/>
        </w:trPr>
        <w:tc>
          <w:tcPr>
            <w:tcW w:w="1809" w:type="dxa"/>
          </w:tcPr>
          <w:p w:rsidR="0070354B" w:rsidRPr="0070354B" w:rsidRDefault="0070354B" w:rsidP="0070354B">
            <w:r>
              <w:t>Report</w:t>
            </w:r>
          </w:p>
        </w:tc>
        <w:tc>
          <w:tcPr>
            <w:tcW w:w="3969" w:type="dxa"/>
          </w:tcPr>
          <w:p w:rsidR="0070354B" w:rsidRPr="0070354B" w:rsidRDefault="0070354B" w:rsidP="0070354B">
            <w:r>
              <w:t>Details</w:t>
            </w:r>
          </w:p>
        </w:tc>
        <w:tc>
          <w:tcPr>
            <w:tcW w:w="1418" w:type="dxa"/>
          </w:tcPr>
          <w:p w:rsidR="0070354B" w:rsidRPr="0070354B" w:rsidRDefault="0070354B" w:rsidP="0070354B">
            <w:r>
              <w:t>Raw estimate</w:t>
            </w:r>
          </w:p>
        </w:tc>
        <w:tc>
          <w:tcPr>
            <w:tcW w:w="1497" w:type="dxa"/>
          </w:tcPr>
          <w:p w:rsidR="0070354B" w:rsidRPr="0070354B" w:rsidRDefault="0070354B" w:rsidP="0070354B">
            <w:r>
              <w:t xml:space="preserve">Re-levered estimate (to 60 per </w:t>
            </w:r>
            <w:r w:rsidRPr="0070354B">
              <w:t>cent gearing)</w:t>
            </w:r>
          </w:p>
        </w:tc>
      </w:tr>
      <w:tr w:rsidR="0070354B" w:rsidTr="00742E6B">
        <w:tc>
          <w:tcPr>
            <w:tcW w:w="1809" w:type="dxa"/>
          </w:tcPr>
          <w:p w:rsidR="0070354B" w:rsidRPr="0070354B" w:rsidRDefault="0070354B" w:rsidP="0070354B">
            <w:r>
              <w:t xml:space="preserve">SFG, </w:t>
            </w:r>
            <w:r w:rsidRPr="0070354B">
              <w:rPr>
                <w:rStyle w:val="AERtextitalic"/>
              </w:rPr>
              <w:t>Regression-based estimates of risk parameters</w:t>
            </w:r>
            <w:r w:rsidRPr="0070354B">
              <w:t>, June 2013, pp. 15, 19</w:t>
            </w:r>
          </w:p>
          <w:p w:rsidR="0070354B" w:rsidRPr="0070354B" w:rsidRDefault="0070354B" w:rsidP="0070354B">
            <w:pPr>
              <w:rPr>
                <w:rStyle w:val="AERtextsize8"/>
              </w:rPr>
            </w:pPr>
            <w:r w:rsidRPr="00707ABA">
              <w:t xml:space="preserve">CEG, </w:t>
            </w:r>
            <w:r w:rsidRPr="0070354B">
              <w:rPr>
                <w:rStyle w:val="AERtextitalic"/>
              </w:rPr>
              <w:t>Information on equity beta from US companies</w:t>
            </w:r>
            <w:r w:rsidRPr="0070354B">
              <w:t>, June 2013</w:t>
            </w:r>
          </w:p>
        </w:tc>
        <w:tc>
          <w:tcPr>
            <w:tcW w:w="3969" w:type="dxa"/>
          </w:tcPr>
          <w:p w:rsidR="0070354B" w:rsidRPr="0070354B" w:rsidRDefault="0070354B" w:rsidP="0070354B">
            <w:pPr>
              <w:rPr>
                <w:rStyle w:val="AERtextsize8"/>
              </w:rPr>
            </w:pPr>
            <w:r w:rsidRPr="00707ABA">
              <w:t xml:space="preserve">The CEG report prepared as a part of the ENA submission to </w:t>
            </w:r>
            <w:r w:rsidRPr="0070354B">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0354B" w:rsidRPr="0070354B" w:rsidRDefault="0070354B" w:rsidP="0070354B">
            <w:r>
              <w:t>0.68</w:t>
            </w:r>
            <w:r w:rsidRPr="0070354B">
              <w:t>—average of individual firm estimates (0.67 without a Vasicek adjustment)</w:t>
            </w:r>
          </w:p>
        </w:tc>
        <w:tc>
          <w:tcPr>
            <w:tcW w:w="1497" w:type="dxa"/>
          </w:tcPr>
          <w:p w:rsidR="0070354B" w:rsidRPr="0070354B" w:rsidRDefault="0070354B" w:rsidP="0070354B">
            <w:r>
              <w:t>0.88</w:t>
            </w:r>
            <w:r w:rsidRPr="0070354B">
              <w:t>—average of individual firm estimates</w:t>
            </w:r>
          </w:p>
          <w:p w:rsidR="0070354B" w:rsidRPr="0070354B" w:rsidRDefault="0070354B" w:rsidP="0070354B">
            <w:r>
              <w:t>0.91</w:t>
            </w:r>
            <w:r w:rsidRPr="0070354B">
              <w:t>—average equity beta of an equal–weighted index of firm returns</w:t>
            </w:r>
            <w:r w:rsidRPr="0070354B">
              <w:rPr>
                <w:rStyle w:val="FootnoteReference"/>
              </w:rPr>
              <w:footnoteReference w:id="1127"/>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rsidRPr="00E518CC">
              <w:t>Damodaran,</w:t>
            </w:r>
            <w:r w:rsidRPr="0070354B">
              <w:t xml:space="preserve"> </w:t>
            </w:r>
            <w:r w:rsidRPr="0070354B">
              <w:rPr>
                <w:rStyle w:val="AERtextitalic"/>
              </w:rPr>
              <w:t>Updated data: The Data page</w:t>
            </w:r>
            <w:r w:rsidRPr="0070354B">
              <w:t xml:space="preserve">, </w:t>
            </w:r>
            <w:r w:rsidRPr="0070354B">
              <w:rPr>
                <w:rStyle w:val="AERtextitalic"/>
              </w:rPr>
              <w:t>Levered and Unlevered Betas by Industry: Download detail</w:t>
            </w:r>
            <w:r w:rsidRPr="0070354B">
              <w:t>, Stern school of Business New York University, last updated 5 January 2016, viewed 18 March 2016</w:t>
            </w:r>
          </w:p>
        </w:tc>
        <w:tc>
          <w:tcPr>
            <w:tcW w:w="3969" w:type="dxa"/>
          </w:tcPr>
          <w:p w:rsidR="0070354B" w:rsidRPr="0070354B" w:rsidRDefault="0070354B" w:rsidP="0070354B">
            <w:pPr>
              <w:rPr>
                <w:rStyle w:val="AERtextsize8"/>
              </w:rPr>
            </w:pPr>
            <w:r w:rsidRPr="00900624">
              <w:rPr>
                <w:rStyle w:val="AERtextsize8"/>
              </w:rPr>
              <w:t xml:space="preserve">The Damodaran equity beta estimates </w:t>
            </w:r>
            <w:r w:rsidRPr="0070354B">
              <w:rPr>
                <w:rStyle w:val="AERtextsize8"/>
              </w:rPr>
              <w:t>for US industry groups have been updated for 2016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0354B" w:rsidRPr="0070354B" w:rsidRDefault="0070354B" w:rsidP="0070354B">
            <w:pPr>
              <w:rPr>
                <w:rStyle w:val="AERtextsize8"/>
              </w:rPr>
            </w:pPr>
            <w:r>
              <w:rPr>
                <w:rStyle w:val="AERtextsize8"/>
              </w:rPr>
              <w:t>0.</w:t>
            </w:r>
            <w:r w:rsidRPr="0070354B">
              <w:rPr>
                <w:rStyle w:val="AERtextsize8"/>
              </w:rPr>
              <w:t>84</w:t>
            </w:r>
          </w:p>
        </w:tc>
        <w:tc>
          <w:tcPr>
            <w:tcW w:w="1497" w:type="dxa"/>
          </w:tcPr>
          <w:p w:rsidR="0070354B" w:rsidRPr="0070354B" w:rsidRDefault="0070354B" w:rsidP="0070354B">
            <w:pPr>
              <w:rPr>
                <w:rStyle w:val="AERtextsize8"/>
              </w:rPr>
            </w:pPr>
            <w:r>
              <w:rPr>
                <w:rStyle w:val="AERtextsize8"/>
              </w:rPr>
              <w:t>1.09</w:t>
            </w:r>
            <w:r w:rsidRPr="0070354B">
              <w:rPr>
                <w:rStyle w:val="AERtextsize8"/>
              </w:rPr>
              <w:t>*</w:t>
            </w:r>
          </w:p>
        </w:tc>
      </w:tr>
      <w:tr w:rsidR="0070354B" w:rsidTr="00742E6B">
        <w:tc>
          <w:tcPr>
            <w:tcW w:w="1809" w:type="dxa"/>
          </w:tcPr>
          <w:p w:rsidR="0070354B" w:rsidRPr="0070354B" w:rsidRDefault="0070354B" w:rsidP="0070354B">
            <w:pPr>
              <w:rPr>
                <w:rStyle w:val="AERtextsize8"/>
              </w:rPr>
            </w:pPr>
            <w:r>
              <w:t xml:space="preserve">FTI Consulting, </w:t>
            </w:r>
            <w:r w:rsidRPr="0070354B">
              <w:rPr>
                <w:rStyle w:val="AERtextitalic"/>
              </w:rPr>
              <w:t>Cost of capital study for the RIIO-T1 and GD1 price controls</w:t>
            </w:r>
            <w:r w:rsidRPr="0070354B">
              <w:t>, July 2012, p. 42</w:t>
            </w:r>
          </w:p>
        </w:tc>
        <w:tc>
          <w:tcPr>
            <w:tcW w:w="3969" w:type="dxa"/>
          </w:tcPr>
          <w:p w:rsidR="0070354B" w:rsidRPr="0070354B" w:rsidRDefault="0070354B" w:rsidP="0070354B">
            <w:pPr>
              <w:rPr>
                <w:rStyle w:val="AERtextsize8"/>
              </w:rPr>
            </w:pPr>
            <w:r>
              <w:t xml:space="preserve">This </w:t>
            </w:r>
            <w:r w:rsidRPr="0070354B">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0354B" w:rsidRPr="0070354B" w:rsidRDefault="0070354B" w:rsidP="0070354B">
            <w:r>
              <w:t>0.45—over 10 May 2011 to 9 May 2012</w:t>
            </w:r>
          </w:p>
          <w:p w:rsidR="0070354B" w:rsidRPr="0070354B" w:rsidRDefault="0070354B" w:rsidP="0070354B">
            <w:pPr>
              <w:rPr>
                <w:rStyle w:val="AERtextsize8"/>
              </w:rPr>
            </w:pPr>
            <w:r>
              <w:t>0.48—</w:t>
            </w:r>
            <w:r w:rsidRPr="0070354B">
              <w:t>over 10 May 2010 to 9 May 2012</w:t>
            </w:r>
          </w:p>
        </w:tc>
        <w:tc>
          <w:tcPr>
            <w:tcW w:w="1497" w:type="dxa"/>
          </w:tcPr>
          <w:p w:rsidR="0070354B" w:rsidRPr="0070354B" w:rsidRDefault="0070354B" w:rsidP="0070354B">
            <w:pPr>
              <w:rPr>
                <w:rStyle w:val="AERtextsize8"/>
              </w:rPr>
            </w:pPr>
            <w:r>
              <w:t xml:space="preserve">We are not able to provide re-levered equity beta estimates because the report does </w:t>
            </w:r>
            <w:r w:rsidRPr="0070354B">
              <w:t>not provide the appropriate gearing data.</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Alberta Utilities Commission, </w:t>
            </w:r>
            <w:r w:rsidRPr="0070354B">
              <w:rPr>
                <w:rStyle w:val="AERtextitalic"/>
              </w:rPr>
              <w:t>2013 Generic Cost of Capital</w:t>
            </w:r>
            <w:r w:rsidRPr="0070354B">
              <w:t>, 23 March 2015, pp. 1, 24–26</w:t>
            </w:r>
          </w:p>
        </w:tc>
        <w:tc>
          <w:tcPr>
            <w:tcW w:w="3969" w:type="dxa"/>
          </w:tcPr>
          <w:p w:rsidR="0070354B" w:rsidRPr="0070354B" w:rsidRDefault="0070354B" w:rsidP="0070354B">
            <w:r>
              <w:t xml:space="preserve">This </w:t>
            </w:r>
            <w:r w:rsidRPr="0070354B">
              <w:t>2013 Generic Cost of Capital report sets out the AUC's approved return on equity for several utilities for the years 2013, 2014, and 2015. The AUC considered advice from the following experts on the equity beta based on estimates of Canadian utilities:</w:t>
            </w:r>
          </w:p>
          <w:p w:rsidR="0070354B" w:rsidRPr="0070354B" w:rsidRDefault="0070354B" w:rsidP="0070354B">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0354B" w:rsidRPr="0070354B" w:rsidRDefault="0070354B" w:rsidP="0070354B">
            <w:pPr>
              <w:pStyle w:val="AERbulletlistfirststyle"/>
            </w:pPr>
            <w:r w:rsidRPr="00FF0D9F">
              <w:t xml:space="preserve">Dr Laurence Booth of the University of Toronto recommended an equity beta range of 0.45 to 0.55 for Canadian stand-alone utilities based on long run beta estimates. </w:t>
            </w:r>
          </w:p>
          <w:p w:rsidR="0070354B" w:rsidRPr="0070354B" w:rsidRDefault="0070354B" w:rsidP="0070354B">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0354B" w:rsidRPr="0070354B" w:rsidRDefault="0070354B" w:rsidP="0070354B">
            <w:pPr>
              <w:rPr>
                <w:rStyle w:val="AERtextsize8"/>
              </w:rPr>
            </w:pPr>
            <w:r>
              <w:rPr>
                <w:rStyle w:val="AERtextsize8"/>
              </w:rPr>
              <w:t>0.3</w:t>
            </w:r>
            <w:r w:rsidRPr="0070354B">
              <w:rPr>
                <w:rStyle w:val="AERtextsize8"/>
              </w:rPr>
              <w:t>–0.7</w:t>
            </w:r>
          </w:p>
        </w:tc>
        <w:tc>
          <w:tcPr>
            <w:tcW w:w="1497" w:type="dxa"/>
          </w:tcPr>
          <w:p w:rsidR="0070354B" w:rsidRPr="0070354B" w:rsidRDefault="0070354B" w:rsidP="0070354B">
            <w:pPr>
              <w:rPr>
                <w:rStyle w:val="AERtextsize8"/>
              </w:rPr>
            </w:pPr>
            <w:r>
              <w:t>This report did not specify whether the equity betas were raw or re-levered to a benchmark gearing.</w:t>
            </w:r>
          </w:p>
        </w:tc>
      </w:tr>
      <w:tr w:rsidR="0070354B" w:rsidTr="00742E6B">
        <w:tc>
          <w:tcPr>
            <w:tcW w:w="1809" w:type="dxa"/>
          </w:tcPr>
          <w:p w:rsidR="0070354B" w:rsidRPr="0070354B" w:rsidRDefault="0070354B" w:rsidP="0070354B">
            <w:pPr>
              <w:rPr>
                <w:rStyle w:val="AERtextsize8"/>
              </w:rPr>
            </w:pPr>
            <w:r>
              <w:t xml:space="preserve">PwC, </w:t>
            </w:r>
            <w:r w:rsidRPr="0070354B">
              <w:rPr>
                <w:rStyle w:val="AERtextitalic"/>
              </w:rPr>
              <w:t>Appreciating Value New Zealand, Edition six</w:t>
            </w:r>
            <w:r w:rsidRPr="0070354B">
              <w:t>, March 2015, p. 20 (See also: http://www.pwc.co.nz/appreciating-value/pwc-wacc-formula)</w:t>
            </w:r>
            <w:r w:rsidRPr="0070354B">
              <w:rPr>
                <w:rStyle w:val="AERtextsize8"/>
              </w:rPr>
              <w:t xml:space="preserve"> </w:t>
            </w:r>
          </w:p>
        </w:tc>
        <w:tc>
          <w:tcPr>
            <w:tcW w:w="3969" w:type="dxa"/>
          </w:tcPr>
          <w:p w:rsidR="0070354B" w:rsidRPr="0070354B" w:rsidRDefault="0070354B" w:rsidP="0070354B">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0354B">
              <w:t xml:space="preserve"> for two comparable firms (Horizon Energy Distribution Limited and Vector Limited). PwC's March 2015 report presents estimates as at 31 December 2014.</w:t>
            </w:r>
          </w:p>
        </w:tc>
        <w:tc>
          <w:tcPr>
            <w:tcW w:w="1418" w:type="dxa"/>
          </w:tcPr>
          <w:p w:rsidR="0070354B" w:rsidRPr="0070354B" w:rsidRDefault="0070354B" w:rsidP="0070354B">
            <w:pPr>
              <w:rPr>
                <w:rStyle w:val="AERtextsize8"/>
              </w:rPr>
            </w:pPr>
            <w:r w:rsidRPr="00217E7D">
              <w:t>0.6</w:t>
            </w:r>
            <w:r w:rsidRPr="0070354B">
              <w:t>—average of individual form estimates</w:t>
            </w:r>
          </w:p>
        </w:tc>
        <w:tc>
          <w:tcPr>
            <w:tcW w:w="1497" w:type="dxa"/>
          </w:tcPr>
          <w:p w:rsidR="0070354B" w:rsidRPr="0070354B" w:rsidRDefault="0070354B" w:rsidP="0070354B">
            <w:pPr>
              <w:rPr>
                <w:rStyle w:val="AERtextsize8"/>
              </w:rPr>
            </w:pPr>
            <w:r>
              <w:t>0.8</w:t>
            </w:r>
            <w:r w:rsidRPr="0070354B">
              <w:t>8—average of individual firm estimates*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The Brattle Group, </w:t>
            </w:r>
            <w:r w:rsidRPr="0070354B">
              <w:rPr>
                <w:rStyle w:val="AERtextitalic"/>
              </w:rPr>
              <w:t>The WACC for the Dutch TSOs, DSOs, water companies and the Dutch pilotage organisation</w:t>
            </w:r>
            <w:r w:rsidRPr="0070354B">
              <w:t>, March 2013, pp. 16–18</w:t>
            </w:r>
          </w:p>
        </w:tc>
        <w:tc>
          <w:tcPr>
            <w:tcW w:w="3969" w:type="dxa"/>
          </w:tcPr>
          <w:p w:rsidR="0070354B" w:rsidRPr="0070354B" w:rsidRDefault="0070354B" w:rsidP="0070354B">
            <w:pPr>
              <w:rPr>
                <w:rStyle w:val="AERtextsize8"/>
              </w:rPr>
            </w:pPr>
            <w:r>
              <w:t xml:space="preserve">This </w:t>
            </w:r>
            <w:r w:rsidRPr="0070354B">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0354B">
              <w:rPr>
                <w:rStyle w:val="FootnoteReference"/>
              </w:rPr>
              <w:footnoteReference w:id="1128"/>
            </w:r>
          </w:p>
        </w:tc>
        <w:tc>
          <w:tcPr>
            <w:tcW w:w="1418" w:type="dxa"/>
          </w:tcPr>
          <w:p w:rsidR="0070354B" w:rsidRPr="0070354B" w:rsidRDefault="0070354B" w:rsidP="0070354B">
            <w:r>
              <w:t>0.58</w:t>
            </w:r>
            <w:r w:rsidRPr="0070354B">
              <w:t>—average of European individual firm estimates</w:t>
            </w:r>
          </w:p>
          <w:p w:rsidR="0070354B" w:rsidRPr="0070354B" w:rsidRDefault="0070354B" w:rsidP="0070354B">
            <w:r>
              <w:t>0.60</w:t>
            </w:r>
            <w:r w:rsidRPr="0070354B">
              <w:t>—average of US individual firm estimates</w:t>
            </w:r>
          </w:p>
          <w:p w:rsidR="0070354B" w:rsidRPr="0070354B" w:rsidRDefault="0070354B" w:rsidP="0070354B">
            <w:pPr>
              <w:rPr>
                <w:rStyle w:val="AERtextsize8"/>
              </w:rPr>
            </w:pPr>
            <w:r>
              <w:t>0.5</w:t>
            </w:r>
            <w:r w:rsidRPr="0070354B">
              <w:t>8—average of European and US individual firm estimates</w:t>
            </w:r>
          </w:p>
        </w:tc>
        <w:tc>
          <w:tcPr>
            <w:tcW w:w="1497" w:type="dxa"/>
          </w:tcPr>
          <w:p w:rsidR="0070354B" w:rsidRPr="0070354B" w:rsidRDefault="0070354B" w:rsidP="0070354B">
            <w:r>
              <w:t>0.71</w:t>
            </w:r>
            <w:r w:rsidRPr="0070354B">
              <w:t>—average of European individual firm estimates*</w:t>
            </w:r>
          </w:p>
          <w:p w:rsidR="0070354B" w:rsidRPr="0070354B" w:rsidRDefault="0070354B" w:rsidP="0070354B">
            <w:r>
              <w:t>1.01</w:t>
            </w:r>
            <w:r w:rsidRPr="0070354B">
              <w:t>—average of US individual firm estimates*</w:t>
            </w:r>
          </w:p>
          <w:p w:rsidR="0070354B" w:rsidRPr="0070354B" w:rsidRDefault="0070354B" w:rsidP="0070354B">
            <w:pPr>
              <w:rPr>
                <w:rStyle w:val="AERtextsize8"/>
              </w:rPr>
            </w:pPr>
            <w:r>
              <w:t>0.80</w:t>
            </w:r>
            <w:r w:rsidRPr="0070354B">
              <w:t>—average of European and US individual firm estimates*</w:t>
            </w:r>
          </w:p>
        </w:tc>
      </w:tr>
      <w:tr w:rsidR="0070354B" w:rsidTr="00742E6B">
        <w:tc>
          <w:tcPr>
            <w:tcW w:w="1809" w:type="dxa"/>
          </w:tcPr>
          <w:p w:rsidR="0070354B" w:rsidRPr="00900624" w:rsidRDefault="0070354B" w:rsidP="0070354B">
            <w:pPr>
              <w:rPr>
                <w:rStyle w:val="AERtextsize8"/>
              </w:rPr>
            </w:pPr>
          </w:p>
        </w:tc>
        <w:tc>
          <w:tcPr>
            <w:tcW w:w="3969" w:type="dxa"/>
          </w:tcPr>
          <w:p w:rsidR="0070354B" w:rsidRDefault="0070354B" w:rsidP="0070354B">
            <w:pPr>
              <w:rPr>
                <w:rStyle w:val="AERtextsize8"/>
              </w:rPr>
            </w:pPr>
          </w:p>
        </w:tc>
        <w:tc>
          <w:tcPr>
            <w:tcW w:w="1418" w:type="dxa"/>
          </w:tcPr>
          <w:p w:rsidR="0070354B" w:rsidRDefault="0070354B" w:rsidP="0070354B">
            <w:pPr>
              <w:rPr>
                <w:rStyle w:val="AERtextsize8"/>
              </w:rPr>
            </w:pPr>
          </w:p>
        </w:tc>
        <w:tc>
          <w:tcPr>
            <w:tcW w:w="1497" w:type="dxa"/>
          </w:tcPr>
          <w:p w:rsidR="0070354B" w:rsidRDefault="0070354B" w:rsidP="0070354B">
            <w:pPr>
              <w:rPr>
                <w:rStyle w:val="AERtextsize8"/>
              </w:rPr>
            </w:pPr>
          </w:p>
        </w:tc>
      </w:tr>
    </w:tbl>
    <w:p w:rsidR="0070354B" w:rsidRPr="0078508E" w:rsidRDefault="0070354B" w:rsidP="00CC7A1C">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70354B" w:rsidRPr="0070354B" w:rsidRDefault="0070354B" w:rsidP="0070354B">
      <w:pPr>
        <w:pStyle w:val="Heading8"/>
      </w:pPr>
      <w:bookmarkStart w:id="408" w:name="_Ref446255536"/>
      <w:bookmarkStart w:id="409" w:name="_Toc451939002"/>
      <w:bookmarkStart w:id="410" w:name="_Toc481057495"/>
      <w:r>
        <w:t>Choice of comparator set</w:t>
      </w:r>
      <w:bookmarkEnd w:id="408"/>
      <w:bookmarkEnd w:id="409"/>
      <w:bookmarkEnd w:id="410"/>
    </w:p>
    <w:p w:rsidR="0070354B" w:rsidRDefault="0070354B" w:rsidP="00CC7A1C">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129"/>
      </w:r>
      <w:r>
        <w:t xml:space="preserve"> These concerns flow from their view that our comparator set of Australian energy network firms is too small to produce reliable equity beta estimates. These service providers and their consultants submitted that:</w:t>
      </w:r>
    </w:p>
    <w:p w:rsidR="0070354B" w:rsidRDefault="0070354B" w:rsidP="0070354B">
      <w:pPr>
        <w:pStyle w:val="AERbulletlistfirststyle"/>
      </w:pPr>
      <w:r>
        <w:t>equity beta estimates based on this comparator set are imprecise and unstable</w:t>
      </w:r>
    </w:p>
    <w:p w:rsidR="0070354B" w:rsidRDefault="0070354B" w:rsidP="0070354B">
      <w:pPr>
        <w:pStyle w:val="AERbulletlistfirststyle"/>
      </w:pPr>
      <w:r>
        <w:t>the estimates could be improved by including international energy firms in the comparator set</w:t>
      </w:r>
    </w:p>
    <w:p w:rsidR="0070354B" w:rsidRDefault="0070354B" w:rsidP="0070354B">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130"/>
      </w:r>
    </w:p>
    <w:p w:rsidR="0070354B" w:rsidRDefault="0070354B" w:rsidP="00CC7A1C">
      <w:pPr>
        <w:numPr>
          <w:ilvl w:val="0"/>
          <w:numId w:val="24"/>
        </w:numPr>
      </w:pPr>
      <w:r>
        <w:t>We responded to many of these submissions in detail in our recent decisions.</w:t>
      </w:r>
      <w:r>
        <w:rPr>
          <w:rStyle w:val="FootnoteReference"/>
        </w:rPr>
        <w:footnoteReference w:id="1131"/>
      </w:r>
      <w:r>
        <w:t xml:space="preserve"> However, we reproduce our key conclusions in sections </w:t>
      </w:r>
      <w:r>
        <w:fldChar w:fldCharType="begin"/>
      </w:r>
      <w:r>
        <w:instrText xml:space="preserve"> REF _Ref446254453 \r \h </w:instrText>
      </w:r>
      <w:r>
        <w:fldChar w:fldCharType="separate"/>
      </w:r>
      <w:r w:rsidR="006B4A74">
        <w:t>G.4.2</w:t>
      </w:r>
      <w:r>
        <w:fldChar w:fldCharType="end"/>
      </w:r>
      <w:r>
        <w:t xml:space="preserve">, </w:t>
      </w:r>
      <w:r>
        <w:fldChar w:fldCharType="begin"/>
      </w:r>
      <w:r>
        <w:instrText xml:space="preserve"> REF _Ref446254445 \r \h </w:instrText>
      </w:r>
      <w:r>
        <w:fldChar w:fldCharType="separate"/>
      </w:r>
      <w:r w:rsidR="006B4A74">
        <w:t>G.4.3</w:t>
      </w:r>
      <w:r>
        <w:fldChar w:fldCharType="end"/>
      </w:r>
      <w:r>
        <w:t xml:space="preserve">, and </w:t>
      </w:r>
      <w:r>
        <w:fldChar w:fldCharType="begin"/>
      </w:r>
      <w:r>
        <w:instrText xml:space="preserve"> REF _Ref446254437 \r \h </w:instrText>
      </w:r>
      <w:r>
        <w:fldChar w:fldCharType="separate"/>
      </w:r>
      <w:r w:rsidR="006B4A74">
        <w:t>G.4.4</w:t>
      </w:r>
      <w:r>
        <w:fldChar w:fldCharType="end"/>
      </w:r>
      <w:r>
        <w:t>, in response to new submissions and analysis.</w:t>
      </w:r>
    </w:p>
    <w:p w:rsidR="0070354B" w:rsidRDefault="0070354B" w:rsidP="00CC7A1C">
      <w:pPr>
        <w:numPr>
          <w:ilvl w:val="0"/>
          <w:numId w:val="24"/>
        </w:numPr>
      </w:pPr>
      <w:r>
        <w:t>Ultimately, we consider there is a trade-off between the increased statistical precision from a larger comparator set and the comparability of the firms in the comparator set to a benchmark efficient entity with a similar degree of risk as AusNet Services in providing regulated services.</w:t>
      </w:r>
      <w:r>
        <w:rPr>
          <w:rStyle w:val="FootnoteReference"/>
        </w:rPr>
        <w:footnoteReference w:id="1132"/>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70354B" w:rsidRPr="0006373F" w:rsidRDefault="0070354B" w:rsidP="0070354B">
      <w:pPr>
        <w:pStyle w:val="Heading9"/>
      </w:pPr>
      <w:bookmarkStart w:id="411" w:name="_Ref447740508"/>
      <w:bookmarkStart w:id="412" w:name="_Toc451939003"/>
      <w:bookmarkStart w:id="413" w:name="_Toc480460877"/>
      <w:r w:rsidRPr="0006373F">
        <w:t>Comparator set for Australian empirical analysis</w:t>
      </w:r>
      <w:bookmarkEnd w:id="411"/>
      <w:bookmarkEnd w:id="412"/>
      <w:bookmarkEnd w:id="413"/>
    </w:p>
    <w:p w:rsidR="0070354B" w:rsidRPr="0048317B" w:rsidRDefault="0070354B" w:rsidP="00CC7A1C">
      <w:pPr>
        <w:numPr>
          <w:ilvl w:val="0"/>
          <w:numId w:val="24"/>
        </w:numPr>
      </w:pPr>
      <w:r w:rsidRPr="0048317B">
        <w:t xml:space="preserve">We define </w:t>
      </w:r>
      <w:r>
        <w:t>a</w:t>
      </w:r>
      <w:r w:rsidRPr="0048317B">
        <w:t xml:space="preserve"> benchmark efficient entity </w:t>
      </w:r>
      <w:r>
        <w:t>with a similar degree of risk as AusNet Services in providing regulated services</w:t>
      </w:r>
      <w:r w:rsidRPr="0048317B">
        <w:t xml:space="preserve"> as 'a pure play, regulated energy network business operating within Australia'.</w:t>
      </w:r>
      <w:r>
        <w:rPr>
          <w:rStyle w:val="FootnoteReference"/>
        </w:rPr>
        <w:footnoteReference w:id="1133"/>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0354B" w:rsidRDefault="0070354B" w:rsidP="00CC7A1C">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6B4A74">
        <w:t xml:space="preserve">Table </w:t>
      </w:r>
      <w:r w:rsidR="006B4A74">
        <w:rPr>
          <w:noProof/>
        </w:rPr>
        <w:t>3</w:t>
      </w:r>
      <w:r w:rsidR="006B4A74">
        <w:noBreakHyphen/>
      </w:r>
      <w:r w:rsidR="006B4A74">
        <w:rPr>
          <w:noProof/>
        </w:rPr>
        <w:t>35</w:t>
      </w:r>
      <w:r>
        <w:fldChar w:fldCharType="end"/>
      </w:r>
      <w:r>
        <w:t xml:space="preserve"> </w:t>
      </w:r>
      <w:r w:rsidRPr="0048317B">
        <w:t>sets out the details of these nine firms.</w:t>
      </w:r>
      <w:r>
        <w:rPr>
          <w:rStyle w:val="FootnoteReference"/>
        </w:rPr>
        <w:footnoteReference w:id="1134"/>
      </w:r>
      <w:r w:rsidRPr="0048317B">
        <w:t xml:space="preserve"> </w:t>
      </w:r>
    </w:p>
    <w:p w:rsidR="0070354B" w:rsidRDefault="0070354B" w:rsidP="00CC7A1C">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135"/>
      </w:r>
      <w:r w:rsidRPr="0048317B">
        <w:t xml:space="preserve"> We account for this by only including data over an applicable time period for these four firms. Whereas, for the other five fi</w:t>
      </w:r>
      <w:r>
        <w:t>rms, we consider</w:t>
      </w:r>
      <w:r w:rsidRPr="0048317B">
        <w:t xml:space="preserve"> data</w:t>
      </w:r>
      <w:r>
        <w:t xml:space="preserve"> up to 28 June 2013</w:t>
      </w:r>
      <w:r w:rsidRPr="0048317B">
        <w:t>.</w:t>
      </w:r>
      <w:r>
        <w:rPr>
          <w:rStyle w:val="FootnoteReference"/>
        </w:rPr>
        <w:footnoteReference w:id="1136"/>
      </w:r>
      <w:r w:rsidRPr="006558B8">
        <w:t xml:space="preserve"> </w:t>
      </w:r>
      <w:r>
        <w:t>We note that Envestra Ltd was delisted on 17 October 2014.</w:t>
      </w:r>
      <w:r>
        <w:rPr>
          <w:rStyle w:val="FootnoteReference"/>
        </w:rPr>
        <w:footnoteReference w:id="1137"/>
      </w:r>
      <w:r>
        <w:t xml:space="preserve"> </w:t>
      </w:r>
    </w:p>
    <w:p w:rsidR="0070354B" w:rsidRDefault="0070354B" w:rsidP="0070354B">
      <w:pPr>
        <w:pStyle w:val="Caption"/>
      </w:pPr>
      <w:bookmarkStart w:id="414" w:name="_Ref446240160"/>
      <w:r>
        <w:t xml:space="preserve">Table </w:t>
      </w:r>
      <w:fldSimple w:instr=" STYLEREF 1 \s ">
        <w:r w:rsidR="006B4A74">
          <w:rPr>
            <w:noProof/>
          </w:rPr>
          <w:t>3</w:t>
        </w:r>
      </w:fldSimple>
      <w:r w:rsidR="008F29C8">
        <w:noBreakHyphen/>
      </w:r>
      <w:fldSimple w:instr=" SEQ Table \* ARABIC \s 1 ">
        <w:r w:rsidR="006B4A74">
          <w:rPr>
            <w:noProof/>
          </w:rPr>
          <w:t>35</w:t>
        </w:r>
      </w:fldSimple>
      <w:bookmarkEnd w:id="414"/>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70354B" w:rsidTr="00742E6B">
        <w:trPr>
          <w:cnfStyle w:val="100000000000" w:firstRow="1" w:lastRow="0" w:firstColumn="0" w:lastColumn="0" w:oddVBand="0" w:evenVBand="0" w:oddHBand="0" w:evenHBand="0" w:firstRowFirstColumn="0" w:firstRowLastColumn="0" w:lastRowFirstColumn="0" w:lastRowLastColumn="0"/>
        </w:trPr>
        <w:tc>
          <w:tcPr>
            <w:tcW w:w="4077" w:type="dxa"/>
          </w:tcPr>
          <w:p w:rsidR="0070354B" w:rsidRPr="0070354B" w:rsidRDefault="0070354B" w:rsidP="0070354B">
            <w:r>
              <w:t>Firm (ASX ticker)</w:t>
            </w:r>
          </w:p>
        </w:tc>
        <w:tc>
          <w:tcPr>
            <w:tcW w:w="2835" w:type="dxa"/>
          </w:tcPr>
          <w:p w:rsidR="0070354B" w:rsidRPr="0070354B" w:rsidRDefault="0070354B" w:rsidP="0070354B">
            <w:r>
              <w:t>Time / trading period</w:t>
            </w:r>
          </w:p>
        </w:tc>
        <w:tc>
          <w:tcPr>
            <w:tcW w:w="1701" w:type="dxa"/>
          </w:tcPr>
          <w:p w:rsidR="0070354B" w:rsidRPr="0070354B" w:rsidRDefault="0070354B" w:rsidP="0070354B">
            <w:r>
              <w:t>Sectors</w:t>
            </w:r>
          </w:p>
        </w:tc>
      </w:tr>
      <w:tr w:rsidR="0070354B" w:rsidTr="00742E6B">
        <w:tc>
          <w:tcPr>
            <w:tcW w:w="4077" w:type="dxa"/>
          </w:tcPr>
          <w:p w:rsidR="0070354B" w:rsidRPr="0070354B" w:rsidRDefault="0070354B" w:rsidP="0070354B">
            <w:pPr>
              <w:rPr>
                <w:rStyle w:val="AERtextsize8"/>
              </w:rPr>
            </w:pPr>
            <w:r w:rsidRPr="0047344A">
              <w:t>AGL</w:t>
            </w:r>
            <w:r w:rsidRPr="0070354B">
              <w:t xml:space="preserve"> Energy Limited (AGK)</w:t>
            </w:r>
          </w:p>
        </w:tc>
        <w:tc>
          <w:tcPr>
            <w:tcW w:w="2835" w:type="dxa"/>
          </w:tcPr>
          <w:p w:rsidR="0070354B" w:rsidRPr="0070354B" w:rsidRDefault="0070354B" w:rsidP="0070354B">
            <w:pPr>
              <w:rPr>
                <w:rStyle w:val="AERtextsize8"/>
              </w:rPr>
            </w:pPr>
            <w:r w:rsidRPr="0047344A">
              <w:t xml:space="preserve">January 1990 – October 2006 </w:t>
            </w:r>
          </w:p>
        </w:tc>
        <w:tc>
          <w:tcPr>
            <w:tcW w:w="1701" w:type="dxa"/>
          </w:tcPr>
          <w:p w:rsidR="0070354B" w:rsidRPr="0070354B" w:rsidRDefault="0070354B" w:rsidP="0070354B">
            <w:r>
              <w:t>Electricity</w:t>
            </w:r>
            <w:r w:rsidRPr="0070354B">
              <w:t xml:space="preserve">, 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Alinta (AAN)</w:t>
            </w:r>
          </w:p>
        </w:tc>
        <w:tc>
          <w:tcPr>
            <w:tcW w:w="2835" w:type="dxa"/>
          </w:tcPr>
          <w:p w:rsidR="0070354B" w:rsidRPr="0070354B" w:rsidRDefault="0070354B" w:rsidP="0070354B">
            <w:pPr>
              <w:rPr>
                <w:rStyle w:val="AERtextsize8"/>
              </w:rPr>
            </w:pPr>
            <w:r w:rsidRPr="0047344A">
              <w:t xml:space="preserve">October 2000 – </w:t>
            </w:r>
            <w:r w:rsidRPr="0070354B">
              <w:t>August 2007</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t>APA Group</w:t>
            </w:r>
            <w:r w:rsidRPr="0070354B">
              <w:t xml:space="preserve"> (APA)</w:t>
            </w:r>
          </w:p>
        </w:tc>
        <w:tc>
          <w:tcPr>
            <w:tcW w:w="2835" w:type="dxa"/>
          </w:tcPr>
          <w:p w:rsidR="0070354B" w:rsidRPr="0070354B" w:rsidRDefault="0070354B" w:rsidP="0070354B">
            <w:pPr>
              <w:rPr>
                <w:rStyle w:val="AERtextsize8"/>
              </w:rPr>
            </w:pPr>
            <w:r w:rsidRPr="0047344A">
              <w:t xml:space="preserve">June </w:t>
            </w:r>
            <w:r w:rsidRPr="0070354B">
              <w:t>2000 – present</w:t>
            </w:r>
          </w:p>
        </w:tc>
        <w:tc>
          <w:tcPr>
            <w:tcW w:w="1701" w:type="dxa"/>
          </w:tcPr>
          <w:p w:rsidR="0070354B" w:rsidRPr="0070354B" w:rsidRDefault="0070354B" w:rsidP="0070354B">
            <w:r>
              <w:t>Gas</w:t>
            </w:r>
            <w:r w:rsidRPr="0070354B">
              <w:t>, Minority interest in other energy infrastructure</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DUET Group (DUE)</w:t>
            </w:r>
          </w:p>
        </w:tc>
        <w:tc>
          <w:tcPr>
            <w:tcW w:w="2835" w:type="dxa"/>
          </w:tcPr>
          <w:p w:rsidR="0070354B" w:rsidRPr="0070354B" w:rsidRDefault="0070354B" w:rsidP="0070354B">
            <w:pPr>
              <w:rPr>
                <w:rStyle w:val="AERtextsize8"/>
              </w:rPr>
            </w:pPr>
            <w:r w:rsidRPr="0047344A">
              <w:t>August 2004</w:t>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rsidRPr="0047344A">
              <w:t>Envestra Ltd. (ENV)</w:t>
            </w:r>
          </w:p>
        </w:tc>
        <w:tc>
          <w:tcPr>
            <w:tcW w:w="2835" w:type="dxa"/>
          </w:tcPr>
          <w:p w:rsidR="0070354B" w:rsidRPr="0070354B" w:rsidRDefault="0070354B" w:rsidP="0070354B">
            <w:pPr>
              <w:rPr>
                <w:rStyle w:val="AERtextsize8"/>
              </w:rPr>
            </w:pPr>
            <w:r w:rsidRPr="0047344A">
              <w:t xml:space="preserve">August 1997 – </w:t>
            </w:r>
            <w:r w:rsidRPr="0070354B">
              <w:t>October 2014</w:t>
            </w:r>
          </w:p>
        </w:tc>
        <w:tc>
          <w:tcPr>
            <w:tcW w:w="1701" w:type="dxa"/>
          </w:tcPr>
          <w:p w:rsidR="0070354B" w:rsidRPr="0070354B" w:rsidRDefault="0070354B" w:rsidP="0070354B">
            <w:r w:rsidRPr="0047344A">
              <w:t xml:space="preserve">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GasNet (GAS)</w:t>
            </w:r>
          </w:p>
        </w:tc>
        <w:tc>
          <w:tcPr>
            <w:tcW w:w="2835" w:type="dxa"/>
          </w:tcPr>
          <w:p w:rsidR="0070354B" w:rsidRPr="0070354B" w:rsidRDefault="0070354B" w:rsidP="0070354B">
            <w:pPr>
              <w:rPr>
                <w:rStyle w:val="AERtextsize8"/>
              </w:rPr>
            </w:pPr>
            <w:r w:rsidRPr="0047344A">
              <w:t xml:space="preserve">December 2001 – November </w:t>
            </w:r>
            <w:r w:rsidRPr="0070354B">
              <w:t>2006</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rsidRPr="0047344A">
              <w:t xml:space="preserve">Hastings </w:t>
            </w:r>
            <w:r w:rsidRPr="0070354B">
              <w:t>Diversified Utilities Fund (HDF)</w:t>
            </w:r>
          </w:p>
        </w:tc>
        <w:tc>
          <w:tcPr>
            <w:tcW w:w="2835" w:type="dxa"/>
          </w:tcPr>
          <w:p w:rsidR="0070354B" w:rsidRPr="0070354B" w:rsidRDefault="0070354B" w:rsidP="0070354B">
            <w:pPr>
              <w:rPr>
                <w:rStyle w:val="AERtextsize8"/>
              </w:rPr>
            </w:pPr>
            <w:r w:rsidRPr="0047344A">
              <w:t xml:space="preserve">December </w:t>
            </w:r>
            <w:r w:rsidRPr="0070354B">
              <w:t>2004– November 2012</w:t>
            </w:r>
          </w:p>
        </w:tc>
        <w:tc>
          <w:tcPr>
            <w:tcW w:w="1701" w:type="dxa"/>
          </w:tcPr>
          <w:p w:rsidR="0070354B" w:rsidRPr="0070354B" w:rsidRDefault="0070354B" w:rsidP="0070354B">
            <w:r w:rsidRPr="0047344A">
              <w:t>Gas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Spark Infrastructure Group (SKI)</w:t>
            </w:r>
          </w:p>
        </w:tc>
        <w:tc>
          <w:tcPr>
            <w:tcW w:w="2835" w:type="dxa"/>
          </w:tcPr>
          <w:p w:rsidR="0070354B" w:rsidRPr="0070354B" w:rsidRDefault="0070354B" w:rsidP="0070354B">
            <w:pPr>
              <w:rPr>
                <w:rStyle w:val="AERtextsize8"/>
              </w:rPr>
            </w:pPr>
            <w:r w:rsidRPr="0047344A">
              <w:t>March 2007</w:t>
            </w:r>
            <w:r w:rsidRPr="0070354B">
              <w:rPr>
                <w:rStyle w:val="FootnoteReference"/>
              </w:rPr>
              <w:footnoteReference w:id="1138"/>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t xml:space="preserve">AusNet Services (AST), formerly </w:t>
            </w:r>
            <w:r w:rsidRPr="0070354B">
              <w:t>SP AusNet (SPN)</w:t>
            </w:r>
          </w:p>
        </w:tc>
        <w:tc>
          <w:tcPr>
            <w:tcW w:w="2835" w:type="dxa"/>
          </w:tcPr>
          <w:p w:rsidR="0070354B" w:rsidRPr="0070354B" w:rsidRDefault="0070354B" w:rsidP="0070354B">
            <w:pPr>
              <w:rPr>
                <w:rStyle w:val="AERtextsize8"/>
              </w:rPr>
            </w:pPr>
            <w:r w:rsidRPr="0047344A">
              <w:t>December 2005 – present</w:t>
            </w:r>
          </w:p>
        </w:tc>
        <w:tc>
          <w:tcPr>
            <w:tcW w:w="1701" w:type="dxa"/>
          </w:tcPr>
          <w:p w:rsidR="0070354B" w:rsidRPr="0070354B" w:rsidRDefault="0070354B" w:rsidP="0070354B">
            <w:r>
              <w:t>Electricity</w:t>
            </w:r>
            <w:r w:rsidRPr="0070354B">
              <w:t xml:space="preserve">, Gas </w:t>
            </w:r>
          </w:p>
        </w:tc>
      </w:tr>
    </w:tbl>
    <w:p w:rsidR="0070354B" w:rsidRPr="0048317B" w:rsidRDefault="0070354B" w:rsidP="0070354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0354B" w:rsidRDefault="0070354B" w:rsidP="00CC7A1C">
      <w:pPr>
        <w:numPr>
          <w:ilvl w:val="0"/>
          <w:numId w:val="24"/>
        </w:numPr>
      </w:pPr>
      <w:r>
        <w:t xml:space="preserve">While we consider the firms in </w:t>
      </w:r>
      <w:r>
        <w:fldChar w:fldCharType="begin"/>
      </w:r>
      <w:r>
        <w:instrText xml:space="preserve"> REF  _Ref446240160 \* Lower \h </w:instrText>
      </w:r>
      <w:r>
        <w:fldChar w:fldCharType="separate"/>
      </w:r>
      <w:r w:rsidR="006B4A74">
        <w:t xml:space="preserve">table </w:t>
      </w:r>
      <w:r w:rsidR="006B4A74">
        <w:rPr>
          <w:noProof/>
        </w:rPr>
        <w:t>3</w:t>
      </w:r>
      <w:r w:rsidR="006B4A74">
        <w:noBreakHyphen/>
      </w:r>
      <w:r w:rsidR="006B4A74">
        <w:rPr>
          <w:noProof/>
        </w:rPr>
        <w:t>35</w:t>
      </w:r>
      <w:r>
        <w:fldChar w:fldCharType="end"/>
      </w:r>
      <w:r>
        <w:t xml:space="preserve"> are reasonably comparable to a</w:t>
      </w:r>
      <w:r w:rsidRPr="009E5AA0">
        <w:t xml:space="preserve"> benchmark efficient entity</w:t>
      </w:r>
      <w:r>
        <w:t xml:space="preserve"> with a similar degree of risk as AusNet Services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70354B" w:rsidRPr="001F00F1" w:rsidRDefault="0070354B" w:rsidP="0070354B">
      <w:pPr>
        <w:pStyle w:val="AERbulletlistfirststyle"/>
      </w:pPr>
      <w:r>
        <w:t xml:space="preserve">Approximately </w:t>
      </w:r>
      <w:r w:rsidR="00B83A31">
        <w:t>10</w:t>
      </w:r>
      <w:r>
        <w:t xml:space="preserve"> per cent of APA Group's revenue in the 201</w:t>
      </w:r>
      <w:r w:rsidR="00B83A31">
        <w:t>6</w:t>
      </w:r>
      <w:r>
        <w:t xml:space="preserve"> financial year (excluding pass–through revenue) was subject to prices determined under full regulation. APA generates a large part of the remaining </w:t>
      </w:r>
      <w:r w:rsidR="00B83A31">
        <w:t>90</w:t>
      </w:r>
      <w:r>
        <w:t xml:space="preserve"> per cent of its revenue from contracts which have set terms, including negotiated pricing for the life of the contract.</w:t>
      </w:r>
      <w:r w:rsidRPr="001F00F1">
        <w:rPr>
          <w:rStyle w:val="FootnoteReference"/>
        </w:rPr>
        <w:footnoteReference w:id="1139"/>
      </w:r>
    </w:p>
    <w:p w:rsidR="0070354B" w:rsidRPr="001F00F1" w:rsidRDefault="0070354B" w:rsidP="0070354B">
      <w:pPr>
        <w:pStyle w:val="AERbulletlistfirststyle"/>
      </w:pPr>
      <w:r>
        <w:t>DUET</w:t>
      </w:r>
      <w:r w:rsidRPr="001F00F1">
        <w:t xml:space="preserve"> Group's assets receive </w:t>
      </w:r>
      <w:r>
        <w:t xml:space="preserve">limited </w:t>
      </w:r>
      <w:r w:rsidRPr="001F00F1">
        <w:t>unregulated revenue—Dampier Bunbury Pipeline (</w:t>
      </w:r>
      <w:r>
        <w:t>4</w:t>
      </w:r>
      <w:r w:rsidRPr="001F00F1">
        <w:t xml:space="preserve"> per cent unregulated), United Energy (8 per cent unregulated), Multinet Gas (</w:t>
      </w:r>
      <w:r>
        <w:t>5</w:t>
      </w:r>
      <w:r w:rsidRPr="001F00F1">
        <w:t xml:space="preserve"> per cent unregulated) in the 201</w:t>
      </w:r>
      <w:r>
        <w:t>5</w:t>
      </w:r>
      <w:r w:rsidRPr="001F00F1">
        <w:t xml:space="preserve"> financial year.</w:t>
      </w:r>
      <w:r w:rsidRPr="001F00F1">
        <w:rPr>
          <w:rStyle w:val="FootnoteReference"/>
        </w:rPr>
        <w:footnoteReference w:id="1140"/>
      </w:r>
      <w:r w:rsidR="00145971">
        <w:t xml:space="preserve"> </w:t>
      </w:r>
      <w:r w:rsidR="00ED4D93">
        <w:t>DUET Group disclosed that 10 per cent of Multinet Gas' revenue was unregulated in the 2016 financial year.</w:t>
      </w:r>
      <w:r w:rsidR="00ED4D93" w:rsidRPr="001F00F1">
        <w:rPr>
          <w:rStyle w:val="FootnoteReference"/>
        </w:rPr>
        <w:footnoteReference w:id="1141"/>
      </w:r>
      <w:r w:rsidR="00ED4D93">
        <w:t xml:space="preserve"> </w:t>
      </w:r>
      <w:r w:rsidR="00145971">
        <w:t xml:space="preserve">DUET Group did not publicly disclose the share of regulated of revenue for </w:t>
      </w:r>
      <w:r w:rsidR="00ED4D93">
        <w:t xml:space="preserve">Dampier Bunbury Pipeline </w:t>
      </w:r>
      <w:r w:rsidR="00145971">
        <w:t>and Dampier Bunbury Pipelines</w:t>
      </w:r>
      <w:r w:rsidR="00ED4D93">
        <w:t>.</w:t>
      </w:r>
      <w:r w:rsidR="00ED4D93" w:rsidRPr="001F00F1">
        <w:rPr>
          <w:rStyle w:val="FootnoteReference"/>
        </w:rPr>
        <w:footnoteReference w:id="1142"/>
      </w:r>
      <w:r w:rsidR="00145971">
        <w:t xml:space="preserve"> However, </w:t>
      </w:r>
      <w:r w:rsidR="00DB3099">
        <w:t>we consider these two</w:t>
      </w:r>
      <w:r w:rsidR="00145971" w:rsidRPr="001F00F1">
        <w:t xml:space="preserve"> assets</w:t>
      </w:r>
      <w:r w:rsidR="00DB3099">
        <w:t xml:space="preserve"> would have still </w:t>
      </w:r>
      <w:r w:rsidR="00E01CAB">
        <w:t>generated</w:t>
      </w:r>
      <w:r w:rsidR="00145971" w:rsidRPr="001F00F1">
        <w:t xml:space="preserve"> </w:t>
      </w:r>
      <w:r w:rsidR="00145971">
        <w:t xml:space="preserve">limited </w:t>
      </w:r>
      <w:r w:rsidR="00145971" w:rsidRPr="001F00F1">
        <w:t>unregulated revenue</w:t>
      </w:r>
      <w:r w:rsidR="00E01CAB">
        <w:t xml:space="preserve"> since</w:t>
      </w:r>
      <w:r w:rsidR="00DB3099">
        <w:t xml:space="preserve"> both are regulated</w:t>
      </w:r>
      <w:r w:rsidR="00ED4D93">
        <w:t>.</w:t>
      </w:r>
    </w:p>
    <w:p w:rsidR="0070354B" w:rsidRPr="001F00F1" w:rsidRDefault="0070354B" w:rsidP="0070354B">
      <w:pPr>
        <w:pStyle w:val="AERbulletlistfirststyle"/>
      </w:pPr>
      <w:r>
        <w:t>Approximately 8</w:t>
      </w:r>
      <w:r w:rsidR="00464C22">
        <w:t>8</w:t>
      </w:r>
      <w:r>
        <w:t xml:space="preserve"> per cent of AusNet Services' revenues are regulated, as at</w:t>
      </w:r>
      <w:r w:rsidRPr="001F00F1">
        <w:t xml:space="preserve"> </w:t>
      </w:r>
      <w:r w:rsidR="00464C22">
        <w:t>30 June 2016</w:t>
      </w:r>
      <w:r w:rsidRPr="001F00F1">
        <w:t>.</w:t>
      </w:r>
      <w:r w:rsidRPr="001F00F1">
        <w:rPr>
          <w:rStyle w:val="FootnoteReference"/>
        </w:rPr>
        <w:footnoteReference w:id="1143"/>
      </w:r>
    </w:p>
    <w:p w:rsidR="0070354B" w:rsidRPr="001F00F1" w:rsidRDefault="0070354B" w:rsidP="0070354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144"/>
      </w:r>
      <w:r w:rsidRPr="001F00F1">
        <w:t xml:space="preserve"> </w:t>
      </w:r>
    </w:p>
    <w:p w:rsidR="0070354B" w:rsidRPr="001F00F1" w:rsidRDefault="0070354B" w:rsidP="0070354B">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145"/>
      </w:r>
    </w:p>
    <w:p w:rsidR="0070354B" w:rsidRDefault="0070354B" w:rsidP="00CC7A1C">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AusNet Services</w:t>
      </w:r>
      <w:r w:rsidRPr="00E6101A">
        <w:t>.</w:t>
      </w:r>
      <w:r>
        <w:rPr>
          <w:rStyle w:val="FootnoteReference"/>
        </w:rPr>
        <w:footnoteReference w:id="1146"/>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147"/>
      </w:r>
    </w:p>
    <w:p w:rsidR="0070354B" w:rsidRPr="0070354B" w:rsidRDefault="0070354B" w:rsidP="0070354B">
      <w:pPr>
        <w:pStyle w:val="Heading9"/>
      </w:pPr>
      <w:bookmarkStart w:id="415" w:name="_Ref446254453"/>
      <w:bookmarkStart w:id="416" w:name="_Toc451939004"/>
      <w:r>
        <w:t xml:space="preserve"> </w:t>
      </w:r>
      <w:bookmarkStart w:id="417" w:name="_Toc480460878"/>
      <w:r w:rsidRPr="0070354B">
        <w:t>Precision and stability of Australian empirical estimates</w:t>
      </w:r>
      <w:bookmarkEnd w:id="415"/>
      <w:bookmarkEnd w:id="416"/>
      <w:bookmarkEnd w:id="417"/>
    </w:p>
    <w:p w:rsidR="0070354B" w:rsidRDefault="0070354B" w:rsidP="00CC7A1C">
      <w:pPr>
        <w:numPr>
          <w:ilvl w:val="0"/>
          <w:numId w:val="24"/>
        </w:numPr>
      </w:pPr>
      <w:r>
        <w:t>We do not consider our empirical equity beta estimates of listed Australian energy businesses are unreliable. Some service providers' consultants previously appear to have taken a narrow definition of what is reliable in this context. They measured reliability by considering precision and stability of equity beta estimates over time.</w:t>
      </w:r>
      <w:r>
        <w:rPr>
          <w:rStyle w:val="FootnoteReference"/>
        </w:rPr>
        <w:footnoteReference w:id="1148"/>
      </w:r>
      <w:r>
        <w:t xml:space="preserve"> They find that these statistical properties improve as the comparator set increases.</w:t>
      </w:r>
      <w:r>
        <w:rPr>
          <w:rStyle w:val="FootnoteReference"/>
        </w:rPr>
        <w:footnoteReference w:id="1149"/>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150"/>
      </w:r>
    </w:p>
    <w:p w:rsidR="0070354B" w:rsidRDefault="0070354B" w:rsidP="00CC7A1C">
      <w:pPr>
        <w:numPr>
          <w:ilvl w:val="0"/>
          <w:numId w:val="24"/>
        </w:numPr>
      </w:pPr>
      <w:r>
        <w:t>It is also useful to note that Henry performed a separate time series regression for each comparator firm and various portfolios of comparator firms.</w:t>
      </w:r>
      <w:r>
        <w:rPr>
          <w:rStyle w:val="FootnoteReference"/>
        </w:rPr>
        <w:footnoteReference w:id="1151"/>
      </w:r>
      <w:r>
        <w:t xml:space="preserve"> The weekly returns for each firm are regressed against the weekly returns on the market over a period of time (the estimation period).</w:t>
      </w:r>
      <w:r>
        <w:rPr>
          <w:rStyle w:val="FootnoteReference"/>
        </w:rPr>
        <w:footnoteReference w:id="1152"/>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153"/>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6B4A74">
        <w:t xml:space="preserve">figure </w:t>
      </w:r>
      <w:r w:rsidR="006B4A74">
        <w:rPr>
          <w:noProof/>
        </w:rPr>
        <w:t>3</w:t>
      </w:r>
      <w:r w:rsidR="006B4A74">
        <w:noBreakHyphen/>
      </w:r>
      <w:r w:rsidR="006B4A74">
        <w:rPr>
          <w:noProof/>
        </w:rPr>
        <w:t>17</w:t>
      </w:r>
      <w:r>
        <w:fldChar w:fldCharType="end"/>
      </w:r>
      <w:r>
        <w:t>). This focus on average and portfolio equity beta estimates further reduces any residual uncertainty associated with individual firm estimates.</w:t>
      </w:r>
    </w:p>
    <w:p w:rsidR="0070354B" w:rsidRDefault="0070354B" w:rsidP="00CC7A1C">
      <w:pPr>
        <w:numPr>
          <w:ilvl w:val="0"/>
          <w:numId w:val="24"/>
        </w:numPr>
      </w:pPr>
      <w:r>
        <w:t xml:space="preserve">Frontier Economics previously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154"/>
      </w:r>
      <w:r>
        <w:t xml:space="preserve"> We have assessed this material and consider it is, in substance, the same evidence that has been previously submitted to us on this issue.</w:t>
      </w:r>
      <w:r>
        <w:rPr>
          <w:rStyle w:val="FootnoteReference"/>
        </w:rPr>
        <w:footnoteReference w:id="1155"/>
      </w:r>
      <w:r>
        <w:t xml:space="preserve"> Nevertheless, Partington and Satchell have analysed the graphs of 10 year rolling beta estimates.</w:t>
      </w:r>
      <w:r>
        <w:rPr>
          <w:rStyle w:val="FootnoteReference"/>
        </w:rPr>
        <w:footnoteReference w:id="1156"/>
      </w:r>
      <w:r>
        <w:t xml:space="preserve"> They conclude that:</w:t>
      </w:r>
      <w:r>
        <w:rPr>
          <w:rStyle w:val="FootnoteReference"/>
        </w:rPr>
        <w:footnoteReference w:id="1157"/>
      </w:r>
    </w:p>
    <w:p w:rsidR="0070354B" w:rsidRDefault="0070354B" w:rsidP="0070354B">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0354B" w:rsidRDefault="0070354B" w:rsidP="0070354B">
      <w:pPr>
        <w:pStyle w:val="AERquote"/>
      </w:pPr>
      <w:r w:rsidRPr="003B03A8">
        <w:t>.</w:t>
      </w:r>
      <w:r>
        <w:t>...</w:t>
      </w:r>
      <w:r w:rsidRPr="003B03A8">
        <w:t xml:space="preserve"> and in the time series of rolling portfolio beta estimates the US betas appear to be less stable than the Australian betas.</w:t>
      </w:r>
    </w:p>
    <w:p w:rsidR="0070354B" w:rsidRDefault="0070354B" w:rsidP="00CC7A1C">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158"/>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AusNet Services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159"/>
      </w:r>
      <w:r>
        <w:t xml:space="preserve"> Even Frontier performs regressions based on a five year estimation period as a robustness check on its estimates from a 10 year estimation period.</w:t>
      </w:r>
      <w:r>
        <w:rPr>
          <w:rStyle w:val="FootnoteReference"/>
        </w:rPr>
        <w:footnoteReference w:id="1160"/>
      </w:r>
      <w:r>
        <w:t xml:space="preserve"> We do not consider the robustness of our equity beta estimates to different estimation choices is invalidated by the fact that the estimates are based on the same underlying comparator set of firms (or a subset of these firms).</w:t>
      </w:r>
    </w:p>
    <w:p w:rsidR="0070354B" w:rsidRDefault="0070354B" w:rsidP="0070354B">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161"/>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6B4A74">
        <w:t>G.1</w:t>
      </w:r>
      <w:r>
        <w:fldChar w:fldCharType="end"/>
      </w:r>
      <w:r>
        <w:t xml:space="preserve"> and </w:t>
      </w:r>
      <w:r>
        <w:fldChar w:fldCharType="begin"/>
      </w:r>
      <w:r>
        <w:instrText xml:space="preserve"> REF _Ref446255164 \r \h </w:instrText>
      </w:r>
      <w:r>
        <w:fldChar w:fldCharType="separate"/>
      </w:r>
      <w:r w:rsidR="006B4A74">
        <w:t>G.2</w:t>
      </w:r>
      <w:r>
        <w:fldChar w:fldCharType="end"/>
      </w:r>
      <w:r>
        <w:t>.</w:t>
      </w:r>
    </w:p>
    <w:p w:rsidR="0070354B" w:rsidRPr="0070354B" w:rsidRDefault="0070354B" w:rsidP="0070354B">
      <w:pPr>
        <w:pStyle w:val="Heading9"/>
      </w:pPr>
      <w:bookmarkStart w:id="418" w:name="_Ref446254445"/>
      <w:bookmarkStart w:id="419" w:name="_Toc451939005"/>
      <w:bookmarkStart w:id="420" w:name="_Toc480460879"/>
      <w:r>
        <w:t>Use of international energy firms</w:t>
      </w:r>
      <w:bookmarkEnd w:id="418"/>
      <w:bookmarkEnd w:id="419"/>
      <w:bookmarkEnd w:id="420"/>
    </w:p>
    <w:p w:rsidR="0070354B" w:rsidRDefault="0070354B" w:rsidP="00CC7A1C">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AusNet Services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70354B" w:rsidRPr="001F00F1" w:rsidRDefault="0070354B" w:rsidP="0070354B">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162"/>
      </w:r>
      <w:r w:rsidRPr="001F00F1">
        <w:t xml:space="preserve"> It is difficult to assign quantitative impacts to these qualitative factors.</w:t>
      </w:r>
    </w:p>
    <w:p w:rsidR="0070354B" w:rsidRPr="001F00F1" w:rsidRDefault="0070354B" w:rsidP="0070354B">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163"/>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164"/>
      </w:r>
      <w:r w:rsidRPr="001F00F1">
        <w:t xml:space="preserve"> </w:t>
      </w:r>
    </w:p>
    <w:p w:rsidR="0070354B" w:rsidRDefault="0070354B" w:rsidP="0070354B">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165"/>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166"/>
      </w:r>
      <w:r>
        <w:t xml:space="preserve"> As Associate Professor John Handley (Handley) stated:</w:t>
      </w:r>
      <w:r>
        <w:rPr>
          <w:rStyle w:val="FootnoteReference"/>
        </w:rPr>
        <w:footnoteReference w:id="1167"/>
      </w:r>
    </w:p>
    <w:p w:rsidR="0070354B" w:rsidRPr="006048D2" w:rsidRDefault="0070354B" w:rsidP="0070354B">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0354B" w:rsidRPr="001F00F1" w:rsidRDefault="0070354B" w:rsidP="0070354B">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168"/>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169"/>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170"/>
      </w:r>
    </w:p>
    <w:p w:rsidR="0070354B" w:rsidRPr="001F00F1" w:rsidRDefault="0070354B" w:rsidP="0070354B">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70354B" w:rsidRDefault="0070354B" w:rsidP="00CC7A1C">
      <w:pPr>
        <w:numPr>
          <w:ilvl w:val="0"/>
          <w:numId w:val="24"/>
        </w:numPr>
      </w:pPr>
      <w:r>
        <w:t>These factors are discussed in more detail in the Guideline and 2009 WACC review.</w:t>
      </w:r>
      <w:r>
        <w:rPr>
          <w:rStyle w:val="FootnoteReference"/>
        </w:rPr>
        <w:footnoteReference w:id="1171"/>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0354B" w:rsidRPr="00F241AB" w:rsidRDefault="0070354B" w:rsidP="00CC7A1C">
      <w:pPr>
        <w:numPr>
          <w:ilvl w:val="0"/>
          <w:numId w:val="24"/>
        </w:numPr>
      </w:pPr>
      <w:r>
        <w:t xml:space="preserve">The </w:t>
      </w:r>
      <w:r w:rsidR="00BB13B7">
        <w:t>submitted</w:t>
      </w:r>
      <w:r>
        <w:t xml:space="preserve"> consultant </w:t>
      </w:r>
      <w:r w:rsidR="00BB13B7">
        <w:t xml:space="preserve">reports </w:t>
      </w:r>
      <w:r>
        <w:t>appear to have recognised</w:t>
      </w:r>
      <w:r w:rsidRPr="00AA15E3">
        <w:t xml:space="preserve"> </w:t>
      </w:r>
      <w:r>
        <w:t>international energy network firms are less comparable to a benchmark efficient entity than Australian energy network firms. However, some also considered our comparator set of Australian energy network firms is too small and produces unreliable equity beta estimates.</w:t>
      </w:r>
      <w:r>
        <w:rPr>
          <w:rStyle w:val="FootnoteReference"/>
        </w:rPr>
        <w:footnoteReference w:id="1172"/>
      </w:r>
      <w:r>
        <w:t xml:space="preserve"> In analysing these competing considerations, these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173"/>
      </w:r>
    </w:p>
    <w:p w:rsidR="0070354B" w:rsidRDefault="0070354B" w:rsidP="00CC7A1C">
      <w:pPr>
        <w:numPr>
          <w:ilvl w:val="0"/>
          <w:numId w:val="24"/>
        </w:numPr>
      </w:pPr>
      <w:r>
        <w:t>W</w:t>
      </w:r>
      <w:r w:rsidRPr="00F241AB">
        <w:t xml:space="preserve">e do not consider </w:t>
      </w:r>
      <w:r>
        <w:t>these submissions</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AusNet Services in providing regulated services</w:t>
      </w:r>
      <w:r w:rsidRPr="00F241AB">
        <w:t>.</w:t>
      </w:r>
      <w:r>
        <w:rPr>
          <w:rStyle w:val="FootnoteReference"/>
        </w:rPr>
        <w:footnoteReference w:id="1174"/>
      </w:r>
      <w:r w:rsidRPr="00F241AB">
        <w:t xml:space="preserve"> Handley supports this </w:t>
      </w:r>
      <w:r>
        <w:t>view</w:t>
      </w:r>
      <w:r w:rsidRPr="00F241AB">
        <w:t>.</w:t>
      </w:r>
      <w:r w:rsidRPr="00F241AB">
        <w:rPr>
          <w:rStyle w:val="FootnoteReference"/>
        </w:rPr>
        <w:footnoteReference w:id="1175"/>
      </w:r>
      <w:r>
        <w:t xml:space="preserve"> We provided detailed reasoning for this view in our recent decisions, which we do not reproduce in this decision but which remains applicable.</w:t>
      </w:r>
      <w:r>
        <w:rPr>
          <w:rStyle w:val="FootnoteReference"/>
        </w:rPr>
        <w:footnoteReference w:id="1176"/>
      </w:r>
      <w:r>
        <w:t xml:space="preserve"> However, Partington and Satchell have assessed Frontier Economics' most recent (2016) report on the issue, and conclude that:</w:t>
      </w:r>
      <w:r>
        <w:rPr>
          <w:rStyle w:val="FootnoteReference"/>
        </w:rPr>
        <w:footnoteReference w:id="1177"/>
      </w:r>
    </w:p>
    <w:p w:rsidR="0070354B" w:rsidRDefault="0070354B" w:rsidP="0070354B">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70354B" w:rsidRDefault="0070354B" w:rsidP="0070354B">
      <w:pPr>
        <w:pStyle w:val="AERquote"/>
      </w:pPr>
      <w:r>
        <w:t>…</w:t>
      </w:r>
      <w:r w:rsidRPr="001233AC">
        <w:t>Furthermore, the use of 24% by weight of Australian data and 76% by weight of US data to compute an Australian beta seems intuitively inappropriate.</w:t>
      </w:r>
    </w:p>
    <w:p w:rsidR="0070354B" w:rsidRPr="004C2E1A" w:rsidRDefault="0070354B" w:rsidP="0070354B">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0354B" w:rsidRDefault="0070354B" w:rsidP="00CC7A1C">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178"/>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179"/>
      </w:r>
      <w:r>
        <w:t xml:space="preserve"> </w:t>
      </w:r>
    </w:p>
    <w:p w:rsidR="0070354B" w:rsidRDefault="0070354B" w:rsidP="00CC7A1C">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0354B" w:rsidRPr="0070354B" w:rsidRDefault="0070354B" w:rsidP="0070354B">
      <w:pPr>
        <w:pStyle w:val="Heading9"/>
      </w:pPr>
      <w:bookmarkStart w:id="421" w:name="_Ref446254437"/>
      <w:bookmarkStart w:id="422" w:name="_Toc451939006"/>
      <w:bookmarkStart w:id="423" w:name="_Toc480460880"/>
      <w:r>
        <w:t>Use of non-energy infrastructure firms</w:t>
      </w:r>
      <w:bookmarkEnd w:id="421"/>
      <w:bookmarkEnd w:id="422"/>
      <w:bookmarkEnd w:id="423"/>
    </w:p>
    <w:p w:rsidR="0070354B" w:rsidRDefault="0070354B" w:rsidP="00CC7A1C">
      <w:pPr>
        <w:numPr>
          <w:ilvl w:val="0"/>
          <w:numId w:val="24"/>
        </w:numPr>
      </w:pPr>
      <w:r>
        <w:t>Frontier Economics (previously SFG) previously submitted that we should include Australian non-energy infrastructure firms in our comparator set in addition to Australian energy firms</w:t>
      </w:r>
    </w:p>
    <w:p w:rsidR="0070354B" w:rsidRDefault="0070354B" w:rsidP="00CC7A1C">
      <w:pPr>
        <w:numPr>
          <w:ilvl w:val="0"/>
          <w:numId w:val="24"/>
        </w:numPr>
      </w:pPr>
      <w:r>
        <w:rPr>
          <w:rStyle w:val="FootnoteReference"/>
        </w:rPr>
        <w:footnoteReference w:id="1180"/>
      </w:r>
      <w:r>
        <w:t xml:space="preserve"> Frontier Economics examined equity beta estimates for nine Australian energy network firms, seven Australian non-energy infrastructure firms</w:t>
      </w:r>
      <w:r>
        <w:rPr>
          <w:rStyle w:val="FootnoteReference"/>
        </w:rPr>
        <w:footnoteReference w:id="1181"/>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182"/>
      </w:r>
    </w:p>
    <w:p w:rsidR="0070354B" w:rsidRDefault="0070354B" w:rsidP="00CC7A1C">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AusNet Services in relation to the provision of its regulated services. We do not include non-energy infrastructure firms in our comparator set for empirical analysis. We consider these firms are not suitable comparators in this case, for the following reasons:</w:t>
      </w:r>
    </w:p>
    <w:p w:rsidR="0070354B" w:rsidRPr="001F00F1" w:rsidRDefault="0070354B" w:rsidP="0070354B">
      <w:pPr>
        <w:pStyle w:val="AERbulletlistfirststyle"/>
      </w:pPr>
      <w:r>
        <w:t xml:space="preserve">The allowed rate of return objective requires us to consider the efficient financing costs of a benchmark efficient entity with a similar degree of risk as AusNet Services in the provision of regulated electricity network services. These firms do not provide electricity network, or more generally energy network, services.  </w:t>
      </w:r>
    </w:p>
    <w:p w:rsidR="0070354B" w:rsidRDefault="0070354B" w:rsidP="0070354B">
      <w:pPr>
        <w:pStyle w:val="AERbulletlistfirststyle"/>
      </w:pPr>
      <w:r>
        <w:t>D</w:t>
      </w:r>
      <w:r w:rsidRPr="001F00F1">
        <w:t>ifferences in regulation</w:t>
      </w:r>
      <w:r>
        <w:t xml:space="preserve"> (including minimal or no regulation),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183"/>
      </w:r>
      <w:r>
        <w:t xml:space="preserve"> For example, a number of Australian non-energy infrastructure firms are unregulated or are partly regulated under different regulatory regimes.</w:t>
      </w:r>
      <w:r>
        <w:rPr>
          <w:rStyle w:val="FootnoteReference"/>
        </w:rPr>
        <w:footnoteReference w:id="1184"/>
      </w:r>
      <w:r>
        <w:t xml:space="preserve"> We explain why we consider </w:t>
      </w:r>
      <w:r w:rsidRPr="006B58F1">
        <w:t>unregulated businesses are likely to have a very different risk profile</w:t>
      </w:r>
      <w:r>
        <w:t xml:space="preserve"> to regulated firms in section 3.3.3. Also, a number of Australian non-energy infrastructure firms provide a range of different services in addition to management of and access to the monopoly infrastructure,</w:t>
      </w:r>
      <w:r>
        <w:rPr>
          <w:rStyle w:val="FootnoteReference"/>
        </w:rPr>
        <w:footnoteReference w:id="1185"/>
      </w:r>
      <w:r>
        <w:t xml:space="preserve"> which are likely to influence their overall risk profile. </w:t>
      </w:r>
    </w:p>
    <w:p w:rsidR="0070354B" w:rsidRPr="007F642B" w:rsidRDefault="0070354B" w:rsidP="0070354B">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70354B" w:rsidRDefault="0070354B" w:rsidP="00CC7A1C">
      <w:pPr>
        <w:numPr>
          <w:ilvl w:val="0"/>
          <w:numId w:val="24"/>
        </w:numPr>
      </w:pPr>
      <w:r>
        <w:t xml:space="preserve">As discussed at the start of section </w:t>
      </w:r>
      <w:r>
        <w:fldChar w:fldCharType="begin"/>
      </w:r>
      <w:r>
        <w:instrText xml:space="preserve"> REF _Ref446254453 \r \h </w:instrText>
      </w:r>
      <w:r>
        <w:fldChar w:fldCharType="separate"/>
      </w:r>
      <w:r w:rsidR="006B4A74">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AusNet Services in providing regulated services. </w:t>
      </w:r>
    </w:p>
    <w:p w:rsidR="0070354B" w:rsidRDefault="0070354B" w:rsidP="00CC7A1C">
      <w:pPr>
        <w:numPr>
          <w:ilvl w:val="0"/>
          <w:numId w:val="24"/>
        </w:numPr>
      </w:pPr>
      <w:r>
        <w:t xml:space="preserve">Frontier Economics also performed two statistical tests (the </w:t>
      </w:r>
      <w:r w:rsidRPr="00606073">
        <w:t>Kolmogorov-Smirnov</w:t>
      </w:r>
      <w:r>
        <w:t xml:space="preserve"> test and a t-test)</w:t>
      </w:r>
      <w:r>
        <w:rPr>
          <w:rStyle w:val="FootnoteReference"/>
        </w:rPr>
        <w:footnoteReference w:id="1186"/>
      </w:r>
      <w:r>
        <w:t xml:space="preserve"> to infer that the three comparator sets are drawn from the same population.</w:t>
      </w:r>
      <w:r>
        <w:rPr>
          <w:rStyle w:val="FootnoteReference"/>
        </w:rPr>
        <w:footnoteReference w:id="1187"/>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188"/>
      </w:r>
    </w:p>
    <w:p w:rsidR="0070354B" w:rsidRPr="00D32280" w:rsidRDefault="0070354B" w:rsidP="0070354B">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0354B" w:rsidRDefault="0070354B" w:rsidP="00CC7A1C">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189"/>
      </w:r>
    </w:p>
    <w:p w:rsidR="0070354B" w:rsidRPr="006048D2" w:rsidRDefault="0070354B" w:rsidP="0070354B">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0354B" w:rsidRDefault="0070354B" w:rsidP="00CC7A1C">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190"/>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191"/>
      </w:r>
      <w:r w:rsidRPr="00ED0870">
        <w:t xml:space="preserve"> </w:t>
      </w:r>
    </w:p>
    <w:p w:rsidR="0070354B" w:rsidRDefault="0070354B" w:rsidP="00CC7A1C">
      <w:pPr>
        <w:numPr>
          <w:ilvl w:val="0"/>
          <w:numId w:val="24"/>
        </w:numPr>
      </w:pPr>
      <w:r>
        <w:t xml:space="preserve">Moreover, CEG and SFG provided analysis on the comparability of 56 US energy firms to a (domestic) benchmark efficient entity. We have analysed this material and explained in detail why we consider international energy firms are not reasonably comparable to a benchmark efficient entity with a similar degree of risk as AusNet Services in providing regulated services (see section </w:t>
      </w:r>
      <w:r>
        <w:fldChar w:fldCharType="begin"/>
      </w:r>
      <w:r>
        <w:instrText xml:space="preserve"> REF _Ref446254445 \r \h </w:instrText>
      </w:r>
      <w:r>
        <w:fldChar w:fldCharType="separate"/>
      </w:r>
      <w:r w:rsidR="006B4A74">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the service providers we regulate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192"/>
      </w:r>
      <w:r>
        <w:t xml:space="preserve"> </w:t>
      </w:r>
    </w:p>
    <w:p w:rsidR="0070354B" w:rsidRDefault="0070354B" w:rsidP="00CC7A1C">
      <w:pPr>
        <w:numPr>
          <w:ilvl w:val="0"/>
          <w:numId w:val="24"/>
        </w:numPr>
      </w:pPr>
      <w:r>
        <w:t xml:space="preserve">We disagree with the suggestion by several service providers that a benchmark efficient entity should be defined as an unregulated entity operating in a workably competitive market (see </w:t>
      </w:r>
      <w:r w:rsidR="00CC4A6D">
        <w:t>table 3–6</w:t>
      </w:r>
      <w:r>
        <w:t>). However, we note in any case that we do not consider there is persuasive evidence that these entities are reasonable comparators for a benchmark efficient entity with similar degree of risk to AusNet Services in the provision of its regulated services.</w:t>
      </w:r>
    </w:p>
    <w:p w:rsidR="0070354B" w:rsidRPr="00C01E61" w:rsidRDefault="0070354B" w:rsidP="00CC7A1C">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193"/>
      </w:r>
      <w:r>
        <w:t xml:space="preserve"> The average equity beta estimates from Frontier Economics' analysis of non-energy infrastructure firms range from 0.58 to 0.91,</w:t>
      </w:r>
      <w:r>
        <w:rPr>
          <w:rStyle w:val="FootnoteReference"/>
        </w:rPr>
        <w:footnoteReference w:id="1194"/>
      </w:r>
      <w:r>
        <w:t xml:space="preserve"> which is consistent with our final equity beta estimate of 0.7.</w:t>
      </w:r>
    </w:p>
    <w:p w:rsidR="00A933BB" w:rsidRDefault="00A933BB" w:rsidP="00A933BB">
      <w:pPr>
        <w:pStyle w:val="Heading7"/>
      </w:pPr>
      <w:bookmarkStart w:id="424" w:name="_Toc456686755"/>
      <w:bookmarkStart w:id="425" w:name="_Ref479168039"/>
      <w:bookmarkStart w:id="426" w:name="_Ref479168250"/>
      <w:bookmarkStart w:id="427" w:name="_Ref479168556"/>
      <w:bookmarkStart w:id="428" w:name="_Ref479168723"/>
      <w:bookmarkStart w:id="429" w:name="_Ref479169158"/>
      <w:bookmarkStart w:id="430" w:name="_Ref479169214"/>
      <w:bookmarkStart w:id="431" w:name="_Ref479170782"/>
      <w:bookmarkStart w:id="432" w:name="_Toc481057496"/>
      <w:bookmarkStart w:id="433" w:name="_Toc456686789"/>
      <w:r>
        <w:t>Return on debt approach</w:t>
      </w:r>
      <w:bookmarkEnd w:id="424"/>
      <w:bookmarkEnd w:id="425"/>
      <w:bookmarkEnd w:id="426"/>
      <w:bookmarkEnd w:id="427"/>
      <w:bookmarkEnd w:id="428"/>
      <w:bookmarkEnd w:id="429"/>
      <w:bookmarkEnd w:id="430"/>
      <w:bookmarkEnd w:id="431"/>
      <w:bookmarkEnd w:id="432"/>
    </w:p>
    <w:p w:rsidR="00CE5DD5" w:rsidRPr="00CE5DD5" w:rsidRDefault="00CE5DD5" w:rsidP="00CE5DD5">
      <w:r w:rsidRPr="00CE5DD5">
        <w:t>We transition all of the return on debt</w:t>
      </w:r>
      <w:r w:rsidRPr="00CE5DD5">
        <w:rPr>
          <w:rStyle w:val="FootnoteReference"/>
        </w:rPr>
        <w:footnoteReference w:id="1195"/>
      </w:r>
      <w:r w:rsidRPr="00CE5DD5">
        <w:t xml:space="preserve"> from an on-the-day approach in the first regulatory year to a trailing average by updating 10 per cent of the debt portfolio over 10 years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In this appendix, a 'regulatory period' means a regulatory control period or an access arrangement period.</w:t>
      </w:r>
    </w:p>
    <w:p w:rsidR="00CE5DD5" w:rsidRPr="00CE5DD5" w:rsidRDefault="00CE5DD5" w:rsidP="00CE5DD5">
      <w:r w:rsidRPr="00CE5DD5">
        <w:t>In setting out our reasons for this view, this appendix is structured as follows:</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_Ref447803792 \r \h </w:instrText>
      </w:r>
      <w:r w:rsidRPr="00CE5DD5">
        <w:fldChar w:fldCharType="separate"/>
      </w:r>
      <w:r w:rsidR="006B4A74">
        <w:t>H.1</w:t>
      </w:r>
      <w:r w:rsidRPr="00CE5DD5">
        <w:fldChar w:fldCharType="end"/>
      </w:r>
      <w:r w:rsidRPr="00CE5DD5">
        <w:t xml:space="preserve"> establishes how we interpret the ARORO. This is with a particular focus on defining efficient financing costs (section </w:t>
      </w:r>
      <w:r w:rsidRPr="00CE5DD5">
        <w:fldChar w:fldCharType="begin"/>
      </w:r>
      <w:r w:rsidRPr="00CE5DD5">
        <w:instrText xml:space="preserve"> REF _Ref446405872 \r \h </w:instrText>
      </w:r>
      <w:r w:rsidRPr="00CE5DD5">
        <w:fldChar w:fldCharType="separate"/>
      </w:r>
      <w:r w:rsidR="006B4A74">
        <w:t>H.1.1</w:t>
      </w:r>
      <w:r w:rsidRPr="00CE5DD5">
        <w:fldChar w:fldCharType="end"/>
      </w:r>
      <w:r w:rsidRPr="00CE5DD5">
        <w:t xml:space="preserve">) and how the concept of a benchmark efficient entity interacts with the ARORO (section </w:t>
      </w:r>
      <w:r w:rsidRPr="00CE5DD5">
        <w:fldChar w:fldCharType="begin"/>
      </w:r>
      <w:r w:rsidRPr="00CE5DD5">
        <w:instrText xml:space="preserve"> REF _Ref447803806 \r \h </w:instrText>
      </w:r>
      <w:r w:rsidRPr="00CE5DD5">
        <w:fldChar w:fldCharType="separate"/>
      </w:r>
      <w:r w:rsidR="006B4A74">
        <w:t>H.1.2</w:t>
      </w:r>
      <w:r w:rsidRPr="00CE5DD5">
        <w:fldChar w:fldCharType="end"/>
      </w:r>
      <w:r w:rsidRPr="00CE5DD5">
        <w:t>).</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_Ref444778432 \r \h </w:instrText>
      </w:r>
      <w:r w:rsidRPr="00CE5DD5">
        <w:fldChar w:fldCharType="separate"/>
      </w:r>
      <w:r w:rsidR="006B4A74">
        <w:t>H.2</w:t>
      </w:r>
      <w:r w:rsidRPr="00CE5DD5">
        <w:fldChar w:fldCharType="end"/>
      </w:r>
      <w:r w:rsidRPr="00CE5DD5">
        <w:t xml:space="preserve"> sets out what is required for us to form an allowed return on debt that contributes to the achievement of the ARORO. This includes: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_Ref446603900 \r \h  \* MERGEFORMAT </w:instrText>
      </w:r>
      <w:r w:rsidRPr="00CE5DD5">
        <w:fldChar w:fldCharType="separate"/>
      </w:r>
      <w:r w:rsidR="006B4A74">
        <w:t>H.2.1</w:t>
      </w:r>
      <w:r w:rsidRPr="00CE5DD5">
        <w:fldChar w:fldCharType="end"/>
      </w:r>
      <w:r w:rsidRPr="00CE5DD5">
        <w:t>—the need to provide ex-ante compensation for efficient financing costs (ex-ante efficient compensation) as opposed to providing compensation for historically incurred costs</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_Ref447803918 \r \h </w:instrText>
      </w:r>
      <w:r w:rsidRPr="00CE5DD5">
        <w:fldChar w:fldCharType="separate"/>
      </w:r>
      <w:r w:rsidR="006B4A74">
        <w:t>H.2.2</w:t>
      </w:r>
      <w:r w:rsidRPr="00CE5DD5">
        <w:fldChar w:fldCharType="end"/>
      </w:r>
      <w:r w:rsidRPr="00CE5DD5">
        <w:t xml:space="preserve">—why we consider our approach is consistent with the National Electricity Law /National Gas Law (NEL/NGL)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_Ref447803924 \r \h </w:instrText>
      </w:r>
      <w:r w:rsidRPr="00CE5DD5">
        <w:fldChar w:fldCharType="separate"/>
      </w:r>
      <w:r w:rsidR="006B4A74">
        <w:t>H.2.3</w:t>
      </w:r>
      <w:r w:rsidRPr="00CE5DD5">
        <w:fldChar w:fldCharType="end"/>
      </w:r>
      <w:r w:rsidRPr="00CE5DD5">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_Ref444767739 \r \h </w:instrText>
      </w:r>
      <w:r w:rsidRPr="00CE5DD5">
        <w:fldChar w:fldCharType="separate"/>
      </w:r>
      <w:r w:rsidR="006B4A74">
        <w:t>H.3</w:t>
      </w:r>
      <w:r w:rsidRPr="00CE5DD5">
        <w:fldChar w:fldCharType="end"/>
      </w:r>
      <w:r w:rsidRPr="00CE5DD5">
        <w:t xml:space="preserve"> analyses the on-the-day and trailing average approaches to establish the extent these approaches can contribute to the achievement of the ARORO.</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_Ref447538284 \r \h </w:instrText>
      </w:r>
      <w:r w:rsidRPr="00CE5DD5">
        <w:fldChar w:fldCharType="separate"/>
      </w:r>
      <w:r w:rsidR="006B4A74">
        <w:t>H.4</w:t>
      </w:r>
      <w:r w:rsidRPr="00CE5DD5">
        <w:fldChar w:fldCharType="end"/>
      </w:r>
      <w:r w:rsidRPr="00CE5DD5">
        <w:t xml:space="preserve"> establishes why a full transition can contribute to the achievement of the ARORO when moving from an on-the-day to a trailing average approach.</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_Ref447266532 \r \h </w:instrText>
      </w:r>
      <w:r w:rsidRPr="00CE5DD5">
        <w:fldChar w:fldCharType="separate"/>
      </w:r>
      <w:r w:rsidR="006B4A74">
        <w:t>H.5</w:t>
      </w:r>
      <w:r w:rsidRPr="00CE5DD5">
        <w:fldChar w:fldCharType="end"/>
      </w:r>
      <w:r w:rsidRPr="00CE5DD5">
        <w:t xml:space="preserve"> explains why an immediate (or hybrid) transition will not achieve the ARORO given current interest rates relative to historical interest rates. This includes: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_Ref447886159 \r \h  \* MERGEFORMAT </w:instrText>
      </w:r>
      <w:r w:rsidRPr="00CE5DD5">
        <w:fldChar w:fldCharType="separate"/>
      </w:r>
      <w:r w:rsidR="006B4A74">
        <w:t>H.5.1</w:t>
      </w:r>
      <w:r w:rsidRPr="00CE5DD5">
        <w:fldChar w:fldCharType="end"/>
      </w:r>
      <w:r w:rsidRPr="00CE5DD5">
        <w:t xml:space="preserve">—a mathematical explanation.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_Ref447886226 \r \h  \* MERGEFORMAT </w:instrText>
      </w:r>
      <w:r w:rsidRPr="00CE5DD5">
        <w:fldChar w:fldCharType="separate"/>
      </w:r>
      <w:r w:rsidR="006B4A74">
        <w:t>H.5.2</w:t>
      </w:r>
      <w:r w:rsidRPr="00CE5DD5">
        <w:fldChar w:fldCharType="end"/>
      </w:r>
      <w:r w:rsidRPr="00CE5DD5">
        <w:t>—a further discussion responding to some issues raised in the service providers' revised proposals.</w:t>
      </w:r>
      <w:r w:rsidRPr="00CE5DD5">
        <w:rPr>
          <w:rStyle w:val="FootnoteReference"/>
        </w:rPr>
        <w:footnoteReference w:id="1196"/>
      </w:r>
      <w:r w:rsidRPr="00CE5DD5">
        <w:t xml:space="preserve"> </w:t>
      </w:r>
      <w:r w:rsidRPr="00CE5DD5">
        <w:fldChar w:fldCharType="begin"/>
      </w:r>
      <w:r w:rsidRPr="00CE5DD5">
        <w:instrText xml:space="preserve"> REF _Ref447807493 \h  \* MERGEFORMAT </w:instrText>
      </w:r>
      <w:r w:rsidRPr="00CE5DD5">
        <w:fldChar w:fldCharType="separate"/>
      </w:r>
      <w:r w:rsidR="006B4A74" w:rsidRPr="00CE5DD5">
        <w:t xml:space="preserve">Table </w:t>
      </w:r>
      <w:r w:rsidR="006B4A74">
        <w:t>3</w:t>
      </w:r>
      <w:r w:rsidR="006B4A74">
        <w:noBreakHyphen/>
        <w:t>37</w:t>
      </w:r>
      <w:r w:rsidRPr="00CE5DD5">
        <w:fldChar w:fldCharType="end"/>
      </w:r>
      <w:r w:rsidRPr="00CE5DD5">
        <w:t xml:space="preserve"> responds to arguments supporting an immediate transition to a trailing average. We also provide responses to the CEG’s most recent report on the AER’s current interpretation of the ARORO in this section. For Completeness we retain the explanation from our earlier decisions on why we disagree with an earlier CEG's report recommending that if we apply a hybrid transition, we should assume a benchmark efficient entity would have hedged one third of the base rate (noting this argument becomes redundant as we do not apply a hybrid transition).</w:t>
      </w:r>
      <w:r w:rsidRPr="00CE5DD5">
        <w:rPr>
          <w:rStyle w:val="FootnoteReference"/>
        </w:rPr>
        <w:footnoteReference w:id="1197"/>
      </w:r>
    </w:p>
    <w:p w:rsidR="00CE5DD5" w:rsidRPr="00CE5DD5" w:rsidRDefault="00CE5DD5" w:rsidP="00950EA8">
      <w:r w:rsidRPr="00CE5DD5">
        <w:t xml:space="preserve">This section also explains why, to achieve the ARORO, the on-the-day approach should continue if there is no revenue-neutral transition from the current on the day approach. </w:t>
      </w:r>
    </w:p>
    <w:p w:rsidR="00CE5DD5" w:rsidRPr="00CE5DD5" w:rsidRDefault="00CE5DD5" w:rsidP="002656D9">
      <w:pPr>
        <w:pStyle w:val="Heading8"/>
        <w:numPr>
          <w:ilvl w:val="1"/>
          <w:numId w:val="36"/>
        </w:numPr>
        <w:tabs>
          <w:tab w:val="clear" w:pos="1305"/>
          <w:tab w:val="num" w:pos="993"/>
        </w:tabs>
        <w:ind w:hanging="1305"/>
      </w:pPr>
      <w:bookmarkStart w:id="434" w:name="_Ref447803792"/>
      <w:bookmarkStart w:id="435" w:name="_Toc451947832"/>
      <w:bookmarkStart w:id="436" w:name="_Toc481057497"/>
      <w:r w:rsidRPr="00CE5DD5">
        <w:t>Interpretation of the ARORO</w:t>
      </w:r>
      <w:bookmarkEnd w:id="434"/>
      <w:bookmarkEnd w:id="435"/>
      <w:bookmarkEnd w:id="436"/>
    </w:p>
    <w:p w:rsidR="00CE5DD5" w:rsidRPr="00CE5DD5" w:rsidRDefault="00CE5DD5" w:rsidP="00CE5DD5">
      <w:r w:rsidRPr="00CE5DD5">
        <w:t>The ARORO provides that the rate of return for a service provider is to be commensurate with the efficient financing costs of a benchmark efficient entity with a similar degree of risk as that which applies to the service provider in respect of the provision of standard control, prescribed transmission or reference services (regulated services).</w:t>
      </w:r>
      <w:r w:rsidRPr="00CE5DD5">
        <w:rPr>
          <w:rStyle w:val="FootnoteReference"/>
        </w:rPr>
        <w:footnoteReference w:id="1198"/>
      </w:r>
      <w:r w:rsidRPr="00CE5DD5">
        <w:t xml:space="preserve"> Given this, applying the ARORO requires an understanding of:</w:t>
      </w:r>
    </w:p>
    <w:p w:rsidR="00CE5DD5" w:rsidRPr="00CE5DD5" w:rsidRDefault="00CE5DD5" w:rsidP="00CE5DD5">
      <w:pPr>
        <w:pStyle w:val="AERbulletlistfirststyle"/>
      </w:pPr>
      <w:r w:rsidRPr="00CE5DD5">
        <w:t>efficient financing costs</w:t>
      </w:r>
    </w:p>
    <w:p w:rsidR="00CE5DD5" w:rsidRPr="00CE5DD5" w:rsidRDefault="00CE5DD5" w:rsidP="00CE5DD5">
      <w:pPr>
        <w:pStyle w:val="AERbulletlistfirststyle"/>
      </w:pPr>
      <w:r w:rsidRPr="00CE5DD5">
        <w:t>the degree of risk that applies to a benchmark efficient service provider in respect of the provision of regulated services.</w:t>
      </w:r>
    </w:p>
    <w:p w:rsidR="00CE5DD5" w:rsidRPr="00CE5DD5" w:rsidRDefault="00CE5DD5" w:rsidP="00CE5DD5">
      <w:r w:rsidRPr="00CE5DD5">
        <w:t>We elaborate on these components of the ARORO in the following sections.</w:t>
      </w:r>
    </w:p>
    <w:p w:rsidR="00CE5DD5" w:rsidRPr="00EF00C5" w:rsidRDefault="00CE5DD5" w:rsidP="00790265">
      <w:pPr>
        <w:pStyle w:val="Heading9"/>
      </w:pPr>
      <w:bookmarkStart w:id="437" w:name="_Ref446405872"/>
      <w:bookmarkStart w:id="438" w:name="_Toc451947833"/>
      <w:bookmarkStart w:id="439" w:name="_Toc480460883"/>
      <w:r w:rsidRPr="00EF00C5">
        <w:t>Efficient financing costs</w:t>
      </w:r>
      <w:bookmarkEnd w:id="437"/>
      <w:bookmarkEnd w:id="438"/>
      <w:bookmarkEnd w:id="439"/>
      <w:r w:rsidRPr="00EF00C5">
        <w:t xml:space="preserve"> </w:t>
      </w:r>
    </w:p>
    <w:p w:rsidR="00CE5DD5" w:rsidRPr="00CE5DD5" w:rsidRDefault="00CE5DD5" w:rsidP="00CC7A1C">
      <w:pPr>
        <w:numPr>
          <w:ilvl w:val="0"/>
          <w:numId w:val="24"/>
        </w:numPr>
      </w:pPr>
      <w:r w:rsidRPr="00CE5DD5">
        <w:t>The ARORO provides for a rate of return commensurate with the efficient financing costs of a benchmark efficient entity with a similar degree of risk as that which applies to the service provider in respect of the provision of regulated services. Given this, it is important to understand efficient financing costs.</w:t>
      </w:r>
      <w:r w:rsidRPr="00CE5DD5">
        <w:rPr>
          <w:rStyle w:val="FootnoteReference"/>
        </w:rPr>
        <w:t xml:space="preserve"> </w:t>
      </w:r>
    </w:p>
    <w:p w:rsidR="00CE5DD5" w:rsidRPr="00CE5DD5" w:rsidRDefault="00CE5DD5" w:rsidP="00CC7A1C">
      <w:pPr>
        <w:numPr>
          <w:ilvl w:val="0"/>
          <w:numId w:val="24"/>
        </w:numPr>
      </w:pPr>
      <w:r w:rsidRPr="00CE5DD5">
        <w:t xml:space="preserve">Economists typically think of efficiency in three dimensions: productive, allocative and dynamic. </w:t>
      </w:r>
      <w:r w:rsidRPr="00CE5DD5">
        <w:fldChar w:fldCharType="begin"/>
      </w:r>
      <w:r w:rsidRPr="00CE5DD5">
        <w:instrText xml:space="preserve"> REF _Ref447803361 \h </w:instrText>
      </w:r>
      <w:r w:rsidRPr="00CE5DD5">
        <w:fldChar w:fldCharType="separate"/>
      </w:r>
      <w:r w:rsidR="006B4A74" w:rsidRPr="00CE5DD5">
        <w:t xml:space="preserve">Table </w:t>
      </w:r>
      <w:r w:rsidR="006B4A74">
        <w:rPr>
          <w:noProof/>
        </w:rPr>
        <w:t>3</w:t>
      </w:r>
      <w:r w:rsidR="006B4A74">
        <w:noBreakHyphen/>
      </w:r>
      <w:r w:rsidR="006B4A74">
        <w:rPr>
          <w:noProof/>
        </w:rPr>
        <w:t>36</w:t>
      </w:r>
      <w:r w:rsidRPr="00CE5DD5">
        <w:fldChar w:fldCharType="end"/>
      </w:r>
      <w:r w:rsidRPr="00CE5DD5">
        <w:t xml:space="preserve"> sets out how this applies in the context of debt financing.</w:t>
      </w:r>
    </w:p>
    <w:p w:rsidR="00CE5DD5" w:rsidRPr="00CE5DD5" w:rsidRDefault="00CE5DD5" w:rsidP="00CE5DD5">
      <w:pPr>
        <w:pStyle w:val="Caption"/>
      </w:pPr>
      <w:bookmarkStart w:id="440" w:name="_Ref447803361"/>
      <w:r w:rsidRPr="00CE5DD5">
        <w:t xml:space="preserve">Table </w:t>
      </w:r>
      <w:fldSimple w:instr=" STYLEREF 1 \s ">
        <w:r w:rsidR="006B4A74">
          <w:rPr>
            <w:noProof/>
          </w:rPr>
          <w:t>3</w:t>
        </w:r>
      </w:fldSimple>
      <w:r w:rsidR="008F29C8">
        <w:noBreakHyphen/>
      </w:r>
      <w:fldSimple w:instr=" SEQ Table \* ARABIC \s 1 ">
        <w:r w:rsidR="006B4A74">
          <w:rPr>
            <w:noProof/>
          </w:rPr>
          <w:t>36</w:t>
        </w:r>
      </w:fldSimple>
      <w:bookmarkEnd w:id="440"/>
      <w:r w:rsidRPr="00CE5DD5">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CE5DD5" w:rsidRPr="00B814E2" w:rsidTr="00C04C58">
        <w:trPr>
          <w:cnfStyle w:val="100000000000" w:firstRow="1" w:lastRow="0" w:firstColumn="0" w:lastColumn="0" w:oddVBand="0" w:evenVBand="0" w:oddHBand="0" w:evenHBand="0" w:firstRowFirstColumn="0" w:firstRowLastColumn="0" w:lastRowFirstColumn="0" w:lastRowLastColumn="0"/>
        </w:trPr>
        <w:tc>
          <w:tcPr>
            <w:tcW w:w="795" w:type="pct"/>
          </w:tcPr>
          <w:p w:rsidR="00CE5DD5" w:rsidRPr="00CE5DD5" w:rsidRDefault="00CE5DD5" w:rsidP="00CE5DD5">
            <w:r w:rsidRPr="00CE5DD5">
              <w:t>Dimension of efficiency</w:t>
            </w:r>
          </w:p>
        </w:tc>
        <w:tc>
          <w:tcPr>
            <w:tcW w:w="2366" w:type="pct"/>
          </w:tcPr>
          <w:p w:rsidR="00CE5DD5" w:rsidRPr="00CE5DD5" w:rsidRDefault="00CE5DD5" w:rsidP="00CE5DD5">
            <w:r w:rsidRPr="00CE5DD5">
              <w:t>Economic meaning</w:t>
            </w:r>
            <w:r w:rsidRPr="00CE5DD5">
              <w:rPr>
                <w:rStyle w:val="AERsuperscript"/>
              </w:rPr>
              <w:footnoteReference w:id="1199"/>
            </w:r>
          </w:p>
        </w:tc>
        <w:tc>
          <w:tcPr>
            <w:tcW w:w="1839" w:type="pct"/>
          </w:tcPr>
          <w:p w:rsidR="00CE5DD5" w:rsidRPr="00CE5DD5" w:rsidRDefault="00CE5DD5" w:rsidP="00CE5DD5">
            <w:r w:rsidRPr="00CE5DD5">
              <w:t>Application to debt financing</w:t>
            </w:r>
            <w:r w:rsidRPr="00CE5DD5">
              <w:rPr>
                <w:rStyle w:val="AERsuperscript"/>
              </w:rPr>
              <w:footnoteReference w:id="1200"/>
            </w:r>
          </w:p>
        </w:tc>
      </w:tr>
      <w:tr w:rsidR="00CE5DD5" w:rsidRPr="00B814E2" w:rsidTr="00C04C58">
        <w:tc>
          <w:tcPr>
            <w:tcW w:w="795" w:type="pct"/>
          </w:tcPr>
          <w:p w:rsidR="00CE5DD5" w:rsidRPr="00CE5DD5" w:rsidRDefault="00CE5DD5" w:rsidP="00CE5DD5">
            <w:r w:rsidRPr="00CE5DD5">
              <w:t>Productive efficiency</w:t>
            </w:r>
          </w:p>
        </w:tc>
        <w:tc>
          <w:tcPr>
            <w:tcW w:w="2366" w:type="pct"/>
          </w:tcPr>
          <w:p w:rsidR="00CE5DD5" w:rsidRPr="00CE5DD5" w:rsidRDefault="00CE5DD5" w:rsidP="00CE5DD5">
            <w:r w:rsidRPr="00CE5DD5">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CE5DD5" w:rsidRPr="00CE5DD5" w:rsidRDefault="00CE5DD5" w:rsidP="00CE5DD5">
            <w:r w:rsidRPr="00CE5DD5">
              <w:t>Refers to least cost financing (that is, the lowest required return on debt) subject to any constraints, such as risk. For our determinations to be productively efficient we need to incentivise service providers to seek the lowest cost financing (all else being equal).</w:t>
            </w:r>
            <w:r w:rsidRPr="00CE5DD5">
              <w:rPr>
                <w:rStyle w:val="AERbody"/>
              </w:rPr>
              <w:t xml:space="preserve"> </w:t>
            </w:r>
          </w:p>
        </w:tc>
      </w:tr>
      <w:tr w:rsidR="00CE5DD5" w:rsidRPr="00B814E2" w:rsidTr="00C04C58">
        <w:trPr>
          <w:cnfStyle w:val="000000010000" w:firstRow="0" w:lastRow="0" w:firstColumn="0" w:lastColumn="0" w:oddVBand="0" w:evenVBand="0" w:oddHBand="0" w:evenHBand="1" w:firstRowFirstColumn="0" w:firstRowLastColumn="0" w:lastRowFirstColumn="0" w:lastRowLastColumn="0"/>
        </w:trPr>
        <w:tc>
          <w:tcPr>
            <w:tcW w:w="795" w:type="pct"/>
          </w:tcPr>
          <w:p w:rsidR="00CE5DD5" w:rsidRPr="00CE5DD5" w:rsidRDefault="00CE5DD5" w:rsidP="00CE5DD5">
            <w:r w:rsidRPr="00CE5DD5">
              <w:t>Allocative efficiency</w:t>
            </w:r>
          </w:p>
        </w:tc>
        <w:tc>
          <w:tcPr>
            <w:tcW w:w="2366" w:type="pct"/>
          </w:tcPr>
          <w:p w:rsidR="00CE5DD5" w:rsidRPr="00CE5DD5" w:rsidRDefault="00CE5DD5" w:rsidP="00CE5DD5">
            <w:r w:rsidRPr="00CE5DD5">
              <w:t>Achieved when the community gets the greatest return (or utility) from its scarce resources.</w:t>
            </w:r>
          </w:p>
        </w:tc>
        <w:tc>
          <w:tcPr>
            <w:tcW w:w="1839" w:type="pct"/>
          </w:tcPr>
          <w:p w:rsidR="00CE5DD5" w:rsidRPr="00CE5DD5" w:rsidRDefault="00CE5DD5" w:rsidP="00CE5DD5">
            <w:r w:rsidRPr="00CE5DD5">
              <w:t>Allocative 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CE5DD5" w:rsidRPr="00B814E2" w:rsidTr="00C04C58">
        <w:tc>
          <w:tcPr>
            <w:tcW w:w="795" w:type="pct"/>
          </w:tcPr>
          <w:p w:rsidR="00CE5DD5" w:rsidRPr="00CE5DD5" w:rsidRDefault="00CE5DD5" w:rsidP="00CE5DD5">
            <w:r w:rsidRPr="00CE5DD5">
              <w:t>Dynamic efficiency</w:t>
            </w:r>
          </w:p>
        </w:tc>
        <w:tc>
          <w:tcPr>
            <w:tcW w:w="2366" w:type="pct"/>
          </w:tcPr>
          <w:p w:rsidR="00CE5DD5" w:rsidRPr="00CE5DD5" w:rsidRDefault="00CE5DD5" w:rsidP="00CE5DD5">
            <w:r w:rsidRPr="00CE5DD5">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CE5DD5" w:rsidRPr="00CE5DD5" w:rsidRDefault="00CE5DD5" w:rsidP="00CE5DD5">
            <w:r w:rsidRPr="00CE5DD5">
              <w:t xml:space="preserve">Refers to the existence of appropriate investment incentives.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CE5DD5" w:rsidRPr="00CE5DD5" w:rsidRDefault="00CE5DD5" w:rsidP="00CE5DD5">
      <w:pPr>
        <w:pStyle w:val="AERtablesource"/>
      </w:pPr>
      <w:r w:rsidRPr="00CE5DD5">
        <w:t>Source:</w:t>
      </w:r>
      <w:r w:rsidRPr="00CE5DD5">
        <w:tab/>
        <w:t xml:space="preserve">AER analysis; Productivity Commission, </w:t>
      </w:r>
      <w:r w:rsidRPr="00CE5DD5">
        <w:rPr>
          <w:rStyle w:val="AERtextitalic"/>
        </w:rPr>
        <w:t>On efficiency and effectiveness: Some definitions</w:t>
      </w:r>
      <w:r w:rsidRPr="00CE5DD5">
        <w:t xml:space="preserve">, May 2013; AER, </w:t>
      </w:r>
      <w:r w:rsidRPr="00CE5DD5">
        <w:rPr>
          <w:rStyle w:val="AERtextitalic"/>
        </w:rPr>
        <w:t>Better regulation: Rate of return guidelines consultation paper</w:t>
      </w:r>
      <w:r w:rsidRPr="00CE5DD5">
        <w:t>, May 2013.</w:t>
      </w:r>
    </w:p>
    <w:p w:rsidR="00CE5DD5" w:rsidRPr="00CE5DD5" w:rsidRDefault="00CE5DD5" w:rsidP="00CC7A1C">
      <w:pPr>
        <w:numPr>
          <w:ilvl w:val="0"/>
          <w:numId w:val="24"/>
        </w:numPr>
      </w:pPr>
      <w:r w:rsidRPr="00CE5DD5">
        <w:t>Because the market for capital finance is competitive, a benchmark efficient entity is expected to face competitive prices in the market for funds. Therefore, we consider efficient debt financing costs are reflected in the prevailing cost of debt observed in capital markets for an investment with a similar degree of risk as that which applies to a service provider in respect of the provision of regulated services.</w:t>
      </w:r>
      <w:r w:rsidRPr="00CE5DD5">
        <w:rPr>
          <w:rStyle w:val="FootnoteReference"/>
        </w:rPr>
        <w:footnoteReference w:id="1201"/>
      </w:r>
      <w:r w:rsidRPr="00CE5DD5">
        <w:t xml:space="preserve"> As Alfred Kahn stated:</w:t>
      </w:r>
      <w:r w:rsidRPr="00CE5DD5">
        <w:rPr>
          <w:rStyle w:val="FootnoteReference"/>
        </w:rPr>
        <w:footnoteReference w:id="1202"/>
      </w:r>
    </w:p>
    <w:p w:rsidR="00CE5DD5" w:rsidRPr="00CE5DD5" w:rsidRDefault="00CE5DD5" w:rsidP="00CE5DD5">
      <w:pPr>
        <w:pStyle w:val="AERquote"/>
      </w:pPr>
      <w:r w:rsidRPr="00CE5DD5">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CE5DD5" w:rsidRPr="00CE5DD5" w:rsidRDefault="00CE5DD5" w:rsidP="00CC7A1C">
      <w:pPr>
        <w:numPr>
          <w:ilvl w:val="0"/>
          <w:numId w:val="24"/>
        </w:numPr>
      </w:pPr>
      <w:r w:rsidRPr="00CE5DD5">
        <w:t>Similarly, Associate Professor Graham Partington and Professor Stephen Satchell (Partington and Satchell) interpret efficient financing costs as the opportunity cost of capital, which is a market rate of return for assets with a given level of risk.</w:t>
      </w:r>
      <w:r w:rsidRPr="00CE5DD5">
        <w:rPr>
          <w:rStyle w:val="FootnoteReference"/>
        </w:rPr>
        <w:footnoteReference w:id="1203"/>
      </w:r>
      <w:r w:rsidRPr="00CE5DD5">
        <w:t xml:space="preserve"> They advise the opportunity cost of debt is generally measured using the (appropriately benchmarked) yield to maturity.</w:t>
      </w:r>
      <w:r w:rsidRPr="00CE5DD5">
        <w:rPr>
          <w:rStyle w:val="FootnoteReference"/>
        </w:rPr>
        <w:footnoteReference w:id="1204"/>
      </w:r>
      <w:r w:rsidRPr="00CE5DD5">
        <w:t xml:space="preserve"> They also consider our use of a benchmark BBB+ credit rating and ten year term is appropriate.</w:t>
      </w:r>
      <w:r w:rsidRPr="00CE5DD5">
        <w:rPr>
          <w:rStyle w:val="FootnoteReference"/>
        </w:rPr>
        <w:footnoteReference w:id="1205"/>
      </w:r>
      <w:r w:rsidRPr="00CE5DD5">
        <w:t xml:space="preserve"> In a new report to the AER, Partington and Satchell define the efficient financing cost of a BEE as the current cost of finance that leads to efficient investment.</w:t>
      </w:r>
      <w:r w:rsidRPr="00CE5DD5">
        <w:rPr>
          <w:rStyle w:val="FootnoteReference"/>
        </w:rPr>
        <w:footnoteReference w:id="1206"/>
      </w:r>
      <w:r w:rsidRPr="00CE5DD5">
        <w:t xml:space="preserve"> This is consistent with their previous interpretation.</w:t>
      </w:r>
      <w:r w:rsidRPr="00CE5DD5">
        <w:rPr>
          <w:rStyle w:val="FootnoteReference"/>
        </w:rPr>
        <w:footnoteReference w:id="1207"/>
      </w:r>
    </w:p>
    <w:p w:rsidR="00CE5DD5" w:rsidRPr="00CE5DD5" w:rsidRDefault="00CE5DD5" w:rsidP="00CC7A1C">
      <w:pPr>
        <w:numPr>
          <w:ilvl w:val="0"/>
          <w:numId w:val="24"/>
        </w:numPr>
      </w:pPr>
      <w:r w:rsidRPr="00CE5DD5">
        <w:t>We consider that productive, allocative and dynamic efficiency are advanced by employing a return on debt that reflects prevailing rates in the market for funds. This will also promote the long term interests of consumers in line with the National Electricity Objective / National Gas Objective (NEO/NGO).</w:t>
      </w:r>
      <w:r w:rsidRPr="00CE5DD5">
        <w:rPr>
          <w:rStyle w:val="FootnoteReference"/>
        </w:rPr>
        <w:footnoteReference w:id="1208"/>
      </w:r>
      <w:r w:rsidRPr="00CE5DD5">
        <w:t xml:space="preserve"> </w:t>
      </w:r>
    </w:p>
    <w:p w:rsidR="00CE5DD5" w:rsidRPr="00EF00C5" w:rsidRDefault="00CE5DD5" w:rsidP="00790265">
      <w:pPr>
        <w:pStyle w:val="Heading9"/>
      </w:pPr>
      <w:bookmarkStart w:id="441" w:name="_Ref447803806"/>
      <w:bookmarkStart w:id="442" w:name="_Toc451947834"/>
      <w:bookmarkStart w:id="443" w:name="_Toc480460884"/>
      <w:r w:rsidRPr="00EF00C5">
        <w:t>Benchmark efficient entity</w:t>
      </w:r>
      <w:bookmarkEnd w:id="441"/>
      <w:bookmarkEnd w:id="442"/>
      <w:bookmarkEnd w:id="443"/>
    </w:p>
    <w:p w:rsidR="00CE5DD5" w:rsidRPr="00CE5DD5" w:rsidRDefault="00CE5DD5" w:rsidP="00CE5DD5">
      <w:r w:rsidRPr="00CE5DD5">
        <w:t>We consider a benchmark efficient entity would be 'a pure play, regulated energy network business operating within Australia'. This has been adopted in:</w:t>
      </w:r>
    </w:p>
    <w:p w:rsidR="00CE5DD5" w:rsidRPr="00CE5DD5" w:rsidRDefault="00CE5DD5" w:rsidP="00CE5DD5">
      <w:pPr>
        <w:pStyle w:val="AERbulletlistfirststyle"/>
      </w:pPr>
      <w:r w:rsidRPr="00CE5DD5">
        <w:t>The rate of return guidelines published in December 2013 (the Guideline).</w:t>
      </w:r>
      <w:r w:rsidRPr="00CE5DD5">
        <w:rPr>
          <w:rStyle w:val="FootnoteReference"/>
        </w:rPr>
        <w:footnoteReference w:id="1209"/>
      </w:r>
      <w:r w:rsidRPr="00CE5DD5">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CE5DD5">
        <w:rPr>
          <w:rStyle w:val="FootnoteReference"/>
        </w:rPr>
        <w:footnoteReference w:id="1210"/>
      </w:r>
      <w:r w:rsidRPr="00CE5DD5">
        <w:t xml:space="preserve"> To the contrary, stakeholders recognised that price and revenue caps had particular roles in mitigating risk as well as other features of the regulatory framework such as maintenance of the regulatory asset base.</w:t>
      </w:r>
      <w:r w:rsidRPr="00CE5DD5">
        <w:rPr>
          <w:rStyle w:val="FootnoteReference"/>
        </w:rPr>
        <w:footnoteReference w:id="1211"/>
      </w:r>
    </w:p>
    <w:p w:rsidR="00CE5DD5" w:rsidRPr="00CE5DD5" w:rsidRDefault="00CE5DD5" w:rsidP="00CE5DD5">
      <w:pPr>
        <w:pStyle w:val="AERbulletlistfirststyle"/>
      </w:pPr>
      <w:r w:rsidRPr="00CE5DD5">
        <w:t>Our previous 2009 weighted average cost of capital (WACC) review.</w:t>
      </w:r>
      <w:r w:rsidRPr="00CE5DD5">
        <w:rPr>
          <w:rStyle w:val="FootnoteReference"/>
        </w:rPr>
        <w:footnoteReference w:id="1212"/>
      </w:r>
      <w:r w:rsidRPr="00CE5DD5">
        <w:t xml:space="preserve"> </w:t>
      </w:r>
    </w:p>
    <w:p w:rsidR="00CE5DD5" w:rsidRPr="00CE5DD5" w:rsidRDefault="00CE5DD5" w:rsidP="00CE5DD5">
      <w:pPr>
        <w:pStyle w:val="AERbulletlistfirststyle"/>
      </w:pPr>
      <w:r w:rsidRPr="00CE5DD5">
        <w:t>Our rate of return decisions following the publication of the Guideline.</w:t>
      </w:r>
      <w:r w:rsidRPr="00CE5DD5">
        <w:rPr>
          <w:rStyle w:val="FootnoteReference"/>
        </w:rPr>
        <w:footnoteReference w:id="1213"/>
      </w:r>
    </w:p>
    <w:p w:rsidR="00CE5DD5" w:rsidRPr="00CE5DD5" w:rsidRDefault="00CE5DD5" w:rsidP="00CE5DD5">
      <w:r w:rsidRPr="00CE5DD5">
        <w:t>We have devoted considerable time to considering the characteristics of a benchmark efficient entity in the Guideline and this decision</w:t>
      </w:r>
      <w:r w:rsidR="00A944AD">
        <w:t>.</w:t>
      </w:r>
      <w:r w:rsidRPr="00CE5DD5">
        <w:t xml:space="preserve"> </w:t>
      </w:r>
      <w:r w:rsidR="00A944AD">
        <w:t>W</w:t>
      </w:r>
      <w:r w:rsidRPr="00CE5DD5">
        <w:t>e consider a 'benchmark' is a reference point or standard against which performance of achievements can be assessed.</w:t>
      </w:r>
      <w:r w:rsidRPr="00CE5DD5">
        <w:rPr>
          <w:rStyle w:val="FootnoteReference"/>
        </w:rPr>
        <w:footnoteReference w:id="1214"/>
      </w:r>
      <w:r w:rsidRPr="00CE5DD5">
        <w:t xml:space="preserve"> For a benchmark to be useful, it must 'fairly and accurately represent the key attributes of the market segment or financial instrument in question’.</w:t>
      </w:r>
      <w:r w:rsidRPr="00CE5DD5">
        <w:rPr>
          <w:rStyle w:val="FootnoteReference"/>
        </w:rPr>
        <w:footnoteReference w:id="1215"/>
      </w:r>
      <w:r w:rsidRPr="00CE5DD5">
        <w:t xml:space="preserve"> As the AEMC recognised (underline added for emphasis):</w:t>
      </w:r>
      <w:r w:rsidRPr="00CE5DD5">
        <w:rPr>
          <w:rStyle w:val="FootnoteReference"/>
        </w:rPr>
        <w:footnoteReference w:id="1216"/>
      </w:r>
    </w:p>
    <w:p w:rsidR="00CE5DD5" w:rsidRPr="00CE5DD5" w:rsidRDefault="00CE5DD5" w:rsidP="00CE5DD5">
      <w:pPr>
        <w:pStyle w:val="AERquote"/>
      </w:pPr>
      <w:r w:rsidRPr="00CE5DD5">
        <w:t xml:space="preserve">In order to meet the NEO and the NGO, this [allowed rate of return] objective reflected the need for the rate of return to "correspond to" the efficient financing costs of a benchmark efficient entity, this entity being one </w:t>
      </w:r>
      <w:r w:rsidRPr="00CE5DD5">
        <w:rPr>
          <w:rStyle w:val="AERtextunderline"/>
        </w:rPr>
        <w:t>with similar circumstances and degree of risk to the service provider</w:t>
      </w:r>
      <w:r w:rsidRPr="00CE5DD5">
        <w:t>.</w:t>
      </w:r>
    </w:p>
    <w:p w:rsidR="00CE5DD5" w:rsidRPr="00CE5DD5" w:rsidRDefault="00CE5DD5" w:rsidP="00CE5DD5">
      <w:r w:rsidRPr="00CE5DD5">
        <w:t>It is important to note that a debate has now arisen, since the submission</w:t>
      </w:r>
      <w:r w:rsidR="00A944AD">
        <w:t>s</w:t>
      </w:r>
      <w:r w:rsidRPr="00CE5DD5">
        <w:t xml:space="preserve"> of Victorian electricity</w:t>
      </w:r>
      <w:r w:rsidR="00A14E1D">
        <w:t xml:space="preserve"> </w:t>
      </w:r>
      <w:r w:rsidRPr="00CE5DD5">
        <w:t>DNSP</w:t>
      </w:r>
      <w:r w:rsidR="00A944AD">
        <w:t>s'</w:t>
      </w:r>
      <w:r w:rsidR="00A14E1D">
        <w:rPr>
          <w:rStyle w:val="FootnoteReference"/>
        </w:rPr>
        <w:footnoteReference w:id="1217"/>
      </w:r>
      <w:r w:rsidRPr="00CE5DD5">
        <w:t xml:space="preserve"> proposals in the matters under consideration, as to whether a benchmark efficient entity would be unregulated. In their recent revised proposals the Victorian DNSPs submitted that a benchmark efficient entity with a similar degree of risk in respect of the provision of regulated services must be an unregulated business.</w:t>
      </w:r>
      <w:r w:rsidRPr="00CE5DD5">
        <w:rPr>
          <w:rStyle w:val="FootnoteReference"/>
        </w:rPr>
        <w:footnoteReference w:id="1218"/>
      </w:r>
      <w:r w:rsidRPr="00CE5DD5">
        <w:t xml:space="preserve">  This is cons</w:t>
      </w:r>
      <w:r w:rsidR="005F7600">
        <w:t>istent with the submission of</w:t>
      </w:r>
      <w:r w:rsidRPr="00CE5DD5">
        <w:t xml:space="preserve"> AusNet Services in its revised proposal.</w:t>
      </w:r>
      <w:r w:rsidRPr="00CE5DD5">
        <w:rPr>
          <w:rStyle w:val="FootnoteReference"/>
        </w:rPr>
        <w:footnoteReference w:id="1219"/>
      </w:r>
      <w:r w:rsidRPr="00CE5DD5">
        <w:t xml:space="preserve"> The position of the Victorian DNSPs on this matter followed the Tribunal hearing in an application for review of revenue determinations by Networks NSW, and ActewAGL which resulted in the Tribunal recently forming the view that a benchmark efficient entity referred to in the ARORO is likely not a regulated entity.</w:t>
      </w:r>
      <w:r w:rsidRPr="00CE5DD5">
        <w:rPr>
          <w:rStyle w:val="FootnoteReference"/>
        </w:rPr>
        <w:footnoteReference w:id="1220"/>
      </w:r>
      <w:r w:rsidRPr="00CE5DD5">
        <w:t xml:space="preserve">  </w:t>
      </w:r>
    </w:p>
    <w:p w:rsidR="00CE5DD5" w:rsidRPr="00CE5DD5" w:rsidRDefault="00CE5DD5" w:rsidP="00CE5DD5">
      <w:r w:rsidRPr="00CE5DD5">
        <w:t>We did not consider this issue prior to the Tribunal's decision because it had not been raised substantively by any service provider.</w:t>
      </w:r>
      <w:r w:rsidRPr="00CE5DD5">
        <w:rPr>
          <w:rStyle w:val="FootnoteReference"/>
        </w:rPr>
        <w:footnoteReference w:id="1221"/>
      </w:r>
      <w:r w:rsidRPr="00CE5DD5">
        <w:t xml:space="preserve"> Consequently, the Tribunal did not have our fully formed view and reasoning before it when it considered this issue. We consider the Tribunal may have come to its position because it did not have our fully formed arguments before it. We may be required to reconsider this issue when we undertake the remittal of the ACT and NSW DNSPs and JGN decisions. We base our analysis in this decision on the brief material submitted by ActewAGL and other service providers with coincident decisions and the material submitted by AusNet Services in its rev</w:t>
      </w:r>
      <w:r w:rsidR="0095716E">
        <w:t>ised transmission proposal</w:t>
      </w:r>
      <w:r w:rsidRPr="00CE5DD5">
        <w:t>.</w:t>
      </w:r>
      <w:r w:rsidR="0095716E">
        <w:t xml:space="preserve"> </w:t>
      </w:r>
      <w:r w:rsidRPr="00CE5DD5">
        <w:t>This includes consideration of a new report by CEG that was submitted subsequent to our final decisions for the Victorian DNSPs.</w:t>
      </w:r>
      <w:r w:rsidRPr="00CE5DD5">
        <w:rPr>
          <w:rStyle w:val="FootnoteReference"/>
        </w:rPr>
        <w:footnoteReference w:id="1222"/>
      </w:r>
    </w:p>
    <w:p w:rsidR="00CE5DD5" w:rsidRPr="00CE5DD5" w:rsidRDefault="00CE5DD5" w:rsidP="00CE5DD5">
      <w:r w:rsidRPr="00CE5DD5">
        <w:t>After considering the material submitted by ActewAGL and other service providers with coincident decisions, a</w:t>
      </w:r>
      <w:r w:rsidR="0095716E">
        <w:t>nd by AusNet Services</w:t>
      </w:r>
      <w:r w:rsidRPr="00CE5DD5">
        <w:t xml:space="preserve">, we maintain our view that the characteristic 'regulated' should be retained for a benchmark efficient entity when carrying out our analyses. In any case, it would be an entity, whether it is conceived as regulated or not, that has a similar degree of systematic risk as that which applies to AusNet services in the provision of its regulated services. For our analysis, see 'elements of the ARORO' under section 3.3.3 of attachment three. </w:t>
      </w:r>
    </w:p>
    <w:p w:rsidR="00CE5DD5" w:rsidRPr="00CE5DD5" w:rsidRDefault="00CE5DD5" w:rsidP="00CE5DD5">
      <w:r w:rsidRPr="00CE5DD5">
        <w:t>With respect to the current decision before us, we do not consider that the material submitted fully explores the implications of an unregulated benchmark efficient entity for all aspects of our decision on the allowed rate of return. This is consistent with the view we expressed in our final decisions released in May 2016 for Acte</w:t>
      </w:r>
      <w:r w:rsidR="00A14E1D">
        <w:t>w</w:t>
      </w:r>
      <w:r w:rsidRPr="00CE5DD5">
        <w:t>AGL and others.</w:t>
      </w:r>
      <w:r w:rsidRPr="00CE5DD5">
        <w:rPr>
          <w:rStyle w:val="FootnoteReference"/>
        </w:rPr>
        <w:footnoteReference w:id="1223"/>
      </w:r>
    </w:p>
    <w:p w:rsidR="00CE5DD5" w:rsidRPr="00CE5DD5" w:rsidRDefault="00CE5DD5" w:rsidP="00CE5DD5">
      <w:r w:rsidRPr="00CE5DD5">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sidRPr="00CE5DD5">
        <w:rPr>
          <w:rStyle w:val="FootnoteReference"/>
        </w:rPr>
        <w:footnoteReference w:id="1224"/>
      </w:r>
    </w:p>
    <w:p w:rsidR="00CE5DD5" w:rsidRPr="00CE5DD5" w:rsidRDefault="00CE5DD5" w:rsidP="00CE5DD5">
      <w:r w:rsidRPr="00CE5DD5">
        <w:t xml:space="preserve">Nevertheless, even if a benchmark efficient entity was necessarily unregulated, we do not consider this would affect our conclusions. Our approach to the cost of debt would be applicable to an unregulated firm if it had a similar degree of risk to the service provider in providing regulated services. Further, irrespective of whether a firm is regulated or not, efficient financing costs reflect the current (or prevailing) forward looking costs observed in capital markets. </w:t>
      </w:r>
    </w:p>
    <w:p w:rsidR="00CE5DD5" w:rsidRPr="00CE5DD5" w:rsidRDefault="00CE5DD5" w:rsidP="00CE5DD5">
      <w:pPr>
        <w:pStyle w:val="Heading8"/>
      </w:pPr>
      <w:bookmarkStart w:id="444" w:name="_Ref444778432"/>
      <w:bookmarkStart w:id="445" w:name="_Toc451947835"/>
      <w:bookmarkStart w:id="446" w:name="_Toc481057498"/>
      <w:r w:rsidRPr="00CE5DD5">
        <w:t>Requirements under the ARORO</w:t>
      </w:r>
      <w:bookmarkEnd w:id="444"/>
      <w:bookmarkEnd w:id="445"/>
      <w:bookmarkEnd w:id="446"/>
    </w:p>
    <w:p w:rsidR="00CE5DD5" w:rsidRPr="00CE5DD5" w:rsidRDefault="00CE5DD5" w:rsidP="00CE5DD5">
      <w:r w:rsidRPr="00CE5DD5">
        <w:t>The ARORO provides that the rate of return for a service provider is to be commensurate with the efficient financing costs of a benchmark efficient entity with a similar degree of risk as that which applies to the service provider in respect of the provision of regulated services.</w:t>
      </w:r>
      <w:r w:rsidRPr="00CE5DD5">
        <w:rPr>
          <w:rStyle w:val="FootnoteReference"/>
        </w:rPr>
        <w:footnoteReference w:id="1225"/>
      </w:r>
      <w:r w:rsidRPr="00CE5DD5">
        <w:t xml:space="preserve"> We consider this requires us to set an allowed rate of return that appropriately compensates investors on their capital investments (in an ex-ante sense) and aims to minimise the long run cost of capital (all else being equal).</w:t>
      </w:r>
      <w:r w:rsidRPr="00CE5DD5">
        <w:rPr>
          <w:rStyle w:val="FootnoteReference"/>
        </w:rPr>
        <w:footnoteReference w:id="1226"/>
      </w:r>
      <w:r w:rsidRPr="00CE5DD5">
        <w:t xml:space="preserve"> By appropriate compensation we mean that the ex-ante return should be commensurate with the </w:t>
      </w:r>
      <w:r w:rsidRPr="00CE5DD5">
        <w:rPr>
          <w:rStyle w:val="AERtextunderline"/>
        </w:rPr>
        <w:t>expected</w:t>
      </w:r>
      <w:r w:rsidRPr="00CE5DD5">
        <w:t xml:space="preserve"> return in the capital market for an investment with a similar degree of risk as that of a benchmark efficient entity in the position of the service provider supplying regulated services.</w:t>
      </w:r>
      <w:r w:rsidRPr="00CE5DD5">
        <w:rPr>
          <w:rStyle w:val="FootnoteReference"/>
        </w:rPr>
        <w:footnoteReference w:id="1227"/>
      </w:r>
      <w:r w:rsidRPr="00CE5DD5">
        <w:t xml:space="preserve"> We consider this is the efficient return expected in a competitive capital market, consistent with models underpinning financial theory on efficient markets.</w:t>
      </w:r>
      <w:r w:rsidRPr="00CE5DD5">
        <w:rPr>
          <w:rStyle w:val="FootnoteReference"/>
        </w:rPr>
        <w:footnoteReference w:id="1228"/>
      </w:r>
    </w:p>
    <w:p w:rsidR="00CE5DD5" w:rsidRPr="00CE5DD5" w:rsidRDefault="00CE5DD5" w:rsidP="00CE5DD5">
      <w:r w:rsidRPr="00CE5DD5">
        <w:t>We elaborate on this in the following sections by setting out why and how a rate of return that meets the ARORO must:</w:t>
      </w:r>
    </w:p>
    <w:p w:rsidR="00CE5DD5" w:rsidRPr="00CE5DD5" w:rsidRDefault="00CE5DD5" w:rsidP="00CE5DD5">
      <w:pPr>
        <w:pStyle w:val="AERbulletlistfirststyle"/>
      </w:pPr>
      <w:r w:rsidRPr="00CE5DD5">
        <w:t xml:space="preserve">provide for ex-ante efficient compensation </w:t>
      </w:r>
    </w:p>
    <w:p w:rsidR="00CE5DD5" w:rsidRPr="00CE5DD5" w:rsidRDefault="00CE5DD5" w:rsidP="00CE5DD5">
      <w:pPr>
        <w:pStyle w:val="AERbulletlistfirststyle"/>
      </w:pPr>
      <w:r w:rsidRPr="00CE5DD5">
        <w:t>be consistent with the NEL/NGL</w:t>
      </w:r>
    </w:p>
    <w:p w:rsidR="00CE5DD5" w:rsidRDefault="00CE5DD5" w:rsidP="00CE5DD5">
      <w:pPr>
        <w:pStyle w:val="AERbulletlistfirststyle"/>
      </w:pPr>
      <w:r w:rsidRPr="00CE5DD5">
        <w:t>require a revenue-neutral transition if there is a change in the methodology used to estimate the allowed return on debt (assuming that both methodologies can meet the ARORO but produce different estimates across time).</w:t>
      </w:r>
    </w:p>
    <w:p w:rsidR="009A33A2" w:rsidRDefault="009A33A2" w:rsidP="002656D9">
      <w:pPr>
        <w:pStyle w:val="AERbulletlistfirststyle"/>
        <w:numPr>
          <w:ilvl w:val="0"/>
          <w:numId w:val="0"/>
        </w:numPr>
        <w:ind w:left="357"/>
      </w:pPr>
    </w:p>
    <w:p w:rsidR="009A33A2" w:rsidRDefault="009A33A2" w:rsidP="002656D9">
      <w:pPr>
        <w:pStyle w:val="AERbulletlistfirststyle"/>
        <w:numPr>
          <w:ilvl w:val="0"/>
          <w:numId w:val="0"/>
        </w:numPr>
        <w:ind w:left="357" w:hanging="357"/>
      </w:pPr>
    </w:p>
    <w:p w:rsidR="009A33A2" w:rsidRDefault="009A33A2" w:rsidP="002656D9">
      <w:pPr>
        <w:pStyle w:val="AERbulletlistfirststyle"/>
        <w:numPr>
          <w:ilvl w:val="0"/>
          <w:numId w:val="0"/>
        </w:numPr>
        <w:ind w:left="357" w:hanging="357"/>
      </w:pPr>
    </w:p>
    <w:p w:rsidR="00CE5DD5" w:rsidRPr="00EF00C5" w:rsidRDefault="00CE5DD5" w:rsidP="00790265">
      <w:pPr>
        <w:pStyle w:val="Heading9"/>
      </w:pPr>
      <w:bookmarkStart w:id="447" w:name="_Ref446603900"/>
      <w:bookmarkStart w:id="448" w:name="_Toc451947836"/>
      <w:bookmarkStart w:id="449" w:name="_Toc480460886"/>
      <w:r w:rsidRPr="00EF00C5">
        <w:t>Ex-ante efficient compensation</w:t>
      </w:r>
      <w:bookmarkEnd w:id="447"/>
      <w:bookmarkEnd w:id="448"/>
      <w:bookmarkEnd w:id="449"/>
    </w:p>
    <w:p w:rsidR="00CE5DD5" w:rsidRPr="00CE5DD5" w:rsidRDefault="00CE5DD5" w:rsidP="00CE5DD5">
      <w:r w:rsidRPr="00CE5DD5">
        <w:t xml:space="preserve">We consider a rate of return that meets the ARORO must provide ex-ante compensation for efficient financing costs (we refer to this as ex-ante efficient compensation). </w:t>
      </w:r>
    </w:p>
    <w:p w:rsidR="00CE5DD5" w:rsidRPr="00CE5DD5" w:rsidRDefault="00CE5DD5" w:rsidP="00CE5DD5">
      <w:r w:rsidRPr="00CE5DD5">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 rate of return for a benchmark efficient entity such that the return on its investment (in its RAB) equals its efficient cost.</w:t>
      </w:r>
      <w:r w:rsidRPr="00CE5DD5">
        <w:rPr>
          <w:rStyle w:val="FootnoteReference"/>
        </w:rPr>
        <w:footnoteReference w:id="1229"/>
      </w:r>
      <w:r w:rsidRPr="00CE5DD5">
        <w:t xml:space="preserve"> This is a zero net present value (NPV) investment condition,</w:t>
      </w:r>
      <w:r w:rsidRPr="00CE5DD5">
        <w:rPr>
          <w:rStyle w:val="FootnoteReference"/>
        </w:rPr>
        <w:footnoteReference w:id="1230"/>
      </w:r>
      <w:r w:rsidRPr="00CE5DD5">
        <w:t xml:space="preserve"> which is a forward looking concept that shows a benchmark efficient entity is provided with a reasonable opportunity to recover at least efficient financing costs over the life of its investment (in its RAB). Partington and Satchell described it as follows:</w:t>
      </w:r>
      <w:r w:rsidRPr="00CE5DD5">
        <w:rPr>
          <w:rStyle w:val="FootnoteReference"/>
        </w:rPr>
        <w:footnoteReference w:id="1231"/>
      </w:r>
      <w:r w:rsidRPr="00CE5DD5">
        <w:t xml:space="preserve"> </w:t>
      </w:r>
    </w:p>
    <w:p w:rsidR="00CE5DD5" w:rsidRPr="00CE5DD5" w:rsidRDefault="00CE5DD5" w:rsidP="00CE5DD5">
      <w:pPr>
        <w:pStyle w:val="AERquote"/>
      </w:pPr>
      <w:r w:rsidRPr="00CE5DD5">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CE5DD5" w:rsidRPr="00CE5DD5" w:rsidRDefault="00CE5DD5" w:rsidP="00CE5DD5">
      <w:r w:rsidRPr="00CE5DD5">
        <w:t xml:space="preserve">As discussed in section </w:t>
      </w:r>
      <w:r w:rsidR="008B41F6">
        <w:fldChar w:fldCharType="begin"/>
      </w:r>
      <w:r w:rsidR="008B41F6">
        <w:instrText xml:space="preserve"> REF _Ref479168847 \r \h </w:instrText>
      </w:r>
      <w:r w:rsidR="008B41F6">
        <w:fldChar w:fldCharType="separate"/>
      </w:r>
      <w:r w:rsidR="006B4A74">
        <w:t>3.3.3</w:t>
      </w:r>
      <w:r w:rsidR="008B41F6">
        <w:fldChar w:fldCharType="end"/>
      </w:r>
      <w:r w:rsidR="008B41F6">
        <w:t xml:space="preserve"> </w:t>
      </w:r>
      <w:r w:rsidRPr="00CE5DD5">
        <w:t xml:space="preserve">and </w:t>
      </w:r>
      <w:r w:rsidRPr="00CE5DD5">
        <w:fldChar w:fldCharType="begin"/>
      </w:r>
      <w:r w:rsidRPr="00CE5DD5">
        <w:instrText xml:space="preserve"> REF _Ref446405872 \r \h </w:instrText>
      </w:r>
      <w:r w:rsidRPr="00CE5DD5">
        <w:fldChar w:fldCharType="separate"/>
      </w:r>
      <w:r w:rsidR="006B4A74">
        <w:t>H.1.1</w:t>
      </w:r>
      <w:r w:rsidRPr="00CE5DD5">
        <w:fldChar w:fldCharType="end"/>
      </w:r>
      <w:r w:rsidRPr="00CE5DD5">
        <w:t>, we consider efficient financing costs, for debt and equity, should be based on (appropriately benchmarked) prevailing market rates. This reflects the current opportunity cost of capital for investments of similar risk to a benchmark efficient entity in the position of a service provider supplying regulated services.</w:t>
      </w:r>
      <w:r w:rsidRPr="00CE5DD5">
        <w:rPr>
          <w:rStyle w:val="FootnoteReference"/>
        </w:rPr>
        <w:footnoteReference w:id="1232"/>
      </w:r>
      <w:r w:rsidRPr="00CE5DD5">
        <w:t xml:space="preserve"> The opportunity cost of capital is the rate used to discount firms' expected future cash flows in NPV calculations.</w:t>
      </w:r>
      <w:r w:rsidRPr="00CE5DD5">
        <w:rPr>
          <w:rStyle w:val="FootnoteReference"/>
        </w:rPr>
        <w:footnoteReference w:id="1233"/>
      </w:r>
    </w:p>
    <w:p w:rsidR="00CE5DD5" w:rsidRPr="00CE5DD5" w:rsidRDefault="00CE5DD5" w:rsidP="00CE5DD5">
      <w:r w:rsidRPr="00CE5DD5">
        <w:t>Under the ex-ante regulatory regime, we reset the allowed rate of return (through the returns on debt and equity) at the commencement of each regulatory period (or annually for the allowed return on debt if we use a trailing average). If the allowed rate of return is reset to reflect the prevailing market cost of capital, it provides ex-ante efficient compensation over each reset period.</w:t>
      </w:r>
      <w:r w:rsidRPr="00CE5DD5">
        <w:rPr>
          <w:rStyle w:val="FootnoteReference"/>
        </w:rPr>
        <w:footnoteReference w:id="1234"/>
      </w:r>
      <w:r w:rsidRPr="00CE5DD5">
        <w:t xml:space="preserve"> </w:t>
      </w:r>
    </w:p>
    <w:p w:rsidR="00CE5DD5" w:rsidRPr="00CE5DD5" w:rsidRDefault="00CE5DD5" w:rsidP="00CE5DD5">
      <w:r w:rsidRPr="00CE5DD5">
        <w:t xml:space="preserve">As shown in section </w:t>
      </w:r>
      <w:r w:rsidRPr="00CE5DD5">
        <w:fldChar w:fldCharType="begin"/>
      </w:r>
      <w:r w:rsidRPr="00CE5DD5">
        <w:instrText xml:space="preserve"> REF _Ref444767739 \r \h </w:instrText>
      </w:r>
      <w:r w:rsidRPr="00CE5DD5">
        <w:fldChar w:fldCharType="separate"/>
      </w:r>
      <w:r w:rsidR="006B4A74">
        <w:t>H.3</w:t>
      </w:r>
      <w:r w:rsidRPr="00CE5DD5">
        <w:fldChar w:fldCharType="end"/>
      </w:r>
      <w:r w:rsidRPr="00CE5DD5">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RAB).This is supported by Partington and Satchell who expressed their strong favour in the on the day approach over trailing average approach.</w:t>
      </w:r>
      <w:r w:rsidRPr="00CE5DD5">
        <w:rPr>
          <w:rStyle w:val="FootnoteReference"/>
        </w:rPr>
        <w:footnoteReference w:id="1235"/>
      </w:r>
    </w:p>
    <w:p w:rsidR="00CE5DD5" w:rsidRPr="00CE5DD5" w:rsidRDefault="00CE5DD5" w:rsidP="00CE5DD5">
      <w:r w:rsidRPr="00CE5DD5">
        <w:t>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sidRPr="00CE5DD5">
        <w:rPr>
          <w:rStyle w:val="FootnoteReference"/>
        </w:rPr>
        <w:footnoteReference w:id="1236"/>
      </w:r>
    </w:p>
    <w:p w:rsidR="00CE5DD5" w:rsidRPr="00CE5DD5" w:rsidRDefault="00CE5DD5" w:rsidP="00CE5DD5">
      <w:r w:rsidRPr="00CE5DD5">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rsidRPr="00CE5DD5">
        <w:t xml:space="preserve"> is as follows:</w:t>
      </w:r>
      <w:r w:rsidRPr="00CE5DD5">
        <w:rPr>
          <w:rStyle w:val="FootnoteReference"/>
        </w:rPr>
        <w:footnoteReference w:id="1237"/>
      </w:r>
    </w:p>
    <w:p w:rsidR="00CE5DD5" w:rsidRPr="00CE5DD5" w:rsidRDefault="00334917" w:rsidP="00CE5DD5">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CE5DD5" w:rsidRPr="00CE5DD5" w:rsidRDefault="00CE5DD5" w:rsidP="00CE5DD5">
      <w:pPr>
        <w:pStyle w:val="AERbodytextnospace"/>
      </w:pPr>
    </w:p>
    <w:p w:rsidR="00CE5DD5" w:rsidRPr="00CE5DD5" w:rsidRDefault="00CE5DD5" w:rsidP="00CE5DD5">
      <w:pPr>
        <w:pStyle w:val="AERbodytextnospace"/>
      </w:pPr>
      <w:r w:rsidRPr="00CE5DD5">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CE5DD5">
        <w:t xml:space="preserve"> is the price of the bond at time 0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CE5DD5">
        <w:t xml:space="preserve"> is the coupon (or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CE5DD5" w:rsidRPr="00CE5DD5" w:rsidRDefault="00CE5DD5" w:rsidP="00CE5DD5">
      <w:pPr>
        <w:pStyle w:val="AERbodytextnospace"/>
      </w:pPr>
      <w:r w:rsidRPr="00CE5DD5">
        <w:tab/>
      </w:r>
      <w:r w:rsidRPr="00CE5DD5">
        <w:tab/>
      </w:r>
      <m:oMath>
        <m:r>
          <w:rPr>
            <w:rFonts w:ascii="Cambria Math" w:hAnsi="Cambria Math"/>
          </w:rPr>
          <m:t>c</m:t>
        </m:r>
      </m:oMath>
      <w:r w:rsidRPr="00CE5DD5">
        <w:t xml:space="preserve"> is the coupon rate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CE5DD5">
        <w:t xml:space="preserve"> is the required rate of return or cost of capital (based on market rates) at time 0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CE5DD5">
        <w:t xml:space="preserve"> is the face (or par) value of the bond (or principal repayment) at maturity.</w:t>
      </w:r>
    </w:p>
    <w:p w:rsidR="00CE5DD5" w:rsidRPr="00CE5DD5" w:rsidRDefault="00CE5DD5" w:rsidP="00CE5DD5">
      <w:r w:rsidRPr="00CE5DD5">
        <w:t>The above formula shows that for a bond's price to equal its face (or par) value, at any time 0, the coupon rate (which is akin to the allowed rate of return) must be set (or reset) to equal the prevailing cost of capital.</w:t>
      </w:r>
      <w:r w:rsidRPr="00CE5DD5">
        <w:rPr>
          <w:rStyle w:val="FootnoteReference"/>
        </w:rPr>
        <w:footnoteReference w:id="1238"/>
      </w:r>
      <w:r w:rsidRPr="00CE5DD5">
        <w:t xml:space="preserve"> If the coupon rate is set (or reset) to a value above (below) the prevailing cost of capital, the price of the bond would trade above (below) its face value. This means the investor that paid the face value would be ex-ante over (under) compensated relative to other investments of similar risk.</w:t>
      </w:r>
    </w:p>
    <w:p w:rsidR="00CE5DD5" w:rsidRPr="00CE5DD5" w:rsidRDefault="00CE5DD5" w:rsidP="002656D9">
      <w:pPr>
        <w:pStyle w:val="HeadingBoldItalic"/>
      </w:pPr>
      <w:bookmarkStart w:id="450" w:name="_Toc480460887"/>
      <w:r w:rsidRPr="00CE5DD5">
        <w:t>Compensation for historically incurred costs</w:t>
      </w:r>
      <w:bookmarkEnd w:id="450"/>
    </w:p>
    <w:p w:rsidR="00CE5DD5" w:rsidRPr="00CE5DD5" w:rsidRDefault="00CE5DD5" w:rsidP="00CE5DD5">
      <w:r w:rsidRPr="00CE5DD5">
        <w:t>We do not interpret the ARORO to require us to compensate a benchmark efficient entity for historically incurred financing costs where this will lead to compensation that would not be ex-ante efficient.</w:t>
      </w:r>
    </w:p>
    <w:p w:rsidR="00CE5DD5" w:rsidRPr="00CE5DD5" w:rsidRDefault="00CE5DD5" w:rsidP="00CE5DD5">
      <w:r w:rsidRPr="00CE5DD5">
        <w:t xml:space="preserve">We consider setting an allowed rate of return that provides ex-ante efficient compensation gives a benchmark efficient entity a reasonable opportunity to recover at least efficient financing costs. This sets a </w:t>
      </w:r>
      <w:r w:rsidRPr="00CE5DD5">
        <w:rPr>
          <w:rStyle w:val="AERtextunderline"/>
        </w:rPr>
        <w:t>forward looking</w:t>
      </w:r>
      <w:r w:rsidRPr="00CE5DD5">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sidRPr="00CE5DD5">
        <w:rPr>
          <w:rStyle w:val="FootnoteReference"/>
        </w:rPr>
        <w:footnoteReference w:id="1239"/>
      </w:r>
      <w:r w:rsidRPr="00CE5DD5">
        <w:t xml:space="preserve"> Partington and Satchell agree with this view.</w:t>
      </w:r>
      <w:r w:rsidRPr="00CE5DD5">
        <w:rPr>
          <w:rStyle w:val="FootnoteReference"/>
        </w:rPr>
        <w:footnoteReference w:id="1240"/>
      </w:r>
      <w:r w:rsidRPr="00CE5DD5">
        <w:t xml:space="preserve"> The timeline below shows how we consider ex-post movements in interest rates (and historical costs) relate to ex-ante efficient compensation.</w:t>
      </w:r>
    </w:p>
    <w:p w:rsidR="00CE5DD5" w:rsidRPr="00CE5DD5" w:rsidRDefault="00CE5DD5" w:rsidP="00CE5DD5">
      <w:r w:rsidRPr="00CE5DD5">
        <w:rPr>
          <w:noProof/>
          <w:lang w:eastAsia="en-AU"/>
        </w:rPr>
        <mc:AlternateContent>
          <mc:Choice Requires="wpg">
            <w:drawing>
              <wp:inline distT="0" distB="0" distL="0" distR="0" wp14:anchorId="1152E905" wp14:editId="34C20C88">
                <wp:extent cx="5086350" cy="2524125"/>
                <wp:effectExtent l="38100" t="0" r="0" b="0"/>
                <wp:docPr id="57" name="Group 5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58" name="Group 58"/>
                        <wpg:cNvGrpSpPr/>
                        <wpg:grpSpPr>
                          <a:xfrm>
                            <a:off x="0" y="0"/>
                            <a:ext cx="4411384" cy="2203376"/>
                            <a:chOff x="0" y="0"/>
                            <a:chExt cx="4411384" cy="2203376"/>
                          </a:xfrm>
                        </wpg:grpSpPr>
                        <wpg:grpSp>
                          <wpg:cNvPr id="59" name="Group 59"/>
                          <wpg:cNvGrpSpPr/>
                          <wpg:grpSpPr>
                            <a:xfrm>
                              <a:off x="0" y="0"/>
                              <a:ext cx="4411384" cy="2203376"/>
                              <a:chOff x="0" y="1"/>
                              <a:chExt cx="4411384" cy="2203376"/>
                            </a:xfrm>
                          </wpg:grpSpPr>
                          <wps:wsp>
                            <wps:cNvPr id="60" name="Text Box 60"/>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4E" w:rsidRDefault="002D334E" w:rsidP="00CE5DD5">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0" y="257175"/>
                                <a:ext cx="4019550" cy="492442"/>
                                <a:chOff x="0" y="0"/>
                                <a:chExt cx="4019550" cy="492442"/>
                              </a:xfrm>
                            </wpg:grpSpPr>
                            <wps:wsp>
                              <wps:cNvPr id="62" name="Straight Arrow Connector 62"/>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Brace 6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Text Box 66"/>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4E" w:rsidRDefault="002D334E" w:rsidP="00CE5DD5">
                                  <w:pPr>
                                    <w:pStyle w:val="AERbodytextnospaceleftalign"/>
                                  </w:pPr>
                                  <w:r>
                                    <w:t>Historically incurred costs:</w:t>
                                  </w:r>
                                </w:p>
                                <w:p w:rsidR="002D334E" w:rsidRDefault="002D334E" w:rsidP="00CE5DD5">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4E" w:rsidRDefault="002D334E" w:rsidP="00CE5DD5">
                                  <w:pPr>
                                    <w:pStyle w:val="AERbodytextnospaceleftalign"/>
                                  </w:pPr>
                                  <w:r>
                                    <w:t>Ex-post movement in interest rates:</w:t>
                                  </w:r>
                                </w:p>
                                <w:p w:rsidR="002D334E" w:rsidRDefault="002D334E" w:rsidP="00CE5DD5">
                                  <w:pPr>
                                    <w:pStyle w:val="AERbodytextnospaceleftalign"/>
                                  </w:pPr>
                                  <w:r>
                                    <w:t>—unknown at date x, but the associated risks are priced into the forward looking rate of return at date x</w:t>
                                  </w:r>
                                </w:p>
                                <w:p w:rsidR="002D334E" w:rsidRDefault="002D334E" w:rsidP="00CE5DD5">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4E" w:rsidRDefault="002D334E" w:rsidP="00CE5DD5">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Oval 69"/>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7"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">
                <v:group id="Group 5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ext Box 60"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2D334E" w:rsidRDefault="002D334E" w:rsidP="00CE5DD5">
                            <w:pPr>
                              <w:pStyle w:val="AERbodytextnospaceleftalign"/>
                            </w:pPr>
                            <w:r>
                              <w:t>reset date x</w:t>
                            </w:r>
                          </w:p>
                        </w:txbxContent>
                      </v:textbox>
                    </v:shape>
                    <v:group id="Group 6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62"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L8MAAADbAAAADwAAAGRycy9kb3ducmV2LnhtbESPT4vCMBTE7wt+h/AEL2LTepClmooI&#10;7npy8c/B46N5tsXmpTSprd/eCAseh5n5DbNaD6YWD2pdZVlBEsUgiHOrKy4UXM672TcI55E11pZJ&#10;wZMcrLPR1wpTbXs+0uPkCxEg7FJUUHrfpFK6vCSDLrINcfButjXog2wLqVvsA9zUch7HC2mw4rBQ&#10;YkPbkvL7qTMKnEwufZ/8/eyL6eHc+d8pHa6dUpPxsFmC8DT4T/i/vdcKFnN4fwk/QG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di/DAAAA2wAAAA8AAAAAAAAAAAAA&#10;AAAAoQIAAGRycy9kb3ducmV2LnhtbFBLBQYAAAAABAAEAPkAAACRAwAAAAA=&#10;" strokecolor="#06648a [3040]">
                        <v:stroke startarrow="open" endarrow="open"/>
                      </v:shape>
                      <v:oval id="Oval 63"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OsMA&#10;AADbAAAADwAAAGRycy9kb3ducmV2LnhtbESPQYvCMBSE74L/ITzBm6YqqK1GkYWFVfZiu7DXZ/Ns&#10;q81LabJa/71ZEDwOM/MNs952phY3al1lWcFkHIEgzq2uuFDwk32OliCcR9ZYWyYFD3Kw3fR7a0y0&#10;vfORbqkvRICwS1BB6X2TSOnykgy6sW2Ig3e2rUEfZFtI3eI9wE0tp1E0lwYrDgslNvRRUn5N/4yC&#10;4nh1hynG+eUUL9J9XWXf8W+m1HDQ7VYgPHX+HX61v7SC+Q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AOsMAAADbAAAADwAAAAAAAAAAAAAAAACYAgAAZHJzL2Rv&#10;d25yZXYueG1sUEsFBgAAAAAEAAQA9QAAAIgDA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TfcUA&#10;AADbAAAADwAAAGRycy9kb3ducmV2LnhtbESPT4vCMBTE7wt+h/AEb2uqqEg1ioqKy7IH/1y8PZpn&#10;W21eShNr3U9vhIU9DjPzG2Y6b0whaqpcbllBrxuBIE6szjlVcDpuPscgnEfWWFgmBU9yMJ+1PqYY&#10;a/vgPdUHn4oAYRejgsz7MpbSJRkZdF1bEgfvYiuDPsgqlbrCR4CbQvajaCQN5hwWMixplVFyO9yN&#10;gnqwvf1c18XxudzvztuT/v0efl2V6rSbxQSEp8b/h//aO61gNID3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N9xQAAANsAAAAPAAAAAAAAAAAAAAAAAJgCAABkcnMv&#10;ZG93bnJldi54bWxQSwUGAAAAAAQABAD1AAAAigMAAAAA&#10;" adj="269" strokecolor="#06648a [3040]"/>
                      <v:shape id="Right Brace 65"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25sYA&#10;AADbAAAADwAAAGRycy9kb3ducmV2LnhtbESPT2vCQBTE70K/w/IKvemmpYYSXaUtrSjiIeqlt0f2&#10;mb/7NmS3MfrpuwXB4zAzv2Hmy8E0oqfOlZYVPE8iEMSZ1SXnCo6H7/EbCOeRNTaWScGFHCwXD6M5&#10;JtqeOaV+73MRIOwSVFB43yZSuqwgg25iW+LgnWxn0AfZ5VJ3eA5w08iXKIqlwZLDQoEtfRaU1ftf&#10;o6B/XdW76qs5XD7S9c/qqK/b6aZS6ulxeJ+B8DT4e/jWXmsF8RT+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A25sYAAADbAAAADwAAAAAAAAAAAAAAAACYAgAAZHJz&#10;L2Rvd25yZXYueG1sUEsFBgAAAAAEAAQA9QAAAIsDAAAAAA==&#10;" adj="269" strokecolor="#06648a [3040]"/>
                    </v:group>
                    <v:shape id="Text Box 66"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2D334E" w:rsidRDefault="002D334E" w:rsidP="00CE5DD5">
                            <w:pPr>
                              <w:pStyle w:val="AERbodytextnospaceleftalign"/>
                            </w:pPr>
                            <w:r>
                              <w:t>Historically incurred costs:</w:t>
                            </w:r>
                          </w:p>
                          <w:p w:rsidR="002D334E" w:rsidRDefault="002D334E" w:rsidP="00CE5DD5">
                            <w:pPr>
                              <w:pStyle w:val="AERbodytextnospaceleftalign"/>
                            </w:pPr>
                            <w:r>
                              <w:t>—incorporating these into the rate of return at date x does not lead to ex-ante efficient compensation for the reset period (x to x+1)</w:t>
                            </w:r>
                          </w:p>
                        </w:txbxContent>
                      </v:textbox>
                    </v:shape>
                    <v:shape id="Text Box 67"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2D334E" w:rsidRDefault="002D334E" w:rsidP="00CE5DD5">
                            <w:pPr>
                              <w:pStyle w:val="AERbodytextnospaceleftalign"/>
                            </w:pPr>
                            <w:r>
                              <w:t>Ex-post movement in interest rates:</w:t>
                            </w:r>
                          </w:p>
                          <w:p w:rsidR="002D334E" w:rsidRDefault="002D334E" w:rsidP="00CE5DD5">
                            <w:pPr>
                              <w:pStyle w:val="AERbodytextnospaceleftalign"/>
                            </w:pPr>
                            <w:r>
                              <w:t>—unknown at date x, but the associated risks are priced into the forward looking rate of return at date x</w:t>
                            </w:r>
                          </w:p>
                          <w:p w:rsidR="002D334E" w:rsidRDefault="002D334E" w:rsidP="00CE5DD5">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68"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2D334E" w:rsidRDefault="002D334E" w:rsidP="00CE5DD5">
                          <w:pPr>
                            <w:pStyle w:val="AERbodytextnospaceleftalign"/>
                          </w:pPr>
                          <w:r>
                            <w:t>reset date x+1</w:t>
                          </w:r>
                        </w:p>
                      </w:txbxContent>
                    </v:textbox>
                  </v:shape>
                </v:group>
                <v:oval id="Oval 69"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076a92 [3200]" strokeweight="2pt"/>
                <w10:anchorlock/>
              </v:group>
            </w:pict>
          </mc:Fallback>
        </mc:AlternateContent>
      </w:r>
    </w:p>
    <w:p w:rsidR="00CE5DD5" w:rsidRPr="00CE5DD5" w:rsidRDefault="00CE5DD5" w:rsidP="00CE5DD5">
      <w:r w:rsidRPr="00CE5DD5">
        <w:t xml:space="preserve">If, at reset date x+1, we set an allowed rate of return that provides compensation for a service provider's actual (historical) cost outcomes from the previous period, we would effectively remove realised gains or losses from risk it had previously borne. The regulatory regime is an ex-ante regime that is not intended to remove all risk from service providers and their capital investors. We set a forward looking allowed rate of return that compensates investors with a risk premium over the risk free rate for the compensable risk of their investment. The risk premiums we set (on both debt and equity) are based on appropriate benchmark returns from capital markets. If we removed all risks </w:t>
      </w:r>
      <w:r w:rsidR="00455E57">
        <w:t>faced by</w:t>
      </w:r>
      <w:r w:rsidR="00455E57" w:rsidRPr="00CE5DD5">
        <w:t xml:space="preserve"> </w:t>
      </w:r>
      <w:r w:rsidRPr="00CE5DD5">
        <w:t xml:space="preserve">capital investors then the appropriate return would theoretically be the risk free rate. </w:t>
      </w:r>
    </w:p>
    <w:p w:rsidR="00CE5DD5" w:rsidRPr="00CE5DD5" w:rsidRDefault="00CE5DD5" w:rsidP="00CE5DD5">
      <w:r w:rsidRPr="00CE5DD5">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CE5DD5" w:rsidRPr="00CE5DD5" w:rsidRDefault="00CE5DD5" w:rsidP="00CE5DD5">
      <w:r w:rsidRPr="00CE5DD5">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sidRPr="00CE5DD5">
        <w:rPr>
          <w:rStyle w:val="FootnoteReference"/>
        </w:rPr>
        <w:footnoteReference w:id="1241"/>
      </w:r>
      <w:r w:rsidRPr="00CE5DD5">
        <w:t xml:space="preserve"> </w:t>
      </w:r>
    </w:p>
    <w:p w:rsidR="00CE5DD5" w:rsidRPr="00CE5DD5" w:rsidRDefault="00CE5DD5" w:rsidP="002656D9">
      <w:pPr>
        <w:pStyle w:val="HeadingItalic"/>
      </w:pPr>
      <w:bookmarkStart w:id="451" w:name="_Toc480460888"/>
      <w:r w:rsidRPr="00CE5DD5">
        <w:t>Desirability of minimising mismatch</w:t>
      </w:r>
      <w:bookmarkEnd w:id="451"/>
    </w:p>
    <w:p w:rsidR="00CE5DD5" w:rsidRPr="00CE5DD5" w:rsidRDefault="00CE5DD5" w:rsidP="00CE5DD5">
      <w:r w:rsidRPr="00CE5DD5">
        <w:t>In determining the allowed return on debt, we are required to have regard to the 'mismatch' between a benchmark efficient entity's actual debt cost outcomes (or cash outflows) and the return on debt allowance.</w:t>
      </w:r>
      <w:r w:rsidRPr="00CE5DD5">
        <w:rPr>
          <w:rStyle w:val="FootnoteReference"/>
        </w:rPr>
        <w:footnoteReference w:id="1242"/>
      </w:r>
      <w:r w:rsidRPr="00CE5DD5">
        <w:t xml:space="preserve"> However, we do not consider that this permits us to set a rate of return that will not meet the ARORO or will not achieve the NEO/NGO.</w:t>
      </w:r>
    </w:p>
    <w:p w:rsidR="00CE5DD5" w:rsidRPr="00CE5DD5" w:rsidRDefault="00CE5DD5" w:rsidP="00CE5DD5">
      <w:r w:rsidRPr="00CE5DD5">
        <w:t>Rather, some mismatch between the actual (cash) debt costs and the regulated debt allowance is an intrinsic part of incentive regulation―whether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sidRPr="00CE5DD5">
        <w:rPr>
          <w:rStyle w:val="FootnoteReference"/>
        </w:rPr>
        <w:footnoteReference w:id="1243"/>
      </w:r>
      <w:r w:rsidRPr="00CE5DD5">
        <w:t xml:space="preserve"> SFG recognised this in its report for the Australian Energy Market Commission (AEMC). Here, SFG considered a mismatch between a firm's debt service payments and the regulatory allowance could arise for a number of reasons, including:</w:t>
      </w:r>
      <w:r w:rsidRPr="00CE5DD5">
        <w:rPr>
          <w:rStyle w:val="FootnoteReference"/>
        </w:rPr>
        <w:footnoteReference w:id="1244"/>
      </w:r>
    </w:p>
    <w:p w:rsidR="00CE5DD5" w:rsidRPr="00CE5DD5" w:rsidRDefault="00CE5DD5" w:rsidP="00CE5DD5">
      <w:pPr>
        <w:pStyle w:val="AERbulletlistfirststyle"/>
      </w:pPr>
      <w:r w:rsidRPr="00CE5DD5">
        <w:t>‘because the cost of capital is, in fact, variable over time’ rather than because there is problem with the measurement</w:t>
      </w:r>
    </w:p>
    <w:p w:rsidR="00CE5DD5" w:rsidRPr="00CE5DD5" w:rsidRDefault="00CE5DD5" w:rsidP="00CE5DD5">
      <w:pPr>
        <w:pStyle w:val="AERbulletlistfirststyle"/>
      </w:pPr>
      <w:r w:rsidRPr="00CE5DD5">
        <w:t>because 'there may be a difference between the rate at which the business can borrow and the regulatory benchmark'.</w:t>
      </w:r>
    </w:p>
    <w:p w:rsidR="00CE5DD5" w:rsidRPr="00CE5DD5" w:rsidRDefault="00CE5DD5" w:rsidP="00CE5DD5">
      <w:r w:rsidRPr="00CE5DD5">
        <w:t xml:space="preserve">We consider a service provider's ex-post mismatch does not (of itself) imply the regulator is setting a rate of return that will not appropriately compensate a benchmark efficient entity for its efficient cost of debt finance. 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 </w:t>
      </w:r>
    </w:p>
    <w:p w:rsidR="00CE5DD5" w:rsidRPr="00CE5DD5" w:rsidRDefault="00CE5DD5" w:rsidP="00CE5DD5">
      <w:r w:rsidRPr="00CE5DD5">
        <w:t xml:space="preserve">In section </w:t>
      </w:r>
      <w:r w:rsidRPr="00CE5DD5">
        <w:fldChar w:fldCharType="begin"/>
      </w:r>
      <w:r w:rsidRPr="00CE5DD5">
        <w:instrText xml:space="preserve"> REF _Ref444773920 \r \h </w:instrText>
      </w:r>
      <w:r w:rsidRPr="00CE5DD5">
        <w:fldChar w:fldCharType="separate"/>
      </w:r>
      <w:r w:rsidR="006B4A74">
        <w:t>H.3.3</w:t>
      </w:r>
      <w:r w:rsidRPr="00CE5DD5">
        <w:fldChar w:fldCharType="end"/>
      </w:r>
      <w:r w:rsidRPr="00CE5DD5">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CE5DD5" w:rsidRPr="00CE5DD5" w:rsidRDefault="00CE5DD5" w:rsidP="00CE5DD5">
      <w:r w:rsidRPr="00CE5DD5">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sidRPr="00CE5DD5">
        <w:rPr>
          <w:rStyle w:val="FootnoteReference"/>
        </w:rPr>
        <w:footnoteReference w:id="1245"/>
      </w:r>
      <w:r w:rsidRPr="00CE5DD5">
        <w:t xml:space="preserve"> on observed data from service providers comparable to a benchmark efficient entity operating under an on-the-day approach (where the risk of mismatch is likely more material).</w:t>
      </w:r>
      <w:r w:rsidRPr="00CE5DD5">
        <w:rPr>
          <w:rStyle w:val="FootnoteReference"/>
        </w:rPr>
        <w:footnoteReference w:id="1246"/>
      </w:r>
      <w:r w:rsidRPr="00CE5DD5">
        <w:t xml:space="preserve"> Therefore, the allowed rate of return should be commensurate with the efficient financing costs of a benchmark efficient entity with a similar degree of risk as a regulated service provider operating under this approach. To the extent a benchmark efficient entity's investors expect that moving to a  trailing average approach would reduce the  risk they require compensation for, our allowed return on debt will likely be generous to  service providers.</w:t>
      </w:r>
      <w:r w:rsidRPr="00CE5DD5">
        <w:rPr>
          <w:rStyle w:val="FootnoteReference"/>
        </w:rPr>
        <w:footnoteReference w:id="1247"/>
      </w:r>
      <w:r w:rsidRPr="00CE5DD5">
        <w:t xml:space="preserve"> In particular, our estimate of systematic risk (beta) includes historical data, which will capture the systematic risk that a benchmark efficient entity would have been exposed to under the on-the-day approach.</w:t>
      </w:r>
    </w:p>
    <w:p w:rsidR="00CE5DD5" w:rsidRPr="00CE5DD5" w:rsidRDefault="00CE5DD5" w:rsidP="00CE5DD5">
      <w:r w:rsidRPr="00CE5DD5">
        <w:t>We also note that Partington and Satchell considered mismatch between a service provider's actual incurred cost of debt and allowed return on debt is a consequence of its particular debt financing choices as an issue faces all firms.</w:t>
      </w:r>
      <w:r w:rsidR="00375C6E">
        <w:t xml:space="preserve"> </w:t>
      </w:r>
      <w:r w:rsidRPr="00CE5DD5">
        <w:t>They do not consider this affects a benchmark efficient entity's opportunity to earn the efficient return on its RAB.</w:t>
      </w:r>
      <w:r w:rsidRPr="00CE5DD5">
        <w:rPr>
          <w:rStyle w:val="FootnoteReference"/>
        </w:rPr>
        <w:footnoteReference w:id="1248"/>
      </w:r>
      <w:r w:rsidRPr="00CE5DD5">
        <w:t xml:space="preserve"> Instead, the competitive equilibrium that results in zero NVP investments, which is characterised by product prices and the market value of assets and securities adjusting to a value where they offer the current cost of capital, is what regulators are generally attempting to replicate. It is this action of the regulator that determines the allowed rate of return.  In this process the allowed rate for the cost of debt may well not match the historic cost of debt. Partington and Satchell referred to this mismatch as a direct consequence of interest rate risk (which is consistent with our interpretation above).</w:t>
      </w:r>
      <w:r w:rsidR="0051093A">
        <w:rPr>
          <w:rStyle w:val="FootnoteReference"/>
        </w:rPr>
        <w:footnoteReference w:id="1249"/>
      </w:r>
      <w:r w:rsidR="0051093A" w:rsidRPr="00CE5DD5" w:rsidDel="0051093A">
        <w:t xml:space="preserve"> </w:t>
      </w:r>
      <w:r w:rsidRPr="00CE5DD5">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sidRPr="00CE5DD5">
        <w:rPr>
          <w:rStyle w:val="FootnoteReference"/>
        </w:rPr>
        <w:footnoteReference w:id="1250"/>
      </w:r>
      <w:r w:rsidRPr="00CE5DD5">
        <w:t xml:space="preserve"> To the extent that this type of mismatch results in compensation that is not ex-ante efficient, we consider this would not meet the ARORO. </w:t>
      </w:r>
    </w:p>
    <w:p w:rsidR="00CE5DD5" w:rsidRPr="00CE5DD5" w:rsidRDefault="00CE5DD5" w:rsidP="00CE5DD5">
      <w:r w:rsidRPr="00CE5DD5">
        <w:t xml:space="preserve">While a trailing average approach is expected to reduce the former type of mismatch relative to an on-the-day approach, an on-the-day approach is expected to reduce the latter type of mismatch relative to a trailing average approach. </w:t>
      </w:r>
    </w:p>
    <w:p w:rsidR="00CE5DD5" w:rsidRPr="00CE5DD5" w:rsidRDefault="00CE5DD5" w:rsidP="002656D9">
      <w:pPr>
        <w:pStyle w:val="Heading9"/>
        <w:ind w:hanging="5824"/>
      </w:pPr>
      <w:bookmarkStart w:id="452" w:name="_Ref447803918"/>
      <w:bookmarkStart w:id="453" w:name="_Toc451947837"/>
      <w:bookmarkStart w:id="454" w:name="_Toc480460889"/>
      <w:r w:rsidRPr="00CE5DD5">
        <w:t>Consistency with the NEL/NGL</w:t>
      </w:r>
      <w:bookmarkEnd w:id="452"/>
      <w:bookmarkEnd w:id="453"/>
      <w:bookmarkEnd w:id="454"/>
    </w:p>
    <w:p w:rsidR="00CE5DD5" w:rsidRPr="00CE5DD5" w:rsidRDefault="00CE5DD5" w:rsidP="00CE5DD5">
      <w:r w:rsidRPr="00CE5DD5">
        <w:t>We consider an allowed rate of return that meets the ARORO should lead to economically efficient investment, provision of and use of infrastructure, consistent with the NEL/NGL.</w:t>
      </w:r>
      <w:r w:rsidRPr="00CE5DD5">
        <w:rPr>
          <w:rStyle w:val="FootnoteReference"/>
        </w:rPr>
        <w:footnoteReference w:id="1251"/>
      </w:r>
      <w:r w:rsidRPr="00CE5DD5">
        <w:t xml:space="preserve"> This allowed rate of return should also provide service providers with a </w:t>
      </w:r>
      <w:r w:rsidRPr="00CE5DD5">
        <w:rPr>
          <w:rStyle w:val="AERtextunderline"/>
        </w:rPr>
        <w:t>reasonable opportunity</w:t>
      </w:r>
      <w:r w:rsidRPr="00CE5DD5">
        <w:t xml:space="preserve"> to recover their efficient costs. We consider our interpretation of the ARORO is consistent with the wording in the NEO/NGO in the NEL/NGL. Our view appears consistent with the views of the AEMC when it stated:</w:t>
      </w:r>
      <w:r w:rsidRPr="00CE5DD5">
        <w:rPr>
          <w:rStyle w:val="FootnoteReference"/>
        </w:rPr>
        <w:footnoteReference w:id="1252"/>
      </w:r>
    </w:p>
    <w:p w:rsidR="00CE5DD5" w:rsidRPr="00CE5DD5" w:rsidRDefault="00CE5DD5" w:rsidP="00CE5DD5">
      <w:pPr>
        <w:pStyle w:val="AERquote"/>
      </w:pPr>
      <w:r w:rsidRPr="00CE5DD5">
        <w:t>If the rate of return estimate is set to the efficient required return, there will be no incentive for under- or over- investment. Such incentives for inefficient investment become more pronounced when the rate of return estimate differs from the efficient required return.</w:t>
      </w:r>
    </w:p>
    <w:p w:rsidR="00CE5DD5" w:rsidRPr="00CE5DD5" w:rsidRDefault="00CE5DD5" w:rsidP="00CE5DD5">
      <w:r w:rsidRPr="00CE5DD5">
        <w:t xml:space="preserve">The concept that a reasonable return to investment is important to achieving efficient regulatory investment appears common sense. Setting </w:t>
      </w:r>
      <w:r w:rsidR="00455E57">
        <w:t xml:space="preserve">an </w:t>
      </w:r>
      <w:r w:rsidRPr="00CE5DD5">
        <w:t>too high (or low) expected return relative to the expected return on alternate equivalent risk investments would be expected to lead to distorted over (or under) investment in regulated assets (all else being equal). The aim of setting an expected return to achieve efficient investment also appears broadly accepted in regulatory literature.</w:t>
      </w:r>
      <w:r w:rsidRPr="00CE5DD5">
        <w:rPr>
          <w:rStyle w:val="FootnoteReference"/>
        </w:rPr>
        <w:footnoteReference w:id="1253"/>
      </w:r>
      <w:r w:rsidRPr="00CE5DD5">
        <w:t xml:space="preserve"> This is also consistent with advice from the Consumer Challenge Panel Sub Panel 3 (CCP3) that stated:</w:t>
      </w:r>
      <w:r w:rsidRPr="00CE5DD5">
        <w:rPr>
          <w:rStyle w:val="FootnoteReference"/>
        </w:rPr>
        <w:footnoteReference w:id="1254"/>
      </w:r>
    </w:p>
    <w:p w:rsidR="00CE5DD5" w:rsidRPr="00CE5DD5" w:rsidRDefault="00CE5DD5" w:rsidP="00CE5DD5">
      <w:pPr>
        <w:pStyle w:val="AERquote"/>
      </w:pPr>
      <w:r w:rsidRPr="00CE5DD5">
        <w:t xml:space="preserve">The AER must have regard to the impact of their RoR decision on capex incentives. Given that the DNSPs’ revised proposal is significantly above current costs of capital for BBB/BBB+ rated companies, there will be perverse incentives to overinvest in the network. </w:t>
      </w:r>
    </w:p>
    <w:p w:rsidR="00CE5DD5" w:rsidRPr="00CE5DD5" w:rsidRDefault="00CE5DD5" w:rsidP="00CE5DD5">
      <w:r w:rsidRPr="00CE5DD5">
        <w:t>Similarly, Partington and Satchell consider the rule requirements are consistent with the zero NPV investment condition, stating:</w:t>
      </w:r>
      <w:r w:rsidRPr="00CE5DD5">
        <w:rPr>
          <w:rStyle w:val="FootnoteReference"/>
        </w:rPr>
        <w:footnoteReference w:id="1255"/>
      </w:r>
    </w:p>
    <w:p w:rsidR="00CE5DD5" w:rsidRPr="00CE5DD5" w:rsidRDefault="00CE5DD5" w:rsidP="00CE5DD5">
      <w:pPr>
        <w:pStyle w:val="AERquote"/>
      </w:pPr>
      <w:r w:rsidRPr="00CE5DD5">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costs and risks of overinvestment. There is very clear criterion that can be applied to meet these requirements. That criterion is that investment in regulated assets should be a zero NPV activity.</w:t>
      </w:r>
      <w:r w:rsidRPr="00CE5DD5" w:rsidDel="00770BC0">
        <w:t xml:space="preserve"> </w:t>
      </w:r>
    </w:p>
    <w:p w:rsidR="00CE5DD5" w:rsidRPr="00CE5DD5" w:rsidRDefault="00CE5DD5" w:rsidP="002656D9">
      <w:pPr>
        <w:pStyle w:val="Heading9"/>
        <w:ind w:left="1134" w:hanging="1134"/>
      </w:pPr>
      <w:bookmarkStart w:id="455" w:name="_Ref447803924"/>
      <w:bookmarkStart w:id="456" w:name="_Toc451947838"/>
      <w:bookmarkStart w:id="457" w:name="_Toc480460890"/>
      <w:r w:rsidRPr="00CE5DD5">
        <w:t>Requirement for a revenue-neutral transition if there is a regime change</w:t>
      </w:r>
      <w:bookmarkEnd w:id="455"/>
      <w:bookmarkEnd w:id="456"/>
      <w:bookmarkEnd w:id="457"/>
    </w:p>
    <w:p w:rsidR="00CE5DD5" w:rsidRPr="00CE5DD5" w:rsidRDefault="00CE5DD5" w:rsidP="00CE5DD5">
      <w:r w:rsidRPr="00CE5DD5">
        <w:t xml:space="preserve">We consider that both an on-the-day methodology to setting the cost of debt and a trailing average methodology can meet the ARORO. However, in moving between different approaches, a transition that is revenue-neutral in a present value sense will meet the ARORO. Section </w:t>
      </w:r>
      <w:r w:rsidRPr="00CE5DD5">
        <w:fldChar w:fldCharType="begin"/>
      </w:r>
      <w:r w:rsidRPr="00CE5DD5">
        <w:instrText xml:space="preserve"> REF _Ref444767739 \r \h </w:instrText>
      </w:r>
      <w:r w:rsidRPr="00CE5DD5">
        <w:fldChar w:fldCharType="separate"/>
      </w:r>
      <w:r w:rsidR="006B4A74">
        <w:t>H.3</w:t>
      </w:r>
      <w:r w:rsidRPr="00CE5DD5">
        <w:fldChar w:fldCharType="end"/>
      </w:r>
      <w:r w:rsidRPr="00CE5DD5">
        <w:t xml:space="preserve"> further discusses the position that either approach can result in a reasonable return on capital (and therefore could meet the ARORO). This position also appears consistent with SFG's view that the AEMC noted in its final rule determination where it stated:</w:t>
      </w:r>
      <w:r w:rsidRPr="00CE5DD5">
        <w:rPr>
          <w:rStyle w:val="FootnoteReference"/>
        </w:rPr>
        <w:footnoteReference w:id="1256"/>
      </w:r>
    </w:p>
    <w:p w:rsidR="00CE5DD5" w:rsidRPr="00CE5DD5" w:rsidRDefault="00CE5DD5" w:rsidP="00CE5DD5">
      <w:pPr>
        <w:pStyle w:val="AERquote"/>
      </w:pPr>
      <w:r w:rsidRPr="00CE5DD5">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 approaches will by definition result in smoother estimates of the return on debt over time.</w:t>
      </w:r>
    </w:p>
    <w:p w:rsidR="00CE5DD5" w:rsidRPr="00CE5DD5" w:rsidRDefault="00CE5DD5" w:rsidP="00CE5DD5">
      <w:r w:rsidRPr="00CE5DD5">
        <w:t>We note that when undertaking the rule change in 2012 the AEMC added in clause 6.5.3(k)(4) that states (emphasis added):</w:t>
      </w:r>
    </w:p>
    <w:p w:rsidR="00CE5DD5" w:rsidRPr="00CE5DD5" w:rsidRDefault="00CE5DD5" w:rsidP="00CE5DD5">
      <w:pPr>
        <w:pStyle w:val="AERquote"/>
      </w:pPr>
      <w:r w:rsidRPr="00CE5DD5">
        <w:t>(k) In estimating the return on debt under paragraph (h), regard must be had to the following factors…</w:t>
      </w:r>
    </w:p>
    <w:p w:rsidR="00CE5DD5" w:rsidRPr="00CE5DD5" w:rsidRDefault="00CE5DD5" w:rsidP="00CE5DD5">
      <w:pPr>
        <w:pStyle w:val="AERquote"/>
      </w:pPr>
      <w:r w:rsidRPr="00CE5DD5">
        <w:t xml:space="preserve">(4)  any impacts (including in relation to the costs of servicing debt across regulatory control periods) on a benchmark efficient entity referred to in the allowed rate of return objective that could arise </w:t>
      </w:r>
      <w:r w:rsidRPr="00CE5DD5">
        <w:rPr>
          <w:rStyle w:val="AERtextboldunderline"/>
        </w:rPr>
        <w:t>as a result of changing the methodology</w:t>
      </w:r>
      <w:r w:rsidRPr="00CE5DD5">
        <w:t xml:space="preserve"> that is used to estimate the return on debt from one regulatory control period to the next.</w:t>
      </w:r>
    </w:p>
    <w:p w:rsidR="00CE5DD5" w:rsidRPr="00CE5DD5" w:rsidRDefault="00CE5DD5" w:rsidP="00CE5DD5">
      <w:r w:rsidRPr="00CE5DD5">
        <w:t>This clause is explicit in requiring us to have regard to any impacts on a benchmark efficient entity that could arise as a result of a change of methodology. This would include having regard to any material changes in the present value of a benchmark efficient entity's regulated revenue purely due to changing the debt estimation methodology. If such changes increased a benchmark efficient entity's value, then this would benefit its equity holders at the expense of consumers. Conversely, if such changes decreased a benchmark efficient entity's value, then this would cost its equity holders but provide a short term financial benefit to consumers (which may not be a long-term benefit to the extent this results in underinvestment).  As such, this methodological change may also have a material negative impact on the confidence in the predictability of the regulatory regime.</w:t>
      </w:r>
      <w:r w:rsidRPr="00CE5DD5">
        <w:rPr>
          <w:rStyle w:val="FootnoteReference"/>
        </w:rPr>
        <w:footnoteReference w:id="1257"/>
      </w:r>
      <w:r w:rsidRPr="00CE5DD5">
        <w:t xml:space="preserve"> This is also noted by Partington and Satchell. They proposed that under the trailing average approach consumers are effectively guaranteeing revenue to pay the historic cost of debt. A cost arising from that guarantee will arise immediately under a switch to the historic trailing average without transition as consumers will find themselves paying the premium of historic rates over current rates (knowing historic rates is much higher than the current rates). </w:t>
      </w:r>
      <w:r w:rsidR="00455E57">
        <w:rPr>
          <w:rStyle w:val="FootnoteReference"/>
        </w:rPr>
        <w:footnoteReference w:id="1258"/>
      </w:r>
      <w:r w:rsidR="00455E57">
        <w:t xml:space="preserve"> </w:t>
      </w:r>
      <w:r w:rsidRPr="00CE5DD5">
        <w:t>We consider the AEMC's guidance on the intent of this clause is consistent with our approach (emphasis added):</w:t>
      </w:r>
      <w:r w:rsidRPr="00CE5DD5">
        <w:rPr>
          <w:rStyle w:val="FootnoteReference"/>
        </w:rPr>
        <w:footnoteReference w:id="1259"/>
      </w:r>
    </w:p>
    <w:p w:rsidR="00CE5DD5" w:rsidRPr="00CE5DD5" w:rsidRDefault="00CE5DD5" w:rsidP="00CE5DD5">
      <w:pPr>
        <w:pStyle w:val="AERquote"/>
      </w:pPr>
      <w:r w:rsidRPr="00CE5DD5">
        <w:t xml:space="preserve">The purpose of the fourth factor is for the regulator to have regard to </w:t>
      </w:r>
      <w:r w:rsidRPr="00CE5DD5">
        <w:rPr>
          <w:rStyle w:val="AERtextboldunderline"/>
        </w:rPr>
        <w:t>impacts of changes in the methodology</w:t>
      </w:r>
      <w:r w:rsidRPr="00CE5DD5">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CE5DD5" w:rsidRPr="00CE5DD5" w:rsidRDefault="00CE5DD5" w:rsidP="00CE5DD5">
      <w:r w:rsidRPr="00CE5DD5">
        <w:t>We have taken this factor into account and consider our transitional approach is consistent with the intent of this factor. Nevertheless, we consider that irrespective of this factor, our transition approach meets the requirements of the ARORO, NEO/NGO and RPPs. Partington and Satchell and the CCP3, in the context of our decisions released in May and July 2016, formed a similar view that the full transition to a trailing average in the Guideline would better satisfy the ARORO than the Victorian DNSP various revised proposals.</w:t>
      </w:r>
      <w:r w:rsidRPr="00CE5DD5">
        <w:rPr>
          <w:rStyle w:val="FootnoteReference"/>
        </w:rPr>
        <w:footnoteReference w:id="1260"/>
      </w:r>
      <w:r w:rsidRPr="00CE5DD5">
        <w:t xml:space="preserve"> Partington and Satchell remain of the view this is the case having considered CEG’s new report.</w:t>
      </w:r>
      <w:r w:rsidRPr="00CE5DD5">
        <w:rPr>
          <w:rStyle w:val="FootnoteReference"/>
        </w:rPr>
        <w:footnoteReference w:id="1261"/>
      </w:r>
      <w:r w:rsidRPr="00CE5DD5">
        <w:t>They proposed that a revenue neutral transition (full transition) in present value terms is appropriate as this involves no unplanned wealth transfers arising from regulatory risk. Without a revenue neutral transition the wealth transfer away from consumers will be a substantial unintended cost to consumers of the regulatory change to a trailing average.</w:t>
      </w:r>
      <w:r w:rsidRPr="00CE5DD5">
        <w:rPr>
          <w:rStyle w:val="FootnoteReference"/>
        </w:rPr>
        <w:footnoteReference w:id="1262"/>
      </w:r>
      <w:r w:rsidRPr="00CE5DD5">
        <w:t xml:space="preserve"> We also consider that an immediate (or hybrid) transition to a trailing average would result in a material and unexpected change in the present value of a benchmark efficient entity relative to a value consistent with investor expectations formed under the on-the-day regime. If this occurred it would likely increase expected regulatory uncertainty going forward. We consider this may both undermine confidence in the predictability of the regulatory arrangements and not minimise efficient financing costs (all else being equal).</w:t>
      </w:r>
      <w:r w:rsidRPr="00CE5DD5">
        <w:rPr>
          <w:rStyle w:val="FootnoteReference"/>
        </w:rPr>
        <w:footnoteReference w:id="1263"/>
      </w:r>
      <w:r w:rsidRPr="00CE5DD5">
        <w:t xml:space="preserve"> For these reasons, we consider a lack of transition to limit uncertainty of regulatory changes affecting the value of the benchmark efficient entity is unlikely to be consistent with achieving the NEO/NGO and the RPPs.</w:t>
      </w:r>
    </w:p>
    <w:p w:rsidR="00CE5DD5" w:rsidRPr="00CE5DD5" w:rsidRDefault="00CE5DD5" w:rsidP="00CE5DD5">
      <w:r w:rsidRPr="00CE5DD5">
        <w:t>Similarly, SFG advised the AEMC that a transition may be required to limit 'regulatory risk' and to avoid being inconsistent with the NEO and RPPs.</w:t>
      </w:r>
      <w:r w:rsidRPr="00CE5DD5">
        <w:rPr>
          <w:rStyle w:val="FootnoteReference"/>
        </w:rPr>
        <w:footnoteReference w:id="1264"/>
      </w:r>
      <w:r w:rsidRPr="00CE5DD5">
        <w:t xml:space="preserve"> SFG also considered that the transition we proposed (the QTC method) would be an appropriate means of transitioning from the current rules (that used an on-the-day methodology) to the use of a historical average cost of debt approach.</w:t>
      </w:r>
      <w:r w:rsidRPr="00CE5DD5">
        <w:rPr>
          <w:rStyle w:val="FootnoteReference"/>
        </w:rPr>
        <w:footnoteReference w:id="1265"/>
      </w:r>
      <w:r w:rsidRPr="00CE5DD5">
        <w:t xml:space="preserve"> The desirability for predictability was also commented on by an Expert Panel on Energy Access pricing for the Ministerial Council on Energy in 2006 who noted [emphasis added]:</w:t>
      </w:r>
      <w:r w:rsidRPr="00CE5DD5">
        <w:rPr>
          <w:rStyle w:val="FootnoteReference"/>
        </w:rPr>
        <w:footnoteReference w:id="1266"/>
      </w:r>
    </w:p>
    <w:p w:rsidR="00CE5DD5" w:rsidRPr="00CE5DD5" w:rsidRDefault="00CE5DD5" w:rsidP="00CE5DD5">
      <w:pPr>
        <w:pStyle w:val="AERquote"/>
      </w:pPr>
      <w:r w:rsidRPr="00CE5DD5">
        <w:t>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with the outcome of the review…</w:t>
      </w:r>
    </w:p>
    <w:p w:rsidR="00CE5DD5" w:rsidRPr="00CE5DD5" w:rsidRDefault="00CE5DD5" w:rsidP="00CE5DD5">
      <w:pPr>
        <w:pStyle w:val="AERquote"/>
      </w:pPr>
      <w:r w:rsidRPr="00CE5DD5">
        <w:rPr>
          <w:rStyle w:val="Strong"/>
        </w:rPr>
        <w:t>Equally important is the predictability of those decisions</w:t>
      </w:r>
      <w:r w:rsidRPr="00CE5DD5">
        <w:t xml:space="preserve"> – that is the development of an approach that gives energy users and investors in transmission and distribution infrastructure confidence that access and pricing outcomes will be guided by known principles that are applied in a consistent manner.</w:t>
      </w:r>
    </w:p>
    <w:p w:rsidR="00CE5DD5" w:rsidRPr="00CE5DD5" w:rsidRDefault="00CE5DD5" w:rsidP="00CE5DD5">
      <w:r w:rsidRPr="00CE5DD5">
        <w:t>We consider our approach is consistent with the desire for predictability in regulatory decisions by using a transition to avoid material wealth impacts from the change in methodology. HoustonKemp also provided support for a transition when it advised the Essential Services Commission of SA (ESCOSA):</w:t>
      </w:r>
      <w:r w:rsidRPr="00CE5DD5">
        <w:rPr>
          <w:rStyle w:val="FootnoteReference"/>
        </w:rPr>
        <w:footnoteReference w:id="1267"/>
      </w:r>
    </w:p>
    <w:p w:rsidR="00CE5DD5" w:rsidRPr="00CE5DD5" w:rsidRDefault="00CE5DD5" w:rsidP="00CE5DD5">
      <w:pPr>
        <w:pStyle w:val="AERquote"/>
      </w:pPr>
      <w:r w:rsidRPr="00CE5DD5">
        <w:t>Consistent with regulatory best practice, a regulatory authority should seek to avoid imposing windfall gains or losses as a result of regulatory changes. A regulatory change that imposes windfall gains or losses will be to the detriment of regulatory certainty and will likely increase the perceived level of regulatory risk, and so the cost of capital.</w:t>
      </w:r>
    </w:p>
    <w:p w:rsidR="00CE5DD5" w:rsidRPr="00CE5DD5" w:rsidRDefault="00CE5DD5" w:rsidP="00CE5DD5">
      <w:r w:rsidRPr="00CE5DD5">
        <w:t>A transition is also likely to be important for maintaining the incentives on service providers to adopt efficient financing practices under the regulatory regime. We consider this is consistent with the Revenue and Pricing Principles, which indicate regulated firms should be provided with a range of incentives including incentives that should promote the efficient provision of electricity network/pipeline services.</w:t>
      </w:r>
      <w:r w:rsidRPr="00CE5DD5">
        <w:rPr>
          <w:rStyle w:val="FootnoteReference"/>
        </w:rPr>
        <w:footnoteReference w:id="1268"/>
      </w:r>
      <w:r w:rsidRPr="00CE5DD5">
        <w:t xml:space="preserve"> These principles show our regime is intended to be an incentive base regime as opposed to a cost of service regime. To promote efficiency incentives, we consider regulated firms should be required to bear the consequences of their chosen financing approach from the prior regulatory period where returns were set under the on-the-day methodology and any financing decisions they made over this period were made in the expectation this methodology would continue. It could significantly undermine service providers' incentives to manage financial risk efficiently if we provide an allowed return on debt in this decision that results in regulated firms not bearing the consequences of their chosen financing practices. This is because service providers were required to bear and manage this risk.</w:t>
      </w:r>
      <w:r w:rsidRPr="00CE5DD5">
        <w:rPr>
          <w:rStyle w:val="FootnoteReference"/>
        </w:rPr>
        <w:footnoteReference w:id="1269"/>
      </w:r>
      <w:r w:rsidRPr="00CE5DD5">
        <w:t xml:space="preserve"> </w:t>
      </w:r>
    </w:p>
    <w:p w:rsidR="00CE5DD5" w:rsidRPr="00CE5DD5" w:rsidRDefault="00CE5DD5" w:rsidP="00CE5DD5">
      <w:r w:rsidRPr="00CE5DD5">
        <w:t>Partington and Satchell argued that it is the on the day approach that promotes efficient investment.</w:t>
      </w:r>
      <w:r w:rsidR="00F77F90">
        <w:rPr>
          <w:rStyle w:val="FootnoteReference"/>
        </w:rPr>
        <w:footnoteReference w:id="1270"/>
      </w:r>
      <w:r w:rsidRPr="00CE5DD5">
        <w:t xml:space="preserve"> If a trailing average approach is to apply, the AER’s transition is less distortionary in terms of investment incentives than a switch to a trailing average without transition. As an immediate switch to the trailing average immediately gives rise to a regulatory allowed return that exceeds the current required return, Partington and Satchell proposed that it will immediately give rise to economic rents and an incentive to overinvest.</w:t>
      </w:r>
      <w:r w:rsidRPr="00CE5DD5">
        <w:rPr>
          <w:rStyle w:val="FootnoteReference"/>
        </w:rPr>
        <w:footnoteReference w:id="1271"/>
      </w:r>
    </w:p>
    <w:p w:rsidR="00CE5DD5" w:rsidRPr="00CE5DD5" w:rsidRDefault="00CE5DD5" w:rsidP="00CE5DD5">
      <w:pPr>
        <w:pStyle w:val="Heading8"/>
      </w:pPr>
      <w:bookmarkStart w:id="458" w:name="_Ref444767739"/>
      <w:bookmarkStart w:id="459" w:name="_Toc451947839"/>
      <w:bookmarkStart w:id="460" w:name="_Toc481057499"/>
      <w:r w:rsidRPr="00CE5DD5">
        <w:t>On-the-day and trailing average approaches</w:t>
      </w:r>
      <w:bookmarkEnd w:id="458"/>
      <w:bookmarkEnd w:id="459"/>
      <w:bookmarkEnd w:id="460"/>
    </w:p>
    <w:p w:rsidR="00CE5DD5" w:rsidRPr="00CE5DD5" w:rsidRDefault="00CE5DD5" w:rsidP="00CE5DD5">
      <w:r w:rsidRPr="00CE5DD5">
        <w:t>In this section, we analyse the on-the-day and trailing average approaches to establish whether these approaches can contribute to the achievement of the ARORO. We also explain that, while we consider both approaches would be open to us; we would expect either approach to produce different estimates at given points in time.</w:t>
      </w:r>
    </w:p>
    <w:p w:rsidR="00CE5DD5" w:rsidRPr="00CE5DD5" w:rsidRDefault="00CE5DD5" w:rsidP="00CE5DD5">
      <w:r w:rsidRPr="00CE5DD5">
        <w:t>From establishing this, we can demonstrate that in changing approaches from the on-the-day to the trailing average approach (or vice versa); a revenue neutral transition (in present value terms) is required to contribute to the achievement of the ARORO.</w:t>
      </w:r>
    </w:p>
    <w:p w:rsidR="00CE5DD5" w:rsidRPr="00EF00C5" w:rsidRDefault="00CE5DD5" w:rsidP="00790265">
      <w:pPr>
        <w:pStyle w:val="Heading9"/>
      </w:pPr>
      <w:bookmarkStart w:id="461" w:name="_Ref445131744"/>
      <w:bookmarkStart w:id="462" w:name="_Toc451947840"/>
      <w:bookmarkStart w:id="463" w:name="_Toc480460892"/>
      <w:r w:rsidRPr="00EF00C5">
        <w:t>On-the-day approach</w:t>
      </w:r>
      <w:bookmarkEnd w:id="461"/>
      <w:bookmarkEnd w:id="462"/>
      <w:bookmarkEnd w:id="463"/>
    </w:p>
    <w:p w:rsidR="00CE5DD5" w:rsidRPr="00CE5DD5" w:rsidRDefault="00CE5DD5" w:rsidP="00CE5DD5">
      <w:r w:rsidRPr="00CE5DD5">
        <w:t>The on-the-day approach estimates the allowed return on debt for a service provider as the prevailing cost of debt as close as possible to the start of the regulatory period.</w:t>
      </w:r>
      <w:r w:rsidRPr="00CE5DD5">
        <w:rPr>
          <w:rStyle w:val="FootnoteReference"/>
        </w:rPr>
        <w:footnoteReference w:id="1272"/>
      </w:r>
      <w:r w:rsidRPr="00CE5DD5">
        <w:t xml:space="preserve"> The on-the-day approach is the longstanding return on debt approach adopted by us and generally by other regulators in Australia.</w:t>
      </w:r>
      <w:r w:rsidRPr="00CE5DD5">
        <w:rPr>
          <w:rStyle w:val="FootnoteReference"/>
        </w:rPr>
        <w:footnoteReference w:id="1273"/>
      </w:r>
      <w:r w:rsidRPr="00CE5DD5">
        <w:t xml:space="preserve"> While the NER/NGR no longer mandate that we adopt this approach, they still make it available to us.</w:t>
      </w:r>
      <w:r w:rsidRPr="00CE5DD5">
        <w:rPr>
          <w:rStyle w:val="FootnoteReference"/>
        </w:rPr>
        <w:footnoteReference w:id="1274"/>
      </w:r>
      <w:r w:rsidRPr="00CE5DD5">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sidRPr="00CE5DD5">
        <w:rPr>
          <w:rStyle w:val="FootnoteReference"/>
        </w:rPr>
        <w:footnoteReference w:id="1275"/>
      </w:r>
    </w:p>
    <w:p w:rsidR="00CE5DD5" w:rsidRPr="00CE5DD5" w:rsidRDefault="00CE5DD5" w:rsidP="00CE5DD5">
      <w:r w:rsidRPr="00CE5DD5">
        <w:t xml:space="preserve">We consider 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CE5DD5">
        <w:rPr>
          <w:rStyle w:val="AERtextunderline"/>
        </w:rPr>
        <w:t>and</w:t>
      </w:r>
      <w:r w:rsidRPr="00CE5DD5">
        <w:t xml:space="preserve"> over each regulatory period (see section </w:t>
      </w:r>
      <w:r w:rsidRPr="00CE5DD5">
        <w:fldChar w:fldCharType="begin"/>
      </w:r>
      <w:r w:rsidRPr="00CE5DD5">
        <w:instrText xml:space="preserve"> REF _Ref444773920 \r \h </w:instrText>
      </w:r>
      <w:r w:rsidRPr="00CE5DD5">
        <w:fldChar w:fldCharType="separate"/>
      </w:r>
      <w:r w:rsidR="006B4A74">
        <w:t>H.3.3</w:t>
      </w:r>
      <w:r w:rsidRPr="00CE5DD5">
        <w:fldChar w:fldCharType="end"/>
      </w:r>
      <w:r w:rsidRPr="00CE5DD5">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CE5DD5">
        <w:rPr>
          <w:rStyle w:val="FootnoteReference"/>
        </w:rPr>
        <w:footnoteReference w:id="1276"/>
      </w:r>
    </w:p>
    <w:p w:rsidR="00CE5DD5" w:rsidRPr="00CE5DD5" w:rsidRDefault="00CE5DD5" w:rsidP="00CE5DD5">
      <w:r w:rsidRPr="00CE5DD5">
        <w:t xml:space="preserve">While we have chosen to move towards a trailing average approach (section </w:t>
      </w:r>
      <w:r w:rsidRPr="00CE5DD5">
        <w:fldChar w:fldCharType="begin"/>
      </w:r>
      <w:r w:rsidRPr="00CE5DD5">
        <w:instrText xml:space="preserve"> REF _Ref444774464 \r \h </w:instrText>
      </w:r>
      <w:r w:rsidRPr="00CE5DD5">
        <w:fldChar w:fldCharType="separate"/>
      </w:r>
      <w:r w:rsidR="006B4A74">
        <w:t>H.3.2</w:t>
      </w:r>
      <w:r w:rsidRPr="00CE5DD5">
        <w:fldChar w:fldCharType="end"/>
      </w:r>
      <w:r w:rsidRPr="00CE5DD5">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CE5DD5" w:rsidRPr="00CE5DD5" w:rsidRDefault="00CE5DD5" w:rsidP="00CE5DD5">
      <w:pPr>
        <w:pStyle w:val="AERbulletlistfirststyle"/>
      </w:pPr>
      <w:r w:rsidRPr="00CE5DD5">
        <w:t>It is consistent with the prevailing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CE5DD5" w:rsidRPr="00CE5DD5" w:rsidRDefault="00CE5DD5" w:rsidP="00CE5DD5">
      <w:pPr>
        <w:pStyle w:val="AERbulletlistfirststyle"/>
      </w:pPr>
      <w:r w:rsidRPr="00CE5DD5">
        <w:t>It leads to an estimate that is likely to more closely imitate the outcomes of a competitive market near the start of the regulatory period than a trailing average approach.</w:t>
      </w:r>
    </w:p>
    <w:p w:rsidR="00CE5DD5" w:rsidRPr="00CE5DD5" w:rsidRDefault="00CE5DD5" w:rsidP="002656D9">
      <w:pPr>
        <w:pStyle w:val="HeadingBoldItalic"/>
      </w:pPr>
      <w:bookmarkStart w:id="464" w:name="_Ref445121562"/>
      <w:bookmarkStart w:id="465" w:name="_Toc480460893"/>
      <w:r w:rsidRPr="00CE5DD5">
        <w:t>Consistent with prevailing market cost of debt</w:t>
      </w:r>
      <w:bookmarkEnd w:id="464"/>
      <w:bookmarkEnd w:id="465"/>
    </w:p>
    <w:p w:rsidR="00CE5DD5" w:rsidRPr="00CE5DD5" w:rsidRDefault="00CE5DD5" w:rsidP="00CE5DD5">
      <w:r w:rsidRPr="00CE5DD5">
        <w:t xml:space="preserve">As discussed in section </w:t>
      </w:r>
      <w:r w:rsidRPr="00CE5DD5">
        <w:fldChar w:fldCharType="begin"/>
      </w:r>
      <w:r w:rsidRPr="00CE5DD5">
        <w:instrText xml:space="preserve"> REF _Ref446405872 \r \h </w:instrText>
      </w:r>
      <w:r w:rsidRPr="00CE5DD5">
        <w:fldChar w:fldCharType="separate"/>
      </w:r>
      <w:r w:rsidR="006B4A74">
        <w:t>H.1.1</w:t>
      </w:r>
      <w:r w:rsidRPr="00CE5DD5">
        <w:fldChar w:fldCharType="end"/>
      </w:r>
      <w:r w:rsidRPr="00CE5DD5">
        <w:t xml:space="preserve"> and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xml:space="preserve">, we consider efficient financing costs, for debt and equity, should be based on (appropriately benchmarked) prevailing market rates. As shown mathematically in section </w:t>
      </w:r>
      <w:r w:rsidRPr="00CE5DD5">
        <w:fldChar w:fldCharType="begin"/>
      </w:r>
      <w:r w:rsidRPr="00CE5DD5">
        <w:instrText xml:space="preserve"> REF _Ref444767739 \r \h </w:instrText>
      </w:r>
      <w:r w:rsidRPr="00CE5DD5">
        <w:fldChar w:fldCharType="separate"/>
      </w:r>
      <w:r w:rsidR="006B4A74">
        <w:t>H.3</w:t>
      </w:r>
      <w:r w:rsidRPr="00CE5DD5">
        <w:fldChar w:fldCharType="end"/>
      </w:r>
      <w:r w:rsidRPr="00CE5DD5">
        <w:t>, the on-the-day approach resets the entire allowed rate of return (which includes the return on debt) to reflect, as closely as possible, the prevailing market cost of capital (which includes the cost of debt) at the commencement of each regulatory period.</w:t>
      </w:r>
    </w:p>
    <w:p w:rsidR="00CE5DD5" w:rsidRPr="00CE5DD5" w:rsidRDefault="00CE5DD5" w:rsidP="00CE5DD5">
      <w:r w:rsidRPr="00CE5DD5">
        <w:t>We consider an allowed return on debt that reflects the prevailing market cost of debt promotes efficient investment decisions. When firms make investment decisions, they estimate the cost of capital based on prevailing market rates. This is important because the cost of capital is based on investors’ expectations of future returns.</w:t>
      </w:r>
      <w:r w:rsidRPr="00CE5DD5">
        <w:rPr>
          <w:rStyle w:val="FootnoteReference"/>
        </w:rPr>
        <w:footnoteReference w:id="1277"/>
      </w:r>
      <w:r w:rsidRPr="00CE5DD5">
        <w:t xml:space="preserve"> Firms then use this estimate to set a discount rate at which they discount the expected future cash flows of the proposed investment in order to determine its viability (that is, whether the NPV of the expected cash flows is greater than or equal to zero).</w:t>
      </w:r>
    </w:p>
    <w:p w:rsidR="00CE5DD5" w:rsidRPr="00CE5DD5" w:rsidRDefault="00CE5DD5" w:rsidP="00CE5DD5">
      <w:r w:rsidRPr="00CE5DD5">
        <w:t xml:space="preserve">As discussed in section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we consider the ARORO requires us to set an allowed rate of return for a benchmark efficient entity such that the return on its investment in its RAB equals its efficient cost (that is, the zero NPV investment condition). The prevailing market cost of capital is the only discount rate that sets the present value of expected future cash flows equal to the RAB. In its 2012 report to the AEMC, SFG summarised this point by stating:</w:t>
      </w:r>
      <w:r w:rsidRPr="00CE5DD5">
        <w:rPr>
          <w:rStyle w:val="FootnoteReference"/>
        </w:rPr>
        <w:footnoteReference w:id="1278"/>
      </w:r>
    </w:p>
    <w:p w:rsidR="00CE5DD5" w:rsidRPr="00CE5DD5" w:rsidRDefault="00CE5DD5" w:rsidP="00CE5DD5">
      <w:pPr>
        <w:pStyle w:val="AERquote"/>
      </w:pPr>
      <w:r w:rsidRPr="00CE5DD5">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CE5DD5" w:rsidRPr="00CE5DD5" w:rsidRDefault="00CE5DD5" w:rsidP="00CC7A1C">
      <w:pPr>
        <w:numPr>
          <w:ilvl w:val="0"/>
          <w:numId w:val="24"/>
        </w:numPr>
      </w:pPr>
      <w:r w:rsidRPr="00CE5DD5">
        <w:t>Similarly, Partington and Satchell (who recommend the on-the-day approach) stated:</w:t>
      </w:r>
      <w:r w:rsidRPr="00CE5DD5">
        <w:rPr>
          <w:rStyle w:val="FootnoteReference"/>
        </w:rPr>
        <w:footnoteReference w:id="1279"/>
      </w:r>
    </w:p>
    <w:p w:rsidR="00CE5DD5" w:rsidRPr="00CE5DD5" w:rsidRDefault="00CE5DD5" w:rsidP="00CE5DD5">
      <w:pPr>
        <w:pStyle w:val="AERquote"/>
      </w:pPr>
      <w:r w:rsidRPr="00CE5DD5">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CE5DD5" w:rsidRPr="00CE5DD5" w:rsidRDefault="00CE5DD5" w:rsidP="00CC7A1C">
      <w:pPr>
        <w:numPr>
          <w:ilvl w:val="0"/>
          <w:numId w:val="24"/>
        </w:numPr>
      </w:pPr>
      <w:r w:rsidRPr="00CE5DD5">
        <w:t>Therefore, we consider the on-the-day approach provides an appropriate signal for investment decisions made near the commencement of the regulatory period. We consider this would promote efficient investment decisions that increase dynamic efficiency. Partington and Satchell also argue in their reports to the AER, in terms of investment efficiency, it would be better to maintain the on the day approach rather than move to a trailing average, even with a transition.</w:t>
      </w:r>
      <w:r w:rsidRPr="00CE5DD5">
        <w:rPr>
          <w:rStyle w:val="FootnoteReference"/>
        </w:rPr>
        <w:footnoteReference w:id="1280"/>
      </w:r>
      <w:r w:rsidRPr="00CE5DD5">
        <w:t xml:space="preserve"> This aligns with the AEMC's view that:</w:t>
      </w:r>
      <w:r w:rsidRPr="00CE5DD5">
        <w:rPr>
          <w:rStyle w:val="FootnoteReference"/>
        </w:rPr>
        <w:footnoteReference w:id="1281"/>
      </w:r>
    </w:p>
    <w:p w:rsidR="00CE5DD5" w:rsidRPr="00CE5DD5" w:rsidRDefault="00CE5DD5" w:rsidP="00CE5DD5">
      <w:pPr>
        <w:pStyle w:val="AERquote"/>
      </w:pPr>
      <w:r w:rsidRPr="00CE5DD5">
        <w:t>[the return on debt framework] should try to create an incentive for service providers to adopt efficient financing practices and minimise the risk of creating distortions in the service provider's investment decisions.</w:t>
      </w:r>
    </w:p>
    <w:p w:rsidR="00CE5DD5" w:rsidRPr="00CE5DD5" w:rsidRDefault="00CE5DD5" w:rsidP="00CE5DD5">
      <w:r w:rsidRPr="00CE5DD5">
        <w:t>If we were to set the allowed return on debt in a different way, it would no longer be an estimate of the cost of debt (and thus the cost of capital) at the time of the determination or access arrangement. For example, under a trailing average approach, the overall allowed return on debt predominately compensates for historical interest rates, rather than for the risk of providing debt finance in the future.</w:t>
      </w:r>
      <w:r w:rsidRPr="00CE5DD5">
        <w:rPr>
          <w:rStyle w:val="FootnoteReference"/>
        </w:rPr>
        <w:footnoteReference w:id="1282"/>
      </w:r>
      <w:r w:rsidRPr="00CE5DD5">
        <w:t xml:space="preserve"> Only 10 per cent of the allowed return on debt will compensate for the risk of providing debt finance in the future because 10 per cent of the return on debt is updated annually to reflect prevailing interest rates. As discussed in section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this results in a mismatch between the allowed return on debt and the prevailing cost of debt for a benchmark efficient entity at the time of the determination or access arrangement.</w:t>
      </w:r>
    </w:p>
    <w:p w:rsidR="00CE5DD5" w:rsidRPr="00CE5DD5" w:rsidRDefault="00CE5DD5" w:rsidP="00CE5DD5">
      <w:r w:rsidRPr="00CE5DD5">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sidRPr="00CE5DD5">
        <w:rPr>
          <w:rStyle w:val="FootnoteReference"/>
        </w:rPr>
        <w:footnoteReference w:id="1283"/>
      </w:r>
      <w:r w:rsidRPr="00CE5DD5">
        <w:t xml:space="preserve"> </w:t>
      </w:r>
    </w:p>
    <w:p w:rsidR="00CE5DD5" w:rsidRPr="00CE5DD5" w:rsidRDefault="00CE5DD5" w:rsidP="002656D9">
      <w:pPr>
        <w:pStyle w:val="HeadingBoldItalic"/>
      </w:pPr>
      <w:bookmarkStart w:id="466" w:name="_Toc480460894"/>
      <w:r w:rsidRPr="00CE5DD5">
        <w:t>Imitates the outcomes of a competitive market</w:t>
      </w:r>
      <w:bookmarkEnd w:id="466"/>
    </w:p>
    <w:p w:rsidR="00CE5DD5" w:rsidRPr="00CE5DD5" w:rsidRDefault="00CE5DD5" w:rsidP="00CE5DD5">
      <w:r w:rsidRPr="00CE5DD5">
        <w:t>We consider an allowed return on debt that reflects the prevailing market cost of debt at the time of the determination or access arrangement (that is, an on-the-day approach) is likely to promote economic efficiency because:</w:t>
      </w:r>
    </w:p>
    <w:p w:rsidR="00CE5DD5" w:rsidRPr="00CE5DD5" w:rsidRDefault="00CE5DD5" w:rsidP="00CE5DD5">
      <w:pPr>
        <w:pStyle w:val="AERbulletlistfirststyle"/>
      </w:pPr>
      <w:r w:rsidRPr="00CE5DD5">
        <w:t>Productive efficiency refers to least cost financing (that is, the lowest required return on debt). An allowed return on debt that reflects the (appropriately benchmarked) prevailing market cost of debt will likely promote productive efficiency. This is because a benchmark efficient entity faces competitive prices in the market for funds.</w:t>
      </w:r>
    </w:p>
    <w:p w:rsidR="00CE5DD5" w:rsidRPr="00CE5DD5" w:rsidRDefault="00CE5DD5" w:rsidP="00CE5DD5">
      <w:pPr>
        <w:pStyle w:val="AERbulletlistfirststyle"/>
      </w:pPr>
      <w:r w:rsidRPr="00CE5DD5">
        <w:t>Allocative efficiency refers to the allowed return on debt reflecting investors' opportunity cost of debt for investments of similar risk. The prevailing market cost of debt at any given time is likely to reflect investors' opportunity cost. This is because the market for capital finance is competitive with many buyers and sellers.</w:t>
      </w:r>
    </w:p>
    <w:p w:rsidR="00CE5DD5" w:rsidRPr="00CE5DD5" w:rsidRDefault="00CE5DD5" w:rsidP="00CE5DD5">
      <w:pPr>
        <w:pStyle w:val="AERbulletlistfirststyle"/>
      </w:pPr>
      <w:r w:rsidRPr="00CE5DD5">
        <w:t xml:space="preserve">Dynamic efficiency refers to the existence of appropriate investment incentives. As discussed above, a return on debt that reflects the prevailing market cost of debt provides an appropriate signal for new investment and promotes efficient investment decisions. </w:t>
      </w:r>
    </w:p>
    <w:p w:rsidR="00CE5DD5" w:rsidRPr="00CE5DD5" w:rsidRDefault="00CE5DD5" w:rsidP="00CE5DD5">
      <w:r w:rsidRPr="00CE5DD5">
        <w:t>Moreover, a return on debt that better reflects the prevailing market cost of debt more closely imitates the outcomes of a competitive market. This is because the current market cost of debt reflects investors' opportunity cost of debt for investments of similar risk.</w:t>
      </w:r>
      <w:r w:rsidRPr="00CE5DD5" w:rsidDel="004F070F">
        <w:t xml:space="preserve"> </w:t>
      </w:r>
    </w:p>
    <w:p w:rsidR="00CE5DD5" w:rsidRPr="00CE5DD5" w:rsidRDefault="00CE5DD5" w:rsidP="00CE5DD5">
      <w:r w:rsidRPr="00CE5DD5">
        <w:t>The current market cost of debt represents the costs that other service providers will face to enter the market. The on-the-day approach is more consistent than the trailing average approach with the theory that prices in a competitive market would be constrained by the entry, or threat of entry, of new providers. This is because in a competitive market, prices are theoretically constrained by entry or the threat of entry.</w:t>
      </w:r>
      <w:r w:rsidRPr="00CE5DD5">
        <w:rPr>
          <w:rStyle w:val="FootnoteReference"/>
        </w:rPr>
        <w:footnoteReference w:id="1284"/>
      </w:r>
      <w:r w:rsidRPr="00CE5DD5">
        <w:t xml:space="preserve"> As observed by HoustonKemp:</w:t>
      </w:r>
      <w:r w:rsidRPr="00CE5DD5">
        <w:rPr>
          <w:rStyle w:val="FootnoteReference"/>
        </w:rPr>
        <w:footnoteReference w:id="1285"/>
      </w:r>
    </w:p>
    <w:p w:rsidR="00CE5DD5" w:rsidRPr="00CE5DD5" w:rsidRDefault="00CE5DD5" w:rsidP="00CE5DD5">
      <w:pPr>
        <w:pStyle w:val="AERquote"/>
      </w:pPr>
      <w:r w:rsidRPr="00CE5DD5">
        <w:t>when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CE5DD5" w:rsidRPr="00CE5DD5" w:rsidRDefault="00CE5DD5" w:rsidP="00CE5DD5">
      <w:r w:rsidRPr="00CE5DD5">
        <w:t>Similarly, Chairmont captured this concept when it advised:</w:t>
      </w:r>
      <w:r w:rsidRPr="00CE5DD5">
        <w:rPr>
          <w:rStyle w:val="FootnoteReference"/>
        </w:rPr>
        <w:footnoteReference w:id="1286"/>
      </w:r>
    </w:p>
    <w:p w:rsidR="00CE5DD5" w:rsidRPr="00CE5DD5" w:rsidRDefault="00CE5DD5" w:rsidP="00CE5DD5">
      <w:pPr>
        <w:pStyle w:val="AERquote"/>
      </w:pPr>
      <w:r w:rsidRPr="00CE5DD5">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CE5DD5" w:rsidRPr="00CE5DD5" w:rsidRDefault="00CE5DD5" w:rsidP="00CE5DD5">
      <w:r w:rsidRPr="00CE5DD5">
        <w:t>We also note that Partington and Satchell considered the on-the-day approach is consistent with competitive market outcomes, stating:</w:t>
      </w:r>
      <w:r w:rsidRPr="00CE5DD5">
        <w:rPr>
          <w:rStyle w:val="FootnoteReference"/>
        </w:rPr>
        <w:footnoteReference w:id="1287"/>
      </w:r>
    </w:p>
    <w:p w:rsidR="00CE5DD5" w:rsidRPr="00CE5DD5" w:rsidRDefault="00CE5DD5" w:rsidP="00CE5DD5">
      <w:pPr>
        <w:pStyle w:val="AERquote"/>
      </w:pPr>
      <w:r w:rsidRPr="00CE5DD5">
        <w:t>The equilibrium in a competitive market is that investments in assets are zero NPV. This implies that firms can expect to recover the current cost of capital, which in the form of the WACC includes the current cost of debt.</w:t>
      </w:r>
    </w:p>
    <w:p w:rsidR="00CE5DD5" w:rsidRPr="00EF00C5" w:rsidRDefault="00CE5DD5" w:rsidP="00790265">
      <w:pPr>
        <w:pStyle w:val="Heading9"/>
      </w:pPr>
      <w:bookmarkStart w:id="467" w:name="_Ref444774464"/>
      <w:bookmarkStart w:id="468" w:name="_Toc451947841"/>
      <w:bookmarkStart w:id="469" w:name="_Toc480460895"/>
      <w:r w:rsidRPr="00EF00C5">
        <w:t>Trailing average approach</w:t>
      </w:r>
      <w:bookmarkEnd w:id="467"/>
      <w:bookmarkEnd w:id="468"/>
      <w:bookmarkEnd w:id="469"/>
    </w:p>
    <w:p w:rsidR="00CE5DD5" w:rsidRPr="00CE5DD5" w:rsidRDefault="00CE5DD5" w:rsidP="00CC7A1C">
      <w:pPr>
        <w:numPr>
          <w:ilvl w:val="0"/>
          <w:numId w:val="24"/>
        </w:numPr>
      </w:pPr>
      <w:r w:rsidRPr="00CE5DD5">
        <w:t>The trailing average approach estimates the allowed return on debt for a service provider as an average of the cost of debt over 10 years (which is annually updated). This approach is available to us under the NER/NGR.</w:t>
      </w:r>
      <w:r w:rsidRPr="00CE5DD5">
        <w:rPr>
          <w:rStyle w:val="FootnoteReference"/>
        </w:rPr>
        <w:footnoteReference w:id="1288"/>
      </w:r>
    </w:p>
    <w:p w:rsidR="00CE5DD5" w:rsidRPr="00CE5DD5" w:rsidRDefault="00CE5DD5" w:rsidP="00CC7A1C">
      <w:pPr>
        <w:numPr>
          <w:ilvl w:val="0"/>
          <w:numId w:val="24"/>
        </w:numPr>
      </w:pPr>
      <w:r w:rsidRPr="00CE5DD5">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rsidRPr="00CE5DD5">
        <w:fldChar w:fldCharType="begin"/>
      </w:r>
      <w:r w:rsidRPr="00CE5DD5">
        <w:instrText xml:space="preserve"> REF _Ref444773920 \r \h </w:instrText>
      </w:r>
      <w:r w:rsidRPr="00CE5DD5">
        <w:fldChar w:fldCharType="separate"/>
      </w:r>
      <w:r w:rsidR="006B4A74">
        <w:t>H.3.3</w:t>
      </w:r>
      <w:r w:rsidRPr="00CE5DD5">
        <w:fldChar w:fldCharType="end"/>
      </w:r>
      <w:r w:rsidRPr="00CE5DD5">
        <w:t>.</w:t>
      </w:r>
    </w:p>
    <w:p w:rsidR="00CE5DD5" w:rsidRPr="00CE5DD5" w:rsidRDefault="00CE5DD5" w:rsidP="00CE5DD5">
      <w:r w:rsidRPr="00CE5DD5">
        <w:t>Further, the trailing average approach may have particular benefits that an on-the-day approach cannot achieve. For instance, when it advised the AEMC, SFG stated that 'if it can be demonstrated that the benefits of a regulated rate of return which is less variable over time outweigh the costs associated with investment distortions, then a trailing average should be considered'.</w:t>
      </w:r>
      <w:r w:rsidRPr="00CE5DD5">
        <w:rPr>
          <w:rStyle w:val="FootnoteReference"/>
        </w:rPr>
        <w:footnoteReference w:id="1289"/>
      </w:r>
      <w:r w:rsidRPr="00CE5DD5">
        <w:t xml:space="preserve"> The potential benefits mainly relate to smoother prices and a potentially reduced mismatch between a benchmark efficient entity's actual debt cost outcomes (or cash outflows) and the allowed return on debt (see section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which we discuss further below.</w:t>
      </w:r>
    </w:p>
    <w:p w:rsidR="00CE5DD5" w:rsidRPr="00CE5DD5" w:rsidRDefault="00CE5DD5" w:rsidP="00CE5DD5">
      <w:r w:rsidRPr="00CE5DD5">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CE5DD5" w:rsidRPr="00CE5DD5" w:rsidRDefault="00CE5DD5" w:rsidP="002656D9">
      <w:pPr>
        <w:pStyle w:val="HeadingBoldItalic"/>
      </w:pPr>
      <w:bookmarkStart w:id="470" w:name="_Toc480460896"/>
      <w:r w:rsidRPr="00CE5DD5">
        <w:t>Reduced mismatch</w:t>
      </w:r>
      <w:bookmarkEnd w:id="470"/>
    </w:p>
    <w:p w:rsidR="00CE5DD5" w:rsidRPr="00CE5DD5" w:rsidRDefault="00CE5DD5" w:rsidP="00CE5DD5">
      <w:r w:rsidRPr="00CE5DD5">
        <w:t xml:space="preserve">In section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we introduce and discuss the concept of an ex-post 'mismatch' between a benchmark efficient entity's actual debt cost outcomes (or cash outflows) and the regulatory return on debt allowance in determining the allowed return on debt. We consider an ex-post mismatch can occur for a number of reasons, including because a benchmark efficient entity does not (or cannot) engage in debt financing practices that result in debt cash outflows that match the regulatory return on debt allowance. We explain this below in the context of comparing the trailing average with the on-the-day approach to estimating the return on debt.</w:t>
      </w:r>
    </w:p>
    <w:p w:rsidR="00CE5DD5" w:rsidRPr="00CE5DD5" w:rsidRDefault="00CE5DD5" w:rsidP="00CE5DD5">
      <w:r w:rsidRPr="00CE5DD5">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sidRPr="00CE5DD5">
        <w:rPr>
          <w:rStyle w:val="FootnoteReference"/>
        </w:rPr>
        <w:footnoteReference w:id="1290"/>
      </w:r>
      <w:r w:rsidRPr="00CE5DD5">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CE5DD5" w:rsidRPr="00CE5DD5" w:rsidRDefault="00CE5DD5" w:rsidP="00CE5DD5">
      <w:r w:rsidRPr="00CE5DD5">
        <w:t>In contrast to the on-the-day approach, a trailing average approach is expected to better account for a benchmark efficient entity's actual (cash) debt costs within a regulatory period because it provides service providers with a return on debt allowance that they can more readily match each regulatory period.</w:t>
      </w:r>
      <w:r w:rsidRPr="00CE5DD5">
        <w:rPr>
          <w:rStyle w:val="FootnoteReference"/>
        </w:rPr>
        <w:footnoteReference w:id="1291"/>
      </w:r>
      <w:r w:rsidRPr="00CE5DD5">
        <w:t xml:space="preserve"> As such, this will likely reduce the mismatch between actual debt interest costs of regulated firms and the regulated return on debt allowance.</w:t>
      </w:r>
      <w:r w:rsidRPr="00CE5DD5">
        <w:rPr>
          <w:rStyle w:val="FootnoteReference"/>
        </w:rPr>
        <w:footnoteReference w:id="1292"/>
      </w:r>
      <w:r w:rsidRPr="00CE5DD5">
        <w:t xml:space="preserve"> Given that a trailing average approach reduces the risk of cash flow mismatch (a form of interest rate risk), it might better lead to productive efficiency. All else being equal, this reduced risk and the reduced need to enter hedging arrangements might lower the cost of financing. Partington and Satchell proposed that a motivation that has been advanced for the switch to the trailing average is that there will be less volatility in revenue and prices. In the case of the switch to a trailing average, while the physical assets may remain unchanged, the expected cash flows from revenue are changed. Ceteris Paribus, the risk of the assets will fall and hence the required return will fall.</w:t>
      </w:r>
      <w:r w:rsidRPr="00CE5DD5">
        <w:rPr>
          <w:rStyle w:val="FootnoteReference"/>
        </w:rPr>
        <w:footnoteReference w:id="1293"/>
      </w:r>
    </w:p>
    <w:p w:rsidR="00CE5DD5" w:rsidRPr="00CE5DD5" w:rsidRDefault="00CE5DD5" w:rsidP="00CE5DD5">
      <w:r w:rsidRPr="00CE5DD5">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xml:space="preserve"> and </w:t>
      </w:r>
      <w:r w:rsidRPr="00CE5DD5">
        <w:fldChar w:fldCharType="begin"/>
      </w:r>
      <w:r w:rsidRPr="00CE5DD5">
        <w:instrText xml:space="preserve"> REF _Ref444773920 \r \h </w:instrText>
      </w:r>
      <w:r w:rsidRPr="00CE5DD5">
        <w:fldChar w:fldCharType="separate"/>
      </w:r>
      <w:r w:rsidR="006B4A74">
        <w:t>H.3.3</w:t>
      </w:r>
      <w:r w:rsidRPr="00CE5DD5">
        <w:fldChar w:fldCharType="end"/>
      </w:r>
      <w:r w:rsidRPr="00CE5DD5">
        <w:t xml:space="preserve">). </w:t>
      </w:r>
    </w:p>
    <w:p w:rsidR="00CE5DD5" w:rsidRPr="00EF00C5" w:rsidRDefault="00CE5DD5" w:rsidP="00790265">
      <w:pPr>
        <w:pStyle w:val="Heading9"/>
      </w:pPr>
      <w:bookmarkStart w:id="471" w:name="_Ref444773920"/>
      <w:bookmarkStart w:id="472" w:name="_Ref448326736"/>
      <w:bookmarkStart w:id="473" w:name="_Toc451947842"/>
      <w:bookmarkStart w:id="474" w:name="_Toc480460897"/>
      <w:r w:rsidRPr="00EF00C5">
        <w:t>Mathematical explanation</w:t>
      </w:r>
      <w:bookmarkEnd w:id="471"/>
      <w:bookmarkEnd w:id="472"/>
      <w:bookmarkEnd w:id="473"/>
      <w:bookmarkEnd w:id="474"/>
    </w:p>
    <w:p w:rsidR="00CE5DD5" w:rsidRPr="00CE5DD5" w:rsidRDefault="00CE5DD5" w:rsidP="00CE5DD5">
      <w:r w:rsidRPr="00CE5DD5">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CE5DD5" w:rsidRPr="00CE5DD5" w:rsidRDefault="00CE5DD5" w:rsidP="00CE5DD5">
      <w:pPr>
        <w:pStyle w:val="AERbulletlistfirststyle"/>
      </w:pPr>
      <w:r w:rsidRPr="00CE5DD5">
        <w:t>The on-the-day approach service providers with the reasonable opportunity to recover at least efficient costs over each regulatory period and over the term of the RAB.</w:t>
      </w:r>
      <w:r w:rsidRPr="00CE5DD5">
        <w:rPr>
          <w:rStyle w:val="FootnoteReference"/>
        </w:rPr>
        <w:footnoteReference w:id="1294"/>
      </w:r>
    </w:p>
    <w:p w:rsidR="00CE5DD5" w:rsidRPr="00CE5DD5" w:rsidRDefault="00CE5DD5" w:rsidP="00CE5DD5">
      <w:pPr>
        <w:pStyle w:val="AERbulletlistfirststyle"/>
      </w:pPr>
      <w:r w:rsidRPr="00CE5DD5">
        <w:t>The trailing average approach provides service providers with the reasonable opportunity to recover at least efficient costs over the term of the RAB.</w:t>
      </w:r>
    </w:p>
    <w:p w:rsidR="00CE5DD5" w:rsidRPr="00CE5DD5" w:rsidRDefault="00CE5DD5" w:rsidP="00CE5DD5">
      <w:r w:rsidRPr="00CE5DD5">
        <w:t xml:space="preserve">If switching between regimes, a full transition provides </w:t>
      </w:r>
      <w:r w:rsidR="0002321D">
        <w:t xml:space="preserve">service providers </w:t>
      </w:r>
      <w:r w:rsidRPr="00CE5DD5">
        <w:t xml:space="preserve">with </w:t>
      </w:r>
      <w:r w:rsidR="0002321D">
        <w:t>a</w:t>
      </w:r>
      <w:r w:rsidR="0002321D" w:rsidRPr="00CE5DD5">
        <w:t xml:space="preserve"> </w:t>
      </w:r>
      <w:r w:rsidRPr="00CE5DD5">
        <w:t>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CE5DD5" w:rsidRPr="00CE5DD5" w:rsidRDefault="00CE5DD5" w:rsidP="00CE5DD5">
      <w:r w:rsidRPr="00CE5DD5">
        <w:t>We use the following notation:</w:t>
      </w:r>
    </w:p>
    <w:p w:rsidR="00CE5DD5" w:rsidRPr="00CE5DD5" w:rsidRDefault="00334917" w:rsidP="00CE5DD5">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CE5DD5" w:rsidRPr="00CE5DD5">
        <w:t xml:space="preserve"> denotes net operating cash flows for year </w:t>
      </w:r>
      <m:oMath>
        <m:r>
          <w:rPr>
            <w:rFonts w:ascii="Cambria Math" w:hAnsi="Cambria Math"/>
          </w:rPr>
          <m:t>t</m:t>
        </m:r>
        <m:r>
          <w:rPr>
            <w:rStyle w:val="FootnoteReference"/>
            <w:rFonts w:ascii="Cambria Math" w:hAnsi="Cambria Math"/>
            <w:i/>
          </w:rPr>
          <w:footnoteReference w:id="1295"/>
        </m:r>
      </m:oMath>
      <w:r w:rsidR="00CE5DD5" w:rsidRPr="00CE5DD5">
        <w:t>―that is, revenue less operating  expenditure (opex).</w:t>
      </w:r>
      <w:r w:rsidR="00CE5DD5" w:rsidRPr="00CE5DD5">
        <w:rPr>
          <w:rStyle w:val="FootnoteReference"/>
        </w:rPr>
        <w:footnoteReference w:id="1296"/>
      </w:r>
      <w:r w:rsidR="00CE5DD5" w:rsidRPr="00CE5DD5">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CE5DD5" w:rsidRPr="00CE5DD5">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CE5DD5" w:rsidRPr="00CE5DD5">
        <w:t xml:space="preserve">is the return on capital cash flow. </w:t>
      </w:r>
    </w:p>
    <w:p w:rsidR="00CE5DD5" w:rsidRPr="00CE5DD5" w:rsidRDefault="00334917"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CE5DD5" w:rsidRPr="00CE5DD5">
        <w:t xml:space="preserve"> is the allowed rate of return (which is reset periodically).</w:t>
      </w:r>
      <w:r w:rsidR="00CE5DD5" w:rsidRPr="00CE5DD5">
        <w:rPr>
          <w:rStyle w:val="FootnoteReference"/>
        </w:rPr>
        <w:footnoteReference w:id="1297"/>
      </w:r>
    </w:p>
    <w:p w:rsidR="00CE5DD5" w:rsidRPr="00CE5DD5" w:rsidRDefault="00334917" w:rsidP="00CE5DD5">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CE5DD5" w:rsidRPr="00CE5DD5">
        <w:t xml:space="preserve"> is the closing RAB at the end of year </w:t>
      </w:r>
      <m:oMath>
        <m:r>
          <w:rPr>
            <w:rFonts w:ascii="Cambria Math" w:hAnsi="Cambria Math"/>
          </w:rPr>
          <m:t>t</m:t>
        </m:r>
      </m:oMath>
      <w:r w:rsidR="00CE5DD5" w:rsidRPr="00CE5DD5">
        <w:t xml:space="preserve"> (which equals the opening RAB at the beginning of year </w:t>
      </w:r>
      <m:oMath>
        <m:r>
          <w:rPr>
            <w:rFonts w:ascii="Cambria Math" w:hAnsi="Cambria Math"/>
          </w:rPr>
          <m:t>t+1</m:t>
        </m:r>
      </m:oMath>
      <w:r w:rsidR="00CE5DD5" w:rsidRPr="00CE5DD5">
        <w:t>).</w:t>
      </w:r>
    </w:p>
    <w:p w:rsidR="00CE5DD5" w:rsidRPr="00CE5DD5" w:rsidRDefault="00334917"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CE5DD5" w:rsidRPr="00CE5DD5">
        <w:t xml:space="preserve">is the ex-ante cost of capital prevailing in the market for the investment at time </w:t>
      </w:r>
      <m:oMath>
        <m:r>
          <w:rPr>
            <w:rFonts w:ascii="Cambria Math" w:hAnsi="Cambria Math"/>
          </w:rPr>
          <m:t>i</m:t>
        </m:r>
      </m:oMath>
      <w:r w:rsidR="00CE5DD5" w:rsidRPr="00CE5DD5">
        <w:t>,</w:t>
      </w:r>
      <w:r w:rsidR="00CE5DD5" w:rsidRPr="00CE5DD5">
        <w:rPr>
          <w:rStyle w:val="FootnoteReference"/>
        </w:rPr>
        <w:footnoteReference w:id="1298"/>
      </w:r>
      <w:r w:rsidR="00CE5DD5" w:rsidRPr="00CE5DD5">
        <w:t xml:space="preserve"> with a term of </w:t>
      </w:r>
      <m:oMath>
        <m:r>
          <w:rPr>
            <w:rFonts w:ascii="Cambria Math" w:hAnsi="Cambria Math"/>
          </w:rPr>
          <m:t>j</m:t>
        </m:r>
      </m:oMath>
      <w:r w:rsidR="00CE5DD5" w:rsidRPr="00CE5DD5">
        <w:t xml:space="preserve"> years—used to discount the expected cash flows.</w:t>
      </w:r>
    </w:p>
    <w:p w:rsidR="00CE5DD5" w:rsidRPr="00CE5DD5" w:rsidRDefault="00CE5DD5" w:rsidP="00CE5DD5">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CE5DD5">
        <w:t xml:space="preserve"> denotes expected value.</w:t>
      </w:r>
    </w:p>
    <w:p w:rsidR="00CE5DD5" w:rsidRPr="00CE5DD5" w:rsidRDefault="00334917" w:rsidP="00CE5DD5">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CE5DD5" w:rsidRPr="00CE5DD5">
        <w:t xml:space="preserve"> denotes present value, at year t (can also be referred to as market value). </w:t>
      </w:r>
    </w:p>
    <w:p w:rsidR="00CE5DD5" w:rsidRPr="00CE5DD5" w:rsidRDefault="00CE5DD5" w:rsidP="00CE5DD5">
      <w:r w:rsidRPr="00CE5DD5">
        <w:t>For simplicity, we assume within-period investment equals depreciation in all periods prior to the end of the term of the RAB (year</w:t>
      </w:r>
      <m:oMath>
        <m:r>
          <w:rPr>
            <w:rFonts w:ascii="Cambria Math" w:hAnsi="Cambria Math"/>
          </w:rPr>
          <m:t xml:space="preserve"> t=T</m:t>
        </m:r>
      </m:oMath>
      <w:r w:rsidRPr="00CE5DD5">
        <w:t>),</w:t>
      </w:r>
      <w:r w:rsidRPr="00CE5DD5">
        <w:rPr>
          <w:rStyle w:val="FootnoteReference"/>
        </w:rPr>
        <w:footnoteReference w:id="1299"/>
      </w:r>
      <w:r w:rsidRPr="00CE5DD5">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CE5DD5">
        <w:t>).</w:t>
      </w:r>
      <w:r w:rsidRPr="00CE5DD5">
        <w:rPr>
          <w:rStyle w:val="FootnoteReference"/>
        </w:rPr>
        <w:footnoteReference w:id="1300"/>
      </w:r>
      <w:r w:rsidRPr="00CE5DD5">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rsidRPr="00CE5DD5">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CE5DD5">
        <w:t xml:space="preserve"> is depreciation (or return of capital) for year </w:t>
      </w:r>
      <m:oMath>
        <m:r>
          <w:rPr>
            <w:rFonts w:ascii="Cambria Math" w:hAnsi="Cambria Math"/>
          </w:rPr>
          <m:t>t</m:t>
        </m:r>
      </m:oMath>
      <w:r w:rsidRPr="00CE5DD5">
        <w:t xml:space="preserve">. </w:t>
      </w:r>
    </w:p>
    <w:p w:rsidR="00CE5DD5" w:rsidRPr="00CE5DD5" w:rsidRDefault="00CE5DD5" w:rsidP="00CE5DD5">
      <w:r w:rsidRPr="00CE5DD5">
        <w:t>We note the mathematical explanation in this section is a simplification of reality. We use it to demonstrate the principle that the allowed rate of return should be set (and periodically reset) such that the ex-ante allowed return on (and of) capital cash flows equals the ex-ante cost of a benchmark efficient entity's investment in its RAB (in present value terms). This gives service providers a reasonable opportunity to recover at least efficient financing costs over the term of the RAB. As Brennan (1991) stated:</w:t>
      </w:r>
      <w:r w:rsidRPr="00CE5DD5">
        <w:rPr>
          <w:rStyle w:val="FootnoteReference"/>
        </w:rPr>
        <w:footnoteReference w:id="1301"/>
      </w:r>
    </w:p>
    <w:p w:rsidR="00CE5DD5" w:rsidRPr="00CE5DD5" w:rsidRDefault="00CE5DD5" w:rsidP="00CE5DD5">
      <w:pPr>
        <w:pStyle w:val="AERquote"/>
      </w:pPr>
      <w:r w:rsidRPr="00CE5DD5">
        <w:t>With regard to investor compensation, the basic goal of regulation is to give investors an income stream just sufficient to cover the costs of their assets, and no more</w:t>
      </w:r>
    </w:p>
    <w:p w:rsidR="00CE5DD5" w:rsidRPr="00CE5DD5" w:rsidRDefault="00CE5DD5" w:rsidP="002656D9">
      <w:pPr>
        <w:pStyle w:val="HeadingBoldItalic"/>
      </w:pPr>
      <w:bookmarkStart w:id="475" w:name="_Toc480460898"/>
      <w:r w:rsidRPr="00CE5DD5">
        <w:t>On-the-day approach</w:t>
      </w:r>
      <w:bookmarkEnd w:id="475"/>
    </w:p>
    <w:p w:rsidR="00CE5DD5" w:rsidRPr="00CE5DD5" w:rsidRDefault="00CE5DD5" w:rsidP="00CE5DD5">
      <w:r w:rsidRPr="00CE5DD5">
        <w:t>For simplicity, assume the term of the risk free rate matches the regulatory period (five years) under the on-the-day approach.</w:t>
      </w:r>
      <w:r w:rsidRPr="00CE5DD5">
        <w:rPr>
          <w:rStyle w:val="FootnoteReference"/>
        </w:rPr>
        <w:footnoteReference w:id="1302"/>
      </w:r>
      <w:r w:rsidRPr="00CE5DD5">
        <w:t xml:space="preserve">  If we provide service providers with a reasonable opportunity to recover at least efficient costs over a regulatory period commencing year </w:t>
      </w:r>
      <m:oMath>
        <m:r>
          <w:rPr>
            <w:rFonts w:ascii="Cambria Math" w:hAnsi="Cambria Math"/>
          </w:rPr>
          <m:t>t</m:t>
        </m:r>
      </m:oMath>
      <w:r w:rsidRPr="00CE5DD5">
        <w:t xml:space="preserve">, then the present value of expected net operating cash flows over this period plus the closing RAB (at </w:t>
      </w:r>
      <m:oMath>
        <m:r>
          <w:rPr>
            <w:rFonts w:ascii="Cambria Math" w:hAnsi="Cambria Math"/>
          </w:rPr>
          <m:t>t+5</m:t>
        </m:r>
      </m:oMath>
      <w:r w:rsidRPr="00CE5DD5">
        <w:t xml:space="preserve">) should equal the opening RAB (at </w:t>
      </w:r>
      <m:oMath>
        <m:r>
          <w:rPr>
            <w:rFonts w:ascii="Cambria Math" w:hAnsi="Cambria Math"/>
          </w:rPr>
          <m:t>t</m:t>
        </m:r>
      </m:oMath>
      <w:r w:rsidRPr="00CE5DD5">
        <w:t xml:space="preserve">). Under our depreciation assumptions, the opening RAB (at </w:t>
      </w:r>
      <m:oMath>
        <m:r>
          <w:rPr>
            <w:rFonts w:ascii="Cambria Math" w:hAnsi="Cambria Math"/>
          </w:rPr>
          <m:t>t</m:t>
        </m:r>
      </m:oMath>
      <w:r w:rsidRPr="00CE5DD5">
        <w:t xml:space="preserve">) will equal its initial value (at </w:t>
      </w:r>
      <m:oMath>
        <m:r>
          <w:rPr>
            <w:rFonts w:ascii="Cambria Math" w:hAnsi="Cambria Math"/>
          </w:rPr>
          <m:t>t=0</m:t>
        </m:r>
      </m:oMath>
      <w:r w:rsidRPr="00CE5DD5">
        <w:t>).</w:t>
      </w:r>
    </w:p>
    <w:p w:rsidR="00CE5DD5" w:rsidRPr="00CE5DD5" w:rsidRDefault="00CE5DD5" w:rsidP="00CE5DD5">
      <w:r w:rsidRPr="00CE5DD5">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CE5DD5">
        <w:t>)</w:t>
      </w:r>
      <w:r w:rsidRPr="00CE5DD5">
        <w:rPr>
          <w:rStyle w:val="FootnoteReference"/>
        </w:rPr>
        <w:footnoteReference w:id="1303"/>
      </w:r>
      <w:r w:rsidRPr="00CE5DD5">
        <w:t xml:space="preserve"> at the commencement of each regulatory period. We show this below: </w:t>
      </w:r>
    </w:p>
    <w:p w:rsidR="00CE5DD5" w:rsidRPr="00CE5DD5" w:rsidRDefault="00334917" w:rsidP="00CE5DD5">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CE5DD5" w:rsidRPr="00CE5DD5" w:rsidRDefault="00CE5DD5" w:rsidP="00CE5DD5">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304"/>
          </m:r>
        </m:oMath>
      </m:oMathPara>
    </w:p>
    <w:p w:rsidR="00CE5DD5" w:rsidRPr="00CE5DD5" w:rsidRDefault="00CE5DD5" w:rsidP="00CE5DD5">
      <w:r w:rsidRPr="00CE5DD5">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rsidRPr="00CE5DD5">
        <w:t>,</w:t>
      </w:r>
      <w:r w:rsidRPr="00CE5DD5">
        <w:rPr>
          <w:rStyle w:val="FootnoteReference"/>
        </w:rPr>
        <w:footnoteReference w:id="1305"/>
      </w:r>
      <w:r w:rsidRPr="00CE5DD5">
        <w:t xml:space="preserve"> and the present value (at time </w:t>
      </w:r>
      <m:oMath>
        <m:r>
          <w:rPr>
            <w:rFonts w:ascii="Cambria Math" w:hAnsi="Cambria Math"/>
          </w:rPr>
          <m:t>t+5</m:t>
        </m:r>
      </m:oMath>
      <w:r w:rsidRPr="00CE5DD5">
        <w:t xml:space="preserve">) of expected future cash flows over the remaining term of the RAB equals the closing RAB at the end of year </w:t>
      </w:r>
      <m:oMath>
        <m:r>
          <w:rPr>
            <w:rFonts w:ascii="Cambria Math" w:hAnsi="Cambria Math"/>
          </w:rPr>
          <m:t>t+5</m:t>
        </m:r>
      </m:oMath>
      <w:r w:rsidRPr="00CE5DD5">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CE5DD5">
        <w:t>).</w:t>
      </w:r>
    </w:p>
    <w:p w:rsidR="00CE5DD5" w:rsidRPr="00CE5DD5" w:rsidRDefault="00CE5DD5" w:rsidP="00CE5DD5">
      <w:r w:rsidRPr="00CE5DD5">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CE5DD5">
        <w:t>, and:</w:t>
      </w:r>
      <w:r w:rsidRPr="00CE5DD5">
        <w:rPr>
          <w:rStyle w:val="FootnoteReference"/>
        </w:rPr>
        <w:footnoteReference w:id="1306"/>
      </w:r>
    </w:p>
    <w:p w:rsidR="00CE5DD5" w:rsidRPr="00CE5DD5" w:rsidRDefault="00334917" w:rsidP="00CE5DD5">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pPr>
        <w:pStyle w:val="ListContinue"/>
      </w:pPr>
      <w:r w:rsidRPr="00CE5DD5">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CE5DD5" w:rsidRPr="00CE5DD5" w:rsidRDefault="00334917" w:rsidP="00CE5DD5">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CE5DD5" w:rsidRPr="00CE5DD5" w:rsidRDefault="00CE5DD5" w:rsidP="00CE5DD5">
      <w:r w:rsidRPr="00CE5DD5">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rsidRPr="00CE5DD5">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rsidRPr="00CE5DD5">
        <w:t>:</w:t>
      </w:r>
      <w:r w:rsidRPr="00CE5DD5">
        <w:rPr>
          <w:rStyle w:val="FootnoteReference"/>
        </w:rPr>
        <w:footnoteReference w:id="1307"/>
      </w:r>
    </w:p>
    <w:p w:rsidR="00CE5DD5" w:rsidRPr="00CE5DD5" w:rsidRDefault="00334917" w:rsidP="00CE5DD5">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334917" w:rsidP="00CE5DD5">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CE5DD5" w:rsidP="00CE5DD5">
      <m:oMathPara>
        <m:oMath>
          <m:r>
            <w:rPr>
              <w:rFonts w:ascii="Cambria Math" w:hAnsi="Cambria Math"/>
            </w:rPr>
            <m:t>…</m:t>
          </m:r>
        </m:oMath>
      </m:oMathPara>
    </w:p>
    <w:p w:rsidR="00CE5DD5" w:rsidRPr="00CE5DD5" w:rsidRDefault="00334917" w:rsidP="00CE5DD5">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CE5DD5" w:rsidRPr="00CE5DD5" w:rsidRDefault="00CE5DD5" w:rsidP="00CE5DD5">
      <w:r w:rsidRPr="00CE5DD5">
        <w:t>The above present value principle should hold under any regulatory period under the on-the-day approach, and therefore should hold over the term of the RAB, which would comprise of multiple regulatory periods.</w:t>
      </w:r>
      <w:r w:rsidRPr="00CE5DD5">
        <w:rPr>
          <w:rStyle w:val="FootnoteReference"/>
        </w:rPr>
        <w:footnoteReference w:id="1308"/>
      </w:r>
      <w:r w:rsidRPr="00CE5DD5">
        <w:t xml:space="preserve"> The allowed rate of return is reset to reflect the (appropriately benchmarked) prevailing market cost of capital at the commencement of each regulatory period. Therefore, the present (or market) value of the RAB is reset to its statutory value (or, under our assumptions, its initial value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at the commencement of each regulatory period. This is supported by Partington and Satchell.</w:t>
      </w:r>
      <w:r w:rsidRPr="00CE5DD5">
        <w:rPr>
          <w:rStyle w:val="FootnoteReference"/>
        </w:rPr>
        <w:footnoteReference w:id="1309"/>
      </w:r>
      <w:r w:rsidRPr="00CE5DD5">
        <w:t xml:space="preserve"> To this extent, the regulatory regime under an on-the-day approach can be likened to a long term floating rate security where the allowed rate of return is the coupon rate, reset at the start of each regulatory period such that the present (or market) value of the bond equals its par (or face) value.</w:t>
      </w:r>
      <w:r w:rsidRPr="00CE5DD5">
        <w:rPr>
          <w:rStyle w:val="FootnoteReference"/>
        </w:rPr>
        <w:footnoteReference w:id="1310"/>
      </w:r>
    </w:p>
    <w:p w:rsidR="00CE5DD5" w:rsidRPr="00CE5DD5" w:rsidRDefault="00CE5DD5" w:rsidP="00CE5DD5">
      <w:r w:rsidRPr="00CE5DD5">
        <w:t>We consider this section shows the on-the-day approach provides service providers with a reasonable opportunity to recover at least efficient costs.</w:t>
      </w:r>
      <w:r w:rsidRPr="00CE5DD5">
        <w:rPr>
          <w:rStyle w:val="FootnoteReference"/>
        </w:rPr>
        <w:footnoteReference w:id="1311"/>
      </w:r>
      <w:r w:rsidRPr="00CE5DD5">
        <w:t xml:space="preserve"> That is, at the commencement of each regulatory period, the present value of expected future cash flows will equal the RAB. We note that given the ARORO is standalone, the ARORO will be achieved if the present value of expected return on (and of) capital cash flows equal the start-of-period opening RAB.</w:t>
      </w:r>
    </w:p>
    <w:p w:rsidR="00CE5DD5" w:rsidRPr="00CE5DD5" w:rsidRDefault="00CE5DD5" w:rsidP="002656D9">
      <w:pPr>
        <w:pStyle w:val="HeadingBoldItalic"/>
      </w:pPr>
      <w:bookmarkStart w:id="476" w:name="_Toc480460899"/>
      <w:r w:rsidRPr="00CE5DD5">
        <w:t>Trailing average approach</w:t>
      </w:r>
      <w:bookmarkEnd w:id="476"/>
    </w:p>
    <w:p w:rsidR="00CE5DD5" w:rsidRPr="00CE5DD5" w:rsidRDefault="00CE5DD5" w:rsidP="00CE5DD5">
      <w:r w:rsidRPr="00CE5DD5">
        <w:t>Under the trailing average approach, the service providers would not necessarily have a reasonable opportunity to recover at least efficient costs over a regulatory period. However, the service providers would still have a reasonable opportunity to recover at least efficient costs over the term of the RAB.</w:t>
      </w:r>
    </w:p>
    <w:p w:rsidR="00CE5DD5" w:rsidRPr="00CE5DD5" w:rsidRDefault="00CE5DD5" w:rsidP="00CE5DD5">
      <w:r w:rsidRPr="00CE5DD5">
        <w:t xml:space="preserve">Assume we set the allowed rate of return based on a trailing average return on debt for a particular regulatory period (commencing year </w:t>
      </w:r>
      <m:oMath>
        <m:r>
          <w:rPr>
            <w:rFonts w:ascii="Cambria Math" w:hAnsi="Cambria Math"/>
          </w:rPr>
          <m:t>t</m:t>
        </m:r>
      </m:oMath>
      <w:r w:rsidRPr="00CE5DD5">
        <w:t xml:space="preserve">). As set out above, for the present value principle to hold over the regulatory period commencing year </w:t>
      </w:r>
      <m:oMath>
        <m:r>
          <w:rPr>
            <w:rFonts w:ascii="Cambria Math" w:hAnsi="Cambria Math"/>
          </w:rPr>
          <m:t>t</m:t>
        </m:r>
      </m:oMath>
      <w:r w:rsidRPr="00CE5DD5">
        <w:t xml:space="preserve">, the present value of expected net operating cash flows over this period plus the closing RAB (at </w:t>
      </w:r>
      <m:oMath>
        <m:r>
          <w:rPr>
            <w:rFonts w:ascii="Cambria Math" w:hAnsi="Cambria Math"/>
          </w:rPr>
          <m:t>t+5</m:t>
        </m:r>
      </m:oMath>
      <w:r w:rsidRPr="00CE5DD5">
        <w:t xml:space="preserve">) should equate to the opening RAB (at </w:t>
      </w:r>
      <m:oMath>
        <m:r>
          <w:rPr>
            <w:rFonts w:ascii="Cambria Math" w:hAnsi="Cambria Math"/>
          </w:rPr>
          <m:t>t</m:t>
        </m:r>
      </m:oMath>
      <w:r w:rsidRPr="00CE5DD5">
        <w:t xml:space="preserve">). Under our depreciation assumptions, this should result in the opening RAB (at </w:t>
      </w:r>
      <m:oMath>
        <m:r>
          <w:rPr>
            <w:rFonts w:ascii="Cambria Math" w:hAnsi="Cambria Math"/>
          </w:rPr>
          <m:t>t</m:t>
        </m:r>
      </m:oMath>
      <w:r w:rsidRPr="00CE5DD5">
        <w:t xml:space="preserve">) being equal to its initial value (at </w:t>
      </w:r>
      <m:oMath>
        <m:r>
          <w:rPr>
            <w:rFonts w:ascii="Cambria Math" w:hAnsi="Cambria Math"/>
          </w:rPr>
          <m:t>t=0</m:t>
        </m:r>
      </m:oMath>
      <w:r w:rsidRPr="00CE5DD5">
        <w:t xml:space="preserve">). That is, for the present value principle to hold over a regulatory period commencing year </w:t>
      </w:r>
      <m:oMath>
        <m:r>
          <w:rPr>
            <w:rFonts w:ascii="Cambria Math" w:hAnsi="Cambria Math"/>
          </w:rPr>
          <m:t>t</m:t>
        </m:r>
      </m:oMath>
      <w:r w:rsidRPr="00CE5DD5">
        <w:t>, the following equality must hold:</w:t>
      </w:r>
    </w:p>
    <w:p w:rsidR="00CE5DD5" w:rsidRPr="00CE5DD5" w:rsidRDefault="00334917" w:rsidP="00CE5DD5">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CE5DD5" w:rsidP="00CE5DD5">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CE5DD5" w:rsidRPr="00CE5DD5" w:rsidRDefault="00CE5DD5" w:rsidP="00CE5DD5">
      <w:r w:rsidRPr="00CE5DD5">
        <w:t>where, under an immediate trailing average approach (under our assumptions):</w:t>
      </w:r>
      <w:r w:rsidRPr="00CE5DD5">
        <w:rPr>
          <w:rStyle w:val="FootnoteReference"/>
        </w:rPr>
        <w:footnoteReference w:id="1312"/>
      </w:r>
    </w:p>
    <w:p w:rsidR="00CE5DD5" w:rsidRPr="00CE5DD5" w:rsidRDefault="00334917" w:rsidP="00CE5DD5">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r w:rsidRPr="00CE5DD5">
        <w:tab/>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CE5DD5" w:rsidRPr="00CE5DD5" w:rsidRDefault="00CE5DD5" w:rsidP="00CE5DD5">
      <w:r w:rsidRPr="00CE5DD5">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CE5DD5">
        <w:t>,</w:t>
      </w:r>
      <w:r w:rsidRPr="00CE5DD5">
        <w:rPr>
          <w:rStyle w:val="FootnoteReference"/>
        </w:rPr>
        <w:footnoteReference w:id="1313"/>
      </w:r>
      <w:r w:rsidRPr="00CE5DD5">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CE5DD5">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xml:space="preserve"> under our assumptions).</w:t>
      </w:r>
      <w:r w:rsidRPr="00CE5DD5">
        <w:rPr>
          <w:rStyle w:val="FootnoteReference"/>
        </w:rPr>
        <w:t xml:space="preserve"> </w:t>
      </w:r>
    </w:p>
    <w:p w:rsidR="00CE5DD5" w:rsidRPr="00CE5DD5" w:rsidRDefault="00CE5DD5" w:rsidP="00CE5DD5">
      <w:r w:rsidRPr="00CE5DD5">
        <w:t>Despite this, we can show the service providers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CE5DD5" w:rsidRPr="00CE5DD5" w:rsidRDefault="00CE5DD5" w:rsidP="00CE5DD5">
      <w:r w:rsidRPr="00CE5DD5">
        <w:t>There are three different components to the trailing average approach: the transition in, the full staggered portfolio, and the transition out at the end of the investment horizon (or end of the term of the RAB). We show these below.</w:t>
      </w:r>
    </w:p>
    <w:p w:rsidR="00CE5DD5" w:rsidRPr="00CE5DD5" w:rsidRDefault="00CE5DD5" w:rsidP="00CE5DD5">
      <w:r w:rsidRPr="00CE5DD5">
        <w:t>The allowed return on equity continues to be reset to reflect the prevailing market cost of equity at the commencement of each regulatory period. Therefore, we can reasonably assume the present value of expected return on equity cash flows equals the equity financed component of the RAB each regulatory period, although Partington and Satchell note there are likely to be complications associated with leverage.</w:t>
      </w:r>
      <w:r w:rsidRPr="00CE5DD5">
        <w:rPr>
          <w:rStyle w:val="FootnoteReference"/>
        </w:rPr>
        <w:footnoteReference w:id="1314"/>
      </w:r>
      <w:r w:rsidRPr="00CE5DD5">
        <w:t xml:space="preserve"> Because of this, in the following sections we focus on the return on debt cash flows and assume, for simplicity, the RAB is 100 per cent debt financed.</w:t>
      </w:r>
    </w:p>
    <w:p w:rsidR="00CE5DD5" w:rsidRPr="00CE5DD5" w:rsidRDefault="00CE5DD5" w:rsidP="002656D9">
      <w:pPr>
        <w:pStyle w:val="HeadingItalic"/>
      </w:pPr>
      <w:bookmarkStart w:id="477" w:name="_Toc480460900"/>
      <w:r w:rsidRPr="00CE5DD5">
        <w:t>Transition into the staggered portfolio</w:t>
      </w:r>
      <w:bookmarkEnd w:id="477"/>
    </w:p>
    <w:p w:rsidR="00CE5DD5" w:rsidRPr="00CE5DD5" w:rsidRDefault="00CE5DD5" w:rsidP="00CE5DD5">
      <w:pPr>
        <w:rPr>
          <w:rStyle w:val="AERbody"/>
        </w:rPr>
      </w:pPr>
      <w:r w:rsidRPr="00CE5DD5">
        <w:rPr>
          <w:rStyle w:val="AERbody"/>
        </w:rPr>
        <w:t>On the first year of a trailing average, a business would either:</w:t>
      </w:r>
    </w:p>
    <w:p w:rsidR="00CE5DD5" w:rsidRPr="00CE5DD5" w:rsidRDefault="00CE5DD5" w:rsidP="00CE5DD5">
      <w:pPr>
        <w:pStyle w:val="AERbulletlistfirststyle"/>
        <w:rPr>
          <w:rStyle w:val="AERbody"/>
        </w:rPr>
      </w:pPr>
      <w:r w:rsidRPr="00CE5DD5">
        <w:rPr>
          <w:rStyle w:val="AERbody"/>
        </w:rPr>
        <w:t>Raise an equal-weighted portfolio of 1, 2, 3 ... 9, 10 year debt. Each year 10 per cent of this would expire and the business would replace this with 10 year debt.</w:t>
      </w:r>
    </w:p>
    <w:p w:rsidR="00CE5DD5" w:rsidRPr="00CE5DD5" w:rsidRDefault="00CE5DD5" w:rsidP="00CE5DD5">
      <w:pPr>
        <w:pStyle w:val="AERbulletlistfirststyle"/>
        <w:rPr>
          <w:rStyle w:val="AERbody"/>
        </w:rPr>
      </w:pPr>
      <w:r w:rsidRPr="00CE5DD5">
        <w:rPr>
          <w:rStyle w:val="AERbody"/>
        </w:rPr>
        <w:t>Raise 10 year debt. Each year it would refinance 10 per cent of this and replace this with more 10 year debt.</w:t>
      </w:r>
    </w:p>
    <w:p w:rsidR="00CE5DD5" w:rsidRPr="00CE5DD5" w:rsidRDefault="00CE5DD5" w:rsidP="00CE5DD5">
      <w:pPr>
        <w:rPr>
          <w:rStyle w:val="AERbody"/>
        </w:rPr>
      </w:pPr>
      <w:r w:rsidRPr="00CE5DD5">
        <w:rPr>
          <w:rStyle w:val="AERbody"/>
        </w:rPr>
        <w:t>We have calculated the return on debt allowance assuming the latter option. Since we expect this would be the higher cost option given interest rates on longer-term debt securities are often higher than those on shorter-term debt securities, our debt allowance should be conservative in the service providers' favour.</w:t>
      </w:r>
    </w:p>
    <w:p w:rsidR="00CE5DD5" w:rsidRPr="00CE5DD5" w:rsidRDefault="00CE5DD5" w:rsidP="00CE5DD5">
      <w:r w:rsidRPr="00CE5DD5">
        <w:rPr>
          <w:rStyle w:val="AERbody"/>
        </w:rPr>
        <w:t xml:space="preserve">Valuing the return on debt allowance using the first of the two options would be expected to provide a benchmark efficient entity </w:t>
      </w:r>
      <w:r w:rsidRPr="00CE5DD5">
        <w:t xml:space="preserve">a reasonable opportunity to recover at least efficient costs for its initial investment at </w:t>
      </w:r>
      <m:oMath>
        <m:r>
          <w:rPr>
            <w:rFonts w:ascii="Cambria Math" w:hAnsi="Cambria Math"/>
          </w:rPr>
          <m:t>t=0</m:t>
        </m:r>
      </m:oMath>
      <w:r w:rsidRPr="00CE5DD5">
        <w:t xml:space="preserve"> as this would allow the following equality to hold:</w:t>
      </w:r>
      <w:r w:rsidRPr="00CE5DD5">
        <w:rPr>
          <w:rStyle w:val="FootnoteReference"/>
        </w:rPr>
        <w:footnoteReference w:id="1315"/>
      </w:r>
    </w:p>
    <w:p w:rsidR="00CE5DD5" w:rsidRPr="00CE5DD5" w:rsidRDefault="00334917" w:rsidP="00CE5DD5">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316"/>
        </m:r>
      </m:oMath>
      <w:r w:rsidR="00CE5DD5" w:rsidRPr="00CE5DD5">
        <w:t xml:space="preserve"> </w:t>
      </w:r>
    </w:p>
    <w:p w:rsidR="00CE5DD5" w:rsidRPr="00CE5DD5" w:rsidRDefault="00CE5DD5" w:rsidP="00CE5DD5">
      <w:r w:rsidRPr="00CE5DD5">
        <w:t>where, under our assumptions:</w:t>
      </w:r>
      <w:r w:rsidRPr="00CE5DD5">
        <w:rPr>
          <w:rStyle w:val="FootnoteReference"/>
        </w:rPr>
        <w:footnoteReference w:id="1317"/>
      </w:r>
    </w:p>
    <w:p w:rsidR="00CE5DD5" w:rsidRPr="00CE5DD5" w:rsidRDefault="00334917" w:rsidP="00CE5DD5">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pPr>
        <w:pStyle w:val="ListContinue2"/>
      </w:pPr>
      <w:r w:rsidRPr="00CE5DD5">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CE5DD5" w:rsidRPr="00CE5DD5" w:rsidRDefault="00CE5DD5" w:rsidP="00CE5DD5">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demonstrated under 'On-the-day approach', this equality holds because, for each one-tenth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t=0</m:t>
        </m:r>
      </m:oMath>
      <w:r w:rsidRPr="00CE5DD5">
        <w:t>, with the expectation that the allowed rate of return will be periodically reset to prevailing market rates</w:t>
      </w:r>
    </w:p>
    <w:p w:rsidR="00CE5DD5" w:rsidRPr="00CE5DD5" w:rsidRDefault="00CE5DD5" w:rsidP="00CE5DD5">
      <w:pPr>
        <w:pStyle w:val="AERbulletlistfirststyle"/>
      </w:pPr>
      <w:r w:rsidRPr="00CE5DD5">
        <w:t>the present (or market) value of the closing RAB (portion) at the end of each 'reset period' equals its statutory value.</w:t>
      </w:r>
    </w:p>
    <w:p w:rsidR="00CE5DD5" w:rsidRPr="00CE5DD5" w:rsidRDefault="00CE5DD5" w:rsidP="00CE5DD5">
      <w:r w:rsidRPr="00CE5DD5">
        <w:t xml:space="preserve">For example, at </w:t>
      </w:r>
      <m:oMath>
        <m:r>
          <w:rPr>
            <w:rFonts w:ascii="Cambria Math" w:hAnsi="Cambria Math"/>
          </w:rPr>
          <m:t>t=0</m:t>
        </m:r>
      </m:oMath>
      <w:r w:rsidRPr="00CE5DD5">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Pr="00CE5DD5">
        <w:t xml:space="preserve">, should equal portion one of the opening RAB at </w:t>
      </w:r>
      <m:oMath>
        <m:r>
          <w:rPr>
            <w:rFonts w:ascii="Cambria Math" w:hAnsi="Cambria Math"/>
          </w:rPr>
          <m:t>t=0</m:t>
        </m:r>
      </m:oMath>
      <w:r w:rsidRPr="00CE5DD5">
        <w:t xml:space="preserve">. This is because it is expected that, at </w:t>
      </w:r>
      <m:oMath>
        <m:r>
          <w:rPr>
            <w:rFonts w:ascii="Cambria Math" w:hAnsi="Cambria Math"/>
          </w:rPr>
          <m:t>t=1</m:t>
        </m:r>
      </m:oMath>
      <w:r w:rsidRPr="00CE5DD5">
        <w:t xml:space="preserve">, we reset the allowed rate of return on portion one of the RAB to reflect the prevailing market cost of capital, and continue resetting every ten years (see equalities under 'The staggered portfolio' and 'End of the term of the RAB' below). </w:t>
      </w:r>
    </w:p>
    <w:p w:rsidR="00CE5DD5" w:rsidRPr="00CE5DD5" w:rsidRDefault="00CE5DD5" w:rsidP="00CE5DD5">
      <w:r w:rsidRPr="00CE5DD5">
        <w:t xml:space="preserve">Similarly, at </w:t>
      </w:r>
      <m:oMath>
        <m:r>
          <w:rPr>
            <w:rFonts w:ascii="Cambria Math" w:hAnsi="Cambria Math"/>
          </w:rPr>
          <m:t>t=0</m:t>
        </m:r>
      </m:oMath>
      <w:r w:rsidRPr="00CE5DD5">
        <w:t>, portion two of the initial RAB is financed through debt with a term of two years, and the present value relationship holds for portion two over the two year period. The same logic applies to portions three to ten.</w:t>
      </w:r>
    </w:p>
    <w:p w:rsidR="00CE5DD5" w:rsidRPr="00CE5DD5" w:rsidRDefault="00CE5DD5" w:rsidP="00CE5DD5">
      <w:r w:rsidRPr="00CE5DD5">
        <w:t>What this shows, is that at the beginning of the transition into a trailing average approach, the present value of expected future cash flows should equal the RAB (all else equal).</w:t>
      </w:r>
    </w:p>
    <w:p w:rsidR="00CE5DD5" w:rsidRPr="00CE5DD5" w:rsidRDefault="00CE5DD5" w:rsidP="002656D9">
      <w:pPr>
        <w:pStyle w:val="HeadingItalic"/>
      </w:pPr>
      <w:bookmarkStart w:id="478" w:name="_Toc480460901"/>
      <w:r w:rsidRPr="00CE5DD5">
        <w:t>The staggered portfolio</w:t>
      </w:r>
      <w:bookmarkEnd w:id="478"/>
    </w:p>
    <w:p w:rsidR="00CE5DD5" w:rsidRPr="00CE5DD5" w:rsidRDefault="00CE5DD5" w:rsidP="00CE5DD5">
      <w:r w:rsidRPr="00CE5DD5">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sidRPr="00CE5DD5">
        <w:rPr>
          <w:rStyle w:val="FootnoteReference"/>
        </w:rPr>
        <w:footnoteReference w:id="1318"/>
      </w:r>
      <w:r w:rsidRPr="00CE5DD5">
        <w:t xml:space="preserve"> as </w:t>
      </w:r>
      <m:oMath>
        <m:r>
          <w:rPr>
            <w:rFonts w:ascii="Cambria Math" w:hAnsi="Cambria Math"/>
          </w:rPr>
          <m:t>p1</m:t>
        </m:r>
      </m:oMath>
      <w:r w:rsidRPr="00CE5DD5">
        <w:t xml:space="preserve"> to </w:t>
      </w:r>
      <m:oMath>
        <m:r>
          <w:rPr>
            <w:rFonts w:ascii="Cambria Math" w:hAnsi="Cambria Math"/>
          </w:rPr>
          <m:t>p10</m:t>
        </m:r>
      </m:oMath>
      <w:r w:rsidRPr="00CE5DD5">
        <w:t xml:space="preserve">. From </w:t>
      </w:r>
      <m:oMath>
        <m:r>
          <w:rPr>
            <w:rFonts w:ascii="Cambria Math" w:hAnsi="Cambria Math"/>
          </w:rPr>
          <m:t>t=1</m:t>
        </m:r>
      </m:oMath>
      <w:r w:rsidRPr="00CE5DD5">
        <w:t xml:space="preserve"> to </w:t>
      </w:r>
      <m:oMath>
        <m:r>
          <w:rPr>
            <w:rFonts w:ascii="Cambria Math" w:hAnsi="Cambria Math"/>
          </w:rPr>
          <m:t>t=10</m:t>
        </m:r>
      </m:oMath>
      <w:r w:rsidRPr="00CE5DD5">
        <w:t>, the present value relationships can be presented as:</w:t>
      </w:r>
    </w:p>
    <w:p w:rsidR="00CE5DD5" w:rsidRPr="00CE5DD5" w:rsidRDefault="00334917" w:rsidP="00CE5DD5">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319"/>
        </m:r>
      </m:oMath>
      <w:r w:rsidR="00CE5DD5" w:rsidRPr="00CE5DD5">
        <w:t xml:space="preserve"> </w:t>
      </w:r>
    </w:p>
    <w:p w:rsidR="00CE5DD5" w:rsidRPr="00CE5DD5" w:rsidRDefault="00334917" w:rsidP="00CE5DD5">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CE5DD5" w:rsidRPr="00CE5DD5">
        <w:t xml:space="preserve"> </w:t>
      </w:r>
    </w:p>
    <w:p w:rsidR="00CE5DD5" w:rsidRPr="00CE5DD5" w:rsidRDefault="00CE5DD5" w:rsidP="00CE5DD5">
      <w:r w:rsidRPr="00CE5DD5">
        <w:t>…</w:t>
      </w:r>
    </w:p>
    <w:p w:rsidR="00CE5DD5" w:rsidRPr="00CE5DD5" w:rsidRDefault="00334917" w:rsidP="00CE5DD5">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CE5DD5" w:rsidRPr="00CE5DD5">
        <w:rPr>
          <w:rStyle w:val="AERtextsize10"/>
        </w:rPr>
        <w:t xml:space="preserve"> </w:t>
      </w:r>
    </w:p>
    <w:p w:rsidR="00CE5DD5" w:rsidRPr="00CE5DD5" w:rsidRDefault="00CE5DD5" w:rsidP="00CE5DD5">
      <w:r w:rsidRPr="00CE5DD5">
        <w:t>where the expected net operating cash flow generated each year from portions 1 to 10 of the RAB is based on the portion of the allowed rate of return that reflects the prevailing market cost of capital at time 1 to 10 respectively;</w:t>
      </w:r>
      <w:r w:rsidRPr="00CE5DD5">
        <w:rPr>
          <w:rStyle w:val="FootnoteReference"/>
        </w:rPr>
        <w:footnoteReference w:id="1320"/>
      </w:r>
      <w:r w:rsidRPr="00CE5DD5">
        <w:t xml:space="preserve"> that is:</w:t>
      </w:r>
      <w:r w:rsidRPr="00CE5DD5">
        <w:rPr>
          <w:rStyle w:val="FootnoteReference"/>
        </w:rPr>
        <w:footnoteReference w:id="1321"/>
      </w:r>
      <w:r w:rsidRPr="00CE5DD5">
        <w:t xml:space="preserve">  </w:t>
      </w:r>
    </w:p>
    <w:p w:rsidR="00CE5DD5" w:rsidRPr="00CE5DD5" w:rsidRDefault="00CE5DD5" w:rsidP="00CE5DD5">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rsidRPr="00CE5DD5">
        <w:t xml:space="preserve"> </w:t>
      </w:r>
    </w:p>
    <w:p w:rsidR="00CE5DD5" w:rsidRPr="00CE5DD5" w:rsidRDefault="00CE5DD5" w:rsidP="00CE5DD5">
      <w:r w:rsidRPr="00CE5DD5">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demonstrated under 'On-the-day approach', the above equalities hold because, for each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t=1…10</m:t>
        </m:r>
      </m:oMath>
      <w:r w:rsidRPr="00CE5DD5">
        <w:t xml:space="preserve"> respectively, with the expectation that the allowed rate of return will be reset to prevailing market rates every ten years</w:t>
      </w:r>
    </w:p>
    <w:p w:rsidR="00CE5DD5" w:rsidRPr="00CE5DD5" w:rsidRDefault="00CE5DD5" w:rsidP="00CE5DD5">
      <w:pPr>
        <w:pStyle w:val="AERbulletlistfirststyle"/>
      </w:pPr>
      <w:r w:rsidRPr="00CE5DD5">
        <w:t>the present (or market) value of the closing RAB (portion) at the end of each 'reset period' equals its statutory value.</w:t>
      </w:r>
    </w:p>
    <w:p w:rsidR="00CE5DD5" w:rsidRPr="00CE5DD5" w:rsidRDefault="00CE5DD5" w:rsidP="00CE5DD5">
      <w:r w:rsidRPr="00CE5DD5">
        <w:t xml:space="preserve">In this way, the staggered portfolio can be seen as ten on-the-day approaches on ten portions of the RAB. Therefore, for each portion of the RAB, the present value of expected net operating cash flows over the ten year 'reset period' plus the closing RAB (portion) at </w:t>
      </w:r>
      <m:oMath>
        <m:r>
          <w:rPr>
            <w:rFonts w:ascii="Cambria Math" w:hAnsi="Cambria Math"/>
          </w:rPr>
          <m:t>t+10</m:t>
        </m:r>
      </m:oMath>
      <w:r w:rsidRPr="00CE5DD5">
        <w:t xml:space="preserve"> should equal the opening RAB (portion) at </w:t>
      </w:r>
      <m:oMath>
        <m:r>
          <w:rPr>
            <w:rFonts w:ascii="Cambria Math" w:hAnsi="Cambria Math"/>
          </w:rPr>
          <m:t>t</m:t>
        </m:r>
      </m:oMath>
      <w:r w:rsidRPr="00CE5DD5">
        <w:t>.</w:t>
      </w:r>
    </w:p>
    <w:p w:rsidR="00CE5DD5" w:rsidRPr="00CE5DD5" w:rsidRDefault="00CE5DD5" w:rsidP="00CE5DD5">
      <w:r w:rsidRPr="00CE5DD5">
        <w:t>We also note that while Partington and Satchell recommend the on-the-day approach, they acknowledge 'since the trailing average approach resets one tenth of the cost of debt to the market rate each year, the compensation is correctly set for one tenth of the debt each year'.</w:t>
      </w:r>
      <w:r w:rsidRPr="00CE5DD5">
        <w:rPr>
          <w:rStyle w:val="FootnoteReference"/>
        </w:rPr>
        <w:footnoteReference w:id="1322"/>
      </w:r>
    </w:p>
    <w:p w:rsidR="00CE5DD5" w:rsidRPr="00CE5DD5" w:rsidRDefault="00CE5DD5" w:rsidP="002656D9">
      <w:pPr>
        <w:pStyle w:val="HeadingItalic"/>
      </w:pPr>
      <w:bookmarkStart w:id="479" w:name="_Toc480460902"/>
      <w:r w:rsidRPr="00CE5DD5">
        <w:t>End of the term of the RAB</w:t>
      </w:r>
      <w:bookmarkEnd w:id="479"/>
    </w:p>
    <w:p w:rsidR="00CE5DD5" w:rsidRPr="00CE5DD5" w:rsidRDefault="00CE5DD5" w:rsidP="00CE5DD5">
      <w:r w:rsidRPr="00CE5DD5">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rsidRPr="00CE5DD5">
        <w:t>, the business could either:</w:t>
      </w:r>
      <w:r w:rsidRPr="00CE5DD5">
        <w:rPr>
          <w:rStyle w:val="FootnoteReference"/>
        </w:rPr>
        <w:footnoteReference w:id="1323"/>
      </w:r>
    </w:p>
    <w:p w:rsidR="00CE5DD5" w:rsidRPr="00CE5DD5" w:rsidRDefault="00CE5DD5" w:rsidP="00CE5DD5">
      <w:pPr>
        <w:pStyle w:val="AERbulletlistfirststyle"/>
        <w:rPr>
          <w:rStyle w:val="AERbody"/>
        </w:rPr>
      </w:pPr>
      <w:r w:rsidRPr="00CE5DD5">
        <w:rPr>
          <w:rStyle w:val="AERbody"/>
        </w:rPr>
        <w:t>Raise 9, 8 … 2, 1 year debt on a staggered basis. All its debt would thus expire in year T and it would repay the entire initial value of the RAB back to its investors.</w:t>
      </w:r>
    </w:p>
    <w:p w:rsidR="00CE5DD5" w:rsidRPr="00CE5DD5" w:rsidRDefault="00CE5DD5" w:rsidP="00CE5DD5">
      <w:pPr>
        <w:pStyle w:val="AERbulletlistfirststyle"/>
        <w:rPr>
          <w:rStyle w:val="AERbody"/>
        </w:rPr>
      </w:pPr>
      <w:r w:rsidRPr="00CE5DD5">
        <w:rPr>
          <w:rStyle w:val="AERbody"/>
        </w:rPr>
        <w:t xml:space="preserve">Allow its staggered portfolio to gradually expire, repaying 10 per cent of the initial value of the RAB to investors each year. </w:t>
      </w:r>
    </w:p>
    <w:p w:rsidR="00CE5DD5" w:rsidRPr="00CE5DD5" w:rsidRDefault="00CE5DD5" w:rsidP="00CE5DD5">
      <w:r w:rsidRPr="00CE5DD5">
        <w:t xml:space="preserve">This means our return on debt allowance would have to allow for a transition out of the staggered portfolio. </w:t>
      </w:r>
      <w:r w:rsidRPr="00CE5DD5">
        <w:rPr>
          <w:rStyle w:val="AERbody"/>
        </w:rPr>
        <w:t xml:space="preserve">Valuing the return on debt allowance using the first of the two options would be expected to provide a benchmark efficient entity </w:t>
      </w:r>
      <w:r w:rsidRPr="00CE5DD5">
        <w:t xml:space="preserve">a reasonable opportunity to recover at least efficient costs as this would allow the following equalities to hold (from </w:t>
      </w:r>
      <m:oMath>
        <m:r>
          <w:rPr>
            <w:rFonts w:ascii="Cambria Math" w:hAnsi="Cambria Math"/>
          </w:rPr>
          <m:t>t=T-10</m:t>
        </m:r>
      </m:oMath>
      <w:r w:rsidRPr="00CE5DD5">
        <w:t xml:space="preserve"> to </w:t>
      </w:r>
      <m:oMath>
        <m:r>
          <w:rPr>
            <w:rFonts w:ascii="Cambria Math" w:hAnsi="Cambria Math"/>
          </w:rPr>
          <m:t>t=T-1</m:t>
        </m:r>
      </m:oMath>
      <w:r w:rsidRPr="00CE5DD5">
        <w:t>):</w:t>
      </w:r>
    </w:p>
    <w:p w:rsidR="00CE5DD5" w:rsidRPr="00CE5DD5" w:rsidRDefault="00334917" w:rsidP="00CE5DD5">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324"/>
        </m:r>
      </m:oMath>
      <w:r w:rsidR="00CE5DD5" w:rsidRPr="00CE5DD5">
        <w:rPr>
          <w:rStyle w:val="AERtextsize10"/>
        </w:rPr>
        <w:t xml:space="preserve"> </w:t>
      </w:r>
    </w:p>
    <w:p w:rsidR="00CE5DD5" w:rsidRPr="00CE5DD5" w:rsidRDefault="00334917" w:rsidP="00CE5DD5">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m:t>
                    </m:r>
                    <m:r>
                      <w:rPr>
                        <w:rFonts w:ascii="Cambria Math" w:hAnsi="Cambria Math"/>
                      </w:rPr>
                      <m:t>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CE5DD5" w:rsidRPr="00CE5DD5">
        <w:t xml:space="preserve"> </w:t>
      </w:r>
    </w:p>
    <w:p w:rsidR="00CE5DD5" w:rsidRPr="00CE5DD5" w:rsidRDefault="00CE5DD5" w:rsidP="00CE5DD5">
      <w:r w:rsidRPr="00CE5DD5">
        <w:t>…</w:t>
      </w:r>
    </w:p>
    <w:p w:rsidR="00CE5DD5" w:rsidRPr="00CE5DD5" w:rsidRDefault="00334917" w:rsidP="00CE5DD5">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CE5DD5" w:rsidRPr="00CE5DD5">
        <w:t xml:space="preserve"> </w:t>
      </w:r>
    </w:p>
    <w:p w:rsidR="00CE5DD5" w:rsidRPr="00CE5DD5" w:rsidRDefault="00CE5DD5" w:rsidP="00CE5DD5">
      <w:r w:rsidRPr="00CE5DD5">
        <w:t>where the proportion of net operating cash flow generated from each portion of the RAB each year equals the interest payment on that tranche of debt; that is:</w:t>
      </w:r>
      <w:r w:rsidRPr="00CE5DD5">
        <w:rPr>
          <w:rStyle w:val="FootnoteReference"/>
        </w:rPr>
        <w:footnoteReference w:id="1325"/>
      </w:r>
      <w:r w:rsidRPr="00CE5DD5">
        <w:t xml:space="preserve">  </w:t>
      </w:r>
    </w:p>
    <w:p w:rsidR="00CE5DD5" w:rsidRPr="00CE5DD5" w:rsidRDefault="00CE5DD5" w:rsidP="00CE5DD5">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rsidRPr="00CE5DD5">
        <w:t xml:space="preserve">  </w:t>
      </w:r>
    </w:p>
    <w:p w:rsidR="00CE5DD5" w:rsidRPr="00CE5DD5" w:rsidRDefault="00CE5DD5" w:rsidP="00CE5DD5">
      <w:r w:rsidRPr="00CE5DD5">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shown in the above sections, the above equalities hold because, for each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t=T-10…T-1</m:t>
        </m:r>
      </m:oMath>
      <w:r w:rsidRPr="00CE5DD5">
        <w:t xml:space="preserve"> respectively</w:t>
      </w:r>
    </w:p>
    <w:p w:rsidR="00CE5DD5" w:rsidRPr="00CE5DD5" w:rsidRDefault="00CE5DD5" w:rsidP="00CE5DD5">
      <w:pPr>
        <w:pStyle w:val="AERbulletlistfirststyle"/>
      </w:pPr>
      <w:r w:rsidRPr="00CE5DD5">
        <w:t>the present (or market) value of the closing RAB (portion) at the end of each period equals its statutory value.</w:t>
      </w:r>
    </w:p>
    <w:p w:rsidR="00CE5DD5" w:rsidRPr="00CE5DD5" w:rsidRDefault="00CE5DD5" w:rsidP="00CE5DD5">
      <w:r w:rsidRPr="00CE5DD5">
        <w:t>Given these equalities hold, the service providers would expect to have a reasonable opportunity to recover at least efficient costs for each of its investment portions. Since this applies to all stages of the trailing average approach, the service providers would expect to have a reasonable opportunity to recover at least efficient costs over the entire term of the RAB.</w:t>
      </w:r>
    </w:p>
    <w:p w:rsidR="00CE5DD5" w:rsidRPr="00CE5DD5" w:rsidRDefault="00CE5DD5" w:rsidP="00CE5DD5">
      <w:r w:rsidRPr="00CE5DD5">
        <w:t>The sections above show that the key distinction between an on-the-day and a trailing average approach is:</w:t>
      </w:r>
    </w:p>
    <w:p w:rsidR="00CE5DD5" w:rsidRPr="00CE5DD5" w:rsidRDefault="00CE5DD5" w:rsidP="00CE5DD5">
      <w:pPr>
        <w:pStyle w:val="AERbulletlistfirststyle"/>
      </w:pPr>
      <w:r w:rsidRPr="00CE5DD5">
        <w:t xml:space="preserve">the on-the-day approach results in the entire allowed rate of return being reset to reflect prevailing market (or efficient) rates near the commencement of the regulatory period </w:t>
      </w:r>
    </w:p>
    <w:p w:rsidR="00CE5DD5" w:rsidRPr="00CE5DD5" w:rsidRDefault="00CE5DD5" w:rsidP="00CE5DD5">
      <w:pPr>
        <w:pStyle w:val="AERbulletlistfirststyle"/>
      </w:pPr>
      <w:r w:rsidRPr="00CE5DD5">
        <w:t xml:space="preserve">the trailing average approach results in one tenth of the allowed rate of return being reset to reflect prevailing market (or efficient) rates each year. </w:t>
      </w:r>
    </w:p>
    <w:p w:rsidR="00CE5DD5" w:rsidRPr="00CE5DD5" w:rsidRDefault="00CE5DD5" w:rsidP="00CE5DD5">
      <w:pPr>
        <w:rPr>
          <w:rStyle w:val="AERbody"/>
        </w:rPr>
      </w:pPr>
      <w:r w:rsidRPr="00CE5DD5">
        <w:rPr>
          <w:rStyle w:val="AERbody"/>
        </w:rPr>
        <w:t xml:space="preserve">However, both approaches to setting the allowed rate of return, if appropriately implemented (in a forward looking manner) should result in the same </w:t>
      </w:r>
      <w:r w:rsidRPr="00CE5DD5">
        <w:t>ex-ante compensation for a benchmark efficient entity's ex-ante efficient financing costs over the term of the RAB</w:t>
      </w:r>
      <w:r w:rsidRPr="00CE5DD5">
        <w:rPr>
          <w:rStyle w:val="AERbody"/>
        </w:rPr>
        <w:t>.</w:t>
      </w:r>
    </w:p>
    <w:p w:rsidR="00CE5DD5" w:rsidRPr="00CE5DD5" w:rsidRDefault="00CE5DD5" w:rsidP="00CE5DD5">
      <w:pPr>
        <w:pStyle w:val="Heading8"/>
      </w:pPr>
      <w:bookmarkStart w:id="480" w:name="_Ref447538284"/>
      <w:bookmarkStart w:id="481" w:name="_Toc451947843"/>
      <w:bookmarkStart w:id="482" w:name="_Toc481057500"/>
      <w:r w:rsidRPr="00CE5DD5">
        <w:t>A full transition satisfies the ARORO</w:t>
      </w:r>
      <w:bookmarkEnd w:id="480"/>
      <w:bookmarkEnd w:id="481"/>
      <w:bookmarkEnd w:id="482"/>
    </w:p>
    <w:p w:rsidR="00CE5DD5" w:rsidRPr="00CE5DD5" w:rsidRDefault="00CE5DD5" w:rsidP="00CE5DD5">
      <w:r w:rsidRPr="00CE5DD5">
        <w:t>If moving from the on-the-day to the trailing average approach, we consider a full transition is required to meet the ARORO and the objectives of the NEL/NGL. A full transition is revenue neutral in a present value sense.</w:t>
      </w:r>
      <w:r w:rsidRPr="00CE5DD5">
        <w:rPr>
          <w:rStyle w:val="FootnoteReference"/>
        </w:rPr>
        <w:footnoteReference w:id="1326"/>
      </w:r>
      <w:r w:rsidRPr="00CE5DD5">
        <w:t xml:space="preserve"> Assuming the on-the-day or trailing average approach would contribute to the achievement of the ARORO, a revenue neutral transition will also contribute to the achievement of the ARORO.</w:t>
      </w:r>
    </w:p>
    <w:p w:rsidR="00CE5DD5" w:rsidRPr="00CE5DD5" w:rsidRDefault="00CE5DD5" w:rsidP="00CE5DD5">
      <w:r w:rsidRPr="00CE5DD5">
        <w:t xml:space="preserve">As shown in section </w:t>
      </w:r>
      <w:r w:rsidRPr="00CE5DD5">
        <w:fldChar w:fldCharType="begin"/>
      </w:r>
      <w:r w:rsidRPr="00CE5DD5">
        <w:instrText xml:space="preserve"> REF _Ref444773920 \r \h </w:instrText>
      </w:r>
      <w:r w:rsidRPr="00CE5DD5">
        <w:fldChar w:fldCharType="separate"/>
      </w:r>
      <w:r w:rsidR="006B4A74">
        <w:t>H.3.3</w:t>
      </w:r>
      <w:r w:rsidRPr="00CE5DD5">
        <w:fldChar w:fldCharType="end"/>
      </w:r>
      <w:r w:rsidRPr="00CE5DD5">
        <w:t>, ex-ante efficient compensation can hold under either the on-the-day approach or the trailing average approach (if a transition is applied). As such, both approaches are capable of being approximately equivalent over the term of the RAB (which will be multiple regulatory periods).</w:t>
      </w:r>
    </w:p>
    <w:p w:rsidR="00CE5DD5" w:rsidRPr="00CE5DD5" w:rsidRDefault="00CE5DD5" w:rsidP="00CE5DD5">
      <w:r w:rsidRPr="00CE5DD5">
        <w:t>For this reason, setting the return on debt allowance under the assumption that the service provider</w:t>
      </w:r>
      <w:r>
        <w:t xml:space="preserve"> </w:t>
      </w:r>
      <w:r w:rsidRPr="00CE5DD5">
        <w:t>does not instantly have a trailing average debt portfolio, but rather has to develop, it should neither have a positive or negative affect on the service provider. Rather, we expect this would be NPV neutral. This is supported by Partington and Satchell. They stated that the transition to the trailing average may approximate the zero NPV investment criterion that would be achieved under the on day approach. However, using the full trailing average (i.e. with no transition), which by definition is entirely backwards looking, will not give rise to efficient investment outcomes meeting the zero NPV investment criterion.</w:t>
      </w:r>
      <w:r w:rsidRPr="00CE5DD5">
        <w:rPr>
          <w:rStyle w:val="FootnoteReference"/>
        </w:rPr>
        <w:footnoteReference w:id="1327"/>
      </w:r>
    </w:p>
    <w:p w:rsidR="00CE5DD5" w:rsidRPr="00CE5DD5" w:rsidRDefault="00CE5DD5" w:rsidP="00CE5DD5">
      <w:r w:rsidRPr="00CE5DD5">
        <w:t xml:space="preserve">We show in section </w:t>
      </w:r>
      <w:r w:rsidRPr="00CE5DD5">
        <w:fldChar w:fldCharType="begin"/>
      </w:r>
      <w:r w:rsidRPr="00CE5DD5">
        <w:instrText xml:space="preserve"> REF _Ref444773920 \r \h </w:instrText>
      </w:r>
      <w:r w:rsidRPr="00CE5DD5">
        <w:fldChar w:fldCharType="separate"/>
      </w:r>
      <w:r w:rsidR="006B4A74">
        <w:t>H.3.3</w:t>
      </w:r>
      <w:r w:rsidRPr="00CE5DD5">
        <w:fldChar w:fldCharType="end"/>
      </w:r>
      <w:r w:rsidRPr="00CE5DD5">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period, the present value of expected future cash flows will unlikely equal the RAB because the cash flows based on historical interest rates will either be higher or too low (relative to the prevailing cost of debt in the market). Given this, switching between regimes without a full transition would not satisfy the requirement to provide service providers with a reasonable opportunity to recover at least efficient costs over either the regulatory period or over the term of the RAB.</w:t>
      </w:r>
    </w:p>
    <w:p w:rsidR="00CE5DD5" w:rsidRPr="00CE5DD5" w:rsidRDefault="00CE5DD5" w:rsidP="00CE5DD5">
      <w:pPr>
        <w:pStyle w:val="Heading8"/>
      </w:pPr>
      <w:bookmarkStart w:id="483" w:name="_Ref447266532"/>
      <w:bookmarkStart w:id="484" w:name="_Toc451947844"/>
      <w:bookmarkStart w:id="485" w:name="_Toc481057501"/>
      <w:r w:rsidRPr="00CE5DD5">
        <w:t>An immediate (or hybrid) transition will not satisfy the ARORO</w:t>
      </w:r>
      <w:bookmarkEnd w:id="483"/>
      <w:bookmarkEnd w:id="484"/>
      <w:bookmarkEnd w:id="485"/>
    </w:p>
    <w:p w:rsidR="00CE5DD5" w:rsidRPr="00CE5DD5" w:rsidRDefault="00CE5DD5" w:rsidP="00CE5DD5">
      <w:r w:rsidRPr="00CE5DD5">
        <w:t xml:space="preserve">We consider a full transition to a trailing average will result in an ex-ante reasonable return and would contribute to the achievement of the ARORO (see section </w:t>
      </w:r>
      <w:r w:rsidRPr="00CE5DD5">
        <w:fldChar w:fldCharType="begin"/>
      </w:r>
      <w:r w:rsidRPr="00CE5DD5">
        <w:instrText xml:space="preserve"> REF _Ref447538284 \r \h </w:instrText>
      </w:r>
      <w:r w:rsidRPr="00CE5DD5">
        <w:fldChar w:fldCharType="separate"/>
      </w:r>
      <w:r w:rsidR="006B4A74">
        <w:t>H.4</w:t>
      </w:r>
      <w:r w:rsidRPr="00CE5DD5">
        <w:fldChar w:fldCharType="end"/>
      </w:r>
      <w:r w:rsidRPr="00CE5DD5">
        <w:t>). Conversely, we do not consider that an immediate (or hybrid) transition to a trailing average will result in an ex-ante reasonable return and would contribute to the achievement of the ARORO. This is because these approaches are not revenue neutral (in a present value sense). Rather, because these approaches would not be revenue-neutral (supported by Partington and Satchell</w:t>
      </w:r>
      <w:r w:rsidRPr="00CE5DD5">
        <w:rPr>
          <w:rStyle w:val="FootnoteReference"/>
        </w:rPr>
        <w:footnoteReference w:id="1328"/>
      </w:r>
      <w:r w:rsidRPr="00CE5DD5">
        <w:t>), these would result in ex-ante overcompensation if moving from a high to a low interest rate environment. Conversely, these would result in ex-ante undercompensation if moving from a low to a high interest rate environment. We show the difference between our approach a</w:t>
      </w:r>
      <w:r w:rsidR="0095716E">
        <w:t>nd AusNet Services’</w:t>
      </w:r>
      <w:r w:rsidRPr="00CE5DD5">
        <w:t xml:space="preserve"> proposed approach mathematically in section </w:t>
      </w:r>
      <w:r w:rsidRPr="00CE5DD5">
        <w:fldChar w:fldCharType="begin"/>
      </w:r>
      <w:r w:rsidRPr="00CE5DD5">
        <w:instrText xml:space="preserve"> REF _Ref447886159 \r \h </w:instrText>
      </w:r>
      <w:r w:rsidRPr="00CE5DD5">
        <w:fldChar w:fldCharType="separate"/>
      </w:r>
      <w:r w:rsidR="006B4A74">
        <w:t>H.5.1</w:t>
      </w:r>
      <w:r w:rsidRPr="00CE5DD5">
        <w:fldChar w:fldCharType="end"/>
      </w:r>
      <w:r w:rsidRPr="00CE5DD5">
        <w:t xml:space="preserve">. </w:t>
      </w:r>
    </w:p>
    <w:p w:rsidR="00CE5DD5" w:rsidRPr="00CE5DD5" w:rsidRDefault="00CE5DD5" w:rsidP="00CE5DD5">
      <w:r w:rsidRPr="00CE5DD5">
        <w:t>It is also worth noting that while stakeholders generally supported moving to a trailing average approach when we developed the Guideline, the trailing average cannot be considered in isolation of the transition set out in the Guideline.</w:t>
      </w:r>
      <w:r w:rsidRPr="00CE5DD5">
        <w:rPr>
          <w:rStyle w:val="FootnoteReference"/>
        </w:rPr>
        <w:footnoteReference w:id="1329"/>
      </w:r>
      <w:r w:rsidRPr="00CE5DD5">
        <w:t xml:space="preserve"> This was supported by the CCP3 in the context of the 2016 AER Vic DNSP decision in advising:</w:t>
      </w:r>
      <w:r w:rsidRPr="00CE5DD5">
        <w:rPr>
          <w:rStyle w:val="FootnoteReference"/>
        </w:rPr>
        <w:footnoteReference w:id="1330"/>
      </w:r>
    </w:p>
    <w:p w:rsidR="00CE5DD5" w:rsidRPr="00CE5DD5" w:rsidRDefault="00CE5DD5" w:rsidP="00CE5DD5">
      <w:pPr>
        <w:pStyle w:val="AERquote"/>
      </w:pPr>
      <w:r w:rsidRPr="00CE5DD5">
        <w:t>consumer acceptance for the 10</w:t>
      </w:r>
      <w:r w:rsidRPr="00CE5DD5">
        <w:rPr>
          <w:rFonts w:ascii="Cambria Math" w:hAnsi="Cambria Math" w:cs="Cambria Math"/>
        </w:rPr>
        <w:t>‐</w:t>
      </w:r>
      <w:r w:rsidRPr="00CE5DD5">
        <w:t>year trailing average cost of debt (rather than continuation of the “on</w:t>
      </w:r>
      <w:r w:rsidRPr="00CE5DD5">
        <w:rPr>
          <w:rFonts w:ascii="Cambria Math" w:hAnsi="Cambria Math" w:cs="Cambria Math"/>
        </w:rPr>
        <w:t>‐</w:t>
      </w:r>
      <w:r w:rsidRPr="00CE5DD5">
        <w:t>the</w:t>
      </w:r>
      <w:r w:rsidRPr="00CE5DD5">
        <w:rPr>
          <w:rFonts w:ascii="Cambria Math" w:hAnsi="Cambria Math" w:cs="Cambria Math"/>
        </w:rPr>
        <w:t>‐</w:t>
      </w:r>
      <w:r w:rsidRPr="00CE5DD5">
        <w:t>day” or a 5</w:t>
      </w:r>
      <w:r w:rsidRPr="00CE5DD5">
        <w:rPr>
          <w:rFonts w:ascii="Cambria Math" w:hAnsi="Cambria Math" w:cs="Cambria Math"/>
        </w:rPr>
        <w:t>‐</w:t>
      </w:r>
      <w:r w:rsidRPr="00CE5DD5">
        <w:t>year trailing average aligned with the regulatory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CE5DD5">
        <w:rPr>
          <w:rFonts w:ascii="Cambria Math" w:hAnsi="Cambria Math" w:cs="Cambria Math"/>
        </w:rPr>
        <w:t>‐</w:t>
      </w:r>
      <w:r w:rsidRPr="00CE5DD5">
        <w:t>year rolling average approach.</w:t>
      </w:r>
    </w:p>
    <w:p w:rsidR="00CE5DD5" w:rsidRPr="00CE5DD5" w:rsidRDefault="00CE5DD5" w:rsidP="00CE5DD5">
      <w:r w:rsidRPr="00CE5DD5">
        <w:t>For this reason, the CCP3 also advised that, 'the significant impact on consumers of the DNSPs’ proposed departure from the RoR Guideline risks a collapse in consumer confidence in the regulatory process'.</w:t>
      </w:r>
      <w:r w:rsidRPr="00CE5DD5">
        <w:rPr>
          <w:rStyle w:val="FootnoteReference"/>
        </w:rPr>
        <w:footnoteReference w:id="1331"/>
      </w:r>
      <w:r w:rsidRPr="00CE5DD5">
        <w:t xml:space="preserve"> </w:t>
      </w:r>
    </w:p>
    <w:p w:rsidR="00CE5DD5" w:rsidRPr="00CE5DD5" w:rsidRDefault="00CE5DD5" w:rsidP="00CE5DD5">
      <w:r w:rsidRPr="00CE5DD5">
        <w:t>Moreover, Partington and Satchell advise that, given a move to the trailing average approach, our full transition is preferable to an immediate (or hybrid) transition.</w:t>
      </w:r>
      <w:r w:rsidRPr="00CE5DD5">
        <w:rPr>
          <w:rStyle w:val="FootnoteReference"/>
        </w:rPr>
        <w:footnoteReference w:id="1332"/>
      </w:r>
      <w:r w:rsidRPr="00CE5DD5">
        <w:t xml:space="preserve"> They also state that:</w:t>
      </w:r>
      <w:r w:rsidRPr="00CE5DD5">
        <w:rPr>
          <w:rStyle w:val="FootnoteReference"/>
        </w:rPr>
        <w:footnoteReference w:id="1333"/>
      </w:r>
    </w:p>
    <w:p w:rsidR="00CE5DD5" w:rsidRPr="00CE5DD5" w:rsidRDefault="00CE5DD5" w:rsidP="00CE5DD5">
      <w:pPr>
        <w:pStyle w:val="AERquote"/>
      </w:pPr>
      <w:r w:rsidRPr="00CE5DD5">
        <w:t>…it is appropriate in the present case, of significant divergence between the trailing average and the current cost of debt, that a transition should be made to the trailing average rather than immediately moving to full implementation.</w:t>
      </w:r>
    </w:p>
    <w:p w:rsidR="00CE5DD5" w:rsidRPr="00CE5DD5" w:rsidRDefault="00CE5DD5" w:rsidP="00CE5DD5">
      <w:r w:rsidRPr="00CE5DD5">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rsidRPr="00CE5DD5">
        <w:fldChar w:fldCharType="begin"/>
      </w:r>
      <w:r w:rsidRPr="00CE5DD5">
        <w:instrText xml:space="preserve"> REF _Ref448326736 \r \h </w:instrText>
      </w:r>
      <w:r w:rsidRPr="00CE5DD5">
        <w:fldChar w:fldCharType="separate"/>
      </w:r>
      <w:r w:rsidR="006B4A74">
        <w:t>H.3.3</w:t>
      </w:r>
      <w:r w:rsidRPr="00CE5DD5">
        <w:fldChar w:fldCharType="end"/>
      </w:r>
      <w:r w:rsidRPr="00CE5DD5">
        <w:t xml:space="preserve">, the on-the-day approach provides ex-ante efficient compensation for a benchmark efficient entity's efficient cost of financing over each regulatory period and over the term of the RAB. </w:t>
      </w:r>
    </w:p>
    <w:p w:rsidR="00CE5DD5" w:rsidRPr="00CE5DD5" w:rsidRDefault="00CE5DD5" w:rsidP="00CE5DD5">
      <w:pPr>
        <w:pStyle w:val="Heading9"/>
      </w:pPr>
      <w:bookmarkStart w:id="486" w:name="_Ref447886159"/>
      <w:bookmarkStart w:id="487" w:name="_Ref451538254"/>
      <w:bookmarkStart w:id="488" w:name="_Toc451947845"/>
      <w:bookmarkStart w:id="489" w:name="_Toc480460905"/>
      <w:r w:rsidRPr="00CE5DD5">
        <w:t>Mathematical explanation</w:t>
      </w:r>
      <w:bookmarkEnd w:id="486"/>
      <w:bookmarkEnd w:id="487"/>
      <w:bookmarkEnd w:id="488"/>
      <w:bookmarkEnd w:id="489"/>
    </w:p>
    <w:p w:rsidR="00CE5DD5" w:rsidRPr="00CE5DD5" w:rsidRDefault="00CE5DD5" w:rsidP="00CE5DD5">
      <w:r w:rsidRPr="00CE5DD5">
        <w:t>This section demonstrates the difference (in present value terms) between our full transition and AusNet Services’</w:t>
      </w:r>
      <w:r w:rsidRPr="00CE5DD5">
        <w:rPr>
          <w:rStyle w:val="FootnoteReference"/>
        </w:rPr>
        <w:footnoteReference w:id="1334"/>
      </w:r>
      <w:r w:rsidRPr="00CE5DD5">
        <w:t xml:space="preserve"> immediate transition to the trailing average approach. We use the following notation:</w:t>
      </w:r>
    </w:p>
    <w:p w:rsidR="00CE5DD5" w:rsidRPr="00CE5DD5" w:rsidRDefault="00334917" w:rsidP="00CE5DD5">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CE5DD5" w:rsidRPr="00CE5DD5">
        <w:t xml:space="preserve"> denotes present value, at year t </w:t>
      </w:r>
    </w:p>
    <w:p w:rsidR="00CE5DD5" w:rsidRPr="00CE5DD5" w:rsidRDefault="00CE5DD5" w:rsidP="00CE5DD5">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CE5DD5">
        <w:t xml:space="preserve"> denotes expected value</w:t>
      </w:r>
    </w:p>
    <w:p w:rsidR="00CE5DD5" w:rsidRPr="00CE5DD5" w:rsidRDefault="00334917" w:rsidP="00CE5DD5">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CE5DD5" w:rsidRPr="00CE5DD5">
        <w:t xml:space="preserve"> is the closing RAB at the end of year </w:t>
      </w:r>
      <m:oMath>
        <m:r>
          <w:rPr>
            <w:rFonts w:ascii="Cambria Math" w:hAnsi="Cambria Math"/>
          </w:rPr>
          <m:t>t</m:t>
        </m:r>
      </m:oMath>
      <w:r w:rsidR="00CE5DD5" w:rsidRPr="00CE5DD5">
        <w:t xml:space="preserve"> (which equals the opening RAB at the beginning of year </w:t>
      </w:r>
      <m:oMath>
        <m:r>
          <w:rPr>
            <w:rFonts w:ascii="Cambria Math" w:hAnsi="Cambria Math"/>
          </w:rPr>
          <m:t>t+1</m:t>
        </m:r>
      </m:oMath>
      <w:r w:rsidR="00CE5DD5" w:rsidRPr="00CE5DD5">
        <w:t>).</w:t>
      </w:r>
    </w:p>
    <w:p w:rsidR="00CE5DD5" w:rsidRPr="00CE5DD5" w:rsidRDefault="00CE5DD5" w:rsidP="00CE5DD5">
      <w:pPr>
        <w:pStyle w:val="AERbulletlistfirststyle"/>
      </w:pPr>
      <w:r w:rsidRPr="00CE5DD5">
        <w:t>0.6 is the proportion of the RAB that is debt financed</w:t>
      </w:r>
    </w:p>
    <w:p w:rsidR="00CE5DD5" w:rsidRPr="00CE5DD5" w:rsidRDefault="00334917" w:rsidP="00CE5DD5">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CE5DD5" w:rsidRPr="00CE5DD5">
        <w:t xml:space="preserve"> are the estimates of the return on debt used to calculate the return on capital cash flows</w:t>
      </w:r>
    </w:p>
    <w:p w:rsidR="00CE5DD5" w:rsidRPr="00CE5DD5" w:rsidRDefault="00334917"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CE5DD5" w:rsidRPr="00CE5DD5">
        <w:t xml:space="preserve"> is the (spot) discount rate at year </w:t>
      </w:r>
      <m:oMath>
        <m:r>
          <w:rPr>
            <w:rFonts w:ascii="Cambria Math" w:hAnsi="Cambria Math"/>
          </w:rPr>
          <m:t>t</m:t>
        </m:r>
      </m:oMath>
      <w:r w:rsidR="00CE5DD5" w:rsidRPr="00CE5DD5">
        <w:t xml:space="preserve"> for a term of </w:t>
      </w:r>
      <m:oMath>
        <m:r>
          <w:rPr>
            <w:rFonts w:ascii="Cambria Math" w:hAnsi="Cambria Math"/>
          </w:rPr>
          <m:t>j</m:t>
        </m:r>
      </m:oMath>
      <w:r w:rsidR="00CE5DD5" w:rsidRPr="00CE5DD5">
        <w:t xml:space="preserve"> years.</w:t>
      </w:r>
    </w:p>
    <w:p w:rsidR="00CE5DD5" w:rsidRPr="00CE5DD5" w:rsidRDefault="00CE5DD5" w:rsidP="00CE5DD5">
      <w:r w:rsidRPr="00CE5DD5">
        <w:t xml:space="preserve">The present value of our proposed return on debt allowance over the next ten years (under a full transition) at time </w:t>
      </w:r>
      <m:oMath>
        <m:r>
          <w:rPr>
            <w:rFonts w:ascii="Cambria Math" w:hAnsi="Cambria Math"/>
          </w:rPr>
          <m:t>t=0</m:t>
        </m:r>
      </m:oMath>
      <w:r w:rsidRPr="00CE5DD5">
        <w:t xml:space="preserve"> is as follows:</w:t>
      </w:r>
      <w:r w:rsidRPr="00CE5DD5">
        <w:rPr>
          <w:rStyle w:val="FootnoteReference"/>
        </w:rPr>
        <w:footnoteReference w:id="1335"/>
      </w:r>
    </w:p>
    <w:p w:rsidR="00CE5DD5" w:rsidRPr="00CE5DD5" w:rsidRDefault="00334917" w:rsidP="00CE5DD5">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r w:rsidRPr="00CE5DD5">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CE5DD5">
        <w:t xml:space="preserve"> </w:t>
      </w:r>
      <w:r w:rsidRPr="00CE5DD5">
        <w:br/>
        <w:t xml:space="preserve">The present value of the service providers' proposed return on debt allowance over the next ten years (under an immediate transition) at time </w:t>
      </w:r>
      <m:oMath>
        <m:r>
          <w:rPr>
            <w:rFonts w:ascii="Cambria Math" w:hAnsi="Cambria Math"/>
          </w:rPr>
          <m:t>t=0</m:t>
        </m:r>
      </m:oMath>
      <w:r w:rsidRPr="00CE5DD5">
        <w:t xml:space="preserve">  is as follows:</w:t>
      </w:r>
    </w:p>
    <w:p w:rsidR="00CE5DD5" w:rsidRPr="00CE5DD5" w:rsidRDefault="00334917" w:rsidP="00CE5DD5">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p>
    <w:p w:rsidR="00CE5DD5" w:rsidRPr="00CE5DD5" w:rsidRDefault="00CE5DD5" w:rsidP="00CE5DD5">
      <m:oMath>
        <m:r>
          <w:rPr>
            <w:rFonts w:ascii="Cambria Math" w:hAnsi="Cambria Math"/>
          </w:rPr>
          <m:t>+</m:t>
        </m:r>
        <m:r>
          <m:rPr>
            <m:sty m:val="p"/>
          </m:rPr>
          <w:rPr>
            <w:rFonts w:ascii="Cambria Math" w:hAnsi="Cambria Math"/>
          </w:rPr>
          <m:t>…</m:t>
        </m:r>
      </m:oMath>
      <w:r w:rsidRPr="00CE5DD5">
        <w:t xml:space="preserve"> </w:t>
      </w:r>
      <w:r w:rsidRPr="00CE5DD5">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CE5DD5">
        <w:t xml:space="preserve"> </w:t>
      </w:r>
    </w:p>
    <w:p w:rsidR="00CE5DD5" w:rsidRPr="00CE5DD5" w:rsidRDefault="00CE5DD5" w:rsidP="00CE5DD5">
      <w:r w:rsidRPr="00CE5DD5">
        <w:t>Subtracting the present value of our return on debt allowance over the next ten years from the present value of the service providers' proposed return on debt allowance over the next ten years gives the following difference in present value terms:</w:t>
      </w:r>
    </w:p>
    <w:p w:rsidR="00CE5DD5" w:rsidRPr="00CE5DD5" w:rsidRDefault="00334917" w:rsidP="00CE5DD5">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r w:rsidRPr="00CE5DD5">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CE5DD5">
        <w:t xml:space="preserve"> </w:t>
      </w:r>
    </w:p>
    <w:p w:rsidR="00CE5DD5" w:rsidRPr="00CE5DD5" w:rsidRDefault="00CE5DD5" w:rsidP="00CE5DD5">
      <m:oMath>
        <m:r>
          <w:rPr>
            <w:rFonts w:ascii="Cambria Math" w:hAnsi="Cambria Math"/>
          </w:rPr>
          <m:t>+0</m:t>
        </m:r>
      </m:oMath>
      <w:r w:rsidRPr="00CE5DD5">
        <w:t xml:space="preserve"> </w:t>
      </w:r>
    </w:p>
    <w:p w:rsidR="00CE5DD5" w:rsidRPr="00CE5DD5" w:rsidRDefault="00CE5DD5" w:rsidP="00CE5DD5">
      <w:r w:rsidRPr="00CE5DD5">
        <w:t>We can conclude several things from the above calculation in relation to the expected return on debt allowance:</w:t>
      </w:r>
    </w:p>
    <w:p w:rsidR="00CE5DD5" w:rsidRPr="00CE5DD5" w:rsidRDefault="00CE5DD5" w:rsidP="00CE5DD5">
      <w:pPr>
        <w:pStyle w:val="AERbulletlistfirststyle"/>
      </w:pPr>
      <w:r w:rsidRPr="00CE5DD5">
        <w:t>Assuming you use the same data series, term and credit rating, the difference between our proposed return on debt allowance and AusNet Services’ proposed return on debt allowance (prior to changing its position via correspondence on 9 December 2016 and 20 December 2016) is a fixed amount in each of the first nine years.</w:t>
      </w:r>
      <w:r w:rsidRPr="00CE5DD5">
        <w:rPr>
          <w:rStyle w:val="FootnoteReference"/>
        </w:rPr>
        <w:footnoteReference w:id="1336"/>
      </w:r>
    </w:p>
    <w:p w:rsidR="00CE5DD5" w:rsidRPr="00CE5DD5" w:rsidRDefault="00CE5DD5" w:rsidP="00CE5DD5">
      <w:pPr>
        <w:pStyle w:val="AERbulletlistfirststyle"/>
      </w:pPr>
      <w:r w:rsidRPr="00CE5DD5">
        <w:t>Assuming you use the same data series, term and credit rating, there is no difference between our proposed return on debt allowance and AusNet Services’ proposed return on debt allowance from year ten onwards.</w:t>
      </w:r>
    </w:p>
    <w:p w:rsidR="00CE5DD5" w:rsidRPr="00CE5DD5" w:rsidRDefault="00CE5DD5" w:rsidP="00CE5DD5">
      <w:pPr>
        <w:pStyle w:val="AERbulletlistfirststyle"/>
      </w:pPr>
      <w:r w:rsidRPr="00CE5DD5">
        <w:t>The present value of the difference in our proposed return on debt allowance and AusNet Services’ proposed return on debt allowance (prior to changing its position via correspondence on 9 December 2016 and 20 December 2016) for each of the next nine years can be calculated today.</w:t>
      </w:r>
      <w:r w:rsidRPr="00CE5DD5">
        <w:rPr>
          <w:rStyle w:val="FootnoteReference"/>
        </w:rPr>
        <w:footnoteReference w:id="1337"/>
      </w:r>
      <w:r w:rsidRPr="00CE5DD5">
        <w:t xml:space="preserve"> This total present value is a sum of the difference in values for each of the next nine years (as shown above).</w:t>
      </w:r>
    </w:p>
    <w:p w:rsidR="00CE5DD5" w:rsidRPr="00CE5DD5" w:rsidRDefault="00CE5DD5" w:rsidP="00CE5DD5">
      <w:pPr>
        <w:pStyle w:val="AERbulletlistfirststyle"/>
      </w:pPr>
      <w:r w:rsidRPr="00CE5DD5">
        <w:t>Given that current interest rates are well below average historical rates over the last nine years, AusNet Services’ proposed return on debt allowance (prior to changing its position via correspondence on 9 December 2016 and 20 December 2016) 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CE5DD5" w:rsidRPr="00CE5DD5" w:rsidRDefault="00CE5DD5" w:rsidP="00CE5DD5">
      <w:r w:rsidRPr="00CE5DD5">
        <w:t>We note that although AusNet Services proposed an immediate transition, it also proposed a hybrid transition as a second preference in its revised proposal (prior to changing its position via correspondence on 9 December 2016 and 20 December 2016). Under the proposed alternative approach the above propositions also hold (that is, the difference in each year will be a fixed amount that can be quantified and valued), although the difference in each of the next nine years between our approach and AusNet Services’ alternate previous proposed approach will differ depending on the approach proposed.</w:t>
      </w:r>
    </w:p>
    <w:p w:rsidR="00CE5DD5" w:rsidRPr="00CE5DD5" w:rsidRDefault="00CE5DD5" w:rsidP="00CE5DD5">
      <w:r w:rsidRPr="00CE5DD5">
        <w:t>In relation to the risk associated with the alternative return on debt allowances, 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sidRPr="00CE5DD5">
        <w:rPr>
          <w:rStyle w:val="FootnoteReference"/>
        </w:rPr>
        <w:footnoteReference w:id="1338"/>
      </w:r>
      <w:r w:rsidRPr="00CE5DD5">
        <w:t xml:space="preserve"> </w:t>
      </w:r>
    </w:p>
    <w:p w:rsidR="00CE5DD5" w:rsidRPr="00CE5DD5" w:rsidRDefault="00CE5DD5" w:rsidP="00CE5DD5">
      <w:r w:rsidRPr="00CE5DD5">
        <w:t xml:space="preserve">This above analysis implies the key difference between our proposed return on debt allowance and AusNet Services’ (less than full transition) </w:t>
      </w:r>
      <w:r w:rsidR="00050028">
        <w:t xml:space="preserve">alternative </w:t>
      </w:r>
      <w:r w:rsidRPr="00CE5DD5">
        <w:t xml:space="preserve">approaches </w:t>
      </w:r>
      <w:r w:rsidR="00050028">
        <w:t>(</w:t>
      </w:r>
      <w:r w:rsidR="00050028" w:rsidRPr="00CE5DD5">
        <w:t>prior to changing its position via correspondence on 9 December 2016 and 20 December 2016</w:t>
      </w:r>
      <w:r w:rsidR="00050028">
        <w:t xml:space="preserve">) </w:t>
      </w:r>
      <w:r w:rsidRPr="00CE5DD5">
        <w:t>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sidRPr="00CE5DD5">
        <w:rPr>
          <w:rStyle w:val="FootnoteReference"/>
        </w:rPr>
        <w:footnoteReference w:id="1339"/>
      </w:r>
    </w:p>
    <w:p w:rsidR="00CE5DD5" w:rsidRPr="00CE5DD5" w:rsidRDefault="00CE5DD5" w:rsidP="00CE5DD5">
      <w:pPr>
        <w:pStyle w:val="AERquote"/>
      </w:pPr>
      <w:r w:rsidRPr="00CE5DD5">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r w:rsidRPr="00CE5DD5">
        <w:rPr>
          <w:rFonts w:eastAsiaTheme="minorHAnsi"/>
        </w:rPr>
        <w:t xml:space="preserve"> </w:t>
      </w:r>
    </w:p>
    <w:p w:rsidR="00CE5DD5" w:rsidRPr="00CE5DD5" w:rsidRDefault="00CE5DD5" w:rsidP="00CE5DD5">
      <w:r w:rsidRPr="00CE5DD5">
        <w:t>In their new report to the AER, they further state:</w:t>
      </w:r>
      <w:r w:rsidRPr="00CE5DD5">
        <w:rPr>
          <w:rStyle w:val="FootnoteReference"/>
        </w:rPr>
        <w:footnoteReference w:id="1340"/>
      </w:r>
    </w:p>
    <w:p w:rsidR="00CE5DD5" w:rsidRPr="00CE5DD5" w:rsidRDefault="00CE5DD5" w:rsidP="00CE5DD5">
      <w:pPr>
        <w:pStyle w:val="AERquote"/>
      </w:pPr>
      <w:r w:rsidRPr="00CE5DD5">
        <w:t>As far as possible regulatory action should not damage stakeholders’ confidence in the regulatory process. When there are substantial and unintended wealth transfers that arise from regulatory change this may damage confidence in the regulator by those who suffer the wealth loss and increase the perception of regulatory risk.</w:t>
      </w:r>
    </w:p>
    <w:p w:rsidR="00CE5DD5" w:rsidRPr="00CE5DD5" w:rsidRDefault="00CE5DD5" w:rsidP="00CE5DD5">
      <w:pPr>
        <w:pStyle w:val="Heading9"/>
      </w:pPr>
      <w:bookmarkStart w:id="490" w:name="_Ref447886226"/>
      <w:bookmarkStart w:id="491" w:name="_Toc451947846"/>
      <w:bookmarkStart w:id="492" w:name="_Toc480460906"/>
      <w:r w:rsidRPr="00CE5DD5">
        <w:t>Revised regulatory proposal of AusNet Services</w:t>
      </w:r>
      <w:bookmarkEnd w:id="490"/>
      <w:bookmarkEnd w:id="491"/>
      <w:bookmarkEnd w:id="492"/>
      <w:r w:rsidRPr="00CE5DD5">
        <w:t xml:space="preserve"> </w:t>
      </w:r>
    </w:p>
    <w:p w:rsidR="00050028" w:rsidRPr="00CE5DD5" w:rsidRDefault="00CE5DD5" w:rsidP="00173350">
      <w:r w:rsidRPr="00CE5DD5">
        <w:t>Initially, AusNet accepted the 10 year trailing average approach set out in the AER’s Guideline (full transition).</w:t>
      </w:r>
      <w:r w:rsidRPr="00CE5DD5">
        <w:rPr>
          <w:rStyle w:val="FootnoteReference"/>
        </w:rPr>
        <w:footnoteReference w:id="1341"/>
      </w:r>
      <w:r w:rsidRPr="00CE5DD5">
        <w:t xml:space="preserve"> It</w:t>
      </w:r>
      <w:r w:rsidR="00AB5AB7">
        <w:t xml:space="preserve"> substantially</w:t>
      </w:r>
      <w:r w:rsidRPr="00CE5DD5">
        <w:t xml:space="preserve"> changed its position to propose an ‘immediate transition’ and 'hybrid transition' as its second preference in its revised proposal</w:t>
      </w:r>
      <w:r w:rsidR="00050028">
        <w:t>.</w:t>
      </w:r>
      <w:r w:rsidRPr="00CE5DD5">
        <w:rPr>
          <w:rStyle w:val="FootnoteReference"/>
        </w:rPr>
        <w:footnoteReference w:id="1342"/>
      </w:r>
      <w:r w:rsidR="00050028">
        <w:t xml:space="preserve"> The hybrid transition </w:t>
      </w:r>
      <w:r w:rsidRPr="00CE5DD5">
        <w:t xml:space="preserve">combined a 10 year transition of the base rate into a trailing average approach with a backwards looking trailing average DRP. </w:t>
      </w:r>
    </w:p>
    <w:p w:rsidR="00CE5DD5" w:rsidRPr="00CE5DD5" w:rsidRDefault="00CE5DD5" w:rsidP="00173350">
      <w:r w:rsidRPr="00CE5DD5">
        <w:t xml:space="preserve">While we have fully considered and responded to its revised proposal in making this decision, we note AusNet Services is no longer maintaining </w:t>
      </w:r>
      <w:r w:rsidR="00050028">
        <w:t xml:space="preserve">either </w:t>
      </w:r>
      <w:r w:rsidRPr="00CE5DD5">
        <w:t>its proposal for an immediate trailing average</w:t>
      </w:r>
      <w:r w:rsidR="00050028">
        <w:t xml:space="preserve"> or its second preference proposal for a hybrid transition</w:t>
      </w:r>
      <w:r w:rsidRPr="00CE5DD5">
        <w:t xml:space="preserve">. Its revised position (to no longer request an immediate backward looking trailing average) appears consistent with its decision to not appeal our May 2016 decision to apply a full transition when calculating the cost of debt for its Victorian </w:t>
      </w:r>
      <w:r w:rsidR="002C6917">
        <w:t>electricity distribution network</w:t>
      </w:r>
      <w:r w:rsidRPr="00CE5DD5">
        <w:t>.</w:t>
      </w:r>
      <w:r w:rsidRPr="00CE5DD5">
        <w:rPr>
          <w:rStyle w:val="FootnoteReference"/>
        </w:rPr>
        <w:t xml:space="preserve"> </w:t>
      </w:r>
      <w:r w:rsidRPr="00CE5DD5">
        <w:rPr>
          <w:rStyle w:val="FootnoteReference"/>
        </w:rPr>
        <w:footnoteReference w:id="1343"/>
      </w:r>
      <w:r w:rsidRPr="00CE5DD5">
        <w:t xml:space="preserve">   </w:t>
      </w:r>
    </w:p>
    <w:p w:rsidR="00CE5DD5" w:rsidRPr="00CE5DD5" w:rsidRDefault="00CE5DD5" w:rsidP="00CE5DD5">
      <w:r w:rsidRPr="00CE5DD5">
        <w:t xml:space="preserve">In response to the Victorian </w:t>
      </w:r>
      <w:r w:rsidR="002C6917">
        <w:t xml:space="preserve">Distribution Network Service Providers' (DNSPs) </w:t>
      </w:r>
      <w:r w:rsidRPr="00CE5DD5">
        <w:t xml:space="preserve"> revised proposal</w:t>
      </w:r>
      <w:r w:rsidR="002C6917">
        <w:t>s</w:t>
      </w:r>
      <w:r w:rsidRPr="00CE5DD5">
        <w:t xml:space="preserve"> on this topic (that also changed their transition approach in their initial proposals to an immediate backward looking trailing average), CCP3 submitted that following this new position, these service providers were proposing a higher effective DRP than what they would have incurred during the Global Financial Crisis.</w:t>
      </w:r>
      <w:r w:rsidRPr="00CE5DD5">
        <w:rPr>
          <w:rStyle w:val="FootnoteReference"/>
        </w:rPr>
        <w:footnoteReference w:id="1344"/>
      </w:r>
      <w:r w:rsidRPr="00CE5DD5">
        <w:t xml:space="preserve"> It subsequently advised:</w:t>
      </w:r>
      <w:r w:rsidRPr="00CE5DD5">
        <w:rPr>
          <w:rStyle w:val="FootnoteReference"/>
        </w:rPr>
        <w:footnoteReference w:id="1345"/>
      </w:r>
    </w:p>
    <w:p w:rsidR="00CE5DD5" w:rsidRPr="00CE5DD5" w:rsidRDefault="00CE5DD5" w:rsidP="00CE5DD5">
      <w:pPr>
        <w:pStyle w:val="AERquote"/>
      </w:pPr>
      <w:r w:rsidRPr="00CE5DD5">
        <w:t>CCP3 does not consider that the DNSPs’ revised RoD proposals for 2016</w:t>
      </w:r>
      <w:r w:rsidRPr="00CE5DD5">
        <w:rPr>
          <w:rFonts w:ascii="Cambria Math" w:hAnsi="Cambria Math" w:cs="Cambria Math"/>
        </w:rPr>
        <w:t>‐</w:t>
      </w:r>
      <w:r w:rsidRPr="00CE5DD5">
        <w:t>20 reflect a reasonable expectation of their current overall efficient debt portfolio costs; nor do the RoD proposals reflect expected future debt costs.</w:t>
      </w:r>
    </w:p>
    <w:p w:rsidR="00CE5DD5" w:rsidRPr="00CE5DD5" w:rsidRDefault="00CE5DD5" w:rsidP="002656D9">
      <w:pPr>
        <w:pStyle w:val="HeadingBoldItalic"/>
      </w:pPr>
      <w:bookmarkStart w:id="493" w:name="_Toc480460907"/>
      <w:r w:rsidRPr="00CE5DD5">
        <w:t>Proposals for immediately adopting a trailing average</w:t>
      </w:r>
      <w:bookmarkEnd w:id="493"/>
    </w:p>
    <w:p w:rsidR="00CE5DD5" w:rsidRPr="00CE5DD5" w:rsidRDefault="002C6917" w:rsidP="00CE5DD5">
      <w:r>
        <w:t xml:space="preserve">AusNet </w:t>
      </w:r>
      <w:r w:rsidRPr="00CE5DD5">
        <w:t>Service</w:t>
      </w:r>
      <w:r>
        <w:t>s in relation to its transmission determination, and ActewAGL Gas and the Victorian DNSPs in relation to their distribution processes completed last year</w:t>
      </w:r>
      <w:r w:rsidR="002813FD">
        <w:t xml:space="preserve"> </w:t>
      </w:r>
      <w:r w:rsidR="00CE5DD5" w:rsidRPr="00CE5DD5">
        <w:t xml:space="preserve">submitted a range of (often interrelated) reasons for supporting the change in preference seen in their revised proposals towards immediately transitioning to a trailing average. We do not agree with the logic driving </w:t>
      </w:r>
      <w:r w:rsidR="00410AB6" w:rsidRPr="00CE5DD5">
        <w:t>th</w:t>
      </w:r>
      <w:r w:rsidR="00410AB6">
        <w:t>ese</w:t>
      </w:r>
      <w:r w:rsidR="00410AB6" w:rsidRPr="00CE5DD5">
        <w:t xml:space="preserve"> chang</w:t>
      </w:r>
      <w:r w:rsidR="00410AB6">
        <w:t>es</w:t>
      </w:r>
      <w:r w:rsidR="00CE5DD5" w:rsidRPr="00CE5DD5">
        <w:t xml:space="preserve"> in preference, which </w:t>
      </w:r>
      <w:r w:rsidR="00CE5DD5" w:rsidRPr="00CE5DD5">
        <w:fldChar w:fldCharType="begin"/>
      </w:r>
      <w:r w:rsidR="00CE5DD5" w:rsidRPr="00CE5DD5">
        <w:instrText xml:space="preserve"> REF  _Ref447807493 \* Lower \h </w:instrText>
      </w:r>
      <w:r w:rsidR="00CE5DD5" w:rsidRPr="00CE5DD5">
        <w:fldChar w:fldCharType="separate"/>
      </w:r>
      <w:r w:rsidR="006B4A74" w:rsidRPr="00CE5DD5">
        <w:t xml:space="preserve">table </w:t>
      </w:r>
      <w:r w:rsidR="006B4A74">
        <w:rPr>
          <w:noProof/>
        </w:rPr>
        <w:t>3</w:t>
      </w:r>
      <w:r w:rsidR="006B4A74">
        <w:noBreakHyphen/>
      </w:r>
      <w:r w:rsidR="006B4A74">
        <w:rPr>
          <w:noProof/>
        </w:rPr>
        <w:t>37</w:t>
      </w:r>
      <w:r w:rsidR="00CE5DD5" w:rsidRPr="00CE5DD5">
        <w:fldChar w:fldCharType="end"/>
      </w:r>
      <w:r w:rsidR="00CE5DD5" w:rsidRPr="00CE5DD5">
        <w:t xml:space="preserve"> addresses. This table covers the reasons put forward by service providers in relation</w:t>
      </w:r>
      <w:r w:rsidR="0010101E">
        <w:t xml:space="preserve"> to</w:t>
      </w:r>
      <w:r w:rsidR="00CE5DD5" w:rsidRPr="00CE5DD5">
        <w:t xml:space="preserve"> decisions released in May and July 2016, as well as the reasons put forward by AusNet Transmi</w:t>
      </w:r>
      <w:r w:rsidR="0016738D">
        <w:t>s</w:t>
      </w:r>
      <w:r w:rsidR="00CE5DD5" w:rsidRPr="00CE5DD5">
        <w:t>sion in its revised proposal</w:t>
      </w:r>
      <w:r w:rsidR="00A6401F">
        <w:t>.</w:t>
      </w:r>
    </w:p>
    <w:p w:rsidR="00CE5DD5" w:rsidRPr="00CE5DD5" w:rsidRDefault="00CE5DD5" w:rsidP="00CE5DD5">
      <w:pPr>
        <w:pStyle w:val="Caption"/>
      </w:pPr>
      <w:bookmarkStart w:id="494" w:name="_Ref447807493"/>
      <w:r w:rsidRPr="00CE5DD5">
        <w:t xml:space="preserve">Table </w:t>
      </w:r>
      <w:fldSimple w:instr=" STYLEREF 1 \s ">
        <w:r w:rsidR="006B4A74">
          <w:rPr>
            <w:noProof/>
          </w:rPr>
          <w:t>3</w:t>
        </w:r>
      </w:fldSimple>
      <w:r w:rsidR="008F29C8">
        <w:noBreakHyphen/>
      </w:r>
      <w:fldSimple w:instr=" SEQ Table \* ARABIC \s 1 ">
        <w:r w:rsidR="006B4A74">
          <w:rPr>
            <w:noProof/>
          </w:rPr>
          <w:t>37</w:t>
        </w:r>
      </w:fldSimple>
      <w:bookmarkEnd w:id="494"/>
      <w:r w:rsidRPr="00CE5DD5">
        <w:t xml:space="preserve"> </w:t>
      </w:r>
      <w:r w:rsidRPr="00CE5DD5">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CE5DD5" w:rsidTr="002656D9">
        <w:trPr>
          <w:cnfStyle w:val="100000000000" w:firstRow="1" w:lastRow="0" w:firstColumn="0" w:lastColumn="0" w:oddVBand="0" w:evenVBand="0" w:oddHBand="0" w:evenHBand="0" w:firstRowFirstColumn="0" w:firstRowLastColumn="0" w:lastRowFirstColumn="0" w:lastRowLastColumn="0"/>
          <w:tblHeader/>
        </w:trPr>
        <w:tc>
          <w:tcPr>
            <w:tcW w:w="2802" w:type="dxa"/>
          </w:tcPr>
          <w:p w:rsidR="00CE5DD5" w:rsidRPr="00CE5DD5" w:rsidRDefault="00CE5DD5" w:rsidP="00CE5DD5">
            <w:r w:rsidRPr="00CE5DD5">
              <w:t>Reason provided in revised regulatory proposals</w:t>
            </w:r>
          </w:p>
        </w:tc>
        <w:tc>
          <w:tcPr>
            <w:tcW w:w="5891" w:type="dxa"/>
          </w:tcPr>
          <w:p w:rsidR="00CE5DD5" w:rsidRPr="00CE5DD5" w:rsidRDefault="00CE5DD5" w:rsidP="00CE5DD5">
            <w:r w:rsidRPr="00CE5DD5">
              <w:t>AER view</w:t>
            </w:r>
          </w:p>
        </w:tc>
      </w:tr>
      <w:tr w:rsidR="00CE5DD5" w:rsidTr="00C04C58">
        <w:tc>
          <w:tcPr>
            <w:tcW w:w="2802" w:type="dxa"/>
          </w:tcPr>
          <w:p w:rsidR="00CE5DD5" w:rsidRPr="00CE5DD5" w:rsidRDefault="00CE5DD5" w:rsidP="00CE5DD5">
            <w:r w:rsidRPr="00CE5DD5">
              <w:t xml:space="preserve">An immediate (or hybrid) transition is consistent with a historically-based definition of efficient financing costs. </w:t>
            </w:r>
          </w:p>
        </w:tc>
        <w:tc>
          <w:tcPr>
            <w:tcW w:w="5891" w:type="dxa"/>
          </w:tcPr>
          <w:p w:rsidR="00CE5DD5" w:rsidRPr="00CE5DD5" w:rsidRDefault="00CE5DD5" w:rsidP="00CE5DD5">
            <w:r w:rsidRPr="00CE5DD5">
              <w:t xml:space="preserve">We do not consider 'efficient financing costs' in the ARORO refers to historical costs, requiring compensation for losses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xml:space="preserve">). If provided with ex-ante efficient compensation, then a benchmark efficient entity has a reasonable opportunity to recover its efficient debt financing costs. </w:t>
            </w:r>
          </w:p>
          <w:p w:rsidR="00CE5DD5" w:rsidRPr="00CE5DD5" w:rsidRDefault="00CE5DD5" w:rsidP="00CE5DD5">
            <w:r w:rsidRPr="00CE5DD5">
              <w:t xml:space="preserve">The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CE5DD5">
              <w:fldChar w:fldCharType="begin"/>
            </w:r>
            <w:r w:rsidRPr="00CE5DD5">
              <w:instrText xml:space="preserve"> REF _Ref446405872 \r \h </w:instrText>
            </w:r>
            <w:r w:rsidRPr="00CE5DD5">
              <w:fldChar w:fldCharType="separate"/>
            </w:r>
            <w:r w:rsidR="006B4A74">
              <w:t>H.1.1</w:t>
            </w:r>
            <w:r w:rsidRPr="00CE5DD5">
              <w:fldChar w:fldCharType="end"/>
            </w:r>
            <w:r w:rsidRPr="00CE5DD5">
              <w:t>).</w:t>
            </w:r>
            <w:r w:rsidRPr="00CE5DD5">
              <w:rPr>
                <w:rStyle w:val="FootnoteReference"/>
              </w:rPr>
              <w:footnoteReference w:id="1346"/>
            </w:r>
          </w:p>
          <w:p w:rsidR="00CE5DD5" w:rsidRPr="00CE5DD5" w:rsidRDefault="00CE5DD5" w:rsidP="00CE5DD5">
            <w:r w:rsidRPr="00CE5DD5">
              <w:t xml:space="preserve">The trailing average approach can also reflect prevailing market rates because one-tenth of the historical average is updated each year to reflect prevailing market rates (see section </w:t>
            </w:r>
            <w:r w:rsidRPr="00CE5DD5">
              <w:fldChar w:fldCharType="begin"/>
            </w:r>
            <w:r w:rsidRPr="00CE5DD5">
              <w:instrText xml:space="preserve"> REF _Ref444773920 \r \h </w:instrText>
            </w:r>
            <w:r w:rsidRPr="00CE5DD5">
              <w:fldChar w:fldCharType="separate"/>
            </w:r>
            <w:r w:rsidR="006B4A74">
              <w:t>H.3.3</w:t>
            </w:r>
            <w:r w:rsidRPr="00CE5DD5">
              <w:fldChar w:fldCharType="end"/>
            </w:r>
            <w:r w:rsidRPr="00CE5DD5">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Immediately implementing a trailing average (in whole or part) would reduce the ex-post 'mismatch' between the allowed return on debt cash flows and a benchmark efficient entity's actual (historical) debt costs (or cash outflows).</w:t>
            </w:r>
            <w:r w:rsidRPr="00CE5DD5">
              <w:rPr>
                <w:rStyle w:val="FootnoteReference"/>
              </w:rPr>
              <w:footnoteReference w:id="1347"/>
            </w:r>
            <w:r w:rsidRPr="00CE5DD5">
              <w:t xml:space="preserve"> </w:t>
            </w:r>
          </w:p>
        </w:tc>
        <w:tc>
          <w:tcPr>
            <w:tcW w:w="5891" w:type="dxa"/>
          </w:tcPr>
          <w:p w:rsidR="00CE5DD5" w:rsidRPr="00CE5DD5" w:rsidRDefault="00CE5DD5" w:rsidP="00CE5DD5">
            <w:r w:rsidRPr="00CE5DD5">
              <w:t xml:space="preserve">As discussed in section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CE5DD5">
              <w:rPr>
                <w:rStyle w:val="FootnoteReference"/>
              </w:rPr>
              <w:footnoteReference w:id="1348"/>
            </w:r>
          </w:p>
          <w:p w:rsidR="00CE5DD5" w:rsidRPr="00CE5DD5" w:rsidRDefault="00CE5DD5" w:rsidP="00CE5DD5">
            <w:r w:rsidRPr="00CE5DD5">
              <w:t>We consider that under ex-ante regulation, we are required to have regard to the desirability of reducing the risk of a mismatch (going forward).</w:t>
            </w:r>
            <w:r w:rsidRPr="00CE5DD5">
              <w:rPr>
                <w:rStyle w:val="FootnoteReference"/>
              </w:rPr>
              <w:footnoteReference w:id="1349"/>
            </w:r>
            <w:r w:rsidRPr="00CE5DD5">
              <w:t xml:space="preserve"> In contrast to what service providers suggest, we are not required to remove a mismatch that has eventuated (ex-post). Ex-post mismatch reflects the realisation of interest rate risk that has already occurred and cannot be hedged.</w:t>
            </w:r>
            <w:r w:rsidRPr="00CE5DD5">
              <w:rPr>
                <w:rStyle w:val="FootnoteReference"/>
              </w:rPr>
              <w:footnoteReference w:id="1350"/>
            </w:r>
            <w:r w:rsidRPr="00CE5DD5">
              <w:t xml:space="preserve"> The equity value of the service providers we regulate should already reflect the value of any losses (or gains) from interest rate movements.</w:t>
            </w:r>
            <w:r w:rsidRPr="00CE5DD5">
              <w:rPr>
                <w:rStyle w:val="FootnoteReference"/>
              </w:rPr>
              <w:footnoteReference w:id="1351"/>
            </w:r>
          </w:p>
          <w:p w:rsidR="00CE5DD5" w:rsidRPr="00CE5DD5" w:rsidRDefault="00CE5DD5" w:rsidP="00CE5DD5">
            <w:r w:rsidRPr="00CE5DD5">
              <w:t xml:space="preserve">We consider the desirability of reducing mismatch risk is only applicable to new debt. All proposed approaches (immediate, hybrid and full transition) have 10 per cent of the allowed return on debt reset each year (see section </w:t>
            </w:r>
            <w:r w:rsidRPr="00CE5DD5">
              <w:fldChar w:fldCharType="begin"/>
            </w:r>
            <w:r w:rsidRPr="00CE5DD5">
              <w:instrText xml:space="preserve"> REF _Ref447886159 \r \h </w:instrText>
            </w:r>
            <w:r w:rsidRPr="00CE5DD5">
              <w:fldChar w:fldCharType="separate"/>
            </w:r>
            <w:r w:rsidR="006B4A74">
              <w:t>H.5.1</w:t>
            </w:r>
            <w:r w:rsidRPr="00CE5DD5">
              <w:fldChar w:fldCharType="end"/>
            </w:r>
            <w:r w:rsidRPr="00CE5DD5">
              <w:t>). Therefore, all proposed approaches should have the same exposure to future interest rate risk and result in the same level of genuine mismatch risk from changes in future interest rates.</w:t>
            </w:r>
          </w:p>
        </w:tc>
      </w:tr>
      <w:tr w:rsidR="00CE5DD5" w:rsidTr="00C04C58">
        <w:tc>
          <w:tcPr>
            <w:tcW w:w="2802" w:type="dxa"/>
          </w:tcPr>
          <w:p w:rsidR="00CE5DD5" w:rsidRPr="00CE5DD5" w:rsidRDefault="00CE5DD5" w:rsidP="00CE5DD5">
            <w:r w:rsidRPr="00CE5DD5">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CE5DD5">
              <w:rPr>
                <w:rStyle w:val="FootnoteReference"/>
              </w:rPr>
              <w:footnoteReference w:id="1352"/>
            </w:r>
          </w:p>
        </w:tc>
        <w:tc>
          <w:tcPr>
            <w:tcW w:w="5891" w:type="dxa"/>
          </w:tcPr>
          <w:p w:rsidR="00CE5DD5" w:rsidRPr="00CE5DD5" w:rsidRDefault="00CE5DD5" w:rsidP="00CE5DD5">
            <w:r w:rsidRPr="00CE5DD5">
              <w:t xml:space="preserve">Given the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CE5DD5">
              <w:fldChar w:fldCharType="begin"/>
            </w:r>
            <w:r w:rsidRPr="00CE5DD5">
              <w:instrText xml:space="preserve"> REF _Ref445131744 \r \h </w:instrText>
            </w:r>
            <w:r w:rsidRPr="00CE5DD5">
              <w:fldChar w:fldCharType="separate"/>
            </w:r>
            <w:r w:rsidR="006B4A74">
              <w:t>H.3.1</w:t>
            </w:r>
            <w:r w:rsidRPr="00CE5DD5">
              <w:fldChar w:fldCharType="end"/>
            </w:r>
            <w:r w:rsidRPr="00CE5DD5">
              <w:t xml:space="preserve">). </w:t>
            </w:r>
          </w:p>
          <w:p w:rsidR="00CE5DD5" w:rsidRPr="00CE5DD5" w:rsidRDefault="00CE5DD5" w:rsidP="00CE5DD5">
            <w:r w:rsidRPr="00CE5DD5">
              <w:t>Also, we consider 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CEG advised that incentives created by the on-the-day regime may not have resulted in efficient financing practices and may not be commensurate with 'efficient financing costs' referenced in the ARORO.</w:t>
            </w:r>
            <w:r w:rsidRPr="00CE5DD5">
              <w:rPr>
                <w:rStyle w:val="FootnoteReference"/>
              </w:rPr>
              <w:footnoteReference w:id="1353"/>
            </w:r>
            <w:r w:rsidRPr="00CE5DD5">
              <w:t xml:space="preserve"> </w:t>
            </w:r>
          </w:p>
          <w:p w:rsidR="00CE5DD5" w:rsidRPr="00CE5DD5" w:rsidRDefault="00CE5DD5" w:rsidP="00CE5DD5"/>
        </w:tc>
        <w:tc>
          <w:tcPr>
            <w:tcW w:w="5891" w:type="dxa"/>
          </w:tcPr>
          <w:p w:rsidR="00CE5DD5" w:rsidRPr="00CE5DD5" w:rsidRDefault="00CE5DD5" w:rsidP="00CE5DD5">
            <w:r w:rsidRPr="00CE5DD5">
              <w:t xml:space="preserve">We observe that CEG did not indicate what it considered 'efficient financing costs' meant in the context of the ARORO. As explained in section </w:t>
            </w:r>
            <w:r w:rsidRPr="00CE5DD5">
              <w:fldChar w:fldCharType="begin"/>
            </w:r>
            <w:r w:rsidRPr="00CE5DD5">
              <w:instrText xml:space="preserve"> REF _Ref444778432 \r \h  \* MERGEFORMAT </w:instrText>
            </w:r>
            <w:r w:rsidRPr="00CE5DD5">
              <w:fldChar w:fldCharType="separate"/>
            </w:r>
            <w:r w:rsidR="006B4A74">
              <w:t>H.2</w:t>
            </w:r>
            <w:r w:rsidRPr="00CE5DD5">
              <w:fldChar w:fldCharType="end"/>
            </w:r>
            <w:r w:rsidRPr="00CE5DD5">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CE5DD5" w:rsidTr="00C04C58">
        <w:tc>
          <w:tcPr>
            <w:tcW w:w="2802" w:type="dxa"/>
          </w:tcPr>
          <w:p w:rsidR="00CE5DD5" w:rsidRPr="00CE5DD5" w:rsidRDefault="00CE5DD5" w:rsidP="00CE5DD5">
            <w:r w:rsidRPr="00CE5DD5">
              <w:t>The AER should define a benchmark efficient entity as unregulated rather than regulated.</w:t>
            </w:r>
            <w:r w:rsidRPr="00CE5DD5">
              <w:rPr>
                <w:rStyle w:val="FootnoteReference"/>
              </w:rPr>
              <w:footnoteReference w:id="1354"/>
            </w:r>
          </w:p>
          <w:p w:rsidR="00CE5DD5" w:rsidRPr="00CE5DD5" w:rsidRDefault="00CE5DD5" w:rsidP="00CE5DD5">
            <w:r w:rsidRPr="00CE5DD5">
              <w:t xml:space="preserve">An unregulated benchmark efficient entity is consistent with the intent of the law to replicate workably competitive market outcomes. </w:t>
            </w:r>
          </w:p>
        </w:tc>
        <w:tc>
          <w:tcPr>
            <w:tcW w:w="5891" w:type="dxa"/>
          </w:tcPr>
          <w:p w:rsidR="00CE5DD5" w:rsidRPr="00CE5DD5" w:rsidRDefault="00CE5DD5" w:rsidP="00CE5DD5">
            <w:r w:rsidRPr="00CE5DD5">
              <w:t>Section 3.3 of the rate of return attachment discusses why we consider that defining a benchmark efficient entity as regulated is required to give effect to the rules and the NEL/NGL.</w:t>
            </w:r>
          </w:p>
          <w:p w:rsidR="00CE5DD5" w:rsidRPr="00CE5DD5" w:rsidRDefault="00CE5DD5" w:rsidP="00CE5DD5">
            <w:r w:rsidRPr="00CE5DD5">
              <w:t>Seeking to replicate the outcomes of a workably competitive market does not require defining a benchmark efficient entity as unregulated. Rather, it requires that we replicate the efficiency outcomes that we would expect under a workably competitive market (and the resulting prices and service levels).</w:t>
            </w:r>
            <w:r w:rsidRPr="00CE5DD5">
              <w:rPr>
                <w:rStyle w:val="FootnoteReference"/>
              </w:rPr>
              <w:footnoteReference w:id="1355"/>
            </w:r>
          </w:p>
          <w:p w:rsidR="00CE5DD5" w:rsidRPr="00CE5DD5" w:rsidRDefault="00CE5DD5" w:rsidP="00CE5DD5">
            <w:r w:rsidRPr="00CE5DD5">
              <w:t>We consider our approach preferable for achieving efficiency outcomes expected in a workably competitive market.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Efficient financing costs are properly identified by reference to financing practices that would be adopted in workably competitive markets.</w:t>
            </w:r>
            <w:r w:rsidRPr="00CE5DD5">
              <w:rPr>
                <w:rStyle w:val="FootnoteReference"/>
              </w:rPr>
              <w:footnoteReference w:id="1356"/>
            </w:r>
          </w:p>
        </w:tc>
        <w:tc>
          <w:tcPr>
            <w:tcW w:w="5891" w:type="dxa"/>
          </w:tcPr>
          <w:p w:rsidR="00CE5DD5" w:rsidRPr="00CE5DD5" w:rsidRDefault="00CE5DD5" w:rsidP="00CE5DD5">
            <w:r w:rsidRPr="00CE5DD5">
              <w:t xml:space="preserve">We do not consider a benchmark efficient entity's past financing practices determine its efficient financing costs (although we note we benchmark current gearing, credit rating  and debt term at issuance in determining a benchmark efficient entity's ex ante efficient allowed return on debt). Rather, we consider achieving the ARORO requires a benchmark efficient entity be ex-ante appropriately compensated for its efficient financing costs in present value terms, where efficient financing costs are based on prevailing market rates (see section </w:t>
            </w:r>
            <w:r w:rsidRPr="00CE5DD5">
              <w:fldChar w:fldCharType="begin"/>
            </w:r>
            <w:r w:rsidRPr="00CE5DD5">
              <w:instrText xml:space="preserve"> REF _Ref446603900 \r \h </w:instrText>
            </w:r>
            <w:r w:rsidRPr="00CE5DD5">
              <w:fldChar w:fldCharType="separate"/>
            </w:r>
            <w:r w:rsidR="006B4A74">
              <w:t>H.2.1</w:t>
            </w:r>
            <w:r w:rsidRPr="00CE5DD5">
              <w:fldChar w:fldCharType="end"/>
            </w:r>
            <w:r w:rsidRPr="00CE5DD5">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CE5DD5" w:rsidRPr="00CE5DD5" w:rsidRDefault="00CE5DD5" w:rsidP="00CE5DD5">
            <w:r w:rsidRPr="00CE5DD5">
              <w:t>We note that Partington and Satchell also advise against interpreting the efficient financing costs as relating to some assumed financing strategy. They state a number of reasons to support their view, including that what constitutes a benchmark efficient financing practice is ambiguous.</w:t>
            </w:r>
            <w:r w:rsidRPr="00CE5DD5">
              <w:rPr>
                <w:rStyle w:val="FootnoteReference"/>
              </w:rPr>
              <w:footnoteReference w:id="1357"/>
            </w:r>
          </w:p>
        </w:tc>
      </w:tr>
    </w:tbl>
    <w:p w:rsidR="00CE5DD5" w:rsidRPr="00CE5DD5" w:rsidRDefault="00CE5DD5" w:rsidP="00CE5DD5">
      <w:pPr>
        <w:pStyle w:val="AERtablesource"/>
      </w:pPr>
      <w:r w:rsidRPr="00CE5DD5">
        <w:t>Source:</w:t>
      </w:r>
      <w:r w:rsidRPr="00CE5DD5">
        <w:tab/>
        <w:t>AER analysis, service providers' revised proposals and supporting material.</w:t>
      </w:r>
    </w:p>
    <w:p w:rsidR="00CE5DD5" w:rsidRPr="00CE5DD5" w:rsidRDefault="00CE5DD5" w:rsidP="002656D9">
      <w:pPr>
        <w:pStyle w:val="HeadingBoldItalic"/>
      </w:pPr>
      <w:bookmarkStart w:id="495" w:name="_Toc480460908"/>
      <w:r w:rsidRPr="00CE5DD5">
        <w:t>Response to CEG's report</w:t>
      </w:r>
      <w:bookmarkEnd w:id="495"/>
    </w:p>
    <w:p w:rsidR="00CE5DD5" w:rsidRPr="00CE5DD5" w:rsidRDefault="00CE5DD5" w:rsidP="00CE5DD5">
      <w:r w:rsidRPr="00CE5DD5">
        <w:t xml:space="preserve">AusNet Services submitted a report by CEG on the AER’s current interpretation of the ARORO with its revised </w:t>
      </w:r>
      <w:r w:rsidR="006B701F">
        <w:t>revenue</w:t>
      </w:r>
      <w:r w:rsidR="006B701F" w:rsidRPr="00CE5DD5">
        <w:t xml:space="preserve"> </w:t>
      </w:r>
      <w:r w:rsidRPr="00CE5DD5">
        <w:t>proposal.</w:t>
      </w:r>
      <w:r w:rsidRPr="00CE5DD5">
        <w:rPr>
          <w:rStyle w:val="FootnoteReference"/>
        </w:rPr>
        <w:footnoteReference w:id="1358"/>
      </w:r>
      <w:r w:rsidRPr="00CE5DD5">
        <w:t xml:space="preserve"> Subsequently we received a letter from AusNet Services </w:t>
      </w:r>
      <w:r w:rsidR="006B701F">
        <w:t>indicating</w:t>
      </w:r>
      <w:r w:rsidR="006B701F" w:rsidRPr="00CE5DD5">
        <w:t xml:space="preserve"> </w:t>
      </w:r>
      <w:r w:rsidRPr="00CE5DD5">
        <w:t>that it now proposes to</w:t>
      </w:r>
      <w:r w:rsidR="0016738D">
        <w:t xml:space="preserve"> </w:t>
      </w:r>
      <w:r w:rsidRPr="00CE5DD5">
        <w:t>adopt the Guideline debt transition.</w:t>
      </w:r>
      <w:r w:rsidRPr="00CE5DD5">
        <w:rPr>
          <w:rStyle w:val="FootnoteReference"/>
        </w:rPr>
        <w:footnoteReference w:id="1359"/>
      </w:r>
      <w:r w:rsidRPr="00CE5DD5">
        <w:t xml:space="preserve"> Despite this it is necessary to respond to the issues raised in AusNet Services’ revised transmission </w:t>
      </w:r>
      <w:r w:rsidR="00410AB6" w:rsidRPr="00CE5DD5">
        <w:t>proposal and</w:t>
      </w:r>
      <w:r w:rsidRPr="00CE5DD5">
        <w:t xml:space="preserve"> in the new report by CEG submitted by AusNet Services in support of its revised regulatory proposal. </w:t>
      </w:r>
    </w:p>
    <w:p w:rsidR="00CE5DD5" w:rsidRPr="00CE5DD5" w:rsidRDefault="00CE5DD5" w:rsidP="00CE5DD5">
      <w:r w:rsidRPr="00CE5DD5">
        <w:t>In the new report, CEG critiqued the AER’s approach and rational for a full transition to a trailing average cost of debt and stated that they do not believe that the AER’s 2016 interpretation is consistent with a reasonable economic interpretation of the ARORO.</w:t>
      </w:r>
      <w:r w:rsidRPr="00CE5DD5">
        <w:rPr>
          <w:rStyle w:val="FootnoteReference"/>
        </w:rPr>
        <w:footnoteReference w:id="1360"/>
      </w:r>
      <w:r w:rsidRPr="00CE5DD5">
        <w:t xml:space="preserve"> CEG proposed that the correct approach to determine the allowed rate of return on debt is an approach that results in a match to the BEE’s efficiently incurred financing costs. </w:t>
      </w:r>
    </w:p>
    <w:p w:rsidR="00CE5DD5" w:rsidRPr="00CE5DD5" w:rsidRDefault="00CE5DD5" w:rsidP="00CE5DD5">
      <w:r w:rsidRPr="00CE5DD5">
        <w:t>We do not agree with CEG. We consider our interpretation of an allowed rate of return that compensates investors on their capital investments (in an ex-ante sense) and aims to minimise the long run cost of capital is consistent with the ARORO. We consider ex-ante efficient compensation should result in the ex-ante allowed return on capital cash flows having a present value equal to the present value of the ex-ante efficient cost of capital cash flows required to finance the regulatory asset base (RAB). In that sense, we must set allowances with a present value equal to the present value of future efficient costs.</w:t>
      </w:r>
      <w:r w:rsidR="000F18DA">
        <w:rPr>
          <w:rStyle w:val="FootnoteReference"/>
        </w:rPr>
        <w:footnoteReference w:id="1361"/>
      </w:r>
      <w:r w:rsidRPr="00CE5DD5">
        <w:t xml:space="preserve"> This is a zero net present value (NPV) investment condition. The theory of finance is that in computing the weighted average cost of capital for use in NPV calculations it is the current required returns on debt and equity (forward looking) that should be used for the WACC, instead of the historical values. </w:t>
      </w:r>
      <w:r w:rsidR="000F18DA">
        <w:t xml:space="preserve">We consider that the </w:t>
      </w:r>
      <w:r w:rsidR="002C6917">
        <w:t xml:space="preserve">continuation of the </w:t>
      </w:r>
      <w:r w:rsidR="000F18DA">
        <w:t>on the day approach is revenue neutr</w:t>
      </w:r>
      <w:r w:rsidR="002C6917">
        <w:t>al in a present value sense and</w:t>
      </w:r>
      <w:r w:rsidR="000F18DA">
        <w:t xml:space="preserve"> would contribute to the achievement of the ARORO. As discussed in section </w:t>
      </w:r>
      <w:r w:rsidR="000F18DA" w:rsidRPr="00347500">
        <w:fldChar w:fldCharType="begin"/>
      </w:r>
      <w:r w:rsidR="000F18DA" w:rsidRPr="00347500">
        <w:instrText xml:space="preserve"> REF _Ref444767739 \r \h </w:instrText>
      </w:r>
      <w:r w:rsidR="000F18DA" w:rsidRPr="00347500">
        <w:fldChar w:fldCharType="separate"/>
      </w:r>
      <w:r w:rsidR="006B4A74">
        <w:t>H.3</w:t>
      </w:r>
      <w:r w:rsidR="000F18DA" w:rsidRPr="00347500">
        <w:fldChar w:fldCharType="end"/>
      </w:r>
      <w:r w:rsidR="000F18DA">
        <w:t xml:space="preserve">, a revenue neutral transition will also contribute to the achievement of the ARORO. </w:t>
      </w:r>
      <w:r w:rsidR="002C6917">
        <w:t xml:space="preserve">However, we do not consider a change in methodology that results in material wealth transfers will contribute to the achievement of the ARORO. </w:t>
      </w:r>
      <w:r w:rsidR="000F18DA">
        <w:t>For this reason, we consider a</w:t>
      </w:r>
      <w:r w:rsidR="000F18DA" w:rsidRPr="00347500">
        <w:t xml:space="preserve"> full transition is required if there is a change in methodology from on-the-day approach to trailing average approach</w:t>
      </w:r>
      <w:r w:rsidR="000F18DA">
        <w:t>.</w:t>
      </w:r>
    </w:p>
    <w:p w:rsidR="00CE5DD5" w:rsidRPr="00CE5DD5" w:rsidRDefault="00AE6EA9" w:rsidP="00CE5DD5">
      <w:r>
        <w:fldChar w:fldCharType="begin"/>
      </w:r>
      <w:r>
        <w:instrText xml:space="preserve"> REF _Ref479850044 \h </w:instrText>
      </w:r>
      <w:r>
        <w:fldChar w:fldCharType="separate"/>
      </w:r>
      <w:r w:rsidR="006B4A74" w:rsidRPr="00CE5DD5">
        <w:t xml:space="preserve">Table </w:t>
      </w:r>
      <w:r w:rsidR="006B4A74">
        <w:rPr>
          <w:noProof/>
        </w:rPr>
        <w:t>3</w:t>
      </w:r>
      <w:r w:rsidR="006B4A74">
        <w:noBreakHyphen/>
      </w:r>
      <w:r w:rsidR="006B4A74">
        <w:rPr>
          <w:noProof/>
        </w:rPr>
        <w:t>38</w:t>
      </w:r>
      <w:r>
        <w:fldChar w:fldCharType="end"/>
      </w:r>
      <w:r w:rsidR="00CB4919">
        <w:t xml:space="preserve"> </w:t>
      </w:r>
      <w:r w:rsidR="00CE5DD5" w:rsidRPr="00CE5DD5">
        <w:t>sets out the key issues raised by CEG in its September 2016 report. We sought advice from Partington and Satchell and provide a summary of our response</w:t>
      </w:r>
      <w:r w:rsidR="000F18DA">
        <w:t>s</w:t>
      </w:r>
      <w:r w:rsidR="00CE5DD5" w:rsidRPr="00CE5DD5">
        <w:t xml:space="preserve"> in the table below.</w:t>
      </w:r>
      <w:r w:rsidR="002C6917">
        <w:rPr>
          <w:rStyle w:val="FootnoteReference"/>
        </w:rPr>
        <w:footnoteReference w:id="1362"/>
      </w:r>
    </w:p>
    <w:p w:rsidR="00CE5DD5" w:rsidRPr="00CE5DD5" w:rsidRDefault="00CE5DD5" w:rsidP="00CE5DD5">
      <w:pPr>
        <w:pStyle w:val="Caption"/>
      </w:pPr>
      <w:bookmarkStart w:id="496" w:name="_Ref479850044"/>
      <w:bookmarkStart w:id="497" w:name="_Ref479850025"/>
      <w:r w:rsidRPr="00CE5DD5">
        <w:t xml:space="preserve">Table </w:t>
      </w:r>
      <w:fldSimple w:instr=" STYLEREF 1 \s ">
        <w:r w:rsidR="006B4A74">
          <w:rPr>
            <w:noProof/>
          </w:rPr>
          <w:t>3</w:t>
        </w:r>
      </w:fldSimple>
      <w:r w:rsidR="00AE6EA9">
        <w:noBreakHyphen/>
      </w:r>
      <w:r w:rsidR="00AE6EA9" w:rsidRPr="00AE6EA9">
        <w:fldChar w:fldCharType="begin"/>
      </w:r>
      <w:r w:rsidR="00AE6EA9">
        <w:instrText xml:space="preserve"> SEQ Table \* ARABIC \s 1 </w:instrText>
      </w:r>
      <w:r w:rsidR="00AE6EA9" w:rsidRPr="00AE6EA9">
        <w:fldChar w:fldCharType="separate"/>
      </w:r>
      <w:r w:rsidR="006B4A74">
        <w:rPr>
          <w:noProof/>
        </w:rPr>
        <w:t>38</w:t>
      </w:r>
      <w:r w:rsidR="00AE6EA9" w:rsidRPr="00AE6EA9">
        <w:fldChar w:fldCharType="end"/>
      </w:r>
      <w:bookmarkEnd w:id="496"/>
      <w:r w:rsidRPr="00CE5DD5">
        <w:tab/>
        <w:t xml:space="preserve"> Key issues raised by CEG</w:t>
      </w:r>
      <w:bookmarkEnd w:id="497"/>
    </w:p>
    <w:tbl>
      <w:tblPr>
        <w:tblStyle w:val="AERtable-text0"/>
        <w:tblW w:w="0" w:type="auto"/>
        <w:tblLook w:val="04A0" w:firstRow="1" w:lastRow="0" w:firstColumn="1" w:lastColumn="0" w:noHBand="0" w:noVBand="1"/>
      </w:tblPr>
      <w:tblGrid>
        <w:gridCol w:w="3794"/>
        <w:gridCol w:w="4899"/>
      </w:tblGrid>
      <w:tr w:rsidR="00CE5DD5" w:rsidTr="002656D9">
        <w:trPr>
          <w:cnfStyle w:val="100000000000" w:firstRow="1" w:lastRow="0" w:firstColumn="0" w:lastColumn="0" w:oddVBand="0" w:evenVBand="0" w:oddHBand="0" w:evenHBand="0" w:firstRowFirstColumn="0" w:firstRowLastColumn="0" w:lastRowFirstColumn="0" w:lastRowLastColumn="0"/>
          <w:tblHeader/>
        </w:trPr>
        <w:tc>
          <w:tcPr>
            <w:tcW w:w="3794" w:type="dxa"/>
          </w:tcPr>
          <w:p w:rsidR="00CE5DD5" w:rsidRPr="00CE5DD5" w:rsidRDefault="00CE5DD5" w:rsidP="00CE5DD5">
            <w:r w:rsidRPr="00CE5DD5">
              <w:t>Issue</w:t>
            </w:r>
          </w:p>
        </w:tc>
        <w:tc>
          <w:tcPr>
            <w:tcW w:w="4899" w:type="dxa"/>
          </w:tcPr>
          <w:p w:rsidR="00CE5DD5" w:rsidRPr="00CE5DD5" w:rsidRDefault="00CE5DD5" w:rsidP="00CE5DD5">
            <w:r w:rsidRPr="00CE5DD5">
              <w:t>Summary of response</w:t>
            </w:r>
          </w:p>
        </w:tc>
      </w:tr>
      <w:tr w:rsidR="00CE5DD5" w:rsidTr="00C04C58">
        <w:tc>
          <w:tcPr>
            <w:tcW w:w="3794" w:type="dxa"/>
          </w:tcPr>
          <w:p w:rsidR="00CE5DD5" w:rsidRPr="00CE5DD5" w:rsidRDefault="00CE5DD5" w:rsidP="00CE5DD5">
            <w:r w:rsidRPr="00CE5DD5">
              <w:t>The AER’s application of the NPV=0 criterion in the AusNet Services draft decision only holds if you assume a BEE has no debt at the commencement of the regulatory control period</w:t>
            </w:r>
            <w:r w:rsidRPr="00CE5DD5">
              <w:rPr>
                <w:rStyle w:val="FootnoteReference"/>
              </w:rPr>
              <w:footnoteReference w:id="1363"/>
            </w:r>
          </w:p>
        </w:tc>
        <w:tc>
          <w:tcPr>
            <w:tcW w:w="4899" w:type="dxa"/>
          </w:tcPr>
          <w:p w:rsidR="00CE5DD5" w:rsidRPr="00CE5DD5" w:rsidRDefault="00CE5DD5" w:rsidP="00CE5DD5">
            <w:r w:rsidRPr="00CE5DD5">
              <w:t>With respect to</w:t>
            </w:r>
            <w:r w:rsidR="002C6917">
              <w:t xml:space="preserve"> the</w:t>
            </w:r>
            <w:r w:rsidRPr="00CE5DD5">
              <w:t xml:space="preserve"> cost of debt, it is the current cost of debt (as currently required in the market) that should be used in the WACC to calculate </w:t>
            </w:r>
            <w:r w:rsidR="002C6917">
              <w:t xml:space="preserve">the </w:t>
            </w:r>
            <w:r w:rsidRPr="00CE5DD5">
              <w:t>NPV, not the historic cost of debt</w:t>
            </w:r>
            <w:r w:rsidR="002C6917">
              <w:t xml:space="preserve">. This is </w:t>
            </w:r>
            <w:r w:rsidRPr="00CE5DD5">
              <w:t xml:space="preserve">basic </w:t>
            </w:r>
            <w:r w:rsidR="002C6917">
              <w:t xml:space="preserve">valuation </w:t>
            </w:r>
            <w:r w:rsidRPr="00CE5DD5">
              <w:t>theory in corporate finance text book</w:t>
            </w:r>
            <w:r w:rsidR="002C6917">
              <w:t>s</w:t>
            </w:r>
            <w:r w:rsidRPr="00CE5DD5">
              <w:t xml:space="preserve">. The AER’s application of the NPV=0 criterion holds regardless of the debt held by a BEE before the commencement of the regulatory control period. </w:t>
            </w:r>
            <w:r w:rsidR="002C6917">
              <w:t>Appropriate regulatory c</w:t>
            </w:r>
            <w:r w:rsidRPr="00CE5DD5">
              <w:t xml:space="preserve">ompensation is about setting allowances with a present value equal to the present value of future efficient costs.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Mismatch risk is correctly defined as “regulatory risk’ and not ‘interest rate risk’. The implication is to reduce regulatory risk we must set allowed debt costs to match historically incurred debt costs.</w:t>
            </w:r>
            <w:r w:rsidR="00FF6705">
              <w:rPr>
                <w:rStyle w:val="FootnoteReference"/>
              </w:rPr>
              <w:footnoteReference w:id="1364"/>
            </w:r>
          </w:p>
          <w:p w:rsidR="00CE5DD5" w:rsidRPr="00CE5DD5" w:rsidRDefault="00CE5DD5" w:rsidP="00CE5DD5"/>
        </w:tc>
        <w:tc>
          <w:tcPr>
            <w:tcW w:w="4899" w:type="dxa"/>
          </w:tcPr>
          <w:p w:rsidR="00CE5DD5" w:rsidRPr="00CE5DD5" w:rsidRDefault="00CE5DD5" w:rsidP="00CE5DD5">
            <w:r w:rsidRPr="00CE5DD5">
              <w:t>CEG is incorrect in defining mismatch risk as regulatory risk. We consider mismatch risk</w:t>
            </w:r>
            <w:r w:rsidR="002C6917">
              <w:t xml:space="preserve"> under the on the day approach</w:t>
            </w:r>
            <w:r w:rsidRPr="00CE5DD5">
              <w:t xml:space="preserve"> flows from unexpected changes in interest rate</w:t>
            </w:r>
            <w:r w:rsidR="002C6917">
              <w:t>s</w:t>
            </w:r>
            <w:r w:rsidRPr="00CE5DD5">
              <w:t>. This is agreed by our consultants.</w:t>
            </w:r>
            <w:r w:rsidR="00FF6705">
              <w:rPr>
                <w:rStyle w:val="FootnoteReference"/>
              </w:rPr>
              <w:footnoteReference w:id="1365"/>
            </w:r>
            <w:r w:rsidRPr="00CE5DD5">
              <w:t xml:space="preserve"> In competitive market, the equilibrium is achieved by setting product prices that result in zero NPV investments. In achieving the competitive equilibrium, the allowed rate of return should be set at the current cost of capital, which may not match the historical costs.  This gives rise to interest rate risk, the risk associated with a mismatch between the allowed return on debt and a BEE’s actual return on debt.</w:t>
            </w:r>
            <w:r w:rsidRPr="00CE5DD5">
              <w:rPr>
                <w:rStyle w:val="FootnoteReference"/>
              </w:rPr>
              <w:t xml:space="preserve"> </w:t>
            </w:r>
            <w:r w:rsidRPr="00CE5DD5">
              <w:rPr>
                <w:rStyle w:val="FootnoteReference"/>
              </w:rPr>
              <w:footnoteReference w:id="1366"/>
            </w:r>
          </w:p>
          <w:p w:rsidR="00CE5DD5" w:rsidRPr="00CE5DD5" w:rsidRDefault="00CE5DD5" w:rsidP="00CE5DD5">
            <w:r w:rsidRPr="00CE5DD5">
              <w:t xml:space="preserve">However, we agree with our consultants that changes in the method for determining compensation for the cost of debt may give </w:t>
            </w:r>
            <w:r w:rsidR="00FE7811">
              <w:t xml:space="preserve">rise </w:t>
            </w:r>
            <w:r w:rsidRPr="00CE5DD5">
              <w:t>to regulatory risk; however the risk may apply either to the regulated entities, or to the consumers. In the case of a switch to a trailing average approach, there may be risk for some regulated entities in that their preferred financing strategy changes and there is a cost in switching. There is also regulatory risk and cost to consumers in that, under the trailing average approach, they are effectively guaranteeing revenue to pay the historic cost of debt. A cost arising from that guarantee will arise immediately under a switch to the historic trailing average (without a transition) as consumers will find themselves paying the premium of historic rates over current rates</w:t>
            </w:r>
            <w:r w:rsidR="008D170F">
              <w:t xml:space="preserve"> (</w:t>
            </w:r>
            <w:r w:rsidR="008D170F" w:rsidRPr="008D170F">
              <w:t>historic rates are much higher than the current rates)</w:t>
            </w:r>
            <w:r w:rsidRPr="00CE5DD5">
              <w:rPr>
                <w:rStyle w:val="FootnoteReference"/>
              </w:rPr>
              <w:footnoteReference w:id="1367"/>
            </w:r>
            <w:r w:rsidRPr="00CE5DD5">
              <w:t xml:space="preserve">. </w:t>
            </w:r>
          </w:p>
          <w:p w:rsidR="00CE5DD5" w:rsidRPr="00CE5DD5" w:rsidRDefault="00CE5DD5" w:rsidP="00CE5DD5"/>
        </w:tc>
      </w:tr>
      <w:tr w:rsidR="00CE5DD5" w:rsidTr="00C04C58">
        <w:tc>
          <w:tcPr>
            <w:tcW w:w="3794" w:type="dxa"/>
          </w:tcPr>
          <w:p w:rsidR="00CE5DD5" w:rsidRPr="00CE5DD5" w:rsidRDefault="00CE5DD5" w:rsidP="00CE5DD5">
            <w:r w:rsidRPr="00CE5DD5">
              <w:t>The use of a trailing average will provide better investment incentives than prevailing rates.</w:t>
            </w:r>
            <w:r w:rsidRPr="00CE5DD5">
              <w:rPr>
                <w:rStyle w:val="FootnoteReference"/>
              </w:rPr>
              <w:footnoteReference w:id="1368"/>
            </w:r>
          </w:p>
          <w:p w:rsidR="00CE5DD5" w:rsidRPr="00CE5DD5" w:rsidRDefault="00CE5DD5" w:rsidP="00CE5DD5"/>
          <w:p w:rsidR="00CE5DD5" w:rsidRPr="00CE5DD5" w:rsidRDefault="00CE5DD5" w:rsidP="00CE5DD5"/>
        </w:tc>
        <w:tc>
          <w:tcPr>
            <w:tcW w:w="4899" w:type="dxa"/>
          </w:tcPr>
          <w:p w:rsidR="00CE5DD5" w:rsidRPr="00CE5DD5" w:rsidRDefault="00CE5DD5" w:rsidP="00CE5DD5">
            <w:r w:rsidRPr="00CE5DD5">
              <w:t>The trailing average reflects histor</w:t>
            </w:r>
            <w:r w:rsidR="00FE7811">
              <w:t>ic interest rates</w:t>
            </w:r>
            <w:r w:rsidRPr="00CE5DD5">
              <w:t xml:space="preserve"> and only by chance this </w:t>
            </w:r>
            <w:r w:rsidR="00FF6705">
              <w:t xml:space="preserve">will </w:t>
            </w:r>
            <w:r w:rsidRPr="00CE5DD5">
              <w:t xml:space="preserve">reflect </w:t>
            </w:r>
            <w:r w:rsidR="00FE7811">
              <w:t xml:space="preserve">the </w:t>
            </w:r>
            <w:r w:rsidRPr="00CE5DD5">
              <w:t>current required return</w:t>
            </w:r>
            <w:r w:rsidR="00FE7811">
              <w:t xml:space="preserve"> on debt</w:t>
            </w:r>
            <w:r w:rsidRPr="00CE5DD5">
              <w:t>.</w:t>
            </w:r>
          </w:p>
          <w:p w:rsidR="00CE5DD5" w:rsidRPr="00CE5DD5" w:rsidRDefault="00CE5DD5" w:rsidP="00CE5DD5">
            <w:r w:rsidRPr="00CE5DD5">
              <w:t xml:space="preserve">Our consultants consider that since the trailing average is unlikely to reflect current required return, then by definition it will not give the correct signal with respect to the desirability of investments. In other words, they consider it is inappropriate for the computation of an investment’s NPV </w:t>
            </w:r>
            <w:r w:rsidR="00FE7811">
              <w:t xml:space="preserve">to be based on historic rates </w:t>
            </w:r>
            <w:r w:rsidR="006912FE" w:rsidRPr="00CE5DD5">
              <w:t xml:space="preserve">and </w:t>
            </w:r>
            <w:r w:rsidR="00FE7811">
              <w:t xml:space="preserve">consider that </w:t>
            </w:r>
            <w:r w:rsidR="006912FE" w:rsidRPr="00CE5DD5">
              <w:t>if</w:t>
            </w:r>
            <w:r w:rsidRPr="00CE5DD5">
              <w:t xml:space="preserve"> the allowed rate of return is based on the historic cost of debt (</w:t>
            </w:r>
            <w:r w:rsidR="00FE7811">
              <w:t xml:space="preserve">calculated </w:t>
            </w:r>
            <w:r w:rsidRPr="00CE5DD5">
              <w:t xml:space="preserve">using </w:t>
            </w:r>
            <w:r w:rsidR="00FE7811">
              <w:t xml:space="preserve">a </w:t>
            </w:r>
            <w:r w:rsidRPr="00CE5DD5">
              <w:t>trailing average approach), it is likely to result in either understatement or overstatement of the current required rate of return. They consider this will lead to either an understatement or overstatement of allowable revenue, which will in turn provide incentives for underinvestment and overinvestment respectively</w:t>
            </w:r>
            <w:r w:rsidRPr="00CE5DD5">
              <w:rPr>
                <w:rStyle w:val="FootnoteReference"/>
              </w:rPr>
              <w:footnoteReference w:id="1369"/>
            </w:r>
            <w:r w:rsidRPr="00CE5DD5">
              <w:t>. Thus, they do not consider the use of a trailing average will provide better investment incentives than</w:t>
            </w:r>
            <w:r w:rsidR="00FE7811">
              <w:t xml:space="preserve"> the use of the</w:t>
            </w:r>
            <w:r w:rsidRPr="00CE5DD5">
              <w:t xml:space="preserve"> prevailing rate. They note that SFG (for the AEMC) and others have expressed the same view that the on the day rate is likely to provide better investment incentives. </w:t>
            </w:r>
          </w:p>
          <w:p w:rsidR="00CE5DD5" w:rsidRPr="00CE5DD5" w:rsidRDefault="00CE5DD5" w:rsidP="00CE5DD5">
            <w:r w:rsidRPr="00CE5DD5">
              <w:t>Having considered our consultants’ views we remain of the view that the trailing average (</w:t>
            </w:r>
            <w:r w:rsidR="00FE7811">
              <w:t xml:space="preserve">implemented </w:t>
            </w:r>
            <w:r w:rsidRPr="00CE5DD5">
              <w:t xml:space="preserve">with full transition) will promote relatively efficient investment signals as cash flows with the correct present value are obtained </w:t>
            </w:r>
            <w:r w:rsidR="00FE7811">
              <w:t>over the life of the asset</w:t>
            </w:r>
            <w:r w:rsidRPr="00CE5DD5">
              <w:t xml:space="preserve">. To the extent the investment incentives are inferior to those obtained under the on the day approach, we consider the benefits of the trailing average (implemented with full transition) still warrant its use.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ARORO arguably requires compensation to match the BEE’s efficiently incurred financing costs regardless of efficiency</w:t>
            </w:r>
            <w:r w:rsidRPr="00CE5DD5">
              <w:rPr>
                <w:rStyle w:val="FootnoteReference"/>
              </w:rPr>
              <w:footnoteReference w:id="1370"/>
            </w:r>
          </w:p>
          <w:p w:rsidR="00CE5DD5" w:rsidRPr="00CE5DD5" w:rsidRDefault="00CE5DD5" w:rsidP="00CE5DD5"/>
          <w:p w:rsidR="00CE5DD5" w:rsidRPr="00CE5DD5" w:rsidRDefault="00CE5DD5" w:rsidP="00CE5DD5"/>
        </w:tc>
        <w:tc>
          <w:tcPr>
            <w:tcW w:w="4899" w:type="dxa"/>
          </w:tcPr>
          <w:p w:rsidR="00CE5DD5" w:rsidRPr="00CE5DD5" w:rsidRDefault="00CE5DD5" w:rsidP="00CE5DD5">
            <w:r w:rsidRPr="00CE5DD5">
              <w:t>CEG refers to historic financing costs as efficient financing costs, which we do not agree with. We consider efficient financing cost</w:t>
            </w:r>
            <w:r w:rsidR="00FE7811">
              <w:t>s</w:t>
            </w:r>
            <w:r w:rsidRPr="00CE5DD5">
              <w:t xml:space="preserve"> should be defined on an ex-</w:t>
            </w:r>
            <w:r w:rsidR="00410AB6" w:rsidRPr="00CE5DD5">
              <w:t>ante</w:t>
            </w:r>
            <w:r w:rsidR="00410AB6">
              <w:t xml:space="preserve"> or</w:t>
            </w:r>
            <w:r w:rsidR="00FE7811">
              <w:t xml:space="preserve"> forward looking</w:t>
            </w:r>
            <w:r w:rsidRPr="00CE5DD5">
              <w:t xml:space="preserve"> basis and should reflect the current cost of capital. </w:t>
            </w:r>
            <w:r w:rsidR="00FE7811">
              <w:t>The current cost of capital</w:t>
            </w:r>
            <w:r w:rsidRPr="00CE5DD5">
              <w:t xml:space="preserve"> is the opportunity cost that investors currently demand in order to buy a firm’s securities. </w:t>
            </w:r>
            <w:r w:rsidR="00FE7811">
              <w:t>We consider c</w:t>
            </w:r>
            <w:r w:rsidRPr="00CE5DD5">
              <w:t>ompensations based on historic financing cost</w:t>
            </w:r>
            <w:r w:rsidR="00FE7811">
              <w:t>s</w:t>
            </w:r>
            <w:r w:rsidRPr="00CE5DD5">
              <w:t xml:space="preserve"> are not </w:t>
            </w:r>
            <w:r w:rsidR="00A445F5">
              <w:t xml:space="preserve">reflective of </w:t>
            </w:r>
            <w:r w:rsidRPr="00CE5DD5">
              <w:t xml:space="preserve"> efficient</w:t>
            </w:r>
            <w:r w:rsidR="00A445F5">
              <w:t xml:space="preserve"> financing costs</w:t>
            </w:r>
            <w:r w:rsidRPr="00CE5DD5">
              <w:t>. If there was a change in methodology from using on the day approach to trailing average approach, we consider a full transition is required to meet the ARORO and the objectives of the NEL/NGL</w:t>
            </w:r>
            <w:r w:rsidR="00FF6705">
              <w:t>. A full transition is revenue n</w:t>
            </w:r>
            <w:r w:rsidRPr="00CE5DD5">
              <w:t xml:space="preserve">eutral in a present value sense (shown in section H.7.3 in the AER draft decision) </w:t>
            </w:r>
          </w:p>
        </w:tc>
      </w:tr>
      <w:tr w:rsidR="00CE5DD5" w:rsidTr="00C04C58">
        <w:tc>
          <w:tcPr>
            <w:tcW w:w="3794" w:type="dxa"/>
          </w:tcPr>
          <w:p w:rsidR="00CE5DD5" w:rsidRPr="00CE5DD5" w:rsidRDefault="00CE5DD5" w:rsidP="00CE5DD5">
            <w:r w:rsidRPr="00CE5DD5">
              <w:t>The AER has changed its definition/approach to the NPV=0 criterion</w:t>
            </w:r>
            <w:r w:rsidR="00FF6705">
              <w:rPr>
                <w:rStyle w:val="FootnoteReference"/>
              </w:rPr>
              <w:footnoteReference w:id="1371"/>
            </w:r>
          </w:p>
        </w:tc>
        <w:tc>
          <w:tcPr>
            <w:tcW w:w="4899" w:type="dxa"/>
          </w:tcPr>
          <w:p w:rsidR="00CE5DD5" w:rsidRPr="00CE5DD5" w:rsidRDefault="00CE5DD5" w:rsidP="00CE5DD5">
            <w:r w:rsidRPr="00CE5DD5">
              <w:t>We consider the approach we are currently adopting to the NPV=0 criterion, which is ex-ante efficient compensation should result in the ex-ante allowed return on capital cash flows having a present value equal to the present value of the ex-ante efficient cost of capital cash flows required to finance the regulatory asset base (RAB), is consistent with a reasonable interpretation of the ARORO. This is supported by our consultants.</w:t>
            </w:r>
            <w:r w:rsidRPr="00CE5DD5">
              <w:rPr>
                <w:rStyle w:val="FootnoteReference"/>
              </w:rPr>
              <w:footnoteReference w:id="1372"/>
            </w:r>
            <w:r w:rsidRPr="00CE5DD5">
              <w:t xml:space="preserve">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A445F5">
            <w:r w:rsidRPr="00CE5DD5">
              <w:t xml:space="preserve">The mathematical proof  under the AER’s assumption that allowed rates of return are based on a 5 year horizon is invalid given that the AER compensates </w:t>
            </w:r>
            <w:r w:rsidR="00A445F5">
              <w:t xml:space="preserve">debt based </w:t>
            </w:r>
            <w:r w:rsidRPr="00CE5DD5">
              <w:t>on a 10 year horizon</w:t>
            </w:r>
            <w:r w:rsidRPr="00CE5DD5">
              <w:rPr>
                <w:rStyle w:val="FootnoteReference"/>
              </w:rPr>
              <w:footnoteReference w:id="1373"/>
            </w:r>
          </w:p>
        </w:tc>
        <w:tc>
          <w:tcPr>
            <w:tcW w:w="4899" w:type="dxa"/>
          </w:tcPr>
          <w:p w:rsidR="00CE5DD5" w:rsidRPr="00CE5DD5" w:rsidRDefault="00A445F5" w:rsidP="002813FD">
            <w:r w:rsidRPr="00CE5DD5">
              <w:t>We consider this is not a valid criticism. As long as the allowed rate of return in the cash flows is equal to the discount rate used</w:t>
            </w:r>
            <w:r w:rsidRPr="00A445F5">
              <w:t xml:space="preserve"> the RAB at time t+5 should be the same as at time t. We consider our allowed return estimated based on debt with a 10 year maturity should approximat</w:t>
            </w:r>
            <w:r w:rsidR="002813FD">
              <w:t>ely</w:t>
            </w:r>
            <w:r w:rsidRPr="00A445F5">
              <w:t xml:space="preserve"> achieve this for the reasons set out in our decision. The algebra from our consultants is provided below.</w:t>
            </w:r>
          </w:p>
        </w:tc>
      </w:tr>
    </w:tbl>
    <w:p w:rsidR="00CE5DD5" w:rsidRPr="00CE5DD5" w:rsidRDefault="00CE5DD5" w:rsidP="00CE5DD5">
      <w:r w:rsidRPr="00CE5DD5">
        <w:t xml:space="preserve">In the report to the AER, Partington and Satchell expressed their view that a trailing average is inferior to the on the day approach in terms of an efficient investment incentive. </w:t>
      </w:r>
      <w:r w:rsidRPr="00CE5DD5">
        <w:rPr>
          <w:rStyle w:val="FootnoteReference"/>
        </w:rPr>
        <w:footnoteReference w:id="1374"/>
      </w:r>
      <w:r w:rsidRPr="00CE5DD5">
        <w:t>They proposed that the trailing average is likely to be an incentive for inefficient investment and the generation of economic rents</w:t>
      </w:r>
      <w:r w:rsidRPr="00CE5DD5">
        <w:rPr>
          <w:rStyle w:val="FootnoteReference"/>
        </w:rPr>
        <w:footnoteReference w:id="1375"/>
      </w:r>
      <w:r w:rsidRPr="00CE5DD5">
        <w:t xml:space="preserve">, as we discussed in </w:t>
      </w:r>
      <w:r w:rsidR="00945D68">
        <w:fldChar w:fldCharType="begin"/>
      </w:r>
      <w:r w:rsidR="00945D68">
        <w:instrText xml:space="preserve"> REF _Ref447803924 \r \h </w:instrText>
      </w:r>
      <w:r w:rsidR="00945D68">
        <w:fldChar w:fldCharType="separate"/>
      </w:r>
      <w:r w:rsidR="006B4A74">
        <w:t>H.2.3</w:t>
      </w:r>
      <w:r w:rsidR="00945D68">
        <w:fldChar w:fldCharType="end"/>
      </w:r>
      <w:r w:rsidR="00945D68">
        <w:t xml:space="preserve"> </w:t>
      </w:r>
      <w:r w:rsidRPr="00CE5DD5">
        <w:t xml:space="preserve">above. Moreover, Partington and Satchell also pointed out that the cost of equity should be adjusted downwards if </w:t>
      </w:r>
      <w:r w:rsidR="00EC002B">
        <w:t xml:space="preserve">a </w:t>
      </w:r>
      <w:r w:rsidRPr="00CE5DD5">
        <w:t>trailing average approach is adopted, otherwise the regulated entities would be likely to be overcompensated and there would be an incentive to overinvestment. They stated:</w:t>
      </w:r>
      <w:r w:rsidRPr="00CE5DD5">
        <w:rPr>
          <w:rStyle w:val="FootnoteReference"/>
        </w:rPr>
        <w:footnoteReference w:id="1376"/>
      </w:r>
    </w:p>
    <w:p w:rsidR="00CE5DD5" w:rsidRPr="00CE5DD5" w:rsidRDefault="00CE5DD5" w:rsidP="00CE5DD5">
      <w:pPr>
        <w:pStyle w:val="AERquote"/>
      </w:pPr>
      <w:r w:rsidRPr="00CE5DD5">
        <w:t xml:space="preserve"> “Setting the allowed return by using the historic cost of debt and weighting by the amount of financing undertaken substantially reduces the risk of leverage while retaining the benefits. A key effect of leverage for equity holders is to increase the volatility of returns. The equity holders gain from higher returns when the return on debt financed assets exceeds the cost of debt and lose when the return on debt financed assets is less than the cost of debt. The latter risk of loss is reduced if the allowed return is set using the historic cost of debt and more so if the weighting is by the amount of financing undertaken. The volatility of equity returns would be reduced and a consequence of this would be that equity betas would come down. Thus a reduction in the allowed cost of equity would be warranted. If this reduction were not made the regulated entities would be likely to be overcompensated and so there would be an incentive to overinvestment.”</w:t>
      </w:r>
    </w:p>
    <w:p w:rsidR="00CE5DD5" w:rsidRPr="00CE5DD5" w:rsidRDefault="00CE5DD5" w:rsidP="00FC43C9">
      <w:r w:rsidRPr="00CE5DD5">
        <w:t>While we note Partington and Satchell’s concerns, we remain of the view that a trailing aver</w:t>
      </w:r>
      <w:r w:rsidR="006E04B7">
        <w:t>a</w:t>
      </w:r>
      <w:r w:rsidRPr="00CE5DD5">
        <w:t xml:space="preserve">ge (implemented with full transition) will result in reasonably efficient investment incentives. We also note that the use of a trailing average will smooth price volatility for consumers moving forward. </w:t>
      </w:r>
    </w:p>
    <w:p w:rsidR="00CE5DD5" w:rsidRPr="00CE5DD5" w:rsidRDefault="00CE5DD5" w:rsidP="00FC43C9">
      <w:r w:rsidRPr="00CE5DD5">
        <w:t>While we acknowledge the introduction of a trailing average may reduce regulated firms default risk and equity beta, we consider material changes in risk should be reflected in benchmarked cost of capital parameters in the future. To the extent this occurs this benefit may flow through to consumers in the form of lower regulated rates of return in future revenue determinations.</w:t>
      </w:r>
    </w:p>
    <w:p w:rsidR="00CE5DD5" w:rsidRPr="00CE5DD5" w:rsidRDefault="00CE5DD5" w:rsidP="002656D9">
      <w:pPr>
        <w:pStyle w:val="HeadingItalic"/>
      </w:pPr>
      <w:bookmarkStart w:id="498" w:name="_Toc480460909"/>
      <w:r w:rsidRPr="00CE5DD5">
        <w:t>Response to CEG’s criticism on the AER’s application of the NPV=0 criterion</w:t>
      </w:r>
      <w:bookmarkEnd w:id="498"/>
    </w:p>
    <w:p w:rsidR="00CE5DD5" w:rsidRPr="00CE5DD5" w:rsidRDefault="00CE5DD5" w:rsidP="00CE5DD5">
      <w:r w:rsidRPr="00CE5DD5">
        <w:t xml:space="preserve">We agree with our consultants that the zero </w:t>
      </w:r>
      <w:r w:rsidR="00A445F5">
        <w:t>net present value (</w:t>
      </w:r>
      <w:r w:rsidRPr="00CE5DD5">
        <w:t>NPV</w:t>
      </w:r>
      <w:r w:rsidR="00A445F5">
        <w:t>)</w:t>
      </w:r>
      <w:r w:rsidRPr="00CE5DD5">
        <w:t xml:space="preserve">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 </w:t>
      </w:r>
      <w:r w:rsidRPr="00CE5DD5">
        <w:rPr>
          <w:rStyle w:val="FootnoteReference"/>
        </w:rPr>
        <w:footnoteReference w:id="1377"/>
      </w:r>
      <w:r w:rsidRPr="00CE5DD5">
        <w:t xml:space="preserve"> This is basic theory of business finance.</w:t>
      </w:r>
    </w:p>
    <w:p w:rsidR="00CE5DD5" w:rsidRPr="00CE5DD5" w:rsidRDefault="00CE5DD5" w:rsidP="00CE5DD5">
      <w:r w:rsidRPr="00CE5DD5">
        <w:t>Partington and Satchell consider that the allowed rate of return should be the rate of return consistent with regulated assets being a zero NPV investment. The theory of finance (and common practice) is that in computing the weighted average cost of capital</w:t>
      </w:r>
      <w:r w:rsidR="00A445F5">
        <w:t xml:space="preserve"> (WACC)</w:t>
      </w:r>
      <w:r w:rsidRPr="00CE5DD5">
        <w:t xml:space="preserve"> for use in NPV calculations it is the current required returns on debt and equity that should be used.</w:t>
      </w:r>
      <w:r w:rsidRPr="00CE5DD5">
        <w:rPr>
          <w:rStyle w:val="FootnoteReference"/>
        </w:rPr>
        <w:footnoteReference w:id="1378"/>
      </w:r>
      <w:r w:rsidRPr="00CE5DD5">
        <w:t xml:space="preserve"> </w:t>
      </w:r>
    </w:p>
    <w:p w:rsidR="00CE5DD5" w:rsidRPr="00CE5DD5" w:rsidRDefault="00CE5DD5" w:rsidP="00CE5DD5">
      <w:r w:rsidRPr="00CE5DD5">
        <w:t>We agree with Partington and Satchell that efficient debt financing costs reflect prevailing market rates and investment in regulated firms shou</w:t>
      </w:r>
      <w:r w:rsidR="006E04B7">
        <w:t>l</w:t>
      </w:r>
      <w:r w:rsidRPr="00CE5DD5">
        <w:t>d be a zero NPV activity. Given this, we consider the trailing aver</w:t>
      </w:r>
      <w:r w:rsidR="006E04B7">
        <w:t>a</w:t>
      </w:r>
      <w:r w:rsidRPr="00CE5DD5">
        <w:t xml:space="preserve">ge must be estimated based on prevailing rates (i.e. implemented in a forward looking manner) to ensure a zero NPV condition is maintained. </w:t>
      </w:r>
    </w:p>
    <w:p w:rsidR="00CE5DD5" w:rsidRPr="00CE5DD5" w:rsidRDefault="00CE5DD5" w:rsidP="00CE5DD5">
      <w:r w:rsidRPr="00CE5DD5">
        <w:t>CEG  claim</w:t>
      </w:r>
      <w:r w:rsidR="00A445F5">
        <w:t>s</w:t>
      </w:r>
      <w:r w:rsidRPr="00CE5DD5">
        <w:t xml:space="preserve"> </w:t>
      </w:r>
      <w:r w:rsidR="00A445F5">
        <w:t>the AER's view is the</w:t>
      </w:r>
      <w:r w:rsidRPr="00CE5DD5">
        <w:t xml:space="preserve"> zero NPV investment criterion is based on the present value of cash flows ‘before efficiently incurred debt financing costs are removed’.</w:t>
      </w:r>
      <w:r w:rsidRPr="00CE5DD5">
        <w:rPr>
          <w:rStyle w:val="FootnoteReference"/>
        </w:rPr>
        <w:footnoteReference w:id="1379"/>
      </w:r>
      <w:r w:rsidRPr="00CE5DD5">
        <w:t xml:space="preserve"> It </w:t>
      </w:r>
      <w:r w:rsidR="00A445F5">
        <w:t>then</w:t>
      </w:r>
      <w:r w:rsidRPr="00CE5DD5">
        <w:t xml:space="preserve"> claims that ‘the AER’s new NPV criterion assumes zero debt financing at the commencement of the regulatory control period’.</w:t>
      </w:r>
      <w:r w:rsidRPr="00CE5DD5">
        <w:rPr>
          <w:rStyle w:val="FootnoteReference"/>
        </w:rPr>
        <w:footnoteReference w:id="1380"/>
      </w:r>
      <w:r w:rsidRPr="00CE5DD5">
        <w:t xml:space="preserve"> </w:t>
      </w:r>
      <w:r w:rsidR="00A445F5" w:rsidRPr="00CE5DD5">
        <w:t>W</w:t>
      </w:r>
      <w:r w:rsidR="00A445F5">
        <w:t>e agree the NPV calculation should be performed on total cash flows to capital before debt financing costs are removed. This is supported by our consultants. However, we</w:t>
      </w:r>
      <w:r w:rsidR="00A445F5" w:rsidRPr="00CE5DD5">
        <w:t xml:space="preserve"> disagree with CEG</w:t>
      </w:r>
      <w:r w:rsidR="00A445F5">
        <w:t xml:space="preserve"> that this assumes no debt financing at the commencement of the regulatory control period</w:t>
      </w:r>
      <w:r w:rsidR="00A445F5" w:rsidRPr="00CE5DD5">
        <w:t xml:space="preserve">.  </w:t>
      </w:r>
      <w:r w:rsidRPr="00CE5DD5">
        <w:t xml:space="preserve"> As explained above, we consider it is the current required returns on debt rather than the historical cost of debt that is relevant in NPV calculation. We consider our zero NPV criterion is consistent with well accepted finance theory and holds even if a benchmark efficient entity has </w:t>
      </w:r>
      <w:r w:rsidR="00A445F5">
        <w:t xml:space="preserve">outstanding </w:t>
      </w:r>
      <w:r w:rsidRPr="00CE5DD5">
        <w:t xml:space="preserve">debt. This is supported by our consultants. Partington and Satchell argue that if debt financing costs were to be removed from the cash flow before computing the present value of the cash flow, </w:t>
      </w:r>
      <w:r w:rsidR="00410AB6">
        <w:t>you</w:t>
      </w:r>
      <w:r w:rsidR="00410AB6" w:rsidRPr="00CE5DD5">
        <w:t xml:space="preserve"> would</w:t>
      </w:r>
      <w:r w:rsidRPr="00CE5DD5">
        <w:t xml:space="preserve"> be left with the cash-flow to equity. The cash flow to equity would appropriately be discounted at the current cost of equity to give the market value of equity. While the debt financing cash flows would be discounted at the current cost of debt to give the market value of debt. These two values add together would be exactly the same as th</w:t>
      </w:r>
      <w:r w:rsidR="00A445F5">
        <w:t>e value</w:t>
      </w:r>
      <w:r w:rsidRPr="00CE5DD5">
        <w:t xml:space="preserve"> obtained by valuing the cash flows before “debt financing costs are removed” by discounting at the WACC based on the current costs of debt and equity. </w:t>
      </w:r>
      <w:r w:rsidRPr="00CE5DD5">
        <w:rPr>
          <w:rStyle w:val="FootnoteReference"/>
        </w:rPr>
        <w:footnoteReference w:id="1381"/>
      </w:r>
      <w:r w:rsidRPr="00CE5DD5">
        <w:t xml:space="preserve"> </w:t>
      </w:r>
    </w:p>
    <w:p w:rsidR="00CE5DD5" w:rsidRPr="00CE5DD5" w:rsidRDefault="00CE5DD5" w:rsidP="00CE5DD5">
      <w:r w:rsidRPr="00CE5DD5">
        <w:t>We also agree with Partington and Satchell that any shifts in the value of assets and liabilities occurs  at the time interest rate changes and would give rise to (immediate) gains or losses to the debtholders and shareholders. Consequently, at the start of the next regulatory period, the effect of interest rate shifts will already have been fully reflected in the equity market value of the entity undertaking the investment.</w:t>
      </w:r>
      <w:r w:rsidRPr="00CE5DD5">
        <w:rPr>
          <w:rStyle w:val="FootnoteReference"/>
        </w:rPr>
        <w:footnoteReference w:id="1382"/>
      </w:r>
      <w:r w:rsidRPr="00CE5DD5">
        <w:t xml:space="preserve"> Therefore, we consider our application of the NPV=0 criterion holds for a BEE with debt financing at the commencement of the regulatory control period.</w:t>
      </w:r>
    </w:p>
    <w:p w:rsidR="00CE5DD5" w:rsidRDefault="00CE5DD5" w:rsidP="00CE5DD5">
      <w:r w:rsidRPr="00CE5DD5">
        <w:t xml:space="preserve">Partington and Satchell further emphasise the appropriate discount rate in computing the NPV as the opportunity cost of capital to support the points made above. </w:t>
      </w:r>
      <w:r w:rsidRPr="00CE5DD5">
        <w:rPr>
          <w:rStyle w:val="FootnoteReference"/>
        </w:rPr>
        <w:footnoteReference w:id="1383"/>
      </w:r>
      <w:r w:rsidRPr="00CE5DD5">
        <w:t xml:space="preserve"> The current required rates of return on a firm’s asset should be equal to the rate of return that is currently offered in the capital market by securities of equivalent risk to the asset in equilibrium. If the return on the </w:t>
      </w:r>
      <w:r w:rsidR="00A445F5">
        <w:t xml:space="preserve">regulated </w:t>
      </w:r>
      <w:r w:rsidRPr="00CE5DD5">
        <w:t xml:space="preserve">asset is lower than the return on the equivalent risk securities, investors will prefer to invest in </w:t>
      </w:r>
      <w:r w:rsidR="00A445F5">
        <w:t xml:space="preserve">other </w:t>
      </w:r>
      <w:r w:rsidRPr="00CE5DD5">
        <w:t xml:space="preserve">securities rather than the </w:t>
      </w:r>
      <w:r w:rsidR="00A445F5">
        <w:t xml:space="preserve">regulated </w:t>
      </w:r>
      <w:r w:rsidRPr="00CE5DD5">
        <w:t>asset.</w:t>
      </w:r>
      <w:r w:rsidR="00266C03">
        <w:t xml:space="preserve"> </w:t>
      </w:r>
      <w:r w:rsidRPr="00CE5DD5">
        <w:t>Hence, the prevailing cost of capital</w:t>
      </w:r>
      <w:r w:rsidR="00A445F5">
        <w:t xml:space="preserve"> from securities with the same risk as the regulated asset</w:t>
      </w:r>
      <w:r w:rsidRPr="00CE5DD5">
        <w:t xml:space="preserve"> should be set as an allowed rate of return as it gives the opportunity cost of capital. </w:t>
      </w:r>
      <w:r w:rsidR="00A445F5">
        <w:t>Partington and Satchell also note that</w:t>
      </w:r>
      <w:r w:rsidRPr="00CE5DD5">
        <w:t xml:space="preserve"> it is well understood that in a competitive industry the competition drives the prices of the goods produced to an equilibrium where investment is a zero NPV activity.</w:t>
      </w:r>
      <w:r w:rsidR="00362C11">
        <w:rPr>
          <w:rStyle w:val="FootnoteReference"/>
        </w:rPr>
        <w:footnoteReference w:id="1384"/>
      </w:r>
      <w:r w:rsidRPr="00CE5DD5">
        <w:t xml:space="preserve"> Partington and Satchell also point out that in markets where producers have significant monopoly power this competitive equilibrium will not prevail unless there is a regulator who sets an allowed rate of return that result in zero NPV investments.</w:t>
      </w:r>
      <w:r w:rsidRPr="00CE5DD5">
        <w:rPr>
          <w:rStyle w:val="FootnoteReference"/>
        </w:rPr>
        <w:footnoteReference w:id="1385"/>
      </w:r>
    </w:p>
    <w:p w:rsidR="00CE5DD5" w:rsidRPr="00CE5DD5" w:rsidRDefault="00CE5DD5" w:rsidP="002656D9">
      <w:pPr>
        <w:pStyle w:val="HeadingItalic"/>
      </w:pPr>
      <w:bookmarkStart w:id="499" w:name="_Toc480460910"/>
      <w:r w:rsidRPr="00CE5DD5">
        <w:t>The validity of the AER’s mathematical proof</w:t>
      </w:r>
      <w:bookmarkEnd w:id="499"/>
    </w:p>
    <w:p w:rsidR="00CE5DD5" w:rsidRPr="00CE5DD5" w:rsidRDefault="00CE5DD5" w:rsidP="00CE5DD5">
      <w:r w:rsidRPr="00CE5DD5">
        <w:t>CEG proposed that the mathematical proof under the AER’s assumption that allowed rates of return are based on a 5 year horizon is invalid given that the AER compensates on a 10 year horizon for the cost of debt.</w:t>
      </w:r>
      <w:r w:rsidR="00362C11">
        <w:rPr>
          <w:rStyle w:val="FootnoteReference"/>
        </w:rPr>
        <w:footnoteReference w:id="1386"/>
      </w:r>
      <w:r w:rsidRPr="00CE5DD5">
        <w:t xml:space="preserve"> To address this issue we sought advice from our consultants. They provided the mathematical proof </w:t>
      </w:r>
      <w:r w:rsidR="00362C11">
        <w:t xml:space="preserve">and explanation </w:t>
      </w:r>
      <w:r w:rsidRPr="00CE5DD5">
        <w:t>below:</w:t>
      </w:r>
      <w:r w:rsidR="00EF48B3">
        <w:rPr>
          <w:rStyle w:val="FootnoteReference"/>
        </w:rPr>
        <w:footnoteReference w:id="1387"/>
      </w:r>
    </w:p>
    <w:p w:rsidR="00CE5DD5" w:rsidRPr="00CE5DD5" w:rsidRDefault="00CE5DD5" w:rsidP="00CE5DD5">
      <w:r w:rsidRPr="00CE5DD5">
        <w:t xml:space="preserve">Let N be the regulatory period, t the current time, let c be the allowed rate of return and r the discount rate, both known at time t. Let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CE5DD5">
        <w:t xml:space="preserve"> be the RAB at time t. </w:t>
      </w:r>
    </w:p>
    <w:p w:rsidR="00CE5DD5" w:rsidRPr="00CE5DD5" w:rsidRDefault="00CE5DD5" w:rsidP="00CE5DD5">
      <w:r w:rsidRPr="00CE5DD5">
        <w:t xml:space="preserve">Let </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CE5DD5">
        <w:t xml:space="preserve"> be the present value of an investment at time t; let </w:t>
      </w:r>
      <m:oMath>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 xml:space="preserve"> </m:t>
        </m:r>
      </m:oMath>
      <w:r w:rsidRPr="00CE5DD5">
        <w:t>be the net operating cash flow for year t. The present value equation is that:</w:t>
      </w:r>
    </w:p>
    <w:p w:rsidR="00CE5DD5" w:rsidRPr="00CE5DD5" w:rsidRDefault="00334917" w:rsidP="00CE5DD5">
      <m:oMath>
        <m:sSub>
          <m:sSubPr>
            <m:ctrlPr>
              <w:rPr>
                <w:rFonts w:ascii="Cambria Math" w:hAnsi="Cambria Math"/>
                <w:i/>
              </w:rPr>
            </m:ctrlPr>
          </m:sSubPr>
          <m:e>
            <m:r>
              <w:rPr>
                <w:rFonts w:ascii="Cambria Math" w:hAnsi="Cambria Math"/>
              </w:rPr>
              <m:t>PV</m:t>
            </m:r>
          </m:e>
          <m:sub>
            <m:r>
              <w:rPr>
                <w:rFonts w:ascii="Cambria Math" w:hAnsi="Cambria Math"/>
              </w:rPr>
              <m:t>t</m:t>
            </m:r>
          </m:sub>
        </m:sSub>
        <m:r>
          <w:rPr>
            <w:rFonts w:ascii="Cambria Math" w:hAnsi="Cambria Math"/>
          </w:rPr>
          <m:t xml:space="preserve"> </m:t>
        </m:r>
      </m:oMath>
      <w:r w:rsidR="00CE5DD5" w:rsidRPr="00CE5DD5">
        <w:t>=</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s=t+1</m:t>
                </m:r>
              </m:sub>
              <m:sup>
                <m:r>
                  <w:rPr>
                    <w:rFonts w:ascii="Cambria Math" w:hAnsi="Cambria Math"/>
                  </w:rPr>
                  <m:t>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s</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s-t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t+N</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N</m:t>
                        </m:r>
                      </m:sup>
                    </m:sSup>
                  </m:den>
                </m:f>
              </m:e>
            </m:nary>
          </m:e>
        </m:d>
        <m:r>
          <w:rPr>
            <w:rFonts w:ascii="Cambria Math" w:hAnsi="Cambria Math"/>
          </w:rPr>
          <m:t xml:space="preserve">                   </m:t>
        </m:r>
      </m:oMath>
      <w:r w:rsidR="00CE5DD5" w:rsidRPr="00CE5DD5">
        <w:tab/>
      </w:r>
      <w:r w:rsidR="00CE5DD5" w:rsidRPr="00CE5DD5">
        <w:tab/>
      </w:r>
      <w:r w:rsidR="00CE5DD5" w:rsidRPr="00CE5DD5">
        <w:tab/>
        <w:t>(1)</w:t>
      </w:r>
    </w:p>
    <w:p w:rsidR="00CE5DD5" w:rsidRPr="00CE5DD5" w:rsidRDefault="00CE5DD5" w:rsidP="00CE5DD5">
      <w:r w:rsidRPr="00CE5DD5">
        <w:t>Consistent with the AER’s assumptions in H7.3, we make the following two assumptions:</w:t>
      </w:r>
    </w:p>
    <w:p w:rsidR="00CE5DD5" w:rsidRPr="00CE5DD5" w:rsidRDefault="00CE5DD5" w:rsidP="00CE5DD5">
      <w:r w:rsidRPr="00CE5DD5">
        <w:t>Assumption 1</w:t>
      </w:r>
      <w:r w:rsidR="006E04B7">
        <w:t>:</w:t>
      </w:r>
      <w:r w:rsidRPr="00CE5DD5">
        <w:t xml:space="preserve"> We shall assume that </w:t>
      </w:r>
      <m:oMath>
        <m:sSub>
          <m:sSubPr>
            <m:ctrlPr>
              <w:rPr>
                <w:rFonts w:ascii="Cambria Math" w:hAnsi="Cambria Math"/>
                <w:i/>
              </w:rPr>
            </m:ctrlPr>
          </m:sSubPr>
          <m:e>
            <m:r>
              <w:rPr>
                <w:rFonts w:ascii="Cambria Math" w:hAnsi="Cambria Math"/>
              </w:rPr>
              <m:t>CF</m:t>
            </m:r>
          </m:e>
          <m:sub>
            <m:r>
              <w:rPr>
                <w:rFonts w:ascii="Cambria Math" w:hAnsi="Cambria Math"/>
              </w:rPr>
              <m:t>s</m:t>
            </m:r>
          </m:sub>
        </m:sSub>
      </m:oMath>
      <w:r w:rsidRPr="00CE5DD5">
        <w:t>= c</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CE5DD5">
        <w:t>; s=t+1,...,t+N.</w:t>
      </w:r>
    </w:p>
    <w:p w:rsidR="00CE5DD5" w:rsidRPr="00CE5DD5" w:rsidRDefault="00CE5DD5" w:rsidP="00CE5DD5">
      <w:r w:rsidRPr="00CE5DD5">
        <w:t>Assumption 2</w:t>
      </w:r>
      <w:r w:rsidR="006E04B7">
        <w:t>:</w:t>
      </w:r>
      <w:r w:rsidRPr="00CE5DD5">
        <w:t xml:space="preserve"> We shall assume that </w:t>
      </w:r>
      <m:oMath>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oMath>
      <w:r w:rsidRPr="00CE5DD5">
        <w:t>=</w:t>
      </w:r>
      <m:oMath>
        <m:r>
          <w:rPr>
            <w:rFonts w:ascii="Cambria Math" w:hAnsi="Cambria Math"/>
          </w:rPr>
          <m:t xml:space="preserve"> </m:t>
        </m:r>
        <m:sSub>
          <m:sSubPr>
            <m:ctrlPr>
              <w:rPr>
                <w:rFonts w:ascii="Cambria Math" w:hAnsi="Cambria Math"/>
                <w:i/>
              </w:rPr>
            </m:ctrlPr>
          </m:sSubPr>
          <m:e>
            <m:r>
              <w:rPr>
                <w:rFonts w:ascii="Cambria Math" w:hAnsi="Cambria Math"/>
              </w:rPr>
              <m:t>PV</m:t>
            </m:r>
          </m:e>
          <m:sub>
            <m:r>
              <w:rPr>
                <w:rFonts w:ascii="Cambria Math" w:hAnsi="Cambria Math"/>
              </w:rPr>
              <m:t>t</m:t>
            </m:r>
          </m:sub>
        </m:sSub>
      </m:oMath>
    </w:p>
    <w:p w:rsidR="00CE5DD5" w:rsidRPr="00CE5DD5" w:rsidRDefault="00CE5DD5" w:rsidP="00CE5DD5">
      <w:r w:rsidRPr="00CE5DD5">
        <w:t>Theorem. If equation 1 holds as well as Assumptions 1 and 2, then c = r.</w:t>
      </w:r>
    </w:p>
    <w:p w:rsidR="00CE5DD5" w:rsidRPr="00CE5DD5" w:rsidRDefault="00CE5DD5" w:rsidP="00CE5DD5">
      <w:r w:rsidRPr="00CE5DD5">
        <w:t>Proof.</w:t>
      </w:r>
    </w:p>
    <w:p w:rsidR="00CE5DD5" w:rsidRPr="00CE5DD5" w:rsidRDefault="00CE5DD5" w:rsidP="00CE5DD5">
      <w:r w:rsidRPr="00CE5DD5">
        <w:t>Under the above assumptions, nothing is stochastic at time t; so we can drop the expected value operator. Equation 1 becomes, letting a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(1+r)</m:t>
            </m:r>
          </m:den>
        </m:f>
      </m:oMath>
    </w:p>
    <w:p w:rsidR="00CE5DD5" w:rsidRPr="00CE5DD5" w:rsidRDefault="00CE5DD5" w:rsidP="00CE5DD5">
      <w:r w:rsidRPr="00CE5DD5">
        <w:t>1 = c</w:t>
      </w:r>
      <m:oMath>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CE5DD5">
        <w:t>; simplifying, we see that</w:t>
      </w:r>
    </w:p>
    <w:p w:rsidR="00CE5DD5" w:rsidRPr="00CE5DD5" w:rsidRDefault="00CE5DD5" w:rsidP="00CE5DD5">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=ca</m:t>
        </m:r>
        <m:d>
          <m:dPr>
            <m:ctrlPr>
              <w:rPr>
                <w:rFonts w:ascii="Cambria Math" w:hAnsi="Cambria Math"/>
                <w:i/>
              </w:rPr>
            </m:ctrlPr>
          </m:dPr>
          <m:e>
            <m:f>
              <m:fPr>
                <m:ctrlPr>
                  <w:rPr>
                    <w:rFonts w:ascii="Cambria Math" w:hAnsi="Cambria Math"/>
                    <w:i/>
                  </w:rPr>
                </m:ctrlPr>
              </m:fPr>
              <m:num>
                <m:r>
                  <w:rPr>
                    <w:rFonts w:ascii="Cambria Math" w:hAnsi="Cambria Math"/>
                  </w:rPr>
                  <m:t xml:space="preserve">   1-</m:t>
                </m:r>
                <m:sSup>
                  <m:sSupPr>
                    <m:ctrlPr>
                      <w:rPr>
                        <w:rFonts w:ascii="Cambria Math" w:hAnsi="Cambria Math"/>
                        <w:i/>
                      </w:rPr>
                    </m:ctrlPr>
                  </m:sSupPr>
                  <m:e>
                    <m:r>
                      <w:rPr>
                        <w:rFonts w:ascii="Cambria Math" w:hAnsi="Cambria Math"/>
                      </w:rPr>
                      <m:t>a</m:t>
                    </m:r>
                  </m:e>
                  <m:sup>
                    <m:r>
                      <w:rPr>
                        <w:rFonts w:ascii="Cambria Math" w:hAnsi="Cambria Math"/>
                      </w:rPr>
                      <m:t>N</m:t>
                    </m:r>
                  </m:sup>
                </m:sSup>
              </m:num>
              <m:den>
                <m:r>
                  <w:rPr>
                    <w:rFonts w:ascii="Cambria Math" w:hAnsi="Cambria Math"/>
                  </w:rPr>
                  <m:t>1-a</m:t>
                </m:r>
              </m:den>
            </m:f>
          </m:e>
        </m:d>
      </m:oMath>
      <w:r w:rsidRPr="00CE5DD5">
        <w:t>,</w:t>
      </w:r>
    </w:p>
    <w:p w:rsidR="00CE5DD5" w:rsidRPr="00CE5DD5" w:rsidRDefault="00CE5DD5" w:rsidP="00CE5DD5">
      <w:r w:rsidRPr="00CE5DD5">
        <w:t xml:space="preserve">as long as r&gt;0, a&lt;1 </w:t>
      </w:r>
    </w:p>
    <w:p w:rsidR="00CE5DD5" w:rsidRPr="00CE5DD5" w:rsidRDefault="00CE5DD5" w:rsidP="00CE5DD5">
      <w:r w:rsidRPr="00CE5DD5">
        <w:t xml:space="preserve">We can cancel </w:t>
      </w:r>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CE5DD5">
        <w:t>and 1=</w:t>
      </w:r>
      <m:oMath>
        <m:r>
          <w:rPr>
            <w:rFonts w:ascii="Cambria Math" w:hAnsi="Cambria Math"/>
          </w:rPr>
          <m:t xml:space="preserve"> c</m:t>
        </m:r>
        <m:d>
          <m:dPr>
            <m:ctrlPr>
              <w:rPr>
                <w:rFonts w:ascii="Cambria Math" w:hAnsi="Cambria Math"/>
                <w:i/>
              </w:rPr>
            </m:ctrlPr>
          </m:dPr>
          <m:e>
            <m:f>
              <m:fPr>
                <m:ctrlPr>
                  <w:rPr>
                    <w:rFonts w:ascii="Cambria Math" w:hAnsi="Cambria Math"/>
                    <w:i/>
                  </w:rPr>
                </m:ctrlPr>
              </m:fPr>
              <m:num>
                <m:r>
                  <w:rPr>
                    <w:rFonts w:ascii="Cambria Math" w:hAnsi="Cambria Math"/>
                  </w:rPr>
                  <m:t xml:space="preserve">   a</m:t>
                </m:r>
              </m:num>
              <m:den>
                <m:r>
                  <w:rPr>
                    <w:rFonts w:ascii="Cambria Math" w:hAnsi="Cambria Math"/>
                  </w:rPr>
                  <m:t>1-a</m:t>
                </m:r>
              </m:den>
            </m:f>
          </m:e>
        </m:d>
      </m:oMath>
      <w:r w:rsidRPr="00CE5DD5">
        <w:t>,</w:t>
      </w:r>
    </w:p>
    <w:p w:rsidR="00CE5DD5" w:rsidRPr="00CE5DD5" w:rsidRDefault="00CE5DD5" w:rsidP="00CE5DD5">
      <w:r w:rsidRPr="00CE5DD5">
        <w:t xml:space="preserve"> c =</w:t>
      </w:r>
      <m:oMath>
        <m:r>
          <w:rPr>
            <w:rFonts w:ascii="Cambria Math" w:hAnsi="Cambria Math"/>
          </w:rPr>
          <m:t xml:space="preserve"> </m:t>
        </m:r>
        <m:f>
          <m:fPr>
            <m:ctrlPr>
              <w:rPr>
                <w:rFonts w:ascii="Cambria Math" w:hAnsi="Cambria Math"/>
                <w:i/>
              </w:rPr>
            </m:ctrlPr>
          </m:fPr>
          <m:num>
            <m:r>
              <w:rPr>
                <w:rFonts w:ascii="Cambria Math" w:hAnsi="Cambria Math"/>
              </w:rPr>
              <m:t>1-a</m:t>
            </m:r>
          </m:num>
          <m:den>
            <m:r>
              <w:rPr>
                <w:rFonts w:ascii="Cambria Math" w:hAnsi="Cambria Math"/>
              </w:rPr>
              <m:t>a</m:t>
            </m:r>
          </m:den>
        </m:f>
        <m:r>
          <w:rPr>
            <w:rFonts w:ascii="Cambria Math" w:hAnsi="Cambria Math"/>
          </w:rPr>
          <m:t xml:space="preserve"> </m:t>
        </m:r>
      </m:oMath>
      <w:r w:rsidRPr="00CE5DD5">
        <w:t>=</w:t>
      </w:r>
      <m:oMath>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(1+r)</m:t>
                </m:r>
              </m:den>
            </m:f>
          </m:num>
          <m:den>
            <m:f>
              <m:fPr>
                <m:ctrlPr>
                  <w:rPr>
                    <w:rFonts w:ascii="Cambria Math" w:hAnsi="Cambria Math"/>
                    <w:i/>
                  </w:rPr>
                </m:ctrlPr>
              </m:fPr>
              <m:num>
                <m:r>
                  <w:rPr>
                    <w:rFonts w:ascii="Cambria Math" w:hAnsi="Cambria Math"/>
                  </w:rPr>
                  <m:t>1</m:t>
                </m:r>
              </m:num>
              <m:den>
                <m:r>
                  <w:rPr>
                    <w:rFonts w:ascii="Cambria Math" w:hAnsi="Cambria Math"/>
                  </w:rPr>
                  <m:t>(1+r)</m:t>
                </m:r>
              </m:den>
            </m:f>
          </m:den>
        </m:f>
        <m:r>
          <w:rPr>
            <w:rFonts w:ascii="Cambria Math" w:hAnsi="Cambria Math"/>
          </w:rPr>
          <m:t xml:space="preserve"> </m:t>
        </m:r>
      </m:oMath>
      <w:r w:rsidRPr="00CE5DD5">
        <w:t xml:space="preserve"> . We multiply top and bottom by 1+r,</w:t>
      </w:r>
    </w:p>
    <w:p w:rsidR="00CE5DD5" w:rsidRPr="00CE5DD5" w:rsidRDefault="00CE5DD5" w:rsidP="00CE5DD5">
      <w:r w:rsidRPr="00CE5DD5">
        <w:t>c=</w:t>
      </w:r>
      <m:oMath>
        <m:f>
          <m:fPr>
            <m:ctrlPr>
              <w:rPr>
                <w:rFonts w:ascii="Cambria Math" w:hAnsi="Cambria Math"/>
                <w:i/>
              </w:rPr>
            </m:ctrlPr>
          </m:fPr>
          <m:num>
            <m:r>
              <w:rPr>
                <w:rFonts w:ascii="Cambria Math" w:hAnsi="Cambria Math"/>
              </w:rPr>
              <m:t>1+r-1</m:t>
            </m:r>
          </m:num>
          <m:den>
            <m:r>
              <w:rPr>
                <w:rFonts w:ascii="Cambria Math" w:hAnsi="Cambria Math"/>
              </w:rPr>
              <m:t>1</m:t>
            </m:r>
          </m:den>
        </m:f>
      </m:oMath>
      <w:r w:rsidRPr="00CE5DD5">
        <w:t>=r</w:t>
      </w:r>
    </w:p>
    <w:p w:rsidR="00CE5DD5" w:rsidRPr="00CE5DD5" w:rsidRDefault="00CE5DD5" w:rsidP="00CE5DD5">
      <w:r w:rsidRPr="00CE5DD5">
        <w:t>This proof demonstrates that if the discount rate is equal to the 5 year rate at the beginning of the regulatory period, then the RAB at</w:t>
      </w:r>
      <w:r w:rsidR="00362C11">
        <w:t xml:space="preserve"> time</w:t>
      </w:r>
      <w:r w:rsidRPr="00CE5DD5">
        <w:t xml:space="preserve"> t+5 will be the same as at</w:t>
      </w:r>
      <w:r w:rsidR="00362C11">
        <w:t xml:space="preserve"> time</w:t>
      </w:r>
      <w:r w:rsidRPr="00CE5DD5">
        <w:t xml:space="preserve"> t as long as the allowed rate of return in the cash flows is equal to the 5 year rate. The same property will be true if we use the 10 year rate to discount </w:t>
      </w:r>
      <w:r w:rsidR="00362C11">
        <w:t xml:space="preserve">cash flows </w:t>
      </w:r>
      <w:r w:rsidR="00410AB6">
        <w:t>with</w:t>
      </w:r>
      <w:r w:rsidR="00410AB6" w:rsidRPr="00CE5DD5">
        <w:t xml:space="preserve"> as</w:t>
      </w:r>
      <w:r w:rsidRPr="00CE5DD5">
        <w:t xml:space="preserve"> long as the allowed rate of return in the cash flows is equal to the discount rate used. Also the value of N is arbitrary, so the above would be true if the regulatory period is five years, or ten years, or some other period.</w:t>
      </w:r>
    </w:p>
    <w:p w:rsidR="00CE5DD5" w:rsidRDefault="00CE5DD5" w:rsidP="00CE5DD5">
      <w:r w:rsidRPr="00CE5DD5">
        <w:t>It would matter, however, if we used the 10 year rate for discounting and the 5 year rate for the allowed rate of return in the cash flows (or vice-versa) and, because the term structure had appreciable slope, these two numbers were notably different.</w:t>
      </w:r>
      <w:r w:rsidR="00EC002B">
        <w:t xml:space="preserve"> </w:t>
      </w:r>
      <w:r w:rsidR="00EC002B" w:rsidRPr="00EC002B">
        <w:t xml:space="preserve">However, our use of a 10 year return on debt does not imply an allowed return materially above the appropriate discount rate, </w:t>
      </w:r>
      <w:r w:rsidR="00410AB6" w:rsidRPr="00EC002B">
        <w:t>particularly</w:t>
      </w:r>
      <w:r w:rsidR="00EC002B" w:rsidRPr="00EC002B">
        <w:t xml:space="preserve"> given we do not explicitly provide allowances</w:t>
      </w:r>
      <w:r w:rsidR="00A176EC">
        <w:t xml:space="preserve"> for certain</w:t>
      </w:r>
      <w:r w:rsidR="00EC002B" w:rsidRPr="00EC002B">
        <w:t xml:space="preserve"> costs as we noted in footnote 1106 of our draft decision.</w:t>
      </w:r>
      <w:r w:rsidR="00EC002B" w:rsidRPr="00EC002B">
        <w:rPr>
          <w:rStyle w:val="FootnoteReference"/>
        </w:rPr>
        <w:footnoteReference w:id="1388"/>
      </w:r>
      <w:r w:rsidR="00EC002B" w:rsidRPr="00EC002B">
        <w:t xml:space="preserve"> Our commentary on this point was also noted by our consultants.</w:t>
      </w:r>
      <w:r w:rsidR="00EC002B" w:rsidRPr="00EC002B">
        <w:rPr>
          <w:rStyle w:val="FootnoteReference"/>
        </w:rPr>
        <w:footnoteReference w:id="1389"/>
      </w:r>
      <w:r w:rsidR="00EC002B" w:rsidRPr="00EC002B">
        <w:t xml:space="preserve"> </w:t>
      </w:r>
    </w:p>
    <w:p w:rsidR="00362C11" w:rsidRPr="00CE5DD5" w:rsidRDefault="00362C11" w:rsidP="00362C11">
      <w:r>
        <w:t>Having fully considered CEG's arguments and sought and received advice on the matter, we remain of the view our mathematical proof is valid in demonstrating why a full transition is necessary to achieve the ARORO.</w:t>
      </w:r>
    </w:p>
    <w:p w:rsidR="00CE5DD5" w:rsidRPr="00CE5DD5" w:rsidRDefault="00CE5DD5" w:rsidP="002656D9">
      <w:pPr>
        <w:pStyle w:val="HeadingBoldItalic"/>
      </w:pPr>
      <w:bookmarkStart w:id="500" w:name="_Toc480460911"/>
      <w:r w:rsidRPr="00CE5DD5">
        <w:t>Proposals for a hybrid approach based on partial hedging</w:t>
      </w:r>
      <w:bookmarkEnd w:id="500"/>
      <w:r w:rsidRPr="00CE5DD5">
        <w:t xml:space="preserve"> </w:t>
      </w:r>
    </w:p>
    <w:p w:rsidR="00CE5DD5" w:rsidRPr="00CE5DD5" w:rsidRDefault="00CE5DD5" w:rsidP="00CE5DD5">
      <w:r w:rsidRPr="00CE5DD5">
        <w:t>Several service providers previously submitted that if we do not accept their first preference to adopt an immediate transition, we should apply a hybrid transition based on the assumption that a benchmark efficient entity would only hedge one third of the base rate.</w:t>
      </w:r>
      <w:r w:rsidRPr="00CE5DD5">
        <w:rPr>
          <w:rStyle w:val="FootnoteReference"/>
        </w:rPr>
        <w:footnoteReference w:id="1390"/>
      </w:r>
      <w:r w:rsidRPr="00CE5DD5">
        <w:t xml:space="preserve"> In expressing this preference, these service providers assume</w:t>
      </w:r>
      <w:r w:rsidR="00362C11">
        <w:t>d</w:t>
      </w:r>
      <w:r w:rsidRPr="00CE5DD5">
        <w:t xml:space="preserve"> it would have been optimal for a benchmark efficient entity to hedge one third (rather than 100 per cent) of the base rate under the on-the-day approach.</w:t>
      </w:r>
      <w:r w:rsidRPr="00CE5DD5">
        <w:rPr>
          <w:rStyle w:val="FootnoteReference"/>
        </w:rPr>
        <w:footnoteReference w:id="1391"/>
      </w:r>
      <w:r w:rsidRPr="00CE5DD5">
        <w:t xml:space="preserve"> We note that AusNet did not propose partial hedging in its revised proposal, it proposed a hybrid transition of just the base rate component of the return on debt as its second preference to the immediate transition before it dropped </w:t>
      </w:r>
      <w:r w:rsidR="00362C11">
        <w:t xml:space="preserve">its </w:t>
      </w:r>
      <w:r w:rsidRPr="00CE5DD5">
        <w:t>position</w:t>
      </w:r>
      <w:r w:rsidR="00362C11" w:rsidRPr="00362C11">
        <w:t xml:space="preserve"> </w:t>
      </w:r>
      <w:r w:rsidR="00362C11">
        <w:t>and indicated it would accept the AER's proposed Guideline transition)</w:t>
      </w:r>
      <w:r w:rsidR="00362C11" w:rsidRPr="00CE5DD5">
        <w:t xml:space="preserve">. Nevertheless, </w:t>
      </w:r>
      <w:r w:rsidR="00362C11">
        <w:t xml:space="preserve">for completeness, </w:t>
      </w:r>
      <w:r w:rsidRPr="00CE5DD5">
        <w:t xml:space="preserve">we consider it is appropriate for the AER to continue to respond to the partial hedging argument that was proposed by some other service providers who we made decisions for in 2016. </w:t>
      </w:r>
    </w:p>
    <w:p w:rsidR="00CE5DD5" w:rsidRPr="00CE5DD5" w:rsidRDefault="00CE5DD5" w:rsidP="00CE5DD5">
      <w:r w:rsidRPr="00CE5DD5">
        <w:t xml:space="preserve">Under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(historical) cost over any given regulatory period. We do not base our reasons for a full transition on actual (historical) debt costs or debt financing (or hedging) practices because we are operating under an ex-ante regulatory regime rather than a cost of service model (see </w:t>
      </w:r>
      <w:r w:rsidRPr="00CE5DD5">
        <w:fldChar w:fldCharType="begin"/>
      </w:r>
      <w:r w:rsidRPr="00CE5DD5">
        <w:instrText xml:space="preserve"> REF  _Ref447807493 \* Lower \h </w:instrText>
      </w:r>
      <w:r w:rsidRPr="00CE5DD5">
        <w:fldChar w:fldCharType="separate"/>
      </w:r>
      <w:r w:rsidR="006B4A74" w:rsidRPr="00CE5DD5">
        <w:t xml:space="preserve">table </w:t>
      </w:r>
      <w:r w:rsidR="006B4A74">
        <w:rPr>
          <w:noProof/>
        </w:rPr>
        <w:t>3</w:t>
      </w:r>
      <w:r w:rsidR="006B4A74">
        <w:noBreakHyphen/>
      </w:r>
      <w:r w:rsidR="006B4A74">
        <w:rPr>
          <w:noProof/>
        </w:rPr>
        <w:t>37</w:t>
      </w:r>
      <w:r w:rsidRPr="00CE5DD5">
        <w:fldChar w:fldCharType="end"/>
      </w:r>
      <w:r w:rsidRPr="00CE5DD5">
        <w:t xml:space="preserve"> above).</w:t>
      </w:r>
    </w:p>
    <w:p w:rsidR="00CE5DD5" w:rsidRPr="00CE5DD5" w:rsidRDefault="00CE5DD5" w:rsidP="00CE5DD5">
      <w:r w:rsidRPr="00CE5DD5">
        <w:t xml:space="preserve">Nevertheless, </w:t>
      </w:r>
      <w:r w:rsidR="00362C11">
        <w:t xml:space="preserve">in making our May 2016 decisions </w:t>
      </w:r>
      <w:r w:rsidRPr="00CE5DD5">
        <w:t xml:space="preserve">we reviewed the service providers' submissions and CEG's </w:t>
      </w:r>
      <w:r w:rsidR="00362C11">
        <w:t xml:space="preserve">January </w:t>
      </w:r>
      <w:r w:rsidRPr="00CE5DD5">
        <w:t xml:space="preserve">2016 report in detail. </w:t>
      </w:r>
      <w:r w:rsidR="00362C11">
        <w:t>As we noted in our decisions made in May 2016, w</w:t>
      </w:r>
      <w:r w:rsidRPr="00CE5DD5">
        <w:t>e are not satisfied it is reasonable to assume (in isolation) the benchmark efficient financing strategy under the on-the-day approach involved hedging only one third of the base rate.</w:t>
      </w:r>
    </w:p>
    <w:p w:rsidR="00CE5DD5" w:rsidRPr="00CE5DD5" w:rsidRDefault="00CE5DD5" w:rsidP="00CE5DD5">
      <w:r w:rsidRPr="00CE5DD5">
        <w:t>First, observed practices of regulated energy network firms appear more consistent with a benchmark assumption of 100 per cent hedging than one third hedging (of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CE5DD5">
        <w:rPr>
          <w:rStyle w:val="FootnoteReference"/>
        </w:rPr>
        <w:footnoteReference w:id="1392"/>
      </w:r>
      <w:r w:rsidRPr="00CE5DD5">
        <w:t xml:space="preserve"> More recently, we collected return on debt data from a number of regulated energy network service providers. This data corroborated our findings from the 2009 WACC review.</w:t>
      </w:r>
      <w:r w:rsidRPr="00CE5DD5">
        <w:rPr>
          <w:rStyle w:val="FootnoteReference"/>
        </w:rPr>
        <w:footnoteReference w:id="1393"/>
      </w:r>
      <w:r w:rsidRPr="00CE5DD5">
        <w:t xml:space="preserve"> Recent annual reports also show similar findings.</w:t>
      </w:r>
      <w:r w:rsidRPr="00CE5DD5">
        <w:rPr>
          <w:rStyle w:val="FootnoteReference"/>
        </w:rPr>
        <w:footnoteReference w:id="1394"/>
      </w:r>
      <w:r w:rsidRPr="00CE5DD5">
        <w:t xml:space="preserve"> </w:t>
      </w:r>
    </w:p>
    <w:p w:rsidR="00CE5DD5" w:rsidRPr="00CE5DD5" w:rsidRDefault="00CE5DD5" w:rsidP="00CE5DD5">
      <w:r w:rsidRPr="00CE5DD5">
        <w:t>Second, we consider proposals to depart from specific aspects of our preferred benchmark efficient financing practices should not be viewed in isolation.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sidRPr="00CE5DD5">
        <w:rPr>
          <w:rStyle w:val="FootnoteReference"/>
        </w:rPr>
        <w:footnoteReference w:id="1395"/>
      </w:r>
    </w:p>
    <w:p w:rsidR="00CE5DD5" w:rsidRPr="00CE5DD5" w:rsidRDefault="00CE5DD5" w:rsidP="00CE5DD5">
      <w:r w:rsidRPr="00CE5DD5">
        <w:t xml:space="preserve">Third, we responded to submissions supporting an optimal hedging ratio of less than one third (including CEG's June 2015 report) in our </w:t>
      </w:r>
      <w:r w:rsidR="00362C11">
        <w:t>October and November 2015</w:t>
      </w:r>
      <w:r w:rsidRPr="00CE5DD5">
        <w:t xml:space="preserve"> decisions, based on advice from Lally and Chairmont.</w:t>
      </w:r>
      <w:r w:rsidRPr="00CE5DD5">
        <w:rPr>
          <w:rStyle w:val="FootnoteReference"/>
        </w:rPr>
        <w:footnoteReference w:id="1396"/>
      </w:r>
      <w:r w:rsidRPr="00CE5DD5">
        <w:t xml:space="preserve"> CEG responded to Lally and Chairmont's advice in its </w:t>
      </w:r>
      <w:r w:rsidR="00362C11">
        <w:t>January 2016</w:t>
      </w:r>
      <w:r w:rsidRPr="00CE5DD5">
        <w:t xml:space="preserve"> report. However, our reasons for a gradual transition are not based on the actual debt financing and/or hedging practices of service providers (efficient or not). Further, we consider the reasoning provided above is sufficient to show that 100 per cent hedging (of the base rate) is a reasonable benchmark. Therefore, we </w:t>
      </w:r>
      <w:r w:rsidR="00362C11">
        <w:t>did</w:t>
      </w:r>
      <w:r w:rsidRPr="00CE5DD5">
        <w:t xml:space="preserve"> not commission further advice from </w:t>
      </w:r>
      <w:r w:rsidR="00362C11">
        <w:t>either Lally or Chairmont</w:t>
      </w:r>
      <w:r w:rsidRPr="00CE5DD5">
        <w:t xml:space="preserve"> in response to CEG's</w:t>
      </w:r>
      <w:r w:rsidR="00362C11">
        <w:t xml:space="preserve"> January</w:t>
      </w:r>
      <w:r w:rsidRPr="00CE5DD5">
        <w:t xml:space="preserve"> 2016 report. </w:t>
      </w:r>
    </w:p>
    <w:p w:rsidR="00CE5DD5" w:rsidRPr="00CE5DD5" w:rsidRDefault="00CE5DD5" w:rsidP="00CE5DD5">
      <w:r w:rsidRPr="00CE5DD5">
        <w:t>Further, we do not consider an on-the-day approach would require compensation for swap transaction costs. Several service providers</w:t>
      </w:r>
      <w:r w:rsidR="00291828">
        <w:t xml:space="preserve"> have previously</w:t>
      </w:r>
      <w:r w:rsidRPr="00CE5DD5">
        <w:t xml:space="preserve"> proposed to add an allowance for swap transaction costs to their return on debt each year if a hybrid transition (full or partial) is used.</w:t>
      </w:r>
      <w:r w:rsidRPr="00CE5DD5">
        <w:rPr>
          <w:rStyle w:val="FootnoteReference"/>
        </w:rPr>
        <w:footnoteReference w:id="1397"/>
      </w:r>
      <w:r w:rsidRPr="00CE5DD5">
        <w:t xml:space="preserve"> This is in line with CEG's advice (or references to Chairmont).</w:t>
      </w:r>
      <w:r w:rsidRPr="00CE5DD5">
        <w:rPr>
          <w:rStyle w:val="FootnoteReference"/>
        </w:rPr>
        <w:footnoteReference w:id="1398"/>
      </w:r>
      <w:r w:rsidRPr="00CE5DD5">
        <w:t xml:space="preserve"> We note that service providers </w:t>
      </w:r>
      <w:r w:rsidR="00291828">
        <w:t xml:space="preserve">in prior decisions </w:t>
      </w:r>
      <w:r w:rsidRPr="00CE5DD5">
        <w:t>request</w:t>
      </w:r>
      <w:r w:rsidR="00291828">
        <w:t>ed</w:t>
      </w:r>
      <w:r w:rsidRPr="00CE5DD5">
        <w:t xml:space="preserve"> this allowance if we apply a hybrid transition to a trailing average.</w:t>
      </w:r>
      <w:r w:rsidRPr="00CE5DD5">
        <w:rPr>
          <w:rStyle w:val="FootnoteReference"/>
        </w:rPr>
        <w:footnoteReference w:id="1399"/>
      </w:r>
      <w:r w:rsidRPr="00CE5DD5">
        <w:t xml:space="preserve"> We maintain our view from our recent decisions.</w:t>
      </w:r>
      <w:r w:rsidRPr="00CE5DD5">
        <w:rPr>
          <w:rStyle w:val="FootnoteReference"/>
        </w:rPr>
        <w:footnoteReference w:id="1400"/>
      </w:r>
      <w:r w:rsidRPr="00CE5DD5">
        <w:t xml:space="preserve"> That is:</w:t>
      </w:r>
    </w:p>
    <w:p w:rsidR="00CE5DD5" w:rsidRPr="00CE5DD5" w:rsidRDefault="00CE5DD5" w:rsidP="00CE5DD5">
      <w:pPr>
        <w:pStyle w:val="AERbulletlistfirststyle"/>
      </w:pPr>
      <w:r w:rsidRPr="00CE5DD5">
        <w:t xml:space="preserve">We are not satisfied that customers should pay for the service providers' reduction in interest rate risk that results from hedging. CEG </w:t>
      </w:r>
      <w:r w:rsidR="00291828">
        <w:t xml:space="preserve">in its January 2016 report </w:t>
      </w:r>
      <w:r w:rsidRPr="00CE5DD5">
        <w:t>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CE5DD5">
        <w:rPr>
          <w:rStyle w:val="FootnoteReference"/>
        </w:rPr>
        <w:footnoteReference w:id="1401"/>
      </w:r>
      <w:r w:rsidRPr="00CE5DD5">
        <w:t xml:space="preserve"> We disagree. We consider a rate of return that meets the ARORO must provide for ex-ante efficient compensation (see section </w:t>
      </w:r>
      <w:r w:rsidRPr="00CE5DD5">
        <w:fldChar w:fldCharType="begin"/>
      </w:r>
      <w:r w:rsidRPr="00CE5DD5">
        <w:instrText xml:space="preserve"> REF _Ref444778432 \r \h </w:instrText>
      </w:r>
      <w:r w:rsidRPr="00CE5DD5">
        <w:fldChar w:fldCharType="separate"/>
      </w:r>
      <w:r w:rsidR="006B4A74">
        <w:t>H.2</w:t>
      </w:r>
      <w:r w:rsidRPr="00CE5DD5">
        <w:fldChar w:fldCharType="end"/>
      </w:r>
      <w:r w:rsidRPr="00CE5DD5">
        <w:t>), and this view does not invalidate our reference to the NERA report.</w:t>
      </w:r>
    </w:p>
    <w:p w:rsidR="00CE5DD5" w:rsidRPr="00CE5DD5" w:rsidRDefault="00CE5DD5" w:rsidP="00CE5DD5">
      <w:pPr>
        <w:pStyle w:val="AERbulletlistfirststyle"/>
      </w:pPr>
      <w:r w:rsidRPr="00CE5DD5">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 hedge when the benefits outweigh the costs, stating that this 'suggests the costs are covered by the value enhancement that results'.</w:t>
      </w:r>
      <w:r w:rsidRPr="00CE5DD5">
        <w:rPr>
          <w:rStyle w:val="FootnoteReference"/>
        </w:rPr>
        <w:footnoteReference w:id="1402"/>
      </w:r>
    </w:p>
    <w:p w:rsidR="00CE5DD5" w:rsidRPr="00CE5DD5" w:rsidRDefault="00CE5DD5" w:rsidP="00CE5DD5">
      <w:pPr>
        <w:pStyle w:val="AERbulletlistfirststyle"/>
      </w:pPr>
      <w:r w:rsidRPr="00CE5DD5">
        <w:t>We agree with Lally's advice that hedging would have been self-funding because the saving in converting 10 year debt into five year debt would have offset the cost of the hedge. Moreover, there is wide support for the view that interest rates on longer-term debt securities are often higher than those on shorter-term debt securities.</w:t>
      </w:r>
      <w:r w:rsidRPr="00CE5DD5">
        <w:rPr>
          <w:rStyle w:val="FootnoteReference"/>
        </w:rPr>
        <w:footnoteReference w:id="1403"/>
      </w:r>
      <w:r w:rsidRPr="00CE5DD5">
        <w:t xml:space="preserve"> Therefore, even if we are incorrect in assuming hedging costs do not need compensation, we have effectively provided an allowance for these costs by using a ten year term on the base rate.</w:t>
      </w:r>
    </w:p>
    <w:p w:rsidR="00CE5DD5" w:rsidRPr="00CE5DD5" w:rsidRDefault="00CE5DD5" w:rsidP="00CE5DD5"/>
    <w:p w:rsidR="00A933BB" w:rsidRDefault="00A933BB" w:rsidP="00A933BB">
      <w:pPr>
        <w:pStyle w:val="Heading7"/>
      </w:pPr>
      <w:bookmarkStart w:id="501" w:name="_Ref479168623"/>
      <w:bookmarkStart w:id="502" w:name="_Toc481057502"/>
      <w:r>
        <w:t>Return on debt implementation</w:t>
      </w:r>
      <w:bookmarkEnd w:id="501"/>
      <w:bookmarkEnd w:id="502"/>
    </w:p>
    <w:p w:rsidR="00A933BB" w:rsidRDefault="00A933BB" w:rsidP="00A933BB">
      <w:r>
        <w:t>This section sets out our detailed analysis of the key issues raised by stakeholders relating to the implementation of the return on debt approach. The analysis is set out in the following sections:</w:t>
      </w:r>
    </w:p>
    <w:p w:rsidR="00A933BB" w:rsidRPr="00A933BB" w:rsidRDefault="00A933BB" w:rsidP="00A933BB">
      <w:pPr>
        <w:pStyle w:val="AERbulletlistfirststyle"/>
      </w:pPr>
      <w:r>
        <w:t>criticisms of our current approach</w:t>
      </w:r>
    </w:p>
    <w:p w:rsidR="00A933BB" w:rsidRDefault="00A933BB" w:rsidP="00A933BB">
      <w:pPr>
        <w:pStyle w:val="AERbulletlistsecondstyle"/>
      </w:pPr>
      <w:r>
        <w:t>CEG’s curve criteria</w:t>
      </w:r>
    </w:p>
    <w:p w:rsidR="00A933BB" w:rsidRDefault="00A933BB" w:rsidP="00A933BB">
      <w:pPr>
        <w:pStyle w:val="AERbulletlistsecondstyle"/>
      </w:pPr>
      <w:r>
        <w:t>issues with the RBA curve</w:t>
      </w:r>
    </w:p>
    <w:p w:rsidR="00A933BB" w:rsidRDefault="00A933BB" w:rsidP="00A933BB">
      <w:pPr>
        <w:pStyle w:val="AERbulletlistsecondstyle"/>
      </w:pPr>
      <w:r>
        <w:t>the issue of sample size</w:t>
      </w:r>
    </w:p>
    <w:p w:rsidR="00A933BB" w:rsidRDefault="00A933BB" w:rsidP="00A933BB">
      <w:pPr>
        <w:pStyle w:val="AERbulletlistsecondstyle"/>
      </w:pPr>
      <w:r>
        <w:t>the Asciano, Mirvac and Jemena bonds</w:t>
      </w:r>
    </w:p>
    <w:p w:rsidR="00A933BB" w:rsidRDefault="00A933BB" w:rsidP="00A933BB">
      <w:pPr>
        <w:pStyle w:val="AERbulletlistsecondstyle"/>
      </w:pPr>
      <w:r>
        <w:t>conservativeness of the current approach</w:t>
      </w:r>
    </w:p>
    <w:p w:rsidR="00A933BB" w:rsidRPr="00A933BB" w:rsidRDefault="00A933BB" w:rsidP="00A933BB">
      <w:pPr>
        <w:pStyle w:val="AERbulletlistfirststyle"/>
      </w:pPr>
      <w:r>
        <w:t>the Thomson Reuters curve</w:t>
      </w:r>
    </w:p>
    <w:p w:rsidR="00A933BB" w:rsidRPr="00A933BB" w:rsidRDefault="00A933BB" w:rsidP="00A933BB">
      <w:pPr>
        <w:pStyle w:val="AERbulletlistfirststyle"/>
      </w:pPr>
      <w:r>
        <w:t>other issues</w:t>
      </w:r>
    </w:p>
    <w:p w:rsidR="00A933BB" w:rsidRDefault="00A933BB" w:rsidP="00A933BB">
      <w:pPr>
        <w:pStyle w:val="AERbulletlistsecondstyle"/>
      </w:pPr>
      <w:r>
        <w:t>choice of extrapolation method</w:t>
      </w:r>
    </w:p>
    <w:p w:rsidR="00A933BB" w:rsidRPr="00A933BB" w:rsidRDefault="00523854" w:rsidP="00A933BB">
      <w:pPr>
        <w:pStyle w:val="AERbulletlistfirststyle"/>
      </w:pPr>
      <w:r>
        <w:t>credit rating</w:t>
      </w:r>
    </w:p>
    <w:p w:rsidR="00A933BB" w:rsidRPr="00D729CA" w:rsidRDefault="00A933BB" w:rsidP="00A933BB">
      <w:r w:rsidRPr="00D729CA">
        <w:t xml:space="preserve">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 in time, it is possible that one curve or the other will better reflect the costs of the benchmark entity. However, for the reasons set out in this and previous decisions, we are not satisfied that there is a robust means to quantitatively identify which of the curves </w:t>
      </w:r>
      <w:r>
        <w:t>is the best match</w:t>
      </w:r>
      <w:r w:rsidRPr="00D729CA">
        <w:t>.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A933BB" w:rsidRDefault="00A933BB" w:rsidP="002656D9">
      <w:pPr>
        <w:pStyle w:val="Heading8"/>
        <w:numPr>
          <w:ilvl w:val="1"/>
          <w:numId w:val="33"/>
        </w:numPr>
        <w:tabs>
          <w:tab w:val="clear" w:pos="1305"/>
          <w:tab w:val="num" w:pos="709"/>
        </w:tabs>
        <w:ind w:hanging="1305"/>
      </w:pPr>
      <w:bookmarkStart w:id="503" w:name="_Toc481057503"/>
      <w:bookmarkStart w:id="504" w:name="_Toc449624775"/>
      <w:bookmarkStart w:id="505" w:name="_Toc451947848"/>
      <w:r>
        <w:t>Criticisms of our current approach</w:t>
      </w:r>
      <w:bookmarkEnd w:id="503"/>
    </w:p>
    <w:p w:rsidR="00A933BB" w:rsidRDefault="00A933BB" w:rsidP="00A164C0">
      <w:pPr>
        <w:pStyle w:val="Heading9"/>
      </w:pPr>
      <w:bookmarkStart w:id="506" w:name="_Toc480460914"/>
      <w:r>
        <w:t>Using appropriate criteria</w:t>
      </w:r>
      <w:bookmarkEnd w:id="506"/>
    </w:p>
    <w:p w:rsidR="00A933BB" w:rsidRPr="0080170B" w:rsidRDefault="00A933BB" w:rsidP="00A933BB">
      <w:r w:rsidRPr="0080170B">
        <w:t>We consider that decisions on the rate of return are more likely to achieve the allowed rate of return objective if they use estimation methods, financial models, market data and other evidence that are:</w:t>
      </w:r>
      <w:r>
        <w:rPr>
          <w:rStyle w:val="FootnoteReference"/>
        </w:rPr>
        <w:footnoteReference w:id="1404"/>
      </w:r>
      <w:r w:rsidRPr="0080170B">
        <w:t xml:space="preserve"> </w:t>
      </w:r>
    </w:p>
    <w:p w:rsidR="00A933BB" w:rsidRPr="0080170B" w:rsidRDefault="00A933BB" w:rsidP="00A933BB">
      <w:pPr>
        <w:pStyle w:val="AERquote"/>
      </w:pPr>
    </w:p>
    <w:p w:rsidR="00A933BB" w:rsidRPr="0080170B" w:rsidRDefault="00A933BB" w:rsidP="00A933BB">
      <w:pPr>
        <w:pStyle w:val="AERquote"/>
      </w:pPr>
      <w:r w:rsidRPr="0080170B">
        <w:t xml:space="preserve">(1) where applicable, reflective of economic and finance principles and market information </w:t>
      </w:r>
    </w:p>
    <w:p w:rsidR="00A933BB" w:rsidRPr="00A933BB" w:rsidRDefault="00A933BB" w:rsidP="00A933BB">
      <w:pPr>
        <w:pStyle w:val="AERquoteindent1"/>
      </w:pPr>
      <w:r>
        <w:tab/>
      </w:r>
      <w:r w:rsidRPr="00A933BB">
        <w:t>(a)</w:t>
      </w:r>
      <w:r w:rsidRPr="00A933BB">
        <w:tab/>
        <w:t xml:space="preserve">estimation methods and financial models are consistent with well accepted economic and finance principles and informed by sound empirical analysis and robust data </w:t>
      </w:r>
    </w:p>
    <w:p w:rsidR="00A933BB" w:rsidRPr="0080170B" w:rsidRDefault="00A933BB" w:rsidP="00A933BB">
      <w:pPr>
        <w:pStyle w:val="AERquote"/>
      </w:pPr>
      <w:r w:rsidRPr="0080170B">
        <w:t xml:space="preserve">(2) fit for purpose </w:t>
      </w:r>
    </w:p>
    <w:p w:rsidR="00A933BB" w:rsidRPr="00A933BB" w:rsidRDefault="00A933BB" w:rsidP="00A933BB">
      <w:pPr>
        <w:pStyle w:val="AERquote"/>
      </w:pPr>
      <w:r>
        <w:tab/>
      </w:r>
      <w:r w:rsidRPr="00A933BB">
        <w:t xml:space="preserve">(a) </w:t>
      </w:r>
      <w:r w:rsidRPr="00A933BB">
        <w:tab/>
        <w:t xml:space="preserve">the use of estimation methods, financial models, market data and other evidence should be consistent with the original purpose for which it was compiled and have regard to the limitations of that purpose </w:t>
      </w:r>
    </w:p>
    <w:p w:rsidR="00A933BB" w:rsidRPr="0080170B" w:rsidRDefault="00A933BB" w:rsidP="00A933BB">
      <w:pPr>
        <w:pStyle w:val="AERquote"/>
      </w:pPr>
      <w:r>
        <w:tab/>
      </w:r>
      <w:r w:rsidRPr="0080170B">
        <w:t>(b)</w:t>
      </w:r>
      <w:r>
        <w:tab/>
      </w:r>
      <w:r w:rsidRPr="0080170B">
        <w:t xml:space="preserve">promote simple over complex approaches where appropriate </w:t>
      </w:r>
    </w:p>
    <w:p w:rsidR="00A933BB" w:rsidRPr="0080170B" w:rsidRDefault="00A933BB" w:rsidP="00A933BB">
      <w:pPr>
        <w:pStyle w:val="AERquote"/>
      </w:pPr>
      <w:r w:rsidRPr="0080170B">
        <w:t xml:space="preserve">(3) implemented in accordance with good practice </w:t>
      </w:r>
    </w:p>
    <w:p w:rsidR="00A933BB" w:rsidRPr="00A933BB" w:rsidRDefault="00A933BB" w:rsidP="00A933BB">
      <w:pPr>
        <w:pStyle w:val="AERquote"/>
      </w:pPr>
      <w:r>
        <w:tab/>
      </w:r>
      <w:r w:rsidRPr="00A933BB">
        <w:t xml:space="preserve">(a) </w:t>
      </w:r>
      <w:r w:rsidRPr="00A933BB">
        <w:tab/>
        <w:t xml:space="preserve">supported by robust, transparent and replicable analysis that is derived from available credible datasets </w:t>
      </w:r>
    </w:p>
    <w:p w:rsidR="00A933BB" w:rsidRPr="0080170B" w:rsidRDefault="00A933BB" w:rsidP="00A933BB">
      <w:pPr>
        <w:pStyle w:val="AERquote"/>
      </w:pPr>
      <w:r w:rsidRPr="0080170B">
        <w:t xml:space="preserve">(4) where models of the return on equity and debt are used these are </w:t>
      </w:r>
    </w:p>
    <w:p w:rsidR="00A933BB" w:rsidRPr="00A933BB" w:rsidRDefault="00A933BB" w:rsidP="00A933BB">
      <w:pPr>
        <w:pStyle w:val="AERquote"/>
      </w:pPr>
      <w:r>
        <w:tab/>
      </w:r>
      <w:r w:rsidRPr="00A933BB">
        <w:t xml:space="preserve">(a) </w:t>
      </w:r>
      <w:r w:rsidRPr="00A933BB">
        <w:tab/>
        <w:t xml:space="preserve">based on quantitative modelling that is sufficiently robust as to not be unduly sensitive to errors in inputs estimation </w:t>
      </w:r>
    </w:p>
    <w:p w:rsidR="00A933BB" w:rsidRPr="00A933BB" w:rsidRDefault="00A933BB" w:rsidP="00A933BB">
      <w:pPr>
        <w:pStyle w:val="AERquote"/>
      </w:pPr>
      <w:r>
        <w:tab/>
      </w:r>
      <w:r w:rsidRPr="00A933BB">
        <w:t xml:space="preserve">(b) </w:t>
      </w:r>
      <w:r w:rsidRPr="00A933BB">
        <w:tab/>
        <w:t xml:space="preserve">based on quantitative modelling which avoids arbitrary filtering or adjustment of data, which does not have a sound rationale </w:t>
      </w:r>
    </w:p>
    <w:p w:rsidR="00A933BB" w:rsidRPr="0080170B" w:rsidRDefault="00A933BB" w:rsidP="00A933BB">
      <w:pPr>
        <w:pStyle w:val="AERquote"/>
      </w:pPr>
      <w:r w:rsidRPr="0080170B">
        <w:t xml:space="preserve">(5) where market data and other information is used, this information is </w:t>
      </w:r>
    </w:p>
    <w:p w:rsidR="00A933BB" w:rsidRPr="0080170B" w:rsidRDefault="00A933BB" w:rsidP="00A933BB">
      <w:pPr>
        <w:pStyle w:val="AERquote"/>
      </w:pPr>
      <w:r>
        <w:tab/>
      </w:r>
      <w:r w:rsidRPr="0080170B">
        <w:t xml:space="preserve">(a) </w:t>
      </w:r>
      <w:r>
        <w:tab/>
      </w:r>
      <w:r w:rsidRPr="0080170B">
        <w:t xml:space="preserve">credible and verifiable </w:t>
      </w:r>
    </w:p>
    <w:p w:rsidR="00A933BB" w:rsidRPr="0080170B" w:rsidRDefault="00A933BB" w:rsidP="00A933BB">
      <w:pPr>
        <w:pStyle w:val="AERquote"/>
      </w:pPr>
      <w:r>
        <w:tab/>
      </w:r>
      <w:r w:rsidRPr="0080170B">
        <w:t>(b)</w:t>
      </w:r>
      <w:r>
        <w:tab/>
      </w:r>
      <w:r w:rsidRPr="0080170B">
        <w:t xml:space="preserve">comparable and timely </w:t>
      </w:r>
    </w:p>
    <w:p w:rsidR="00A933BB" w:rsidRPr="0080170B" w:rsidRDefault="00A933BB" w:rsidP="00A933BB">
      <w:pPr>
        <w:pStyle w:val="AERquote"/>
      </w:pPr>
      <w:r>
        <w:tab/>
      </w:r>
      <w:r w:rsidRPr="0080170B">
        <w:t xml:space="preserve">(c) </w:t>
      </w:r>
      <w:r>
        <w:tab/>
      </w:r>
      <w:r w:rsidRPr="0080170B">
        <w:t xml:space="preserve">clearly sourced </w:t>
      </w:r>
    </w:p>
    <w:p w:rsidR="00A933BB" w:rsidRPr="0080170B" w:rsidRDefault="00A933BB" w:rsidP="00A933BB">
      <w:pPr>
        <w:pStyle w:val="AERquote"/>
      </w:pPr>
      <w:r w:rsidRPr="0080170B">
        <w:t xml:space="preserve">(6) sufficiently flexible as to allow changing </w:t>
      </w:r>
    </w:p>
    <w:p w:rsidR="00A933BB" w:rsidRDefault="00A933BB" w:rsidP="00A933BB">
      <w:r>
        <w:t>These criteria are in the rate of return guideline and have been through a rigorous consultation process. When making our decisions we are required to have regard to the revenue and pricing principles. We have to give consideration to the need for network service prices and charges to provide returns commensurate with both regulatory and commercial risks involved in providing the services. We must also have regard to the economic risks of under or over investment. We seek to minimise regulatory, economic and commercial risks in the national electricity and gas markets through consistency in the application of our regulatory approaches, after having undertaken rigorous consultation and testing of those approaches.</w:t>
      </w:r>
    </w:p>
    <w:p w:rsidR="00A933BB" w:rsidRPr="00D729CA" w:rsidRDefault="00A933BB" w:rsidP="00A933BB">
      <w:r w:rsidRPr="00D729CA">
        <w:t xml:space="preserve">In the event that we were to consider inclusion of additional curves in future, we are not persuaded by the methodology adopted by CEG to justify a recommendation of </w:t>
      </w:r>
      <w:r>
        <w:t>a</w:t>
      </w:r>
      <w:r w:rsidRPr="00D729CA">
        <w:t xml:space="preserve"> 100</w:t>
      </w:r>
      <w:r>
        <w:t> per cent</w:t>
      </w:r>
      <w:r w:rsidRPr="00D729CA">
        <w:t xml:space="preserve"> reliance on the RBA curve.</w:t>
      </w:r>
      <w:r w:rsidRPr="00D729CA">
        <w:rPr>
          <w:rStyle w:val="FootnoteReference"/>
        </w:rPr>
        <w:footnoteReference w:id="1405"/>
      </w:r>
      <w:r w:rsidRPr="00D729CA">
        <w:t xml:space="preserve"> This particular weighting appears arbitrary and is based on qualitative criteria set out by CEG which do not appear to improve on or replace the set of principles that were set out in the </w:t>
      </w:r>
      <w:r>
        <w:t>G</w:t>
      </w:r>
      <w:r w:rsidRPr="00D729CA">
        <w:t>uideline and consulted on more widely.</w:t>
      </w:r>
      <w:r w:rsidRPr="00D729CA">
        <w:rPr>
          <w:rStyle w:val="FootnoteReference"/>
        </w:rPr>
        <w:footnoteReference w:id="1406"/>
      </w:r>
      <w:r w:rsidRPr="00D729CA">
        <w:t xml:space="preserve"> As noted recently by the Tribunal in relation to the choice of data sets adopted in our guideline:</w:t>
      </w:r>
    </w:p>
    <w:p w:rsidR="00A933BB" w:rsidRPr="00D729CA" w:rsidRDefault="00A933BB" w:rsidP="00A933BB">
      <w:pPr>
        <w:pStyle w:val="AERquote"/>
      </w:pPr>
      <w:r w:rsidRPr="00D729CA">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D729CA">
        <w:rPr>
          <w:rStyle w:val="FootnoteReference"/>
        </w:rPr>
        <w:footnoteReference w:id="1407"/>
      </w:r>
    </w:p>
    <w:p w:rsidR="00A933BB" w:rsidRPr="00D729CA" w:rsidRDefault="00A933BB" w:rsidP="00A933BB">
      <w:r w:rsidRPr="00D729CA">
        <w:t xml:space="preserve">We remain satisfied that our criteria developed and applied in the </w:t>
      </w:r>
      <w:r>
        <w:t>G</w:t>
      </w:r>
      <w:r w:rsidRPr="00D729CA">
        <w:t>uideline and subsequent decisions remain fit for purpose. Further, we are satisfied that application of these criteria will contribute to estimates that will achieve the allowed rate of return objective.</w:t>
      </w:r>
    </w:p>
    <w:p w:rsidR="00A933BB" w:rsidRDefault="00A933BB" w:rsidP="00A164C0">
      <w:pPr>
        <w:pStyle w:val="Heading9"/>
      </w:pPr>
      <w:bookmarkStart w:id="507" w:name="_Toc480460915"/>
      <w:r>
        <w:t>Issues with the RBA curve</w:t>
      </w:r>
      <w:bookmarkEnd w:id="507"/>
    </w:p>
    <w:p w:rsidR="00A933BB" w:rsidRDefault="00A933BB" w:rsidP="00A933BB">
      <w:r>
        <w:t xml:space="preserve">Overall, we remain unpersuaded that either the BVAL or RBA curve is clearly superior for the purposes of estimating the return on debt required to achieve the ARORO. </w:t>
      </w:r>
    </w:p>
    <w:p w:rsidR="00A933BB" w:rsidRDefault="00A933BB" w:rsidP="00A933BB">
      <w:r>
        <w:t>In making our decisions to adopt a simple average of the BVAL and RBA curves, we have consistently identified that both curves exhibit both strengths and weaknesses. The submissions made by AusNet Services have focussed primarily on alleged shortcomings in the BVAL curve. However, in our view these submissions have not fully engaged with the shortcomings of the RBA curve. Below, we discuss:</w:t>
      </w:r>
    </w:p>
    <w:p w:rsidR="00A933BB" w:rsidRPr="00A933BB" w:rsidRDefault="00A933BB" w:rsidP="00A933BB">
      <w:pPr>
        <w:pStyle w:val="AERbulletlistfirststyle"/>
      </w:pPr>
      <w:r>
        <w:t>Difficulties with relying on foreign bonds</w:t>
      </w:r>
    </w:p>
    <w:p w:rsidR="00A933BB" w:rsidRPr="00A933BB" w:rsidRDefault="00A933BB" w:rsidP="00523854">
      <w:pPr>
        <w:pStyle w:val="AERbulletlistsecondstyle"/>
      </w:pPr>
      <w:r>
        <w:t>Data quality of Australian bonds denominated in other currencies</w:t>
      </w:r>
    </w:p>
    <w:p w:rsidR="00A933BB" w:rsidRPr="00A933BB" w:rsidRDefault="00A933BB" w:rsidP="00950EA8">
      <w:pPr>
        <w:pStyle w:val="AERbulletlistsecondstyle"/>
      </w:pPr>
      <w:r>
        <w:t>Bloomberg and Thomson Reuters both exclude foreign denominated data</w:t>
      </w:r>
    </w:p>
    <w:p w:rsidR="00A933BB" w:rsidRPr="00A933BB" w:rsidRDefault="00A933BB" w:rsidP="00950EA8">
      <w:pPr>
        <w:pStyle w:val="AERbulletlistsecondstyle"/>
      </w:pPr>
      <w:r>
        <w:t>Failure</w:t>
      </w:r>
      <w:r w:rsidRPr="00A933BB">
        <w:t xml:space="preserve"> of covered interest parity</w:t>
      </w:r>
    </w:p>
    <w:p w:rsidR="00A933BB" w:rsidRPr="00A933BB" w:rsidRDefault="00A933BB" w:rsidP="00A933BB">
      <w:pPr>
        <w:pStyle w:val="AERbulletlistfirststyle"/>
      </w:pPr>
      <w:r>
        <w:t>Monthly publication</w:t>
      </w:r>
    </w:p>
    <w:p w:rsidR="00A933BB" w:rsidRPr="00A933BB" w:rsidRDefault="00A933BB" w:rsidP="00A933BB">
      <w:pPr>
        <w:pStyle w:val="AERbulletlistfirststyle"/>
      </w:pPr>
      <w:r>
        <w:t>Inclusion of bonds with embedded options</w:t>
      </w:r>
    </w:p>
    <w:p w:rsidR="00A933BB" w:rsidRPr="00A933BB" w:rsidRDefault="00A933BB" w:rsidP="00A933BB">
      <w:pPr>
        <w:pStyle w:val="AERbulletlistfirststyle"/>
      </w:pPr>
      <w:r>
        <w:t>Inclusion of secured bonds</w:t>
      </w:r>
      <w:r w:rsidR="004A214E">
        <w:t>.</w:t>
      </w:r>
    </w:p>
    <w:p w:rsidR="00A933BB" w:rsidRDefault="00A933BB" w:rsidP="00A933BB">
      <w:r>
        <w:t xml:space="preserve">Overall, our view remains that both the Bloomberg and RBA curves have strengths and weaknesses. However, we note that in many cases the Bloomberg and Thomson Reuters curves adopt similar bond selection criteria, and that both of these providers differ materially from the RBA bond selection criteria. While neither set of criteria is clearly superior, our confidence in the BVAL criteria and the view the RBA is not superior in this regard, is reinforced by the similarities between the approaches adopted by these independent commercial providers of yield curve estimates. </w:t>
      </w:r>
    </w:p>
    <w:p w:rsidR="00A933BB" w:rsidRPr="00A164C0" w:rsidRDefault="00A933BB" w:rsidP="002656D9">
      <w:pPr>
        <w:pStyle w:val="HeadingBoldItalic"/>
        <w:rPr>
          <w:rStyle w:val="AERtextorange"/>
          <w:color w:val="70635A" w:themeColor="text2"/>
        </w:rPr>
      </w:pPr>
      <w:bookmarkStart w:id="508" w:name="_Toc480460916"/>
      <w:r w:rsidRPr="00A164C0">
        <w:rPr>
          <w:rStyle w:val="AERtextorange"/>
          <w:color w:val="70635A" w:themeColor="text2"/>
        </w:rPr>
        <w:t>Difficulties with relying on foreign bonds</w:t>
      </w:r>
      <w:bookmarkEnd w:id="508"/>
    </w:p>
    <w:p w:rsidR="00A933BB" w:rsidRPr="00306D87" w:rsidRDefault="00A933BB" w:rsidP="00A933BB">
      <w:r>
        <w:t>AusNet Services and CEG have submitted that the RBA curve is a clearly better fit to the benchmark efficient entity due to its relatively high composition of foreign bonds matching historical patterns of issuance.</w:t>
      </w:r>
      <w:r>
        <w:rPr>
          <w:rStyle w:val="FootnoteReference"/>
        </w:rPr>
        <w:footnoteReference w:id="1408"/>
      </w:r>
      <w:r>
        <w:t xml:space="preserve"> However, we are not persuaded by this analysis. While we agree there is evidence that the benchmark efficient entity may issue some or a large proportion of its debt in foreign markets, the RBA curve is affected by the issues raised below.</w:t>
      </w:r>
    </w:p>
    <w:p w:rsidR="00A933BB" w:rsidRDefault="00A933BB" w:rsidP="004A214E">
      <w:pPr>
        <w:pStyle w:val="HeadingItalic"/>
      </w:pPr>
      <w:bookmarkStart w:id="509" w:name="_Toc480460917"/>
      <w:r>
        <w:t>Data quality of Australian bonds denominated in other currencies</w:t>
      </w:r>
      <w:bookmarkEnd w:id="509"/>
    </w:p>
    <w:p w:rsidR="00A933BB" w:rsidRDefault="00A933BB" w:rsidP="00A933BB">
      <w:r>
        <w:t>In making our initial decision to rely on the BVAL and RBA curves we considered expert evidence from both Lally and the ACCC Regulatory Economics unit (ACCC REU).</w:t>
      </w:r>
      <w:r>
        <w:rPr>
          <w:rStyle w:val="FootnoteReference"/>
        </w:rPr>
        <w:footnoteReference w:id="1409"/>
      </w:r>
      <w:r>
        <w:t xml:space="preserve"> In particular, Lally observed that that the Queensland Treasury Corporation, who raise debt finance, have identified that secondary market activity in these bonds is low and that most of the data is only “indicative non-binding bid and offer quotes”.</w:t>
      </w:r>
      <w:r>
        <w:rPr>
          <w:rStyle w:val="FootnoteReference"/>
        </w:rPr>
        <w:footnoteReference w:id="1410"/>
      </w:r>
      <w:r>
        <w:t xml:space="preserve"> Where bonds are traded infrequently, the pricing data becomes ‘stale’ and is less likely to be reliable. </w:t>
      </w:r>
    </w:p>
    <w:p w:rsidR="00A933BB" w:rsidRDefault="00A933BB" w:rsidP="00A933BB">
      <w:r>
        <w:t>Bloomberg addresses these data-quality issues by the inclusion of a filter based on BVAL scores. The BVAL score is a proprietary measure of the amount and consistency of the market inputs used to calculate each price.</w:t>
      </w:r>
      <w:r>
        <w:rPr>
          <w:rStyle w:val="FootnoteReference"/>
        </w:rPr>
        <w:footnoteReference w:id="1411"/>
      </w:r>
      <w:r>
        <w:t xml:space="preserve"> The RBA curve sources its data from Bloomberg but does not apply a comparable filter,</w:t>
      </w:r>
      <w:r>
        <w:rPr>
          <w:rStyle w:val="FootnoteReference"/>
        </w:rPr>
        <w:footnoteReference w:id="1412"/>
      </w:r>
      <w:r>
        <w:t xml:space="preserve"> and relies on the size of the bond issuance as an indirect filter for data quality. In combination, our view is that a larger sample comprised mostly of foreign bond data is therefore not clearly an improvement in the overall data quality of the sample, and may at times worsen the overall data quality.</w:t>
      </w:r>
    </w:p>
    <w:p w:rsidR="00A933BB" w:rsidRDefault="00A933BB" w:rsidP="00A933BB">
      <w:pPr>
        <w:pStyle w:val="HeadingItalic"/>
      </w:pPr>
      <w:bookmarkStart w:id="510" w:name="_Toc480460918"/>
      <w:r>
        <w:t>Bloomberg and Thomson Reuters both exclude foreign denominated data</w:t>
      </w:r>
      <w:bookmarkEnd w:id="510"/>
    </w:p>
    <w:p w:rsidR="00A933BB" w:rsidRPr="00A933BB" w:rsidRDefault="00A933BB" w:rsidP="00A933BB">
      <w:r>
        <w:t>As noted in previous decisions,</w:t>
      </w:r>
      <w:r>
        <w:rPr>
          <w:rStyle w:val="FootnoteReference"/>
        </w:rPr>
        <w:footnoteReference w:id="1413"/>
      </w:r>
      <w:r>
        <w:t xml:space="preserve"> the RBA curve is the only curve of the three currently available (including Thomson Reuters) to include non-AUD denominated bonds in its curve. In discussing methodological choices with Thomson Reuters, they identified that the Thomson Reuters curve excludes debt issued in other markets because they rely on strong assumptions to compare with AUD bonds on a like-for-like basis.</w:t>
      </w:r>
      <w:r>
        <w:rPr>
          <w:rStyle w:val="FootnoteReference"/>
        </w:rPr>
        <w:footnoteReference w:id="1414"/>
      </w:r>
      <w:r>
        <w:t xml:space="preserve"> In our view, where credible independent experts (Bloomberg and Thomson Reuters) both exclude non-AUD debt from their bond samples despite its impact on sample size, it is reasonable to exercise caution in relying heavily on non-AUD data. </w:t>
      </w:r>
    </w:p>
    <w:p w:rsidR="00A933BB" w:rsidRPr="00306D87" w:rsidRDefault="00A933BB" w:rsidP="00A933BB">
      <w:pPr>
        <w:pStyle w:val="HeadingItalic"/>
      </w:pPr>
      <w:bookmarkStart w:id="511" w:name="_Toc480460919"/>
      <w:r>
        <w:t>Failure of covered interest parity</w:t>
      </w:r>
      <w:bookmarkEnd w:id="511"/>
    </w:p>
    <w:p w:rsidR="00A933BB" w:rsidRDefault="00A933BB" w:rsidP="00A933BB">
      <w:r>
        <w:t>At any point in time, the composition of issued bonds’ currency in the RBA curve will reflect past issuances by Australian owned (or Australian risk origin) entities in foreign markets. As noted by Lally on foreign and domestic debt:</w:t>
      </w:r>
      <w:r>
        <w:rPr>
          <w:rStyle w:val="FootnoteReference"/>
        </w:rPr>
        <w:footnoteReference w:id="1415"/>
      </w:r>
    </w:p>
    <w:p w:rsidR="00A933BB" w:rsidRDefault="00A933BB" w:rsidP="00A933BB">
      <w:pPr>
        <w:pStyle w:val="AERquote"/>
      </w:pPr>
      <w:r>
        <w:t>[A]t every point in time at which the costs of debt for these two types of debt are estimated (in the course of determining a trailing average), the weighting for these types of bonds in the index will reflect earlier issuance decisions (the average term from the issuance of ten-year bonds until a randomly selected secondary market trade on that bond would be about five years), the weights fluctuate over time (see Arsov et al, 2013, Graph 3) because the differential in the costs of debt from the two sources fluctuates over time…</w:t>
      </w:r>
    </w:p>
    <w:p w:rsidR="00A933BB" w:rsidRDefault="00A933BB" w:rsidP="00A933BB">
      <w:r>
        <w:t xml:space="preserve">That composition is appropriate if the cost of issuance (including yield and issuance fees) in different markets is almost identical due to the possibility of arbitrage or if the differences in cost do not change over time. Otherwise, a rational firm would issue into the cheapest market at that particular point in time—taking into account related benefits such as diversification of risk—and not necessarily according to the broad composition of the RBA curve. </w:t>
      </w:r>
    </w:p>
    <w:p w:rsidR="00A933BB" w:rsidRDefault="00A933BB" w:rsidP="00A933BB">
      <w:r>
        <w:t>The equivalence of interest rate and issuance costs in different markets is called Covered Interest Parity. Several papers (for example, Recent Trends in Cross-currency Basis from the Bank of Japan (2016)</w:t>
      </w:r>
      <w:r>
        <w:rPr>
          <w:rStyle w:val="FootnoteReference"/>
        </w:rPr>
        <w:footnoteReference w:id="1416"/>
      </w:r>
      <w:r>
        <w:t xml:space="preserve"> and Deviations from Covered Interest Rate Parity (2016)</w:t>
      </w:r>
      <w:r>
        <w:rPr>
          <w:rStyle w:val="FootnoteReference"/>
        </w:rPr>
        <w:footnoteReference w:id="1417"/>
      </w:r>
      <w:r>
        <w:t>) have shown that since 2014 the Covered Interest Parity may be violated for risk-free assets in several of the main currencies used for issuing bonds. Even if parity did hold for risk-free assets, it may not hold for BBB rated bonds due difficulty creating arbitrage. As such, we would expect that a rational firm would re-evaluate its issuance strategy and possibly vary from its historical domestic-foreign issuance composition.</w:t>
      </w:r>
      <w:r>
        <w:rPr>
          <w:rStyle w:val="FootnoteReference"/>
        </w:rPr>
        <w:footnoteReference w:id="1418"/>
      </w:r>
      <w:r>
        <w:t xml:space="preserve"> As such, we have some concern in relying substantially on an assumption that historical issuance patterns (as reflected in the RBA curve) would remain constant over time. In combination with the other issues discussed in this section, we are therefore not persuaded that the inclusion of foreign bonds in the RBA sample will necessarily be a better fit to the costs faced by the benchmark efficient entity over the forthcoming regulatory period.</w:t>
      </w:r>
    </w:p>
    <w:p w:rsidR="00A933BB" w:rsidRPr="00A164C0" w:rsidRDefault="00A933BB" w:rsidP="002656D9">
      <w:pPr>
        <w:pStyle w:val="HeadingBoldItalic"/>
        <w:rPr>
          <w:rStyle w:val="AERtextorange"/>
          <w:color w:val="70635A" w:themeColor="text2"/>
        </w:rPr>
      </w:pPr>
      <w:bookmarkStart w:id="512" w:name="_Toc480460920"/>
      <w:r w:rsidRPr="00A164C0">
        <w:rPr>
          <w:rStyle w:val="AERtextorange"/>
          <w:color w:val="70635A" w:themeColor="text2"/>
        </w:rPr>
        <w:t>Monthly publication</w:t>
      </w:r>
      <w:bookmarkEnd w:id="512"/>
    </w:p>
    <w:p w:rsidR="00A933BB" w:rsidRDefault="00A933BB" w:rsidP="00A933BB">
      <w:r>
        <w:t>While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and Thomson Reuters curves are published daily, which means that we have approximately 20 times as many data points for estimating the spread-to-swap over the course of a month compared to the RBA curve.</w:t>
      </w:r>
      <w:r>
        <w:rPr>
          <w:rStyle w:val="FootnoteReference"/>
        </w:rPr>
        <w:footnoteReference w:id="1419"/>
      </w:r>
      <w:r>
        <w:t xml:space="preserve"> </w:t>
      </w:r>
    </w:p>
    <w:p w:rsidR="00A933BB" w:rsidRDefault="00A933BB" w:rsidP="00A933BB">
      <w:r>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A933BB" w:rsidRDefault="00A933BB" w:rsidP="00A933BB">
      <w:pPr>
        <w:pStyle w:val="Caption"/>
      </w:pPr>
      <w:r>
        <w:t xml:space="preserve">Figure </w:t>
      </w:r>
      <w:fldSimple w:instr=" STYLEREF 1 \s ">
        <w:r w:rsidR="006B4A74">
          <w:rPr>
            <w:noProof/>
          </w:rPr>
          <w:t>3</w:t>
        </w:r>
      </w:fldSimple>
      <w:r w:rsidR="008A2B2B">
        <w:noBreakHyphen/>
      </w:r>
      <w:fldSimple w:instr=" SEQ Figure \* ARABIC \s 1 ">
        <w:r w:rsidR="006B4A74">
          <w:rPr>
            <w:noProof/>
          </w:rPr>
          <w:t>18</w:t>
        </w:r>
      </w:fldSimple>
      <w:r>
        <w:tab/>
        <w:t>Illustration of monthly publication on sample size and error</w:t>
      </w:r>
    </w:p>
    <w:p w:rsidR="00A933BB" w:rsidRDefault="00A933BB" w:rsidP="00A933BB">
      <w:r w:rsidRPr="00A933BB">
        <w:rPr>
          <w:noProof/>
          <w:lang w:eastAsia="en-AU"/>
        </w:rPr>
        <w:drawing>
          <wp:inline distT="0" distB="0" distL="0" distR="0" wp14:anchorId="1367923A" wp14:editId="0761863A">
            <wp:extent cx="5334635" cy="3243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9D3A48" w:rsidRDefault="009D3A48" w:rsidP="002656D9">
      <w:pPr>
        <w:pStyle w:val="AERtablesource"/>
      </w:pPr>
      <w:r>
        <w:t>Source: AER</w:t>
      </w:r>
    </w:p>
    <w:p w:rsidR="00A933BB" w:rsidRDefault="00A933BB" w:rsidP="00A933BB">
      <w:r>
        <w:t xml:space="preserve">In addition, the RBA's publication of data on one day a month masks any underlying daily volatility in its estimates. </w:t>
      </w:r>
    </w:p>
    <w:p w:rsidR="00A933BB" w:rsidRDefault="00A933BB" w:rsidP="002656D9">
      <w:pPr>
        <w:pStyle w:val="HeadingBoldItalic"/>
      </w:pPr>
      <w:bookmarkStart w:id="513" w:name="_Toc480460921"/>
      <w:r>
        <w:t>Inclusion of bonds with e</w:t>
      </w:r>
      <w:r w:rsidRPr="00C10969">
        <w:t>mbedded options</w:t>
      </w:r>
      <w:bookmarkEnd w:id="513"/>
    </w:p>
    <w:p w:rsidR="00A933BB" w:rsidRDefault="00A933BB" w:rsidP="00A933BB">
      <w:r>
        <w:t>The RBA curve, unlike the BVAL and Thomson Reuters curves, includes bonds with embedded options. These embedded options, such as those in callable, convertible or puttable bonds, have an impact on the distribution of risk between issuer and lender and as a consequence have an impact on the bond’s yield.</w:t>
      </w:r>
      <w:r>
        <w:rPr>
          <w:rStyle w:val="FootnoteReference"/>
        </w:rPr>
        <w:footnoteReference w:id="1420"/>
      </w:r>
      <w:r>
        <w:t xml:space="preserve"> As a result, these bonds need to be adjusted to account for the change in yield due to the optionality so that they can be compared on a like-for-like basis with debt without options. This is a complex process, as the conversion requires some strong assumptions. In the RBA’s model, these calculations are outsourced to Bloomberg.</w:t>
      </w:r>
      <w:r>
        <w:rPr>
          <w:rStyle w:val="FootnoteReference"/>
        </w:rPr>
        <w:footnoteReference w:id="1421"/>
      </w:r>
      <w:r>
        <w:t xml:space="preserve"> The BVAL curve’s sample avoids this risk, because it does not include bonds with optionality (other than make-whole options) due to the need for yield conversion.</w:t>
      </w:r>
      <w:r>
        <w:rPr>
          <w:rStyle w:val="FootnoteReference"/>
        </w:rPr>
        <w:footnoteReference w:id="1422"/>
      </w:r>
      <w:r>
        <w:t xml:space="preserve"> Again, we note that Bloomberg and Thomson Reuters adopt a largely consistent approach to excluding bonds with options. </w:t>
      </w:r>
    </w:p>
    <w:p w:rsidR="00A933BB" w:rsidRPr="00A164C0" w:rsidRDefault="00A933BB" w:rsidP="00A164C0">
      <w:pPr>
        <w:pStyle w:val="Heading9"/>
        <w:rPr>
          <w:rStyle w:val="AERtextitalic"/>
          <w:i w:val="0"/>
        </w:rPr>
      </w:pPr>
      <w:bookmarkStart w:id="514" w:name="_Toc480460922"/>
      <w:r w:rsidRPr="00A164C0">
        <w:rPr>
          <w:rStyle w:val="AERtextitalic"/>
          <w:i w:val="0"/>
        </w:rPr>
        <w:t>CEG's analysis of sample size</w:t>
      </w:r>
      <w:bookmarkEnd w:id="514"/>
    </w:p>
    <w:p w:rsidR="00A933BB" w:rsidRPr="00D729CA" w:rsidRDefault="00A933BB" w:rsidP="00A933BB">
      <w:r w:rsidRPr="00D729CA">
        <w:t>In its reports, CEG has criticised the relatively smaller sample size arising from the BVAL selection criteria compared to the RBA selection criteria.</w:t>
      </w:r>
      <w:r w:rsidRPr="00D729CA">
        <w:rPr>
          <w:rStyle w:val="FootnoteReference"/>
        </w:rPr>
        <w:footnoteReference w:id="1423"/>
      </w:r>
      <w:r w:rsidRPr="00D729CA">
        <w:t xml:space="preserve"> We agree that a large sample size is clearly preferable to a smaller sample where it is clear that </w:t>
      </w:r>
      <w:r>
        <w:t>the additional data won’t introduce bias or increase variance</w:t>
      </w:r>
      <w:r w:rsidRPr="00D729CA">
        <w:t>. However:</w:t>
      </w:r>
    </w:p>
    <w:p w:rsidR="00A933BB" w:rsidRPr="00A933BB" w:rsidRDefault="00A933BB" w:rsidP="00A933BB">
      <w:pPr>
        <w:pStyle w:val="AERbulletlistfirststyle"/>
      </w:pPr>
      <w:r w:rsidRPr="00D729CA">
        <w:t xml:space="preserve">where it is not clear </w:t>
      </w:r>
      <w:r w:rsidRPr="00A933BB">
        <w:t>whether the data will introduce bias or increase variance, it is a complex exercise to determine whether the benefits of a larger sample outweigh the disadvantages of lower quality data</w:t>
      </w:r>
    </w:p>
    <w:p w:rsidR="00A933BB" w:rsidRPr="00A933BB" w:rsidRDefault="00A933BB" w:rsidP="00A933BB">
      <w:pPr>
        <w:pStyle w:val="AERbulletlistfirststyle"/>
      </w:pPr>
      <w:r w:rsidRPr="00D729CA">
        <w:t>a smaller sample does not imply that a curve is not fit for purpose. A larger sample</w:t>
      </w:r>
      <w:r w:rsidRPr="00A933BB">
        <w:t xml:space="preserve"> (all else being equal) is an advantageous feature of a curve, however it needs to be considered in the context of all of the curve's other features and criteria. </w:t>
      </w:r>
    </w:p>
    <w:p w:rsidR="00A933BB" w:rsidRPr="00A933BB" w:rsidRDefault="00A933BB" w:rsidP="00A933BB">
      <w:r w:rsidRPr="00D729CA">
        <w:t>In its reports, CEG</w:t>
      </w:r>
      <w:r w:rsidRPr="00A933BB">
        <w:t xml:space="preserve"> ignored the impact on the required sample size caused by the inclusion of the shaper curves by Bloomberg. The shaper curves have been created with the use of many bonds outside of the BBB sample and should lower the number of bonds needed in the sample to achieve a curve with a similar MSE (in reference to the BEE’s cost of debt). The RBA method does not use shaper curves. </w:t>
      </w:r>
    </w:p>
    <w:p w:rsidR="00A933BB" w:rsidRPr="00D729CA" w:rsidRDefault="00A933BB" w:rsidP="00A933BB">
      <w:r w:rsidRPr="00D729CA">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D729CA">
        <w:rPr>
          <w:rStyle w:val="FootnoteReference"/>
        </w:rPr>
        <w:footnoteReference w:id="1424"/>
      </w:r>
      <w:r w:rsidRPr="00D729CA">
        <w:t xml:space="preserve"> While we agree that </w:t>
      </w:r>
      <w:r>
        <w:t>the</w:t>
      </w:r>
      <w:r w:rsidRPr="00D729CA">
        <w:t xml:space="preserve"> RBA curve is based on a larger data sample, we are not persuaded that the relatively smaller BVAL sample will not contribute to an estimate which achieves the allowed rate of return objective.</w:t>
      </w:r>
    </w:p>
    <w:p w:rsidR="00A933BB" w:rsidRDefault="00A933BB" w:rsidP="00A164C0">
      <w:pPr>
        <w:pStyle w:val="Heading9"/>
      </w:pPr>
      <w:bookmarkStart w:id="515" w:name="_Toc480460923"/>
      <w:r>
        <w:t>Response of BVAL curve to Asciano, Mirvac and Jemena bonds</w:t>
      </w:r>
      <w:bookmarkEnd w:id="515"/>
      <w:r>
        <w:t xml:space="preserve"> </w:t>
      </w:r>
    </w:p>
    <w:p w:rsidR="00A933BB" w:rsidRDefault="00A933BB" w:rsidP="00A933BB">
      <w:r>
        <w:t xml:space="preserve">A key impetus in choosing an approach that relied on credible, independent third party curves rather than an AER-developed curve was to create stability and to avoid routine and ongoing debate about the suitability of individual bonds. For this reason, we undertook detailed analysis of the bond selection criteria of both the RBA and BVAL curves prior to settling on our approach. However, while AusNet Services and CEG appear to accept that both Bloomberg and the RBA are credible, independent experts, they have submitted the BVAL curve is not fit-for-purpose in part based on the inclusion of particular bonds which pass its bond selection criteria. </w:t>
      </w:r>
    </w:p>
    <w:p w:rsidR="00A933BB" w:rsidRPr="00A95890" w:rsidRDefault="00A933BB" w:rsidP="00A933BB">
      <w:r>
        <w:t xml:space="preserve">Specifically, AusNet and CEG analyse the inclusion of the Asciano (EK907291), Mirvac (QZ330503) and Jemena (LW474837) bonds in 2016 and attempt to show weaknesses in the BVAL curve. As previously mentioned above, we agree that the BVAL curve has some weaknesses but on balance these are not larger than the RBA curve’s. In this section we respond to some of the issues raised by CEG and AusNet in relation to the inclusion of these bonds. </w:t>
      </w:r>
    </w:p>
    <w:p w:rsidR="00A933BB" w:rsidRDefault="00A933BB" w:rsidP="002656D9">
      <w:pPr>
        <w:pStyle w:val="HeadingBoldItalic"/>
      </w:pPr>
      <w:bookmarkStart w:id="516" w:name="_Toc480460924"/>
      <w:r>
        <w:t>Asciano bond</w:t>
      </w:r>
      <w:bookmarkEnd w:id="516"/>
    </w:p>
    <w:p w:rsidR="00A933BB" w:rsidRDefault="00A933BB" w:rsidP="00A933BB">
      <w:r>
        <w:t>AusNet has argued that between May 2015 and 28 July 2016, the BVAL curve placed an inappropriately high weighting on the Asciano bond. In particular, AusNet cited a particularly high correlation between the BVAL 10 year spread and the Asciano bond.</w:t>
      </w:r>
      <w:r>
        <w:rPr>
          <w:rStyle w:val="FootnoteReference"/>
        </w:rPr>
        <w:footnoteReference w:id="1425"/>
      </w:r>
      <w:r>
        <w:t xml:space="preserve"> However, AusNet did not specify what correlation would be appropriate. If the BVAL curve was an exact estimate of the BEE’s cost of debt, we would expect that the Asciano bond and the BVAL curve would both respond to systemic factors in the market. Therefore, we would expect high correlation between the Asciano bond and the BVAL curve. </w:t>
      </w:r>
    </w:p>
    <w:p w:rsidR="00A933BB" w:rsidRDefault="00A933BB" w:rsidP="00A933BB">
      <w:r>
        <w:t>AusNet also submitted that the Asciano bond did not behave like other long maturity bonds:</w:t>
      </w:r>
      <w:r>
        <w:rPr>
          <w:rStyle w:val="FootnoteReference"/>
        </w:rPr>
        <w:footnoteReference w:id="1426"/>
      </w:r>
      <w:r>
        <w:t xml:space="preserve"> </w:t>
      </w:r>
    </w:p>
    <w:p w:rsidR="00A933BB" w:rsidRDefault="00A933BB" w:rsidP="00A933BB">
      <w:pPr>
        <w:pStyle w:val="AERquoteindent1"/>
      </w:pPr>
      <w:r w:rsidRPr="00B46A9C">
        <w:t>This was particularly problematic because Asciano was the subject of takeover activity over this period. The influence of takeover activity on the Asciano bond’s yields reflects firm-specific factors that would have no relevance to the benchmark efficient firm, and is therefore not relevant to setting the return on debt faced by debt investors in a benchmark efficient entity.</w:t>
      </w:r>
    </w:p>
    <w:p w:rsidR="00A933BB" w:rsidRPr="00A526EA" w:rsidRDefault="00A933BB" w:rsidP="00A933BB">
      <w:pPr>
        <w:pStyle w:val="AERquoteindent1"/>
      </w:pPr>
      <w:r w:rsidRPr="00A526EA">
        <w:t>As set out in AusNet Services’ 24 March 2016 submission to the AER and supporting CEG memo (Appendix 6E – CEG, Review of AER Position on Curve Selection), over AusNet Services’ distribution businesses’ averaging period, all bonds included in the RBA’s sample with tenors between 8 and 12 years (excluding the Asciano bond) exhibited very different movements in yields than the Asciano bond. At this time, there was a high degree of financial market volatility, which is consistent with the finding that there was a general rise in DRPs across the market. The Asciano bond was an outlier over this time period as its DRP did not increase by an amount commensurate with the general market. As the BVAL curve moved in (close to) lock step with the Asciano bond’s yields, the BVAL curve did not reflect general market movements.</w:t>
      </w:r>
    </w:p>
    <w:p w:rsidR="00A933BB" w:rsidRDefault="00A933BB" w:rsidP="00A933BB">
      <w:r>
        <w:t>W</w:t>
      </w:r>
      <w:r w:rsidRPr="00D729CA">
        <w:t xml:space="preserve">e are </w:t>
      </w:r>
      <w:r>
        <w:t xml:space="preserve">still </w:t>
      </w:r>
      <w:r w:rsidRPr="00D729CA">
        <w:t xml:space="preserve">not satisfied that there is persuasive evidence in support of these arguments. The analysis submitted by CEG and AusNet services may support a conclusion that the movements in the Asciano bond are not representative </w:t>
      </w:r>
      <w:r>
        <w:t>of</w:t>
      </w:r>
      <w:r w:rsidRPr="00D729CA">
        <w:t xml:space="preserve"> the movements of bonds issued in European and American bond markets. However, yields </w:t>
      </w:r>
      <w:r>
        <w:t xml:space="preserve">in different BBB corporate markets do not necessarily move in a one to one fashion. This can be seen in the figure below for the case where hedging does not occur and it also does not hold for when hedging takes place (we explore this further in the Failure of Covered Interest Parity section). </w:t>
      </w:r>
      <w:r w:rsidRPr="00D729CA">
        <w:t>As set out in our previous decisions, the BVAL bond criteria include only AUD denominated bonds.</w:t>
      </w:r>
      <w:r w:rsidRPr="00D729CA">
        <w:rPr>
          <w:rStyle w:val="FootnoteReference"/>
        </w:rPr>
        <w:footnoteReference w:id="1427"/>
      </w:r>
      <w:r w:rsidRPr="00D729CA">
        <w:t xml:space="preserve"> The Reuters criteria similarly allow only AUD denominated bonds.</w:t>
      </w:r>
      <w:r w:rsidRPr="00D729CA">
        <w:rPr>
          <w:rStyle w:val="FootnoteReference"/>
        </w:rPr>
        <w:footnoteReference w:id="1428"/>
      </w:r>
      <w:r w:rsidRPr="00D729CA">
        <w:t xml:space="preserve"> In contrast, the RBA curve includes AUD denominated bonds, but the majority of bonds within the RBA curve are USD or EU denominated.</w:t>
      </w:r>
      <w:r w:rsidRPr="00D729CA">
        <w:rPr>
          <w:rStyle w:val="FootnoteReference"/>
        </w:rPr>
        <w:footnoteReference w:id="1429"/>
      </w:r>
      <w:r w:rsidRPr="00D729CA">
        <w:t xml:space="preserve"> </w:t>
      </w:r>
    </w:p>
    <w:p w:rsidR="00A933BB" w:rsidRDefault="00A933BB" w:rsidP="00A933BB">
      <w:pPr>
        <w:pStyle w:val="Caption"/>
      </w:pPr>
      <w:r>
        <w:t xml:space="preserve">Figure </w:t>
      </w:r>
      <w:fldSimple w:instr=" STYLEREF 1 \s ">
        <w:r w:rsidR="006B4A74">
          <w:rPr>
            <w:noProof/>
          </w:rPr>
          <w:t>3</w:t>
        </w:r>
      </w:fldSimple>
      <w:r w:rsidR="008A2B2B">
        <w:noBreakHyphen/>
      </w:r>
      <w:fldSimple w:instr=" SEQ Figure \* ARABIC \s 1 ">
        <w:r w:rsidR="006B4A74">
          <w:rPr>
            <w:noProof/>
          </w:rPr>
          <w:t>19</w:t>
        </w:r>
      </w:fldSimple>
      <w:r>
        <w:tab/>
        <w:t xml:space="preserve">US and Australian BBB Corporate Bond yields </w:t>
      </w:r>
    </w:p>
    <w:tbl>
      <w:tblPr>
        <w:tblStyle w:val="TableGrid"/>
        <w:tblW w:w="0" w:type="auto"/>
        <w:tblLook w:val="04A0" w:firstRow="1" w:lastRow="0" w:firstColumn="1" w:lastColumn="0" w:noHBand="0" w:noVBand="1"/>
      </w:tblPr>
      <w:tblGrid>
        <w:gridCol w:w="4346"/>
        <w:gridCol w:w="4347"/>
      </w:tblGrid>
      <w:tr w:rsidR="00A933BB" w:rsidTr="00EA6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A933BB" w:rsidRPr="00A933BB" w:rsidRDefault="00A933BB" w:rsidP="00A933BB">
            <w:r w:rsidRPr="00A933BB">
              <w:rPr>
                <w:noProof/>
                <w:lang w:eastAsia="en-AU"/>
              </w:rPr>
              <w:drawing>
                <wp:inline distT="0" distB="0" distL="0" distR="0" wp14:anchorId="436719AA" wp14:editId="65506A3E">
                  <wp:extent cx="2570400" cy="2124000"/>
                  <wp:effectExtent l="0" t="0" r="1905" b="0"/>
                  <wp:docPr id="38" name="Picture 38" descr="C:\Users\SHCOLL\AppData\Local\Temp\1\Temp1_us-bond-yields-gif.zip\us-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COLL\AppData\Local\Temp\1\Temp1_us-bond-yields-gif.zip\us-bond-yield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0400" cy="2124000"/>
                          </a:xfrm>
                          <a:prstGeom prst="rect">
                            <a:avLst/>
                          </a:prstGeom>
                          <a:noFill/>
                          <a:ln>
                            <a:noFill/>
                          </a:ln>
                        </pic:spPr>
                      </pic:pic>
                    </a:graphicData>
                  </a:graphic>
                </wp:inline>
              </w:drawing>
            </w:r>
          </w:p>
        </w:tc>
        <w:tc>
          <w:tcPr>
            <w:tcW w:w="4347" w:type="dxa"/>
          </w:tcPr>
          <w:p w:rsidR="00A933BB" w:rsidRPr="00A933BB" w:rsidRDefault="00A933BB" w:rsidP="00A933BB">
            <w:pPr>
              <w:cnfStyle w:val="100000000000" w:firstRow="1" w:lastRow="0" w:firstColumn="0" w:lastColumn="0" w:oddVBand="0" w:evenVBand="0" w:oddHBand="0" w:evenHBand="0" w:firstRowFirstColumn="0" w:firstRowLastColumn="0" w:lastRowFirstColumn="0" w:lastRowLastColumn="0"/>
            </w:pPr>
            <w:r w:rsidRPr="00A933BB">
              <w:rPr>
                <w:noProof/>
                <w:lang w:eastAsia="en-AU"/>
              </w:rPr>
              <w:drawing>
                <wp:inline distT="0" distB="0" distL="0" distR="0" wp14:anchorId="5908C468" wp14:editId="4063BB99">
                  <wp:extent cx="2570400" cy="2271600"/>
                  <wp:effectExtent l="0" t="0" r="1905" b="0"/>
                  <wp:docPr id="39" name="Picture 39" descr="C:\Users\SHCOLL\AppData\Local\Temp\1\Temp1_australian-bond-yields-gif.zip\australian-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LL\AppData\Local\Temp\1\Temp1_australian-bond-yields-gif.zip\australian-bond-yields.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0400" cy="2271600"/>
                          </a:xfrm>
                          <a:prstGeom prst="rect">
                            <a:avLst/>
                          </a:prstGeom>
                          <a:noFill/>
                          <a:ln>
                            <a:noFill/>
                          </a:ln>
                        </pic:spPr>
                      </pic:pic>
                    </a:graphicData>
                  </a:graphic>
                </wp:inline>
              </w:drawing>
            </w:r>
          </w:p>
        </w:tc>
      </w:tr>
    </w:tbl>
    <w:p w:rsidR="00A933BB" w:rsidRDefault="00A933BB" w:rsidP="00A933BB">
      <w:r>
        <w:t>The takeover attempt did have an effect on Asciano’s credit ratings but not in the way that CEG described.</w:t>
      </w:r>
      <w:r>
        <w:rPr>
          <w:rStyle w:val="FootnoteReference"/>
        </w:rPr>
        <w:footnoteReference w:id="1430"/>
      </w:r>
      <w:r>
        <w:t xml:space="preserve"> The Asciano bond’s credit rating was downgraded in response to the takeover (which should be associated with a rise in yields). This rise was lower than those denominated in USD or EU according to AusNet. This suggests that it could be the different markets driving the result and not the takeover and would suggest that the BVAL curve responded as intended. </w:t>
      </w:r>
    </w:p>
    <w:p w:rsidR="00A933BB" w:rsidRDefault="00A933BB" w:rsidP="00A933BB">
      <w:r>
        <w:t>We do not agree with AusNet or CEG that their analysis demonstrates that the BVAL curve was ‘too reliant’ on the Asciano bond, or that this led to a BVAL estimate which did not contribute to achievement of the ARORO. In contrast, we are satisfied with Bloomberg’s indication that the 10 year estimate is dependent on the Asciano bond, the other 20 bonds and the shaper curves.</w:t>
      </w:r>
      <w:r>
        <w:rPr>
          <w:rStyle w:val="FootnoteReference"/>
        </w:rPr>
        <w:footnoteReference w:id="1431"/>
      </w:r>
      <w:r>
        <w:t xml:space="preserve"> </w:t>
      </w:r>
    </w:p>
    <w:p w:rsidR="00A933BB" w:rsidRDefault="00A933BB" w:rsidP="002656D9">
      <w:pPr>
        <w:pStyle w:val="HeadingBoldItalic"/>
      </w:pPr>
      <w:bookmarkStart w:id="517" w:name="_Toc480460925"/>
      <w:r w:rsidRPr="00A95890">
        <w:t>Mirvac bond</w:t>
      </w:r>
      <w:bookmarkEnd w:id="517"/>
    </w:p>
    <w:p w:rsidR="00A933BB" w:rsidRDefault="00A933BB" w:rsidP="00A933BB">
      <w:r>
        <w:t>We agree that, with the benefit of hindsight, the inclusion of the Mirvac bond was an error due to the inclusion of ‘bad data’. The bad data, however, was quickly removed. While unfortunate that this occurred at all, the outcome was reassuring. Producing such a yield curve is a complex exercise and we gain confidence from demonstration that the 3</w:t>
      </w:r>
      <w:r w:rsidRPr="00A933BB">
        <w:t>rd</w:t>
      </w:r>
      <w:r>
        <w:t xml:space="preserve"> party providers are vigilant to the quality of our input curves. This is another reason why we choose to rely on credible independent experts for the curve estimate.</w:t>
      </w:r>
    </w:p>
    <w:p w:rsidR="00A933BB" w:rsidRDefault="00A933BB" w:rsidP="00A933BB">
      <w:r>
        <w:t>It is also not the first time our input curves have been revised to allow for improvements. A</w:t>
      </w:r>
      <w:r w:rsidRPr="001D62A1">
        <w:t>s of October 2015 the RBA made retrospective changes to its yield curve.</w:t>
      </w:r>
      <w:r w:rsidRPr="001D62A1">
        <w:rPr>
          <w:rStyle w:val="FootnoteReference"/>
        </w:rPr>
        <w:footnoteReference w:id="1432"/>
      </w:r>
      <w:r w:rsidRPr="001D62A1">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D62A1">
        <w:rPr>
          <w:rStyle w:val="FootnoteReference"/>
        </w:rPr>
        <w:footnoteReference w:id="1433"/>
      </w:r>
      <w:r w:rsidRPr="001D62A1">
        <w:t xml:space="preserve"> Nonetheless, we note that none of the service providers appear to have engaged in the revised proposals or subsequent submissions with the potential risks and implications of material retrospective changes made to the RBA curve.</w:t>
      </w:r>
    </w:p>
    <w:p w:rsidR="00A933BB" w:rsidRDefault="00A933BB" w:rsidP="00A933BB">
      <w:r>
        <w:t>CEG also used the inclusion of the Mirvac bond to test the robustness of the curve to outliers.</w:t>
      </w:r>
      <w:r>
        <w:rPr>
          <w:rStyle w:val="FootnoteReference"/>
        </w:rPr>
        <w:footnoteReference w:id="1434"/>
      </w:r>
      <w:r>
        <w:t xml:space="preserve"> The comparison used between the Reuters and Bloomberg curves, however, is not particularly informative because the Reuters curve does not include the Jemena bond which has a similar yield to the Mirvac bond. If a single bond is included (see below figure), the Bloomberg curve is also stable.</w:t>
      </w:r>
    </w:p>
    <w:p w:rsidR="00A933BB" w:rsidRDefault="00A933BB" w:rsidP="00A933BB">
      <w:pPr>
        <w:pStyle w:val="Caption"/>
      </w:pPr>
      <w:r>
        <w:t xml:space="preserve">Figure </w:t>
      </w:r>
      <w:fldSimple w:instr=" STYLEREF 1 \s ">
        <w:r w:rsidR="006B4A74">
          <w:rPr>
            <w:noProof/>
          </w:rPr>
          <w:t>3</w:t>
        </w:r>
      </w:fldSimple>
      <w:r w:rsidR="008A2B2B">
        <w:noBreakHyphen/>
      </w:r>
      <w:fldSimple w:instr=" SEQ Figure \* ARABIC \s 1 ">
        <w:r w:rsidR="006B4A74">
          <w:rPr>
            <w:noProof/>
          </w:rPr>
          <w:t>20</w:t>
        </w:r>
      </w:fldSimple>
      <w:r>
        <w:tab/>
        <w:t>BVAL curve and bond constituents, 31 August 2016</w:t>
      </w:r>
    </w:p>
    <w:p w:rsidR="00A933BB" w:rsidRPr="00A933BB" w:rsidRDefault="00A933BB" w:rsidP="00A933BB">
      <w:r w:rsidRPr="00A933BB">
        <w:rPr>
          <w:noProof/>
          <w:lang w:eastAsia="en-AU"/>
        </w:rPr>
        <w:drawing>
          <wp:inline distT="0" distB="0" distL="0" distR="0" wp14:anchorId="4D20B30C" wp14:editId="7A81C4B9">
            <wp:extent cx="5731510" cy="3079230"/>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079230"/>
                    </a:xfrm>
                    <a:prstGeom prst="rect">
                      <a:avLst/>
                    </a:prstGeom>
                    <a:noFill/>
                    <a:ln>
                      <a:noFill/>
                    </a:ln>
                  </pic:spPr>
                </pic:pic>
              </a:graphicData>
            </a:graphic>
          </wp:inline>
        </w:drawing>
      </w:r>
    </w:p>
    <w:p w:rsidR="00A933BB" w:rsidRPr="00A933BB" w:rsidRDefault="00A933BB" w:rsidP="002656D9">
      <w:pPr>
        <w:pStyle w:val="AERtablesource"/>
      </w:pPr>
      <w:r>
        <w:t>Source</w:t>
      </w:r>
      <w:r w:rsidR="009D3A48">
        <w:t>s</w:t>
      </w:r>
      <w:r>
        <w:t>: Bloomberg</w:t>
      </w:r>
      <w:r w:rsidR="009D3A48">
        <w:t>;</w:t>
      </w:r>
      <w:r>
        <w:t xml:space="preserve"> CEG analysis</w:t>
      </w:r>
      <w:r w:rsidR="007151C3">
        <w:t>.</w:t>
      </w:r>
    </w:p>
    <w:p w:rsidR="00A933BB" w:rsidRDefault="00A933BB" w:rsidP="002656D9">
      <w:pPr>
        <w:pStyle w:val="HeadingBoldItalic"/>
      </w:pPr>
      <w:bookmarkStart w:id="518" w:name="_Toc480460926"/>
      <w:r>
        <w:t>Jemena bond</w:t>
      </w:r>
      <w:bookmarkEnd w:id="518"/>
    </w:p>
    <w:p w:rsidR="00A933BB" w:rsidRDefault="00A933BB" w:rsidP="00A933BB">
      <w:r>
        <w:t>CEG argues that because Bloomberg removed the Mirvac bond, which was closer to the resulting yield curve than the Jemena bond, that Bloomberg erred by not removing the Jemena bond as well. Bloomberg has stated that it does not rely only on yields as a test to omit outliers.</w:t>
      </w:r>
      <w:r>
        <w:rPr>
          <w:rStyle w:val="FootnoteReference"/>
        </w:rPr>
        <w:footnoteReference w:id="1435"/>
      </w:r>
      <w:r>
        <w:t xml:space="preserve"> For example, if the bonds had particularly stale pricing data then the bonds would be removed from Bloomberg and not the RBA curve. </w:t>
      </w:r>
    </w:p>
    <w:p w:rsidR="00A933BB" w:rsidRDefault="00A933BB" w:rsidP="00A933BB">
      <w:r>
        <w:t>The Jemena bond is issued by one of the regulated entities and should be more closely representative of the BEE than many of the other included bonds. Both Bloomberg and the RBA included the bond in the BBB band, because the S&amp;P gave the bond a credit rating in the BBB band. Since September 2016, S&amp;P has re-evaluated the bond and given it an A- credit rating and Bloomberg has moved the Jemena bond into its A credit rating yield curves. While it may have been possible for Bloomberg to predict S&amp;P’s credit rating movements we are not persuaded that it erred by not doing so in this instance. We also note that a bond can be rerated up or down and there is no prima facie reason to consider either a lag in rerating, or movement of the bond to a different curve following market rerating, is indicative of systematic bias.</w:t>
      </w:r>
    </w:p>
    <w:p w:rsidR="00A933BB" w:rsidRDefault="00A933BB" w:rsidP="00A933BB">
      <w:r>
        <w:t>If a bond being on the cusp of a credit rating changes the yield to a substantial degree, it implies that we are being markedly conservative by estimating the return on debt using curves which include BBB-, BBB and BBB+ rated firms when the BEE is a BBB+ rated firm.</w:t>
      </w:r>
    </w:p>
    <w:p w:rsidR="00A933BB" w:rsidRPr="00A933BB" w:rsidRDefault="00A933BB" w:rsidP="00A164C0">
      <w:pPr>
        <w:pStyle w:val="Heading9"/>
      </w:pPr>
      <w:bookmarkStart w:id="519" w:name="_Toc480460927"/>
      <w:r>
        <w:t>BVAL and our overall approach still likely to be conservative</w:t>
      </w:r>
      <w:bookmarkEnd w:id="519"/>
    </w:p>
    <w:p w:rsidR="00A933BB" w:rsidRDefault="00A933BB" w:rsidP="00A933BB">
      <w:r>
        <w:t xml:space="preserve">Estimates from the BVAL curve have a number of factors that should ensure the estimate is on the conservative side of the BEE’s cost of debt. These include: </w:t>
      </w:r>
    </w:p>
    <w:p w:rsidR="00A933BB" w:rsidRPr="00A933BB" w:rsidRDefault="00A933BB" w:rsidP="00A933BB">
      <w:pPr>
        <w:pStyle w:val="ListParagraph"/>
      </w:pPr>
      <w:r>
        <w:t>the increase of benchmark maturity from the average 8.7 to 10 years</w:t>
      </w:r>
      <w:r w:rsidRPr="00A933BB">
        <w:rPr>
          <w:rStyle w:val="FootnoteReference"/>
        </w:rPr>
        <w:footnoteReference w:id="1436"/>
      </w:r>
    </w:p>
    <w:p w:rsidR="00A933BB" w:rsidRPr="00A933BB" w:rsidRDefault="00A933BB" w:rsidP="00A933BB">
      <w:pPr>
        <w:pStyle w:val="ListParagraph"/>
      </w:pPr>
      <w:r>
        <w:t>the use of the total BBB band instead of the BEE’s credit rating of BBB+</w:t>
      </w:r>
    </w:p>
    <w:p w:rsidR="00A933BB" w:rsidRPr="00A933BB" w:rsidRDefault="00A933BB" w:rsidP="00A933BB">
      <w:pPr>
        <w:pStyle w:val="ListParagraph"/>
      </w:pPr>
      <w:r>
        <w:t xml:space="preserve">The likelihood of the networks having lower loss given default than the average of Australian issuers </w:t>
      </w:r>
    </w:p>
    <w:p w:rsidR="00A933BB" w:rsidRPr="002656D9" w:rsidRDefault="00A933BB" w:rsidP="007151C3">
      <w:pPr>
        <w:pStyle w:val="Heading8"/>
      </w:pPr>
      <w:bookmarkStart w:id="520" w:name="_Toc481057504"/>
      <w:r w:rsidRPr="007151C3">
        <w:t>The Thomson Reuters curve</w:t>
      </w:r>
      <w:bookmarkEnd w:id="504"/>
      <w:bookmarkEnd w:id="505"/>
      <w:bookmarkEnd w:id="520"/>
    </w:p>
    <w:p w:rsidR="00A933BB" w:rsidRDefault="00A933BB" w:rsidP="00A933BB">
      <w:r>
        <w:t xml:space="preserve">We remain satisfied that a simple average of the BVAL and RBA curves will contribute to an estimate that will achieve the ARORO. However, we have not yet formed a definitive view on the suitability of the Reuters curve, and are open to further considering this curve in the future. AusNet Services submitted in their revised proposal that if we were not persuaded to accept their proposal to use only the RBA curve in making our estimate, then we should make use of the Thomson Reuters curve in addition to the Bloomberg and RBA curves. This alternative has not been proposed by the other service providers in this tranche of determinations. </w:t>
      </w:r>
    </w:p>
    <w:p w:rsidR="00A933BB" w:rsidRDefault="00A933BB" w:rsidP="00A933BB">
      <w:r>
        <w:t>We have decided not to</w:t>
      </w:r>
      <w:r w:rsidRPr="00D729CA">
        <w:t xml:space="preserve"> </w:t>
      </w:r>
      <w:r>
        <w:t>adopt the Thomson Reuters c</w:t>
      </w:r>
      <w:r w:rsidRPr="00D729CA">
        <w:t>urve for the following reasons:</w:t>
      </w:r>
    </w:p>
    <w:p w:rsidR="00A933BB" w:rsidRPr="00A933BB" w:rsidRDefault="00A933BB" w:rsidP="00A933BB">
      <w:pPr>
        <w:pStyle w:val="AERbulletlistfirststyle"/>
      </w:pPr>
      <w:r>
        <w:t xml:space="preserve">We </w:t>
      </w:r>
      <w:r w:rsidRPr="00A933BB">
        <w:t>are satisfied that our current approach is fit for purpose and is likely to contribute to achievement of the ARORO. In contrast, there has been limited time in which to assess whether use of the Thomson Reuters curve would also do so.</w:t>
      </w:r>
    </w:p>
    <w:p w:rsidR="00A933BB" w:rsidRPr="00A933BB" w:rsidRDefault="00A933BB" w:rsidP="00A933BB">
      <w:pPr>
        <w:pStyle w:val="AERbulletlistfirststyle"/>
      </w:pPr>
      <w:r>
        <w:t>in the most recent round of decisions none of the networks proposed using the Thomson Reuters curve in their initial proposals</w:t>
      </w:r>
      <w:r w:rsidRPr="00A933BB">
        <w:t>.</w:t>
      </w:r>
      <w:r w:rsidRPr="00A933BB">
        <w:rPr>
          <w:rStyle w:val="FootnoteReference"/>
        </w:rPr>
        <w:footnoteReference w:id="1437"/>
      </w:r>
      <w:r w:rsidRPr="00A933BB">
        <w:t xml:space="preserve"> As AusNet Services only submitted this alternative in its revised proposal, there has been limited opportunity for rigorous testing in industry wide stakeholder consultation.</w:t>
      </w:r>
    </w:p>
    <w:p w:rsidR="00A933BB" w:rsidRPr="00A933BB" w:rsidRDefault="00A933BB" w:rsidP="00A933BB">
      <w:pPr>
        <w:pStyle w:val="AERbulletlistfirststyle"/>
      </w:pPr>
      <w:r>
        <w:t xml:space="preserve">our analysis in the time available has indicated that </w:t>
      </w:r>
      <w:r w:rsidRPr="00A933BB">
        <w:t xml:space="preserve">there are a number of approach design issues (e.g. weighting, extrapolation, contingencies, domestic or blended, </w:t>
      </w:r>
      <w:r w:rsidR="00410AB6" w:rsidRPr="00A933BB">
        <w:t>etc.</w:t>
      </w:r>
      <w:r w:rsidRPr="00A933BB">
        <w:t>) that should be consulted on and addressed before relying on the curve. AusNet Services has not itself submitted a preferred approach to address issues of weighting, extrapolation and contingencies in a manner that would satisfy us that it is clearly superior to the approach we have adopted, or which could be used, at least, as a starting point for further consultation with stakeholders. The AER flagged these issues in its draft decision.</w:t>
      </w:r>
    </w:p>
    <w:p w:rsidR="00A933BB" w:rsidRPr="00A933BB" w:rsidRDefault="00A933BB" w:rsidP="00A933BB">
      <w:pPr>
        <w:pStyle w:val="AERbulletlistfirststyle"/>
      </w:pPr>
      <w:r>
        <w:t>for the past 18 months</w:t>
      </w:r>
      <w:r w:rsidRPr="00A933BB">
        <w:t xml:space="preserve"> the differences between the simplest case of including the curve (equal weighted average) and the current return on debt appear immaterial when considered in the context that this alternative approach has not been through a rigorous industry wide consultation process.</w:t>
      </w:r>
    </w:p>
    <w:p w:rsidR="00A933BB" w:rsidRDefault="00A933BB" w:rsidP="00A933BB">
      <w:r>
        <w:t>We have discussed our satisfaction that the current approach will continue to achieve the ARORO in the ‘</w:t>
      </w:r>
      <w:r w:rsidRPr="00484372">
        <w:t>Choice of third party data series</w:t>
      </w:r>
      <w:r>
        <w:t xml:space="preserve">’ section. We discuss the other three points below. </w:t>
      </w:r>
    </w:p>
    <w:p w:rsidR="00A933BB" w:rsidRDefault="00A933BB" w:rsidP="00A164C0">
      <w:pPr>
        <w:pStyle w:val="Heading9"/>
      </w:pPr>
      <w:bookmarkStart w:id="521" w:name="_Toc480460929"/>
      <w:r>
        <w:t>Initial network proposals did not propose the Thomson Reuters curve</w:t>
      </w:r>
      <w:bookmarkEnd w:id="521"/>
    </w:p>
    <w:p w:rsidR="00A933BB" w:rsidRDefault="00A933BB" w:rsidP="00A933BB">
      <w:r>
        <w:t xml:space="preserve">In the current tranche of proposals, the networks did not mention the Thomson Reuters curves in their initial proposals. </w:t>
      </w:r>
    </w:p>
    <w:p w:rsidR="00A933BB" w:rsidRDefault="00A933BB" w:rsidP="00A933BB">
      <w:r>
        <w:t>Notwithstanding this, in our draft decision for AusNet Services, we made the following comments:</w:t>
      </w:r>
    </w:p>
    <w:p w:rsidR="00A933BB" w:rsidRDefault="00A933BB" w:rsidP="00A933BB">
      <w:pPr>
        <w:pStyle w:val="AERquoteindent3"/>
      </w:pPr>
      <w:r w:rsidRPr="005C2CDD">
        <w:t>In other recent proposals, service providers indicated that Thomson Reuters also now publishes a yield curve that we could use to estimate the return on debt. We have therefore sought to evaluate all three curves to the fullest extent possible. For the reasons in this section and in Appendix</w:t>
      </w:r>
      <w:r w:rsidR="00821AEE">
        <w:t xml:space="preserve"> A</w:t>
      </w:r>
      <w:r w:rsidRPr="005C2CDD">
        <w:t>, and given AusNet Services has not proposed we used Thomson Reuters curve, we remain satisfied that a simple average of the BVAL and RBA curves will contribute to an estimate that will achieve the ARORO. However, we have not yet formed a definitive view on the suitability of the Reuters curve, and are open to further considering this curve in the future.</w:t>
      </w:r>
      <w:r>
        <w:rPr>
          <w:rStyle w:val="FootnoteReference"/>
        </w:rPr>
        <w:footnoteReference w:id="1438"/>
      </w:r>
    </w:p>
    <w:p w:rsidR="00A933BB" w:rsidRDefault="00A933BB" w:rsidP="00A933BB">
      <w:r>
        <w:t>Responding to our draft decision in its revised proposal, AusNet Services maintained the position that the RBA curve alone should be used in estimating return on debt. However, AusNet Services submitted in the alternative that the AER should apply positive weight to the Thomson Reuters curve in the following terms</w:t>
      </w:r>
      <w:r>
        <w:rPr>
          <w:rStyle w:val="FootnoteReference"/>
        </w:rPr>
        <w:footnoteReference w:id="1439"/>
      </w:r>
      <w:r>
        <w:t xml:space="preserve">: </w:t>
      </w:r>
    </w:p>
    <w:p w:rsidR="00A933BB" w:rsidRPr="00BC575B" w:rsidRDefault="00A933BB" w:rsidP="00A933BB">
      <w:pPr>
        <w:pStyle w:val="AERquote"/>
      </w:pPr>
      <w:r w:rsidRPr="00B4571F">
        <w:t xml:space="preserve">“AusNet Services continues to assert that reliance on a single curve (RBA) is the only </w:t>
      </w:r>
      <w:r w:rsidR="00410AB6" w:rsidRPr="00B4571F">
        <w:t>appropriate</w:t>
      </w:r>
      <w:r w:rsidRPr="00B4571F">
        <w:t xml:space="preserve"> and correct application in all the current prevailing circumstances. However, should the AER insist on applying positive weight to Bloomberg (which AusNet Services asserts is a flawed approach), then it should also apply positive weight to the Thompson [SIC] Reuters Curve, given they have many similar characteristics. The AER’s Draft Decision flags that it has not had time to consider the Thomsons [SIC] Reuters Curve fully, but acknowledges its similarities with the BVAL curve”</w:t>
      </w:r>
    </w:p>
    <w:p w:rsidR="00A933BB" w:rsidRDefault="00A933BB" w:rsidP="00A933BB">
      <w:r>
        <w:t>AusNet Services’ submission to use the Thomson Reuters curve as an alternative approach did not contain any detail on how to implement the three-curve return on debt series, despite this being an important issue identified by the AER in its draft decision that would need to be addressed. These choices in approach can be both material and complex. We formed our current approach to weighting and extrapolation having regard to expert input</w:t>
      </w:r>
      <w:r>
        <w:rPr>
          <w:rStyle w:val="FootnoteReference"/>
        </w:rPr>
        <w:footnoteReference w:id="1440"/>
      </w:r>
      <w:r>
        <w:t xml:space="preserve"> and a full round of consultation following our NSW/ACT draft decision. Such an addition though does not appear to be of much material difference at present.  </w:t>
      </w:r>
    </w:p>
    <w:p w:rsidR="00A933BB" w:rsidRPr="008731D1" w:rsidRDefault="00A933BB" w:rsidP="00A164C0">
      <w:pPr>
        <w:pStyle w:val="Heading9"/>
      </w:pPr>
      <w:bookmarkStart w:id="522" w:name="_Toc480460930"/>
      <w:r>
        <w:t>Implementation concerns</w:t>
      </w:r>
      <w:bookmarkEnd w:id="522"/>
    </w:p>
    <w:p w:rsidR="00A933BB" w:rsidRDefault="00A933BB" w:rsidP="00A933BB">
      <w:r>
        <w:t>As AusNet Services raised the Thomson Reuters curve only as part of its revised proposal and without addressing implementation issues, we do not have evidence before us on the correct implementation of the curve (if it were to be included). Items that are required for optimal implementation include the extrapolation method, the use of the blended or domestic curve,</w:t>
      </w:r>
      <w:r>
        <w:rPr>
          <w:rStyle w:val="FootnoteReference"/>
        </w:rPr>
        <w:footnoteReference w:id="1441"/>
      </w:r>
      <w:r>
        <w:t xml:space="preserve"> the optimal weighting and the required new contingencies. </w:t>
      </w:r>
    </w:p>
    <w:p w:rsidR="00A933BB" w:rsidRDefault="00A933BB" w:rsidP="00A933BB">
      <w:r>
        <w:t>If we were to add the Thomson Reuters curve, we would have to resolve the above issues without any guidance from the AusNet’s proposal and with very limited opportunity for other stakeholders to develop their own submissions on AusNet’s alternative. We are therefore not satisfied that using the Thomson Reuters curve in any particular manner would be likely to contribute to achievement of the ARORO, nor do we consider it would be good regulatory practice to begin using the curve in these circumstances.</w:t>
      </w:r>
    </w:p>
    <w:p w:rsidR="00A933BB" w:rsidRPr="00A933BB" w:rsidRDefault="00A933BB" w:rsidP="002656D9">
      <w:pPr>
        <w:pStyle w:val="HeadingBoldItalic"/>
      </w:pPr>
      <w:bookmarkStart w:id="523" w:name="_Toc480460931"/>
      <w:r w:rsidRPr="00AF037F">
        <w:t>Extrapolation methodologies</w:t>
      </w:r>
      <w:bookmarkEnd w:id="523"/>
    </w:p>
    <w:p w:rsidR="00A933BB" w:rsidRDefault="00A933BB" w:rsidP="00A933BB">
      <w:r>
        <w:t>Currently, we extrapolate both the RBA curve and, where it does not publish to 10 years, the BVAL curve. We do so as follows:</w:t>
      </w:r>
    </w:p>
    <w:p w:rsidR="00A933BB" w:rsidRPr="00A933BB" w:rsidRDefault="00A933BB" w:rsidP="00A933BB">
      <w:r>
        <w:t>We extrapolate the RBA curve from its ‘published’ 10 year term (effective term is closer to 9 years) to an ‘actual’ 10 year term using linear extrapolation from the published 7 and 10 year estimates. This method is based on advice from Lally, who suggested that linear extrapolation was reasonable where the extrapolation term range was relatively small.</w:t>
      </w:r>
    </w:p>
    <w:p w:rsidR="00A933BB" w:rsidRPr="00A933BB" w:rsidRDefault="00A933BB" w:rsidP="00A933BB">
      <w:r>
        <w:t>We extrapolate the BVAL curve, where necessary, using the corresponding margin from the RBA curve. For example, if BVAL only publishes to 7 years, we extrapolate it using the 7 to 10 year margin from the RBA curve.</w:t>
      </w:r>
    </w:p>
    <w:p w:rsidR="00A933BB" w:rsidRDefault="00A933BB" w:rsidP="00A933BB">
      <w:r>
        <w:t xml:space="preserve">If we add a third curve, the choices of extrapolation become substantially more complex. For the Thomson Reuters curve we expect the protocol for extrapolation to be impactful as Thomson Reuters does not extrapolate beyond the longest term in its bond sample and the availability of its 10 year estimate may vary. </w:t>
      </w:r>
    </w:p>
    <w:p w:rsidR="00A933BB" w:rsidRDefault="00A933BB" w:rsidP="00A933BB">
      <w:r>
        <w:t xml:space="preserve">The choice of extrapolation methodologies potentially could differ depending on the number of curves available at 10 years. For example, if only </w:t>
      </w:r>
      <w:r w:rsidRPr="00B0655F">
        <w:t>BVAL or Thomson</w:t>
      </w:r>
      <w:r>
        <w:t xml:space="preserve"> Reuters did not publish to 10 years, there is the option to rely solely on the RBA margin, which is more consistently available (albeit extrapolated). In the same circumstance, there is the possibility to rely on an average of the missing margins from the two remaining curves. For example, if Thomson Reuters only publishes to 7 years, an average of the RBA and BVAL curves’ margins between 7 and 10 years could be used. </w:t>
      </w:r>
    </w:p>
    <w:p w:rsidR="00A933BB" w:rsidRDefault="00A933BB" w:rsidP="00A933BB">
      <w:r>
        <w:t>If both BVAL and Thomson Reuters did not publish to 10 years we have the option to extrapolate both using the margin on the RBA curve or, if (for example) Thomson Reuters published to 8 years and Bloomberg published to 7, we could use an average of the RBA and Thomson Reuters margin to extrapolate Bloomberg to 8 years, then RBA only beyond 8.</w:t>
      </w:r>
    </w:p>
    <w:p w:rsidR="00A933BB" w:rsidRDefault="00A933BB" w:rsidP="00A933BB">
      <w:r>
        <w:t xml:space="preserve">Overall, our view is that the inclusion of a new curve is a substantial change of approach. As the new curve has not been consulted on substantively with either consumers or the rest of the sector, we are not satisfied that this approach would contribute to achievement of the ARORO. In contrast, our current approach has been widely consulted on and tested by the Australian Competition Tribunal and other stakeholders. We remain satisfied that it will contribute to achievement of the ARORO. </w:t>
      </w:r>
    </w:p>
    <w:p w:rsidR="007151C3" w:rsidRDefault="007151C3" w:rsidP="00A933BB"/>
    <w:p w:rsidR="007151C3" w:rsidRDefault="007151C3" w:rsidP="00A933BB"/>
    <w:p w:rsidR="00A933BB" w:rsidRDefault="00A933BB" w:rsidP="002656D9">
      <w:pPr>
        <w:pStyle w:val="HeadingBoldItalic"/>
      </w:pPr>
      <w:bookmarkStart w:id="524" w:name="_Toc480460932"/>
      <w:r>
        <w:t>Choice of Reuters curve</w:t>
      </w:r>
      <w:bookmarkEnd w:id="524"/>
    </w:p>
    <w:p w:rsidR="00A933BB" w:rsidRDefault="00A933BB" w:rsidP="00A933BB">
      <w:r>
        <w:t>Thomson Reuters has two curves available for AUD broad-BBB rated bonds. These are the blended curve, which is a mixture of domestic firms and foreign firms issuing into the Australian market in AUD, and the domestic curve, which is limited to only domestic firms’ issuance. As the BEE is a</w:t>
      </w:r>
      <w:r w:rsidRPr="00696EC1">
        <w:t xml:space="preserve"> ‘pure play’, regulated energy network business operating within Australia</w:t>
      </w:r>
      <w:r>
        <w:t>, it is likely that the domestic curve is more appropriate</w:t>
      </w:r>
      <w:r w:rsidRPr="00696EC1">
        <w:t>.</w:t>
      </w:r>
      <w:r>
        <w:t xml:space="preserve"> However, of the two curves the domestic curve has both a smaller bond sample and is rarely published to 10 years (see figure below), thus requiring more frequent extrapolation. </w:t>
      </w:r>
    </w:p>
    <w:p w:rsidR="00A933BB" w:rsidRDefault="00A933BB" w:rsidP="00A933BB">
      <w:r>
        <w:t xml:space="preserve">In these </w:t>
      </w:r>
      <w:r w:rsidR="00410AB6">
        <w:t>circumstances</w:t>
      </w:r>
      <w:r>
        <w:t>, there appear to be advantages and disadvantages to relying on either curve, or some combination of the curves. Neither AusNet Services nor any other stakeholder has submitted detailed analysis on this issue.</w:t>
      </w:r>
    </w:p>
    <w:p w:rsidR="00A933BB" w:rsidRDefault="00A933BB" w:rsidP="00A933BB">
      <w:pPr>
        <w:pStyle w:val="Caption"/>
      </w:pPr>
      <w:r>
        <w:t xml:space="preserve">Figure </w:t>
      </w:r>
      <w:fldSimple w:instr=" STYLEREF 1 \s ">
        <w:r w:rsidR="006B4A74">
          <w:rPr>
            <w:noProof/>
          </w:rPr>
          <w:t>3</w:t>
        </w:r>
      </w:fldSimple>
      <w:r w:rsidR="008A2B2B">
        <w:noBreakHyphen/>
      </w:r>
      <w:fldSimple w:instr=" SEQ Figure \* ARABIC \s 1 ">
        <w:r w:rsidR="006B4A74">
          <w:rPr>
            <w:noProof/>
          </w:rPr>
          <w:t>21</w:t>
        </w:r>
      </w:fldSimple>
      <w:r>
        <w:tab/>
        <w:t>TR BBB blended and domestic credit curves</w:t>
      </w:r>
    </w:p>
    <w:p w:rsidR="00B67FA4" w:rsidRDefault="00B67FA4" w:rsidP="002656D9">
      <w:pPr>
        <w:pStyle w:val="AERtablesource"/>
        <w:rPr>
          <w:rStyle w:val="AERbody"/>
        </w:rPr>
      </w:pPr>
      <w:bookmarkStart w:id="525" w:name="_Toc480460933"/>
      <w:r w:rsidRPr="00B67FA4">
        <w:rPr>
          <w:rStyle w:val="AERbody"/>
          <w:noProof/>
          <w:lang w:eastAsia="en-AU"/>
        </w:rPr>
        <w:drawing>
          <wp:inline distT="0" distB="0" distL="0" distR="0" wp14:anchorId="5F64E697" wp14:editId="3CEF1296">
            <wp:extent cx="5382895" cy="35147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895" cy="3514725"/>
                    </a:xfrm>
                    <a:prstGeom prst="rect">
                      <a:avLst/>
                    </a:prstGeom>
                    <a:noFill/>
                  </pic:spPr>
                </pic:pic>
              </a:graphicData>
            </a:graphic>
          </wp:inline>
        </w:drawing>
      </w:r>
      <w:bookmarkEnd w:id="525"/>
    </w:p>
    <w:p w:rsidR="009D3A48" w:rsidRPr="002656D9" w:rsidRDefault="009D3A48" w:rsidP="002656D9">
      <w:pPr>
        <w:pStyle w:val="AERtablesource"/>
        <w:rPr>
          <w:rStyle w:val="AERbody"/>
          <w:sz w:val="16"/>
        </w:rPr>
      </w:pPr>
      <w:r w:rsidRPr="007151C3">
        <w:rPr>
          <w:rStyle w:val="AERbody"/>
          <w:sz w:val="16"/>
        </w:rPr>
        <w:t>Source: Thomson Reuters</w:t>
      </w:r>
    </w:p>
    <w:p w:rsidR="00A933BB" w:rsidRPr="00A933BB" w:rsidRDefault="00A933BB" w:rsidP="002656D9">
      <w:pPr>
        <w:pStyle w:val="HeadingItalic"/>
      </w:pPr>
      <w:bookmarkStart w:id="526" w:name="_Toc480460934"/>
      <w:r>
        <w:t>Other implementation concerns</w:t>
      </w:r>
      <w:bookmarkEnd w:id="526"/>
    </w:p>
    <w:p w:rsidR="00A933BB" w:rsidRDefault="00A933BB" w:rsidP="00A933BB">
      <w:r>
        <w:t>Currently the RBA and BVAL curves are weighted equally. The weighting is based on findings from Lally. In particular, Lally derived formulae to demonstrate that, subject to some assumptions, the mean squared error of the two variable estimator would be reduced with equal weighting.</w:t>
      </w:r>
      <w:r>
        <w:rPr>
          <w:rStyle w:val="FootnoteReference"/>
        </w:rPr>
        <w:footnoteReference w:id="1442"/>
      </w:r>
      <w:r>
        <w:t xml:space="preserve"> While we could make simplifying assumptions to include the new curve at equal weight, it is unclear if these would be reasonable without further analysis. As noted above, AusNet did not propose a weighting for us to assess.  </w:t>
      </w:r>
    </w:p>
    <w:p w:rsidR="00A933BB" w:rsidRDefault="00A933BB" w:rsidP="00A933BB">
      <w:r>
        <w:t xml:space="preserve">Further, as we have accepted AusNet Services’ proposal to update the return on debt annually, we are required to set out an approach that can be given effect by automatic application of a formula. For this reason, we would need also to alter the contingencies set out in our Final Decision to accommodate the Thomson Reuters curve. We note that the presence of a third curve would substantially increase the options and permutations to consider in determining the appropriate contingencies.  And, as changes in data availability are relatively common, these contingencies could plausibly be highly material over a five year regulatory period. Given stakeholders have not been given a reasonable opportunity to consult on these matters, we are not satisfied at this stage that adopting the Thomson Reuters curve would contribute to achievement of the ARORO. </w:t>
      </w:r>
    </w:p>
    <w:p w:rsidR="00A933BB" w:rsidRDefault="00A933BB" w:rsidP="00A933BB">
      <w:r>
        <w:t>These methodological design issues</w:t>
      </w:r>
      <w:r w:rsidRPr="009C3EB9">
        <w:t xml:space="preserve"> are not </w:t>
      </w:r>
      <w:r>
        <w:t>irresolvable</w:t>
      </w:r>
      <w:r w:rsidRPr="009C3EB9">
        <w:t xml:space="preserve">. However, </w:t>
      </w:r>
      <w:r>
        <w:t>they are complex and would ideally involve consultation with stakeholders</w:t>
      </w:r>
      <w:r w:rsidRPr="009C3EB9">
        <w:t>.</w:t>
      </w:r>
    </w:p>
    <w:p w:rsidR="00A933BB" w:rsidRDefault="00A933BB" w:rsidP="00ED2889">
      <w:pPr>
        <w:pStyle w:val="Heading9"/>
      </w:pPr>
      <w:bookmarkStart w:id="527" w:name="_Toc480460935"/>
      <w:r>
        <w:t>Immaterial in simplest case</w:t>
      </w:r>
      <w:bookmarkEnd w:id="527"/>
    </w:p>
    <w:p w:rsidR="00A933BB" w:rsidRDefault="00A933BB" w:rsidP="00A933BB">
      <w:r>
        <w:t xml:space="preserve">Aside from the design issues above, we are not persuaded there is sufficient evidence to suggest that the inclusion of a Thomson Reuters curve would materially change revenue outcomes. To test whether the curve would make a substantial difference to the achievement of the ARORO we considered the magnitude of the change to the return on debt with its addition. To do so, we used the simplest case of a simple average (1/3 weighting to each curve) and a similar extrapolation method to that done for </w:t>
      </w:r>
      <w:r w:rsidRPr="00FB1D2C">
        <w:t>the RBA curve</w:t>
      </w:r>
      <w:r>
        <w:t xml:space="preserve">. </w:t>
      </w:r>
    </w:p>
    <w:p w:rsidR="00A933BB" w:rsidRDefault="00A933BB" w:rsidP="00A933BB">
      <w:r>
        <w:t>We found that from mid-2015 (when the Reuters curve became available for a period at 10 years in blended form),</w:t>
      </w:r>
      <w:r>
        <w:rPr>
          <w:rStyle w:val="FootnoteReference"/>
        </w:rPr>
        <w:footnoteReference w:id="1443"/>
      </w:r>
      <w:r>
        <w:t xml:space="preserve"> to the end of 2016 the differences between the two approaches were largely immaterial. On average the difference was 3 basis points. As this has been created without the optimal weightings and extrapolation methods considered, the actual implementation could be different. </w:t>
      </w:r>
    </w:p>
    <w:p w:rsidR="00A933BB" w:rsidRPr="009649CD" w:rsidRDefault="00A933BB" w:rsidP="00A933BB">
      <w:r w:rsidRPr="009649CD">
        <w:t xml:space="preserve">This does not imply these curves will continue to produce similar results. Further, we consider that analysis of the yield curve's underlying characteristics is the most informative means of evaluating the curves. To the extent that a comparison of outcomes is informative, we are not satisfied that there is sufficient evidence the addition of a third curve would, in expectation, have any more than incremental impact on the outcomes of our current approach. </w:t>
      </w:r>
    </w:p>
    <w:p w:rsidR="00A933BB" w:rsidRPr="00A933BB" w:rsidRDefault="00A933BB" w:rsidP="00A933BB">
      <w:pPr>
        <w:pStyle w:val="Caption"/>
      </w:pPr>
      <w:r>
        <w:t xml:space="preserve">Figure </w:t>
      </w:r>
      <w:fldSimple w:instr=" STYLEREF 1 \s ">
        <w:r w:rsidR="006B4A74">
          <w:rPr>
            <w:noProof/>
          </w:rPr>
          <w:t>3</w:t>
        </w:r>
      </w:fldSimple>
      <w:r w:rsidR="008A2B2B">
        <w:noBreakHyphen/>
      </w:r>
      <w:fldSimple w:instr=" SEQ Figure \* ARABIC \s 1 ">
        <w:r w:rsidR="006B4A74">
          <w:rPr>
            <w:noProof/>
          </w:rPr>
          <w:t>22</w:t>
        </w:r>
      </w:fldSimple>
      <w:r>
        <w:tab/>
        <w:t>Simple averages of RBA, BVAL and Reuters curves</w:t>
      </w:r>
    </w:p>
    <w:p w:rsidR="00A933BB" w:rsidRDefault="00A933BB" w:rsidP="00A933BB">
      <w:r w:rsidRPr="00A933BB">
        <w:rPr>
          <w:noProof/>
          <w:lang w:eastAsia="en-AU"/>
        </w:rPr>
        <w:drawing>
          <wp:inline distT="0" distB="0" distL="0" distR="0" wp14:anchorId="3AA8D544" wp14:editId="7A0A6432">
            <wp:extent cx="5090400" cy="3315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0400" cy="3315600"/>
                    </a:xfrm>
                    <a:prstGeom prst="rect">
                      <a:avLst/>
                    </a:prstGeom>
                    <a:noFill/>
                  </pic:spPr>
                </pic:pic>
              </a:graphicData>
            </a:graphic>
          </wp:inline>
        </w:drawing>
      </w:r>
    </w:p>
    <w:p w:rsidR="009D3A48" w:rsidRPr="00A933BB" w:rsidRDefault="009D3A48" w:rsidP="00A933BB">
      <w:r>
        <w:t>Sources: AER; Bloomberg; RBA; Thomson Reuters</w:t>
      </w:r>
    </w:p>
    <w:p w:rsidR="00A933BB" w:rsidRPr="00D729CA" w:rsidRDefault="00A933BB" w:rsidP="00ED2889">
      <w:pPr>
        <w:pStyle w:val="Heading8"/>
      </w:pPr>
      <w:bookmarkStart w:id="528" w:name="_Toc449624779"/>
      <w:bookmarkStart w:id="529" w:name="_Toc451947852"/>
      <w:bookmarkStart w:id="530" w:name="_Toc481057505"/>
      <w:r w:rsidRPr="00D729CA">
        <w:t>Other issues</w:t>
      </w:r>
      <w:bookmarkEnd w:id="528"/>
      <w:bookmarkEnd w:id="529"/>
      <w:bookmarkEnd w:id="530"/>
    </w:p>
    <w:p w:rsidR="00A933BB" w:rsidRPr="005027D1" w:rsidRDefault="00A933BB" w:rsidP="00A933BB">
      <w:pPr>
        <w:rPr>
          <w:rStyle w:val="AERbody"/>
        </w:rPr>
      </w:pPr>
      <w:r w:rsidRPr="005027D1">
        <w:rPr>
          <w:rStyle w:val="AERbody"/>
        </w:rPr>
        <w:t>This section sets out our analysis of other issues raised by CEG. Specifically, we address the extrapolation of the BVAL curve.</w:t>
      </w:r>
    </w:p>
    <w:p w:rsidR="00A933BB" w:rsidRDefault="00A933BB" w:rsidP="00ED2889">
      <w:pPr>
        <w:pStyle w:val="Heading9"/>
      </w:pPr>
      <w:bookmarkStart w:id="531" w:name="_Toc480460937"/>
      <w:r>
        <w:t>Extrapolation method</w:t>
      </w:r>
      <w:bookmarkEnd w:id="531"/>
    </w:p>
    <w:p w:rsidR="00A933BB" w:rsidRPr="00A933BB" w:rsidRDefault="00A933BB" w:rsidP="00A933BB">
      <w:r>
        <w:t xml:space="preserve">We </w:t>
      </w:r>
      <w:r w:rsidRPr="00A933BB">
        <w:t>remain satisfied that our methodology for extrapolating the return on debt series will contribute to achievement of the ARORO. In contrast, CEG recommended in a recent submission that the SAPN method should be used instead</w:t>
      </w:r>
      <w:r w:rsidRPr="00A933BB">
        <w:rPr>
          <w:rStyle w:val="FootnoteReference"/>
        </w:rPr>
        <w:footnoteReference w:id="1444"/>
      </w:r>
      <w:r w:rsidRPr="00A933BB">
        <w:t xml:space="preserve">:  </w:t>
      </w:r>
    </w:p>
    <w:p w:rsidR="00A933BB" w:rsidRPr="00471E2B" w:rsidRDefault="00A933BB" w:rsidP="00A933BB">
      <w:pPr>
        <w:pStyle w:val="AERquote"/>
      </w:pPr>
      <w:r w:rsidRPr="009211FE">
        <w:t>To the extent that extrapolation of the BVAL curve is to be applied (to give an estimate of the cost of debt that is independent from those already available from RBA/Reuters) then the methodology should, in our opinion, be independent of the RBA/Reuters curves. The SAPN extrapolation method provides this independence</w:t>
      </w:r>
      <w:r w:rsidRPr="00471E2B">
        <w:t xml:space="preserve"> and the results of applying this methodology are set out in Table 3-2 above. </w:t>
      </w:r>
    </w:p>
    <w:p w:rsidR="00A933BB" w:rsidRDefault="00A933BB" w:rsidP="00A933BB">
      <w:r>
        <w:t>We have addressed the SAPN approach in previous decisions, and remain unpersuaded that there is a compelling conceptual or practical basis to assume that yield curves should conform to a straight line along their entire length.</w:t>
      </w:r>
      <w:r>
        <w:rPr>
          <w:rStyle w:val="FootnoteReference"/>
        </w:rPr>
        <w:footnoteReference w:id="1445"/>
      </w:r>
      <w:r>
        <w:t xml:space="preserve"> In contrast, our approach relies only on the shape of the yield curve from 7 to 10 years as published by the RBA. We are satisfied that this is likely to be more informative about the appropriate shape for the yield curve from 7 to 10 years compared to a presumption that the 7 to 10 year margin should reflect a line of best fit across the entire term range. Compared to the shape of either the RBA or Bloomberg curves over their published ranges, the SAPN curve appears counterintuitive.  </w:t>
      </w:r>
    </w:p>
    <w:p w:rsidR="00A933BB" w:rsidRDefault="00A933BB" w:rsidP="00A933BB">
      <w:r>
        <w:t xml:space="preserve">Further, as a result of its straight line assumption the SAPN extrapolation method also appears to have been consistently biased upwards over the past one and a half years (for which we have published BVAL 10 year data to compare the approach). This can be seen in the figure below. </w:t>
      </w:r>
    </w:p>
    <w:p w:rsidR="00A933BB" w:rsidRDefault="00A933BB" w:rsidP="00A933BB">
      <w:pPr>
        <w:pStyle w:val="Caption"/>
      </w:pPr>
      <w:r>
        <w:t xml:space="preserve">Figure </w:t>
      </w:r>
      <w:fldSimple w:instr=" STYLEREF 1 \s ">
        <w:r w:rsidR="006B4A74">
          <w:rPr>
            <w:noProof/>
          </w:rPr>
          <w:t>3</w:t>
        </w:r>
      </w:fldSimple>
      <w:r w:rsidR="008A2B2B">
        <w:noBreakHyphen/>
      </w:r>
      <w:fldSimple w:instr=" SEQ Figure \* ARABIC \s 1 ">
        <w:r w:rsidR="006B4A74">
          <w:rPr>
            <w:noProof/>
          </w:rPr>
          <w:t>23</w:t>
        </w:r>
      </w:fldSimple>
      <w:r>
        <w:tab/>
        <w:t>BVAL 10 Year Yield with AER and SAPN Extrapolation Approaches</w:t>
      </w:r>
    </w:p>
    <w:p w:rsidR="00A933BB" w:rsidRDefault="00F8112C" w:rsidP="00A933BB">
      <w:r>
        <w:rPr>
          <w:noProof/>
          <w:lang w:eastAsia="en-AU"/>
        </w:rPr>
        <w:drawing>
          <wp:inline distT="0" distB="0" distL="0" distR="0" wp14:anchorId="582D2EFA">
            <wp:extent cx="5517515" cy="3420110"/>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7515" cy="3420110"/>
                    </a:xfrm>
                    <a:prstGeom prst="rect">
                      <a:avLst/>
                    </a:prstGeom>
                    <a:noFill/>
                  </pic:spPr>
                </pic:pic>
              </a:graphicData>
            </a:graphic>
          </wp:inline>
        </w:drawing>
      </w:r>
    </w:p>
    <w:p w:rsidR="009D3A48" w:rsidRDefault="009D3A48" w:rsidP="002656D9">
      <w:pPr>
        <w:pStyle w:val="AERtablesource"/>
      </w:pPr>
      <w:r>
        <w:t>Sources: AER; Bloomberg; RBA</w:t>
      </w:r>
      <w:r w:rsidR="007151C3">
        <w:t>.</w:t>
      </w:r>
    </w:p>
    <w:p w:rsidR="00AD2086" w:rsidRPr="00AD2086" w:rsidRDefault="00AD2086" w:rsidP="00AD2086">
      <w:pPr>
        <w:pStyle w:val="Heading8"/>
      </w:pPr>
      <w:bookmarkStart w:id="532" w:name="_Ref452629353"/>
      <w:bookmarkStart w:id="533" w:name="_Toc456686775"/>
      <w:bookmarkStart w:id="534" w:name="_Toc481057506"/>
      <w:r>
        <w:t>Credit rating</w:t>
      </w:r>
      <w:bookmarkEnd w:id="532"/>
      <w:bookmarkEnd w:id="533"/>
      <w:bookmarkEnd w:id="534"/>
    </w:p>
    <w:p w:rsidR="00AD2086" w:rsidRPr="00ED244D" w:rsidRDefault="00AD2086" w:rsidP="00AD2086">
      <w:r>
        <w:t>In section 3.4.2</w:t>
      </w:r>
      <w:r w:rsidRPr="00ED244D">
        <w:t xml:space="preserve">, we set out our position and key reasons on the benchmark credit rating. In this section, we set out further supporting details behind our calculation of the median credit rating of a sample of firms that are comparable to the benchmark efficient entity (the industry median). </w:t>
      </w:r>
      <w:r>
        <w:t>This entails</w:t>
      </w:r>
      <w:r w:rsidRPr="00ED244D">
        <w:t>:</w:t>
      </w:r>
    </w:p>
    <w:p w:rsidR="00AD2086" w:rsidRDefault="00AD2086" w:rsidP="00AD2086">
      <w:pPr>
        <w:pStyle w:val="AERbulletlistfirststyle"/>
      </w:pPr>
      <w:r>
        <w:t xml:space="preserve">Setting out </w:t>
      </w:r>
      <w:r w:rsidRPr="00ED244D">
        <w:t>the comparator set we use to estimate the industry median</w:t>
      </w:r>
      <w:r>
        <w:t xml:space="preserve"> and responding to AusNet Services’ proposal to exclude itself and </w:t>
      </w:r>
      <w:r w:rsidRPr="00032247">
        <w:t>SGSP Australia Assets Pty Ltd</w:t>
      </w:r>
      <w:r>
        <w:t xml:space="preserve"> (SGSP)</w:t>
      </w:r>
      <w:r w:rsidRPr="00032247">
        <w:t xml:space="preserve"> </w:t>
      </w:r>
      <w:r>
        <w:t>from the comparator set</w:t>
      </w:r>
    </w:p>
    <w:p w:rsidR="00AD2086" w:rsidRPr="00ED244D" w:rsidRDefault="00AD2086" w:rsidP="00AD2086">
      <w:pPr>
        <w:pStyle w:val="AERbulletlistfirststyle"/>
      </w:pPr>
      <w:r>
        <w:t>Explaining why we consider market data supports an</w:t>
      </w:r>
      <w:r w:rsidRPr="00ED244D">
        <w:t xml:space="preserve"> industry median </w:t>
      </w:r>
      <w:r>
        <w:t>credit rating of</w:t>
      </w:r>
      <w:r w:rsidRPr="00ED244D">
        <w:t xml:space="preserve"> BBB+</w:t>
      </w:r>
      <w:r>
        <w:t>, rather than</w:t>
      </w:r>
      <w:r w:rsidRPr="00ED244D">
        <w:t xml:space="preserve"> BBB</w:t>
      </w:r>
      <w:r>
        <w:t>.</w:t>
      </w:r>
    </w:p>
    <w:p w:rsidR="00AD2086" w:rsidRPr="00AD2086" w:rsidRDefault="00AD2086" w:rsidP="00AD2086">
      <w:pPr>
        <w:pStyle w:val="Heading9"/>
      </w:pPr>
      <w:bookmarkStart w:id="535" w:name="_Toc433367514"/>
      <w:bookmarkStart w:id="536" w:name="_Toc433446597"/>
      <w:bookmarkStart w:id="537" w:name="_Toc456686776"/>
      <w:bookmarkStart w:id="538" w:name="_Toc480460939"/>
      <w:r w:rsidRPr="00EC299C">
        <w:t>Comparator Set</w:t>
      </w:r>
      <w:bookmarkEnd w:id="535"/>
      <w:bookmarkEnd w:id="536"/>
      <w:bookmarkEnd w:id="537"/>
      <w:bookmarkEnd w:id="538"/>
      <w:r w:rsidRPr="00EC299C">
        <w:t xml:space="preserve"> </w:t>
      </w:r>
    </w:p>
    <w:p w:rsidR="00AD2086" w:rsidRPr="00032247" w:rsidRDefault="00AD2086" w:rsidP="00AD2086">
      <w:r w:rsidRPr="00032247">
        <w:t>We draw our comparator set for estimating the benchmark credit rating from Standard and Poor's industry report cards, with the exclusion of a firm that is</w:t>
      </w:r>
      <w:r>
        <w:t xml:space="preserve"> owned by an Australian state government</w:t>
      </w:r>
      <w:r w:rsidRPr="00032247">
        <w:t>.</w:t>
      </w:r>
      <w:r>
        <w:rPr>
          <w:rStyle w:val="FootnoteReference"/>
        </w:rPr>
        <w:footnoteReference w:id="1446"/>
      </w:r>
      <w:r w:rsidRPr="00032247">
        <w:t xml:space="preserve"> This is made up of the following businesses:</w:t>
      </w:r>
    </w:p>
    <w:p w:rsidR="00AD2086" w:rsidRPr="00032247" w:rsidRDefault="00AD2086" w:rsidP="00AD2086">
      <w:pPr>
        <w:pStyle w:val="AERbulletlistfirststyle"/>
      </w:pPr>
      <w:r w:rsidRPr="00032247">
        <w:t>APT Pipelines Ltd</w:t>
      </w:r>
    </w:p>
    <w:p w:rsidR="00AD2086" w:rsidRPr="00032247" w:rsidRDefault="00AD2086" w:rsidP="00AD2086">
      <w:pPr>
        <w:pStyle w:val="AERbulletlistfirststyle"/>
      </w:pPr>
      <w:r w:rsidRPr="00032247">
        <w:t>ATCO Gas Australian LP</w:t>
      </w:r>
    </w:p>
    <w:p w:rsidR="00AD2086" w:rsidRPr="00032247" w:rsidRDefault="00AD2086" w:rsidP="00AD2086">
      <w:pPr>
        <w:pStyle w:val="AERbulletlistfirststyle"/>
      </w:pPr>
      <w:r w:rsidRPr="00032247">
        <w:t>DBNGP Trust</w:t>
      </w:r>
    </w:p>
    <w:p w:rsidR="00AD2086" w:rsidRPr="00032247" w:rsidRDefault="00AD2086" w:rsidP="00AD2086">
      <w:pPr>
        <w:pStyle w:val="AERbulletlistfirststyle"/>
      </w:pPr>
      <w:r w:rsidRPr="00032247">
        <w:t>DUET Group</w:t>
      </w:r>
    </w:p>
    <w:p w:rsidR="00AD2086" w:rsidRPr="00032247" w:rsidRDefault="00AD2086" w:rsidP="00AD2086">
      <w:pPr>
        <w:pStyle w:val="AERbulletlistfirststyle"/>
      </w:pPr>
      <w:r w:rsidRPr="00032247">
        <w:t>ElectraNet Pty Ltd</w:t>
      </w:r>
    </w:p>
    <w:p w:rsidR="00AD2086" w:rsidRPr="00032247" w:rsidRDefault="00AD2086" w:rsidP="00AD2086">
      <w:pPr>
        <w:pStyle w:val="AERbulletlistfirststyle"/>
      </w:pPr>
      <w:r w:rsidRPr="00032247">
        <w:t>Energy Partnership (Gas) Pty Ltd</w:t>
      </w:r>
    </w:p>
    <w:p w:rsidR="00AD2086" w:rsidRPr="00032247" w:rsidRDefault="00AD2086" w:rsidP="00AD2086">
      <w:pPr>
        <w:pStyle w:val="AERbulletlistfirststyle"/>
      </w:pPr>
      <w:r w:rsidRPr="00032247">
        <w:t xml:space="preserve">Australian Gas Networks Ltd— previously Envestra Ltd </w:t>
      </w:r>
    </w:p>
    <w:p w:rsidR="00AD2086" w:rsidRPr="00032247" w:rsidRDefault="00AD2086" w:rsidP="00AD2086">
      <w:pPr>
        <w:pStyle w:val="AERbulletlistfirststyle"/>
      </w:pPr>
      <w:r w:rsidRPr="00032247">
        <w:t>ETSA Utilities</w:t>
      </w:r>
    </w:p>
    <w:p w:rsidR="00AD2086" w:rsidRPr="00032247" w:rsidRDefault="00AD2086" w:rsidP="00AD2086">
      <w:pPr>
        <w:pStyle w:val="AERbulletlistfirststyle"/>
      </w:pPr>
      <w:r w:rsidRPr="00032247">
        <w:t>Powercor Australia LLC</w:t>
      </w:r>
      <w:r>
        <w:t xml:space="preserve"> </w:t>
      </w:r>
    </w:p>
    <w:p w:rsidR="00AD2086" w:rsidRPr="00032247" w:rsidRDefault="00AD2086" w:rsidP="00AD2086">
      <w:pPr>
        <w:pStyle w:val="AERbulletlistfirststyle"/>
      </w:pPr>
      <w:r w:rsidRPr="00032247">
        <w:t>AusNet Services — previously SP AusNet Group</w:t>
      </w:r>
    </w:p>
    <w:p w:rsidR="00AD2086" w:rsidRPr="00032247" w:rsidRDefault="00AD2086" w:rsidP="00AD2086">
      <w:pPr>
        <w:pStyle w:val="AERbulletlistfirststyle"/>
      </w:pPr>
      <w:r w:rsidRPr="00032247">
        <w:t>SGSP — previously SPI (Australia) Assets Pty Ltd</w:t>
      </w:r>
    </w:p>
    <w:p w:rsidR="00AD2086" w:rsidRPr="00032247" w:rsidRDefault="00AD2086" w:rsidP="00AD2086">
      <w:pPr>
        <w:pStyle w:val="AERbulletlistfirststyle"/>
      </w:pPr>
      <w:r w:rsidRPr="00032247">
        <w:t>The CitiPower Trust</w:t>
      </w:r>
      <w:r>
        <w:t xml:space="preserve"> </w:t>
      </w:r>
    </w:p>
    <w:p w:rsidR="00AD2086" w:rsidRDefault="00AD2086" w:rsidP="00AD2086">
      <w:pPr>
        <w:pStyle w:val="AERbulletlistfirststyle"/>
      </w:pPr>
      <w:r w:rsidRPr="00032247">
        <w:t>Uni</w:t>
      </w:r>
      <w:r>
        <w:t>ted Energy Distribution Pty Ltd</w:t>
      </w:r>
    </w:p>
    <w:p w:rsidR="00AD2086" w:rsidRDefault="00AD2086" w:rsidP="00AD2086">
      <w:pPr>
        <w:pStyle w:val="AERbulletlistfirststyle"/>
      </w:pPr>
      <w:r>
        <w:t>Victoria Power Networks Pty Ltd</w:t>
      </w:r>
      <w:bookmarkStart w:id="539" w:name="_Toc433367515"/>
      <w:bookmarkStart w:id="540" w:name="_Toc433446598"/>
      <w:r w:rsidR="007151C3">
        <w:t>.</w:t>
      </w:r>
      <w:r>
        <w:rPr>
          <w:rStyle w:val="FootnoteReference"/>
        </w:rPr>
        <w:footnoteReference w:id="1447"/>
      </w:r>
    </w:p>
    <w:p w:rsidR="00AD2086" w:rsidRDefault="00AD2086" w:rsidP="00AD2086">
      <w:r w:rsidRPr="002959D6">
        <w:t xml:space="preserve">In its initial regulatory proposal, AusNet Services submitted we should exclude it and SGSP from our comparator set. This was on the basis that the ownership by the </w:t>
      </w:r>
      <w:r w:rsidRPr="004057F3">
        <w:t xml:space="preserve">Singaporean Government and later by the Chinese Government in these businesses </w:t>
      </w:r>
      <w:r>
        <w:t>affects</w:t>
      </w:r>
      <w:r w:rsidRPr="004057F3">
        <w:t xml:space="preserve"> </w:t>
      </w:r>
      <w:r>
        <w:t xml:space="preserve">how </w:t>
      </w:r>
      <w:r w:rsidRPr="004057F3">
        <w:t xml:space="preserve">credit rating agencies </w:t>
      </w:r>
      <w:r>
        <w:t>consider their</w:t>
      </w:r>
      <w:r w:rsidRPr="004057F3">
        <w:t xml:space="preserve"> credit ratings</w:t>
      </w:r>
      <w:r>
        <w:t>.</w:t>
      </w:r>
      <w:r>
        <w:rPr>
          <w:rStyle w:val="FootnoteReference"/>
        </w:rPr>
        <w:footnoteReference w:id="1448"/>
      </w:r>
      <w:r w:rsidRPr="004057F3">
        <w:t xml:space="preserve"> </w:t>
      </w:r>
    </w:p>
    <w:p w:rsidR="00AD2086" w:rsidRPr="00160DAC" w:rsidRDefault="00AD2086" w:rsidP="00AD2086">
      <w:pPr>
        <w:rPr>
          <w:rStyle w:val="AERsuperscript"/>
        </w:rPr>
      </w:pPr>
      <w:r w:rsidRPr="008C258A">
        <w:t>W</w:t>
      </w:r>
      <w:r>
        <w:t>e have previously stated in our final decision for SA Power Networks that w</w:t>
      </w:r>
      <w:r w:rsidRPr="008C258A">
        <w:t>e do not consider partial government ownership is an important factor in the assigned rating by Standard and Poor’s.</w:t>
      </w:r>
      <w:r>
        <w:rPr>
          <w:rStyle w:val="FootnoteReference"/>
        </w:rPr>
        <w:footnoteReference w:id="1449"/>
      </w:r>
      <w:r w:rsidRPr="008C258A">
        <w:t xml:space="preserve"> </w:t>
      </w:r>
      <w:r>
        <w:t>We consider that Australian federal or state government owned service providers may have different incentives compared to foreign government owned and privately owned service providers. However, we have formed the view that foreign government owned firms, particularly those that hold minority investments, would be operated in a similar manner to privately owned firms with parent</w:t>
      </w:r>
      <w:r w:rsidRPr="00160DAC">
        <w:rPr>
          <w:rStyle w:val="AERbody"/>
        </w:rPr>
        <w:t xml:space="preserve"> support, with regards to the likelihood of timely and sufficient government </w:t>
      </w:r>
      <w:r>
        <w:rPr>
          <w:rStyle w:val="AERbody"/>
        </w:rPr>
        <w:t xml:space="preserve">or </w:t>
      </w:r>
      <w:r w:rsidRPr="00160DAC">
        <w:rPr>
          <w:rStyle w:val="AERbody"/>
        </w:rPr>
        <w:t>parent company support in extraordinary circumstances.</w:t>
      </w:r>
      <w:r w:rsidRPr="00160DAC">
        <w:rPr>
          <w:rStyle w:val="AERsuperscript"/>
        </w:rPr>
        <w:footnoteReference w:id="1450"/>
      </w:r>
    </w:p>
    <w:p w:rsidR="00AD2086" w:rsidRPr="002F0EF0" w:rsidRDefault="00AD2086" w:rsidP="00AD2086">
      <w:r w:rsidRPr="002F0EF0">
        <w:t xml:space="preserve">Overall, we note that there are a range of possible reasons for excluding firms from the comparator set that could be put forward. These potential reasons include excluding firms within the same corporate group, excluding firms with parent ownership, </w:t>
      </w:r>
      <w:r>
        <w:t xml:space="preserve">excluding firms with gearing levels that differ from our benchmark 60 per cent level, </w:t>
      </w:r>
      <w:r w:rsidRPr="002F0EF0">
        <w:t>and excluding firms with non-regulated activities.</w:t>
      </w:r>
      <w:r>
        <w:t xml:space="preserve"> For example, in its submission on our preliminary decision for SA Power Networks, ECCSA expressed concerns that Australian Gas Networks Ltd contributed to our benchmark given Australian Gas Networks Ltd.'s gearing has exceeded 80 per cent.</w:t>
      </w:r>
      <w:r>
        <w:rPr>
          <w:rStyle w:val="FootnoteReference"/>
        </w:rPr>
        <w:footnoteReference w:id="1451"/>
      </w:r>
      <w:r>
        <w:t xml:space="preserve"> </w:t>
      </w:r>
      <w:r w:rsidRPr="002F0EF0">
        <w:t xml:space="preserve">The merits of each of these can be debated, and we assess </w:t>
      </w:r>
      <w:r>
        <w:t>several of these reasons</w:t>
      </w:r>
      <w:r w:rsidRPr="002F0EF0">
        <w:t xml:space="preserve"> above. If each of these exclusion criteria were applied it would likely leave a sample that is too small to draw meaningful conclusions on. In such a case, we would like</w:t>
      </w:r>
      <w:r>
        <w:t>ly</w:t>
      </w:r>
      <w:r w:rsidRPr="002F0EF0">
        <w:t xml:space="preserve"> find there were insufficient reasons to depart from the previous benchmark, which is BBB+. </w:t>
      </w:r>
    </w:p>
    <w:p w:rsidR="00AD2086" w:rsidRDefault="00AD2086" w:rsidP="00AD2086">
      <w:r w:rsidRPr="002F0EF0">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AD2086" w:rsidRPr="00AD2086" w:rsidRDefault="00AD2086" w:rsidP="00AD2086">
      <w:pPr>
        <w:pStyle w:val="Heading9"/>
      </w:pPr>
      <w:bookmarkStart w:id="541" w:name="_Toc456686777"/>
      <w:bookmarkStart w:id="542" w:name="_Toc480460940"/>
      <w:r>
        <w:t>Current Industry Median</w:t>
      </w:r>
      <w:bookmarkEnd w:id="539"/>
      <w:bookmarkEnd w:id="540"/>
      <w:bookmarkEnd w:id="541"/>
      <w:bookmarkEnd w:id="542"/>
    </w:p>
    <w:p w:rsidR="00AD2086" w:rsidRDefault="00AD2086" w:rsidP="00AD2086">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1452"/>
      </w:r>
      <w:r w:rsidRPr="008E3CDC">
        <w:t xml:space="preserve"> </w:t>
      </w:r>
      <w:r w:rsidRPr="00411A04">
        <w:t xml:space="preserve">We </w:t>
      </w:r>
      <w:r>
        <w:t>also</w:t>
      </w:r>
      <w:r w:rsidRPr="00411A04">
        <w:t xml:space="preserve"> have regard to variability in the median credit rating throughout time</w:t>
      </w:r>
      <w:r w:rsidRPr="002959D6">
        <w:t>. This recognises that while shorter term data is more likely to reflect current expectations, longer term data may reduce the influence on the median from firm spe</w:t>
      </w:r>
      <w:r>
        <w:t>cific or idiosyncratic factors.</w:t>
      </w:r>
    </w:p>
    <w:p w:rsidR="00AD2086" w:rsidRDefault="00AD2086" w:rsidP="00AD2086">
      <w:r w:rsidRPr="002959D6">
        <w:t>It is worth noting that we consider AusNet Services mischaracterised our approach in its initial proposal as only taking an ‘on-the-day’ credit rating.</w:t>
      </w:r>
      <w:r w:rsidRPr="002959D6">
        <w:footnoteReference w:id="1453"/>
      </w:r>
      <w:r w:rsidRPr="002959D6">
        <w:t xml:space="preserve"> </w:t>
      </w:r>
      <w:r>
        <w:t xml:space="preserve"> The on-the-day approach estimates the allowed return on debt for a service provider at the prevailing cost of debt as close as possible to the start of the regulatory period.  The on-the-day approach produces an estimate of the cost of debt rather than a benchmark credit rating which applies to the benchmark efficient entity.</w:t>
      </w:r>
    </w:p>
    <w:p w:rsidR="00AD2086" w:rsidRPr="002959D6" w:rsidRDefault="00AD2086" w:rsidP="00AD2086">
      <w:r>
        <w:t>Further, in their</w:t>
      </w:r>
      <w:r w:rsidRPr="002959D6">
        <w:t xml:space="preserve"> revised proposal</w:t>
      </w:r>
      <w:r>
        <w:t>, AusNet Services has misinterpreted Table 3-39 in the AER Draft Decision</w:t>
      </w:r>
      <w:r>
        <w:rPr>
          <w:rStyle w:val="FootnoteReference"/>
        </w:rPr>
        <w:footnoteReference w:id="1454"/>
      </w:r>
      <w:r>
        <w:t xml:space="preserve"> suggesting that the mean credit rating over the past 10 years is BBB to BBB+</w:t>
      </w:r>
      <w:r>
        <w:rPr>
          <w:rStyle w:val="FootnoteReference"/>
        </w:rPr>
        <w:footnoteReference w:id="1455"/>
      </w:r>
      <w:r>
        <w:t>.  Certainly the range spans from BBB to BBB+ for the sample in Table 3-39, however the Table results support a BBB+ rating in recent years from 2013 onward.  We consider the recent median concentration at BBB+ to represent the applicable benchmark credit rating.</w:t>
      </w:r>
    </w:p>
    <w:p w:rsidR="00AD2086" w:rsidRDefault="00AD2086" w:rsidP="00AD2086">
      <w:r>
        <w:fldChar w:fldCharType="begin"/>
      </w:r>
      <w:r>
        <w:instrText xml:space="preserve"> REF _Ref452632133 \h </w:instrText>
      </w:r>
      <w:r>
        <w:fldChar w:fldCharType="separate"/>
      </w:r>
      <w:r w:rsidR="006B4A74">
        <w:t xml:space="preserve">Table </w:t>
      </w:r>
      <w:r w:rsidR="006B4A74">
        <w:rPr>
          <w:noProof/>
        </w:rPr>
        <w:t>3</w:t>
      </w:r>
      <w:r w:rsidR="006B4A74">
        <w:noBreakHyphen/>
      </w:r>
      <w:r w:rsidR="006B4A74">
        <w:rPr>
          <w:noProof/>
        </w:rPr>
        <w:t>39</w:t>
      </w:r>
      <w:r>
        <w:fldChar w:fldCharType="end"/>
      </w:r>
      <w:r>
        <w:t xml:space="preserve"> sets out the median credit rating over historical periods of progressively longer length. While </w:t>
      </w:r>
      <w:r w:rsidR="00F12D2C">
        <w:t>the table s</w:t>
      </w:r>
      <w:r>
        <w:t xml:space="preserve">hows some support for a credit rating of BBB to BBB+, we consider it shows stronger support for a credit rating of BBB+. </w:t>
      </w:r>
    </w:p>
    <w:p w:rsidR="00AD2086" w:rsidRDefault="00AD2086" w:rsidP="00AD2086">
      <w:r>
        <w:t>We also note that this estimate entails taking the median from the yearly medians. We could also take the median of all credit rating observations over these time periods. This gives BBB+ for the four most recent periods and</w:t>
      </w:r>
      <w:r w:rsidRPr="00057769">
        <w:t xml:space="preserve"> B</w:t>
      </w:r>
      <w:r>
        <w:t>BB/BBB+ for the remainder of the median credit rating periods.  The Tribunal observed that the more recent years firmly point towards a BBB+ credit rating for the benchmark efficient entity</w:t>
      </w:r>
      <w:r>
        <w:rPr>
          <w:rStyle w:val="FootnoteReference"/>
        </w:rPr>
        <w:footnoteReference w:id="1456"/>
      </w:r>
      <w:r>
        <w:t xml:space="preserve"> and our latest data supports this view.</w:t>
      </w:r>
    </w:p>
    <w:p w:rsidR="00AD2086" w:rsidRPr="00E41C8B" w:rsidRDefault="00AD2086" w:rsidP="00AD2086">
      <w:pPr>
        <w:pStyle w:val="Caption"/>
      </w:pPr>
      <w:bookmarkStart w:id="543" w:name="_Ref452632133"/>
      <w:bookmarkStart w:id="544" w:name="OLE_LINK2"/>
      <w:r>
        <w:t xml:space="preserve">Table </w:t>
      </w:r>
      <w:fldSimple w:instr=" STYLEREF 1 \s ">
        <w:r w:rsidR="006B4A74">
          <w:rPr>
            <w:noProof/>
          </w:rPr>
          <w:t>3</w:t>
        </w:r>
      </w:fldSimple>
      <w:r w:rsidR="008F29C8">
        <w:noBreakHyphen/>
      </w:r>
      <w:fldSimple w:instr=" SEQ Table \* ARABIC \s 1 ">
        <w:r w:rsidR="006B4A74">
          <w:rPr>
            <w:noProof/>
          </w:rPr>
          <w:t>39</w:t>
        </w:r>
      </w:fldSimple>
      <w:bookmarkEnd w:id="543"/>
      <w:r>
        <w:t xml:space="preserve"> </w:t>
      </w:r>
      <w:r w:rsidRPr="00E41C8B">
        <w:t>Median credit rating</w:t>
      </w:r>
      <w:r w:rsidRPr="00627B3D">
        <w:t>—</w:t>
      </w:r>
      <w:r w:rsidRPr="00E41C8B">
        <w:t xml:space="preserve">Comparator set of </w:t>
      </w:r>
      <w:r w:rsidRPr="002959D6">
        <w:t>firms</w:t>
      </w:r>
    </w:p>
    <w:tbl>
      <w:tblPr>
        <w:tblStyle w:val="AERtable-text0"/>
        <w:tblW w:w="0" w:type="auto"/>
        <w:tblLook w:val="04A0" w:firstRow="1" w:lastRow="0" w:firstColumn="1" w:lastColumn="0" w:noHBand="0" w:noVBand="1"/>
      </w:tblPr>
      <w:tblGrid>
        <w:gridCol w:w="2153"/>
        <w:gridCol w:w="2192"/>
        <w:gridCol w:w="2155"/>
        <w:gridCol w:w="2193"/>
      </w:tblGrid>
      <w:tr w:rsidR="00AD2086" w:rsidRPr="00073F41" w:rsidTr="002656D9">
        <w:trPr>
          <w:cnfStyle w:val="100000000000" w:firstRow="1" w:lastRow="0" w:firstColumn="0" w:lastColumn="0" w:oddVBand="0" w:evenVBand="0" w:oddHBand="0" w:evenHBand="0" w:firstRowFirstColumn="0" w:firstRowLastColumn="0" w:lastRowFirstColumn="0" w:lastRowLastColumn="0"/>
          <w:tblHeader/>
        </w:trPr>
        <w:tc>
          <w:tcPr>
            <w:tcW w:w="2153" w:type="dxa"/>
          </w:tcPr>
          <w:p w:rsidR="00AD2086" w:rsidRPr="00AD2086" w:rsidRDefault="00AD2086" w:rsidP="00AD2086">
            <w:bookmarkStart w:id="545" w:name="OLE_LINK1"/>
            <w:bookmarkStart w:id="546" w:name="OLE_LINK3"/>
            <w:r w:rsidRPr="00073F41">
              <w:t xml:space="preserve">Time </w:t>
            </w:r>
            <w:r w:rsidRPr="00AD2086">
              <w:t xml:space="preserve">period </w:t>
            </w:r>
          </w:p>
        </w:tc>
        <w:tc>
          <w:tcPr>
            <w:tcW w:w="2192" w:type="dxa"/>
          </w:tcPr>
          <w:p w:rsidR="00AD2086" w:rsidRPr="00AD2086" w:rsidRDefault="00AD2086" w:rsidP="00AD2086">
            <w:r w:rsidRPr="00073F41">
              <w:t>Median credit rating</w:t>
            </w:r>
          </w:p>
        </w:tc>
        <w:tc>
          <w:tcPr>
            <w:tcW w:w="2155" w:type="dxa"/>
          </w:tcPr>
          <w:p w:rsidR="00AD2086" w:rsidRPr="00AD2086" w:rsidRDefault="00AD2086" w:rsidP="00AD2086">
            <w:r w:rsidRPr="00073F41">
              <w:t>Time period</w:t>
            </w:r>
          </w:p>
        </w:tc>
        <w:tc>
          <w:tcPr>
            <w:tcW w:w="2193" w:type="dxa"/>
          </w:tcPr>
          <w:p w:rsidR="00AD2086" w:rsidRPr="00AD2086" w:rsidRDefault="00AD2086" w:rsidP="00AD2086">
            <w:r w:rsidRPr="00073F41">
              <w:t>Median credit rating</w:t>
            </w:r>
          </w:p>
        </w:tc>
      </w:tr>
      <w:tr w:rsidR="00AD2086" w:rsidRPr="00073F41" w:rsidTr="00EC03D8">
        <w:trPr>
          <w:trHeight w:val="622"/>
        </w:trPr>
        <w:tc>
          <w:tcPr>
            <w:tcW w:w="2153" w:type="dxa"/>
          </w:tcPr>
          <w:p w:rsidR="00AD2086" w:rsidRPr="00AD2086" w:rsidRDefault="00AD2086" w:rsidP="00AD2086">
            <w:r>
              <w:t>2016</w:t>
            </w:r>
            <w:r w:rsidRPr="00AD2086">
              <w:t xml:space="preserve"> (to date)</w:t>
            </w:r>
          </w:p>
        </w:tc>
        <w:tc>
          <w:tcPr>
            <w:tcW w:w="2192" w:type="dxa"/>
          </w:tcPr>
          <w:p w:rsidR="00AD2086" w:rsidRPr="00AD2086" w:rsidRDefault="00AD2086" w:rsidP="00AD2086">
            <w:r>
              <w:t>BBB+</w:t>
            </w:r>
          </w:p>
        </w:tc>
        <w:tc>
          <w:tcPr>
            <w:tcW w:w="2155" w:type="dxa"/>
          </w:tcPr>
          <w:p w:rsidR="00AD2086" w:rsidRPr="00AD2086" w:rsidRDefault="00AD2086" w:rsidP="00AD2086">
            <w:r>
              <w:t>2010</w:t>
            </w:r>
            <w:r w:rsidRPr="00AD2086">
              <w:t>–2016</w:t>
            </w:r>
          </w:p>
        </w:tc>
        <w:tc>
          <w:tcPr>
            <w:tcW w:w="2193" w:type="dxa"/>
          </w:tcPr>
          <w:p w:rsidR="00AD2086" w:rsidRPr="00AD2086" w:rsidRDefault="00AD2086" w:rsidP="00AD2086">
            <w:r w:rsidRPr="00073F41">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D2086" w:rsidRPr="00AD2086" w:rsidRDefault="00AD2086" w:rsidP="00AD2086">
            <w:r>
              <w:t xml:space="preserve">2015 </w:t>
            </w:r>
            <w:r w:rsidRPr="00AD2086">
              <w:t>-2016</w:t>
            </w:r>
          </w:p>
        </w:tc>
        <w:tc>
          <w:tcPr>
            <w:tcW w:w="2192" w:type="dxa"/>
          </w:tcPr>
          <w:p w:rsidR="00AD2086" w:rsidRPr="00AD2086" w:rsidRDefault="00AD2086" w:rsidP="00AD2086">
            <w:r w:rsidRPr="00073F41">
              <w:t>BBB+</w:t>
            </w:r>
          </w:p>
        </w:tc>
        <w:tc>
          <w:tcPr>
            <w:tcW w:w="2155" w:type="dxa"/>
          </w:tcPr>
          <w:p w:rsidR="00AD2086" w:rsidRPr="00AD2086" w:rsidRDefault="00AD2086" w:rsidP="00AD2086">
            <w:r>
              <w:t>2009–201</w:t>
            </w:r>
            <w:r w:rsidRPr="00AD2086">
              <w:t>6</w:t>
            </w:r>
          </w:p>
        </w:tc>
        <w:tc>
          <w:tcPr>
            <w:tcW w:w="2193" w:type="dxa"/>
          </w:tcPr>
          <w:p w:rsidR="00AD2086" w:rsidRPr="00AD2086" w:rsidRDefault="00AD2086" w:rsidP="00AD2086">
            <w:r>
              <w:t>BBB</w:t>
            </w:r>
          </w:p>
        </w:tc>
      </w:tr>
      <w:tr w:rsidR="00AD2086" w:rsidRPr="00073F41" w:rsidTr="00EC03D8">
        <w:tc>
          <w:tcPr>
            <w:tcW w:w="2153" w:type="dxa"/>
          </w:tcPr>
          <w:p w:rsidR="00AD2086" w:rsidRPr="00AD2086" w:rsidRDefault="00AD2086" w:rsidP="00AD2086">
            <w:r>
              <w:t>2014–201</w:t>
            </w:r>
            <w:r w:rsidRPr="00AD2086">
              <w:t>6</w:t>
            </w:r>
          </w:p>
        </w:tc>
        <w:tc>
          <w:tcPr>
            <w:tcW w:w="2192" w:type="dxa"/>
          </w:tcPr>
          <w:p w:rsidR="00AD2086" w:rsidRPr="00AD2086" w:rsidRDefault="00AD2086" w:rsidP="00AD2086">
            <w:r w:rsidRPr="00073F41">
              <w:t>BBB+</w:t>
            </w:r>
          </w:p>
        </w:tc>
        <w:tc>
          <w:tcPr>
            <w:tcW w:w="2155" w:type="dxa"/>
          </w:tcPr>
          <w:p w:rsidR="00AD2086" w:rsidRPr="00AD2086" w:rsidRDefault="00AD2086" w:rsidP="00AD2086">
            <w:r>
              <w:t>2008–201</w:t>
            </w:r>
            <w:r w:rsidRPr="00AD2086">
              <w:t>6</w:t>
            </w:r>
          </w:p>
        </w:tc>
        <w:tc>
          <w:tcPr>
            <w:tcW w:w="2193" w:type="dxa"/>
          </w:tcPr>
          <w:p w:rsidR="00AD2086" w:rsidRPr="00AD2086" w:rsidRDefault="00AD2086" w:rsidP="00AD2086">
            <w:r>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Pr>
        <w:tc>
          <w:tcPr>
            <w:tcW w:w="2153" w:type="dxa"/>
          </w:tcPr>
          <w:p w:rsidR="00AD2086" w:rsidRPr="00AD2086" w:rsidRDefault="00AD2086" w:rsidP="00AD2086">
            <w:r>
              <w:t>2013–201</w:t>
            </w:r>
            <w:r w:rsidRPr="00AD2086">
              <w:t>6</w:t>
            </w:r>
          </w:p>
        </w:tc>
        <w:tc>
          <w:tcPr>
            <w:tcW w:w="2192" w:type="dxa"/>
          </w:tcPr>
          <w:p w:rsidR="00AD2086" w:rsidRPr="00AD2086" w:rsidRDefault="00AD2086" w:rsidP="00AD2086">
            <w:r w:rsidRPr="00073F41">
              <w:t>BBB+</w:t>
            </w:r>
          </w:p>
        </w:tc>
        <w:tc>
          <w:tcPr>
            <w:tcW w:w="2155" w:type="dxa"/>
          </w:tcPr>
          <w:p w:rsidR="00AD2086" w:rsidRPr="00AD2086" w:rsidRDefault="00AD2086" w:rsidP="00AD2086">
            <w:r>
              <w:t>2007–201</w:t>
            </w:r>
            <w:r w:rsidRPr="00AD2086">
              <w:t>6</w:t>
            </w:r>
          </w:p>
        </w:tc>
        <w:tc>
          <w:tcPr>
            <w:tcW w:w="2193" w:type="dxa"/>
          </w:tcPr>
          <w:p w:rsidR="00AD2086" w:rsidRPr="00AD2086" w:rsidRDefault="00AD2086" w:rsidP="00AD2086">
            <w:r>
              <w:t>BBB/</w:t>
            </w:r>
            <w:r w:rsidRPr="00AD2086">
              <w:t>BBB+</w:t>
            </w:r>
          </w:p>
        </w:tc>
      </w:tr>
      <w:tr w:rsidR="00AD2086" w:rsidRPr="00073F41" w:rsidTr="00EC03D8">
        <w:tc>
          <w:tcPr>
            <w:tcW w:w="2153" w:type="dxa"/>
          </w:tcPr>
          <w:p w:rsidR="00AD2086" w:rsidRPr="00AD2086" w:rsidRDefault="00AD2086" w:rsidP="00AD2086">
            <w:r>
              <w:t>2012–201</w:t>
            </w:r>
            <w:r w:rsidRPr="00AD2086">
              <w:t>6</w:t>
            </w:r>
          </w:p>
        </w:tc>
        <w:tc>
          <w:tcPr>
            <w:tcW w:w="2192" w:type="dxa"/>
          </w:tcPr>
          <w:p w:rsidR="00AD2086" w:rsidRPr="00AD2086" w:rsidRDefault="00AD2086" w:rsidP="00AD2086">
            <w:r w:rsidRPr="00073F41">
              <w:t>BBB</w:t>
            </w:r>
            <w:r w:rsidRPr="00AD2086">
              <w:t>/BBB+</w:t>
            </w:r>
          </w:p>
        </w:tc>
        <w:tc>
          <w:tcPr>
            <w:tcW w:w="2155" w:type="dxa"/>
          </w:tcPr>
          <w:p w:rsidR="00AD2086" w:rsidRPr="00AD2086" w:rsidRDefault="00AD2086" w:rsidP="00AD2086">
            <w:r>
              <w:t>2006–201</w:t>
            </w:r>
            <w:r w:rsidRPr="00AD2086">
              <w:t>6</w:t>
            </w:r>
          </w:p>
        </w:tc>
        <w:tc>
          <w:tcPr>
            <w:tcW w:w="2193" w:type="dxa"/>
          </w:tcPr>
          <w:p w:rsidR="00AD2086" w:rsidRPr="00AD2086" w:rsidRDefault="00AD2086" w:rsidP="00AD2086">
            <w:r>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Pr>
        <w:tc>
          <w:tcPr>
            <w:tcW w:w="2153" w:type="dxa"/>
          </w:tcPr>
          <w:p w:rsidR="00AD2086" w:rsidRPr="00AD2086" w:rsidRDefault="00AD2086" w:rsidP="00AD2086">
            <w:r>
              <w:t>2011–201</w:t>
            </w:r>
            <w:r w:rsidRPr="00AD2086">
              <w:t>6</w:t>
            </w:r>
          </w:p>
        </w:tc>
        <w:tc>
          <w:tcPr>
            <w:tcW w:w="2192" w:type="dxa"/>
          </w:tcPr>
          <w:p w:rsidR="00AD2086" w:rsidRPr="00AD2086" w:rsidRDefault="00AD2086" w:rsidP="00AD2086">
            <w:r>
              <w:t>BBB</w:t>
            </w:r>
            <w:r w:rsidRPr="00AD2086">
              <w:t>/BBB+</w:t>
            </w:r>
          </w:p>
        </w:tc>
        <w:tc>
          <w:tcPr>
            <w:tcW w:w="2155" w:type="dxa"/>
          </w:tcPr>
          <w:p w:rsidR="00AD2086" w:rsidRPr="00E6234D" w:rsidRDefault="00AD2086" w:rsidP="00AD2086"/>
        </w:tc>
        <w:tc>
          <w:tcPr>
            <w:tcW w:w="2193" w:type="dxa"/>
          </w:tcPr>
          <w:p w:rsidR="00AD2086" w:rsidRPr="00E6234D" w:rsidRDefault="00AD2086" w:rsidP="00AD2086"/>
        </w:tc>
      </w:tr>
    </w:tbl>
    <w:bookmarkEnd w:id="545"/>
    <w:p w:rsidR="00AD2086" w:rsidRDefault="00AD2086" w:rsidP="00AD2086">
      <w:pPr>
        <w:pStyle w:val="AERtablesource"/>
      </w:pPr>
      <w:r w:rsidRPr="00E41C8B">
        <w:t xml:space="preserve">Source: </w:t>
      </w:r>
      <w:r w:rsidRPr="00E41C8B">
        <w:tab/>
        <w:t>Bloomberg (S&amp;P), AER analysis.</w:t>
      </w:r>
      <w:r>
        <w:t xml:space="preserve"> </w:t>
      </w:r>
    </w:p>
    <w:bookmarkEnd w:id="544"/>
    <w:bookmarkEnd w:id="546"/>
    <w:p w:rsidR="00AD2086" w:rsidRDefault="00AD2086" w:rsidP="00AD2086">
      <w:r>
        <w:t xml:space="preserve">For further detail, </w:t>
      </w:r>
      <w:r>
        <w:fldChar w:fldCharType="begin"/>
      </w:r>
      <w:r>
        <w:instrText xml:space="preserve"> REF  _Ref452631952 \* Lower \h </w:instrText>
      </w:r>
      <w:r>
        <w:fldChar w:fldCharType="separate"/>
      </w:r>
      <w:r w:rsidR="006B4A74">
        <w:t xml:space="preserve">table </w:t>
      </w:r>
      <w:r w:rsidR="006B4A74">
        <w:rPr>
          <w:noProof/>
        </w:rPr>
        <w:t>3</w:t>
      </w:r>
      <w:r w:rsidR="006B4A74">
        <w:noBreakHyphen/>
      </w:r>
      <w:r w:rsidR="006B4A74">
        <w:rPr>
          <w:noProof/>
        </w:rPr>
        <w:t>40</w:t>
      </w:r>
      <w:r>
        <w:fldChar w:fldCharType="end"/>
      </w:r>
      <w:r>
        <w:t xml:space="preserve"> s</w:t>
      </w:r>
      <w:r w:rsidRPr="00F11F88">
        <w:t xml:space="preserve">ets out the median credit ratings across our comparator set since the 2006 calendar year end. </w:t>
      </w:r>
      <w:bookmarkStart w:id="547" w:name="_Toc417049626"/>
      <w:bookmarkStart w:id="548" w:name="_Toc417991802"/>
      <w:bookmarkStart w:id="549" w:name="_Toc433367516"/>
      <w:bookmarkStart w:id="550" w:name="_Toc433446599"/>
    </w:p>
    <w:p w:rsidR="00AD2086" w:rsidRPr="00411A04" w:rsidRDefault="00AD2086" w:rsidP="00AD2086">
      <w:pPr>
        <w:pStyle w:val="Caption"/>
      </w:pPr>
      <w:bookmarkStart w:id="551" w:name="_Ref452631952"/>
      <w:bookmarkStart w:id="552" w:name="_Ref452638210"/>
      <w:r>
        <w:t xml:space="preserve">Table </w:t>
      </w:r>
      <w:fldSimple w:instr=" STYLEREF 1 \s ">
        <w:r w:rsidR="006B4A74">
          <w:rPr>
            <w:noProof/>
          </w:rPr>
          <w:t>3</w:t>
        </w:r>
      </w:fldSimple>
      <w:r w:rsidR="008F29C8">
        <w:noBreakHyphen/>
      </w:r>
      <w:fldSimple w:instr=" SEQ Table \* ARABIC \s 1 ">
        <w:r w:rsidR="006B4A74">
          <w:rPr>
            <w:noProof/>
          </w:rPr>
          <w:t>40</w:t>
        </w:r>
      </w:fldSimple>
      <w:bookmarkEnd w:id="551"/>
      <w:r>
        <w:t xml:space="preserve"> Credit ratings of network service providers over time</w:t>
      </w:r>
      <w:bookmarkEnd w:id="552"/>
    </w:p>
    <w:tbl>
      <w:tblPr>
        <w:tblStyle w:val="AERtable-text0"/>
        <w:tblW w:w="5000" w:type="pct"/>
        <w:tblLook w:val="04A0" w:firstRow="1" w:lastRow="0" w:firstColumn="1" w:lastColumn="0" w:noHBand="0" w:noVBand="1"/>
      </w:tblPr>
      <w:tblGrid>
        <w:gridCol w:w="1395"/>
        <w:gridCol w:w="681"/>
        <w:gridCol w:w="678"/>
        <w:gridCol w:w="678"/>
        <w:gridCol w:w="678"/>
        <w:gridCol w:w="629"/>
        <w:gridCol w:w="629"/>
        <w:gridCol w:w="629"/>
        <w:gridCol w:w="678"/>
        <w:gridCol w:w="678"/>
        <w:gridCol w:w="671"/>
        <w:gridCol w:w="669"/>
      </w:tblGrid>
      <w:tr w:rsidR="00AD2086" w:rsidRPr="007D3E67" w:rsidTr="00EC03D8">
        <w:trPr>
          <w:cnfStyle w:val="100000000000" w:firstRow="1" w:lastRow="0" w:firstColumn="0" w:lastColumn="0" w:oddVBand="0" w:evenVBand="0" w:oddHBand="0" w:evenHBand="0" w:firstRowFirstColumn="0" w:firstRowLastColumn="0" w:lastRowFirstColumn="0" w:lastRowLastColumn="0"/>
        </w:trPr>
        <w:tc>
          <w:tcPr>
            <w:tcW w:w="802" w:type="pct"/>
          </w:tcPr>
          <w:p w:rsidR="00AD2086" w:rsidRPr="00AD2086" w:rsidRDefault="00AD2086" w:rsidP="00AD2086">
            <w:r w:rsidRPr="007D3E67">
              <w:t>Issuer</w:t>
            </w:r>
          </w:p>
        </w:tc>
        <w:tc>
          <w:tcPr>
            <w:tcW w:w="391" w:type="pct"/>
          </w:tcPr>
          <w:p w:rsidR="00AD2086" w:rsidRPr="00AD2086" w:rsidRDefault="00AD2086" w:rsidP="00AD2086">
            <w:r w:rsidRPr="007D3E67">
              <w:t>2006</w:t>
            </w:r>
          </w:p>
        </w:tc>
        <w:tc>
          <w:tcPr>
            <w:tcW w:w="390" w:type="pct"/>
          </w:tcPr>
          <w:p w:rsidR="00AD2086" w:rsidRPr="00AD2086" w:rsidRDefault="00AD2086" w:rsidP="00AD2086">
            <w:r w:rsidRPr="007D3E67">
              <w:t>2007</w:t>
            </w:r>
          </w:p>
        </w:tc>
        <w:tc>
          <w:tcPr>
            <w:tcW w:w="390" w:type="pct"/>
          </w:tcPr>
          <w:p w:rsidR="00AD2086" w:rsidRPr="00AD2086" w:rsidRDefault="00AD2086" w:rsidP="00AD2086">
            <w:r w:rsidRPr="007D3E67">
              <w:t>2008</w:t>
            </w:r>
          </w:p>
        </w:tc>
        <w:tc>
          <w:tcPr>
            <w:tcW w:w="390" w:type="pct"/>
          </w:tcPr>
          <w:p w:rsidR="00AD2086" w:rsidRPr="00AD2086" w:rsidRDefault="00AD2086" w:rsidP="00AD2086">
            <w:r w:rsidRPr="007D3E67">
              <w:t>2009</w:t>
            </w:r>
          </w:p>
        </w:tc>
        <w:tc>
          <w:tcPr>
            <w:tcW w:w="362" w:type="pct"/>
          </w:tcPr>
          <w:p w:rsidR="00AD2086" w:rsidRPr="00AD2086" w:rsidRDefault="00AD2086" w:rsidP="00AD2086">
            <w:r w:rsidRPr="007D3E67">
              <w:t>2010</w:t>
            </w:r>
          </w:p>
        </w:tc>
        <w:tc>
          <w:tcPr>
            <w:tcW w:w="362" w:type="pct"/>
          </w:tcPr>
          <w:p w:rsidR="00AD2086" w:rsidRPr="00AD2086" w:rsidRDefault="00AD2086" w:rsidP="00AD2086">
            <w:r w:rsidRPr="007D3E67">
              <w:t>2011</w:t>
            </w:r>
          </w:p>
        </w:tc>
        <w:tc>
          <w:tcPr>
            <w:tcW w:w="362" w:type="pct"/>
          </w:tcPr>
          <w:p w:rsidR="00AD2086" w:rsidRPr="00AD2086" w:rsidRDefault="00AD2086" w:rsidP="00AD2086">
            <w:r w:rsidRPr="007D3E67">
              <w:t>2012</w:t>
            </w:r>
          </w:p>
        </w:tc>
        <w:tc>
          <w:tcPr>
            <w:tcW w:w="390" w:type="pct"/>
          </w:tcPr>
          <w:p w:rsidR="00AD2086" w:rsidRPr="00AD2086" w:rsidRDefault="00AD2086" w:rsidP="00AD2086">
            <w:r w:rsidRPr="007D3E67">
              <w:t>2013</w:t>
            </w:r>
          </w:p>
        </w:tc>
        <w:tc>
          <w:tcPr>
            <w:tcW w:w="390" w:type="pct"/>
          </w:tcPr>
          <w:p w:rsidR="00AD2086" w:rsidRPr="00AD2086" w:rsidRDefault="00AD2086" w:rsidP="00AD2086">
            <w:r w:rsidRPr="007D3E67">
              <w:t xml:space="preserve">2014 </w:t>
            </w:r>
          </w:p>
        </w:tc>
        <w:tc>
          <w:tcPr>
            <w:tcW w:w="386" w:type="pct"/>
          </w:tcPr>
          <w:p w:rsidR="00AD2086" w:rsidRPr="00AD2086" w:rsidRDefault="00AD2086" w:rsidP="00AD2086">
            <w:r>
              <w:t>2015</w:t>
            </w:r>
          </w:p>
        </w:tc>
        <w:tc>
          <w:tcPr>
            <w:tcW w:w="386" w:type="pct"/>
          </w:tcPr>
          <w:p w:rsidR="00AD2086" w:rsidRPr="00AD2086" w:rsidRDefault="00AD2086" w:rsidP="00AD2086">
            <w:r>
              <w:t>2016</w:t>
            </w:r>
          </w:p>
        </w:tc>
      </w:tr>
      <w:tr w:rsidR="00AD2086" w:rsidRPr="007D3E67" w:rsidTr="00EC03D8">
        <w:tc>
          <w:tcPr>
            <w:tcW w:w="802" w:type="pct"/>
          </w:tcPr>
          <w:p w:rsidR="00AD2086" w:rsidRPr="00AD2086" w:rsidRDefault="00AD2086" w:rsidP="00AD2086">
            <w:r w:rsidRPr="007D3E67">
              <w:t xml:space="preserve">APT Pipelines Ltd </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ATCO Gas Australian LP </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62" w:type="pct"/>
          </w:tcPr>
          <w:p w:rsidR="00AD2086" w:rsidRPr="00AD2086" w:rsidRDefault="00AD2086" w:rsidP="00AD2086">
            <w:r w:rsidRPr="007D3E67">
              <w:t>NR</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rsidRPr="007D3E67">
              <w:t>DBNGP Trust</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DUET Group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86" w:type="pct"/>
          </w:tcPr>
          <w:p w:rsidR="00AD2086" w:rsidRPr="00AD2086" w:rsidRDefault="00AD2086" w:rsidP="00AD2086">
            <w:r>
              <w:t>NR</w:t>
            </w:r>
          </w:p>
        </w:tc>
        <w:tc>
          <w:tcPr>
            <w:tcW w:w="386" w:type="pct"/>
          </w:tcPr>
          <w:p w:rsidR="00AD2086" w:rsidRPr="00AD2086" w:rsidRDefault="00AD2086" w:rsidP="00AD2086">
            <w:r>
              <w:t>NR</w:t>
            </w:r>
          </w:p>
        </w:tc>
      </w:tr>
      <w:tr w:rsidR="00AD2086" w:rsidRPr="007D3E67" w:rsidTr="00EC03D8">
        <w:tc>
          <w:tcPr>
            <w:tcW w:w="802" w:type="pct"/>
          </w:tcPr>
          <w:p w:rsidR="00AD2086" w:rsidRPr="00AD2086" w:rsidRDefault="00AD2086" w:rsidP="00AD2086">
            <w:r w:rsidRPr="007D3E67">
              <w:t>ElectraNet</w:t>
            </w:r>
            <w:r w:rsidRPr="00AD2086">
              <w:t xml:space="preserve"> Pty Ltd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r w:rsidRPr="00AD2086">
              <w:t>+</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Energy </w:t>
            </w:r>
            <w:r w:rsidRPr="00AD2086">
              <w:t>Partnership (Gas) Pty Ltd</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c>
          <w:tcPr>
            <w:tcW w:w="802" w:type="pct"/>
          </w:tcPr>
          <w:p w:rsidR="00AD2086" w:rsidRPr="00AD2086" w:rsidRDefault="00AD2086" w:rsidP="00AD2086">
            <w:r>
              <w:t xml:space="preserve">Australian Gas </w:t>
            </w:r>
            <w:r w:rsidRPr="00AD2086">
              <w:t xml:space="preserve">Networks Ltd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ETSA Utilities</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rsidRPr="007D3E67">
              <w:t>Powercor</w:t>
            </w:r>
            <w:r w:rsidRPr="00AD2086">
              <w:t xml:space="preserve"> Australia LLC</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rsidRPr="00200BFA">
              <w:t>N</w:t>
            </w:r>
            <w:r w:rsidRPr="00AD2086">
              <w:t>R</w:t>
            </w:r>
          </w:p>
        </w:tc>
        <w:tc>
          <w:tcPr>
            <w:tcW w:w="386" w:type="pct"/>
          </w:tcPr>
          <w:p w:rsidR="00AD2086" w:rsidRPr="00AD2086" w:rsidRDefault="00AD2086" w:rsidP="00AD2086">
            <w:r>
              <w:t>NR</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t>AusNet Services</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t xml:space="preserve">SGSP </w:t>
            </w:r>
            <w:r w:rsidRPr="00AD2086">
              <w:t>Australia Assets Pty Ltd</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A-</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The CitiPower Trust </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t>BBB+</w:t>
            </w:r>
          </w:p>
        </w:tc>
        <w:tc>
          <w:tcPr>
            <w:tcW w:w="390" w:type="pct"/>
          </w:tcPr>
          <w:p w:rsidR="00AD2086" w:rsidRPr="00AD2086" w:rsidRDefault="00AD2086" w:rsidP="00AD2086">
            <w:r>
              <w:t>BBB+</w:t>
            </w:r>
          </w:p>
        </w:tc>
        <w:tc>
          <w:tcPr>
            <w:tcW w:w="386" w:type="pct"/>
          </w:tcPr>
          <w:p w:rsidR="00AD2086" w:rsidRPr="00AD2086" w:rsidRDefault="00AD2086" w:rsidP="00AD2086">
            <w:r>
              <w:t>NR</w:t>
            </w:r>
          </w:p>
        </w:tc>
        <w:tc>
          <w:tcPr>
            <w:tcW w:w="386" w:type="pct"/>
          </w:tcPr>
          <w:p w:rsidR="00AD2086" w:rsidRPr="00AD2086" w:rsidRDefault="00AD2086" w:rsidP="00AD2086">
            <w:r>
              <w:t>NR</w:t>
            </w:r>
          </w:p>
        </w:tc>
      </w:tr>
      <w:tr w:rsidR="00AD2086" w:rsidRPr="007D3E67" w:rsidTr="00EC03D8">
        <w:tc>
          <w:tcPr>
            <w:tcW w:w="802" w:type="pct"/>
          </w:tcPr>
          <w:p w:rsidR="00AD2086" w:rsidRPr="00AD2086" w:rsidRDefault="00AD2086" w:rsidP="00AD2086">
            <w:r w:rsidRPr="007D3E67">
              <w:t xml:space="preserve">United Energy Distribution </w:t>
            </w:r>
            <w:r w:rsidRPr="00AD2086">
              <w:t>Pty Ltd</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t>Victoria Power Networks Pty Ltd</w:t>
            </w:r>
          </w:p>
        </w:tc>
        <w:tc>
          <w:tcPr>
            <w:tcW w:w="391"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62" w:type="pct"/>
          </w:tcPr>
          <w:p w:rsidR="00AD2086" w:rsidRPr="00AD2086" w:rsidRDefault="00AD2086" w:rsidP="00AD2086">
            <w:r>
              <w:t>NR</w:t>
            </w:r>
          </w:p>
        </w:tc>
        <w:tc>
          <w:tcPr>
            <w:tcW w:w="362" w:type="pct"/>
          </w:tcPr>
          <w:p w:rsidR="00AD2086" w:rsidRPr="00AD2086" w:rsidRDefault="00AD2086" w:rsidP="00AD2086">
            <w:r>
              <w:t>NR</w:t>
            </w:r>
          </w:p>
        </w:tc>
        <w:tc>
          <w:tcPr>
            <w:tcW w:w="362"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c>
          <w:tcPr>
            <w:tcW w:w="802" w:type="pct"/>
          </w:tcPr>
          <w:p w:rsidR="00AD2086" w:rsidRPr="00AD2086" w:rsidRDefault="00AD2086" w:rsidP="00AD2086">
            <w:r w:rsidRPr="007D3E67">
              <w:t>Median (year)</w:t>
            </w:r>
          </w:p>
        </w:tc>
        <w:tc>
          <w:tcPr>
            <w:tcW w:w="391" w:type="pct"/>
          </w:tcPr>
          <w:p w:rsidR="00AD2086" w:rsidRPr="00AD2086" w:rsidRDefault="00AD2086" w:rsidP="00AD2086">
            <w:r>
              <w:t xml:space="preserve">BBB/ </w:t>
            </w:r>
            <w:r w:rsidRPr="00AD2086">
              <w:t>BBB+</w:t>
            </w:r>
          </w:p>
        </w:tc>
        <w:tc>
          <w:tcPr>
            <w:tcW w:w="390" w:type="pct"/>
          </w:tcPr>
          <w:p w:rsidR="00AD2086" w:rsidRPr="00AD2086" w:rsidRDefault="00AD2086" w:rsidP="00AD2086">
            <w:r>
              <w:t xml:space="preserve">BBB/ </w:t>
            </w:r>
            <w:r w:rsidRPr="00AD2086">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t>BBB/ 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bl>
    <w:p w:rsidR="00AD2086" w:rsidRDefault="00AD2086" w:rsidP="00AD2086">
      <w:pPr>
        <w:pStyle w:val="AERtablesource"/>
      </w:pPr>
      <w:r w:rsidRPr="00411A04">
        <w:t>Source:</w:t>
      </w:r>
      <w:r w:rsidRPr="00411A04">
        <w:tab/>
        <w:t>Bloomberg</w:t>
      </w:r>
      <w:r>
        <w:t xml:space="preserve">, </w:t>
      </w:r>
      <w:r w:rsidRPr="00411A04">
        <w:t>Sta</w:t>
      </w:r>
      <w:r>
        <w:t>ndard and Poor's, AER analysis.</w:t>
      </w:r>
    </w:p>
    <w:p w:rsidR="007151C3" w:rsidRPr="007151C3" w:rsidRDefault="007151C3" w:rsidP="002656D9"/>
    <w:p w:rsidR="00AD2086" w:rsidRPr="00AD2086" w:rsidRDefault="00AD2086" w:rsidP="00AD2086">
      <w:pPr>
        <w:pStyle w:val="Heading9"/>
      </w:pPr>
      <w:bookmarkStart w:id="553" w:name="_Toc456686778"/>
      <w:bookmarkStart w:id="554" w:name="_Toc480460941"/>
      <w:r>
        <w:t>Equity buffer and historical credit ratings</w:t>
      </w:r>
      <w:bookmarkEnd w:id="553"/>
      <w:bookmarkEnd w:id="554"/>
    </w:p>
    <w:p w:rsidR="00AD2086" w:rsidRPr="00A933BB" w:rsidRDefault="00AD2086" w:rsidP="00A933BB">
      <w:r>
        <w:t>In its initial proposal, AusNet Services submitted that ‘historical credit ratings do not reflect the extremely low equity buffer that would result if the AER's proposed approach to the cost of equity is adopted in current circumstances.</w:t>
      </w:r>
      <w:r>
        <w:rPr>
          <w:rStyle w:val="FootnoteReference"/>
        </w:rPr>
        <w:footnoteReference w:id="1457"/>
      </w:r>
      <w:r>
        <w:t xml:space="preserve"> We are not persuaded by this submission, and maintain our reasons as set out in our draft decision.</w:t>
      </w:r>
      <w:r>
        <w:rPr>
          <w:rStyle w:val="FootnoteReference"/>
        </w:rPr>
        <w:footnoteReference w:id="1458"/>
      </w:r>
      <w:r>
        <w:t xml:space="preserve"> </w:t>
      </w:r>
      <w:bookmarkEnd w:id="547"/>
      <w:bookmarkEnd w:id="548"/>
      <w:bookmarkEnd w:id="549"/>
      <w:bookmarkEnd w:id="550"/>
    </w:p>
    <w:p w:rsidR="00A933BB" w:rsidRDefault="00A933BB" w:rsidP="00A933BB">
      <w:pPr>
        <w:pStyle w:val="Heading7"/>
      </w:pPr>
      <w:bookmarkStart w:id="555" w:name="_Toc456686781"/>
      <w:bookmarkStart w:id="556" w:name="_Ref479168996"/>
      <w:bookmarkStart w:id="557" w:name="_Toc481057507"/>
      <w:r>
        <w:t>Annually updating the return on debt</w:t>
      </w:r>
      <w:bookmarkEnd w:id="555"/>
      <w:bookmarkEnd w:id="556"/>
      <w:bookmarkEnd w:id="557"/>
    </w:p>
    <w:p w:rsidR="00A933BB" w:rsidRPr="00FB18DC" w:rsidRDefault="00A933BB" w:rsidP="00CC7A1C">
      <w:pPr>
        <w:pStyle w:val="ListParagraph"/>
        <w:numPr>
          <w:ilvl w:val="0"/>
          <w:numId w:val="24"/>
        </w:numPr>
      </w:pPr>
      <w:r w:rsidRPr="00FB18DC">
        <w:t xml:space="preserve">Our </w:t>
      </w:r>
      <w:r w:rsidR="00A870A6">
        <w:t>final</w:t>
      </w:r>
      <w:r>
        <w:t xml:space="preserve"> </w:t>
      </w:r>
      <w:r w:rsidRPr="00FB18DC">
        <w:t>decision on the return on debt approach is to:</w:t>
      </w:r>
    </w:p>
    <w:p w:rsidR="00A933BB" w:rsidRPr="00FB18DC" w:rsidRDefault="00A933BB" w:rsidP="00A933BB">
      <w:pPr>
        <w:pStyle w:val="AERbulletlistfirststyle"/>
      </w:pPr>
      <w:r w:rsidRPr="00FB18DC">
        <w:t xml:space="preserve">estimate the return on debt using </w:t>
      </w:r>
      <w:r>
        <w:t>the</w:t>
      </w:r>
      <w:r w:rsidRPr="00FB18DC">
        <w:t xml:space="preserve"> on-the-day </w:t>
      </w:r>
      <w:r>
        <w:t>approach</w:t>
      </w:r>
      <w:r w:rsidRPr="00FB18DC">
        <w:t xml:space="preserve"> (that is, based on prevailing market conditions) in the first regulatory year (201</w:t>
      </w:r>
      <w:r>
        <w:t>7</w:t>
      </w:r>
      <w:r w:rsidRPr="00FB18DC">
        <w:t>) of the 201</w:t>
      </w:r>
      <w:r>
        <w:t>7</w:t>
      </w:r>
      <w:r w:rsidRPr="00FB18DC">
        <w:t>–2</w:t>
      </w:r>
      <w:r>
        <w:t>2 regulatory control</w:t>
      </w:r>
      <w:r w:rsidRPr="00FB18DC">
        <w:t xml:space="preserve"> period, and</w:t>
      </w:r>
    </w:p>
    <w:p w:rsidR="00A933BB" w:rsidRPr="00A42A22" w:rsidRDefault="00A933BB" w:rsidP="00A933BB">
      <w:pPr>
        <w:pStyle w:val="AERbulletlistfirststyle"/>
      </w:pPr>
      <w:r w:rsidRPr="00FB18DC">
        <w:t>gradually transition</w:t>
      </w:r>
      <w:r>
        <w:t>ing</w:t>
      </w:r>
      <w:r w:rsidRPr="00FB18DC">
        <w:t xml:space="preserve"> into a trailing average approach (that is, a moving historical average) over 10 years.</w:t>
      </w:r>
      <w:r w:rsidRPr="00A42A22">
        <w:rPr>
          <w:rStyle w:val="FootnoteReference"/>
        </w:rPr>
        <w:footnoteReference w:id="1459"/>
      </w:r>
    </w:p>
    <w:p w:rsidR="00A933BB" w:rsidRPr="00FB18DC" w:rsidRDefault="00A933BB" w:rsidP="00A933BB">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460"/>
      </w:r>
      <w:r w:rsidRPr="00FB18DC">
        <w:t xml:space="preserve"> The</w:t>
      </w:r>
      <w:r>
        <w:t xml:space="preserve"> NER</w:t>
      </w:r>
      <w:r w:rsidRPr="00FB18DC">
        <w:t xml:space="preserve"> require that the resulting change to </w:t>
      </w:r>
      <w:r>
        <w:t>AusNet Services'</w:t>
      </w:r>
      <w:r w:rsidRPr="00FB18DC">
        <w:t xml:space="preserve"> annual building block revenue requirement is to be effected through a formula specified in the </w:t>
      </w:r>
      <w:r>
        <w:t xml:space="preserve">revenue </w:t>
      </w:r>
      <w:r w:rsidRPr="00FB18DC">
        <w:t>determination.</w:t>
      </w:r>
      <w:r w:rsidRPr="00FB18DC">
        <w:rPr>
          <w:rStyle w:val="FootnoteReference"/>
        </w:rPr>
        <w:footnoteReference w:id="1461"/>
      </w:r>
      <w:r w:rsidRPr="00FB18DC">
        <w:t xml:space="preserve"> For the purposes of clause 6.5.2(L)</w:t>
      </w:r>
      <w:r>
        <w:t>,</w:t>
      </w:r>
      <w:r w:rsidRPr="00FB18DC">
        <w:t xml:space="preserve"> our</w:t>
      </w:r>
      <w:r w:rsidR="00A870A6">
        <w:t xml:space="preserve"> final</w:t>
      </w:r>
      <w:r w:rsidRPr="00FB18DC">
        <w:t xml:space="preserve"> decision is that the resulting change to </w:t>
      </w:r>
      <w:r>
        <w:t xml:space="preserve">AusNet Services' </w:t>
      </w:r>
      <w:r w:rsidRPr="00FB18DC">
        <w:t>annual building block revenue requirement is to be effected through:</w:t>
      </w:r>
    </w:p>
    <w:p w:rsidR="00A933BB" w:rsidRPr="00FB18DC" w:rsidRDefault="00A933BB" w:rsidP="00A933BB">
      <w:pPr>
        <w:pStyle w:val="AERbulletlistfirststyle"/>
      </w:pPr>
      <w:r w:rsidRPr="00FB18DC">
        <w:t>the automatic application of the return on debt methodo</w:t>
      </w:r>
      <w:r>
        <w:t>logy specified in this appendix</w:t>
      </w:r>
    </w:p>
    <w:p w:rsidR="00A933BB" w:rsidRPr="00FB18DC" w:rsidRDefault="00A933BB" w:rsidP="00A933BB">
      <w:pPr>
        <w:pStyle w:val="AERbulletlistfirststyle"/>
      </w:pPr>
      <w:r w:rsidRPr="00FB18DC">
        <w:t>using the return on debt averaging periods specified in confidential appendix</w:t>
      </w:r>
      <w:r>
        <w:t xml:space="preserve"> </w:t>
      </w:r>
      <w:r>
        <w:fldChar w:fldCharType="begin"/>
      </w:r>
      <w:r>
        <w:instrText xml:space="preserve"> REF _Ref456703498 \r \h </w:instrText>
      </w:r>
      <w:r>
        <w:fldChar w:fldCharType="separate"/>
      </w:r>
      <w:r w:rsidR="006B4A74">
        <w:t>M</w:t>
      </w:r>
      <w:r>
        <w:fldChar w:fldCharType="end"/>
      </w:r>
      <w:r w:rsidRPr="00FB18DC">
        <w:t>, and</w:t>
      </w:r>
    </w:p>
    <w:p w:rsidR="00A933BB" w:rsidRPr="00A42A22" w:rsidRDefault="00A933BB" w:rsidP="00A933BB">
      <w:pPr>
        <w:pStyle w:val="AERbulletlistfirststyle"/>
      </w:pPr>
      <w:r w:rsidRPr="00FB18DC">
        <w:t xml:space="preserve">implemented using </w:t>
      </w:r>
      <w:r>
        <w:t>AusNet Services'</w:t>
      </w:r>
      <w:r w:rsidRPr="00FB18DC">
        <w:t xml:space="preserve"> final determination post-tax revenue model (PTRM) in accordance with section 3 of the AER's PTRM handbook for </w:t>
      </w:r>
      <w:r>
        <w:t xml:space="preserve">transmission </w:t>
      </w:r>
      <w:r w:rsidRPr="00FB18DC">
        <w:t>network service providers.</w:t>
      </w:r>
      <w:r w:rsidRPr="00A42A22">
        <w:rPr>
          <w:rStyle w:val="FootnoteReference"/>
        </w:rPr>
        <w:footnoteReference w:id="1462"/>
      </w:r>
    </w:p>
    <w:p w:rsidR="00A933BB" w:rsidRPr="00FB18DC" w:rsidRDefault="00A933BB" w:rsidP="00A933BB">
      <w:r w:rsidRPr="00FB18DC">
        <w:t>The return on debt methodology in this appendix specifies our</w:t>
      </w:r>
      <w:r w:rsidR="00A870A6">
        <w:t xml:space="preserve"> final</w:t>
      </w:r>
      <w:r w:rsidRPr="00FB18DC">
        <w:t xml:space="preserve"> decision:</w:t>
      </w:r>
    </w:p>
    <w:p w:rsidR="00A933BB" w:rsidRPr="00FB18DC" w:rsidRDefault="00A933BB" w:rsidP="00A933BB">
      <w:pPr>
        <w:pStyle w:val="AERbulletlistfirststyle"/>
      </w:pPr>
      <w:r w:rsidRPr="00FB18DC">
        <w:t>methodology on the return on debt approach, and</w:t>
      </w:r>
    </w:p>
    <w:p w:rsidR="00A933BB" w:rsidRPr="00FB18DC" w:rsidRDefault="00A933BB" w:rsidP="00A933BB">
      <w:pPr>
        <w:pStyle w:val="AERbulletlistfirststyle"/>
      </w:pPr>
      <w:r w:rsidRPr="00FB18DC">
        <w:t>methodology to implement the return on debt approach</w:t>
      </w:r>
    </w:p>
    <w:p w:rsidR="00A933BB" w:rsidRPr="00A933BB" w:rsidRDefault="00A933BB" w:rsidP="002656D9">
      <w:pPr>
        <w:pStyle w:val="Heading8"/>
        <w:numPr>
          <w:ilvl w:val="1"/>
          <w:numId w:val="35"/>
        </w:numPr>
        <w:ind w:hanging="1305"/>
      </w:pPr>
      <w:bookmarkStart w:id="558" w:name="_Toc433457165"/>
      <w:bookmarkStart w:id="559" w:name="_Toc450916269"/>
      <w:bookmarkStart w:id="560" w:name="_Toc452629165"/>
      <w:bookmarkStart w:id="561" w:name="_Toc456686782"/>
      <w:bookmarkStart w:id="562" w:name="_Toc481057508"/>
      <w:r w:rsidRPr="00FB18DC">
        <w:t>Approach to estimating the return on debt</w:t>
      </w:r>
      <w:bookmarkEnd w:id="558"/>
      <w:bookmarkEnd w:id="559"/>
      <w:bookmarkEnd w:id="560"/>
      <w:bookmarkEnd w:id="561"/>
      <w:bookmarkEnd w:id="562"/>
    </w:p>
    <w:p w:rsidR="00A933BB" w:rsidRPr="00FB18DC" w:rsidRDefault="00A933BB" w:rsidP="00CC7A1C">
      <w:pPr>
        <w:numPr>
          <w:ilvl w:val="0"/>
          <w:numId w:val="24"/>
        </w:numPr>
      </w:pPr>
      <w:r w:rsidRPr="00FB18DC">
        <w:t xml:space="preserve">This section sets out our </w:t>
      </w:r>
      <w:r w:rsidR="00A870A6">
        <w:t>final</w:t>
      </w:r>
      <w:r>
        <w:t xml:space="preserve"> </w:t>
      </w:r>
      <w:r w:rsidRPr="00FB18DC">
        <w:t>decision methodology on the return on debt approach. Below we specify the allowed return on debt formulae for each year of the 10 year transition path. In each formula:</w:t>
      </w:r>
    </w:p>
    <w:p w:rsidR="00A933BB" w:rsidRPr="00FB18DC" w:rsidRDefault="00334917" w:rsidP="00A933BB">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933BB" w:rsidRPr="00FB18DC">
        <w:t xml:space="preserve"> corresponds to the estimated return on debt that was entered into in year a and matures in year a+10–which is to be calculated using the return on debt implementation methodology in section </w:t>
      </w:r>
      <w:r w:rsidR="00A933BB">
        <w:fldChar w:fldCharType="begin"/>
      </w:r>
      <w:r w:rsidR="00A933BB">
        <w:instrText xml:space="preserve"> REF _Ref451900961 \r \h </w:instrText>
      </w:r>
      <w:r w:rsidR="00A933BB">
        <w:fldChar w:fldCharType="separate"/>
      </w:r>
      <w:r w:rsidR="006B4A74">
        <w:t>J.2</w:t>
      </w:r>
      <w:r w:rsidR="00A933BB">
        <w:fldChar w:fldCharType="end"/>
      </w:r>
      <w:r w:rsidR="00A933BB" w:rsidRPr="00FB18DC">
        <w:t xml:space="preserve"> and </w:t>
      </w:r>
      <w:r w:rsidR="00A933BB">
        <w:t>AusNet Services'</w:t>
      </w:r>
      <w:r w:rsidR="00A933BB" w:rsidRPr="00FB18DC">
        <w:t xml:space="preserve"> return on debt averaging periods specified in confidential appendix</w:t>
      </w:r>
      <w:r w:rsidR="00A933BB">
        <w:t xml:space="preserve"> </w:t>
      </w:r>
      <w:r w:rsidR="00A933BB">
        <w:fldChar w:fldCharType="begin"/>
      </w:r>
      <w:r w:rsidR="00A933BB">
        <w:instrText xml:space="preserve"> REF _Ref456703498 \r \h </w:instrText>
      </w:r>
      <w:r w:rsidR="00A933BB">
        <w:fldChar w:fldCharType="separate"/>
      </w:r>
      <w:r w:rsidR="006B4A74">
        <w:t>M</w:t>
      </w:r>
      <w:r w:rsidR="00A933BB">
        <w:fldChar w:fldCharType="end"/>
      </w:r>
      <w:r w:rsidR="00A933BB">
        <w:t>.</w:t>
      </w:r>
    </w:p>
    <w:p w:rsidR="00A933BB" w:rsidRPr="00FB18DC" w:rsidRDefault="00334917" w:rsidP="00A933BB">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933BB" w:rsidRPr="00FB18DC">
        <w:t xml:space="preserve"> refers to the allowed return on debt for regulatory year b+1.</w:t>
      </w:r>
    </w:p>
    <w:p w:rsidR="00A933BB" w:rsidRPr="00FB18DC" w:rsidRDefault="00A933BB" w:rsidP="00CC7A1C">
      <w:pPr>
        <w:numPr>
          <w:ilvl w:val="0"/>
          <w:numId w:val="24"/>
        </w:numPr>
      </w:pPr>
      <w:r w:rsidRPr="00FB18DC">
        <w:t xml:space="preserve">In the first regulatory year of </w:t>
      </w:r>
      <w:r>
        <w:t xml:space="preserve"> transitioning to the trailing average approach </w:t>
      </w:r>
      <w:r w:rsidRPr="00FB18DC">
        <w:t>(201</w:t>
      </w:r>
      <w:r>
        <w:t>7</w:t>
      </w:r>
      <w:r w:rsidRPr="00FB18DC">
        <w:t>), the allowed rate of return on debt will be based on the estimated prevailing rate of return on debt for that year (similar to the 'on the day' approach):</w:t>
      </w:r>
    </w:p>
    <w:p w:rsidR="00A933BB" w:rsidRPr="00FB18DC" w:rsidRDefault="00334917" w:rsidP="00CC7A1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933BB" w:rsidRPr="00FB18DC" w:rsidRDefault="00A933BB" w:rsidP="00CC7A1C">
      <w:pPr>
        <w:numPr>
          <w:ilvl w:val="0"/>
          <w:numId w:val="24"/>
        </w:numPr>
      </w:pPr>
      <w:r w:rsidRPr="00FB18DC">
        <w:t>In the second regulatory year, the allowed rate of return on debt will be the weighted average of the prevailing rates in the first and second regulatory years of the transitional period:</w:t>
      </w:r>
    </w:p>
    <w:p w:rsidR="00A933BB" w:rsidRPr="00FB18DC" w:rsidRDefault="00334917" w:rsidP="00CC7A1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933BB" w:rsidRPr="00FB18DC" w:rsidRDefault="00A933BB" w:rsidP="00CC7A1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933BB" w:rsidRPr="00FB18DC" w:rsidRDefault="00334917" w:rsidP="00CC7A1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933BB" w:rsidRPr="00FB18DC" w:rsidRDefault="00A933BB" w:rsidP="00CC7A1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933BB" w:rsidRPr="00FB18DC" w:rsidRDefault="00334917" w:rsidP="00CC7A1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933BB" w:rsidRPr="00FB18DC" w:rsidRDefault="00A933BB" w:rsidP="00CC7A1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933BB" w:rsidRPr="00FB18DC" w:rsidRDefault="00334917" w:rsidP="00CC7A1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933BB" w:rsidRPr="00FB18DC" w:rsidRDefault="00A933BB" w:rsidP="00CC7A1C">
      <w:pPr>
        <w:numPr>
          <w:ilvl w:val="0"/>
          <w:numId w:val="24"/>
        </w:numPr>
      </w:pPr>
      <w:r w:rsidRPr="00FB18DC">
        <w:t>The calculation for all subsequent regulatory years until the transitional period is completed is set out below:</w:t>
      </w:r>
    </w:p>
    <w:p w:rsidR="00A933BB" w:rsidRPr="00FB18DC" w:rsidRDefault="00334917" w:rsidP="00CC7A1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933BB" w:rsidRPr="00FB18DC" w:rsidRDefault="00334917" w:rsidP="00CC7A1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933BB" w:rsidRPr="00FB18DC" w:rsidRDefault="00334917" w:rsidP="00CC7A1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933BB" w:rsidRPr="00FB18DC" w:rsidRDefault="00334917" w:rsidP="00CC7A1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933BB" w:rsidRPr="00FB18DC" w:rsidRDefault="00334917" w:rsidP="00CC7A1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933BB" w:rsidRPr="00FB18DC" w:rsidRDefault="00A933BB" w:rsidP="00A933BB">
      <w:pPr>
        <w:pStyle w:val="Heading8"/>
      </w:pPr>
      <w:bookmarkStart w:id="563" w:name="_Toc433457166"/>
      <w:bookmarkStart w:id="564" w:name="_Toc450916270"/>
      <w:bookmarkStart w:id="565" w:name="_Ref451900961"/>
      <w:bookmarkStart w:id="566" w:name="_Toc452629166"/>
      <w:bookmarkStart w:id="567" w:name="_Toc456686783"/>
      <w:bookmarkStart w:id="568" w:name="_Toc481057509"/>
      <w:r w:rsidRPr="00FB18DC">
        <w:t>Implementing the return on debt approach</w:t>
      </w:r>
      <w:bookmarkEnd w:id="563"/>
      <w:bookmarkEnd w:id="564"/>
      <w:bookmarkEnd w:id="565"/>
      <w:bookmarkEnd w:id="566"/>
      <w:bookmarkEnd w:id="567"/>
      <w:bookmarkEnd w:id="568"/>
    </w:p>
    <w:p w:rsidR="00A933BB" w:rsidRPr="00FB18DC" w:rsidRDefault="00A870A6" w:rsidP="00CC7A1C">
      <w:pPr>
        <w:numPr>
          <w:ilvl w:val="0"/>
          <w:numId w:val="24"/>
        </w:numPr>
      </w:pPr>
      <w:r>
        <w:t>This section sets out our final</w:t>
      </w:r>
      <w:r w:rsidR="00A933BB" w:rsidRPr="00FB18DC">
        <w:t xml:space="preserve"> decision methodology to implement the return on debt approach. This section specifies:</w:t>
      </w:r>
    </w:p>
    <w:p w:rsidR="00A933BB" w:rsidRPr="00FB18DC" w:rsidRDefault="00A933BB" w:rsidP="00A933BB">
      <w:pPr>
        <w:pStyle w:val="AERbulletlistfirststyle"/>
      </w:pPr>
      <w:r w:rsidRPr="00FB18DC">
        <w:t>our choice of data series</w:t>
      </w:r>
    </w:p>
    <w:p w:rsidR="00A933BB" w:rsidRPr="00A42A22" w:rsidRDefault="00A933BB" w:rsidP="00A933BB">
      <w:pPr>
        <w:pStyle w:val="AERbulletlistfirststyle"/>
      </w:pPr>
      <w:r w:rsidRPr="00FB18DC">
        <w:t>extrapolation and interpo</w:t>
      </w:r>
      <w:r w:rsidRPr="00A42A22">
        <w:t>lation issues with adjusting our choice of data series</w:t>
      </w:r>
    </w:p>
    <w:p w:rsidR="00A933BB" w:rsidRPr="00FB18DC" w:rsidRDefault="00A933BB" w:rsidP="00A933BB">
      <w:pPr>
        <w:pStyle w:val="AERbulletlistfirststyle"/>
      </w:pPr>
      <w:r w:rsidRPr="00FB18DC">
        <w:t>step-by-step calculation to calculating the final RBA and BVAL estimate</w:t>
      </w:r>
    </w:p>
    <w:p w:rsidR="00A933BB" w:rsidRPr="00FB18DC" w:rsidRDefault="00A933BB" w:rsidP="00A933BB">
      <w:pPr>
        <w:pStyle w:val="AERbulletlistfirststyle"/>
      </w:pPr>
      <w:r w:rsidRPr="00FB18DC">
        <w:t>contingencies associated with implementing our choice of data series, if the data series we have chosen to estimate the return on debt are unavailable or change in future regulatory years</w:t>
      </w:r>
    </w:p>
    <w:p w:rsidR="00A933BB" w:rsidRPr="00FB18DC" w:rsidRDefault="00A933BB" w:rsidP="00A933BB">
      <w:pPr>
        <w:pStyle w:val="Heading9"/>
      </w:pPr>
      <w:bookmarkStart w:id="569" w:name="_Toc433457167"/>
      <w:bookmarkStart w:id="570" w:name="_Toc450916271"/>
      <w:bookmarkStart w:id="571" w:name="_Toc452629167"/>
      <w:bookmarkStart w:id="572" w:name="_Toc456686784"/>
      <w:bookmarkStart w:id="573" w:name="_Toc480460945"/>
      <w:r w:rsidRPr="00FB18DC">
        <w:t>Choice of data series</w:t>
      </w:r>
      <w:bookmarkEnd w:id="569"/>
      <w:bookmarkEnd w:id="570"/>
      <w:bookmarkEnd w:id="571"/>
      <w:bookmarkEnd w:id="572"/>
      <w:bookmarkEnd w:id="573"/>
    </w:p>
    <w:p w:rsidR="00A933BB" w:rsidRPr="00FB18DC" w:rsidRDefault="00A933BB" w:rsidP="00A933BB">
      <w:r w:rsidRPr="00FB18DC">
        <w:t xml:space="preserve">Our </w:t>
      </w:r>
      <w:r w:rsidR="00A870A6">
        <w:t>final</w:t>
      </w:r>
      <w:r>
        <w:t xml:space="preserve"> </w:t>
      </w:r>
      <w:r w:rsidRPr="00FB18DC">
        <w:t xml:space="preserve">decision on the choice of data series is to adopt a simple average of the debt data series published by the </w:t>
      </w:r>
      <w:r>
        <w:t>RBA</w:t>
      </w:r>
      <w:r w:rsidRPr="00FB18DC">
        <w:t xml:space="preserve"> and Bloomberg that match, as close as available, our benchmarks of a BBB+ credit rating and a 10 year debt term. Specifically</w:t>
      </w:r>
      <w:r>
        <w:t>, we</w:t>
      </w:r>
      <w:r w:rsidRPr="00FB18DC">
        <w:t xml:space="preserve"> adopt a simple average of:</w:t>
      </w:r>
    </w:p>
    <w:p w:rsidR="00A933BB" w:rsidRPr="00FB18DC" w:rsidRDefault="00A933BB" w:rsidP="00A933BB">
      <w:pPr>
        <w:pStyle w:val="AERbulletlistfirststyle"/>
      </w:pPr>
      <w:r w:rsidRPr="00FB18DC">
        <w:t>The RBA broad-BBB rated 10 year curve, extrapolated to an effective term of 10 years (the RBA curve)</w:t>
      </w:r>
    </w:p>
    <w:p w:rsidR="00A933BB" w:rsidRPr="00FB18DC" w:rsidRDefault="00A933BB" w:rsidP="00A933BB">
      <w:pPr>
        <w:pStyle w:val="AERbulletlistfirststyle"/>
      </w:pPr>
      <w:r w:rsidRPr="00FB18DC">
        <w:t xml:space="preserve">The Bloomberg Valuation Service (BVAL) broad-BBB rated curve (the BVAL curve). Depending on the maximum term published at the time, this will be either the BVAL: </w:t>
      </w:r>
    </w:p>
    <w:p w:rsidR="00A933BB" w:rsidRPr="00FB18DC" w:rsidRDefault="00A933BB" w:rsidP="00A933BB">
      <w:pPr>
        <w:pStyle w:val="AERbulletlistsecondstyle"/>
      </w:pPr>
      <w:r w:rsidRPr="00FB18DC">
        <w:t>10 year estimate</w:t>
      </w:r>
      <w:r w:rsidRPr="00FB18DC">
        <w:rPr>
          <w:rStyle w:val="FootnoteReference"/>
        </w:rPr>
        <w:footnoteReference w:id="1463"/>
      </w:r>
      <w:r w:rsidRPr="00FB18DC">
        <w:t xml:space="preserve"> where it is available</w:t>
      </w:r>
    </w:p>
    <w:p w:rsidR="00A933BB" w:rsidRPr="00FB18DC" w:rsidRDefault="00A933BB" w:rsidP="00A933BB">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933BB" w:rsidRDefault="00A933BB" w:rsidP="00A933BB">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933BB" w:rsidRPr="00FB18DC" w:rsidRDefault="00A933BB" w:rsidP="00A933BB">
      <w:r w:rsidRPr="00D63D95">
        <w:t xml:space="preserve">We do not estimate the allowed return on debt in this </w:t>
      </w:r>
      <w:r w:rsidR="00A64A73">
        <w:t>final</w:t>
      </w:r>
      <w:r>
        <w:t xml:space="preserve"> </w:t>
      </w:r>
      <w:r w:rsidRPr="00D63D95">
        <w:t xml:space="preserve">decision by reference to the 10 year yield curve published by Thomson Reuters (the Reuters curve). Nonetheless, we do not rule out including the Reuters curve in future determinations following a proper period of consultation. See appendix </w:t>
      </w:r>
      <w:r w:rsidR="00EC7203">
        <w:t>I</w:t>
      </w:r>
      <w:r w:rsidRPr="00D63D95">
        <w:t xml:space="preserve"> for our reasoning and further details.</w:t>
      </w:r>
    </w:p>
    <w:p w:rsidR="00A933BB" w:rsidRPr="00FB18DC" w:rsidRDefault="00A933BB" w:rsidP="00A933BB">
      <w:pPr>
        <w:pStyle w:val="Heading9"/>
      </w:pPr>
      <w:bookmarkStart w:id="574" w:name="_Toc433457168"/>
      <w:bookmarkStart w:id="575" w:name="_Toc450916272"/>
      <w:bookmarkStart w:id="576" w:name="_Toc452629168"/>
      <w:bookmarkStart w:id="577" w:name="_Toc456686785"/>
      <w:bookmarkStart w:id="578" w:name="_Toc480460946"/>
      <w:r w:rsidRPr="00FB18DC">
        <w:t>Choice of data series—Extrapolation and interpolation issues</w:t>
      </w:r>
      <w:bookmarkEnd w:id="574"/>
      <w:bookmarkEnd w:id="575"/>
      <w:bookmarkEnd w:id="576"/>
      <w:bookmarkEnd w:id="577"/>
      <w:bookmarkEnd w:id="578"/>
    </w:p>
    <w:p w:rsidR="00A933BB" w:rsidRPr="00FB18DC" w:rsidRDefault="00A933BB" w:rsidP="00A933BB">
      <w:r w:rsidRPr="00FB18DC">
        <w:t>Our</w:t>
      </w:r>
      <w:r w:rsidR="00A870A6">
        <w:t xml:space="preserve"> final</w:t>
      </w:r>
      <w:r w:rsidRPr="00FB18DC">
        <w:t xml:space="preserve"> decision on extrapolation and interpolation issues is:</w:t>
      </w:r>
    </w:p>
    <w:p w:rsidR="00A933BB" w:rsidRPr="00FB18DC" w:rsidRDefault="00A933BB" w:rsidP="00A933BB">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933BB" w:rsidRPr="00FB18DC" w:rsidRDefault="00A933BB" w:rsidP="00A933BB">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933BB" w:rsidRPr="00FB18DC" w:rsidRDefault="00A933BB" w:rsidP="00A933BB">
      <w:r w:rsidRPr="00FB18DC">
        <w:t>Specifically, we will make the following adjustments as set out in</w:t>
      </w:r>
      <w:r>
        <w:t xml:space="preserve"> </w:t>
      </w:r>
      <w:r>
        <w:fldChar w:fldCharType="begin"/>
      </w:r>
      <w:r>
        <w:instrText xml:space="preserve"> REF  _Ref450563956 \* Lower \h </w:instrText>
      </w:r>
      <w:r>
        <w:fldChar w:fldCharType="separate"/>
      </w:r>
      <w:r w:rsidR="006B4A74" w:rsidRPr="00FB18DC">
        <w:t xml:space="preserve">table </w:t>
      </w:r>
      <w:r w:rsidR="006B4A74">
        <w:rPr>
          <w:noProof/>
        </w:rPr>
        <w:t>3</w:t>
      </w:r>
      <w:r w:rsidR="006B4A74">
        <w:noBreakHyphen/>
      </w:r>
      <w:r w:rsidR="006B4A74">
        <w:rPr>
          <w:noProof/>
        </w:rPr>
        <w:t>41</w:t>
      </w:r>
      <w:r>
        <w:fldChar w:fldCharType="end"/>
      </w:r>
      <w:r>
        <w:t xml:space="preserve"> and </w:t>
      </w:r>
      <w:r>
        <w:fldChar w:fldCharType="begin"/>
      </w:r>
      <w:r>
        <w:instrText xml:space="preserve"> REF  _Ref450563958 \* Lower \h </w:instrText>
      </w:r>
      <w:r>
        <w:fldChar w:fldCharType="separate"/>
      </w:r>
      <w:r w:rsidR="006B4A74" w:rsidRPr="00FB18DC">
        <w:t xml:space="preserve">table </w:t>
      </w:r>
      <w:r w:rsidR="006B4A74">
        <w:rPr>
          <w:noProof/>
        </w:rPr>
        <w:t>3</w:t>
      </w:r>
      <w:r w:rsidR="006B4A74">
        <w:noBreakHyphen/>
      </w:r>
      <w:r w:rsidR="006B4A74">
        <w:rPr>
          <w:noProof/>
        </w:rPr>
        <w:t>42</w:t>
      </w:r>
      <w:r>
        <w:fldChar w:fldCharType="end"/>
      </w:r>
      <w:r w:rsidRPr="00FB18DC">
        <w:t>.</w:t>
      </w:r>
    </w:p>
    <w:p w:rsidR="00A933BB" w:rsidRPr="00FB18DC" w:rsidRDefault="00A933BB" w:rsidP="00A933BB">
      <w:pPr>
        <w:pStyle w:val="Caption"/>
      </w:pPr>
      <w:bookmarkStart w:id="579" w:name="_Ref450563956"/>
      <w:r w:rsidRPr="00FB18DC">
        <w:t xml:space="preserve">Table </w:t>
      </w:r>
      <w:fldSimple w:instr=" STYLEREF 1 \s ">
        <w:r w:rsidR="006B4A74">
          <w:rPr>
            <w:noProof/>
          </w:rPr>
          <w:t>3</w:t>
        </w:r>
      </w:fldSimple>
      <w:r w:rsidR="008F29C8">
        <w:noBreakHyphen/>
      </w:r>
      <w:fldSimple w:instr=" SEQ Table \* ARABIC \s 1 ">
        <w:r w:rsidR="006B4A74">
          <w:rPr>
            <w:noProof/>
          </w:rPr>
          <w:t>41</w:t>
        </w:r>
      </w:fldSimple>
      <w:bookmarkEnd w:id="579"/>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1763" w:type="dxa"/>
          </w:tcPr>
          <w:p w:rsidR="00A933BB" w:rsidRPr="00A933BB" w:rsidRDefault="00A933BB" w:rsidP="00A933BB">
            <w:r w:rsidRPr="00FB18DC">
              <w:t xml:space="preserve">Adjustment </w:t>
            </w:r>
            <w:r w:rsidRPr="00A933BB">
              <w:t>type</w:t>
            </w:r>
          </w:p>
        </w:tc>
        <w:tc>
          <w:tcPr>
            <w:tcW w:w="1262" w:type="dxa"/>
          </w:tcPr>
          <w:p w:rsidR="00A933BB" w:rsidRPr="00A933BB" w:rsidRDefault="00A933BB" w:rsidP="00A933BB">
            <w:r w:rsidRPr="00FB18DC">
              <w:t>Amendment made?</w:t>
            </w:r>
          </w:p>
        </w:tc>
        <w:tc>
          <w:tcPr>
            <w:tcW w:w="5668" w:type="dxa"/>
          </w:tcPr>
          <w:p w:rsidR="00A933BB" w:rsidRPr="00A933BB" w:rsidRDefault="00A933BB" w:rsidP="00A933BB">
            <w:r w:rsidRPr="00FB18DC">
              <w:t>Comments</w:t>
            </w:r>
          </w:p>
        </w:tc>
      </w:tr>
      <w:tr w:rsidR="00A933BB" w:rsidRPr="00BB7AB1" w:rsidTr="00EA632F">
        <w:tc>
          <w:tcPr>
            <w:tcW w:w="1763" w:type="dxa"/>
          </w:tcPr>
          <w:p w:rsidR="00A933BB" w:rsidRPr="00A933BB" w:rsidRDefault="00A933BB" w:rsidP="00A933BB">
            <w:r w:rsidRPr="00FB18DC">
              <w:t xml:space="preserve">Interpolation </w:t>
            </w:r>
            <w:r w:rsidRPr="00A933BB">
              <w:t>to construct daily estimates</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RBA curve only provides an estimate for one business day at the end of each month. In our experience, averaging periods commonly start and/or end on dates during the month.  </w:t>
            </w:r>
          </w:p>
          <w:p w:rsidR="00A933BB" w:rsidRPr="00A933BB" w:rsidRDefault="00A933BB" w:rsidP="00A933BB">
            <w:r w:rsidRPr="00FB18DC">
              <w:t>We will address this issue by linearly interpolating between month end values where possible. While we are satisfied that interpolation over business days is also reasonable, we will interpolate over all days because:</w:t>
            </w:r>
          </w:p>
          <w:p w:rsidR="00A933BB" w:rsidRPr="00A933BB" w:rsidRDefault="00A933BB" w:rsidP="00A933BB">
            <w:pPr>
              <w:pStyle w:val="AERbulletlistfirststyle"/>
            </w:pPr>
            <w:r w:rsidRPr="00FB18DC">
              <w:t>this is consistent with our widely accepted approach to interpolate estimates of the risk free rate using CGS</w:t>
            </w:r>
          </w:p>
          <w:p w:rsidR="00A933BB" w:rsidRPr="00A933BB" w:rsidRDefault="00A933BB" w:rsidP="00A933BB">
            <w:pPr>
              <w:pStyle w:val="AERbulletlistfirststyle"/>
            </w:pPr>
            <w:r w:rsidRPr="00FB18DC">
              <w:t>interpolating over all days is simpler to implement</w:t>
            </w:r>
          </w:p>
          <w:p w:rsidR="00A933BB" w:rsidRPr="00A933BB" w:rsidRDefault="00A933BB" w:rsidP="00A933BB">
            <w:pPr>
              <w:pStyle w:val="AERbulletlistfirststyle"/>
            </w:pPr>
            <w:r w:rsidRPr="00FB18DC">
              <w:t>it is impractical to interpolate over business days for estimating the risk free rate, as this would require calculations relative to specific trading days 10 years in advance</w:t>
            </w:r>
          </w:p>
          <w:p w:rsidR="00A933BB" w:rsidRPr="00A933BB" w:rsidRDefault="00A933BB" w:rsidP="00A933BB">
            <w:pPr>
              <w:pStyle w:val="AERbulletlistfirststyle"/>
            </w:pPr>
            <w:r w:rsidRPr="00FB18DC">
              <w:t>the difference to the estimates between interpolating over business days or interpolating over all days is immaterial.</w:t>
            </w:r>
            <w:r w:rsidRPr="00A933BB">
              <w:rPr>
                <w:rStyle w:val="AERsuperscript"/>
              </w:rPr>
              <w:footnoteReference w:id="1464"/>
            </w:r>
          </w:p>
          <w:p w:rsidR="00A933BB" w:rsidRPr="00A933BB" w:rsidRDefault="00A933BB" w:rsidP="00A933BB">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A64A73">
              <w:t>final</w:t>
            </w:r>
            <w:r w:rsidRPr="00A933BB">
              <w:t xml:space="preserve"> decision on the annual debt update process is set out in this appendix. </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1763" w:type="dxa"/>
          </w:tcPr>
          <w:p w:rsidR="00A933BB" w:rsidRPr="00A933BB" w:rsidRDefault="00A933BB" w:rsidP="00A933BB">
            <w:r w:rsidRPr="00FB18DC">
              <w:t>Extrapolation to target term</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'effective term' of the RBA bond sample is commonly less than 10 years. For this reason, Lally </w:t>
            </w:r>
            <w:r w:rsidRPr="00A933BB">
              <w:t>recommended that the spread component of the yield should be extrapolated from its effective term at publication to the benchmark term (10 years).</w:t>
            </w:r>
            <w:r w:rsidRPr="00A933BB">
              <w:rPr>
                <w:rStyle w:val="AERsuperscript"/>
              </w:rPr>
              <w:footnoteReference w:id="1465"/>
            </w:r>
            <w:r w:rsidRPr="00A933BB">
              <w:rPr>
                <w:rStyle w:val="AERsuperscript"/>
              </w:rPr>
              <w:t xml:space="preserve"> </w:t>
            </w:r>
          </w:p>
          <w:p w:rsidR="00A933BB" w:rsidRPr="00A933BB" w:rsidRDefault="00A933BB" w:rsidP="00A933BB">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933BB">
              <w:rPr>
                <w:rStyle w:val="AERsuperscript"/>
              </w:rPr>
              <w:footnoteReference w:id="1466"/>
            </w:r>
            <w:r w:rsidRPr="00A933BB">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933BB" w:rsidRPr="00BB7AB1" w:rsidTr="00EA632F">
        <w:tc>
          <w:tcPr>
            <w:tcW w:w="1763" w:type="dxa"/>
          </w:tcPr>
          <w:p w:rsidR="00A933BB" w:rsidRPr="00A933BB" w:rsidRDefault="00A933BB" w:rsidP="00A933BB">
            <w:r w:rsidRPr="00FB18DC">
              <w:t>Conversion to effective annual rate</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933BB">
              <w:rPr>
                <w:rStyle w:val="AERsuperscript"/>
              </w:rPr>
              <w:footnoteReference w:id="1467"/>
            </w:r>
            <w:r w:rsidRPr="00A933BB">
              <w:t xml:space="preserve"> Therefore, this would require conversion into an effective annual rate, using the same approach as is applied to the BVAL yield estimate. </w:t>
            </w:r>
          </w:p>
        </w:tc>
      </w:tr>
    </w:tbl>
    <w:p w:rsidR="00A933BB" w:rsidRPr="00FB18DC" w:rsidRDefault="00A933BB" w:rsidP="00A933BB">
      <w:pPr>
        <w:pStyle w:val="AERtablesource"/>
      </w:pPr>
      <w:r w:rsidRPr="00FB18DC">
        <w:t xml:space="preserve">Source: </w:t>
      </w:r>
      <w:r>
        <w:tab/>
      </w:r>
      <w:r w:rsidRPr="00FB18DC">
        <w:t>AER analysis</w:t>
      </w:r>
      <w:r>
        <w:t>.</w:t>
      </w:r>
    </w:p>
    <w:p w:rsidR="00A933BB" w:rsidRPr="00FB18DC" w:rsidRDefault="00A933BB" w:rsidP="00A933BB">
      <w:pPr>
        <w:pStyle w:val="Caption"/>
      </w:pPr>
      <w:bookmarkStart w:id="580" w:name="_Ref450563958"/>
      <w:r w:rsidRPr="00FB18DC">
        <w:t xml:space="preserve">Table </w:t>
      </w:r>
      <w:fldSimple w:instr=" STYLEREF 1 \s ">
        <w:r w:rsidR="006B4A74">
          <w:rPr>
            <w:noProof/>
          </w:rPr>
          <w:t>3</w:t>
        </w:r>
      </w:fldSimple>
      <w:r w:rsidR="008F29C8">
        <w:noBreakHyphen/>
      </w:r>
      <w:fldSimple w:instr=" SEQ Table \* ARABIC \s 1 ">
        <w:r w:rsidR="006B4A74">
          <w:rPr>
            <w:noProof/>
          </w:rPr>
          <w:t>42</w:t>
        </w:r>
      </w:fldSimple>
      <w:bookmarkEnd w:id="580"/>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3080" w:type="dxa"/>
          </w:tcPr>
          <w:p w:rsidR="00A933BB" w:rsidRPr="00A933BB" w:rsidRDefault="00A933BB" w:rsidP="00A933BB">
            <w:r w:rsidRPr="00FB18DC">
              <w:t xml:space="preserve">Adjustment </w:t>
            </w:r>
            <w:r w:rsidRPr="00A933BB">
              <w:t>type</w:t>
            </w:r>
          </w:p>
        </w:tc>
        <w:tc>
          <w:tcPr>
            <w:tcW w:w="1446" w:type="dxa"/>
          </w:tcPr>
          <w:p w:rsidR="00A933BB" w:rsidRPr="00A933BB" w:rsidRDefault="00A933BB" w:rsidP="00A933BB">
            <w:r w:rsidRPr="00FB18DC">
              <w:t>Amendment made?</w:t>
            </w:r>
          </w:p>
        </w:tc>
        <w:tc>
          <w:tcPr>
            <w:tcW w:w="4716" w:type="dxa"/>
          </w:tcPr>
          <w:p w:rsidR="00A933BB" w:rsidRPr="00FB18DC" w:rsidRDefault="00A933BB" w:rsidP="00CC7A1C">
            <w:pPr>
              <w:numPr>
                <w:ilvl w:val="0"/>
                <w:numId w:val="24"/>
              </w:numPr>
            </w:pPr>
            <w:r w:rsidRPr="00FB18DC">
              <w:t>Comments</w:t>
            </w:r>
          </w:p>
        </w:tc>
      </w:tr>
      <w:tr w:rsidR="00A933BB" w:rsidRPr="00BB7AB1" w:rsidTr="00EA632F">
        <w:tc>
          <w:tcPr>
            <w:tcW w:w="3080" w:type="dxa"/>
          </w:tcPr>
          <w:p w:rsidR="00A933BB" w:rsidRPr="00A933BB" w:rsidRDefault="00A933BB" w:rsidP="00A933BB">
            <w:r w:rsidRPr="00FB18DC">
              <w:t>Interpolation to construct daily estimates</w:t>
            </w:r>
          </w:p>
        </w:tc>
        <w:tc>
          <w:tcPr>
            <w:tcW w:w="1446" w:type="dxa"/>
          </w:tcPr>
          <w:p w:rsidR="00A933BB" w:rsidRPr="00A933BB" w:rsidRDefault="00A933BB" w:rsidP="00A933BB">
            <w:r w:rsidRPr="00FB18DC">
              <w:t>No</w:t>
            </w:r>
          </w:p>
        </w:tc>
        <w:tc>
          <w:tcPr>
            <w:tcW w:w="4716" w:type="dxa"/>
          </w:tcPr>
          <w:p w:rsidR="00A933BB" w:rsidRPr="00FB18DC" w:rsidRDefault="00A933BB" w:rsidP="00CC7A1C">
            <w:pPr>
              <w:numPr>
                <w:ilvl w:val="0"/>
                <w:numId w:val="24"/>
              </w:numPr>
            </w:pPr>
            <w:r w:rsidRPr="00FB18DC">
              <w:t>Bloomberg publishes daily estimates.</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3080" w:type="dxa"/>
          </w:tcPr>
          <w:p w:rsidR="00A933BB" w:rsidRPr="00A933BB" w:rsidRDefault="00A933BB" w:rsidP="00A933BB">
            <w:r w:rsidRPr="00FB18DC">
              <w:t>Extrapolation to target term</w:t>
            </w:r>
          </w:p>
        </w:tc>
        <w:tc>
          <w:tcPr>
            <w:tcW w:w="1446" w:type="dxa"/>
          </w:tcPr>
          <w:p w:rsidR="00A933BB" w:rsidRPr="00A933BB" w:rsidRDefault="00A933BB" w:rsidP="00A933BB">
            <w:r w:rsidRPr="00FB18DC">
              <w:t>Depends on maximum term published by Bloomberg</w:t>
            </w:r>
          </w:p>
        </w:tc>
        <w:tc>
          <w:tcPr>
            <w:tcW w:w="4716" w:type="dxa"/>
          </w:tcPr>
          <w:p w:rsidR="00A933BB" w:rsidRPr="00FB18DC" w:rsidRDefault="00A933BB"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468"/>
            </w:r>
            <w:r w:rsidRPr="00FB18DC">
              <w:t xml:space="preserve"> In April 2015, Bloomberg revised its methodology for the BVAL curve (BVCSAB10) and it now publishes a 10 year estimate.</w:t>
            </w:r>
            <w:r w:rsidRPr="00FB18DC">
              <w:rPr>
                <w:rStyle w:val="FootnoteReference"/>
              </w:rPr>
              <w:footnoteReference w:id="1469"/>
            </w:r>
            <w:r w:rsidRPr="00FB18DC">
              <w:t xml:space="preserve"> </w:t>
            </w:r>
          </w:p>
          <w:p w:rsidR="00A933BB" w:rsidRPr="00FB18DC" w:rsidRDefault="00A933BB"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933BB" w:rsidRPr="00FB18DC" w:rsidRDefault="00A933BB" w:rsidP="00CC7A1C">
            <w:pPr>
              <w:numPr>
                <w:ilvl w:val="0"/>
                <w:numId w:val="24"/>
              </w:numPr>
            </w:pPr>
            <w:r w:rsidRPr="00FB18DC">
              <w:t>BVAL yield 10 years = BVAL yield 7 years + difference in CGS from 7 to 10 years + difference in RBA extrapolated spread to CGS from 7 to 10 years</w:t>
            </w:r>
          </w:p>
          <w:p w:rsidR="00A933BB" w:rsidRPr="00FB18DC" w:rsidRDefault="00A933BB" w:rsidP="00CC7A1C">
            <w:pPr>
              <w:numPr>
                <w:ilvl w:val="0"/>
                <w:numId w:val="24"/>
              </w:numPr>
            </w:pPr>
            <w:r w:rsidRPr="00FB18DC">
              <w:t>As recommended by Lally,</w:t>
            </w:r>
            <w:r w:rsidRPr="00FB18DC">
              <w:rPr>
                <w:rStyle w:val="AERsuperscript"/>
              </w:rPr>
              <w:footnoteReference w:id="1470"/>
            </w:r>
            <w:r w:rsidRPr="00FB18DC">
              <w:t xml:space="preserve"> we are satisfied this approach is comparably reliable to the more complex approaches submitted by other stakeholders,</w:t>
            </w:r>
            <w:r w:rsidRPr="00FB18DC">
              <w:rPr>
                <w:rStyle w:val="AERsuperscript"/>
              </w:rPr>
              <w:footnoteReference w:id="1471"/>
            </w:r>
            <w:r w:rsidRPr="00FB18DC">
              <w:rPr>
                <w:rStyle w:val="AERsuperscript"/>
              </w:rPr>
              <w:t xml:space="preserve"> </w:t>
            </w:r>
            <w:r w:rsidRPr="00FB18DC">
              <w:t>but is simpler to implement and based on publicly available data.</w:t>
            </w:r>
          </w:p>
          <w:p w:rsidR="00A933BB" w:rsidRPr="00FB18DC" w:rsidRDefault="00A933BB"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933BB" w:rsidRPr="00FB18DC" w:rsidRDefault="00A933BB" w:rsidP="00CC7A1C">
            <w:pPr>
              <w:numPr>
                <w:ilvl w:val="0"/>
                <w:numId w:val="24"/>
              </w:numPr>
            </w:pPr>
            <w:r w:rsidRPr="00FB18DC">
              <w:t>For the period where 10 years is the maximum term, we do not extrapolate the estimate.</w:t>
            </w:r>
          </w:p>
        </w:tc>
      </w:tr>
      <w:tr w:rsidR="00A933BB" w:rsidRPr="00BB7AB1" w:rsidTr="00EA632F">
        <w:tc>
          <w:tcPr>
            <w:tcW w:w="3080" w:type="dxa"/>
          </w:tcPr>
          <w:p w:rsidR="00A933BB" w:rsidRPr="00A933BB" w:rsidRDefault="00A933BB" w:rsidP="00A933BB">
            <w:r w:rsidRPr="00FB18DC">
              <w:t>Conversion to effective annual rate</w:t>
            </w:r>
          </w:p>
        </w:tc>
        <w:tc>
          <w:tcPr>
            <w:tcW w:w="1446" w:type="dxa"/>
          </w:tcPr>
          <w:p w:rsidR="00A933BB" w:rsidRPr="00A933BB" w:rsidRDefault="00A933BB" w:rsidP="00A933BB">
            <w:r w:rsidRPr="00FB18DC">
              <w:t>Yes</w:t>
            </w:r>
          </w:p>
        </w:tc>
        <w:tc>
          <w:tcPr>
            <w:tcW w:w="4716" w:type="dxa"/>
          </w:tcPr>
          <w:p w:rsidR="00A933BB" w:rsidRPr="00FB18DC" w:rsidRDefault="00A933BB" w:rsidP="00CC7A1C">
            <w:pPr>
              <w:numPr>
                <w:ilvl w:val="0"/>
                <w:numId w:val="24"/>
              </w:numPr>
            </w:pPr>
            <w:r w:rsidRPr="00FB18DC">
              <w:t>Bloomberg publishes its yield as annual rates with semi-annual compounding. This needs to be converted into an effective annual rate.</w:t>
            </w:r>
          </w:p>
        </w:tc>
      </w:tr>
    </w:tbl>
    <w:p w:rsidR="00A933BB" w:rsidRPr="00FB18DC" w:rsidRDefault="00A933BB" w:rsidP="00A933BB">
      <w:pPr>
        <w:pStyle w:val="Heading9"/>
      </w:pPr>
      <w:bookmarkStart w:id="581" w:name="_Toc433457169"/>
      <w:bookmarkStart w:id="582" w:name="_Toc450916273"/>
      <w:bookmarkStart w:id="583" w:name="_Toc452629169"/>
      <w:bookmarkStart w:id="584" w:name="_Toc456686786"/>
      <w:bookmarkStart w:id="585" w:name="_Toc480460947"/>
      <w:r w:rsidRPr="00FB18DC">
        <w:t>Choice of data series—Step-by-step guide to calculations</w:t>
      </w:r>
      <w:bookmarkEnd w:id="581"/>
      <w:bookmarkEnd w:id="582"/>
      <w:bookmarkEnd w:id="583"/>
      <w:bookmarkEnd w:id="584"/>
      <w:bookmarkEnd w:id="585"/>
    </w:p>
    <w:p w:rsidR="00A933BB" w:rsidRPr="00FB18DC" w:rsidRDefault="00A933BB" w:rsidP="00CC7A1C">
      <w:pPr>
        <w:numPr>
          <w:ilvl w:val="0"/>
          <w:numId w:val="24"/>
        </w:numPr>
      </w:pPr>
      <w:r w:rsidRPr="00FB18DC">
        <w:t>Below we describe the step-by-step processes of calculating:</w:t>
      </w:r>
    </w:p>
    <w:p w:rsidR="00A933BB" w:rsidRPr="00FB18DC" w:rsidRDefault="00A933BB" w:rsidP="00A933BB">
      <w:pPr>
        <w:pStyle w:val="AERbulletlistfirststyle"/>
      </w:pPr>
      <w:r w:rsidRPr="00FB18DC">
        <w:t xml:space="preserve">the adjusted RBA estimate </w:t>
      </w:r>
    </w:p>
    <w:p w:rsidR="00A933BB" w:rsidRPr="00FB18DC" w:rsidRDefault="00A933BB" w:rsidP="00A933BB">
      <w:pPr>
        <w:pStyle w:val="AERbulletlistfirststyle"/>
      </w:pPr>
      <w:r w:rsidRPr="00FB18DC">
        <w:t xml:space="preserve">the adjusted BVAL estimate </w:t>
      </w:r>
    </w:p>
    <w:p w:rsidR="00A933BB" w:rsidRPr="00FB18DC" w:rsidRDefault="00A933BB" w:rsidP="00A933BB">
      <w:pPr>
        <w:pStyle w:val="AERbulletlistfirststyle"/>
      </w:pPr>
      <w:r w:rsidRPr="00FB18DC">
        <w:t>the final estimate—where we combine our implementations of the RBA estimate and the BVAL estimate.</w:t>
      </w:r>
    </w:p>
    <w:p w:rsidR="00A933BB" w:rsidRDefault="00A933BB" w:rsidP="00CC7A1C">
      <w:pPr>
        <w:numPr>
          <w:ilvl w:val="0"/>
          <w:numId w:val="24"/>
        </w:numPr>
      </w:pPr>
      <w:r w:rsidRPr="00FB18DC">
        <w:t xml:space="preserve">These formula steps relate to the approach specified in this </w:t>
      </w:r>
      <w:r w:rsidR="00A64A73">
        <w:t>final</w:t>
      </w:r>
      <w:r w:rsidRPr="00FB18DC">
        <w:t xml:space="preserve"> decision. In the event that data availability changes during the regulatory control period, the formulas below will change to reflect the contingencies set out in section </w:t>
      </w:r>
      <w:r>
        <w:fldChar w:fldCharType="begin"/>
      </w:r>
      <w:r>
        <w:instrText xml:space="preserve"> REF _Ref451901059 \r \h </w:instrText>
      </w:r>
      <w:r>
        <w:fldChar w:fldCharType="separate"/>
      </w:r>
      <w:r w:rsidR="006B4A74">
        <w:t>J.2.4</w:t>
      </w:r>
      <w:r>
        <w:fldChar w:fldCharType="end"/>
      </w:r>
      <w:r w:rsidRPr="00FB18DC">
        <w:t>.</w:t>
      </w:r>
    </w:p>
    <w:p w:rsidR="00A933BB" w:rsidRPr="00FB18DC" w:rsidRDefault="00A933BB" w:rsidP="00CC7A1C">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933BB" w:rsidRPr="00FB18DC" w:rsidRDefault="00A933BB" w:rsidP="00CC7A1C">
      <w:pPr>
        <w:numPr>
          <w:ilvl w:val="0"/>
          <w:numId w:val="24"/>
        </w:numPr>
        <w:rPr>
          <w:rStyle w:val="AERtextitalic"/>
        </w:rPr>
      </w:pPr>
      <w:r w:rsidRPr="00FB18DC">
        <w:rPr>
          <w:rStyle w:val="AERtextitalic"/>
        </w:rPr>
        <w:t>Calculation of the adjusted RBA estimate</w:t>
      </w:r>
    </w:p>
    <w:p w:rsidR="00A933BB" w:rsidRPr="00FB18DC" w:rsidRDefault="00A933BB" w:rsidP="00CC7A1C">
      <w:pPr>
        <w:numPr>
          <w:ilvl w:val="1"/>
          <w:numId w:val="24"/>
        </w:numPr>
      </w:pPr>
      <w:r w:rsidRPr="00FB18DC">
        <w:t>Download RBA table F3—'Aggregate measures of Australian corporate bond yields' from the RBA website.</w:t>
      </w:r>
    </w:p>
    <w:p w:rsidR="00A933BB" w:rsidRPr="00FB18DC" w:rsidRDefault="00A933BB" w:rsidP="00CC7A1C">
      <w:pPr>
        <w:numPr>
          <w:ilvl w:val="1"/>
          <w:numId w:val="24"/>
        </w:numPr>
      </w:pPr>
      <w:r w:rsidRPr="00FB18DC">
        <w:t>From this file, download the 7 and 10 year 'Non-financial corporate BBB-rated bonds—Yield' entries for dates:</w:t>
      </w:r>
    </w:p>
    <w:p w:rsidR="00A933BB" w:rsidRPr="00FB18DC" w:rsidRDefault="00A933BB" w:rsidP="00CC7A1C">
      <w:pPr>
        <w:numPr>
          <w:ilvl w:val="2"/>
          <w:numId w:val="24"/>
        </w:numPr>
      </w:pPr>
      <w:r w:rsidRPr="00FB18DC">
        <w:t>from the most recent published RBA date prior to the commencement of the nominated averaging period for debt</w:t>
      </w:r>
    </w:p>
    <w:p w:rsidR="00A933BB" w:rsidRPr="00FB18DC" w:rsidRDefault="00A933BB" w:rsidP="00CC7A1C">
      <w:pPr>
        <w:numPr>
          <w:ilvl w:val="2"/>
          <w:numId w:val="24"/>
        </w:numPr>
      </w:pPr>
      <w:r w:rsidRPr="00FB18DC">
        <w:t>to the first published RBA date following the conclusion of the nominated averaging period for debt</w:t>
      </w:r>
    </w:p>
    <w:p w:rsidR="00A933BB" w:rsidRPr="00FB18DC" w:rsidRDefault="00A933BB" w:rsidP="00CC7A1C">
      <w:pPr>
        <w:numPr>
          <w:ilvl w:val="2"/>
          <w:numId w:val="24"/>
        </w:numPr>
      </w:pPr>
      <w:r w:rsidRPr="00FB18DC">
        <w:t>all published dates between a. and b.</w:t>
      </w:r>
    </w:p>
    <w:p w:rsidR="00A933BB" w:rsidRPr="00FB18DC" w:rsidRDefault="00A933BB" w:rsidP="00CC7A1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A933BB" w:rsidRPr="00FB18DC" w:rsidRDefault="00A933BB" w:rsidP="00CC7A1C">
      <w:pPr>
        <w:numPr>
          <w:ilvl w:val="1"/>
          <w:numId w:val="24"/>
        </w:numPr>
      </w:pPr>
      <w:r w:rsidRPr="00FB18DC">
        <w:t>Linearly interpolate between the two nearest bonds straddling 7 years remaining term to maturity,</w:t>
      </w:r>
      <w:r w:rsidRPr="00FB18DC">
        <w:rPr>
          <w:rStyle w:val="AERsuperscript"/>
        </w:rPr>
        <w:footnoteReference w:id="1472"/>
      </w:r>
      <w:r w:rsidRPr="00FB18DC">
        <w:t xml:space="preserve"> and the two nearest CGS bonds straddling 10 years remaining term to maturity. This should be done using the following formula: </w:t>
      </w:r>
      <w:r w:rsidRPr="00FB18DC">
        <w:rPr>
          <w:rStyle w:val="AERsuperscript"/>
        </w:rPr>
        <w:footnoteReference w:id="1473"/>
      </w:r>
    </w:p>
    <w:p w:rsidR="00A933BB" w:rsidRPr="00FB18DC" w:rsidRDefault="00A933BB" w:rsidP="00A933BB">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933BB" w:rsidRPr="00FB18DC" w:rsidRDefault="00A933BB" w:rsidP="00CC7A1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474"/>
      </w:r>
    </w:p>
    <w:p w:rsidR="00A933BB" w:rsidRPr="00FB18DC" w:rsidRDefault="00A933BB" w:rsidP="00A933BB">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933BB" w:rsidRPr="00FB18DC" w:rsidRDefault="00A933BB" w:rsidP="00CC7A1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475"/>
      </w:r>
    </w:p>
    <w:p w:rsidR="00A933BB" w:rsidRPr="00FB18DC" w:rsidRDefault="00A933BB" w:rsidP="00A933BB">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933BB" w:rsidRPr="00FB18DC" w:rsidRDefault="00A933BB" w:rsidP="00CC7A1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476"/>
      </w:r>
    </w:p>
    <w:p w:rsidR="00A933BB" w:rsidRPr="00FB18DC" w:rsidRDefault="00A933BB" w:rsidP="00CC7A1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933BB" w:rsidRPr="00FB18DC" w:rsidRDefault="00A933BB" w:rsidP="00A933BB">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933BB" w:rsidRPr="00FB18DC" w:rsidRDefault="00A933BB" w:rsidP="00A933BB">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933BB" w:rsidRPr="00FB18DC" w:rsidRDefault="00A933BB" w:rsidP="00CC7A1C">
      <w:pPr>
        <w:numPr>
          <w:ilvl w:val="1"/>
          <w:numId w:val="24"/>
        </w:numPr>
      </w:pPr>
      <w:r w:rsidRPr="00FB18DC">
        <w:t>Add to these daily spreads (from step 8), daily interpolated estimates of the CGS (from step 4) for all business days in the service providers averaging period. Specifically:</w:t>
      </w:r>
    </w:p>
    <w:p w:rsidR="00A933BB" w:rsidRPr="00FB18DC" w:rsidRDefault="00A933BB" w:rsidP="00CC7A1C">
      <w:pPr>
        <w:numPr>
          <w:ilvl w:val="2"/>
          <w:numId w:val="24"/>
        </w:numPr>
      </w:pPr>
      <w:r w:rsidRPr="00FB18DC">
        <w:t xml:space="preserve"> add the 7 year interpolated CGS estimates to the 7 year interpolated RBA spreads. These are the interpolated RBA daily 7-year yield estimates.</w:t>
      </w:r>
    </w:p>
    <w:p w:rsidR="00A933BB" w:rsidRPr="00FB18DC" w:rsidRDefault="00A933BB" w:rsidP="00CC7A1C">
      <w:pPr>
        <w:numPr>
          <w:ilvl w:val="2"/>
          <w:numId w:val="24"/>
        </w:numPr>
      </w:pPr>
      <w:r w:rsidRPr="00FB18DC">
        <w:t xml:space="preserve"> add the 10 year interpolated CGS estimate to the 10 year interpolated RBA spread. These are the interpolated RBA daily 10-year yield estimates.</w:t>
      </w:r>
    </w:p>
    <w:p w:rsidR="00A933BB" w:rsidRPr="00FB18DC" w:rsidRDefault="00A933BB" w:rsidP="00CC7A1C">
      <w:pPr>
        <w:numPr>
          <w:ilvl w:val="1"/>
          <w:numId w:val="24"/>
        </w:numPr>
      </w:pPr>
      <w:r w:rsidRPr="00FB18DC">
        <w:t>Convert the interpolated daily yield estimates (from step 9) to effective annual rates, using the formula:</w:t>
      </w:r>
      <w:r w:rsidRPr="004842DA">
        <w:rPr>
          <w:rStyle w:val="AERsuperscript"/>
        </w:rPr>
        <w:footnoteReference w:id="1477"/>
      </w:r>
    </w:p>
    <w:p w:rsidR="00A933BB" w:rsidRPr="00FB18DC" w:rsidRDefault="00A933BB" w:rsidP="00A933BB">
      <w:pPr>
        <w:pStyle w:val="AERquote"/>
      </w:pPr>
      <w:r w:rsidRPr="00FB18DC">
        <w:t>effective annual rate = ((1 + yield / 200)</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yield estimate for the 10 year RBA yield estimate over all business days in </w:t>
      </w:r>
      <w:r>
        <w:t>AusNet Services'</w:t>
      </w:r>
      <w:r w:rsidRPr="00FB18DC">
        <w:t xml:space="preserve"> averaging period. This is our adjusted RBA estimate.</w:t>
      </w:r>
    </w:p>
    <w:p w:rsidR="00A933BB" w:rsidRPr="00FB18DC" w:rsidRDefault="00A933BB" w:rsidP="00CC7A1C">
      <w:pPr>
        <w:numPr>
          <w:ilvl w:val="0"/>
          <w:numId w:val="24"/>
        </w:numPr>
        <w:rPr>
          <w:rStyle w:val="AERtextitalic"/>
        </w:rPr>
      </w:pPr>
      <w:r w:rsidRPr="00FB18DC">
        <w:rPr>
          <w:rStyle w:val="AERtextitalic"/>
        </w:rPr>
        <w:t>Calculation of the adjusted BVAL estimate</w:t>
      </w:r>
    </w:p>
    <w:p w:rsidR="00A933BB" w:rsidRPr="00FB18DC" w:rsidRDefault="00A933BB" w:rsidP="00CC7A1C">
      <w:pPr>
        <w:numPr>
          <w:ilvl w:val="1"/>
          <w:numId w:val="24"/>
        </w:numPr>
      </w:pPr>
      <w:r w:rsidRPr="00FB18DC">
        <w:t>For dates after 14 April 2015, download the 10 year Corporate BBB rated Australian BVAL curve (BVC</w:t>
      </w:r>
      <w:r>
        <w:t>S</w:t>
      </w:r>
      <w:r w:rsidRPr="00FB18DC">
        <w:t>AB10).</w:t>
      </w:r>
      <w:r>
        <w:rPr>
          <w:rStyle w:val="FootnoteReference"/>
        </w:rPr>
        <w:footnoteReference w:id="1478"/>
      </w:r>
      <w:r w:rsidRPr="00FB18DC">
        <w:t xml:space="preserve"> </w:t>
      </w:r>
    </w:p>
    <w:p w:rsidR="00A933BB" w:rsidRPr="00FB18DC" w:rsidRDefault="00A933BB" w:rsidP="00CC7A1C">
      <w:pPr>
        <w:numPr>
          <w:ilvl w:val="1"/>
          <w:numId w:val="24"/>
        </w:numPr>
      </w:pPr>
      <w:r>
        <w:t>C</w:t>
      </w:r>
      <w:r w:rsidRPr="00FB18DC">
        <w:t xml:space="preserve">onvert the 10 year yields into effective annual rates, using the formula: </w:t>
      </w:r>
    </w:p>
    <w:p w:rsidR="00A933BB" w:rsidRPr="00FB18DC" w:rsidRDefault="00A933BB" w:rsidP="00A933BB">
      <w:pPr>
        <w:pStyle w:val="AERquote"/>
      </w:pPr>
      <w:r w:rsidRPr="00FB18DC">
        <w:t>effective annual rate = ((1 + yield / 200 )</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extrapolated daily estimates of the BVAL 10 year yield over all business days in the </w:t>
      </w:r>
      <w:r>
        <w:t>AusNet Services'</w:t>
      </w:r>
      <w:r w:rsidRPr="00FB18DC">
        <w:t xml:space="preserve"> averaging period. This is our adjusted BVAL estimate.</w:t>
      </w:r>
    </w:p>
    <w:p w:rsidR="00A933BB" w:rsidRPr="00FB18DC" w:rsidRDefault="00A933BB" w:rsidP="00CC7A1C">
      <w:pPr>
        <w:numPr>
          <w:ilvl w:val="0"/>
          <w:numId w:val="24"/>
        </w:numPr>
        <w:rPr>
          <w:rStyle w:val="AERtextitalic"/>
        </w:rPr>
      </w:pPr>
      <w:r w:rsidRPr="00FB18DC">
        <w:rPr>
          <w:rStyle w:val="AERtextitalic"/>
        </w:rPr>
        <w:t>Final estimate</w:t>
      </w:r>
    </w:p>
    <w:p w:rsidR="00A933BB" w:rsidRPr="00FB18DC" w:rsidRDefault="00A933BB" w:rsidP="00CC7A1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933BB" w:rsidRPr="00FB18DC" w:rsidRDefault="00A933BB" w:rsidP="00A933BB">
      <w:pPr>
        <w:pStyle w:val="Heading9"/>
      </w:pPr>
      <w:bookmarkStart w:id="586" w:name="_Toc433457170"/>
      <w:bookmarkStart w:id="587" w:name="_Toc450916274"/>
      <w:bookmarkStart w:id="588" w:name="_Ref451901059"/>
      <w:bookmarkStart w:id="589" w:name="_Toc452629170"/>
      <w:bookmarkStart w:id="590" w:name="_Toc456686787"/>
      <w:bookmarkStart w:id="591" w:name="_Toc480460948"/>
      <w:r w:rsidRPr="00FB18DC">
        <w:t>Choice of data series—Contingencies</w:t>
      </w:r>
      <w:bookmarkEnd w:id="586"/>
      <w:bookmarkEnd w:id="587"/>
      <w:bookmarkEnd w:id="588"/>
      <w:bookmarkEnd w:id="589"/>
      <w:bookmarkEnd w:id="590"/>
      <w:bookmarkEnd w:id="591"/>
    </w:p>
    <w:p w:rsidR="00A870A6" w:rsidRPr="00A870A6" w:rsidRDefault="00A870A6" w:rsidP="00A870A6">
      <w:r w:rsidRPr="00A870A6">
        <w:t>Our final decision is to largely maintain the set of contingencies as set out in our recent decisions.</w:t>
      </w:r>
      <w:r w:rsidRPr="00A870A6">
        <w:rPr>
          <w:rStyle w:val="FootnoteReference"/>
        </w:rPr>
        <w:footnoteReference w:id="1479"/>
      </w:r>
      <w:r w:rsidRPr="00A870A6">
        <w:t xml:space="preserve"> We have made our final decision based on the information and third party data that is currently available.</w:t>
      </w:r>
      <w:r w:rsidRPr="00A870A6">
        <w:rPr>
          <w:rStyle w:val="FootnoteReference"/>
        </w:rPr>
        <w:footnoteReference w:id="1480"/>
      </w:r>
      <w:r w:rsidRPr="00A870A6">
        <w:t xml:space="preserve"> Nonetheless, in our experience it is common that the availability of third party data changes. </w:t>
      </w:r>
    </w:p>
    <w:p w:rsidR="00A870A6" w:rsidRPr="00A870A6" w:rsidRDefault="00A870A6" w:rsidP="00A870A6">
      <w:r w:rsidRPr="00A870A6">
        <w:t>Our final decision is to annually update the trailing average portfolio return on debt. Under the NER, the change in revenue resulting from the annual update must occur by automatic application of a formula that is specified in the decision.</w:t>
      </w:r>
      <w:r w:rsidRPr="00A870A6">
        <w:rPr>
          <w:rStyle w:val="AERsuperscript"/>
        </w:rPr>
        <w:t xml:space="preserve"> </w:t>
      </w:r>
      <w:r w:rsidRPr="00A870A6">
        <w:rPr>
          <w:rStyle w:val="AERsuperscript"/>
        </w:rPr>
        <w:footnoteReference w:id="1481"/>
      </w:r>
      <w:r w:rsidRPr="00A870A6">
        <w:t xml:space="preserve"> This means our decision on how to apply these third party data sources must be fully specified upfront in the determination, and must be capable of application over the regulatory control period without the use of subsequent judgement or discretion. </w:t>
      </w:r>
    </w:p>
    <w:p w:rsidR="00A870A6" w:rsidRPr="00A870A6" w:rsidRDefault="00A870A6" w:rsidP="00A870A6">
      <w:r w:rsidRPr="00A870A6">
        <w:t xml:space="preserve">For this reason, we have set out a series of contingencies in </w:t>
      </w:r>
      <w:r w:rsidRPr="00A870A6">
        <w:fldChar w:fldCharType="begin"/>
      </w:r>
      <w:r w:rsidRPr="00A870A6">
        <w:instrText xml:space="preserve"> REF  _Ref415565798 \* Lower \h </w:instrText>
      </w:r>
      <w:r w:rsidRPr="00A870A6">
        <w:fldChar w:fldCharType="separate"/>
      </w:r>
      <w:r w:rsidR="006B4A74" w:rsidRPr="00A870A6">
        <w:t xml:space="preserve">table </w:t>
      </w:r>
      <w:r w:rsidR="006B4A74">
        <w:rPr>
          <w:noProof/>
        </w:rPr>
        <w:t>3</w:t>
      </w:r>
      <w:r w:rsidR="006B4A74">
        <w:noBreakHyphen/>
      </w:r>
      <w:r w:rsidR="006B4A74">
        <w:rPr>
          <w:noProof/>
        </w:rPr>
        <w:t>43</w:t>
      </w:r>
      <w:r w:rsidRPr="00A870A6">
        <w:fldChar w:fldCharType="end"/>
      </w:r>
      <w:r w:rsidRPr="00A870A6">
        <w:t>, below. These describe how we propose to estimate the annual return on debt in the event of revisions in the RBA's or Bloomberg's methodologies or other changes to data availability.</w:t>
      </w:r>
    </w:p>
    <w:p w:rsidR="00A870A6" w:rsidRPr="00A870A6" w:rsidRDefault="00A870A6" w:rsidP="00A870A6">
      <w:pPr>
        <w:pStyle w:val="Caption"/>
      </w:pPr>
      <w:bookmarkStart w:id="592" w:name="_Ref415565798"/>
      <w:r w:rsidRPr="00A870A6">
        <w:t xml:space="preserve">Table </w:t>
      </w:r>
      <w:fldSimple w:instr=" STYLEREF 1 \s ">
        <w:r w:rsidR="006B4A74">
          <w:rPr>
            <w:noProof/>
          </w:rPr>
          <w:t>3</w:t>
        </w:r>
      </w:fldSimple>
      <w:r w:rsidR="008F29C8">
        <w:noBreakHyphen/>
      </w:r>
      <w:fldSimple w:instr=" SEQ Table \* ARABIC \s 1 ">
        <w:r w:rsidR="006B4A74">
          <w:rPr>
            <w:noProof/>
          </w:rPr>
          <w:t>43</w:t>
        </w:r>
      </w:fldSimple>
      <w:bookmarkEnd w:id="592"/>
      <w:r w:rsidRPr="00A870A6">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870A6" w:rsidRPr="00BB7AB1" w:rsidTr="0016738D">
        <w:trPr>
          <w:cnfStyle w:val="100000000000" w:firstRow="1" w:lastRow="0" w:firstColumn="0" w:lastColumn="0" w:oddVBand="0" w:evenVBand="0" w:oddHBand="0" w:evenHBand="0" w:firstRowFirstColumn="0" w:firstRowLastColumn="0" w:lastRowFirstColumn="0" w:lastRowLastColumn="0"/>
          <w:tblHeader/>
        </w:trPr>
        <w:tc>
          <w:tcPr>
            <w:tcW w:w="1461" w:type="pct"/>
          </w:tcPr>
          <w:p w:rsidR="00A870A6" w:rsidRPr="00A870A6" w:rsidRDefault="00A870A6" w:rsidP="00CC7A1C">
            <w:pPr>
              <w:numPr>
                <w:ilvl w:val="0"/>
                <w:numId w:val="24"/>
              </w:numPr>
            </w:pPr>
            <w:r w:rsidRPr="00A870A6">
              <w:t>Event</w:t>
            </w:r>
          </w:p>
        </w:tc>
        <w:tc>
          <w:tcPr>
            <w:tcW w:w="3539" w:type="pct"/>
          </w:tcPr>
          <w:p w:rsidR="00A870A6" w:rsidRPr="00A870A6" w:rsidRDefault="00A870A6" w:rsidP="00CC7A1C">
            <w:pPr>
              <w:numPr>
                <w:ilvl w:val="0"/>
                <w:numId w:val="24"/>
              </w:numPr>
            </w:pPr>
            <w:r w:rsidRPr="00A870A6">
              <w:t>Changes to approach</w:t>
            </w:r>
          </w:p>
        </w:tc>
      </w:tr>
      <w:tr w:rsidR="00A870A6" w:rsidRPr="00BB7AB1" w:rsidTr="0016738D">
        <w:tc>
          <w:tcPr>
            <w:tcW w:w="1461" w:type="pct"/>
          </w:tcPr>
          <w:p w:rsidR="00A870A6" w:rsidRPr="00A870A6" w:rsidRDefault="00A870A6" w:rsidP="00CC7A1C">
            <w:pPr>
              <w:numPr>
                <w:ilvl w:val="0"/>
                <w:numId w:val="24"/>
              </w:numPr>
            </w:pPr>
            <w:r w:rsidRPr="00A870A6">
              <w:t>Either the RBA or Bloomberg ceases publication, temporarily or permanently, of Australian yield curves that reflect a broad BBB rating.</w:t>
            </w:r>
          </w:p>
        </w:tc>
        <w:tc>
          <w:tcPr>
            <w:tcW w:w="3539" w:type="pct"/>
          </w:tcPr>
          <w:p w:rsidR="00A870A6" w:rsidRPr="00A870A6" w:rsidRDefault="00A870A6" w:rsidP="00CC7A1C">
            <w:pPr>
              <w:numPr>
                <w:ilvl w:val="0"/>
                <w:numId w:val="24"/>
              </w:numPr>
            </w:pPr>
            <w:r w:rsidRPr="00A870A6">
              <w:t>We will estimate the annual return on debt using the remaining curve.</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A different third party commences publication of a 10 year yield estimate (or we are made aware of a different third party publishing a 10 year yield estimate)</w:t>
            </w:r>
            <w:r w:rsidRPr="00A870A6">
              <w:rPr>
                <w:rStyle w:val="AERsuperscript"/>
              </w:rPr>
              <w:footnoteReference w:id="1482"/>
            </w:r>
            <w:r w:rsidRPr="00A870A6">
              <w:t>.</w:t>
            </w:r>
          </w:p>
        </w:tc>
        <w:tc>
          <w:tcPr>
            <w:tcW w:w="3539" w:type="pct"/>
          </w:tcPr>
          <w:p w:rsidR="00A870A6" w:rsidRPr="00A870A6" w:rsidRDefault="00A870A6" w:rsidP="00CC7A1C">
            <w:pPr>
              <w:numPr>
                <w:ilvl w:val="0"/>
                <w:numId w:val="24"/>
              </w:numPr>
            </w:pPr>
            <w:r w:rsidRPr="00A870A6">
              <w:t xml:space="preserve">We will not apply estimates from a third party data provider that we have not evaluated and included in our final decision approach. We will consider any new data sources in future determinations. </w:t>
            </w:r>
          </w:p>
        </w:tc>
      </w:tr>
      <w:tr w:rsidR="00A870A6" w:rsidRPr="00BB7AB1" w:rsidTr="0016738D">
        <w:tc>
          <w:tcPr>
            <w:tcW w:w="1461" w:type="pct"/>
          </w:tcPr>
          <w:p w:rsidR="00A870A6" w:rsidRPr="00A870A6" w:rsidRDefault="00A870A6" w:rsidP="00CC7A1C">
            <w:pPr>
              <w:numPr>
                <w:ilvl w:val="0"/>
                <w:numId w:val="24"/>
              </w:numPr>
            </w:pPr>
            <w:r w:rsidRPr="00A870A6">
              <w:t>Either Bloomberg or RBA substitutes its current methodology for a revised or updated methodology.</w:t>
            </w:r>
          </w:p>
        </w:tc>
        <w:tc>
          <w:tcPr>
            <w:tcW w:w="3539" w:type="pct"/>
          </w:tcPr>
          <w:p w:rsidR="00A870A6" w:rsidRPr="00A870A6" w:rsidRDefault="00A870A6" w:rsidP="00CC7A1C">
            <w:pPr>
              <w:numPr>
                <w:ilvl w:val="0"/>
                <w:numId w:val="24"/>
              </w:numPr>
            </w:pPr>
            <w:r w:rsidRPr="00A870A6">
              <w:t>We will adopt the revised or updated methodology. Then, at the next regulatory determination, we will review this updated methodology. As noted above, we would also review any new data sources.</w:t>
            </w:r>
          </w:p>
          <w:p w:rsidR="00A870A6" w:rsidRPr="00A870A6" w:rsidRDefault="00A870A6" w:rsidP="00CC7A1C">
            <w:pPr>
              <w:numPr>
                <w:ilvl w:val="0"/>
                <w:numId w:val="24"/>
              </w:numPr>
            </w:pPr>
            <w:r w:rsidRPr="00A870A6">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A870A6">
              <w:rPr>
                <w:rStyle w:val="FootnoteReference"/>
              </w:rPr>
              <w:footnoteReference w:id="1483"/>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Bloomberg reduces the maximum published BVAL term from 10 years</w:t>
            </w:r>
          </w:p>
        </w:tc>
        <w:tc>
          <w:tcPr>
            <w:tcW w:w="3539" w:type="pct"/>
          </w:tcPr>
          <w:p w:rsidR="00A870A6" w:rsidRPr="00A870A6" w:rsidRDefault="00A870A6" w:rsidP="00CC7A1C">
            <w:pPr>
              <w:numPr>
                <w:ilvl w:val="0"/>
                <w:numId w:val="24"/>
              </w:numPr>
            </w:pPr>
            <w:r w:rsidRPr="00A870A6">
              <w:t xml:space="preserve">If Bloomberg still publishes the BVAL curve to 5 or more years, we will extrapolate the BVAL curve from the longest published term to 10 years using the corresponding yield margin from the RBA curve. </w:t>
            </w:r>
            <w:r w:rsidRPr="00A870A6">
              <w:rPr>
                <w:rStyle w:val="FootnoteReference"/>
              </w:rPr>
              <w:footnoteReference w:id="1484"/>
            </w:r>
          </w:p>
          <w:p w:rsidR="00A870A6" w:rsidRPr="00A870A6" w:rsidRDefault="00A870A6" w:rsidP="00CC7A1C">
            <w:pPr>
              <w:numPr>
                <w:ilvl w:val="0"/>
                <w:numId w:val="24"/>
              </w:numPr>
            </w:pPr>
            <w:r w:rsidRPr="00A870A6">
              <w:t>If Bloomberg no longer publishes the BVAL curve to 5 years, we will rely entirely on the RBA curve.</w:t>
            </w:r>
          </w:p>
        </w:tc>
      </w:tr>
      <w:tr w:rsidR="00A870A6" w:rsidRPr="00BB7AB1" w:rsidTr="0016738D">
        <w:tc>
          <w:tcPr>
            <w:tcW w:w="1461" w:type="pct"/>
          </w:tcPr>
          <w:p w:rsidR="00A870A6" w:rsidRPr="00A870A6" w:rsidRDefault="00A870A6" w:rsidP="00CC7A1C">
            <w:pPr>
              <w:numPr>
                <w:ilvl w:val="0"/>
                <w:numId w:val="24"/>
              </w:numPr>
            </w:pPr>
            <w:r w:rsidRPr="00A870A6">
              <w:t>The RBA ceases publication of a 10 year yield estimate.</w:t>
            </w:r>
            <w:r w:rsidRPr="00A870A6">
              <w:tab/>
            </w:r>
          </w:p>
        </w:tc>
        <w:tc>
          <w:tcPr>
            <w:tcW w:w="3539" w:type="pct"/>
          </w:tcPr>
          <w:p w:rsidR="00A870A6" w:rsidRPr="00A870A6" w:rsidRDefault="00A870A6" w:rsidP="00CC7A1C">
            <w:pPr>
              <w:numPr>
                <w:ilvl w:val="0"/>
                <w:numId w:val="24"/>
              </w:numPr>
            </w:pPr>
            <w:r w:rsidRPr="00A870A6">
              <w:t>If the RBA ceases publication of a 10 year yield estimate, we will extrapolate the RBA estimate to 10 years using:</w:t>
            </w:r>
          </w:p>
          <w:p w:rsidR="00A870A6" w:rsidRPr="00A870A6" w:rsidRDefault="00A870A6" w:rsidP="00A870A6">
            <w:pPr>
              <w:pStyle w:val="AERbulletlistfirststyle"/>
            </w:pPr>
            <w:r w:rsidRPr="00A870A6">
              <w:t>if available, the margin between spreads in the Bloomberg curve,</w:t>
            </w:r>
            <w:r w:rsidRPr="00A870A6">
              <w:rPr>
                <w:rStyle w:val="FootnoteReference"/>
              </w:rPr>
              <w:footnoteReference w:id="1485"/>
            </w:r>
            <w:r w:rsidRPr="00A870A6">
              <w:t xml:space="preserve"> from the RBA's longest published target term to 10 years</w:t>
            </w:r>
          </w:p>
          <w:p w:rsidR="00A870A6" w:rsidRPr="00A870A6" w:rsidRDefault="00A870A6" w:rsidP="00A870A6">
            <w:pPr>
              <w:pStyle w:val="AERbulletlistfirststyle"/>
            </w:pPr>
            <w:r w:rsidRPr="00A870A6">
              <w:t>otherwise, the actual CGS margin from the RBA's longest published estimate to 10 years, plus the average DRP spread for the same term margin over the last month prior to the end of its publication.</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The RBA commences publication of daily estimates.</w:t>
            </w:r>
          </w:p>
        </w:tc>
        <w:tc>
          <w:tcPr>
            <w:tcW w:w="3539" w:type="pct"/>
          </w:tcPr>
          <w:p w:rsidR="00A870A6" w:rsidRPr="00A870A6" w:rsidRDefault="00A870A6" w:rsidP="00CC7A1C">
            <w:pPr>
              <w:numPr>
                <w:ilvl w:val="0"/>
                <w:numId w:val="24"/>
              </w:numPr>
            </w:pPr>
            <w:r w:rsidRPr="00A870A6">
              <w:t>We will cease interpolating the RBA monthly yields. Instead, we will estimate both the RBA yield and the RBA year extrapolation margin (used with the BVAL curve) using these daily estimates.</w:t>
            </w:r>
          </w:p>
        </w:tc>
      </w:tr>
      <w:tr w:rsidR="00A870A6" w:rsidRPr="00BB7AB1" w:rsidTr="0016738D">
        <w:tc>
          <w:tcPr>
            <w:tcW w:w="1461" w:type="pct"/>
          </w:tcPr>
          <w:p w:rsidR="00A870A6" w:rsidRPr="00A870A6" w:rsidRDefault="00A870A6" w:rsidP="00CC7A1C">
            <w:pPr>
              <w:numPr>
                <w:ilvl w:val="0"/>
                <w:numId w:val="24"/>
              </w:numPr>
            </w:pPr>
            <w:r w:rsidRPr="00A870A6">
              <w:t>Either Bloomberg or the RBA publishes a BBB+ or utilities specific yield curve.</w:t>
            </w:r>
          </w:p>
        </w:tc>
        <w:tc>
          <w:tcPr>
            <w:tcW w:w="3539" w:type="pct"/>
          </w:tcPr>
          <w:p w:rsidR="00A870A6" w:rsidRPr="00A870A6" w:rsidRDefault="00A870A6" w:rsidP="00CC7A1C">
            <w:pPr>
              <w:numPr>
                <w:ilvl w:val="0"/>
                <w:numId w:val="24"/>
              </w:numPr>
            </w:pPr>
            <w:r w:rsidRPr="00A870A6">
              <w:t>We will adopt the BBB+ or utilities curve in place of the provider's existing curve, on the basis that it is a closer fit to our benchmark efficient entity.</w:t>
            </w:r>
          </w:p>
        </w:tc>
      </w:tr>
    </w:tbl>
    <w:p w:rsidR="00A870A6" w:rsidRPr="00A870A6" w:rsidRDefault="00A870A6" w:rsidP="00A870A6">
      <w:pPr>
        <w:pStyle w:val="AERtablesource"/>
      </w:pPr>
      <w:r w:rsidRPr="00A870A6">
        <w:t>Source:</w:t>
      </w:r>
      <w:r w:rsidRPr="00A870A6">
        <w:tab/>
        <w:t>AER analysis.</w:t>
      </w:r>
    </w:p>
    <w:p w:rsidR="00A870A6" w:rsidRPr="00A870A6" w:rsidRDefault="00A870A6" w:rsidP="00A870A6">
      <w:r w:rsidRPr="00A870A6">
        <w:t>For this final decision, we have re-worded the contingency for the scenario where either the RBA or Bloomberg ceases publication of Australian yield curves that reflect a broad BBB rating. Specifically, we have clarified that this contingency will apply whether the cessation of publication is temporary (</w:t>
      </w:r>
      <w:r w:rsidR="00410AB6" w:rsidRPr="00A870A6">
        <w:t>i.e.</w:t>
      </w:r>
      <w:r w:rsidRPr="00A870A6">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A870A6" w:rsidRPr="00A870A6" w:rsidRDefault="00A870A6" w:rsidP="00A870A6">
      <w:r w:rsidRPr="00A870A6">
        <w:t>In general, we have decided on these contingencies based on a series of guiding principles. These are that the contingency must:</w:t>
      </w:r>
    </w:p>
    <w:p w:rsidR="00A870A6" w:rsidRPr="00A870A6" w:rsidRDefault="00A870A6" w:rsidP="00A870A6">
      <w:pPr>
        <w:pStyle w:val="AERbulletlistfirststyle"/>
      </w:pPr>
      <w:r w:rsidRPr="00A870A6">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A870A6" w:rsidRPr="00A870A6" w:rsidRDefault="00A870A6" w:rsidP="00A870A6">
      <w:pPr>
        <w:pStyle w:val="AERbulletlistfirststyle"/>
      </w:pPr>
      <w:r w:rsidRPr="00A870A6">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870A6" w:rsidRPr="00A870A6" w:rsidRDefault="00A870A6" w:rsidP="00A870A6">
      <w:pPr>
        <w:pStyle w:val="AERbulletlistfirststyle"/>
      </w:pPr>
      <w:r w:rsidRPr="00A870A6">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870A6">
        <w:rPr>
          <w:rStyle w:val="FootnoteReference"/>
        </w:rPr>
        <w:footnoteReference w:id="1486"/>
      </w:r>
      <w:r w:rsidRPr="00A870A6">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7151C3" w:rsidRDefault="007151C3" w:rsidP="00A870A6">
      <w:pPr>
        <w:pStyle w:val="HeadingBoldItalic"/>
      </w:pPr>
    </w:p>
    <w:p w:rsidR="00A870A6" w:rsidRPr="00A870A6" w:rsidRDefault="00A870A6" w:rsidP="00A870A6">
      <w:pPr>
        <w:pStyle w:val="HeadingBoldItalic"/>
      </w:pPr>
      <w:bookmarkStart w:id="593" w:name="_Toc480460949"/>
      <w:r w:rsidRPr="00A870A6">
        <w:t>New issue premium</w:t>
      </w:r>
      <w:bookmarkEnd w:id="593"/>
    </w:p>
    <w:p w:rsidR="00A870A6" w:rsidRPr="00A870A6" w:rsidRDefault="00A870A6" w:rsidP="00A870A6">
      <w:r w:rsidRPr="00A870A6">
        <w:t>We accept AusNet Services' regulatory proposal to not include an allowance for the new issue premium. However, we do not agree with its commentary that excluding a new issue premium makes its proposed return on debt 'conservative'.</w:t>
      </w:r>
      <w:r w:rsidRPr="00A870A6">
        <w:rPr>
          <w:rStyle w:val="FootnoteReference"/>
        </w:rPr>
        <w:footnoteReference w:id="1487"/>
      </w:r>
    </w:p>
    <w:p w:rsidR="00A870A6" w:rsidRPr="00A870A6" w:rsidRDefault="00A870A6" w:rsidP="00A870A6">
      <w:r w:rsidRPr="00A870A6">
        <w:t>We continue to be satisfied our current approach, without providing an uplift for a new issue premium,</w:t>
      </w:r>
      <w:r w:rsidRPr="00A870A6">
        <w:rPr>
          <w:rStyle w:val="FootnoteReference"/>
        </w:rPr>
        <w:footnoteReference w:id="1488"/>
      </w:r>
      <w:r w:rsidRPr="00A870A6">
        <w:t xml:space="preserve"> contributes to the achievement of the ARORO. In particular, we are satisfied it is commensurate with the efficient financing costs of a benchmark efficient entity.</w:t>
      </w:r>
      <w:r w:rsidRPr="00A870A6">
        <w:rPr>
          <w:rStyle w:val="FootnoteReference"/>
        </w:rPr>
        <w:footnoteReference w:id="1489"/>
      </w:r>
      <w:r w:rsidRPr="00A870A6">
        <w:t xml:space="preserve"> The main reasons for our position are:</w:t>
      </w:r>
    </w:p>
    <w:p w:rsidR="00A870A6" w:rsidRPr="00A870A6" w:rsidRDefault="00A870A6" w:rsidP="00A870A6">
      <w:pPr>
        <w:pStyle w:val="AERbulletlistfirststyle"/>
      </w:pPr>
      <w:r w:rsidRPr="00A870A6">
        <w:t>Conceptually, we consider that a benchmark efficient entity would not face a new issue premium as part of its efficient financing costs.</w:t>
      </w:r>
    </w:p>
    <w:p w:rsidR="00A870A6" w:rsidRPr="00A870A6" w:rsidRDefault="00A870A6" w:rsidP="00A870A6">
      <w:pPr>
        <w:pStyle w:val="AERbulletlistfirststyle"/>
      </w:pPr>
      <w:r w:rsidRPr="00A870A6">
        <w:t>The evidence before us indicates that our return on debt allowance already appropriately compensates a benchmark efficient entity overall for its efficient financing costs.</w:t>
      </w:r>
    </w:p>
    <w:p w:rsidR="00A870A6" w:rsidRPr="00A870A6" w:rsidRDefault="00A870A6" w:rsidP="00A870A6">
      <w:pPr>
        <w:pStyle w:val="AERbulletlistfirststyle"/>
      </w:pPr>
      <w:r w:rsidRPr="00A870A6">
        <w:t>We consider that the empirical evidence on the new issue premium is inconclusive in general and that there is little consensus among experts on how to measure potential new issue premium.</w:t>
      </w:r>
    </w:p>
    <w:p w:rsidR="00A870A6" w:rsidRPr="00A870A6" w:rsidRDefault="00A870A6" w:rsidP="00A870A6">
      <w:pPr>
        <w:pStyle w:val="AERbulletlistfirststyle"/>
      </w:pPr>
      <w:r w:rsidRPr="00A870A6">
        <w:t>We are unaware of any academic literature on the new issue premium in the Australian market. On behalf of several service providers, CEG conducted an empirical analysis on the Australian market.</w:t>
      </w:r>
      <w:r w:rsidRPr="00A870A6">
        <w:rPr>
          <w:rStyle w:val="FootnoteReference"/>
        </w:rPr>
        <w:footnoteReference w:id="1490"/>
      </w:r>
      <w:r w:rsidRPr="00A870A6">
        <w:t xml:space="preserve"> However, we have concerns with CEG's methodology, which we do not consider CEG has satisfactorily addressed.</w:t>
      </w:r>
      <w:r w:rsidRPr="00A870A6">
        <w:rPr>
          <w:rStyle w:val="FootnoteReference"/>
        </w:rPr>
        <w:footnoteReference w:id="1491"/>
      </w:r>
    </w:p>
    <w:p w:rsidR="00A870A6" w:rsidRPr="00A870A6" w:rsidRDefault="00A870A6" w:rsidP="00A870A6">
      <w:r w:rsidRPr="00A870A6">
        <w:t>For a more detailed explanation of our reasons, see Appendix I of our final decision for United Energy.</w:t>
      </w:r>
      <w:r w:rsidRPr="00A870A6">
        <w:rPr>
          <w:rStyle w:val="FootnoteReference"/>
        </w:rPr>
        <w:footnoteReference w:id="1492"/>
      </w:r>
    </w:p>
    <w:p w:rsidR="00A870A6" w:rsidRPr="00A870A6" w:rsidRDefault="00A870A6" w:rsidP="00A870A6">
      <w:pPr>
        <w:pStyle w:val="HeadingBoldItalic"/>
      </w:pPr>
      <w:bookmarkStart w:id="594" w:name="_Toc480460950"/>
      <w:r w:rsidRPr="00A870A6">
        <w:t>Averaging periods</w:t>
      </w:r>
      <w:bookmarkEnd w:id="594"/>
      <w:r w:rsidRPr="00A870A6">
        <w:t xml:space="preserve"> </w:t>
      </w:r>
    </w:p>
    <w:p w:rsidR="00A870A6" w:rsidRPr="00A870A6" w:rsidRDefault="00A870A6" w:rsidP="00A870A6">
      <w:r w:rsidRPr="00A870A6">
        <w:t>Our final decision is to accept AusNet Services' proposed debt averaging periods for 2017 to 2022.</w:t>
      </w:r>
      <w:r w:rsidRPr="00A870A6">
        <w:rPr>
          <w:rStyle w:val="FootnoteReference"/>
        </w:rPr>
        <w:footnoteReference w:id="1493"/>
      </w:r>
      <w:r w:rsidRPr="00A870A6">
        <w:t xml:space="preserve"> </w:t>
      </w:r>
    </w:p>
    <w:p w:rsidR="00A870A6" w:rsidRPr="00A870A6" w:rsidRDefault="00A870A6" w:rsidP="00A870A6">
      <w:r w:rsidRPr="00A870A6">
        <w:t xml:space="preserve">We specify these averaging periods for the 2017 to 2022 regulatory </w:t>
      </w:r>
      <w:r w:rsidR="00A847F7">
        <w:t>years in confidential Appendix M</w:t>
      </w:r>
      <w:r w:rsidRPr="00A870A6">
        <w:t>. This is because our practice is to keep the dates of averaging periods confidential until they have expired.</w:t>
      </w:r>
    </w:p>
    <w:p w:rsidR="00A870A6" w:rsidRPr="00A870A6" w:rsidRDefault="00A870A6" w:rsidP="00A870A6">
      <w:r w:rsidRPr="00A870A6">
        <w:t>In the Guideline, we proposed that service providers could nominate averaging periods of 10 or more consecutive business days up to a maximum of 12 months.</w:t>
      </w:r>
      <w:r w:rsidRPr="00A870A6">
        <w:rPr>
          <w:rStyle w:val="FootnoteReference"/>
        </w:rPr>
        <w:footnoteReference w:id="1494"/>
      </w:r>
      <w:r w:rsidRPr="00A870A6">
        <w:t xml:space="preserve"> We also proposed that an averaging period should satisfy certain conditions. We developed these conditions so that the application of the averaging period contributes to the achievement of the ARORO.</w:t>
      </w:r>
      <w:r w:rsidRPr="00A870A6">
        <w:rPr>
          <w:rStyle w:val="FootnoteReference"/>
        </w:rPr>
        <w:footnoteReference w:id="1495"/>
      </w:r>
    </w:p>
    <w:p w:rsidR="00A870A6" w:rsidRPr="00A870A6" w:rsidRDefault="00A870A6" w:rsidP="00A870A6">
      <w:r w:rsidRPr="00A870A6">
        <w:t>In general, when assessing service providers' proposed averaging periods, we applied the conditions we proposed in the Guideline, except for one condition that we do not consider is necessary to achieve the ARORO. This condition was that averaging periods should be as close as practical to the commencement of each regulatory year. We remain of the view that the remaining Guideline conditions are important and necessary to promote the ARORO. Those conditions include that at the time the period is nominated all dates in the averaging period must take place in the future, and that all averaging periods should be specified prior to the commencement of the regulatory control or access arrangement period. These conditions, respectively, help to ensure that the return on debt resulting from the averaging period is unbiased and the annual debt update can be practically and automatically applied (as required by the rules).</w:t>
      </w:r>
    </w:p>
    <w:p w:rsidR="00A870A6" w:rsidRPr="00A870A6" w:rsidRDefault="00A870A6" w:rsidP="00CC7A1C">
      <w:pPr>
        <w:numPr>
          <w:ilvl w:val="0"/>
          <w:numId w:val="24"/>
        </w:numPr>
      </w:pPr>
      <w:r w:rsidRPr="00A870A6">
        <w:fldChar w:fldCharType="begin"/>
      </w:r>
      <w:r w:rsidRPr="00A870A6">
        <w:instrText xml:space="preserve"> REF _Ref433327592 \h </w:instrText>
      </w:r>
      <w:r w:rsidRPr="00A870A6">
        <w:fldChar w:fldCharType="separate"/>
      </w:r>
      <w:r w:rsidR="006B4A74" w:rsidRPr="00A870A6">
        <w:t xml:space="preserve">Table </w:t>
      </w:r>
      <w:r w:rsidR="006B4A74">
        <w:rPr>
          <w:noProof/>
        </w:rPr>
        <w:t>3</w:t>
      </w:r>
      <w:r w:rsidR="006B4A74">
        <w:noBreakHyphen/>
      </w:r>
      <w:r w:rsidR="006B4A74">
        <w:rPr>
          <w:noProof/>
        </w:rPr>
        <w:t>44</w:t>
      </w:r>
      <w:r w:rsidRPr="00A870A6">
        <w:fldChar w:fldCharType="end"/>
      </w:r>
      <w:r w:rsidRPr="00A870A6">
        <w:t xml:space="preserve"> sets out why we consider an averaging period that meets the remaining conditions in the Guideline contributes to the achievement of the ARORO. It also summarises our assessment of AusNet Services’ proposed debt averaging periods against these conditions. </w:t>
      </w:r>
    </w:p>
    <w:p w:rsidR="00A870A6" w:rsidRPr="00A870A6" w:rsidRDefault="00A870A6" w:rsidP="00A870A6">
      <w:pPr>
        <w:pStyle w:val="Caption"/>
      </w:pPr>
      <w:bookmarkStart w:id="595" w:name="_Ref433327592"/>
      <w:r w:rsidRPr="00A870A6">
        <w:t xml:space="preserve">Table </w:t>
      </w:r>
      <w:fldSimple w:instr=" STYLEREF 1 \s ">
        <w:r w:rsidR="006B4A74">
          <w:rPr>
            <w:noProof/>
          </w:rPr>
          <w:t>3</w:t>
        </w:r>
      </w:fldSimple>
      <w:r w:rsidR="008F29C8">
        <w:noBreakHyphen/>
      </w:r>
      <w:fldSimple w:instr=" SEQ Table \* ARABIC \s 1 ">
        <w:r w:rsidR="006B4A74">
          <w:rPr>
            <w:noProof/>
          </w:rPr>
          <w:t>44</w:t>
        </w:r>
      </w:fldSimple>
      <w:bookmarkEnd w:id="595"/>
      <w:r w:rsidRPr="00A870A6">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A870A6" w:rsidTr="0016738D">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A870A6" w:rsidRPr="00A870A6" w:rsidRDefault="00A870A6" w:rsidP="00A870A6">
            <w:r w:rsidRPr="00A870A6">
              <w:t>Condition</w:t>
            </w:r>
          </w:p>
        </w:tc>
        <w:tc>
          <w:tcPr>
            <w:tcW w:w="4647" w:type="dxa"/>
          </w:tcPr>
          <w:p w:rsidR="00A870A6" w:rsidRPr="00A870A6" w:rsidRDefault="00A870A6" w:rsidP="00A870A6">
            <w:r w:rsidRPr="00A870A6">
              <w:t>Reasons for condition</w:t>
            </w:r>
          </w:p>
        </w:tc>
        <w:tc>
          <w:tcPr>
            <w:tcW w:w="1425" w:type="dxa"/>
          </w:tcPr>
          <w:p w:rsidR="00A870A6" w:rsidRPr="00A870A6" w:rsidRDefault="00A870A6" w:rsidP="00A870A6">
            <w:r w:rsidRPr="00A870A6">
              <w:t>Condition met?</w:t>
            </w:r>
          </w:p>
        </w:tc>
      </w:tr>
      <w:tr w:rsidR="00A870A6" w:rsidTr="0016738D">
        <w:trPr>
          <w:trHeight w:val="143"/>
        </w:trPr>
        <w:tc>
          <w:tcPr>
            <w:tcW w:w="2591" w:type="dxa"/>
          </w:tcPr>
          <w:p w:rsidR="00A870A6" w:rsidRPr="00A870A6" w:rsidRDefault="00A870A6" w:rsidP="00A870A6">
            <w:r w:rsidRPr="00A870A6">
              <w:t>Observed over a period of 10 or more consecutive business days up to a maximum of 12 months</w:t>
            </w:r>
          </w:p>
        </w:tc>
        <w:tc>
          <w:tcPr>
            <w:tcW w:w="4647" w:type="dxa"/>
          </w:tcPr>
          <w:p w:rsidR="00A870A6" w:rsidRPr="00A870A6" w:rsidRDefault="00A870A6" w:rsidP="00A870A6">
            <w:r w:rsidRPr="00A870A6">
              <w:t>Averaging daily estimates over a number of days smooths out short term volatility in the annually updated return on debt allowance.</w:t>
            </w:r>
          </w:p>
        </w:tc>
        <w:tc>
          <w:tcPr>
            <w:tcW w:w="1425" w:type="dxa"/>
          </w:tcPr>
          <w:p w:rsidR="00A870A6" w:rsidRPr="00A870A6" w:rsidRDefault="00A870A6" w:rsidP="00A870A6">
            <w:r w:rsidRPr="00A870A6">
              <w:t>Yes</w:t>
            </w:r>
          </w:p>
        </w:tc>
      </w:tr>
      <w:tr w:rsidR="00A870A6" w:rsidTr="0016738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A870A6" w:rsidRPr="00A870A6" w:rsidRDefault="00A870A6" w:rsidP="00A870A6">
            <w:r w:rsidRPr="00A870A6">
              <w:t>It should be specified prior to the commencement of the regulatory control period.</w:t>
            </w:r>
          </w:p>
        </w:tc>
        <w:tc>
          <w:tcPr>
            <w:tcW w:w="4647" w:type="dxa"/>
          </w:tcPr>
          <w:p w:rsidR="00A870A6" w:rsidRPr="00A870A6" w:rsidRDefault="00A870A6" w:rsidP="00A870A6">
            <w:r w:rsidRPr="00A870A6">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A870A6" w:rsidRPr="00A870A6" w:rsidRDefault="00A870A6" w:rsidP="00A870A6">
            <w:r w:rsidRPr="00A870A6">
              <w:t>Yes</w:t>
            </w:r>
          </w:p>
        </w:tc>
      </w:tr>
      <w:tr w:rsidR="00A870A6" w:rsidTr="0016738D">
        <w:trPr>
          <w:trHeight w:val="143"/>
        </w:trPr>
        <w:tc>
          <w:tcPr>
            <w:tcW w:w="2591" w:type="dxa"/>
          </w:tcPr>
          <w:p w:rsidR="00A870A6" w:rsidRPr="00A870A6" w:rsidRDefault="00A870A6" w:rsidP="00A870A6">
            <w:r w:rsidRPr="00A870A6">
              <w:t>At the time it is nominated, all dates in the averaging period must take place in the future.</w:t>
            </w:r>
          </w:p>
        </w:tc>
        <w:tc>
          <w:tcPr>
            <w:tcW w:w="4647" w:type="dxa"/>
          </w:tcPr>
          <w:p w:rsidR="00A870A6" w:rsidRPr="00A870A6" w:rsidRDefault="00A870A6" w:rsidP="00A870A6">
            <w:r w:rsidRPr="00A870A6">
              <w:t>If a regulated service provider can select an averaging period by looking at historical yields, it may introduce an upward bias.</w:t>
            </w:r>
            <w:r w:rsidRPr="00A870A6">
              <w:rPr>
                <w:rStyle w:val="FootnoteReference"/>
              </w:rPr>
              <w:footnoteReference w:id="1496"/>
            </w:r>
          </w:p>
        </w:tc>
        <w:tc>
          <w:tcPr>
            <w:tcW w:w="1425" w:type="dxa"/>
          </w:tcPr>
          <w:p w:rsidR="00A870A6" w:rsidRPr="00A870A6" w:rsidRDefault="00A870A6" w:rsidP="00A870A6">
            <w:r w:rsidRPr="00A870A6">
              <w:t>Yes</w:t>
            </w:r>
          </w:p>
        </w:tc>
      </w:tr>
      <w:tr w:rsidR="00A870A6" w:rsidTr="0016738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A870A6" w:rsidRPr="00A870A6" w:rsidRDefault="00A870A6" w:rsidP="00A870A6">
            <w:r w:rsidRPr="00A870A6">
              <w:t>An averaging period needs to be specified for each regulatory year within a regulatory control period.</w:t>
            </w:r>
          </w:p>
        </w:tc>
        <w:tc>
          <w:tcPr>
            <w:tcW w:w="4647" w:type="dxa"/>
          </w:tcPr>
          <w:p w:rsidR="00A870A6" w:rsidRPr="00A870A6" w:rsidRDefault="00A870A6" w:rsidP="00A870A6">
            <w:r w:rsidRPr="00A870A6">
              <w:t>This allows for the annual debt update. The annual debt update reduces the potential for a mismatch between the allowed and actual return on debt for the benchmark efficient entity.</w:t>
            </w:r>
          </w:p>
        </w:tc>
        <w:tc>
          <w:tcPr>
            <w:tcW w:w="1425" w:type="dxa"/>
          </w:tcPr>
          <w:p w:rsidR="00A870A6" w:rsidRPr="00A870A6" w:rsidRDefault="00A870A6" w:rsidP="00A870A6">
            <w:r w:rsidRPr="00A870A6">
              <w:t>Yes</w:t>
            </w:r>
          </w:p>
        </w:tc>
      </w:tr>
      <w:tr w:rsidR="00A870A6" w:rsidTr="0016738D">
        <w:trPr>
          <w:trHeight w:val="143"/>
        </w:trPr>
        <w:tc>
          <w:tcPr>
            <w:tcW w:w="2591" w:type="dxa"/>
          </w:tcPr>
          <w:p w:rsidR="00A870A6" w:rsidRPr="00A870A6" w:rsidRDefault="00A870A6" w:rsidP="00A870A6">
            <w:r w:rsidRPr="00A870A6">
              <w:t>The proposed averaging periods for different regulatory years are not required to be identical but should not overlap.</w:t>
            </w:r>
          </w:p>
        </w:tc>
        <w:tc>
          <w:tcPr>
            <w:tcW w:w="4647" w:type="dxa"/>
          </w:tcPr>
          <w:p w:rsidR="00A870A6" w:rsidRPr="00A870A6" w:rsidRDefault="00A870A6" w:rsidP="00A870A6">
            <w:r w:rsidRPr="00A870A6">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A870A6" w:rsidRPr="00A870A6" w:rsidRDefault="00A870A6" w:rsidP="00A870A6">
            <w:r w:rsidRPr="00A870A6">
              <w:t>Yes</w:t>
            </w:r>
          </w:p>
        </w:tc>
      </w:tr>
      <w:tr w:rsidR="00A870A6" w:rsidTr="0016738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A870A6" w:rsidRPr="00A870A6" w:rsidRDefault="00A870A6" w:rsidP="00A870A6">
            <w:r w:rsidRPr="00A870A6">
              <w:t>The nominal return on debt is to be updated annually using the agreed averaging period for the relevant regulatory year.</w:t>
            </w:r>
          </w:p>
        </w:tc>
        <w:tc>
          <w:tcPr>
            <w:tcW w:w="4647" w:type="dxa"/>
          </w:tcPr>
          <w:p w:rsidR="00A870A6" w:rsidRPr="00A870A6" w:rsidRDefault="00A870A6" w:rsidP="00A870A6">
            <w:r w:rsidRPr="00A870A6">
              <w:t>This prevents a service provider from introducing bias by only updating annually using the agreed averaging period when it is advantageous for it to do so.</w:t>
            </w:r>
          </w:p>
        </w:tc>
        <w:tc>
          <w:tcPr>
            <w:tcW w:w="1425" w:type="dxa"/>
          </w:tcPr>
          <w:p w:rsidR="00A870A6" w:rsidRPr="00A870A6" w:rsidRDefault="00A870A6" w:rsidP="00A870A6">
            <w:r w:rsidRPr="00A870A6">
              <w:t>Yes</w:t>
            </w:r>
          </w:p>
        </w:tc>
      </w:tr>
      <w:tr w:rsidR="00A870A6" w:rsidTr="0016738D">
        <w:trPr>
          <w:trHeight w:val="143"/>
        </w:trPr>
        <w:tc>
          <w:tcPr>
            <w:tcW w:w="2591" w:type="dxa"/>
          </w:tcPr>
          <w:p w:rsidR="00A870A6" w:rsidRPr="00A870A6" w:rsidRDefault="00A870A6" w:rsidP="00A870A6">
            <w:r w:rsidRPr="00A870A6">
              <w:t>Each agreed averaging period is to be confidential.</w:t>
            </w:r>
          </w:p>
        </w:tc>
        <w:tc>
          <w:tcPr>
            <w:tcW w:w="4647" w:type="dxa"/>
          </w:tcPr>
          <w:p w:rsidR="00A870A6" w:rsidRPr="00A870A6" w:rsidRDefault="00A870A6" w:rsidP="00A870A6">
            <w:r w:rsidRPr="00A870A6">
              <w:t>This facilitates service providers organising their financing arrangements without market participants being aware of the averaging periods. Accordingly, in practice we keep averaging periods confidential until they expire.</w:t>
            </w:r>
          </w:p>
        </w:tc>
        <w:tc>
          <w:tcPr>
            <w:tcW w:w="1425" w:type="dxa"/>
          </w:tcPr>
          <w:p w:rsidR="00A870A6" w:rsidRPr="00A870A6" w:rsidRDefault="00A870A6" w:rsidP="00A870A6">
            <w:r w:rsidRPr="00A870A6">
              <w:t>Yes</w:t>
            </w:r>
          </w:p>
        </w:tc>
      </w:tr>
    </w:tbl>
    <w:p w:rsidR="00A870A6" w:rsidRPr="00A870A6" w:rsidRDefault="00A870A6" w:rsidP="00A870A6">
      <w:pPr>
        <w:pStyle w:val="AERtablesource"/>
      </w:pPr>
      <w:r w:rsidRPr="00A870A6">
        <w:t xml:space="preserve">Source: </w:t>
      </w:r>
      <w:r w:rsidRPr="00A870A6">
        <w:tab/>
        <w:t xml:space="preserve">AER, </w:t>
      </w:r>
      <w:r w:rsidRPr="00A870A6">
        <w:rPr>
          <w:rStyle w:val="AERtextitalic"/>
        </w:rPr>
        <w:t>Rate of return guideline</w:t>
      </w:r>
      <w:r w:rsidRPr="00A870A6">
        <w:t xml:space="preserve">, December 2013, pp. 21-22; AusNet Services, Transmission revenue review, Appendix 10I: Averaging period letter (Confidential), 30 October 2015; AusNet Services, </w:t>
      </w:r>
      <w:r w:rsidRPr="00A870A6">
        <w:rPr>
          <w:rStyle w:val="Emphasis"/>
        </w:rPr>
        <w:t xml:space="preserve">Nominated debt averaging periods for AusNet Services’ 2017–22 transmission revenue reset, </w:t>
      </w:r>
      <w:r w:rsidRPr="00A870A6">
        <w:t>2 June 2016; AER analysis.</w:t>
      </w:r>
    </w:p>
    <w:p w:rsidR="00A870A6" w:rsidRPr="00A870A6" w:rsidRDefault="00A870A6" w:rsidP="00A870A6">
      <w:r w:rsidRPr="00A870A6">
        <w:t>In assessing AusNet Services' proposed debt averaging periods, we considered the timeframe within which each period should occur. In the Guideline, we proposed that service providers could nominate averaging periods of 10 or more consecutive business days up to a maximum of 12 months. However, the timing of publishing transmission prices affects how late an averaging period can end and still be implemented in practice. Accordingly, under the 'Annual debt update process' section, we consider an averaging period for estimating AusNet Services' allowed return on debt for regulatory year t should fall within the following timeframe:</w:t>
      </w:r>
    </w:p>
    <w:p w:rsidR="00A870A6" w:rsidRPr="00A870A6" w:rsidRDefault="00A870A6" w:rsidP="00A870A6">
      <w:pPr>
        <w:pStyle w:val="AERbulletlistfirststyle"/>
      </w:pPr>
      <w:r w:rsidRPr="00A870A6">
        <w:t>end no later than 15 business days before the 6th business day of February in regulatory year t-1</w:t>
      </w:r>
    </w:p>
    <w:p w:rsidR="00A870A6" w:rsidRPr="00A870A6" w:rsidRDefault="00A870A6" w:rsidP="00A870A6">
      <w:pPr>
        <w:pStyle w:val="AERbulletlistfirststyle"/>
      </w:pPr>
      <w:r w:rsidRPr="00A870A6">
        <w:t>commence no earlier than 12 months plus 15 business days before the 6th business day of February in regulatory year t-1.</w:t>
      </w:r>
      <w:r w:rsidRPr="00A870A6">
        <w:rPr>
          <w:rStyle w:val="FootnoteReference"/>
        </w:rPr>
        <w:footnoteReference w:id="1497"/>
      </w:r>
    </w:p>
    <w:p w:rsidR="00A870A6" w:rsidRPr="00A870A6" w:rsidRDefault="00A870A6" w:rsidP="00A870A6">
      <w:r w:rsidRPr="00A870A6">
        <w:t>We consider AusNet Services' proposed averaging periods for 2017 to 2022 can be practically applied because they fall within this timeframe. We discuss this in more detail in the 'Annual debt update process' section.</w:t>
      </w:r>
    </w:p>
    <w:p w:rsidR="00A870A6" w:rsidRPr="00A870A6" w:rsidRDefault="00A870A6" w:rsidP="00A870A6">
      <w:pPr>
        <w:pStyle w:val="HeadingBoldItalic"/>
      </w:pPr>
      <w:bookmarkStart w:id="596" w:name="_Toc480460951"/>
      <w:r w:rsidRPr="00A870A6">
        <w:t>Annual debt update process</w:t>
      </w:r>
      <w:bookmarkEnd w:id="596"/>
      <w:r w:rsidRPr="00A870A6">
        <w:t xml:space="preserve"> </w:t>
      </w:r>
    </w:p>
    <w:p w:rsidR="00A870A6" w:rsidRPr="00A870A6" w:rsidRDefault="00A870A6" w:rsidP="00CC7A1C">
      <w:pPr>
        <w:numPr>
          <w:ilvl w:val="0"/>
          <w:numId w:val="24"/>
        </w:numPr>
      </w:pPr>
      <w:r w:rsidRPr="00A870A6">
        <w:t xml:space="preserve">The general process we propose to adopt for the annual debt update for AusNet Services is set out in </w:t>
      </w:r>
      <w:r w:rsidRPr="00A870A6">
        <w:fldChar w:fldCharType="begin"/>
      </w:r>
      <w:r w:rsidRPr="00A870A6">
        <w:instrText xml:space="preserve"> REF _Ref417964671 \h </w:instrText>
      </w:r>
      <w:r w:rsidRPr="00A870A6">
        <w:fldChar w:fldCharType="separate"/>
      </w:r>
      <w:r w:rsidR="006B4A74" w:rsidRPr="00A870A6">
        <w:t xml:space="preserve">Table </w:t>
      </w:r>
      <w:r w:rsidR="006B4A74">
        <w:rPr>
          <w:noProof/>
        </w:rPr>
        <w:t>3</w:t>
      </w:r>
      <w:r w:rsidR="006B4A74">
        <w:noBreakHyphen/>
      </w:r>
      <w:r w:rsidR="006B4A74">
        <w:rPr>
          <w:noProof/>
        </w:rPr>
        <w:t>45</w:t>
      </w:r>
      <w:r w:rsidRPr="00A870A6">
        <w:fldChar w:fldCharType="end"/>
      </w:r>
      <w:r w:rsidRPr="00A870A6">
        <w:t xml:space="preserve">. </w:t>
      </w:r>
    </w:p>
    <w:p w:rsidR="00A870A6" w:rsidRPr="00A870A6" w:rsidRDefault="00A870A6" w:rsidP="00A870A6">
      <w:pPr>
        <w:pStyle w:val="Caption"/>
      </w:pPr>
      <w:bookmarkStart w:id="597" w:name="_Ref417964671"/>
      <w:r w:rsidRPr="00A870A6">
        <w:t xml:space="preserve">Table </w:t>
      </w:r>
      <w:fldSimple w:instr=" STYLEREF 1 \s ">
        <w:r w:rsidR="006B4A74">
          <w:rPr>
            <w:noProof/>
          </w:rPr>
          <w:t>3</w:t>
        </w:r>
      </w:fldSimple>
      <w:r w:rsidR="008F29C8">
        <w:noBreakHyphen/>
      </w:r>
      <w:fldSimple w:instr=" SEQ Table \* ARABIC \s 1 ">
        <w:r w:rsidR="006B4A74">
          <w:rPr>
            <w:noProof/>
          </w:rPr>
          <w:t>45</w:t>
        </w:r>
      </w:fldSimple>
      <w:bookmarkEnd w:id="597"/>
      <w:r w:rsidRPr="00A870A6">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A870A6" w:rsidRPr="00616FA2" w:rsidTr="0016738D">
        <w:trPr>
          <w:cnfStyle w:val="100000000000" w:firstRow="1" w:lastRow="0" w:firstColumn="0" w:lastColumn="0" w:oddVBand="0" w:evenVBand="0" w:oddHBand="0" w:evenHBand="0" w:firstRowFirstColumn="0" w:firstRowLastColumn="0" w:lastRowFirstColumn="0" w:lastRowLastColumn="0"/>
        </w:trPr>
        <w:tc>
          <w:tcPr>
            <w:tcW w:w="374" w:type="pct"/>
          </w:tcPr>
          <w:p w:rsidR="00A870A6" w:rsidRPr="00A870A6" w:rsidRDefault="00A870A6" w:rsidP="00A870A6">
            <w:pPr>
              <w:pStyle w:val="AERtabletextleft"/>
            </w:pPr>
            <w:r w:rsidRPr="00A870A6">
              <w:t>Step</w:t>
            </w:r>
          </w:p>
        </w:tc>
        <w:tc>
          <w:tcPr>
            <w:tcW w:w="1233" w:type="pct"/>
          </w:tcPr>
          <w:p w:rsidR="00A870A6" w:rsidRPr="00A870A6" w:rsidRDefault="00A870A6" w:rsidP="00A870A6">
            <w:pPr>
              <w:pStyle w:val="AERtabletextleft"/>
            </w:pPr>
            <w:r w:rsidRPr="00A870A6">
              <w:t>Timing</w:t>
            </w:r>
          </w:p>
        </w:tc>
        <w:tc>
          <w:tcPr>
            <w:tcW w:w="1527" w:type="pct"/>
          </w:tcPr>
          <w:p w:rsidR="00A870A6" w:rsidRPr="00A870A6" w:rsidRDefault="00A870A6" w:rsidP="00A870A6">
            <w:pPr>
              <w:pStyle w:val="AERtabletextleft"/>
            </w:pPr>
            <w:r w:rsidRPr="00A870A6">
              <w:t>Description of step</w:t>
            </w:r>
          </w:p>
        </w:tc>
        <w:tc>
          <w:tcPr>
            <w:tcW w:w="1867" w:type="pct"/>
          </w:tcPr>
          <w:p w:rsidR="00A870A6" w:rsidRPr="00A870A6" w:rsidRDefault="00A870A6" w:rsidP="00A870A6">
            <w:pPr>
              <w:pStyle w:val="AERtabletextleft"/>
            </w:pPr>
            <w:r w:rsidRPr="00A870A6">
              <w:t>Reasons for timing</w:t>
            </w:r>
          </w:p>
        </w:tc>
      </w:tr>
      <w:tr w:rsidR="00A870A6" w:rsidRPr="00616FA2" w:rsidTr="0016738D">
        <w:tc>
          <w:tcPr>
            <w:tcW w:w="374" w:type="pct"/>
          </w:tcPr>
          <w:p w:rsidR="00A870A6" w:rsidRPr="00A870A6" w:rsidRDefault="00A870A6" w:rsidP="00A870A6">
            <w:pPr>
              <w:pStyle w:val="AERtabletextleft"/>
            </w:pPr>
            <w:r w:rsidRPr="00A870A6">
              <w:t>1</w:t>
            </w:r>
          </w:p>
        </w:tc>
        <w:tc>
          <w:tcPr>
            <w:tcW w:w="1233" w:type="pct"/>
          </w:tcPr>
          <w:p w:rsidR="00A870A6" w:rsidRPr="00A870A6" w:rsidRDefault="00A870A6" w:rsidP="00A870A6">
            <w:pPr>
              <w:pStyle w:val="AERtabletextleft"/>
            </w:pPr>
            <w:r w:rsidRPr="00A870A6">
              <w:t>15 business days prior the 6th business day of February each year.</w:t>
            </w:r>
            <w:r w:rsidRPr="00A870A6">
              <w:rPr>
                <w:rStyle w:val="FootnoteReference"/>
              </w:rPr>
              <w:footnoteReference w:id="1498"/>
            </w:r>
            <w:r w:rsidRPr="00A870A6">
              <w:t xml:space="preserve"> </w:t>
            </w:r>
          </w:p>
        </w:tc>
        <w:tc>
          <w:tcPr>
            <w:tcW w:w="1527" w:type="pct"/>
          </w:tcPr>
          <w:p w:rsidR="00A870A6" w:rsidRPr="00A870A6" w:rsidRDefault="00A870A6" w:rsidP="00A870A6">
            <w:pPr>
              <w:pStyle w:val="AERtabletextleft"/>
            </w:pPr>
            <w:r w:rsidRPr="00A870A6">
              <w:t>Averaging period ends on or before this date</w:t>
            </w:r>
          </w:p>
        </w:tc>
        <w:tc>
          <w:tcPr>
            <w:tcW w:w="1867" w:type="pct"/>
          </w:tcPr>
          <w:p w:rsidR="00A870A6" w:rsidRPr="00A870A6" w:rsidRDefault="00A870A6" w:rsidP="00A870A6">
            <w:pPr>
              <w:pStyle w:val="AERtabletextleft"/>
            </w:pPr>
            <w:r w:rsidRPr="00A870A6">
              <w:t>We determine the maximum practical end date of the averaging period from the timing of step 2.</w:t>
            </w:r>
          </w:p>
        </w:tc>
      </w:tr>
      <w:tr w:rsidR="00A870A6" w:rsidRPr="00616FA2" w:rsidTr="0016738D">
        <w:trPr>
          <w:cnfStyle w:val="000000010000" w:firstRow="0" w:lastRow="0" w:firstColumn="0" w:lastColumn="0" w:oddVBand="0" w:evenVBand="0" w:oddHBand="0" w:evenHBand="1" w:firstRowFirstColumn="0" w:firstRowLastColumn="0" w:lastRowFirstColumn="0" w:lastRowLastColumn="0"/>
        </w:trPr>
        <w:tc>
          <w:tcPr>
            <w:tcW w:w="374" w:type="pct"/>
          </w:tcPr>
          <w:p w:rsidR="00A870A6" w:rsidRPr="00A870A6" w:rsidRDefault="00A870A6" w:rsidP="00A870A6">
            <w:pPr>
              <w:pStyle w:val="AERtabletextleft"/>
            </w:pPr>
            <w:r w:rsidRPr="00A870A6">
              <w:t>2</w:t>
            </w:r>
          </w:p>
        </w:tc>
        <w:tc>
          <w:tcPr>
            <w:tcW w:w="1233" w:type="pct"/>
          </w:tcPr>
          <w:p w:rsidR="00A870A6" w:rsidRPr="00A870A6" w:rsidRDefault="00A870A6" w:rsidP="00A870A6">
            <w:pPr>
              <w:pStyle w:val="AERtabletextleft"/>
            </w:pPr>
            <w:r w:rsidRPr="00A870A6">
              <w:t>The 6th business day of February each year.</w:t>
            </w:r>
          </w:p>
        </w:tc>
        <w:tc>
          <w:tcPr>
            <w:tcW w:w="1527" w:type="pct"/>
          </w:tcPr>
          <w:p w:rsidR="00A870A6" w:rsidRPr="00A870A6" w:rsidRDefault="00A870A6" w:rsidP="00A870A6">
            <w:pPr>
              <w:pStyle w:val="AERtabletextleft"/>
            </w:pPr>
            <w:r w:rsidRPr="00A870A6">
              <w:t>So AusNet Services can factor this into its transmission prices, we inform it of updates on the return on debt, annual building block revenue requirement and X factor</w:t>
            </w:r>
            <w:r w:rsidRPr="00A870A6" w:rsidDel="00665E6A">
              <w:t xml:space="preserve"> </w:t>
            </w:r>
            <w:r w:rsidRPr="00A870A6">
              <w:t>that incorporates the updated return on debt</w:t>
            </w:r>
            <w:r w:rsidRPr="00A870A6" w:rsidDel="00665E6A">
              <w:t xml:space="preserve"> </w:t>
            </w:r>
          </w:p>
        </w:tc>
        <w:tc>
          <w:tcPr>
            <w:tcW w:w="1867" w:type="pct"/>
          </w:tcPr>
          <w:p w:rsidR="00A870A6" w:rsidRPr="00A870A6" w:rsidRDefault="00A870A6" w:rsidP="00A870A6">
            <w:pPr>
              <w:pStyle w:val="AERtabletextleft"/>
            </w:pPr>
            <w:r w:rsidRPr="00A870A6">
              <w:t>15 business days between steps 1 and 2 provides sufficient time for us to calculate (and provide quality assurance checks on) the updated return on debt, revenue and X factor.</w:t>
            </w:r>
          </w:p>
        </w:tc>
      </w:tr>
    </w:tbl>
    <w:p w:rsidR="00A870A6" w:rsidRPr="00A870A6" w:rsidRDefault="00A870A6" w:rsidP="00A870A6">
      <w:pPr>
        <w:pStyle w:val="AERtablesource"/>
      </w:pPr>
      <w:r w:rsidRPr="00A870A6">
        <w:t xml:space="preserve">Source: </w:t>
      </w:r>
      <w:r w:rsidRPr="00A870A6">
        <w:tab/>
        <w:t>AER analysis.</w:t>
      </w:r>
    </w:p>
    <w:p w:rsidR="00A870A6" w:rsidRPr="00A870A6" w:rsidRDefault="00A870A6" w:rsidP="00CC7A1C">
      <w:pPr>
        <w:numPr>
          <w:ilvl w:val="0"/>
          <w:numId w:val="24"/>
        </w:numPr>
      </w:pPr>
      <w:r w:rsidRPr="00A870A6">
        <w:t>Service providers typically require notification of their updated return on debt allowance and updated annual revenue requirement as these are relevant factors in determining prices for regulated services. As such, in previous determinations, we have linked our annual debt updating timelines to annual pricing approval/ publication timelines.</w:t>
      </w:r>
      <w:r w:rsidRPr="00A870A6">
        <w:rPr>
          <w:rStyle w:val="FootnoteReference"/>
        </w:rPr>
        <w:footnoteReference w:id="1499"/>
      </w:r>
    </w:p>
    <w:p w:rsidR="00A870A6" w:rsidRPr="00A870A6" w:rsidRDefault="00A870A6" w:rsidP="00A870A6">
      <w:r w:rsidRPr="00A870A6">
        <w:t>AusNet is required under the NER to publish its transmission prices by 15 May for prices to apply in the period 1 July to 30 June.</w:t>
      </w:r>
      <w:r w:rsidRPr="00A870A6">
        <w:rPr>
          <w:rStyle w:val="FootnoteReference"/>
        </w:rPr>
        <w:t xml:space="preserve"> </w:t>
      </w:r>
      <w:r w:rsidRPr="00A870A6">
        <w:rPr>
          <w:rStyle w:val="FootnoteReference"/>
        </w:rPr>
        <w:footnoteReference w:id="1500"/>
      </w:r>
      <w:r w:rsidRPr="00A870A6">
        <w:t xml:space="preserve"> For AusNet Services, this process occurs after the start of each regulatory year on 1 April. AusNet Services submitted that it requires notification of its updated return on debt allowance prior to the start of each regulatory year. This is because AusNet Services typically provides updated charges information to generators and distribution businesses at or prior to the start of the regulatory year for charges to apply in the April–June period.</w:t>
      </w:r>
      <w:r w:rsidRPr="00A870A6">
        <w:rPr>
          <w:rStyle w:val="FootnoteReference"/>
        </w:rPr>
        <w:footnoteReference w:id="1501"/>
      </w:r>
    </w:p>
    <w:p w:rsidR="00A870A6" w:rsidRPr="00A870A6" w:rsidRDefault="00A870A6" w:rsidP="00A870A6">
      <w:r w:rsidRPr="00A870A6">
        <w:t xml:space="preserve">In this </w:t>
      </w:r>
      <w:r w:rsidR="00A64A73">
        <w:t>final</w:t>
      </w:r>
      <w:r w:rsidRPr="00A870A6">
        <w:t xml:space="preserve"> decision we propose to complete our annual update debt process by the 6th business day of February. This will allow AusNet to finalise transmission prices and notify its customers of updated charges. Additionally, we consider this is consistent with the period for notifying other service providers of their updated return on debt allowance prior to the start of the regulatory year. </w:t>
      </w:r>
    </w:p>
    <w:p w:rsidR="00A870A6" w:rsidRPr="00A870A6" w:rsidRDefault="00A870A6" w:rsidP="00A870A6">
      <w:r w:rsidRPr="00A870A6">
        <w:t xml:space="preserve">The timing of publishing transmission prices affects how late an averaging period can end and still be implemented in practice. In order to implement the process outlined in </w:t>
      </w:r>
      <w:r w:rsidRPr="00A870A6">
        <w:fldChar w:fldCharType="begin"/>
      </w:r>
      <w:r w:rsidRPr="00A870A6">
        <w:instrText xml:space="preserve"> REF _Ref417964671 \h </w:instrText>
      </w:r>
      <w:r w:rsidRPr="00A870A6">
        <w:fldChar w:fldCharType="separate"/>
      </w:r>
      <w:r w:rsidR="006B4A74" w:rsidRPr="00A870A6">
        <w:t xml:space="preserve">Table </w:t>
      </w:r>
      <w:r w:rsidR="006B4A74">
        <w:rPr>
          <w:noProof/>
        </w:rPr>
        <w:t>3</w:t>
      </w:r>
      <w:r w:rsidR="006B4A74">
        <w:noBreakHyphen/>
      </w:r>
      <w:r w:rsidR="006B4A74">
        <w:rPr>
          <w:noProof/>
        </w:rPr>
        <w:t>45</w:t>
      </w:r>
      <w:r w:rsidRPr="00A870A6">
        <w:fldChar w:fldCharType="end"/>
      </w:r>
      <w:r w:rsidRPr="00A870A6">
        <w:t>, we consider an averaging period for estimating AusNet Services' allowed return on debt for regulatory year t should fall within the following timeframe:</w:t>
      </w:r>
    </w:p>
    <w:p w:rsidR="00A870A6" w:rsidRPr="00A870A6" w:rsidRDefault="00A870A6" w:rsidP="00A870A6">
      <w:pPr>
        <w:pStyle w:val="AERbulletlistfirststyle"/>
      </w:pPr>
      <w:r w:rsidRPr="00A870A6">
        <w:t>end no later than 15 business days before the 6th business day of February in regulatory year t-1</w:t>
      </w:r>
    </w:p>
    <w:p w:rsidR="00A870A6" w:rsidRPr="00A870A6" w:rsidRDefault="00A870A6" w:rsidP="00A870A6">
      <w:pPr>
        <w:pStyle w:val="AERbulletlistfirststyle"/>
      </w:pPr>
      <w:r w:rsidRPr="00A870A6">
        <w:t>commence no earlier than 12 months plus 15 business days before the 6th business day of February in regulatory year t-1.</w:t>
      </w:r>
      <w:r w:rsidRPr="00A870A6">
        <w:rPr>
          <w:rStyle w:val="FootnoteReference"/>
        </w:rPr>
        <w:footnoteReference w:id="1502"/>
      </w:r>
    </w:p>
    <w:p w:rsidR="00A870A6" w:rsidRPr="00A870A6" w:rsidRDefault="00A870A6" w:rsidP="00CC7A1C">
      <w:pPr>
        <w:numPr>
          <w:ilvl w:val="0"/>
          <w:numId w:val="24"/>
        </w:numPr>
      </w:pPr>
      <w:r w:rsidRPr="00A870A6">
        <w:t>We assess AusNet's return on debt averaging periods against these criteria and other criteria in the 'averaging periods' section of 3.4.2 and in Appendix</w:t>
      </w:r>
      <w:r w:rsidR="00A847F7">
        <w:t xml:space="preserve"> </w:t>
      </w:r>
      <w:r w:rsidR="00A847F7">
        <w:fldChar w:fldCharType="begin"/>
      </w:r>
      <w:r w:rsidR="00A847F7">
        <w:instrText xml:space="preserve"> REF _Ref456703498 \r \h </w:instrText>
      </w:r>
      <w:r w:rsidR="00A847F7">
        <w:fldChar w:fldCharType="separate"/>
      </w:r>
      <w:r w:rsidR="00A847F7">
        <w:t>M</w:t>
      </w:r>
      <w:r w:rsidR="00A847F7">
        <w:fldChar w:fldCharType="end"/>
      </w:r>
      <w:r w:rsidRPr="00A870A6">
        <w:t xml:space="preserve">. </w:t>
      </w:r>
    </w:p>
    <w:p w:rsidR="00A870A6" w:rsidRPr="00A870A6" w:rsidRDefault="00A870A6" w:rsidP="00CC7A1C">
      <w:pPr>
        <w:numPr>
          <w:ilvl w:val="0"/>
          <w:numId w:val="24"/>
        </w:numPr>
      </w:pPr>
      <w:r w:rsidRPr="00A870A6">
        <w:t xml:space="preserve">We are open to service providers requesting a different notification date than that outlined in step 2 of </w:t>
      </w:r>
      <w:r w:rsidRPr="00A870A6">
        <w:fldChar w:fldCharType="begin"/>
      </w:r>
      <w:r w:rsidRPr="00A870A6">
        <w:instrText xml:space="preserve"> REF _Ref417964671 \h </w:instrText>
      </w:r>
      <w:r w:rsidRPr="00A870A6">
        <w:fldChar w:fldCharType="separate"/>
      </w:r>
      <w:r w:rsidR="006B4A74" w:rsidRPr="00A870A6">
        <w:t xml:space="preserve">Table </w:t>
      </w:r>
      <w:r w:rsidR="006B4A74">
        <w:rPr>
          <w:noProof/>
        </w:rPr>
        <w:t>3</w:t>
      </w:r>
      <w:r w:rsidR="006B4A74">
        <w:noBreakHyphen/>
      </w:r>
      <w:r w:rsidR="006B4A74">
        <w:rPr>
          <w:noProof/>
        </w:rPr>
        <w:t>45</w:t>
      </w:r>
      <w:r w:rsidRPr="00A870A6">
        <w:fldChar w:fldCharType="end"/>
      </w:r>
      <w:r w:rsidRPr="00A870A6">
        <w:t xml:space="preserve"> if it better accommodates their internal processes. We note that a longer (or shorter) time period would move back (or forward) the timeframe in which an averaging period should fall. </w:t>
      </w:r>
    </w:p>
    <w:p w:rsidR="00A870A6" w:rsidRPr="00A870A6" w:rsidRDefault="00A870A6" w:rsidP="00CC7A1C">
      <w:pPr>
        <w:numPr>
          <w:ilvl w:val="0"/>
          <w:numId w:val="24"/>
        </w:numPr>
      </w:pPr>
      <w:r w:rsidRPr="00A870A6">
        <w:t xml:space="preserve">The process outlined in </w:t>
      </w:r>
      <w:r w:rsidRPr="00A870A6">
        <w:fldChar w:fldCharType="begin"/>
      </w:r>
      <w:r w:rsidRPr="00A870A6">
        <w:instrText xml:space="preserve"> REF _Ref417964671 \h </w:instrText>
      </w:r>
      <w:r w:rsidRPr="00A870A6">
        <w:fldChar w:fldCharType="separate"/>
      </w:r>
      <w:r w:rsidR="006B4A74" w:rsidRPr="00A870A6">
        <w:t xml:space="preserve">Table </w:t>
      </w:r>
      <w:r w:rsidR="006B4A74">
        <w:rPr>
          <w:noProof/>
        </w:rPr>
        <w:t>3</w:t>
      </w:r>
      <w:r w:rsidR="006B4A74">
        <w:noBreakHyphen/>
      </w:r>
      <w:r w:rsidR="006B4A74">
        <w:rPr>
          <w:noProof/>
        </w:rPr>
        <w:t>45</w:t>
      </w:r>
      <w:r w:rsidRPr="00A870A6">
        <w:fldChar w:fldCharType="end"/>
      </w:r>
      <w:r w:rsidRPr="00A870A6">
        <w:t xml:space="preserve"> and the remainder of this section does not apply to the first regulatory year in the regulatory control period. This is because the transmission determination will include the X factor for the first year, which will already incorporate the first year return on debt. Therefore, this process will generally apply to the subsequent years of a regulatory control period.</w:t>
      </w:r>
    </w:p>
    <w:p w:rsidR="00C93468" w:rsidRPr="00C93468" w:rsidRDefault="00C93468" w:rsidP="00C93468">
      <w:pPr>
        <w:pStyle w:val="Heading7"/>
      </w:pPr>
      <w:bookmarkStart w:id="598" w:name="_Toc481057510"/>
      <w:bookmarkStart w:id="599" w:name="_Ref481066755"/>
      <w:r>
        <w:t>Expected inflation</w:t>
      </w:r>
      <w:bookmarkEnd w:id="598"/>
      <w:bookmarkEnd w:id="599"/>
    </w:p>
    <w:p w:rsidR="00C93468" w:rsidRDefault="00C93468" w:rsidP="00C93468">
      <w:r>
        <w:t>We set out the reasons for our inflation decision in section</w:t>
      </w:r>
      <w:r w:rsidR="008F29C8">
        <w:t xml:space="preserve"> </w:t>
      </w:r>
      <w:r w:rsidR="008F29C8">
        <w:fldChar w:fldCharType="begin"/>
      </w:r>
      <w:r w:rsidR="008F29C8">
        <w:instrText xml:space="preserve"> REF _Ref479832571 \r \h </w:instrText>
      </w:r>
      <w:r w:rsidR="008F29C8">
        <w:fldChar w:fldCharType="separate"/>
      </w:r>
      <w:r w:rsidR="006B4A74">
        <w:t>3.4.4</w:t>
      </w:r>
      <w:r w:rsidR="008F29C8">
        <w:fldChar w:fldCharType="end"/>
      </w:r>
      <w:r>
        <w:t>. This section details our response to issues raised in regulatory proposals and submissions.</w:t>
      </w:r>
    </w:p>
    <w:p w:rsidR="00F90E59" w:rsidRDefault="00F90E59" w:rsidP="00F90E59">
      <w:bookmarkStart w:id="600" w:name="_Ref477804755"/>
      <w:r>
        <w:t xml:space="preserve">It is important to note that we are currently conducting a broader review of the inflation method used in our post-tax revenue model. That review is yet to be finalised and so findings from the review cannot therefore be included in this final decision on AusNet Services' 2017–22 transmission determination. </w:t>
      </w:r>
    </w:p>
    <w:p w:rsidR="00F90E59" w:rsidRDefault="00F90E59" w:rsidP="00F90E59">
      <w:r>
        <w:t>The discussion set out here is necessarily limited to the information available to us at the time of making this determination. It is also necessarily limited having regard to both the time available (within the determination making process), and the fact that there has not been industry wide consideration of the issue. Our conclusions set out here therefore do not indicate the result of the review we are currently undertaking.  In the context of that wider industry review, we expect we will have additional submissions and more complete analyses available to us.</w:t>
      </w:r>
    </w:p>
    <w:p w:rsidR="00F90E59" w:rsidRDefault="00F90E59" w:rsidP="00F90E59">
      <w:r>
        <w:t>That said, for the purposes of this determination, on the basis of the information currently available to us, we consider the method for estimating expected inflation set out in the current post-tax revenue model:</w:t>
      </w:r>
    </w:p>
    <w:p w:rsidR="00F90E59" w:rsidRDefault="00F90E59" w:rsidP="00F90E59">
      <w:pPr>
        <w:pStyle w:val="AERbulletlistfirststyle"/>
      </w:pPr>
      <w:r>
        <w:t xml:space="preserve">reflects our best estimate of expected inflation, </w:t>
      </w:r>
    </w:p>
    <w:p w:rsidR="00F90E59" w:rsidRDefault="00F90E59" w:rsidP="00F90E59">
      <w:pPr>
        <w:pStyle w:val="AERbulletlistfirststyle"/>
      </w:pPr>
      <w:r>
        <w:t>is commensurate with the efficient financing costs of a benchmark efficient service provider,</w:t>
      </w:r>
      <w:r>
        <w:rPr>
          <w:rStyle w:val="FootnoteReference"/>
        </w:rPr>
        <w:footnoteReference w:id="1503"/>
      </w:r>
    </w:p>
    <w:p w:rsidR="00F90E59" w:rsidRDefault="00F90E59" w:rsidP="00F90E59">
      <w:pPr>
        <w:pStyle w:val="AERbulletlistfirststyle"/>
      </w:pPr>
      <w:r>
        <w:t>contributes to the achievement of the National Electricity Objective and revenue and pricing principles.</w:t>
      </w:r>
    </w:p>
    <w:p w:rsidR="00C93468" w:rsidRPr="00C93468" w:rsidRDefault="00C93468" w:rsidP="002656D9">
      <w:pPr>
        <w:pStyle w:val="Heading8"/>
        <w:numPr>
          <w:ilvl w:val="1"/>
          <w:numId w:val="45"/>
        </w:numPr>
        <w:ind w:hanging="1305"/>
      </w:pPr>
      <w:bookmarkStart w:id="601" w:name="_Toc481057511"/>
      <w:r>
        <w:t>Issues with the RBA approach</w:t>
      </w:r>
      <w:bookmarkEnd w:id="600"/>
      <w:bookmarkEnd w:id="601"/>
    </w:p>
    <w:p w:rsidR="00C93468" w:rsidRDefault="00C93468" w:rsidP="00C93468">
      <w:r>
        <w:t>Under the RBA forecasts and target band approach, 10 year inflation expectations are estimated as the geometric mean of 10 annual inflation rates, comprising:</w:t>
      </w:r>
    </w:p>
    <w:p w:rsidR="00C93468" w:rsidRDefault="00C93468" w:rsidP="00C93468">
      <w:pPr>
        <w:pStyle w:val="AERbulletlistfirststyle"/>
      </w:pPr>
      <w:r>
        <w:t>The RBA's short term inflation forecasts for years 1 and 2.</w:t>
      </w:r>
    </w:p>
    <w:p w:rsidR="00C93468" w:rsidRDefault="00C93468" w:rsidP="00C93468">
      <w:pPr>
        <w:pStyle w:val="AERbulletlistfirststyle"/>
      </w:pPr>
      <w:r>
        <w:t>The mid-point of the RBA's target band for each year from years 3 to 10.</w:t>
      </w:r>
    </w:p>
    <w:p w:rsidR="00C93468" w:rsidRPr="00C93468" w:rsidRDefault="00C93468" w:rsidP="00C93468">
      <w:pPr>
        <w:pStyle w:val="Heading9"/>
      </w:pPr>
      <w:bookmarkStart w:id="602" w:name="_Toc480460954"/>
      <w:r>
        <w:t>The</w:t>
      </w:r>
      <w:r w:rsidRPr="00C93468">
        <w:t xml:space="preserve"> RBA's short-term forecasts used in years 1 and 2</w:t>
      </w:r>
      <w:bookmarkEnd w:id="602"/>
    </w:p>
    <w:p w:rsidR="00C93468" w:rsidRDefault="00C93468" w:rsidP="00C93468">
      <w:r>
        <w:t>In our draft decision on AusNet Services' 2017–22 electricity transmission determination we noted that</w:t>
      </w:r>
      <w:r w:rsidRPr="007E2BD9">
        <w:t xml:space="preserve"> Tulip and Wallace </w:t>
      </w:r>
      <w:r>
        <w:t>(2012)</w:t>
      </w:r>
      <w:r w:rsidRPr="007E2BD9">
        <w:t xml:space="preserve"> </w:t>
      </w:r>
      <w:r>
        <w:t xml:space="preserve">find that the RBA’s </w:t>
      </w:r>
      <w:r w:rsidRPr="007E2BD9">
        <w:t>1 year forecasts of inflation have substantial explanatory power and in the past RBA forecasts have been marginally more accurate than private sector forecasts.</w:t>
      </w:r>
      <w:r>
        <w:rPr>
          <w:rStyle w:val="FootnoteReference"/>
        </w:rPr>
        <w:footnoteReference w:id="1504"/>
      </w:r>
      <w:r>
        <w:t xml:space="preserve"> </w:t>
      </w:r>
    </w:p>
    <w:p w:rsidR="00C93468" w:rsidRDefault="00C93468" w:rsidP="00C93468">
      <w:r>
        <w:t>CEG submitted that</w:t>
      </w:r>
      <w:r w:rsidRPr="008E5C2B">
        <w:t xml:space="preserve"> Tulip and Wallace (2012) report wide confidence intervals for the RBA</w:t>
      </w:r>
      <w:r>
        <w:t>'s short-term</w:t>
      </w:r>
      <w:r w:rsidRPr="008E5C2B">
        <w:t xml:space="preserve"> forecasts. </w:t>
      </w:r>
      <w:r>
        <w:t>CEG noted that for the</w:t>
      </w:r>
      <w:r w:rsidRPr="008E5C2B">
        <w:t xml:space="preserve"> underlying inflation</w:t>
      </w:r>
      <w:r>
        <w:t xml:space="preserve"> measure</w:t>
      </w:r>
      <w:r w:rsidRPr="008E5C2B">
        <w:t>, actual inflation lies outside a 100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 For </w:t>
      </w:r>
      <w:r>
        <w:t xml:space="preserve">the </w:t>
      </w:r>
      <w:r w:rsidRPr="008E5C2B">
        <w:t>CPI</w:t>
      </w:r>
      <w:r>
        <w:t xml:space="preserve"> inflation measure,</w:t>
      </w:r>
      <w:r w:rsidRPr="008E5C2B">
        <w:t xml:space="preserve"> the actual inflation will lie outside a 200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w:t>
      </w:r>
      <w:r>
        <w:t xml:space="preserve"> </w:t>
      </w:r>
    </w:p>
    <w:p w:rsidR="00C93468" w:rsidRDefault="00C93468" w:rsidP="00C93468">
      <w:r>
        <w:t>However, CEG also noted that, on</w:t>
      </w:r>
      <w:r w:rsidRPr="008E5C2B">
        <w:t xml:space="preserve"> the </w:t>
      </w:r>
      <w:r>
        <w:t xml:space="preserve">relative </w:t>
      </w:r>
      <w:r w:rsidRPr="008E5C2B">
        <w:t xml:space="preserve">accuracy of RBA forecasts relative to forecasts by the private sector, Tulip and Wallace (2012) states “the differences are small and </w:t>
      </w:r>
      <w:r>
        <w:t>not statistically significant”.</w:t>
      </w:r>
      <w:r>
        <w:rPr>
          <w:rStyle w:val="FootnoteReference"/>
        </w:rPr>
        <w:footnoteReference w:id="1505"/>
      </w:r>
    </w:p>
    <w:p w:rsidR="00C93468" w:rsidRDefault="00C93468" w:rsidP="00C93468">
      <w:r>
        <w:t xml:space="preserve">Tulip &amp; Wallace (2012) find that, regardless of the size of the confidence intervals, short term inflation forecasts by other entities do not materially outperform the RBA's forecasts. We note that in addition to Tulip and Wallace (2012), </w:t>
      </w:r>
      <w:r w:rsidRPr="00844BA4">
        <w:t xml:space="preserve">Tawadros </w:t>
      </w:r>
      <w:r>
        <w:t xml:space="preserve">(2013) </w:t>
      </w:r>
      <w:r w:rsidRPr="00844BA4">
        <w:t>found that the RBA forecasts produce much lower forecasting errors than the forecasts made by three other private sources</w:t>
      </w:r>
      <w:r>
        <w:t xml:space="preserve"> (</w:t>
      </w:r>
      <w:r w:rsidRPr="00844BA4">
        <w:t>non-academic market economists, those made by union officials and the forecasts made by consumers or business people</w:t>
      </w:r>
      <w:r>
        <w:t>). T</w:t>
      </w:r>
      <w:r w:rsidRPr="00844BA4">
        <w:t xml:space="preserve">he empirical results </w:t>
      </w:r>
      <w:r>
        <w:t xml:space="preserve">in Tawadros (2013) </w:t>
      </w:r>
      <w:r w:rsidRPr="00844BA4">
        <w:t>show</w:t>
      </w:r>
      <w:r>
        <w:t>ed</w:t>
      </w:r>
      <w:r w:rsidRPr="00844BA4">
        <w:t xml:space="preserve"> that the RBA had superior predictive information about inflation over the period of June 1993 to December 2010</w:t>
      </w:r>
      <w:r>
        <w:t>.</w:t>
      </w:r>
      <w:r>
        <w:rPr>
          <w:rStyle w:val="FootnoteReference"/>
        </w:rPr>
        <w:footnoteReference w:id="1506"/>
      </w:r>
    </w:p>
    <w:p w:rsidR="00C93468" w:rsidRDefault="00C93468" w:rsidP="00C93468">
      <w:r>
        <w:t xml:space="preserve">CEG also submitted that </w:t>
      </w:r>
      <w:r w:rsidRPr="007E2BD9">
        <w:t xml:space="preserve">the relative accuracy of break-even inflation estimates versus </w:t>
      </w:r>
      <w:r>
        <w:t>the RBA's short-term forecasts</w:t>
      </w:r>
      <w:r w:rsidRPr="007E2BD9">
        <w:t xml:space="preserve"> </w:t>
      </w:r>
      <w:r>
        <w:t>is</w:t>
      </w:r>
      <w:r w:rsidRPr="007E2BD9">
        <w:t xml:space="preserve"> not addressed</w:t>
      </w:r>
      <w:r>
        <w:rPr>
          <w:rStyle w:val="FootnoteReference"/>
        </w:rPr>
        <w:footnoteReference w:id="1507"/>
      </w:r>
      <w:r w:rsidRPr="007E2BD9">
        <w:t xml:space="preserve"> by Tulip and Wallace </w:t>
      </w:r>
      <w:r>
        <w:t>(2012).</w:t>
      </w:r>
      <w:r w:rsidRPr="007E2BD9">
        <w:t xml:space="preserve"> </w:t>
      </w:r>
      <w:r>
        <w:t>CEG submits that</w:t>
      </w:r>
      <w:r w:rsidRPr="007E2BD9">
        <w:t xml:space="preserve"> </w:t>
      </w:r>
      <w:r>
        <w:t xml:space="preserve">short-term </w:t>
      </w:r>
      <w:r w:rsidRPr="007E2BD9">
        <w:t>inflation</w:t>
      </w:r>
      <w:r>
        <w:t xml:space="preserve"> estimates from the </w:t>
      </w:r>
      <w:r w:rsidRPr="007E2BD9">
        <w:t>break-even</w:t>
      </w:r>
      <w:r>
        <w:t xml:space="preserve"> approach are</w:t>
      </w:r>
      <w:r w:rsidRPr="007E2BD9">
        <w:t xml:space="preserve"> superior</w:t>
      </w:r>
      <w:r>
        <w:t xml:space="preserve"> to the RBA's short-term forecasts</w:t>
      </w:r>
      <w:r w:rsidRPr="007E2BD9">
        <w:t>.</w:t>
      </w:r>
      <w:r>
        <w:rPr>
          <w:rStyle w:val="FootnoteReference"/>
        </w:rPr>
        <w:footnoteReference w:id="1508"/>
      </w:r>
    </w:p>
    <w:p w:rsidR="00C93468" w:rsidRDefault="00C93468" w:rsidP="00C93468">
      <w:r>
        <w:t>As stated in section</w:t>
      </w:r>
      <w:r w:rsidR="008F29C8">
        <w:t xml:space="preserve"> </w:t>
      </w:r>
      <w:r w:rsidR="008F29C8">
        <w:fldChar w:fldCharType="begin"/>
      </w:r>
      <w:r w:rsidR="008F29C8">
        <w:instrText xml:space="preserve"> REF _Ref478559903 \r \h </w:instrText>
      </w:r>
      <w:r w:rsidR="008F29C8">
        <w:fldChar w:fldCharType="separate"/>
      </w:r>
      <w:r w:rsidR="007858BF">
        <w:t>3.4.4.1</w:t>
      </w:r>
      <w:r w:rsidR="008F29C8">
        <w:fldChar w:fldCharType="end"/>
      </w:r>
      <w:r>
        <w:t>, we consider that bond break-even estimates are likely to be distorted by biases and risk premia such that they may not be sufficiently reliable.</w:t>
      </w:r>
    </w:p>
    <w:p w:rsidR="00C93468" w:rsidRDefault="00C93468" w:rsidP="00C93468">
      <w:r>
        <w:t xml:space="preserve">In any case, we note that our objective is to estimate inflation expectations over a ten year term, rather than short term forecasts. The RBA's short-term forecasts are merely an input into an approach for estimating long-term expectations. The role of the short-term (1 to 2 year) forecasts in the RBA forecasts and target band approach is to allow for short-term inflation expectations to have some influence on the overall 10-year estimate being above or below the RBA's inflation target. We consider that the currently available evidence suggests that RBA forecasts </w:t>
      </w:r>
      <w:r w:rsidRPr="00C65194">
        <w:t xml:space="preserve">may be considered credible by the market such that short term inflation </w:t>
      </w:r>
      <w:r>
        <w:t xml:space="preserve">expectations </w:t>
      </w:r>
      <w:r w:rsidRPr="00C65194">
        <w:t>may be informed by and closely correspond to the RBA’s forecast</w:t>
      </w:r>
      <w:r>
        <w:t>. In this case, we consider that the RBA's short-term forecasts are the best forecasts to use in the RBA forecasts and target band approach.</w:t>
      </w:r>
    </w:p>
    <w:p w:rsidR="00C93468" w:rsidRDefault="00C93468" w:rsidP="00C93468">
      <w:r>
        <w:t>AusNet Services submitted that</w:t>
      </w:r>
      <w:r w:rsidRPr="00AA656C">
        <w:t xml:space="preserve"> the </w:t>
      </w:r>
      <w:r>
        <w:t>RBA forecasts and target band</w:t>
      </w:r>
      <w:r w:rsidRPr="00AA656C">
        <w:t xml:space="preserve"> approach only uses </w:t>
      </w:r>
      <w:r>
        <w:t>RBA short-term forecasts</w:t>
      </w:r>
      <w:r w:rsidRPr="00AA656C">
        <w:t xml:space="preserve"> for the first two years of its 10 year term</w:t>
      </w:r>
      <w:r>
        <w:t>,</w:t>
      </w:r>
      <w:r w:rsidRPr="00AA656C">
        <w:t xml:space="preserve"> </w:t>
      </w:r>
      <w:r>
        <w:t>ensuring that these forecasts</w:t>
      </w:r>
      <w:r w:rsidRPr="00AA656C">
        <w:t xml:space="preserve"> do not have a significant influence</w:t>
      </w:r>
      <w:r>
        <w:t xml:space="preserve"> on the overall estimate</w:t>
      </w:r>
      <w:r w:rsidRPr="00AA656C">
        <w:t>.</w:t>
      </w:r>
      <w:r>
        <w:rPr>
          <w:rStyle w:val="FootnoteReference"/>
        </w:rPr>
        <w:footnoteReference w:id="1509"/>
      </w:r>
    </w:p>
    <w:p w:rsidR="00C93468" w:rsidRDefault="00C93468" w:rsidP="00C93468">
      <w:r>
        <w:t xml:space="preserve">We reiterate that the available evidence supports the view that long-term inflation expectations are relatively stable over time and anchored to the RBA's target band. Further, if short term forecasts/expectations are volatile and </w:t>
      </w:r>
      <w:r w:rsidRPr="009E1E8A">
        <w:t>deviate</w:t>
      </w:r>
      <w:r>
        <w:t xml:space="preserve"> from long term inflation expectations – as found by Finlay and Wende (2011) for Australia</w:t>
      </w:r>
      <w:r>
        <w:rPr>
          <w:rStyle w:val="FootnoteReference"/>
        </w:rPr>
        <w:footnoteReference w:id="1510"/>
      </w:r>
      <w:r>
        <w:t xml:space="preserve"> – the weighting toward the midpoint of the target inflation band in the RBA forecasts and target band approach mitigates the distortionary effects of this volatility on long term estimates. </w:t>
      </w:r>
    </w:p>
    <w:p w:rsidR="00C93468" w:rsidRDefault="00C93468" w:rsidP="00C93468">
      <w:r>
        <w:t xml:space="preserve">We consider that the influence of short-term forecasts on the overall 10-year inflation estimate from the RBA forecasts and target band approach appropriately reflects this evidence. </w:t>
      </w:r>
    </w:p>
    <w:p w:rsidR="007151C3" w:rsidRDefault="007151C3" w:rsidP="00C93468"/>
    <w:p w:rsidR="007151C3" w:rsidRDefault="007151C3" w:rsidP="00C93468"/>
    <w:p w:rsidR="007151C3" w:rsidRDefault="007151C3" w:rsidP="00C93468"/>
    <w:p w:rsidR="00C93468" w:rsidRPr="00C93468" w:rsidRDefault="00C93468" w:rsidP="00C93468">
      <w:pPr>
        <w:pStyle w:val="Heading9"/>
      </w:pPr>
      <w:bookmarkStart w:id="603" w:name="_Toc480460955"/>
      <w:r>
        <w:t>Probability weighted forecasts</w:t>
      </w:r>
      <w:bookmarkEnd w:id="603"/>
    </w:p>
    <w:p w:rsidR="00C93468" w:rsidRDefault="00C93468" w:rsidP="00C93468">
      <w:r>
        <w:t xml:space="preserve">AusNet Services and CEG submitted that the </w:t>
      </w:r>
      <w:r w:rsidRPr="00ED7C40">
        <w:t>RBA</w:t>
      </w:r>
      <w:r>
        <w:t>'s</w:t>
      </w:r>
      <w:r w:rsidRPr="00ED7C40">
        <w:t xml:space="preserve"> short term forecasts are “central forecasts” and, therefore, likely to underestimate “expected inflation” where the downside risks exceed the upside risk</w:t>
      </w:r>
      <w:r>
        <w:t>.</w:t>
      </w:r>
      <w:r>
        <w:rPr>
          <w:rStyle w:val="FootnoteReference"/>
        </w:rPr>
        <w:footnoteReference w:id="1511"/>
      </w:r>
    </w:p>
    <w:p w:rsidR="00C93468" w:rsidRDefault="00C93468" w:rsidP="00C93468">
      <w:r>
        <w:t xml:space="preserve">CEG submitted that bond </w:t>
      </w:r>
      <w:r w:rsidRPr="008E5C2B">
        <w:t xml:space="preserve">break-even inflation </w:t>
      </w:r>
      <w:r>
        <w:t xml:space="preserve">estimates </w:t>
      </w:r>
      <w:r w:rsidRPr="008E5C2B">
        <w:t>already reflect a probability</w:t>
      </w:r>
      <w:r>
        <w:t>-</w:t>
      </w:r>
      <w:r w:rsidRPr="008E5C2B">
        <w:t>weighted average of all possible inflation outcomes as perceived by bond investors.</w:t>
      </w:r>
      <w:r>
        <w:t xml:space="preserve"> CEG submitted that the bond b</w:t>
      </w:r>
      <w:r w:rsidRPr="00ED7C40">
        <w:t xml:space="preserve">reak-even </w:t>
      </w:r>
      <w:r>
        <w:t>approach</w:t>
      </w:r>
      <w:r w:rsidRPr="00ED7C40">
        <w:t xml:space="preserve"> </w:t>
      </w:r>
      <w:r>
        <w:t>is</w:t>
      </w:r>
      <w:r w:rsidRPr="00ED7C40">
        <w:t xml:space="preserve"> the only plausible way in which the uncertainty about the multiple different paths inflation could take can be weighted in a manner consistent with the probabilities that bond investors attach to these outcomes</w:t>
      </w:r>
      <w:r>
        <w:t xml:space="preserve">, and that such probability-weighting </w:t>
      </w:r>
      <w:r w:rsidRPr="00ED7C40">
        <w:t xml:space="preserve">is critical in the current </w:t>
      </w:r>
      <w:r>
        <w:t xml:space="preserve">low-inflation </w:t>
      </w:r>
      <w:r w:rsidRPr="00ED7C40">
        <w:t>environment</w:t>
      </w:r>
      <w:r>
        <w:t>.</w:t>
      </w:r>
      <w:r>
        <w:rPr>
          <w:rStyle w:val="FootnoteReference"/>
        </w:rPr>
        <w:footnoteReference w:id="1512"/>
      </w:r>
      <w:r>
        <w:t xml:space="preserve"> AusNet Services submitted that i</w:t>
      </w:r>
      <w:r w:rsidRPr="001E5086">
        <w:t xml:space="preserve">n the current monetary policy environment, where policy rates are close to the zero lower bound, the greatest risks to inflation are to the downside. </w:t>
      </w:r>
      <w:r>
        <w:t xml:space="preserve">AusNet Services noted that </w:t>
      </w:r>
      <w:r w:rsidRPr="001E5086">
        <w:t>Western developed countries currently have monetary policy settings with policy rates close to zero and are currently undershooting inflation targets</w:t>
      </w:r>
      <w:r>
        <w:t>.</w:t>
      </w:r>
      <w:r>
        <w:rPr>
          <w:rStyle w:val="FootnoteReference"/>
        </w:rPr>
        <w:footnoteReference w:id="1513"/>
      </w:r>
    </w:p>
    <w:p w:rsidR="00C93468" w:rsidRDefault="00C93468" w:rsidP="00C93468">
      <w:r>
        <w:t xml:space="preserve">CEG also submitted that RBA's role in controlling inflation may affect the presentation of its forecasts and the </w:t>
      </w:r>
      <w:r w:rsidRPr="00A94528">
        <w:t>RBA forecasts are a</w:t>
      </w:r>
      <w:r>
        <w:t xml:space="preserve"> </w:t>
      </w:r>
      <w:r w:rsidRPr="00A94528">
        <w:t>policy tool for anchoring inflation expectations as well as an expression of the RBA’s</w:t>
      </w:r>
      <w:r>
        <w:t xml:space="preserve"> view. In this case, the RBA may choose to publish only central forecasts and not lower-bound forecasts to avoid these lower bounds resulting in lower market expectations.</w:t>
      </w:r>
      <w:r>
        <w:rPr>
          <w:rStyle w:val="FootnoteReference"/>
        </w:rPr>
        <w:footnoteReference w:id="1514"/>
      </w:r>
    </w:p>
    <w:p w:rsidR="00C93468" w:rsidRPr="00DB16EC" w:rsidRDefault="00C93468" w:rsidP="00C93468">
      <w:r>
        <w:t>Short-term RBA forecasts are sourced from the RBA's quarterly statements on monetary policy. CEG assumes that the RBA's forecasts are central forecasts, but the RBA does not state whether these forecasts are central forecasts or probability-weighted forecasts.</w:t>
      </w:r>
      <w:r>
        <w:rPr>
          <w:rStyle w:val="FootnoteReference"/>
        </w:rPr>
        <w:footnoteReference w:id="1515"/>
      </w:r>
      <w:r>
        <w:t xml:space="preserve"> Further, CEG assumes an asymmetric distribution of market-anticipated inflation outcomes. We consider that this assumption is unsupported, noting that:</w:t>
      </w:r>
    </w:p>
    <w:p w:rsidR="00C93468" w:rsidRPr="00DB16EC" w:rsidRDefault="00C93468" w:rsidP="00C93468">
      <w:pPr>
        <w:pStyle w:val="AERbulletlistfirststyle"/>
      </w:pPr>
      <w:r>
        <w:t>The distribution of market-anticipated inflation outcomes is unobservable;</w:t>
      </w:r>
    </w:p>
    <w:p w:rsidR="00C93468" w:rsidRPr="00DB16EC" w:rsidRDefault="00C93468" w:rsidP="00C93468">
      <w:pPr>
        <w:pStyle w:val="AERbulletlistfirststyle"/>
      </w:pPr>
      <w:r>
        <w:t>The statements cited by CEG make no reference to the asymmetric distribution of anticipated-inflation outcomes for Australia;</w:t>
      </w:r>
      <w:r>
        <w:rPr>
          <w:rStyle w:val="FootnoteReference"/>
        </w:rPr>
        <w:footnoteReference w:id="1516"/>
      </w:r>
      <w:r>
        <w:t xml:space="preserve"> </w:t>
      </w:r>
    </w:p>
    <w:p w:rsidR="00C93468" w:rsidRPr="00DB16EC" w:rsidRDefault="00C93468" w:rsidP="00C93468">
      <w:pPr>
        <w:pStyle w:val="AERbulletlistfirststyle"/>
      </w:pPr>
      <w:r>
        <w:t>CEG has not relied on any studies on the distribution of market-anticipated inflation outcomes for Australia or provided any proxy-based estimates for this distribution.</w:t>
      </w:r>
    </w:p>
    <w:p w:rsidR="00C93468" w:rsidRDefault="00C93468" w:rsidP="00C93468">
      <w:r>
        <w:t>CEG notes that the distribution of bond investors' inflation expectations may differ from the distribution of expectations of other parties, such as the RBA and participants in the inflation swaps market.</w:t>
      </w:r>
      <w:r>
        <w:rPr>
          <w:rStyle w:val="FootnoteReference"/>
        </w:rPr>
        <w:footnoteReference w:id="1517"/>
      </w:r>
      <w:r>
        <w:t xml:space="preserve"> We note that </w:t>
      </w:r>
      <w:r w:rsidRPr="00DB16EC">
        <w:t xml:space="preserve">Fleckenstein et al (2014) </w:t>
      </w:r>
      <w:r>
        <w:t xml:space="preserve">has found that </w:t>
      </w:r>
      <w:r w:rsidRPr="00DB16EC">
        <w:t xml:space="preserve">traders profit from </w:t>
      </w:r>
      <w:r>
        <w:t>such situations where</w:t>
      </w:r>
      <w:r w:rsidRPr="00DB16EC">
        <w:t xml:space="preserve"> breakeven inflation differs from other market measures such as inflation swaps</w:t>
      </w:r>
      <w:r>
        <w:t>.</w:t>
      </w:r>
      <w:r>
        <w:rPr>
          <w:rStyle w:val="FootnoteReference"/>
        </w:rPr>
        <w:footnoteReference w:id="1518"/>
      </w:r>
      <w:r>
        <w:t xml:space="preserve"> Therefore, it may be unclear which distribution of inflation expectations (that from bond investors, swaps participants, the RBA, or others) better reflects that of the market-expected inflation rate.</w:t>
      </w:r>
    </w:p>
    <w:p w:rsidR="00C93468" w:rsidRPr="00C93468" w:rsidRDefault="00C93468" w:rsidP="00950EA8">
      <w:r>
        <w:t xml:space="preserve">As noted in section </w:t>
      </w:r>
      <w:r>
        <w:fldChar w:fldCharType="begin"/>
      </w:r>
      <w:r>
        <w:instrText xml:space="preserve"> REF _Ref477868094 \r \h </w:instrText>
      </w:r>
      <w:r>
        <w:fldChar w:fldCharType="separate"/>
      </w:r>
      <w:r w:rsidR="006B4A74">
        <w:t>K.1.4</w:t>
      </w:r>
      <w:r>
        <w:fldChar w:fldCharType="end"/>
      </w:r>
      <w:r>
        <w:t xml:space="preserve">, we consider that the RBA's monetary policy remains effective and is perceived as such by investors. </w:t>
      </w:r>
    </w:p>
    <w:p w:rsidR="00C93468" w:rsidRPr="00C93468" w:rsidRDefault="00C93468" w:rsidP="00C93468">
      <w:pPr>
        <w:pStyle w:val="Heading9"/>
      </w:pPr>
      <w:bookmarkStart w:id="604" w:name="_Toc480460956"/>
      <w:r>
        <w:t>The RBA's target band used in years 3 to 10</w:t>
      </w:r>
      <w:bookmarkEnd w:id="604"/>
    </w:p>
    <w:p w:rsidR="00C93468" w:rsidRDefault="00C93468" w:rsidP="00C93468">
      <w:r>
        <w:t>AusNet Services submitted that the RBA forecasts and target band approach includes an</w:t>
      </w:r>
      <w:r w:rsidRPr="001E5086">
        <w:t xml:space="preserve"> assumption that investors expect inflation to average 2.5</w:t>
      </w:r>
      <w:r>
        <w:t xml:space="preserve"> per cent</w:t>
      </w:r>
      <w:r w:rsidRPr="001E5086">
        <w:t xml:space="preserve"> beyond two years</w:t>
      </w:r>
      <w:r>
        <w:t>.</w:t>
      </w:r>
      <w:r>
        <w:rPr>
          <w:rStyle w:val="FootnoteReference"/>
        </w:rPr>
        <w:footnoteReference w:id="1519"/>
      </w:r>
      <w:r>
        <w:t xml:space="preserve"> CEG submitted that a</w:t>
      </w:r>
      <w:r w:rsidRPr="009A29D1">
        <w:t>n expectation that Australian inflation will jump to 2.5</w:t>
      </w:r>
      <w:r>
        <w:t xml:space="preserve"> per cent</w:t>
      </w:r>
      <w:r w:rsidRPr="009A29D1">
        <w:t xml:space="preserve"> at the end of the </w:t>
      </w:r>
      <w:r>
        <w:t>end of the second year (of the 10 year inflation forecast)</w:t>
      </w:r>
      <w:r w:rsidRPr="009A29D1">
        <w:t xml:space="preserve"> is inconsistent with the fact that Australian (and global) inflation rates have been persistently below target for many years, with instances of deflation in Australia (March quarter CPI), US, Japan, the UK and the Eurozone</w:t>
      </w:r>
      <w:r>
        <w:t>.</w:t>
      </w:r>
      <w:r>
        <w:rPr>
          <w:rStyle w:val="FootnoteReference"/>
        </w:rPr>
        <w:footnoteReference w:id="1520"/>
      </w:r>
      <w:r>
        <w:t xml:space="preserve"> </w:t>
      </w:r>
    </w:p>
    <w:p w:rsidR="00C93468" w:rsidRDefault="00C93468" w:rsidP="00C93468">
      <w:r>
        <w:t>To clarify, while we estimate inflation expectations</w:t>
      </w:r>
      <w:r w:rsidRPr="00962531">
        <w:t xml:space="preserve"> </w:t>
      </w:r>
      <w:r>
        <w:t>over a 10-year term, we do not separately estimate or have to take a view on investors' inflation expectations for each year of the 10-year term. Neither do we need to have a view on the expected path of inflation over the 10-year term. Therefore, we do not assume that inflation expectations 'jump' to 2.5 per cent at the end of the second year. Annual inflation rates in the RBA forecasts and target band approach are merely inputs into deriving the best estimate of 10-year expected inflation.</w:t>
      </w:r>
    </w:p>
    <w:p w:rsidR="00C93468" w:rsidRPr="00D91B80" w:rsidRDefault="00C93468" w:rsidP="00C93468">
      <w:r>
        <w:t>CEG submitted that inflation estimates from the RBA forecasts and target band approach beyond year 2 is impervious to market developments, while the corresponding break-even inflation rate has declined dramatically.</w:t>
      </w:r>
      <w:r>
        <w:rPr>
          <w:rStyle w:val="FootnoteReference"/>
        </w:rPr>
        <w:footnoteReference w:id="1521"/>
      </w:r>
    </w:p>
    <w:p w:rsidR="00C93468" w:rsidRDefault="00C93468" w:rsidP="00C93468">
      <w:r>
        <w:t>As inputs into an overall 10-year estimate, we do not consider it relevant that individual annual inflation rates for years 8 through 10 do not vary with market developments. Rather, we consider it more relevant whether or not the overall 10-year estimate responds to market developments in a manner that is likely to reflect investors' inflation expectations. As stated above, the available evidence supports the view that long-term inflation expectations are relatively stable over time and anchored to the RBA's target band.</w:t>
      </w:r>
    </w:p>
    <w:p w:rsidR="00C93468" w:rsidRPr="00C93468" w:rsidRDefault="00C93468" w:rsidP="00C93468">
      <w:pPr>
        <w:pStyle w:val="Heading9"/>
      </w:pPr>
      <w:bookmarkStart w:id="605" w:name="_Ref477868094"/>
      <w:bookmarkStart w:id="606" w:name="_Toc480460957"/>
      <w:r>
        <w:t>Anchoring of investor expectations to the RBA target band</w:t>
      </w:r>
      <w:bookmarkEnd w:id="605"/>
      <w:bookmarkEnd w:id="606"/>
    </w:p>
    <w:p w:rsidR="00C93468" w:rsidRDefault="00C93468" w:rsidP="00C93468">
      <w:r>
        <w:t>In section</w:t>
      </w:r>
      <w:r w:rsidR="008A2B2B">
        <w:t xml:space="preserve"> </w:t>
      </w:r>
      <w:r w:rsidR="008A2B2B">
        <w:fldChar w:fldCharType="begin"/>
      </w:r>
      <w:r w:rsidR="008A2B2B">
        <w:instrText xml:space="preserve"> REF _Ref479832669 \r \h </w:instrText>
      </w:r>
      <w:r w:rsidR="008A2B2B">
        <w:fldChar w:fldCharType="separate"/>
      </w:r>
      <w:r w:rsidR="006B4A74">
        <w:t>3.4.4</w:t>
      </w:r>
      <w:r w:rsidR="008A2B2B">
        <w:fldChar w:fldCharType="end"/>
      </w:r>
      <w:r>
        <w:t>, we noted that we consider that long-term inflation expectations are relatively stable over time and anchored to the RBA's target band. However, inflation expectations may de-anchor from the RBA's target if the RBA is perceived to be ineffective at using monetary policy to control inflation.</w:t>
      </w:r>
    </w:p>
    <w:p w:rsidR="00C93468" w:rsidRDefault="00C93468" w:rsidP="00C93468">
      <w:r>
        <w:t>CEG submitted that t</w:t>
      </w:r>
      <w:r w:rsidRPr="000438D3">
        <w:t xml:space="preserve">he potential for </w:t>
      </w:r>
      <w:r>
        <w:t xml:space="preserve">the RBA's </w:t>
      </w:r>
      <w:r w:rsidRPr="000438D3">
        <w:t xml:space="preserve">monetary policy to stimulate economic activity </w:t>
      </w:r>
      <w:r>
        <w:t xml:space="preserve">has </w:t>
      </w:r>
      <w:r w:rsidRPr="000438D3">
        <w:t>diminishe</w:t>
      </w:r>
      <w:r>
        <w:t>d</w:t>
      </w:r>
      <w:r w:rsidRPr="000438D3">
        <w:t xml:space="preserve"> as policy interest rates</w:t>
      </w:r>
      <w:r>
        <w:t xml:space="preserve"> have</w:t>
      </w:r>
      <w:r w:rsidRPr="000438D3">
        <w:t xml:space="preserve"> approach</w:t>
      </w:r>
      <w:r>
        <w:t>ed</w:t>
      </w:r>
      <w:r w:rsidRPr="000438D3">
        <w:t xml:space="preserve"> zero, thereby creating the pot</w:t>
      </w:r>
      <w:r>
        <w:t>ential for a low inflation trap: a situation in</w:t>
      </w:r>
      <w:r w:rsidRPr="000438D3">
        <w:t xml:space="preserve"> which monet</w:t>
      </w:r>
      <w:r>
        <w:t>ary policy may be ineffective</w:t>
      </w:r>
      <w:r w:rsidRPr="000438D3">
        <w:t>.</w:t>
      </w:r>
      <w:r>
        <w:rPr>
          <w:rStyle w:val="FootnoteReference"/>
        </w:rPr>
        <w:footnoteReference w:id="1522"/>
      </w:r>
      <w:r>
        <w:t xml:space="preserve"> </w:t>
      </w:r>
    </w:p>
    <w:p w:rsidR="00C93468" w:rsidRDefault="00C93468" w:rsidP="00C93468">
      <w:r>
        <w:t>We acknowledge that the RBA's cash rate (policy rate) is currently at historically low levels.</w:t>
      </w:r>
      <w:r>
        <w:rPr>
          <w:rStyle w:val="FootnoteReference"/>
        </w:rPr>
        <w:footnoteReference w:id="1523"/>
      </w:r>
      <w:r>
        <w:t xml:space="preserve"> However, we do not agree that that the RBA's implementation of monetary policy is currently ineffective, or likely to be ineffective in the foreseeable future, as a result of the current level of the RBA's policy rate.</w:t>
      </w:r>
    </w:p>
    <w:p w:rsidR="00C93468" w:rsidRPr="00EC128C" w:rsidRDefault="00C93468" w:rsidP="00C93468">
      <w:r w:rsidRPr="00EC128C">
        <w:t xml:space="preserve">Central banks have several options if policy rates approach zero. One such example is the ability to lower interest rates below zero, which is due to a non-zero cost of holding cash (costs of safes, insurance, </w:t>
      </w:r>
      <w:r w:rsidR="00410AB6" w:rsidRPr="00EC128C">
        <w:t>etc.</w:t>
      </w:r>
      <w:r w:rsidRPr="00EC128C">
        <w:t>). Interest rates below zero have been seen in several advanced economies such as the ECB, Bank of Japan and other small</w:t>
      </w:r>
      <w:r>
        <w:t>er</w:t>
      </w:r>
      <w:r w:rsidRPr="00EC128C">
        <w:t xml:space="preserve"> European authorities.</w:t>
      </w:r>
      <w:r>
        <w:rPr>
          <w:rStyle w:val="FootnoteReference"/>
        </w:rPr>
        <w:footnoteReference w:id="1524"/>
      </w:r>
      <w:r w:rsidRPr="00EC128C">
        <w:t xml:space="preserve"> Central banks also have the option to use ‘unconventional’ monetary policy, such as quantitative easing </w:t>
      </w:r>
      <w:r>
        <w:t xml:space="preserve">(bond buying) </w:t>
      </w:r>
      <w:r w:rsidRPr="00EC128C">
        <w:t>combined with macroprudential policy.</w:t>
      </w:r>
      <w:r>
        <w:rPr>
          <w:rStyle w:val="FootnoteReference"/>
        </w:rPr>
        <w:footnoteReference w:id="1525"/>
      </w:r>
      <w:r w:rsidRPr="00EC128C">
        <w:t xml:space="preserve"> </w:t>
      </w:r>
    </w:p>
    <w:p w:rsidR="00C93468" w:rsidRPr="00EC128C" w:rsidRDefault="00C93468" w:rsidP="00C93468">
      <w:pPr>
        <w:rPr>
          <w:rStyle w:val="Hyperlink"/>
        </w:rPr>
      </w:pPr>
      <w:r>
        <w:t>Further, i</w:t>
      </w:r>
      <w:r w:rsidRPr="00EC128C">
        <w:t xml:space="preserve">f the public did not believe that the RBA had control of inflation due to </w:t>
      </w:r>
      <w:r>
        <w:t xml:space="preserve">the policy rate </w:t>
      </w:r>
      <w:r w:rsidRPr="00EC128C">
        <w:t xml:space="preserve">being close to </w:t>
      </w:r>
      <w:r>
        <w:t>zero</w:t>
      </w:r>
      <w:r w:rsidRPr="00EC128C">
        <w:t xml:space="preserve">, </w:t>
      </w:r>
      <w:r>
        <w:t xml:space="preserve">we would expect </w:t>
      </w:r>
      <w:r w:rsidRPr="00EC128C">
        <w:t xml:space="preserve">there would be evidence of an unanchoring of inflation expectations. There is no evidence of this in the survey measures </w:t>
      </w:r>
      <w:r>
        <w:t>(</w:t>
      </w:r>
      <w:r w:rsidRPr="00EC128C">
        <w:t>which are less likely to be affected by the bias exhibited in the breakeven approach</w:t>
      </w:r>
      <w:r>
        <w:t>)</w:t>
      </w:r>
      <w:r w:rsidRPr="00EC128C">
        <w:t xml:space="preserve">. Long-term inflation expectations </w:t>
      </w:r>
      <w:r>
        <w:t xml:space="preserve">from Consensus Economics' survey measures and from 5-year to 10-year inflation swaps </w:t>
      </w:r>
      <w:r w:rsidRPr="00EC128C">
        <w:t>appear consistent with the RBA's medium-term inflation target.</w:t>
      </w:r>
      <w:r w:rsidRPr="00EC128C">
        <w:rPr>
          <w:rStyle w:val="FootnoteReference"/>
        </w:rPr>
        <w:footnoteReference w:id="1526"/>
      </w:r>
    </w:p>
    <w:p w:rsidR="00C93468" w:rsidRPr="00EC128C" w:rsidRDefault="00C93468" w:rsidP="00C93468">
      <w:r w:rsidRPr="00EC128C">
        <w:t xml:space="preserve">CEG, in its recent report, claimed that all western developed countries are currently undershooting inflation targets. </w:t>
      </w:r>
      <w:r>
        <w:t>We consider that this mischaracterises the nature of central bank inflation targeting</w:t>
      </w:r>
      <w:r w:rsidRPr="00EC128C">
        <w:t>. Australia’s inflation target is to</w:t>
      </w:r>
      <w:r>
        <w:t xml:space="preserve"> achieve an inflation rate of 2 to </w:t>
      </w:r>
      <w:r w:rsidRPr="00EC128C">
        <w:t>3 per cent, on average, over the</w:t>
      </w:r>
      <w:r>
        <w:t xml:space="preserve"> business</w:t>
      </w:r>
      <w:r w:rsidRPr="00EC128C">
        <w:t xml:space="preserve"> cycle. The inflation target is defined as a medium-term average rather than as a rate (or band of rates) that must be held at all times. For instance, since June 1993,</w:t>
      </w:r>
      <w:r>
        <w:rPr>
          <w:rStyle w:val="FootnoteReference"/>
        </w:rPr>
        <w:footnoteReference w:id="1527"/>
      </w:r>
      <w:r w:rsidRPr="00EC128C">
        <w:t xml:space="preserve"> CPI inflation has been below 2 per cent for 24 per cent of the time, and coincidentally above 3 per cent for 23 per cent of the time. On average though, inflation was around 2.5 per cent.</w:t>
      </w:r>
      <w:r w:rsidRPr="00EC128C">
        <w:rPr>
          <w:rStyle w:val="FootnoteReference"/>
        </w:rPr>
        <w:footnoteReference w:id="1528"/>
      </w:r>
      <w:r w:rsidRPr="00EC128C">
        <w:t xml:space="preserve"> With such a mandate it cannot be said that Australia is currently undershooting the target.</w:t>
      </w:r>
    </w:p>
    <w:p w:rsidR="00C93468" w:rsidRDefault="00C93468" w:rsidP="00C93468">
      <w:r w:rsidRPr="00EC128C">
        <w:t>There are other western developed countries facing short term inflation above their targets. Norway is currently overshooting its target</w:t>
      </w:r>
      <w:r>
        <w:t>, achieving inflation of</w:t>
      </w:r>
      <w:r w:rsidRPr="00EC128C">
        <w:t xml:space="preserve"> 3.4 per cent, </w:t>
      </w:r>
      <w:r>
        <w:t>which is above its</w:t>
      </w:r>
      <w:r w:rsidRPr="00EC128C">
        <w:t xml:space="preserve"> target of 2.5 per cent.</w:t>
      </w:r>
      <w:r w:rsidRPr="00EC128C">
        <w:rPr>
          <w:rStyle w:val="FootnoteReference"/>
        </w:rPr>
        <w:footnoteReference w:id="1529"/>
      </w:r>
      <w:r>
        <w:t xml:space="preserve"> </w:t>
      </w:r>
      <w:r w:rsidRPr="00EC128C">
        <w:t>The US CPI result for December 2016 was 2.1 per cent year on year</w:t>
      </w:r>
      <w:r>
        <w:t>, which is</w:t>
      </w:r>
      <w:r w:rsidRPr="00EC128C">
        <w:t xml:space="preserve"> higher than the Federal Reserve’s target of 2 per cent.</w:t>
      </w:r>
      <w:r>
        <w:rPr>
          <w:rStyle w:val="FootnoteReference"/>
        </w:rPr>
        <w:footnoteReference w:id="1530"/>
      </w:r>
      <w:r>
        <w:t xml:space="preserve"> The UK CPI result for February 2017 was 2.3 per cent year on year, which is higher than the Bank of England's 2 per cent inflation target.</w:t>
      </w:r>
      <w:r>
        <w:rPr>
          <w:rStyle w:val="FootnoteReference"/>
        </w:rPr>
        <w:footnoteReference w:id="1531"/>
      </w:r>
      <w:r>
        <w:t xml:space="preserve"> Finally, we note that western developed countries in general, and Australia in particular, continue to implement inflation targeting and have not rolled-back inflation targeting regimes in the presence of a 'low-inflation trap'.</w:t>
      </w:r>
    </w:p>
    <w:p w:rsidR="00C93468" w:rsidRPr="00C93468" w:rsidRDefault="00C93468" w:rsidP="00C93468">
      <w:pPr>
        <w:pStyle w:val="Heading9"/>
      </w:pPr>
      <w:bookmarkStart w:id="607" w:name="_Ref478417819"/>
      <w:bookmarkStart w:id="608" w:name="_Toc480460958"/>
      <w:r>
        <w:t>Potential negative real risk free rate</w:t>
      </w:r>
      <w:bookmarkEnd w:id="607"/>
      <w:bookmarkEnd w:id="608"/>
    </w:p>
    <w:p w:rsidR="00C93468" w:rsidRPr="00A51CD5" w:rsidRDefault="00C93468" w:rsidP="00C93468">
      <w:r>
        <w:t>CEG and AusNet Services submitted that</w:t>
      </w:r>
      <w:r w:rsidRPr="00A51CD5">
        <w:t xml:space="preserve"> </w:t>
      </w:r>
      <w:r>
        <w:t>by applying</w:t>
      </w:r>
      <w:r w:rsidRPr="00A51CD5">
        <w:t xml:space="preserve"> the RBA forecasts and target band approach</w:t>
      </w:r>
      <w:r>
        <w:t xml:space="preserve"> to historical data, </w:t>
      </w:r>
      <w:r w:rsidRPr="00A51CD5">
        <w:t>inflation estimate</w:t>
      </w:r>
      <w:r w:rsidRPr="0003076B">
        <w:t xml:space="preserve">s </w:t>
      </w:r>
      <w:r>
        <w:t xml:space="preserve">have at various times in the past resulted in negative estimates of the real risk free rate. CEG and AusNet Services submitted that this result is </w:t>
      </w:r>
      <w:r w:rsidRPr="00A51CD5">
        <w:t>implausibl</w:t>
      </w:r>
      <w:r>
        <w:t>e, as</w:t>
      </w:r>
      <w:r w:rsidRPr="00A51CD5">
        <w:t xml:space="preserve"> </w:t>
      </w:r>
      <w:r>
        <w:t xml:space="preserve">it </w:t>
      </w:r>
      <w:r w:rsidRPr="00A51CD5">
        <w:t>suggest</w:t>
      </w:r>
      <w:r>
        <w:t>s</w:t>
      </w:r>
      <w:r w:rsidRPr="00A51CD5">
        <w:t xml:space="preserve"> </w:t>
      </w:r>
      <w:r w:rsidRPr="007D2E8E">
        <w:t>that investors expect a negative real return on nominal CGS at the same time that they can achieve a positive guaranteed real risk free return simply by buying inflation indexed CGS</w:t>
      </w:r>
      <w:r w:rsidRPr="00A51CD5">
        <w:t>.</w:t>
      </w:r>
      <w:r>
        <w:rPr>
          <w:rStyle w:val="FootnoteReference"/>
        </w:rPr>
        <w:footnoteReference w:id="1532"/>
      </w:r>
      <w:r>
        <w:t xml:space="preserve"> AusNet Services submitted that</w:t>
      </w:r>
      <w:r w:rsidRPr="004E26A9">
        <w:t xml:space="preserve"> investors can achieve positive real risk free returns through investing in index-linked </w:t>
      </w:r>
      <w:r>
        <w:t>CGS, and that th</w:t>
      </w:r>
      <w:r w:rsidRPr="004E26A9">
        <w:t>is test should be applied as a sense check as to whether regulatory decisions reflect market realities.</w:t>
      </w:r>
      <w:r>
        <w:rPr>
          <w:rStyle w:val="FootnoteReference"/>
        </w:rPr>
        <w:footnoteReference w:id="1533"/>
      </w:r>
    </w:p>
    <w:p w:rsidR="00C93468" w:rsidRPr="00A51CD5" w:rsidRDefault="00C93468" w:rsidP="00C93468">
      <w:r>
        <w:t>C</w:t>
      </w:r>
      <w:r w:rsidRPr="00A51CD5">
        <w:t xml:space="preserve">EG submitted that </w:t>
      </w:r>
      <w:r>
        <w:t xml:space="preserve">a </w:t>
      </w:r>
      <w:r w:rsidRPr="00A51CD5">
        <w:t>negative</w:t>
      </w:r>
      <w:r>
        <w:t xml:space="preserve"> </w:t>
      </w:r>
      <w:r w:rsidRPr="00A51CD5">
        <w:t xml:space="preserve">estimated </w:t>
      </w:r>
      <w:r>
        <w:t>real risk free rate</w:t>
      </w:r>
      <w:r w:rsidRPr="00A51CD5">
        <w:t xml:space="preserve"> </w:t>
      </w:r>
      <w:r>
        <w:t>is an</w:t>
      </w:r>
      <w:r w:rsidRPr="00A51CD5">
        <w:t xml:space="preserve"> anomaly </w:t>
      </w:r>
      <w:r>
        <w:t xml:space="preserve">and </w:t>
      </w:r>
      <w:r w:rsidRPr="00A51CD5">
        <w:t>is a result of estimate</w:t>
      </w:r>
      <w:r>
        <w:t>s</w:t>
      </w:r>
      <w:r w:rsidRPr="00A51CD5">
        <w:t xml:space="preserve"> of expected inflation </w:t>
      </w:r>
      <w:r>
        <w:t>from the RBA forecasts and target band approach</w:t>
      </w:r>
      <w:r w:rsidRPr="00A51CD5">
        <w:t xml:space="preserve"> being inappropriate for the current economic environment rather than a true anomaly in investor required returns.</w:t>
      </w:r>
      <w:r>
        <w:rPr>
          <w:rStyle w:val="FootnoteReference"/>
        </w:rPr>
        <w:footnoteReference w:id="1534"/>
      </w:r>
      <w:r>
        <w:t xml:space="preserve"> CEG submitted that </w:t>
      </w:r>
      <w:r w:rsidRPr="00D7574F">
        <w:t xml:space="preserve">indexed CGS are a more direct proxy for the real risk free rate than </w:t>
      </w:r>
      <w:r>
        <w:t xml:space="preserve">a measure that is based on </w:t>
      </w:r>
      <w:r w:rsidRPr="00D7574F">
        <w:t xml:space="preserve">nominal CGS </w:t>
      </w:r>
      <w:r>
        <w:t>and</w:t>
      </w:r>
      <w:r w:rsidRPr="00D7574F">
        <w:t xml:space="preserve"> </w:t>
      </w:r>
      <w:r>
        <w:t xml:space="preserve">then adjusted for </w:t>
      </w:r>
      <w:r w:rsidRPr="00D7574F">
        <w:t>an estimate of expected inflation (even if that estimate of expected inflation is accurate)</w:t>
      </w:r>
      <w:r>
        <w:t>. CEG submitted that</w:t>
      </w:r>
      <w:r w:rsidRPr="00ED7C40">
        <w:t xml:space="preserve"> adopting the yield on indexed CGS as the real risk free rate will substantially improve the accuracy of the PTRM in setting real returns</w:t>
      </w:r>
      <w:r w:rsidRPr="00D7574F">
        <w:t>.</w:t>
      </w:r>
      <w:r>
        <w:rPr>
          <w:rStyle w:val="FootnoteReference"/>
        </w:rPr>
        <w:footnoteReference w:id="1535"/>
      </w:r>
    </w:p>
    <w:p w:rsidR="00C93468" w:rsidRDefault="00C93468" w:rsidP="00C93468">
      <w:r>
        <w:t>We note that in both our draft and final decisions for AusNet Services' 2017–22 electricity transmission determination our implied real risk free rate has been a positive (not negative) value.</w:t>
      </w:r>
      <w:r>
        <w:rPr>
          <w:rStyle w:val="FootnoteReference"/>
        </w:rPr>
        <w:footnoteReference w:id="1536"/>
      </w:r>
      <w:r>
        <w:t xml:space="preserve"> We acknowledge that our estimate approach, if applied during different time periods, may imply a negative real risk free rate.</w:t>
      </w:r>
    </w:p>
    <w:p w:rsidR="00C93468" w:rsidRDefault="00C93468" w:rsidP="00C93468">
      <w:r>
        <w:t xml:space="preserve">We do not consider it implausible or anomalous for yields on indexed CGS to fall below zero. As shown in </w:t>
      </w:r>
      <w:r>
        <w:fldChar w:fldCharType="begin"/>
      </w:r>
      <w:r>
        <w:instrText xml:space="preserve"> REF _Ref477353912 \h </w:instrText>
      </w:r>
      <w:r>
        <w:fldChar w:fldCharType="separate"/>
      </w:r>
      <w:r w:rsidR="006B4A74">
        <w:t xml:space="preserve">Figure </w:t>
      </w:r>
      <w:r w:rsidR="006B4A74">
        <w:rPr>
          <w:noProof/>
        </w:rPr>
        <w:t>3</w:t>
      </w:r>
      <w:r w:rsidR="006B4A74">
        <w:noBreakHyphen/>
      </w:r>
      <w:r w:rsidR="006B4A74">
        <w:rPr>
          <w:noProof/>
        </w:rPr>
        <w:t>24</w:t>
      </w:r>
      <w:r>
        <w:fldChar w:fldCharType="end"/>
      </w:r>
      <w:r>
        <w:t xml:space="preserve"> below, the yield to maturity on 10-year indexed CGS approached zero in mid-2012 and early 2015. Given the movement in observed yields on indexed CGS since 2010, we consider it plausible (though we have no views on likelihood) that yields could again approach or fall below zero.</w:t>
      </w:r>
    </w:p>
    <w:p w:rsidR="00C93468" w:rsidRDefault="00C93468" w:rsidP="008A2B2B">
      <w:pPr>
        <w:pStyle w:val="Caption"/>
      </w:pPr>
      <w:bookmarkStart w:id="609" w:name="_Ref477353912"/>
      <w:r>
        <w:t xml:space="preserve">Figure </w:t>
      </w:r>
      <w:fldSimple w:instr=" STYLEREF 1 \s ">
        <w:r w:rsidR="006B4A74">
          <w:rPr>
            <w:noProof/>
          </w:rPr>
          <w:t>3</w:t>
        </w:r>
      </w:fldSimple>
      <w:r w:rsidR="008A2B2B">
        <w:noBreakHyphen/>
      </w:r>
      <w:fldSimple w:instr=" SEQ Figure \* ARABIC \s 1 ">
        <w:r w:rsidR="006B4A74">
          <w:rPr>
            <w:noProof/>
          </w:rPr>
          <w:t>24</w:t>
        </w:r>
      </w:fldSimple>
      <w:bookmarkEnd w:id="609"/>
      <w:r>
        <w:t xml:space="preserve"> Yields on 10-year nominal and indexed CGS (AGS)</w:t>
      </w:r>
    </w:p>
    <w:p w:rsidR="00C93468" w:rsidRDefault="00C93468" w:rsidP="00C93468">
      <w:r w:rsidRPr="00C93468">
        <w:rPr>
          <w:noProof/>
          <w:lang w:eastAsia="en-AU"/>
        </w:rPr>
        <w:drawing>
          <wp:inline distT="0" distB="0" distL="0" distR="0" wp14:anchorId="40C03985" wp14:editId="296B75E4">
            <wp:extent cx="5382895" cy="3494947"/>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2895" cy="3494947"/>
                    </a:xfrm>
                    <a:prstGeom prst="rect">
                      <a:avLst/>
                    </a:prstGeom>
                    <a:noFill/>
                    <a:ln>
                      <a:noFill/>
                    </a:ln>
                  </pic:spPr>
                </pic:pic>
              </a:graphicData>
            </a:graphic>
          </wp:inline>
        </w:drawing>
      </w:r>
    </w:p>
    <w:p w:rsidR="00C93468" w:rsidRDefault="00C93468" w:rsidP="00C93468">
      <w:pPr>
        <w:pStyle w:val="AERtablesource"/>
      </w:pPr>
      <w:r>
        <w:t>Source: AER analysis, RBA interest rate statistics F16 Indicative Mid-Rates of Australian Government Securities</w:t>
      </w:r>
    </w:p>
    <w:p w:rsidR="00C93468" w:rsidRDefault="00C93468" w:rsidP="00C93468">
      <w:r>
        <w:t xml:space="preserve">We also consider it plausible for yields on indexed CGS to be positive while the real risk free rate is negative. As outlined in section </w:t>
      </w:r>
      <w:r>
        <w:fldChar w:fldCharType="begin"/>
      </w:r>
      <w:r>
        <w:instrText xml:space="preserve"> REF _Ref478559903 \r \h </w:instrText>
      </w:r>
      <w:r>
        <w:fldChar w:fldCharType="separate"/>
      </w:r>
      <w:r w:rsidR="007858BF">
        <w:t>3.4.4.1</w:t>
      </w:r>
      <w:r>
        <w:fldChar w:fldCharType="end"/>
      </w:r>
      <w:r>
        <w:t>, there are a number of biases and risk premia that may affect yields on indexed CGS, specifically potential liquidity premia driven by the relative liquidity of nominal and indexed CGS. If investors in indexed CGS consider liquidity to be a significant risk, then yields on indexed CGS will be higher to compensate investors for this risk. In this case, the yields on indexed CGS do not represent a true real risk free rate, but the real risk free rate plus the liquidity premium. Academic researchers have found that liquidity premium on indexed CGS could range from -30 to 300 basis points.</w:t>
      </w:r>
      <w:r>
        <w:rPr>
          <w:rStyle w:val="FootnoteReference"/>
        </w:rPr>
        <w:footnoteReference w:id="1537"/>
      </w:r>
      <w:r>
        <w:t xml:space="preserve"> Currently, a liquidity premium of 64 basis points</w:t>
      </w:r>
      <w:r>
        <w:rPr>
          <w:rStyle w:val="FootnoteReference"/>
        </w:rPr>
        <w:footnoteReference w:id="1538"/>
      </w:r>
      <w:r>
        <w:t xml:space="preserve"> or higher would result in a negative risk-adjusted return on indexed CGS.</w:t>
      </w:r>
    </w:p>
    <w:p w:rsidR="00C93468" w:rsidRDefault="00C93468" w:rsidP="00C93468">
      <w:r>
        <w:t>Further, we do not consider that negative interest rates are implausible in general. There may be a cost to storing and insuring cash reserves, such that investing in bonds and other assets can remain attractive even at negative interest rates.</w:t>
      </w:r>
      <w:r>
        <w:rPr>
          <w:rStyle w:val="FootnoteReference"/>
        </w:rPr>
        <w:footnoteReference w:id="1539"/>
      </w:r>
      <w:r>
        <w:t xml:space="preserve"> The CCP supported this view, stating:</w:t>
      </w:r>
      <w:r>
        <w:rPr>
          <w:rStyle w:val="FootnoteReference"/>
        </w:rPr>
        <w:footnoteReference w:id="1540"/>
      </w:r>
    </w:p>
    <w:p w:rsidR="00C93468" w:rsidRDefault="00C93468" w:rsidP="00C93468">
      <w:pPr>
        <w:pStyle w:val="AERquoteindent1"/>
      </w:pPr>
      <w:r>
        <w:t>…very low rates are a fact, and negative rates are not outside the realms of possibility</w:t>
      </w:r>
    </w:p>
    <w:p w:rsidR="00C93468" w:rsidRDefault="00C93468" w:rsidP="00C93468">
      <w:r>
        <w:t xml:space="preserve">In any case, our final decision implies a positive real risk free rate. In this light, the submissions from CEG and AusNet Services can be reduced to the contention that the RBA forecasts and target band method does not result in best estimates of expected inflation because it would result in an implied real risk free rate that is materially different from yields on indexed CGS (regardless of whether the risk free rate is negative or positive). This contention presumes that the yields on indexed CGS provide an accurate and unbiased estimate of the real risk free rate. We do not consider that this presumption is supported by the evidence currently available to us. Specifically, we consider that there are a number of biases and risk premia (see section </w:t>
      </w:r>
      <w:r>
        <w:fldChar w:fldCharType="begin"/>
      </w:r>
      <w:r>
        <w:instrText xml:space="preserve"> REF _Ref478559903 \r \h </w:instrText>
      </w:r>
      <w:r>
        <w:fldChar w:fldCharType="separate"/>
      </w:r>
      <w:r w:rsidR="007858BF">
        <w:t>3.4.4.1</w:t>
      </w:r>
      <w:r>
        <w:fldChar w:fldCharType="end"/>
      </w:r>
      <w:r>
        <w:t>) likely to affect the yield on indexed CGS such that it does not equal the real risk free rate.</w:t>
      </w:r>
    </w:p>
    <w:p w:rsidR="00C93468" w:rsidRDefault="00C93468" w:rsidP="00C93468">
      <w:r>
        <w:t xml:space="preserve">We also consider the evidence from the Australian market for zero-coupon inflation swaps. CEG and AusNet Services submitted that an investor could invest in indexed CGS and earn a real risk free return. However, to earn a real risk free return, an investor could alternatively invest in nominal CGS and enter into an inflation swap to hedge inflation risk on its investment in nominal CGS. </w:t>
      </w:r>
      <w:r>
        <w:fldChar w:fldCharType="begin"/>
      </w:r>
      <w:r>
        <w:instrText xml:space="preserve"> REF _Ref478318915 \h </w:instrText>
      </w:r>
      <w:r>
        <w:fldChar w:fldCharType="separate"/>
      </w:r>
      <w:r w:rsidR="006B4A74">
        <w:t xml:space="preserve">Figure </w:t>
      </w:r>
      <w:r w:rsidR="006B4A74">
        <w:rPr>
          <w:noProof/>
        </w:rPr>
        <w:t>3</w:t>
      </w:r>
      <w:r w:rsidR="006B4A74">
        <w:noBreakHyphen/>
      </w:r>
      <w:r w:rsidR="006B4A74">
        <w:rPr>
          <w:noProof/>
        </w:rPr>
        <w:t>25</w:t>
      </w:r>
      <w:r>
        <w:fldChar w:fldCharType="end"/>
      </w:r>
      <w:r>
        <w:t xml:space="preserve"> below outlines the structure of a zero-coupon inflation swap. In this case, the investor would be the fixed rate payer in the inflation swap agreement and would pay a fixed, market-determined rate to the counterparty in exchange for a floating rate payment (based on outturn CPI) from the counterparty. </w:t>
      </w:r>
    </w:p>
    <w:p w:rsidR="00C93468" w:rsidRPr="00FF7954" w:rsidRDefault="00C93468" w:rsidP="00C93468">
      <w:pPr>
        <w:pStyle w:val="Caption"/>
      </w:pPr>
      <w:bookmarkStart w:id="610" w:name="_Ref478318915"/>
      <w:r>
        <w:t xml:space="preserve">Figure </w:t>
      </w:r>
      <w:fldSimple w:instr=" STYLEREF 1 \s ">
        <w:r w:rsidR="006B4A74">
          <w:rPr>
            <w:noProof/>
          </w:rPr>
          <w:t>3</w:t>
        </w:r>
      </w:fldSimple>
      <w:r w:rsidR="008A2B2B">
        <w:noBreakHyphen/>
      </w:r>
      <w:fldSimple w:instr=" SEQ Figure \* ARABIC \s 1 ">
        <w:r w:rsidR="006B4A74">
          <w:rPr>
            <w:noProof/>
          </w:rPr>
          <w:t>25</w:t>
        </w:r>
      </w:fldSimple>
      <w:bookmarkEnd w:id="610"/>
      <w:r>
        <w:tab/>
        <w:t>Structure of a zero-coupon inflation swap</w:t>
      </w:r>
    </w:p>
    <w:p w:rsidR="00C93468" w:rsidRPr="00FF7954" w:rsidRDefault="00C93468" w:rsidP="00C93468">
      <w:r w:rsidRPr="00FF7954">
        <w:tab/>
      </w:r>
      <w:r w:rsidRPr="00FF7954">
        <w:tab/>
      </w:r>
      <w:r w:rsidRPr="00FF7954">
        <w:tab/>
      </w:r>
      <w:r w:rsidRPr="00FF7954">
        <w:tab/>
      </w:r>
      <w:r w:rsidRPr="00FF7954">
        <w:tab/>
      </w:r>
      <w:r w:rsidRPr="00FF7954">
        <w:tab/>
      </w:r>
      <w:r w:rsidRPr="00FF7954">
        <w:tab/>
        <w:t>Notional value*((1 + fixed rate)tenor –1)</w:t>
      </w:r>
    </w:p>
    <w:p w:rsidR="00C93468" w:rsidRPr="00FF7954" w:rsidRDefault="00C93468" w:rsidP="00C93468">
      <w:r w:rsidRPr="00C93468">
        <w:rPr>
          <w:noProof/>
          <w:lang w:eastAsia="en-AU"/>
        </w:rPr>
        <mc:AlternateContent>
          <mc:Choice Requires="wps">
            <w:drawing>
              <wp:anchor distT="0" distB="0" distL="114300" distR="114300" simplePos="0" relativeHeight="251662336" behindDoc="0" locked="0" layoutInCell="1" allowOverlap="1" wp14:anchorId="1A9665C0" wp14:editId="16CA39E3">
                <wp:simplePos x="0" y="0"/>
                <wp:positionH relativeFrom="column">
                  <wp:posOffset>4053840</wp:posOffset>
                </wp:positionH>
                <wp:positionV relativeFrom="paragraph">
                  <wp:posOffset>52705</wp:posOffset>
                </wp:positionV>
                <wp:extent cx="1181735" cy="580390"/>
                <wp:effectExtent l="0" t="0" r="18415" b="10160"/>
                <wp:wrapNone/>
                <wp:docPr id="104" name="Text Box 104"/>
                <wp:cNvGraphicFramePr/>
                <a:graphic xmlns:a="http://schemas.openxmlformats.org/drawingml/2006/main">
                  <a:graphicData uri="http://schemas.microsoft.com/office/word/2010/wordprocessingShape">
                    <wps:wsp>
                      <wps:cNvSpPr txBox="1"/>
                      <wps:spPr>
                        <a:xfrm>
                          <a:off x="0" y="0"/>
                          <a:ext cx="1181735" cy="580390"/>
                        </a:xfrm>
                        <a:prstGeom prst="rect">
                          <a:avLst/>
                        </a:prstGeom>
                        <a:solidFill>
                          <a:sysClr val="window" lastClr="FFFFFF"/>
                        </a:solidFill>
                        <a:ln w="6350">
                          <a:solidFill>
                            <a:prstClr val="black"/>
                          </a:solidFill>
                        </a:ln>
                        <a:effectLst/>
                      </wps:spPr>
                      <wps:txbx>
                        <w:txbxContent>
                          <w:p w:rsidR="002D334E" w:rsidRDefault="002D334E" w:rsidP="00C93468">
                            <w:r>
                              <w:t>Counterparty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39" type="#_x0000_t202" style="position:absolute;margin-left:319.2pt;margin-top:4.15pt;width:93.05pt;height:45.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" fillcolor="window" strokeweight=".5pt">
                <v:textbox>
                  <w:txbxContent>
                    <w:p w:rsidR="002D334E" w:rsidRDefault="002D334E" w:rsidP="00C93468">
                      <w:r>
                        <w:t>Counterparty B</w:t>
                      </w:r>
                    </w:p>
                  </w:txbxContent>
                </v:textbox>
              </v:shape>
            </w:pict>
          </mc:Fallback>
        </mc:AlternateContent>
      </w:r>
      <w:r w:rsidRPr="00C93468">
        <w:rPr>
          <w:noProof/>
          <w:lang w:eastAsia="en-AU"/>
        </w:rPr>
        <mc:AlternateContent>
          <mc:Choice Requires="wps">
            <w:drawing>
              <wp:anchor distT="0" distB="0" distL="114300" distR="114300" simplePos="0" relativeHeight="251664384" behindDoc="0" locked="0" layoutInCell="1" allowOverlap="1" wp14:anchorId="671B89B6" wp14:editId="267EF990">
                <wp:simplePos x="0" y="0"/>
                <wp:positionH relativeFrom="column">
                  <wp:posOffset>1134745</wp:posOffset>
                </wp:positionH>
                <wp:positionV relativeFrom="paragraph">
                  <wp:posOffset>130810</wp:posOffset>
                </wp:positionV>
                <wp:extent cx="2917190" cy="15240"/>
                <wp:effectExtent l="0" t="76200" r="16510" b="80010"/>
                <wp:wrapNone/>
                <wp:docPr id="103" name="Straight Arrow Connector 103"/>
                <wp:cNvGraphicFramePr/>
                <a:graphic xmlns:a="http://schemas.openxmlformats.org/drawingml/2006/main">
                  <a:graphicData uri="http://schemas.microsoft.com/office/word/2010/wordprocessingShape">
                    <wps:wsp>
                      <wps:cNvCnPr/>
                      <wps:spPr>
                        <a:xfrm flipV="1">
                          <a:off x="0" y="0"/>
                          <a:ext cx="291719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3" o:spid="_x0000_s1026" type="#_x0000_t32" style="position:absolute;margin-left:89.35pt;margin-top:10.3pt;width:229.7pt;height:1.2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" strokecolor="#37454f">
                <v:stroke endarrow="block"/>
              </v:shape>
            </w:pict>
          </mc:Fallback>
        </mc:AlternateContent>
      </w:r>
      <w:r w:rsidRPr="00C93468">
        <w:rPr>
          <w:noProof/>
          <w:lang w:eastAsia="en-AU"/>
        </w:rPr>
        <mc:AlternateContent>
          <mc:Choice Requires="wps">
            <w:drawing>
              <wp:anchor distT="0" distB="0" distL="114300" distR="114300" simplePos="0" relativeHeight="251661312" behindDoc="0" locked="0" layoutInCell="1" allowOverlap="1" wp14:anchorId="7038D91C" wp14:editId="4FEDF22B">
                <wp:simplePos x="0" y="0"/>
                <wp:positionH relativeFrom="column">
                  <wp:posOffset>-32385</wp:posOffset>
                </wp:positionH>
                <wp:positionV relativeFrom="paragraph">
                  <wp:posOffset>81280</wp:posOffset>
                </wp:positionV>
                <wp:extent cx="1166495" cy="580390"/>
                <wp:effectExtent l="0" t="0" r="14605" b="10160"/>
                <wp:wrapNone/>
                <wp:docPr id="105" name="Text Box 105"/>
                <wp:cNvGraphicFramePr/>
                <a:graphic xmlns:a="http://schemas.openxmlformats.org/drawingml/2006/main">
                  <a:graphicData uri="http://schemas.microsoft.com/office/word/2010/wordprocessingShape">
                    <wps:wsp>
                      <wps:cNvSpPr txBox="1"/>
                      <wps:spPr>
                        <a:xfrm>
                          <a:off x="0" y="0"/>
                          <a:ext cx="1166495" cy="580390"/>
                        </a:xfrm>
                        <a:prstGeom prst="rect">
                          <a:avLst/>
                        </a:prstGeom>
                        <a:solidFill>
                          <a:sysClr val="window" lastClr="FFFFFF"/>
                        </a:solidFill>
                        <a:ln w="6350">
                          <a:solidFill>
                            <a:prstClr val="black"/>
                          </a:solidFill>
                        </a:ln>
                        <a:effectLst/>
                      </wps:spPr>
                      <wps:txbx>
                        <w:txbxContent>
                          <w:p w:rsidR="002D334E" w:rsidRDefault="002D334E" w:rsidP="00C93468">
                            <w:r>
                              <w:t>Counterparty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040" type="#_x0000_t202" style="position:absolute;margin-left:-2.55pt;margin-top:6.4pt;width:91.85pt;height:4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" fillcolor="window" strokeweight=".5pt">
                <v:textbox>
                  <w:txbxContent>
                    <w:p w:rsidR="002D334E" w:rsidRDefault="002D334E" w:rsidP="00C93468">
                      <w:r>
                        <w:t>Counterparty A</w:t>
                      </w:r>
                    </w:p>
                  </w:txbxContent>
                </v:textbox>
              </v:shape>
            </w:pict>
          </mc:Fallback>
        </mc:AlternateContent>
      </w:r>
    </w:p>
    <w:p w:rsidR="00C93468" w:rsidRPr="00FE48A7" w:rsidRDefault="00C93468" w:rsidP="00C93468">
      <w:r w:rsidRPr="00C93468">
        <w:rPr>
          <w:noProof/>
          <w:lang w:eastAsia="en-AU"/>
        </w:rPr>
        <mc:AlternateContent>
          <mc:Choice Requires="wps">
            <w:drawing>
              <wp:anchor distT="0" distB="0" distL="114300" distR="114300" simplePos="0" relativeHeight="251663360" behindDoc="0" locked="0" layoutInCell="1" allowOverlap="1" wp14:anchorId="76704425" wp14:editId="4BF32831">
                <wp:simplePos x="0" y="0"/>
                <wp:positionH relativeFrom="column">
                  <wp:posOffset>1142365</wp:posOffset>
                </wp:positionH>
                <wp:positionV relativeFrom="paragraph">
                  <wp:posOffset>209550</wp:posOffset>
                </wp:positionV>
                <wp:extent cx="2912110" cy="15240"/>
                <wp:effectExtent l="38100" t="57150" r="0" b="99060"/>
                <wp:wrapNone/>
                <wp:docPr id="108" name="Straight Arrow Connector 108"/>
                <wp:cNvGraphicFramePr/>
                <a:graphic xmlns:a="http://schemas.openxmlformats.org/drawingml/2006/main">
                  <a:graphicData uri="http://schemas.microsoft.com/office/word/2010/wordprocessingShape">
                    <wps:wsp>
                      <wps:cNvCnPr/>
                      <wps:spPr>
                        <a:xfrm flipH="1">
                          <a:off x="0" y="0"/>
                          <a:ext cx="291211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8" o:spid="_x0000_s1026" type="#_x0000_t32" style="position:absolute;margin-left:89.95pt;margin-top:16.5pt;width:229.3pt;height:1.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" strokecolor="#37454f">
                <v:stroke endarrow="block"/>
              </v:shape>
            </w:pict>
          </mc:Fallback>
        </mc:AlternateContent>
      </w:r>
    </w:p>
    <w:p w:rsidR="00C93468" w:rsidRPr="00FF7954" w:rsidRDefault="00C93468" w:rsidP="00C93468">
      <w:r>
        <w:tab/>
      </w:r>
      <w:r>
        <w:tab/>
      </w:r>
      <w:r>
        <w:tab/>
      </w:r>
      <w:r>
        <w:tab/>
      </w:r>
      <w:r>
        <w:tab/>
      </w:r>
      <w:r>
        <w:tab/>
      </w:r>
      <w:r>
        <w:tab/>
      </w:r>
      <w:r w:rsidRPr="00FF7954">
        <w:t>Notional value*(</w:t>
      </w:r>
      <m:oMath>
        <m:f>
          <m:fPr>
            <m:ctrlPr>
              <w:rPr>
                <w:rFonts w:ascii="Cambria Math" w:hAnsi="Cambria Math"/>
              </w:rPr>
            </m:ctrlPr>
          </m:fPr>
          <m:num>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t+tenor</m:t>
                </m:r>
              </m:sub>
            </m:sSub>
          </m:num>
          <m:den>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m:t>
                </m:r>
              </m:sub>
            </m:sSub>
          </m:den>
        </m:f>
        <m:r>
          <m:rPr>
            <m:sty m:val="bi"/>
          </m:rPr>
          <w:rPr>
            <w:rFonts w:ascii="Cambria Math" w:hAnsi="Cambria Math"/>
          </w:rPr>
          <m:t>-1</m:t>
        </m:r>
      </m:oMath>
      <w:r w:rsidRPr="00FF7954">
        <w:t>)</w:t>
      </w:r>
    </w:p>
    <w:p w:rsidR="00C93468" w:rsidRPr="00FF7954" w:rsidRDefault="00C93468" w:rsidP="00C93468">
      <w:pPr>
        <w:pStyle w:val="AERtablesource"/>
      </w:pPr>
      <w:r w:rsidRPr="00FF7954">
        <w:t xml:space="preserve">Source: </w:t>
      </w:r>
      <w:r>
        <w:tab/>
      </w:r>
      <w:r w:rsidRPr="00FF7954">
        <w:t>Michael Oman, ‘Inflation swap structures: The benchmark – Zero coupon inflation swaps’, Inflation Derivatives: A Users Guide, Barclays Capital, January</w:t>
      </w:r>
      <w:r>
        <w:t xml:space="preserve"> 2005</w:t>
      </w:r>
      <w:r w:rsidRPr="00FF7954">
        <w:t xml:space="preserve">, p. 5. </w:t>
      </w:r>
    </w:p>
    <w:p w:rsidR="00C93468" w:rsidRDefault="00C93468" w:rsidP="00C93468">
      <w:r>
        <w:t>The floating rate payments that the inflation-hedged nominal CGS investor receives from their inflation swap should equal the value of the nominal CGS yield that is eroded by inflation,</w:t>
      </w:r>
      <w:r>
        <w:rPr>
          <w:rStyle w:val="FootnoteReference"/>
        </w:rPr>
        <w:footnoteReference w:id="1541"/>
      </w:r>
      <w:r>
        <w:t xml:space="preserve"> preserving the nominal yield as the real return. The real return that the investor receives is then the yield on nominal CGS less the fixed swap rate, which is market-determined rate. Over AusNet Services' averaging period, the market-determined zero-coupon swap rate was 2.34 per cent.</w:t>
      </w:r>
      <w:r>
        <w:rPr>
          <w:rStyle w:val="FootnoteReference"/>
        </w:rPr>
        <w:footnoteReference w:id="1542"/>
      </w:r>
      <w:r>
        <w:t xml:space="preserve"> Combined with our nominal risk free rate (estimated from yields on nominal CGS), this implies a real risk free rate of 0.18 per cent, 46 basis points less than the yield on indexed CGS.</w:t>
      </w:r>
    </w:p>
    <w:p w:rsidR="00C93468" w:rsidRDefault="00C93468" w:rsidP="00C93468">
      <w:r>
        <w:t>Although investors cannot (directly) invest in RBA forecasts or the RBA target band, this fact alone does not invalidate our real risk free rate estimate. Investors can invest in indexed CGS or in inflation swaps. Both swap and bond rates are market-determined, however swap-implied real risk free rates can differ materially from yields on indexed CGS. The difference between these two real risk free rate estimates is likely to be the presence of biases and premia in either the swap rates, the indexed CGS yields,</w:t>
      </w:r>
      <w:r w:rsidRPr="00C3226B">
        <w:t xml:space="preserve"> </w:t>
      </w:r>
      <w:r>
        <w:t xml:space="preserve">or both. </w:t>
      </w:r>
    </w:p>
    <w:p w:rsidR="00C93468" w:rsidRDefault="00C93468" w:rsidP="00C93468">
      <w:r>
        <w:t xml:space="preserve">We consider, based on the currently available evidence, that the swap rate is likely to be less influenced by biases and premia than the yields on indexed CGS. However, we also consider that the swap rate may be influenced by bias and premia, such that it too may not reflect the true real risk free rate. </w:t>
      </w:r>
    </w:p>
    <w:p w:rsidR="00C93468" w:rsidRDefault="00C93468" w:rsidP="00C93468">
      <w:r>
        <w:t>Academic evidence that long term inflation expectations are relatively stable and anchored to the RBA target band, may suggest that the RBA forecasts and target band approach  provides the best estimates of expected inflation. We also consider that the yields on nominal CGS provide the best estimate of the nominal risk free rate. Therefore, we are satisfied that the best estimates of the nominal risk free rate and expected inflation will result in the best estimate of the real risk free rate.</w:t>
      </w:r>
    </w:p>
    <w:p w:rsidR="00C93468" w:rsidRPr="00C93468" w:rsidRDefault="00C93468" w:rsidP="00C93468">
      <w:pPr>
        <w:pStyle w:val="Heading9"/>
      </w:pPr>
      <w:bookmarkStart w:id="611" w:name="_Toc480460959"/>
      <w:r>
        <w:t>Calculating a nominal risk free rate from our inflation estimate and indexed CGS yields</w:t>
      </w:r>
      <w:bookmarkEnd w:id="611"/>
    </w:p>
    <w:p w:rsidR="00C93468" w:rsidRDefault="00C93468" w:rsidP="00C93468">
      <w:r>
        <w:t>AusNet Services proposed that, if the break-even approach is not adopted for estimating expected inflation, then we should change the way we estimate the nominal risk free rate. In this case AusNet Services proposes that the nominal risk free rate should be estimated by starting with the yield on indexed CGS as an estimate of the real risk free rate, and then transform this real rate into a nominal rate using the Fisher equation and our estimate of expected inflation.</w:t>
      </w:r>
      <w:r>
        <w:rPr>
          <w:rStyle w:val="FootnoteReference"/>
        </w:rPr>
        <w:footnoteReference w:id="1543"/>
      </w:r>
      <w:r>
        <w:t xml:space="preserve"> </w:t>
      </w:r>
    </w:p>
    <w:p w:rsidR="00C93468" w:rsidRDefault="00C93468" w:rsidP="00C93468">
      <w:r>
        <w:t>The National Electricity Rules require us to determine a nominal rate of return. Consequently, we estimate the nominal rate of return by reference to a nominal return on equity, nominal return on debt, and nominal risk free rate. In this decision, for return on equity, our nominal estimate is 7.1 per cent,</w:t>
      </w:r>
      <w:r>
        <w:rPr>
          <w:rStyle w:val="FootnoteReference"/>
        </w:rPr>
        <w:footnoteReference w:id="1544"/>
      </w:r>
      <w:r>
        <w:t xml:space="preserve"> based on a nominal risk free rate of 2.52 per cent and an equity risk premium of 4.55 per cent.</w:t>
      </w:r>
    </w:p>
    <w:p w:rsidR="00C93468" w:rsidRDefault="00C93468" w:rsidP="00C93468">
      <w:r>
        <w:t>Under AusNet's Services proposal, the nominal risk free rate would be calculated by combining the real risk free rate with our estimate of expected inflation. Our estimate of expected inflation in this decision is 2.40 per cent. AusNet Services proposes that the real risk free rate be calculated from the yields on indexed CGS, which would result in an estimate of 0.64 per cent.</w:t>
      </w:r>
      <w:r>
        <w:rPr>
          <w:rStyle w:val="FootnoteReference"/>
        </w:rPr>
        <w:footnoteReference w:id="1545"/>
      </w:r>
      <w:r>
        <w:t xml:space="preserve"> Therefore, using the Fisher equation, the nominal risk free rate under AusNet Services' proposal would be 3.06 per cent,</w:t>
      </w:r>
      <w:r>
        <w:rPr>
          <w:rStyle w:val="FootnoteReference"/>
        </w:rPr>
        <w:footnoteReference w:id="1546"/>
      </w:r>
      <w:r>
        <w:t xml:space="preserve"> resulting in a nominal return on equity of 7.6 per cent.</w:t>
      </w:r>
      <w:r>
        <w:rPr>
          <w:rStyle w:val="FootnoteReference"/>
        </w:rPr>
        <w:footnoteReference w:id="1547"/>
      </w:r>
    </w:p>
    <w:p w:rsidR="00C93468" w:rsidRDefault="00C93468" w:rsidP="00C93468">
      <w:r>
        <w:t xml:space="preserve">AusNet Services' proposal is premised on the yields on indexed CGS reflecting the real risk free rate. For the reasons set out in section </w:t>
      </w:r>
      <w:r>
        <w:fldChar w:fldCharType="begin"/>
      </w:r>
      <w:r>
        <w:instrText xml:space="preserve"> REF _Ref478417819 \r \h </w:instrText>
      </w:r>
      <w:r>
        <w:fldChar w:fldCharType="separate"/>
      </w:r>
      <w:r w:rsidR="006B4A74">
        <w:t>K.1.5</w:t>
      </w:r>
      <w:r>
        <w:fldChar w:fldCharType="end"/>
      </w:r>
      <w:r>
        <w:t>, we consider that the yield on indexed CGS is not the best estimate of the real risk free rate. For this reason, we consider that AusNet Services' alternative proposal for estimating the nominal risk free rate will not result in a reliable and unbiased estimate, and therefore would not contribute to the achievement of the allowed rate of return objective.</w:t>
      </w:r>
    </w:p>
    <w:p w:rsidR="00C93468" w:rsidRPr="00C93468" w:rsidRDefault="00C93468" w:rsidP="00C93468">
      <w:pPr>
        <w:pStyle w:val="Heading8"/>
      </w:pPr>
      <w:bookmarkStart w:id="612" w:name="_Ref478561466"/>
      <w:bookmarkStart w:id="613" w:name="_Toc481057512"/>
      <w:r>
        <w:t>Break-even estimates a</w:t>
      </w:r>
      <w:r w:rsidRPr="00C93468">
        <w:t>s a direct market measure</w:t>
      </w:r>
      <w:bookmarkEnd w:id="612"/>
      <w:bookmarkEnd w:id="613"/>
    </w:p>
    <w:p w:rsidR="00C93468" w:rsidRDefault="00C93468" w:rsidP="00C93468">
      <w:r>
        <w:t xml:space="preserve">CEG submitted that bond </w:t>
      </w:r>
      <w:r w:rsidRPr="00ED7C40">
        <w:t xml:space="preserve">break-even inflation </w:t>
      </w:r>
      <w:r>
        <w:t>estimates are</w:t>
      </w:r>
      <w:r w:rsidRPr="00ED7C40">
        <w:t xml:space="preserve"> a direct measure of inflation expectations in the same bond market that the AER uses to set the nominal rate of return on equity (i.e., the CGS market).</w:t>
      </w:r>
      <w:r>
        <w:t xml:space="preserve"> CEG also submitted that </w:t>
      </w:r>
      <w:r w:rsidRPr="00D7574F">
        <w:t xml:space="preserve">indexed CGS are a more direct proxy for the real risk free rate than </w:t>
      </w:r>
      <w:r>
        <w:t xml:space="preserve">a measure equal to </w:t>
      </w:r>
      <w:r w:rsidRPr="00D7574F">
        <w:t>nominal CGS less an estimate of expected inflation (even if that estimate of expected inflation is accurate).</w:t>
      </w:r>
      <w:r>
        <w:rPr>
          <w:rStyle w:val="FootnoteReference"/>
        </w:rPr>
        <w:footnoteReference w:id="1548"/>
      </w:r>
    </w:p>
    <w:p w:rsidR="00C93468" w:rsidRPr="002270C0" w:rsidRDefault="00C93468" w:rsidP="00C93468">
      <w:r w:rsidRPr="002270C0">
        <w:t xml:space="preserve">CEG contends that breakeven inflation, as calculated by the difference between nominal and indexed CGS bond yields, is a direct measure of market inflation expectations. This contention would only hold true if the </w:t>
      </w:r>
      <w:r>
        <w:t>following assumptions were true</w:t>
      </w:r>
      <w:r w:rsidRPr="002270C0">
        <w:t>:</w:t>
      </w:r>
    </w:p>
    <w:p w:rsidR="00C93468" w:rsidRPr="002270C0" w:rsidRDefault="00C93468" w:rsidP="00C93468">
      <w:pPr>
        <w:pStyle w:val="AERbulletlistfirststyle"/>
      </w:pPr>
      <w:r w:rsidRPr="002270C0">
        <w:t xml:space="preserve">breakeven inflation can be accurately </w:t>
      </w:r>
      <w:r>
        <w:t xml:space="preserve">and reliably </w:t>
      </w:r>
      <w:r w:rsidRPr="002270C0">
        <w:t>calculated from nominal and indexed CGS; and</w:t>
      </w:r>
    </w:p>
    <w:p w:rsidR="00C93468" w:rsidRPr="002270C0" w:rsidRDefault="00C93468" w:rsidP="00C93468">
      <w:pPr>
        <w:pStyle w:val="AERbulletlistfirststyle"/>
      </w:pPr>
      <w:r w:rsidRPr="002270C0">
        <w:t>yields for nominal and indexed CGS were not influenced by premia or biases held by bond investors</w:t>
      </w:r>
      <w:r>
        <w:t xml:space="preserve"> (or </w:t>
      </w:r>
      <w:r w:rsidRPr="002270C0">
        <w:t>if the various premia and biases influencing bond investors could be identified and decomposed within bond yields</w:t>
      </w:r>
      <w:r>
        <w:t>)</w:t>
      </w:r>
      <w:r w:rsidRPr="002270C0">
        <w:t>.</w:t>
      </w:r>
    </w:p>
    <w:p w:rsidR="00C93468" w:rsidRPr="002270C0" w:rsidRDefault="00C93468" w:rsidP="00C93468">
      <w:r>
        <w:t>In regards to</w:t>
      </w:r>
      <w:r w:rsidRPr="002270C0">
        <w:t xml:space="preserve"> the first assumption, a lack of outstanding tenors in indexed C</w:t>
      </w:r>
      <w:r>
        <w:t>GS relative to nominal CGS can lead</w:t>
      </w:r>
      <w:r w:rsidRPr="002270C0">
        <w:t xml:space="preserve"> to problems in matching the maturities of nominal and indexed CGS.</w:t>
      </w:r>
      <w:r w:rsidRPr="002270C0">
        <w:rPr>
          <w:rStyle w:val="FootnoteReference"/>
        </w:rPr>
        <w:footnoteReference w:id="1549"/>
      </w:r>
      <w:r w:rsidRPr="002270C0">
        <w:t xml:space="preserve"> The approximate matching of 10 year maturities of nominal and indexed CGS is necessary for the calculation of 10 year </w:t>
      </w:r>
      <w:r>
        <w:t>bond break-even estimates</w:t>
      </w:r>
      <w:r w:rsidRPr="002270C0">
        <w:t>. Thus, if there are too few tenors of indexed CGS, or the tenors of indexed and nominal CGS don’t match, the calculation of breakeven inflation may rely on estimates of yields to maturity rather than on observed yields to maturity.</w:t>
      </w:r>
      <w:r w:rsidRPr="002270C0">
        <w:rPr>
          <w:rStyle w:val="FootnoteReference"/>
        </w:rPr>
        <w:footnoteReference w:id="1550"/>
      </w:r>
      <w:r w:rsidRPr="002270C0">
        <w:t xml:space="preserve"> This leads to two implications:</w:t>
      </w:r>
    </w:p>
    <w:p w:rsidR="00C93468" w:rsidRPr="002270C0" w:rsidRDefault="00C93468" w:rsidP="00C93468">
      <w:pPr>
        <w:pStyle w:val="AERbulletlistfirststyle"/>
      </w:pPr>
      <w:r w:rsidRPr="002270C0">
        <w:t xml:space="preserve">the </w:t>
      </w:r>
      <w:r>
        <w:t>break-even</w:t>
      </w:r>
      <w:r w:rsidRPr="002270C0">
        <w:t>-implied forward inflation rates are unlikely to correspond to market expectations of future short term inflation rates; and</w:t>
      </w:r>
    </w:p>
    <w:p w:rsidR="00C93468" w:rsidRPr="002270C0" w:rsidRDefault="00C93468" w:rsidP="00C93468">
      <w:pPr>
        <w:pStyle w:val="AERbulletlistfirststyle"/>
      </w:pPr>
      <w:r w:rsidRPr="002270C0">
        <w:t xml:space="preserve">the </w:t>
      </w:r>
      <w:r>
        <w:t>break-even estimate</w:t>
      </w:r>
      <w:r w:rsidRPr="002270C0">
        <w:t xml:space="preserve"> is unlikely to reflect mark-to-market expectations of inflation over any yearly horizon up to 10 years ahead.</w:t>
      </w:r>
    </w:p>
    <w:p w:rsidR="00C93468" w:rsidRPr="002270C0" w:rsidRDefault="00C93468" w:rsidP="00C93468">
      <w:r w:rsidRPr="002270C0">
        <w:t xml:space="preserve">Relying on interpolated yield curves may result in overly sensitive breakeven </w:t>
      </w:r>
      <w:r>
        <w:t>estimates</w:t>
      </w:r>
      <w:r w:rsidRPr="002270C0">
        <w:t xml:space="preserve">. Deacon and Derry (1994) and Deacon et al. (2004) argue that the choice of term structure model can have a significant effect on the resulting </w:t>
      </w:r>
      <w:r>
        <w:t>bond break-even</w:t>
      </w:r>
      <w:r w:rsidRPr="002270C0">
        <w:t>-implied inflation term structure. As a result break</w:t>
      </w:r>
      <w:r>
        <w:t>-</w:t>
      </w:r>
      <w:r w:rsidRPr="002270C0">
        <w:t>even inflation estimates may vary considerably depending on the yield curve models employed. In this respect, break</w:t>
      </w:r>
      <w:r>
        <w:t>-</w:t>
      </w:r>
      <w:r w:rsidRPr="002270C0">
        <w:t>even inflation may not produce robust estimates of expected inflation. Furthermore, this source of variability and lack of robustness of break</w:t>
      </w:r>
      <w:r>
        <w:t>-</w:t>
      </w:r>
      <w:r w:rsidRPr="002270C0">
        <w:t>even inflation estimates may occur because there is no consensus on which yield curve models are the most appropriate.</w:t>
      </w:r>
      <w:r w:rsidRPr="002270C0">
        <w:rPr>
          <w:rStyle w:val="FootnoteReference"/>
        </w:rPr>
        <w:footnoteReference w:id="1551"/>
      </w:r>
      <w:r>
        <w:t xml:space="preserve"> </w:t>
      </w:r>
      <w:r w:rsidRPr="002270C0">
        <w:t>Another issue stems from differences in the sizes of coupon payments across maturities, which may alter break</w:t>
      </w:r>
      <w:r>
        <w:t>-</w:t>
      </w:r>
      <w:r w:rsidRPr="002270C0">
        <w:t>even-implied forward inflation rates</w:t>
      </w:r>
      <w:r>
        <w:t xml:space="preserve"> (see </w:t>
      </w:r>
      <w:r>
        <w:fldChar w:fldCharType="begin"/>
      </w:r>
      <w:r>
        <w:instrText xml:space="preserve"> REF _Ref474182633 \h </w:instrText>
      </w:r>
      <w:r>
        <w:fldChar w:fldCharType="separate"/>
      </w:r>
      <w:r w:rsidR="006B4A74">
        <w:t xml:space="preserve">Table </w:t>
      </w:r>
      <w:r w:rsidR="006B4A74">
        <w:rPr>
          <w:noProof/>
        </w:rPr>
        <w:t>3</w:t>
      </w:r>
      <w:r w:rsidR="006B4A74">
        <w:noBreakHyphen/>
      </w:r>
      <w:r w:rsidR="006B4A74">
        <w:rPr>
          <w:noProof/>
        </w:rPr>
        <w:t>21</w:t>
      </w:r>
      <w:r>
        <w:fldChar w:fldCharType="end"/>
      </w:r>
      <w:r>
        <w:t>)</w:t>
      </w:r>
      <w:r w:rsidRPr="002270C0">
        <w:t>.</w:t>
      </w:r>
      <w:r w:rsidRPr="002270C0">
        <w:rPr>
          <w:rStyle w:val="FootnoteReference"/>
        </w:rPr>
        <w:footnoteReference w:id="1552"/>
      </w:r>
      <w:r w:rsidRPr="002270C0">
        <w:t xml:space="preserve"> These issues cast doubt on the accuracy of break</w:t>
      </w:r>
      <w:r>
        <w:t>-</w:t>
      </w:r>
      <w:r w:rsidRPr="002270C0">
        <w:t xml:space="preserve">even inflation estimates derived from indexed and nominal CGS yield curves. </w:t>
      </w:r>
    </w:p>
    <w:p w:rsidR="00C93468" w:rsidRDefault="00C93468" w:rsidP="00C93468">
      <w:r>
        <w:t>On</w:t>
      </w:r>
      <w:r w:rsidRPr="002270C0">
        <w:t xml:space="preserve"> the </w:t>
      </w:r>
      <w:r>
        <w:t>second</w:t>
      </w:r>
      <w:r w:rsidRPr="002270C0">
        <w:t xml:space="preserve"> assumption mentioned above, a number of significant premia and biases are evident in </w:t>
      </w:r>
      <w:r>
        <w:t>break-even inflation estimates</w:t>
      </w:r>
      <w:r w:rsidRPr="002270C0">
        <w:t xml:space="preserve">, leading to </w:t>
      </w:r>
      <w:r>
        <w:t xml:space="preserve">these estimates </w:t>
      </w:r>
      <w:r w:rsidRPr="002270C0">
        <w:t>not reflecting market expectations of inflation.</w:t>
      </w:r>
      <w:r w:rsidRPr="002270C0">
        <w:rPr>
          <w:rStyle w:val="FootnoteReference"/>
        </w:rPr>
        <w:footnoteReference w:id="1553"/>
      </w:r>
      <w:r w:rsidRPr="002270C0">
        <w:t xml:space="preserve"> Liquidity premia, inflation risk premia, convexity bias, inflation indexation lag, sensitivity to short term inflation trends,</w:t>
      </w:r>
      <w:r>
        <w:t xml:space="preserve"> among others. A</w:t>
      </w:r>
      <w:r w:rsidRPr="002270C0">
        <w:t xml:space="preserve">ll </w:t>
      </w:r>
      <w:r>
        <w:t xml:space="preserve">these </w:t>
      </w:r>
      <w:r w:rsidRPr="002270C0">
        <w:t>act to influence break</w:t>
      </w:r>
      <w:r>
        <w:t>-</w:t>
      </w:r>
      <w:r w:rsidRPr="002270C0">
        <w:t>even inflation estimates such that they do not directly reflect market</w:t>
      </w:r>
      <w:r>
        <w:t>-expected</w:t>
      </w:r>
      <w:r w:rsidRPr="002270C0">
        <w:t xml:space="preserve"> inflation. </w:t>
      </w:r>
    </w:p>
    <w:p w:rsidR="00C93468" w:rsidRPr="002270C0" w:rsidRDefault="00C93468" w:rsidP="00C93468">
      <w:r>
        <w:t>Further,</w:t>
      </w:r>
      <w:r w:rsidRPr="002270C0">
        <w:t xml:space="preserve"> there is a lack of studies decomposing Australian break</w:t>
      </w:r>
      <w:r>
        <w:t>-</w:t>
      </w:r>
      <w:r w:rsidRPr="002270C0">
        <w:t>even inflation estimates</w:t>
      </w:r>
      <w:r>
        <w:t xml:space="preserve"> to quantify biases and premia</w:t>
      </w:r>
      <w:r w:rsidRPr="002270C0">
        <w:t>.</w:t>
      </w:r>
      <w:r w:rsidRPr="002270C0">
        <w:rPr>
          <w:rStyle w:val="FootnoteReference"/>
        </w:rPr>
        <w:footnoteReference w:id="1554"/>
      </w:r>
      <w:r w:rsidRPr="002270C0">
        <w:t xml:space="preserve"> Moreover, the studies decomposing US and UK government bonds reveal varying levels of liquidity premia, suggesting that even if an attempt was made to decompose bond yields in Australia, estimates of inflation expectations may not be robust.</w:t>
      </w:r>
      <w:r w:rsidRPr="002270C0" w:rsidDel="00A73AD9">
        <w:rPr>
          <w:rStyle w:val="FootnoteReference"/>
        </w:rPr>
        <w:t xml:space="preserve"> </w:t>
      </w:r>
    </w:p>
    <w:p w:rsidR="00C93468" w:rsidRDefault="00C93468" w:rsidP="00C93468">
      <w:r>
        <w:t xml:space="preserve">We consider that zero coupon inflation swaps may result in better estimates of expected inflation than the bond break-even approach, and note that inflation swaps are also (like bonds) market-traded instruments. We consider that inflation swaps may be subject to a number of biases and risk premia, however many of these are likely to be immaterial (see section </w:t>
      </w:r>
      <w:r>
        <w:fldChar w:fldCharType="begin"/>
      </w:r>
      <w:r>
        <w:instrText xml:space="preserve"> REF _Ref478559870 \r \h </w:instrText>
      </w:r>
      <w:r>
        <w:fldChar w:fldCharType="separate"/>
      </w:r>
      <w:r w:rsidR="007858BF">
        <w:t>3.4.4.2</w:t>
      </w:r>
      <w:r>
        <w:fldChar w:fldCharType="end"/>
      </w:r>
      <w:r>
        <w:t>). In addition,</w:t>
      </w:r>
      <w:r w:rsidRPr="00C312C9">
        <w:t xml:space="preserve"> the published </w:t>
      </w:r>
      <w:r>
        <w:t xml:space="preserve">Australian </w:t>
      </w:r>
      <w:r w:rsidRPr="00C312C9">
        <w:t xml:space="preserve">zero coupon inflation swap rates are available for many more tenors than tenors for indexed CGS. </w:t>
      </w:r>
      <w:r>
        <w:t>On this basis, inflation swaps may provide a better decomposition of market-implied forward inflation rates than the breakeven method.</w:t>
      </w:r>
    </w:p>
    <w:p w:rsidR="00C93468" w:rsidRPr="00C93468" w:rsidRDefault="00C93468" w:rsidP="00C93468">
      <w:pPr>
        <w:pStyle w:val="Heading8"/>
      </w:pPr>
      <w:bookmarkStart w:id="614" w:name="_Ref478561468"/>
      <w:bookmarkStart w:id="615" w:name="_Toc481057513"/>
      <w:r>
        <w:t>Biases and premia in the break</w:t>
      </w:r>
      <w:r w:rsidRPr="00C93468">
        <w:t>-even and swaps estimates</w:t>
      </w:r>
      <w:bookmarkEnd w:id="614"/>
      <w:bookmarkEnd w:id="615"/>
    </w:p>
    <w:p w:rsidR="00C93468" w:rsidRPr="0062367B" w:rsidRDefault="00C93468" w:rsidP="00C93468">
      <w:r>
        <w:t xml:space="preserve">AusNet Services and </w:t>
      </w:r>
      <w:r w:rsidRPr="0062367B">
        <w:t>CEG</w:t>
      </w:r>
      <w:r>
        <w:t xml:space="preserve"> submitted that the</w:t>
      </w:r>
      <w:r w:rsidRPr="0062367B">
        <w:t xml:space="preserve"> overwhelming conclusion</w:t>
      </w:r>
      <w:r>
        <w:t xml:space="preserve"> of the academic literature is </w:t>
      </w:r>
      <w:r w:rsidRPr="0062367B">
        <w:t>that the potential sources of bias</w:t>
      </w:r>
      <w:r>
        <w:t xml:space="preserve"> in break-even inflation estimates</w:t>
      </w:r>
      <w:r w:rsidRPr="0062367B">
        <w:t xml:space="preserve"> are small and just as likely to result in an over-estimate of expected inflation as an under estimate.</w:t>
      </w:r>
      <w:r>
        <w:t xml:space="preserve"> AusNet Services and CEG submitted that o</w:t>
      </w:r>
      <w:r w:rsidRPr="0062367B">
        <w:t xml:space="preserve">nly the convexity and liquidity premium issues are </w:t>
      </w:r>
      <w:r>
        <w:t>likely</w:t>
      </w:r>
      <w:r w:rsidRPr="0062367B">
        <w:t xml:space="preserve"> to result in a potential downward bias of expected inflation forecasts and that if any bias exists, it is small and does not necessarily result in an under estimate of inflation.</w:t>
      </w:r>
      <w:r w:rsidRPr="00E76C80">
        <w:rPr>
          <w:rStyle w:val="FootnoteReference"/>
        </w:rPr>
        <w:footnoteReference w:id="1555"/>
      </w:r>
      <w:r w:rsidRPr="0062367B">
        <w:t xml:space="preserve"> </w:t>
      </w:r>
    </w:p>
    <w:p w:rsidR="00C93468" w:rsidRDefault="00C93468" w:rsidP="00C93468">
      <w:r w:rsidRPr="00A440C0">
        <w:t>CEG submits</w:t>
      </w:r>
      <w:r>
        <w:rPr>
          <w:rStyle w:val="FootnoteReference"/>
        </w:rPr>
        <w:footnoteReference w:id="1556"/>
      </w:r>
      <w:r w:rsidRPr="00A440C0">
        <w:t xml:space="preserve"> that the results of D’Amico, Kim and Wei (2010),</w:t>
      </w:r>
      <w:r>
        <w:rPr>
          <w:rStyle w:val="FootnoteReference"/>
        </w:rPr>
        <w:footnoteReference w:id="1557"/>
      </w:r>
      <w:r w:rsidRPr="00A440C0">
        <w:t xml:space="preserve"> and Grishchenko and Huang (2012)</w:t>
      </w:r>
      <w:r w:rsidRPr="00A440C0">
        <w:rPr>
          <w:rStyle w:val="FootnoteReference"/>
        </w:rPr>
        <w:footnoteReference w:id="1558"/>
      </w:r>
      <w:r w:rsidRPr="00A440C0">
        <w:t xml:space="preserve"> indicate that the breakeven method actually overstates expected inflation. Ang, Bekaert and Wei (2008)</w:t>
      </w:r>
      <w:r w:rsidRPr="00A440C0">
        <w:rPr>
          <w:rStyle w:val="FootnoteReference"/>
        </w:rPr>
        <w:footnoteReference w:id="1559"/>
      </w:r>
      <w:r w:rsidRPr="00A440C0">
        <w:t xml:space="preserve"> are also ci</w:t>
      </w:r>
      <w:r>
        <w:t>ted to support this contention.</w:t>
      </w:r>
      <w:r w:rsidRPr="00857548">
        <w:rPr>
          <w:rStyle w:val="FootnoteReference"/>
        </w:rPr>
        <w:t xml:space="preserve"> </w:t>
      </w:r>
      <w:r>
        <w:rPr>
          <w:rStyle w:val="FootnoteReference"/>
        </w:rPr>
        <w:footnoteReference w:id="1560"/>
      </w:r>
    </w:p>
    <w:p w:rsidR="00C93468" w:rsidRDefault="00C93468" w:rsidP="00C93468">
      <w:r>
        <w:t xml:space="preserve">On liquidity premium in break-even inflation estimates, CEG submitted that academic studies have estimated this premium to be around zero, around 1 basis point or less, 10 basis points or less, or less than zero. In support, CEG referred to studies by D’Amico, Kim and Wei (2010), </w:t>
      </w:r>
      <w:r w:rsidRPr="0006563F">
        <w:t>D’Amico, Kim and Wei (2016)</w:t>
      </w:r>
      <w:r>
        <w:t xml:space="preserve">, </w:t>
      </w:r>
      <w:r w:rsidRPr="00B648CC">
        <w:t>Grishchenko and Huang (2012)</w:t>
      </w:r>
      <w:r>
        <w:t xml:space="preserve">, </w:t>
      </w:r>
      <w:r w:rsidRPr="008D63D6">
        <w:t>Lehman Brothers (2006)</w:t>
      </w:r>
      <w:r>
        <w:t>,</w:t>
      </w:r>
      <w:r w:rsidRPr="008D63D6">
        <w:t xml:space="preserve"> Banco Central do Brasil (2014)</w:t>
      </w:r>
      <w:r>
        <w:t>.</w:t>
      </w:r>
      <w:r>
        <w:rPr>
          <w:rStyle w:val="FootnoteReference"/>
        </w:rPr>
        <w:footnoteReference w:id="1561"/>
      </w:r>
      <w:r>
        <w:t xml:space="preserve"> </w:t>
      </w:r>
    </w:p>
    <w:p w:rsidR="00C93468" w:rsidRPr="0055723E" w:rsidRDefault="00C93468" w:rsidP="00C93468">
      <w:r>
        <w:t>However, c</w:t>
      </w:r>
      <w:r w:rsidRPr="0055723E">
        <w:t xml:space="preserve">aution is required in the drawing </w:t>
      </w:r>
      <w:r>
        <w:t xml:space="preserve">of </w:t>
      </w:r>
      <w:r w:rsidRPr="0055723E">
        <w:t xml:space="preserve">any inferences from any single study </w:t>
      </w:r>
      <w:r>
        <w:t>of</w:t>
      </w:r>
      <w:r w:rsidRPr="0055723E">
        <w:t xml:space="preserve"> Australian </w:t>
      </w:r>
      <w:r>
        <w:t>bond break-even inflation estimates</w:t>
      </w:r>
      <w:r w:rsidRPr="0055723E">
        <w:t xml:space="preserve">. </w:t>
      </w:r>
      <w:r>
        <w:t>To gain a better indication of the potential biases, premia and distortions, all bond break-even inflation rate studies should be considered. Most studies find significant biases</w:t>
      </w:r>
      <w:r w:rsidRPr="0055723E">
        <w:t xml:space="preserve"> in the </w:t>
      </w:r>
      <w:r>
        <w:t>break-even inflation estimates, many of which are time-</w:t>
      </w:r>
      <w:r w:rsidRPr="0055723E">
        <w:t xml:space="preserve">varying. </w:t>
      </w:r>
    </w:p>
    <w:p w:rsidR="00C93468" w:rsidRDefault="00C93468" w:rsidP="00C93468">
      <w:r>
        <w:t>In addition, we consider that no single decomposition study cited may be considered as the most relevant or most appropriate because, as Zarazaga (2010) points out, our current understanding of bond prices is too limited to determine with any confidence the fraction attributed to bias and the fraction attributed to expected inflation.</w:t>
      </w:r>
      <w:r>
        <w:rPr>
          <w:rStyle w:val="FootnoteReference"/>
        </w:rPr>
        <w:footnoteReference w:id="1562"/>
      </w:r>
    </w:p>
    <w:p w:rsidR="00C93468" w:rsidRPr="007C4FFA" w:rsidRDefault="00C93468" w:rsidP="00C93468">
      <w:r>
        <w:t xml:space="preserve">Further, CEG's submission on ‘net bias’, referring to multiple studies which find various biases in break-even inflation estimates, presumes that: </w:t>
      </w:r>
    </w:p>
    <w:p w:rsidR="00C93468" w:rsidRPr="007C4FFA" w:rsidRDefault="00C93468" w:rsidP="00C93468">
      <w:pPr>
        <w:pStyle w:val="ListParagraph"/>
      </w:pPr>
      <w:r>
        <w:t xml:space="preserve">these biases are constant and can be simply ‘added’ and ‘subtracted’ to obtain a ‘net bias’; and </w:t>
      </w:r>
    </w:p>
    <w:p w:rsidR="00C93468" w:rsidRPr="007C4FFA" w:rsidRDefault="00C93468" w:rsidP="00C93468">
      <w:pPr>
        <w:pStyle w:val="ListParagraph"/>
      </w:pPr>
      <w:r>
        <w:t xml:space="preserve">the ‘net bias’ is assumed to be the same 10 years ahead. </w:t>
      </w:r>
    </w:p>
    <w:p w:rsidR="00C93468" w:rsidRDefault="00C93468" w:rsidP="00C93468">
      <w:r>
        <w:t xml:space="preserve">There is no </w:t>
      </w:r>
      <w:r w:rsidRPr="007C4FFA">
        <w:t>a</w:t>
      </w:r>
      <w:r>
        <w:t>-</w:t>
      </w:r>
      <w:r w:rsidRPr="007C4FFA">
        <w:t>prior</w:t>
      </w:r>
      <w:r>
        <w:t>i reason to consider that at any point in time the biases, distortions and premia in break-even inflation estimates would wholly or largely offset one another. ACCC Working Paper #11 finds that the biases and risk premia affecting bond break-even inflation estimates are likely to be time-varying,</w:t>
      </w:r>
      <w:r>
        <w:rPr>
          <w:rStyle w:val="FootnoteReference"/>
        </w:rPr>
        <w:footnoteReference w:id="1563"/>
      </w:r>
      <w:r>
        <w:t xml:space="preserve"> and estimates from academic research sensitive to the methodological choices and sample periods adopted.</w:t>
      </w:r>
      <w:r>
        <w:rPr>
          <w:rStyle w:val="FootnoteReference"/>
        </w:rPr>
        <w:footnoteReference w:id="1564"/>
      </w:r>
      <w:r>
        <w:t xml:space="preserve"> The results of different studies cannot be easily 'added' to one another.</w:t>
      </w:r>
    </w:p>
    <w:p w:rsidR="00C93468" w:rsidRPr="008F304E" w:rsidRDefault="00C93468" w:rsidP="00C93468">
      <w:r>
        <w:t xml:space="preserve">Nonetheless, for completeness, we respond in section </w:t>
      </w:r>
      <w:r>
        <w:fldChar w:fldCharType="begin"/>
      </w:r>
      <w:r>
        <w:instrText xml:space="preserve"> REF _Ref478588829 \r \h </w:instrText>
      </w:r>
      <w:r>
        <w:fldChar w:fldCharType="separate"/>
      </w:r>
      <w:r w:rsidR="006B4A74">
        <w:t>K.3.1</w:t>
      </w:r>
      <w:r>
        <w:fldChar w:fldCharType="end"/>
      </w:r>
      <w:r>
        <w:t xml:space="preserve"> </w:t>
      </w:r>
      <w:r w:rsidRPr="008F304E">
        <w:t>below to submissions made</w:t>
      </w:r>
      <w:r>
        <w:t xml:space="preserve"> about specific studies.</w:t>
      </w:r>
    </w:p>
    <w:p w:rsidR="00C93468" w:rsidRPr="00C93468" w:rsidRDefault="00C93468" w:rsidP="00C93468">
      <w:pPr>
        <w:pStyle w:val="Heading9"/>
      </w:pPr>
      <w:bookmarkStart w:id="616" w:name="_Ref478588829"/>
      <w:bookmarkStart w:id="617" w:name="_Toc480460962"/>
      <w:r>
        <w:t>Liquidity premium</w:t>
      </w:r>
      <w:bookmarkEnd w:id="616"/>
      <w:bookmarkEnd w:id="617"/>
    </w:p>
    <w:p w:rsidR="00C93468" w:rsidRDefault="00C93468" w:rsidP="00C93468">
      <w:r>
        <w:t>AusNet Services and CEG submitted a number of arguments about the current liquidity of the CGS market, the materiality of liquidity measures, and the findings of individual studies of bond break-even estimates. Our consideration of these issues is in the subsections below.</w:t>
      </w:r>
    </w:p>
    <w:p w:rsidR="00F07F63" w:rsidRDefault="00F07F63" w:rsidP="00C93468"/>
    <w:p w:rsidR="00C93468" w:rsidRPr="002656D9" w:rsidRDefault="00C93468" w:rsidP="002656D9">
      <w:pPr>
        <w:pStyle w:val="HeadingBoldItalic"/>
      </w:pPr>
      <w:bookmarkStart w:id="618" w:name="_Toc480460963"/>
      <w:r w:rsidRPr="002656D9">
        <w:t>Changes to the liquidity of the nominal and indexed CGS markets</w:t>
      </w:r>
      <w:bookmarkEnd w:id="618"/>
    </w:p>
    <w:p w:rsidR="00C93468" w:rsidRDefault="00C93468" w:rsidP="00C93468">
      <w:r>
        <w:t xml:space="preserve">AusNet Services and CEG submitted that </w:t>
      </w:r>
      <w:r w:rsidRPr="000438D3">
        <w:t xml:space="preserve">the smaller size (short supply) of the indexed CGS market was previously attributed </w:t>
      </w:r>
      <w:r>
        <w:t xml:space="preserve">by us </w:t>
      </w:r>
      <w:r w:rsidRPr="000438D3">
        <w:t>as a reason for break-even inflation overstating expected in</w:t>
      </w:r>
      <w:r>
        <w:t>flation (not understating it). AusNet Services submitted that i</w:t>
      </w:r>
      <w:r w:rsidRPr="000438D3">
        <w:t>f these ‘distortions’ still exist then they imply that the actual expected inflation is even lower than the break-even rate</w:t>
      </w:r>
      <w:r>
        <w:t>.</w:t>
      </w:r>
      <w:r>
        <w:rPr>
          <w:rStyle w:val="FootnoteReference"/>
        </w:rPr>
        <w:footnoteReference w:id="1565"/>
      </w:r>
    </w:p>
    <w:p w:rsidR="00C93468" w:rsidRDefault="00C93468" w:rsidP="00C93468">
      <w:r>
        <w:t>In contrast, the CCP submitted:</w:t>
      </w:r>
      <w:r>
        <w:rPr>
          <w:rStyle w:val="FootnoteReference"/>
        </w:rPr>
        <w:footnoteReference w:id="1566"/>
      </w:r>
    </w:p>
    <w:p w:rsidR="00C93468" w:rsidRDefault="00C93468" w:rsidP="00C93468">
      <w:pPr>
        <w:pStyle w:val="AERquote"/>
      </w:pPr>
      <w:r>
        <w:t>…at this point we are not persuaded by the information provided in it [the September 2016 CEG report titled 'Best estimates of expected inflation'] that the market is now liquid…</w:t>
      </w:r>
    </w:p>
    <w:p w:rsidR="00C93468" w:rsidRDefault="00C93468" w:rsidP="00C93468">
      <w:pPr>
        <w:pStyle w:val="AERquote"/>
      </w:pPr>
      <w:r>
        <w:t>Expert advice from those who administer the market and are most closely involved with it is the most useful input into whether it is a liquid and well-functioning market, so we suggest the AER should consult with the RBA and Australian Treasury, as it did in 2007</w:t>
      </w:r>
    </w:p>
    <w:p w:rsidR="00C93468" w:rsidRDefault="00C93468" w:rsidP="00C93468">
      <w:r>
        <w:t xml:space="preserve">While </w:t>
      </w:r>
      <w:r w:rsidRPr="006E3A7B">
        <w:t xml:space="preserve">the distortions in the </w:t>
      </w:r>
      <w:r>
        <w:t>bond break-even inflation rate</w:t>
      </w:r>
      <w:r w:rsidRPr="006E3A7B">
        <w:t xml:space="preserve"> observed in 2007 may still exist, </w:t>
      </w:r>
      <w:r>
        <w:t>we consider that</w:t>
      </w:r>
      <w:r w:rsidRPr="006E3A7B">
        <w:t xml:space="preserve"> given the significant number of distortions, premia and biases </w:t>
      </w:r>
      <w:r>
        <w:t xml:space="preserve">potentially present in break-even estimates, </w:t>
      </w:r>
      <w:r w:rsidRPr="006E3A7B">
        <w:t>it would be:</w:t>
      </w:r>
    </w:p>
    <w:p w:rsidR="00C93468" w:rsidRPr="006E3A7B" w:rsidRDefault="00C93468" w:rsidP="00C93468">
      <w:pPr>
        <w:pStyle w:val="AERbulletlistfirststyle"/>
      </w:pPr>
      <w:r>
        <w:t>d</w:t>
      </w:r>
      <w:r w:rsidRPr="006E3A7B">
        <w:t>ifficult to isolate these distortions, premia and biases and discuss these issues without consideration that at different times other biases, premia and distortions may dominate the distortions arising from the lack of supply;</w:t>
      </w:r>
    </w:p>
    <w:p w:rsidR="00C93468" w:rsidRPr="006E3A7B" w:rsidRDefault="00C93468" w:rsidP="00C93468">
      <w:pPr>
        <w:pStyle w:val="AERbulletlistfirststyle"/>
      </w:pPr>
      <w:r>
        <w:t>impractical</w:t>
      </w:r>
      <w:r w:rsidRPr="006E3A7B">
        <w:t xml:space="preserve"> to hold all other biases, premia and distortions constant; and</w:t>
      </w:r>
    </w:p>
    <w:p w:rsidR="00C93468" w:rsidRDefault="00C93468" w:rsidP="00C93468">
      <w:pPr>
        <w:pStyle w:val="AERbulletlistfirststyle"/>
      </w:pPr>
      <w:r w:rsidRPr="006E3A7B">
        <w:t xml:space="preserve">difficult to consider how supply and its related distortions will influence the quantum of the net effects of all these biases, premia and distortions since the estimation method, model and sample period all influence the size of the estimated distortions. </w:t>
      </w:r>
    </w:p>
    <w:p w:rsidR="00C93468" w:rsidRPr="006E3A7B" w:rsidRDefault="00C93468" w:rsidP="00C93468">
      <w:r>
        <w:t>This difficulty in decomposing bond break-even estimates into various potential biases and risk premia reduces the transparency and replicability of the estimates and impinges the ability of stakeholders to contribute to the regulatory process. These factors affect the ability of the bond break-even approach to provide best estimates of expected inflation, regardless of whether a particular bias may be considered to result in an over-estimate or under-estimate at a particular point in time.</w:t>
      </w:r>
    </w:p>
    <w:p w:rsidR="00C93468" w:rsidRPr="002656D9" w:rsidRDefault="00C93468" w:rsidP="002656D9">
      <w:pPr>
        <w:pStyle w:val="HeadingItalic"/>
        <w:rPr>
          <w:rStyle w:val="Strong"/>
          <w:b w:val="0"/>
          <w:bCs/>
        </w:rPr>
      </w:pPr>
      <w:bookmarkStart w:id="619" w:name="_Toc480460964"/>
      <w:r w:rsidRPr="00F07F63">
        <w:rPr>
          <w:rStyle w:val="Strong"/>
          <w:b w:val="0"/>
          <w:bCs/>
        </w:rPr>
        <w:t>Estimates of liquidity premium may be distorted by an immature indexed bond market</w:t>
      </w:r>
      <w:bookmarkEnd w:id="619"/>
    </w:p>
    <w:p w:rsidR="00C93468" w:rsidRDefault="00C93468" w:rsidP="00C93468">
      <w:r>
        <w:t xml:space="preserve">AusNet Services and CEG submitted that </w:t>
      </w:r>
      <w:r w:rsidRPr="0062367B">
        <w:t>since 2012 there has been significant new issues of indexed bonds</w:t>
      </w:r>
      <w:r>
        <w:t>, and academic research prior to this time may not be reliable due to the US TIPS market being in its infancy.</w:t>
      </w:r>
      <w:r>
        <w:rPr>
          <w:rStyle w:val="FootnoteReference"/>
        </w:rPr>
        <w:footnoteReference w:id="1567"/>
      </w:r>
    </w:p>
    <w:p w:rsidR="00C93468" w:rsidRDefault="00C93468" w:rsidP="00C93468">
      <w:r w:rsidRPr="00A876B0">
        <w:t xml:space="preserve">We </w:t>
      </w:r>
      <w:r>
        <w:t>acknowledge</w:t>
      </w:r>
      <w:r w:rsidRPr="00A876B0">
        <w:t xml:space="preserve"> that in an indexed bond market’s infancy the yields may not behave in the same manner as when the bond market is more mature. However, it is not the case that the liquidity risk premium and inflation risk premium only existed</w:t>
      </w:r>
      <w:r>
        <w:t xml:space="preserve"> in the bond market’s infancy. Academic r</w:t>
      </w:r>
      <w:r w:rsidRPr="00A876B0">
        <w:t xml:space="preserve">esearch </w:t>
      </w:r>
      <w:r>
        <w:t>has</w:t>
      </w:r>
      <w:r w:rsidRPr="00A876B0">
        <w:t xml:space="preserve"> been completed</w:t>
      </w:r>
      <w:r>
        <w:t xml:space="preserve"> using only mature market data.</w:t>
      </w:r>
      <w:r w:rsidRPr="00293DF6">
        <w:t xml:space="preserve"> </w:t>
      </w:r>
      <w:r>
        <w:t>ACCC Working Paper #11 notes that:</w:t>
      </w:r>
    </w:p>
    <w:p w:rsidR="00C93468" w:rsidRDefault="00C93468" w:rsidP="00C93468">
      <w:pPr>
        <w:pStyle w:val="AERquote"/>
      </w:pPr>
      <w:r w:rsidRPr="00B22FAC">
        <w:t xml:space="preserve">With the exception of the late 1990s and early 2000s, the cited US BBIR </w:t>
      </w:r>
      <w:r>
        <w:t xml:space="preserve">[bond break-even inflation rate] </w:t>
      </w:r>
      <w:r w:rsidRPr="00B22FAC">
        <w:t>studies do not consider the supply of outstanding US TIPS to be a problem. In the cited studies of the UK indexed bond markets, issues relating to supply are not considered.</w:t>
      </w:r>
    </w:p>
    <w:p w:rsidR="00C93468" w:rsidRDefault="00C93468" w:rsidP="00C93468">
      <w:r>
        <w:t>ACCC Working Paper #11</w:t>
      </w:r>
      <w:r>
        <w:rPr>
          <w:rStyle w:val="FootnoteReference"/>
        </w:rPr>
        <w:footnoteReference w:id="1568"/>
      </w:r>
      <w:r>
        <w:t>outlines a number of studies that find potential liquidity premia in indexed government bond markets that are unlikely to be distorted by being in their infancy.</w:t>
      </w:r>
    </w:p>
    <w:p w:rsidR="00C93468" w:rsidRPr="00C93468" w:rsidRDefault="00C93468" w:rsidP="00C93468">
      <w:pPr>
        <w:pStyle w:val="HeadingOrange"/>
        <w:rPr>
          <w:rStyle w:val="Strong"/>
        </w:rPr>
      </w:pPr>
      <w:bookmarkStart w:id="620" w:name="_Toc480460965"/>
      <w:r w:rsidRPr="00C93468">
        <w:rPr>
          <w:rStyle w:val="Strong"/>
        </w:rPr>
        <w:t>Investors' value of additional liquidity falls to zero once they cannot move the market against themselves</w:t>
      </w:r>
      <w:bookmarkEnd w:id="620"/>
      <w:r w:rsidRPr="00C93468">
        <w:rPr>
          <w:rStyle w:val="Strong"/>
        </w:rPr>
        <w:t xml:space="preserve"> </w:t>
      </w:r>
    </w:p>
    <w:p w:rsidR="00C93468" w:rsidRDefault="00C93468" w:rsidP="00C93468">
      <w:r>
        <w:t xml:space="preserve">CEG submitted that </w:t>
      </w:r>
      <w:r w:rsidRPr="0062367B">
        <w:t>investors</w:t>
      </w:r>
      <w:r>
        <w:t>'</w:t>
      </w:r>
      <w:r w:rsidRPr="0062367B">
        <w:t xml:space="preserve"> valuation of additional liquidity falls to zero as soon as they are confident that their own trading will not move the market against themselves</w:t>
      </w:r>
      <w:r>
        <w:t>. CEG submitted that the Australian nominal and indexed CGS markets are currently relatively large, such that there is no reason to believe that a material liquidity premium exists when moving from indexed to nominal CGS (under normal market circumstances).</w:t>
      </w:r>
      <w:r>
        <w:rPr>
          <w:rStyle w:val="FootnoteReference"/>
        </w:rPr>
        <w:footnoteReference w:id="1569"/>
      </w:r>
    </w:p>
    <w:p w:rsidR="00C93468" w:rsidRDefault="00C93468" w:rsidP="00C93468">
      <w:r>
        <w:t>We consider that that the relative liquidity of the Australian nominal and indexed CGS markets, and the presence of a liquidity premium, is an empirical question. We note that the Australian government securities markets are typically less liquid than similar foreign markets (such as the US and UK), and that ACCC Working Paper #11's survey of the academic literature finds evidence of a potentially material and time-varying liquidity premium, including in the much more liquid US and UK markets.</w:t>
      </w:r>
      <w:r>
        <w:rPr>
          <w:rStyle w:val="FootnoteReference"/>
        </w:rPr>
        <w:footnoteReference w:id="1570"/>
      </w:r>
      <w:r>
        <w:t xml:space="preserve"> ACCC Working Paper #11 also finds it unlikely that relative liquidity in the Australian CGS market has improved since 2007-08, based on a consideration of relative turnover and bid-ask spreads as proxy measures of relative liquidity.</w:t>
      </w:r>
      <w:r>
        <w:rPr>
          <w:rStyle w:val="FootnoteReference"/>
        </w:rPr>
        <w:footnoteReference w:id="1571"/>
      </w:r>
    </w:p>
    <w:p w:rsidR="00C93468" w:rsidRDefault="00C93468" w:rsidP="00C93468">
      <w:r>
        <w:t>Further, we note that a recent RBA's study of the Australian market finds that relative liquidity may be causing break-even inflation estimates to be increasingly downwardly biased.</w:t>
      </w:r>
    </w:p>
    <w:p w:rsidR="00C93468" w:rsidRPr="00CF3376" w:rsidRDefault="00C93468" w:rsidP="00C93468">
      <w:pPr>
        <w:pStyle w:val="AERquote"/>
      </w:pPr>
      <w:r w:rsidRPr="00CF3376">
        <w:t xml:space="preserve">The financial markets that are used to calculate some measures of inflation expectations are not particularly liquid in Australia, and the financial measures also include an inflation risk premium; these issues can affect the interpretation of movements in the series. </w:t>
      </w:r>
    </w:p>
    <w:p w:rsidR="00C93468" w:rsidRPr="00CF3376" w:rsidRDefault="00C93468" w:rsidP="00C93468">
      <w:pPr>
        <w:pStyle w:val="AERquote"/>
      </w:pPr>
      <w:r>
        <w:t>…</w:t>
      </w:r>
    </w:p>
    <w:p w:rsidR="00C93468" w:rsidRPr="00CF3376" w:rsidRDefault="00C93468" w:rsidP="00C93468">
      <w:pPr>
        <w:pStyle w:val="AERquote"/>
      </w:pPr>
      <w:r w:rsidRPr="00CF3376">
        <w:t>The first is that, in Australia, markets for these instruments are not particularly active or liquid. For inflation-linked bonds, liquidity is low relative to nominal AGS and so investors who wish to hold highly liquid assets will have a preference for nominal AGS. As a result, investors may demand a higher yield on inflation-linked AGS, known as a ‘liquidity premium’, to compensate for the risk of market prices moving against the investor in a substantial way if they try to sell their position. This liquidity premium may downwardly bias the bond-based measure of inflation expectations.</w:t>
      </w:r>
    </w:p>
    <w:p w:rsidR="00C93468" w:rsidRPr="00CF3376" w:rsidRDefault="00C93468" w:rsidP="00C93468">
      <w:pPr>
        <w:pStyle w:val="AERquote"/>
      </w:pPr>
      <w:r>
        <w:t>…</w:t>
      </w:r>
    </w:p>
    <w:p w:rsidR="00C93468" w:rsidRPr="00CF3376" w:rsidRDefault="00C93468" w:rsidP="00C93468">
      <w:pPr>
        <w:pStyle w:val="AERquote"/>
      </w:pPr>
      <w:r w:rsidRPr="00CF3376">
        <w:t xml:space="preserve">Various metrics suggest that liquidity is substantially lower for inflation-linked AGS than for nominal AGS (Graph 6). It is for this reason that the yields on inflation-linked AGS are believed to embed a liquidity premium over nominal AGS. If the liquidity premium were constant over time, it would affect only the level of the estimated bond break-even inflation rate. However, there is a steadily increasing wedge between the 10-year inflation swaps rate and 10-year bond break-even rates since about 2011 (Graph 7). </w:t>
      </w:r>
    </w:p>
    <w:p w:rsidR="00C93468" w:rsidRPr="00CF3376" w:rsidRDefault="00C93468" w:rsidP="00C93468">
      <w:pPr>
        <w:pStyle w:val="AERquote"/>
      </w:pPr>
      <w:r w:rsidRPr="00CF3376">
        <w:t>Graph 6</w:t>
      </w:r>
    </w:p>
    <w:p w:rsidR="00C93468" w:rsidRPr="00CF3376" w:rsidRDefault="00C93468" w:rsidP="00C93468">
      <w:pPr>
        <w:pStyle w:val="AERquote"/>
      </w:pPr>
      <w:r w:rsidRPr="00C93468">
        <w:rPr>
          <w:noProof/>
          <w:lang w:eastAsia="en-AU"/>
        </w:rPr>
        <w:drawing>
          <wp:inline distT="0" distB="0" distL="0" distR="0" wp14:anchorId="4A59B718" wp14:editId="6ED1DEA5">
            <wp:extent cx="2001600" cy="1764000"/>
            <wp:effectExtent l="0" t="0" r="0" b="8255"/>
            <wp:docPr id="45" name="Picture 45" descr="Graph 6 Australian Government Secu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6 Australian Government Securiti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1600" cy="1764000"/>
                    </a:xfrm>
                    <a:prstGeom prst="rect">
                      <a:avLst/>
                    </a:prstGeom>
                    <a:noFill/>
                    <a:ln>
                      <a:noFill/>
                    </a:ln>
                  </pic:spPr>
                </pic:pic>
              </a:graphicData>
            </a:graphic>
          </wp:inline>
        </w:drawing>
      </w:r>
    </w:p>
    <w:p w:rsidR="00C93468" w:rsidRPr="00CF3376" w:rsidRDefault="00C93468" w:rsidP="00C93468">
      <w:pPr>
        <w:pStyle w:val="AERquote"/>
      </w:pPr>
      <w:r w:rsidRPr="00CF3376">
        <w:t>Graph 7</w:t>
      </w:r>
    </w:p>
    <w:p w:rsidR="00C93468" w:rsidRPr="00CF3376" w:rsidRDefault="00C93468" w:rsidP="00C93468">
      <w:pPr>
        <w:pStyle w:val="AERquote"/>
      </w:pPr>
      <w:r w:rsidRPr="00C93468">
        <w:rPr>
          <w:noProof/>
          <w:lang w:eastAsia="en-AU"/>
        </w:rPr>
        <w:drawing>
          <wp:inline distT="0" distB="0" distL="0" distR="0" wp14:anchorId="0457525C" wp14:editId="24FF54FC">
            <wp:extent cx="2001600" cy="1677600"/>
            <wp:effectExtent l="0" t="0" r="0" b="0"/>
            <wp:docPr id="46" name="Picture 46" descr="Graph 7 Ten-year Break-even Infl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7 Ten-year Break-even Inflation Rat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1600" cy="1677600"/>
                    </a:xfrm>
                    <a:prstGeom prst="rect">
                      <a:avLst/>
                    </a:prstGeom>
                    <a:noFill/>
                    <a:ln>
                      <a:noFill/>
                    </a:ln>
                  </pic:spPr>
                </pic:pic>
              </a:graphicData>
            </a:graphic>
          </wp:inline>
        </w:drawing>
      </w:r>
    </w:p>
    <w:p w:rsidR="00C93468" w:rsidRPr="00CF3376" w:rsidRDefault="00C93468" w:rsidP="00C93468">
      <w:pPr>
        <w:pStyle w:val="AERquote"/>
      </w:pPr>
      <w:r w:rsidRPr="00CF3376">
        <w:t xml:space="preserve">The widening in the spread between the two rates might be the result of changes to either market. One possibility is that the liquidity premium in inflation-linked AGS has risen, exacerbating the downward bias in the bond-based measure of inflation expectations. This would be consistent with the widespread view that liquidity in global bond markets has declined noticeably since 2008 (e.g. Levine 2015; Debelle 2015; CGFS 2016). In Australia, the decline in fixed income market liquidity has been less pronounced than globally; nonetheless, there is some evidence that bond markets are less liquid than in the past, but that an increase in interest rate derivatives market liquidity has more than offset this (Cheshire 2016). This change reflects, at least in part, a correction in the pricing of liquidity, which had been ‘underpriced in the years prior to the global financial crisis’ (Debelle 2016). These developments may have raised the liquidity premium inherent in inflation-indexed AGS by more than in nominal AGS because of the lower initial liquidity in inflation-linked AGS. If this is the case, the bond-based measure of inflation expectations may have become more downwardly biased than in the past. </w:t>
      </w:r>
    </w:p>
    <w:p w:rsidR="00C93468" w:rsidRDefault="00C93468" w:rsidP="00C93468">
      <w:r w:rsidRPr="00CF3376">
        <w:t xml:space="preserve">As mentioned in the excerpt above, the liquidity of indexed CGS is unlikely to be equivalent to nominal CGS. This implies that the liquidity premium for </w:t>
      </w:r>
      <w:r>
        <w:t>indexed</w:t>
      </w:r>
      <w:r w:rsidRPr="00CF3376">
        <w:t xml:space="preserve"> CGS is not zero and is not insignificant.</w:t>
      </w:r>
    </w:p>
    <w:p w:rsidR="00C93468" w:rsidRPr="00757EBE" w:rsidRDefault="00C93468" w:rsidP="002656D9">
      <w:pPr>
        <w:pStyle w:val="HeadingBoldItalic"/>
      </w:pPr>
      <w:bookmarkStart w:id="621" w:name="_Toc480460966"/>
      <w:r w:rsidRPr="00757EBE">
        <w:t>Consideration of individual studies into bond break-even inflation</w:t>
      </w:r>
      <w:bookmarkEnd w:id="621"/>
    </w:p>
    <w:p w:rsidR="00C93468" w:rsidRPr="002656D9" w:rsidRDefault="00C93468" w:rsidP="002656D9">
      <w:pPr>
        <w:pStyle w:val="HeadingItalic"/>
        <w:rPr>
          <w:rStyle w:val="Strong"/>
          <w:b w:val="0"/>
          <w:bCs/>
        </w:rPr>
      </w:pPr>
      <w:bookmarkStart w:id="622" w:name="_Toc480460967"/>
      <w:r w:rsidRPr="002656D9">
        <w:rPr>
          <w:rStyle w:val="Strong"/>
          <w:b w:val="0"/>
          <w:bCs/>
        </w:rPr>
        <w:t>Ang, Bekaert, and Wei (2016)</w:t>
      </w:r>
      <w:bookmarkEnd w:id="622"/>
    </w:p>
    <w:p w:rsidR="00C93468" w:rsidRPr="00A440C0" w:rsidRDefault="00C93468" w:rsidP="00C93468">
      <w:r w:rsidRPr="00A440C0">
        <w:t xml:space="preserve">CEG references </w:t>
      </w:r>
      <w:r>
        <w:t xml:space="preserve">the finding in </w:t>
      </w:r>
      <w:r w:rsidRPr="00A440C0">
        <w:t>Ang, Bekaert and Wei (2008)</w:t>
      </w:r>
      <w:r>
        <w:t xml:space="preserve"> of</w:t>
      </w:r>
      <w:r w:rsidRPr="00A440C0">
        <w:t xml:space="preserve"> a relatively large average inflation risk premium in the US market (approximately 114 basis points over the full sample, and 50 basis points since the 1980s) and suggests that it is unlikely that any other biases would offset such an inflation risk premium.</w:t>
      </w:r>
      <w:r>
        <w:rPr>
          <w:rStyle w:val="FootnoteReference"/>
        </w:rPr>
        <w:footnoteReference w:id="1572"/>
      </w:r>
      <w:r w:rsidRPr="00A440C0">
        <w:t xml:space="preserve"> </w:t>
      </w:r>
      <w:r>
        <w:t>ACCC Working P</w:t>
      </w:r>
      <w:r w:rsidRPr="00A440C0">
        <w:t>aper</w:t>
      </w:r>
      <w:r>
        <w:t xml:space="preserve"> #11</w:t>
      </w:r>
      <w:r w:rsidRPr="00A440C0">
        <w:rPr>
          <w:rStyle w:val="FootnoteReference"/>
        </w:rPr>
        <w:footnoteReference w:id="1573"/>
      </w:r>
      <w:r w:rsidRPr="00A440C0">
        <w:t xml:space="preserve"> raises the following issue with the paper’s methodology, which brings into question </w:t>
      </w:r>
      <w:r>
        <w:t>the</w:t>
      </w:r>
      <w:r w:rsidRPr="00A440C0">
        <w:t xml:space="preserve"> conclusions CEG has drawn from</w:t>
      </w:r>
      <w:r>
        <w:t xml:space="preserve"> its results:</w:t>
      </w:r>
      <w:r>
        <w:rPr>
          <w:rStyle w:val="FootnoteReference"/>
        </w:rPr>
        <w:footnoteReference w:id="1574"/>
      </w:r>
      <w:r w:rsidRPr="00A440C0">
        <w:rPr>
          <w:rStyle w:val="FootnoteReference"/>
        </w:rPr>
        <w:t xml:space="preserve"> </w:t>
      </w:r>
    </w:p>
    <w:p w:rsidR="00C93468" w:rsidRPr="00A440C0" w:rsidRDefault="00C93468" w:rsidP="00C93468">
      <w:pPr>
        <w:pStyle w:val="AERquote"/>
      </w:pPr>
      <w:r w:rsidRPr="00C93468">
        <w:rPr>
          <w:rFonts w:eastAsiaTheme="minorEastAsia"/>
        </w:rPr>
        <w:t>However, Ang et al.’s decomposition estimates are not estimates based on the observations of the yields of nominal and indexed bonds. Ang et al. do not observe real rates from TIPS for most of their sample (from the 2nd quarter 1952 to the 4th quarter 2004) since these securities were not introduced until 1997. Real rates and inflation risk premia are estimated by using a no-arbitrage term structure model of nominal yields that relied on historical data of short and long term nominal yields and inflation.</w:t>
      </w:r>
    </w:p>
    <w:p w:rsidR="00C93468" w:rsidRPr="002656D9" w:rsidRDefault="00C93468" w:rsidP="00F07F63">
      <w:pPr>
        <w:pStyle w:val="HeadingItalic"/>
        <w:rPr>
          <w:rStyle w:val="Strong"/>
          <w:b w:val="0"/>
          <w:bCs/>
        </w:rPr>
      </w:pPr>
      <w:bookmarkStart w:id="623" w:name="_Toc480460968"/>
      <w:r w:rsidRPr="002656D9">
        <w:rPr>
          <w:rStyle w:val="Strong"/>
          <w:b w:val="0"/>
          <w:bCs/>
        </w:rPr>
        <w:t>Coroneo (2016)</w:t>
      </w:r>
      <w:bookmarkEnd w:id="623"/>
    </w:p>
    <w:p w:rsidR="00C93468" w:rsidRDefault="00C93468" w:rsidP="00C93468">
      <w:r w:rsidRPr="00A54AED">
        <w:t>The findings of Coroneo (2016)</w:t>
      </w:r>
      <w:r w:rsidRPr="00A54AED">
        <w:rPr>
          <w:rStyle w:val="FootnoteReference"/>
        </w:rPr>
        <w:footnoteReference w:id="1575"/>
      </w:r>
      <w:r w:rsidRPr="00A54AED">
        <w:t xml:space="preserve"> are </w:t>
      </w:r>
      <w:r>
        <w:t>submitted</w:t>
      </w:r>
      <w:r w:rsidRPr="00A54AED">
        <w:t xml:space="preserve"> by CEG as evidence of a liquidity factor that</w:t>
      </w:r>
      <w:r>
        <w:t>:</w:t>
      </w:r>
      <w:r w:rsidRPr="00A54AED">
        <w:rPr>
          <w:rStyle w:val="FootnoteReference"/>
        </w:rPr>
        <w:footnoteReference w:id="1576"/>
      </w:r>
    </w:p>
    <w:p w:rsidR="00C93468" w:rsidRDefault="00C93468" w:rsidP="00C93468">
      <w:pPr>
        <w:pStyle w:val="AERquote"/>
      </w:pPr>
      <w:r>
        <w:t>…</w:t>
      </w:r>
      <w:r w:rsidRPr="00A54AED">
        <w:t>hovers around zero since 2005 (other than the period duri</w:t>
      </w:r>
      <w:r>
        <w:t>ng the global financial crisis)</w:t>
      </w:r>
    </w:p>
    <w:p w:rsidR="00C93468" w:rsidRPr="00A54AED" w:rsidRDefault="00C93468" w:rsidP="00C93468">
      <w:r w:rsidRPr="00A54AED">
        <w:t>However the TIPS liquidity factor constructed by this pape</w:t>
      </w:r>
      <w:r>
        <w:t xml:space="preserve">r is found to explain up to 23 per cent </w:t>
      </w:r>
      <w:r w:rsidRPr="00A54AED">
        <w:t>of the variance of TIPS yields</w:t>
      </w:r>
      <w:r w:rsidRPr="00A54AED">
        <w:rPr>
          <w:rStyle w:val="FootnoteReference"/>
        </w:rPr>
        <w:footnoteReference w:id="1577"/>
      </w:r>
      <w:r w:rsidRPr="00A54AED">
        <w:t xml:space="preserve">, and as </w:t>
      </w:r>
      <w:r>
        <w:t>Coroneo (2016)</w:t>
      </w:r>
      <w:r w:rsidRPr="00A54AED">
        <w:t xml:space="preserve"> states</w:t>
      </w:r>
      <w:r>
        <w:t>:</w:t>
      </w:r>
      <w:r w:rsidRPr="00A54AED">
        <w:rPr>
          <w:rStyle w:val="FootnoteReference"/>
        </w:rPr>
        <w:footnoteReference w:id="1578"/>
      </w:r>
    </w:p>
    <w:p w:rsidR="00C93468" w:rsidRPr="00A54AED" w:rsidRDefault="00C93468" w:rsidP="00C93468">
      <w:pPr>
        <w:pStyle w:val="AERquote"/>
      </w:pPr>
      <w:r w:rsidRPr="00A54AED">
        <w:t>Our estimation results confirm that the liquidity premium is an important component of TIPS yields</w:t>
      </w:r>
      <w:r>
        <w:t>.</w:t>
      </w:r>
    </w:p>
    <w:p w:rsidR="00C93468" w:rsidRPr="002656D9" w:rsidRDefault="00C93468" w:rsidP="00F07F63">
      <w:pPr>
        <w:pStyle w:val="HeadingItalic"/>
        <w:rPr>
          <w:rStyle w:val="Strong"/>
          <w:b w:val="0"/>
          <w:bCs/>
        </w:rPr>
      </w:pPr>
      <w:bookmarkStart w:id="624" w:name="_Toc480460969"/>
      <w:r w:rsidRPr="002656D9">
        <w:rPr>
          <w:rStyle w:val="Strong"/>
          <w:b w:val="0"/>
          <w:bCs/>
        </w:rPr>
        <w:t>D'Amico, Kim, and Wei (2010) and D'Amico, Kim, and Wei (2016)</w:t>
      </w:r>
      <w:bookmarkEnd w:id="624"/>
    </w:p>
    <w:p w:rsidR="00C93468" w:rsidRPr="00A440C0" w:rsidRDefault="00C93468" w:rsidP="00C93468">
      <w:r w:rsidRPr="00A440C0">
        <w:t>CEG submits</w:t>
      </w:r>
      <w:r>
        <w:rPr>
          <w:rStyle w:val="FootnoteReference"/>
        </w:rPr>
        <w:footnoteReference w:id="1579"/>
      </w:r>
      <w:r w:rsidRPr="00A440C0">
        <w:t xml:space="preserve"> that the results of D’Amico, Kim and Wei (2010)</w:t>
      </w:r>
      <w:r>
        <w:rPr>
          <w:rStyle w:val="FootnoteReference"/>
        </w:rPr>
        <w:footnoteReference w:id="1580"/>
      </w:r>
      <w:r w:rsidRPr="00A440C0">
        <w:t xml:space="preserve"> and </w:t>
      </w:r>
      <w:r>
        <w:t>D'Amico, Kim, and Wei (2016)</w:t>
      </w:r>
      <w:r w:rsidRPr="006246DC">
        <w:rPr>
          <w:rStyle w:val="FootnoteReference"/>
        </w:rPr>
        <w:t xml:space="preserve"> </w:t>
      </w:r>
      <w:r w:rsidRPr="00A440C0">
        <w:rPr>
          <w:rStyle w:val="FootnoteReference"/>
        </w:rPr>
        <w:footnoteReference w:id="1581"/>
      </w:r>
      <w:r w:rsidRPr="00A440C0">
        <w:t xml:space="preserve"> indicate that the breakeven method actually overstates expected inflation.</w:t>
      </w:r>
    </w:p>
    <w:p w:rsidR="00C93468" w:rsidRPr="00A440C0" w:rsidRDefault="00C93468" w:rsidP="00C93468">
      <w:r>
        <w:t xml:space="preserve">However, </w:t>
      </w:r>
      <w:r w:rsidRPr="00A440C0">
        <w:t>D’</w:t>
      </w:r>
      <w:r>
        <w:t>Amico, Kim, and Wei (2016), which updates</w:t>
      </w:r>
      <w:r w:rsidRPr="00A440C0">
        <w:t xml:space="preserve"> </w:t>
      </w:r>
      <w:r>
        <w:t xml:space="preserve">D'Amico, Kim and Wei (2010), </w:t>
      </w:r>
      <w:r w:rsidRPr="00A440C0">
        <w:t>states the following in regard to the breakeven method of estimating expected inflation</w:t>
      </w:r>
      <w:r>
        <w:t>:</w:t>
      </w:r>
      <w:r w:rsidRPr="00A440C0">
        <w:rPr>
          <w:rStyle w:val="FootnoteReference"/>
        </w:rPr>
        <w:footnoteReference w:id="1582"/>
      </w:r>
      <w:r w:rsidRPr="00A440C0">
        <w:t xml:space="preserve"> </w:t>
      </w:r>
    </w:p>
    <w:p w:rsidR="00C93468" w:rsidRPr="00A440C0" w:rsidRDefault="00C93468" w:rsidP="00C93468">
      <w:pPr>
        <w:pStyle w:val="AERquote"/>
      </w:pPr>
      <w:r w:rsidRPr="00A440C0">
        <w:t>Treating the TIPS BEI [breakeven inflation] as a clean proxy for inflation expectation can be especially problematic, since a combination of economically significant TIPS liquidity premiums and inflation risk premiums could potentially drive a notable wedge between the TIPS BEI a</w:t>
      </w:r>
      <w:r>
        <w:t>nd true inflation expectations.</w:t>
      </w:r>
    </w:p>
    <w:p w:rsidR="00C93468" w:rsidRPr="00A440C0" w:rsidRDefault="00C93468" w:rsidP="00C93468">
      <w:r>
        <w:fldChar w:fldCharType="begin"/>
      </w:r>
      <w:r>
        <w:instrText xml:space="preserve"> REF _Ref478569659 \h </w:instrText>
      </w:r>
      <w:r>
        <w:fldChar w:fldCharType="separate"/>
      </w:r>
      <w:r w:rsidR="006B4A74">
        <w:t xml:space="preserve">Figure </w:t>
      </w:r>
      <w:r w:rsidR="006B4A74">
        <w:rPr>
          <w:noProof/>
        </w:rPr>
        <w:t>3</w:t>
      </w:r>
      <w:r w:rsidR="006B4A74">
        <w:noBreakHyphen/>
      </w:r>
      <w:r w:rsidR="006B4A74">
        <w:rPr>
          <w:noProof/>
        </w:rPr>
        <w:t>26</w:t>
      </w:r>
      <w:r>
        <w:fldChar w:fldCharType="end"/>
      </w:r>
      <w:r>
        <w:t xml:space="preserve"> </w:t>
      </w:r>
      <w:r w:rsidRPr="00A440C0">
        <w:t>below, which is sourced from D’</w:t>
      </w:r>
      <w:r>
        <w:t xml:space="preserve">Amico, Kim, and Wei (2016) </w:t>
      </w:r>
      <w:r w:rsidRPr="00A440C0">
        <w:t xml:space="preserve">and referred to by CEG, shows large differences between </w:t>
      </w:r>
      <w:r>
        <w:t>break-even inflation estimates</w:t>
      </w:r>
      <w:r w:rsidRPr="00F6001D">
        <w:t xml:space="preserve"> </w:t>
      </w:r>
      <w:r w:rsidRPr="00A440C0">
        <w:t xml:space="preserve">and the </w:t>
      </w:r>
      <w:r>
        <w:t xml:space="preserve">estimated true </w:t>
      </w:r>
      <w:r w:rsidRPr="00A440C0">
        <w:t xml:space="preserve">expected inflation rate </w:t>
      </w:r>
      <w:r>
        <w:t xml:space="preserve">estimated by </w:t>
      </w:r>
      <w:r w:rsidRPr="00A440C0">
        <w:t>D’</w:t>
      </w:r>
      <w:r>
        <w:t>Amico, Kim, and Wei (2016).</w:t>
      </w:r>
      <w:r>
        <w:rPr>
          <w:rStyle w:val="FootnoteReference"/>
        </w:rPr>
        <w:footnoteReference w:id="1583"/>
      </w:r>
      <w:r>
        <w:t xml:space="preserve"> </w:t>
      </w:r>
      <w:r w:rsidRPr="00A440C0">
        <w:t xml:space="preserve"> </w:t>
      </w:r>
      <w:r>
        <w:t xml:space="preserve">This result holds </w:t>
      </w:r>
      <w:r w:rsidRPr="00A440C0">
        <w:t xml:space="preserve">even with the exclusion of the period during the global financial crisis. Most recently, the difference is around </w:t>
      </w:r>
      <w:r>
        <w:t>75 basis points</w:t>
      </w:r>
      <w:r w:rsidRPr="00A440C0">
        <w:t xml:space="preserve">. Notably the expected inflation </w:t>
      </w:r>
      <w:r>
        <w:t xml:space="preserve">estimate </w:t>
      </w:r>
      <w:r w:rsidRPr="00A440C0">
        <w:t xml:space="preserve">is much more stable than the breakeven method would imply. </w:t>
      </w:r>
      <w:r>
        <w:t>ACCC Working P</w:t>
      </w:r>
      <w:r w:rsidRPr="00A440C0">
        <w:t>aper</w:t>
      </w:r>
      <w:r>
        <w:t xml:space="preserve"> #11 </w:t>
      </w:r>
      <w:r w:rsidRPr="00A440C0">
        <w:t xml:space="preserve">highlights the stability of the </w:t>
      </w:r>
      <w:r>
        <w:t xml:space="preserve">RBA forecasts and target band approach and cites </w:t>
      </w:r>
      <w:r w:rsidRPr="00A440C0">
        <w:t>further literature which finds that inflation expectations are relatively stable</w:t>
      </w:r>
      <w:r>
        <w:t>.</w:t>
      </w:r>
      <w:r w:rsidRPr="00A440C0">
        <w:rPr>
          <w:rStyle w:val="FootnoteReference"/>
        </w:rPr>
        <w:footnoteReference w:id="1584"/>
      </w:r>
      <w:r w:rsidRPr="00A440C0">
        <w:t xml:space="preserve"> </w:t>
      </w:r>
      <w:r>
        <w:t>The finding in D’Amico, Kim and Wei (2016)</w:t>
      </w:r>
      <w:r w:rsidRPr="00A440C0">
        <w:t xml:space="preserve"> of a negative liquidity risk premium in recent times highlights the potentially unstable nature of the biases associated with the breakeven method</w:t>
      </w:r>
      <w:r>
        <w:t xml:space="preserve"> in contrast to the findings of ACCC Working Paper #11 that inflation expectations are relatively stable</w:t>
      </w:r>
      <w:r w:rsidRPr="00A440C0">
        <w:t>.</w:t>
      </w:r>
    </w:p>
    <w:p w:rsidR="00C93468" w:rsidRDefault="00C93468" w:rsidP="00C93468">
      <w:pPr>
        <w:pStyle w:val="Caption"/>
      </w:pPr>
      <w:bookmarkStart w:id="625" w:name="_Ref478569659"/>
      <w:r>
        <w:t xml:space="preserve">Figure </w:t>
      </w:r>
      <w:fldSimple w:instr=" STYLEREF 1 \s ">
        <w:r w:rsidR="006B4A74">
          <w:rPr>
            <w:noProof/>
          </w:rPr>
          <w:t>3</w:t>
        </w:r>
      </w:fldSimple>
      <w:r w:rsidR="008A2B2B">
        <w:noBreakHyphen/>
      </w:r>
      <w:fldSimple w:instr=" SEQ Figure \* ARABIC \s 1 ">
        <w:r w:rsidR="006B4A74">
          <w:rPr>
            <w:noProof/>
          </w:rPr>
          <w:t>26</w:t>
        </w:r>
      </w:fldSimple>
      <w:bookmarkEnd w:id="625"/>
      <w:r>
        <w:tab/>
        <w:t>Inflation estimates from D'Amico, Kim, and Wei (2016)</w:t>
      </w:r>
    </w:p>
    <w:p w:rsidR="00C93468" w:rsidRDefault="00C93468" w:rsidP="00C93468">
      <w:r w:rsidRPr="00C93468">
        <w:rPr>
          <w:noProof/>
          <w:lang w:eastAsia="en-AU"/>
        </w:rPr>
        <w:drawing>
          <wp:inline distT="0" distB="0" distL="0" distR="0" wp14:anchorId="726C1EE9" wp14:editId="38EAC8E8">
            <wp:extent cx="5382895" cy="2067041"/>
            <wp:effectExtent l="0" t="0" r="825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82895" cy="2067041"/>
                    </a:xfrm>
                    <a:prstGeom prst="rect">
                      <a:avLst/>
                    </a:prstGeom>
                  </pic:spPr>
                </pic:pic>
              </a:graphicData>
            </a:graphic>
          </wp:inline>
        </w:drawing>
      </w:r>
    </w:p>
    <w:p w:rsidR="00C93468" w:rsidRDefault="00C93468" w:rsidP="00C93468">
      <w:pPr>
        <w:pStyle w:val="AERtablesource"/>
      </w:pPr>
      <w:r>
        <w:t>Notes:</w:t>
      </w:r>
      <w:r>
        <w:tab/>
        <w:t xml:space="preserve">BEI refers to break-even inflation estimates. "inf exp" refers to inflation </w:t>
      </w:r>
    </w:p>
    <w:p w:rsidR="00C93468" w:rsidRDefault="00C93468" w:rsidP="00C93468">
      <w:pPr>
        <w:pStyle w:val="AERtablesource"/>
      </w:pPr>
      <w:r>
        <w:t>Source:</w:t>
      </w:r>
      <w:r>
        <w:tab/>
      </w:r>
      <w:r w:rsidRPr="006A4EB6">
        <w:t>Stefania D’Amico, Don Kim and Min Wei (2016), ‘Tips from TIPS: The informational content of Treasury Inflation-Protected Security prices’, Finance and Economics Discussion Series, Divisions of Research and Statistics and Monetary Affairs, Federal Reserve Board, 2014-24</w:t>
      </w:r>
      <w:r>
        <w:t>, p. 69.</w:t>
      </w:r>
    </w:p>
    <w:p w:rsidR="00C93468" w:rsidRPr="002656D9" w:rsidRDefault="00C93468" w:rsidP="00F07F63">
      <w:pPr>
        <w:pStyle w:val="HeadingItalic"/>
        <w:rPr>
          <w:rStyle w:val="Strong"/>
          <w:b w:val="0"/>
          <w:bCs/>
        </w:rPr>
      </w:pPr>
      <w:bookmarkStart w:id="626" w:name="_Toc480460970"/>
      <w:r w:rsidRPr="002656D9">
        <w:rPr>
          <w:rStyle w:val="Strong"/>
          <w:b w:val="0"/>
          <w:bCs/>
        </w:rPr>
        <w:t>Grishchenko and Huang (2012)</w:t>
      </w:r>
      <w:bookmarkEnd w:id="626"/>
    </w:p>
    <w:p w:rsidR="00C93468" w:rsidRPr="00A440C0" w:rsidRDefault="00C93468" w:rsidP="00C93468">
      <w:r w:rsidRPr="00A440C0">
        <w:t>Grishchenko and Huang (2012) adjust their estimated inflation risk premium for the effects of illiquidity on TIPS</w:t>
      </w:r>
      <w:r>
        <w:t xml:space="preserve"> (US indexed government bonds)</w:t>
      </w:r>
      <w:r w:rsidRPr="00A440C0">
        <w:t>. CEG states that as a result, the inflation risk premium calculated can be considered as the ‘net bias’, and then uses the figure as the amount by which breakeven inflation overestimates expected inflation.</w:t>
      </w:r>
      <w:r w:rsidRPr="00A440C0">
        <w:rPr>
          <w:rStyle w:val="FootnoteReference"/>
        </w:rPr>
        <w:footnoteReference w:id="1585"/>
      </w:r>
      <w:r w:rsidRPr="00A440C0">
        <w:t xml:space="preserve"> However the liquidity adjustment ensures that the inflation risk premium is not distorted by liquidity issues. The figures given are the authors’ estimate of the inflation risk premium, not a ‘net bias’. The purpose of the liquidity adjustment is to isolate the inflation risk premium, in contrast to stating the net effect of inflation risk and liquidity.</w:t>
      </w:r>
    </w:p>
    <w:p w:rsidR="00C93468" w:rsidRPr="002656D9" w:rsidRDefault="00C93468" w:rsidP="00F07F63">
      <w:pPr>
        <w:pStyle w:val="HeadingItalic"/>
        <w:rPr>
          <w:rStyle w:val="Strong"/>
          <w:b w:val="0"/>
          <w:bCs/>
        </w:rPr>
      </w:pPr>
      <w:bookmarkStart w:id="627" w:name="_Toc480460971"/>
      <w:r w:rsidRPr="002656D9">
        <w:rPr>
          <w:rStyle w:val="Strong"/>
          <w:b w:val="0"/>
          <w:bCs/>
        </w:rPr>
        <w:t>Pflueger &amp; Viceira (2015)</w:t>
      </w:r>
      <w:bookmarkEnd w:id="627"/>
    </w:p>
    <w:p w:rsidR="00C93468" w:rsidRDefault="00C93468" w:rsidP="00C93468">
      <w:r w:rsidRPr="001A388C">
        <w:t>Pflueger and Viceira (2015), present a liquidity premium f</w:t>
      </w:r>
      <w:r>
        <w:t xml:space="preserve">or the US TIPS and UK index-linked gilts (US and UK equivalents to the Australian indexed CGS). CEG submits that while Pflueger and Viceira (2015) find a sizeable liquidity premium in the US, </w:t>
      </w:r>
      <w:r w:rsidRPr="001A388C">
        <w:t>the liquidity premium is smaller in the UK</w:t>
      </w:r>
      <w:r>
        <w:t>. However</w:t>
      </w:r>
      <w:r w:rsidRPr="001A388C">
        <w:t>, it is likely that the Australian market exhibits more similarity to properties of the US market than UK market. The proportional value represented by indexed bonds in the Australian CGS market is around 7 per cent as at 3rd of February 2017, for the UK the equivalent is 25 per cent and for the US it is 6 per cent.</w:t>
      </w:r>
      <w:r w:rsidRPr="001A388C">
        <w:rPr>
          <w:rStyle w:val="FootnoteReference"/>
        </w:rPr>
        <w:footnoteReference w:id="1586"/>
      </w:r>
      <w:r w:rsidRPr="001A388C">
        <w:t xml:space="preserve"> This suggests that Australia is more likely to have liquidity premiums in line with the US than the UK.</w:t>
      </w:r>
    </w:p>
    <w:p w:rsidR="00C93468" w:rsidRPr="001A388C" w:rsidRDefault="00C93468" w:rsidP="00C93468">
      <w:r w:rsidRPr="00686541">
        <w:t>Pflueger and Viceira (2015) regresses breakeven inflation on variables that may indicate liquidity issues and published expected inflation. The component of the regression with variables related to liquidity issues is considered as the liquidity premium.</w:t>
      </w:r>
      <w:r>
        <w:t xml:space="preserve"> On this regression, </w:t>
      </w:r>
      <w:r w:rsidRPr="001A388C">
        <w:t>CEG state</w:t>
      </w:r>
      <w:r>
        <w:t>s</w:t>
      </w:r>
      <w:r w:rsidRPr="001A388C">
        <w:t xml:space="preserve"> that:</w:t>
      </w:r>
      <w:r>
        <w:rPr>
          <w:rStyle w:val="FootnoteReference"/>
        </w:rPr>
        <w:footnoteReference w:id="1587"/>
      </w:r>
    </w:p>
    <w:p w:rsidR="00C93468" w:rsidRPr="001A388C" w:rsidRDefault="00C93468" w:rsidP="00C93468">
      <w:pPr>
        <w:pStyle w:val="AERquote"/>
      </w:pPr>
      <w:r w:rsidRPr="001A388C">
        <w:t>Since the coefficients on the variables related to liquidity do not change over time, the model utilised by Pflueger and Viceira (2015) assumes a constant relationship between liquidity premium and the explanatory variables. If these variables do not explain all the movements of liquidity premium across time, the liquidity premium will be over-estimated for some time periods and under-estimated for other time periods. This is because the coefficient is trying to capture the average relationship between the liquidity premium and the explanatory variables. Since Pflueger and Viceira’s (2015) sample includes the periods when TIPS are first introduced and the global financial crisis, which exhibits high liquidity premium, the estimation will overestimate the relationship between the liquidity premium and the explanatory variables in other periods.</w:t>
      </w:r>
    </w:p>
    <w:p w:rsidR="00C93468" w:rsidRPr="001A388C" w:rsidRDefault="00C93468" w:rsidP="00C93468">
      <w:r>
        <w:t>CEG's submission - that a constant relationship between liquidity premium and variables related to liquidity</w:t>
      </w:r>
      <w:r w:rsidRPr="001A388C">
        <w:t xml:space="preserve"> leads to </w:t>
      </w:r>
      <w:r>
        <w:t xml:space="preserve">overestimation - </w:t>
      </w:r>
      <w:r w:rsidRPr="001A388C">
        <w:t xml:space="preserve">does not necessarily hold. </w:t>
      </w:r>
      <w:r>
        <w:t>Some movements in liquidity premium may not be explained by movements in variables related to liquidity premium. There is no reason to believe that these unexplained movements in liquidity premium were</w:t>
      </w:r>
      <w:r w:rsidRPr="001A388C">
        <w:t xml:space="preserve"> </w:t>
      </w:r>
      <w:r>
        <w:t>significantly and reliably</w:t>
      </w:r>
      <w:r w:rsidRPr="001A388C">
        <w:t xml:space="preserve"> in one direction</w:t>
      </w:r>
      <w:r>
        <w:t xml:space="preserve"> or another </w:t>
      </w:r>
      <w:r w:rsidRPr="001A388C">
        <w:t>during</w:t>
      </w:r>
      <w:r>
        <w:t xml:space="preserve"> either</w:t>
      </w:r>
      <w:r w:rsidRPr="001A388C">
        <w:t xml:space="preserve"> the immature stage in the TIPS market or the GFC. Variables</w:t>
      </w:r>
      <w:r>
        <w:t xml:space="preserve"> related to liquidity</w:t>
      </w:r>
      <w:r w:rsidRPr="001A388C">
        <w:t>, such as turnover</w:t>
      </w:r>
      <w:r>
        <w:t>,</w:t>
      </w:r>
      <w:r w:rsidRPr="001A388C">
        <w:t xml:space="preserve"> </w:t>
      </w:r>
      <w:r>
        <w:t>may</w:t>
      </w:r>
      <w:r w:rsidRPr="001A388C">
        <w:t xml:space="preserve"> have varied considerably in the immature stage, the GFC</w:t>
      </w:r>
      <w:r>
        <w:t>,</w:t>
      </w:r>
      <w:r w:rsidRPr="001A388C">
        <w:t xml:space="preserve"> and between.</w:t>
      </w:r>
    </w:p>
    <w:p w:rsidR="00C93468" w:rsidRPr="00757EBE" w:rsidRDefault="00C93468" w:rsidP="00C93468">
      <w:r>
        <w:t>CEG submits that</w:t>
      </w:r>
      <w:r w:rsidRPr="00757EBE">
        <w:t xml:space="preserve"> Pflueger and Viceira (2015) do not test the stability of the estimated coefficient or allow for the removal of the impact of the global financial crisis and introductory period of TIPS. Pflueger and Viceira (2015) do run a separate regression for the period prior to the global financial crisis and finds that the estimated coefficient for two of the liquidity indicators is no longer statistically significant, which may indicate instability in the coefficient.</w:t>
      </w:r>
      <w:r>
        <w:t xml:space="preserve"> Conversely, we note that there is considerable uncertainty about the extent to which biases and risk premia present in bond break-even rates are time-varying.</w:t>
      </w:r>
      <w:r>
        <w:rPr>
          <w:rStyle w:val="FootnoteReference"/>
        </w:rPr>
        <w:footnoteReference w:id="1588"/>
      </w:r>
      <w:r>
        <w:t xml:space="preserve"> </w:t>
      </w:r>
    </w:p>
    <w:p w:rsidR="00C93468" w:rsidRPr="00C93468" w:rsidRDefault="00C93468" w:rsidP="00C93468">
      <w:pPr>
        <w:pStyle w:val="Heading9"/>
      </w:pPr>
      <w:bookmarkStart w:id="628" w:name="_Toc480460972"/>
      <w:r>
        <w:t>Convexity bias</w:t>
      </w:r>
      <w:bookmarkEnd w:id="628"/>
    </w:p>
    <w:p w:rsidR="00C93468" w:rsidRDefault="00C93468" w:rsidP="00C93468">
      <w:r>
        <w:t>CEG and AusNet Services submitted that we did not, in our draft determination, attempt to estimate the impact of convexity bias.</w:t>
      </w:r>
      <w:r>
        <w:rPr>
          <w:rStyle w:val="FootnoteReference"/>
        </w:rPr>
        <w:footnoteReference w:id="1589"/>
      </w:r>
      <w:r>
        <w:t xml:space="preserve"> CEG submitted that the available academic evidence and its own simulation modelling suggest that potential convexity bias in bond break-even inflation estimates is trivial in magnitude.</w:t>
      </w:r>
      <w:r w:rsidRPr="00593F25">
        <w:rPr>
          <w:rStyle w:val="FootnoteReference"/>
        </w:rPr>
        <w:footnoteReference w:id="1590"/>
      </w:r>
      <w:r>
        <w:t xml:space="preserve"> CEG submitted that:</w:t>
      </w:r>
    </w:p>
    <w:p w:rsidR="00C93468" w:rsidRDefault="00C93468" w:rsidP="00C93468">
      <w:pPr>
        <w:pStyle w:val="AERbulletlistfirststyle"/>
      </w:pPr>
      <w:r>
        <w:t>Ang, Bekaert and Wei (2008) find that the convexity bias amounts to less than one basis point.</w:t>
      </w:r>
      <w:r w:rsidRPr="00DF4E0F">
        <w:rPr>
          <w:rStyle w:val="FootnoteReference"/>
        </w:rPr>
        <w:footnoteReference w:id="1591"/>
      </w:r>
      <w:r>
        <w:t xml:space="preserve"> </w:t>
      </w:r>
    </w:p>
    <w:p w:rsidR="00C93468" w:rsidRDefault="00C93468" w:rsidP="00C93468">
      <w:pPr>
        <w:pStyle w:val="AERbulletlistfirststyle"/>
      </w:pPr>
      <w:r>
        <w:t>Lehman Brothers (2006) find convexity bias to be 4 basis points.</w:t>
      </w:r>
      <w:r w:rsidRPr="00DF4E0F">
        <w:rPr>
          <w:rStyle w:val="FootnoteReference"/>
        </w:rPr>
        <w:footnoteReference w:id="1592"/>
      </w:r>
    </w:p>
    <w:p w:rsidR="00C93468" w:rsidRDefault="00C93468" w:rsidP="00C93468">
      <w:pPr>
        <w:pStyle w:val="AERbulletlistfirststyle"/>
      </w:pPr>
      <w:r>
        <w:t>Banco Central do Brasil (2014) finds convexity bias to be close to 1 basis point.</w:t>
      </w:r>
      <w:r w:rsidRPr="00DF4E0F">
        <w:rPr>
          <w:rStyle w:val="FootnoteReference"/>
        </w:rPr>
        <w:footnoteReference w:id="1593"/>
      </w:r>
    </w:p>
    <w:p w:rsidR="00C93468" w:rsidRDefault="00C93468" w:rsidP="00C93468">
      <w:r>
        <w:t xml:space="preserve">CEG did not cite </w:t>
      </w:r>
      <w:r w:rsidRPr="004C7089">
        <w:t>Apedjinou et al. (2006)</w:t>
      </w:r>
      <w:r>
        <w:t>, which</w:t>
      </w:r>
      <w:r w:rsidRPr="004C7089">
        <w:t xml:space="preserve"> estimated the convexity effect for nominal </w:t>
      </w:r>
      <w:r>
        <w:t xml:space="preserve">and indexed US federal government securities. Apedjinou et al (2006) finds </w:t>
      </w:r>
      <w:r w:rsidRPr="004C7089">
        <w:t>a convexity bias of approximately 31 basis points in the 1 year forward inflation rate 10 ye</w:t>
      </w:r>
      <w:r>
        <w:t xml:space="preserve">ars forward and a convexity bias of approximately </w:t>
      </w:r>
      <w:r w:rsidRPr="007072D2">
        <w:t>15 basis points in the 5 year implied forward inflation rate, 5 years forward</w:t>
      </w:r>
      <w:r w:rsidRPr="004C7089">
        <w:t>.</w:t>
      </w:r>
      <w:r>
        <w:rPr>
          <w:rStyle w:val="FootnoteReference"/>
        </w:rPr>
        <w:footnoteReference w:id="1594"/>
      </w:r>
    </w:p>
    <w:p w:rsidR="00C93468" w:rsidRDefault="00C93468" w:rsidP="00C93468">
      <w:r w:rsidRPr="004C7089">
        <w:t>The estimated convexity bias differs considerably across the studies that separately estimate this bias.</w:t>
      </w:r>
      <w:r>
        <w:t xml:space="preserve"> </w:t>
      </w:r>
      <w:r w:rsidRPr="004C7089">
        <w:t>Since the estimated size of the convexity effect is dependent on forward rate/yield volatilities</w:t>
      </w:r>
      <w:r>
        <w:t>,</w:t>
      </w:r>
      <w:r>
        <w:rPr>
          <w:rStyle w:val="FootnoteReference"/>
        </w:rPr>
        <w:footnoteReference w:id="1595"/>
      </w:r>
      <w:r w:rsidRPr="004C7089">
        <w:t xml:space="preserve"> convexity bias </w:t>
      </w:r>
      <w:r>
        <w:t>will</w:t>
      </w:r>
      <w:r w:rsidRPr="004C7089">
        <w:t xml:space="preserve"> likely differ depending on which volatilit</w:t>
      </w:r>
      <w:r>
        <w:t>y measure is used (</w:t>
      </w:r>
      <w:r w:rsidRPr="004C7089">
        <w:t>historical volatilities or forwar</w:t>
      </w:r>
      <w:r>
        <w:t xml:space="preserve">d-looking implied volatilities), </w:t>
      </w:r>
      <w:r w:rsidRPr="004C7089">
        <w:t>the sample period chosen</w:t>
      </w:r>
      <w:r>
        <w:t>, or</w:t>
      </w:r>
      <w:r w:rsidRPr="007072D2">
        <w:t xml:space="preserve"> the modelling approach adopted.</w:t>
      </w:r>
      <w:r>
        <w:t xml:space="preserve"> ACCC Working Paper #11 finds that s</w:t>
      </w:r>
      <w:r w:rsidRPr="00B22FAC">
        <w:t>tudies that isolate the effects of convexity bias are complex, which may explain why few studies are undertaken to estimate this bias.</w:t>
      </w:r>
      <w:r>
        <w:rPr>
          <w:rStyle w:val="FootnoteReference"/>
        </w:rPr>
        <w:footnoteReference w:id="1596"/>
      </w:r>
    </w:p>
    <w:p w:rsidR="00C93468" w:rsidRDefault="00C93468" w:rsidP="00C93468">
      <w:r>
        <w:t>We consider that the effect of convexity bias on Australian bond-breakeven inflation estimates is unclear. We consider there is potential for estimates of the convexity bias to vary considerably depending on methodological choices, and consider that this creates material risk of bias and regulatory gaming in the estimation of convexity bias and the bond break-even inflation rate.</w:t>
      </w:r>
    </w:p>
    <w:p w:rsidR="00C93468" w:rsidRPr="00C93468" w:rsidRDefault="00C93468" w:rsidP="00C93468">
      <w:pPr>
        <w:pStyle w:val="Heading9"/>
      </w:pPr>
      <w:bookmarkStart w:id="629" w:name="_Toc480460973"/>
      <w:r>
        <w:t>B</w:t>
      </w:r>
      <w:r w:rsidRPr="00C93468">
        <w:t>iases and premia in inflation swap rates</w:t>
      </w:r>
      <w:bookmarkEnd w:id="629"/>
    </w:p>
    <w:p w:rsidR="00C93468" w:rsidRDefault="00C93468" w:rsidP="00C93468">
      <w:r>
        <w:t xml:space="preserve">AusNet Services and CEG submitted that inflation swap-implied inflation estimates will tend to be biased upwards </w:t>
      </w:r>
      <w:r w:rsidRPr="00DE1578">
        <w:t xml:space="preserve">to account for risk premiums and </w:t>
      </w:r>
      <w:r>
        <w:t xml:space="preserve">the </w:t>
      </w:r>
      <w:r w:rsidRPr="00DE1578">
        <w:t xml:space="preserve">capital costs </w:t>
      </w:r>
      <w:r>
        <w:t>of</w:t>
      </w:r>
      <w:r w:rsidRPr="00DE1578">
        <w:t xml:space="preserve"> </w:t>
      </w:r>
      <w:r>
        <w:t>providers of</w:t>
      </w:r>
      <w:r w:rsidRPr="00DE1578">
        <w:t xml:space="preserve"> these products.</w:t>
      </w:r>
      <w:r>
        <w:rPr>
          <w:rStyle w:val="FootnoteReference"/>
        </w:rPr>
        <w:footnoteReference w:id="1597"/>
      </w:r>
      <w:r w:rsidRPr="00DE1578">
        <w:t xml:space="preserve"> </w:t>
      </w:r>
      <w:r>
        <w:t>CEG refers to a study by Campbell, Shiller, and Viceira (2009) to support its submission.</w:t>
      </w:r>
    </w:p>
    <w:p w:rsidR="00C93468" w:rsidRDefault="00C93468" w:rsidP="00C93468">
      <w:r>
        <w:t xml:space="preserve">While Campbell, Shiller, and Viceira (2009) do not </w:t>
      </w:r>
      <w:r w:rsidRPr="00E46428">
        <w:t xml:space="preserve">claim </w:t>
      </w:r>
      <w:r w:rsidRPr="00557E2E">
        <w:t>that the biases</w:t>
      </w:r>
      <w:r w:rsidRPr="00E46428">
        <w:t xml:space="preserve"> </w:t>
      </w:r>
      <w:r>
        <w:t>in inflation swaps are significant,</w:t>
      </w:r>
      <w:r>
        <w:rPr>
          <w:rStyle w:val="FootnoteReference"/>
        </w:rPr>
        <w:footnoteReference w:id="1598"/>
      </w:r>
      <w:r>
        <w:t xml:space="preserve"> we note:</w:t>
      </w:r>
    </w:p>
    <w:p w:rsidR="00C93468" w:rsidRDefault="00C93468" w:rsidP="00C93468">
      <w:pPr>
        <w:pStyle w:val="AERbulletlistfirststyle"/>
      </w:pPr>
      <w:r>
        <w:t>Campbell, Shiller, and Viceira (2009) do not attempt to estimate the size of potential biases in inflation swaps</w:t>
      </w:r>
    </w:p>
    <w:p w:rsidR="00C93468" w:rsidRDefault="00C93468" w:rsidP="00C93468">
      <w:pPr>
        <w:pStyle w:val="AERbulletlistfirststyle"/>
      </w:pPr>
      <w:r>
        <w:t>Finlay and Olivan (2012),</w:t>
      </w:r>
      <w:r>
        <w:rPr>
          <w:rStyle w:val="FootnoteReference"/>
        </w:rPr>
        <w:footnoteReference w:id="1599"/>
      </w:r>
      <w:r>
        <w:t xml:space="preserve"> RBA (2015),</w:t>
      </w:r>
      <w:r>
        <w:rPr>
          <w:rStyle w:val="FootnoteReference"/>
        </w:rPr>
        <w:footnoteReference w:id="1600"/>
      </w:r>
      <w:r>
        <w:t xml:space="preserve"> Fleckenstein et al. (2014),</w:t>
      </w:r>
      <w:r>
        <w:rPr>
          <w:rStyle w:val="FootnoteReference"/>
        </w:rPr>
        <w:footnoteReference w:id="1601"/>
      </w:r>
      <w:r>
        <w:t xml:space="preserve"> Haubrich et al (2012),</w:t>
      </w:r>
      <w:r>
        <w:rPr>
          <w:rStyle w:val="FootnoteReference"/>
        </w:rPr>
        <w:footnoteReference w:id="1602"/>
      </w:r>
      <w:r>
        <w:t xml:space="preserve"> Pflueger and Viceira (2015),</w:t>
      </w:r>
      <w:r>
        <w:rPr>
          <w:rStyle w:val="FootnoteReference"/>
        </w:rPr>
        <w:footnoteReference w:id="1603"/>
      </w:r>
      <w:r>
        <w:t xml:space="preserve"> Liu et al. (2015),</w:t>
      </w:r>
      <w:r>
        <w:rPr>
          <w:rStyle w:val="FootnoteReference"/>
        </w:rPr>
        <w:footnoteReference w:id="1604"/>
      </w:r>
      <w:r>
        <w:t xml:space="preserve"> and Christensen and Gillan (2012)</w:t>
      </w:r>
      <w:r>
        <w:rPr>
          <w:rStyle w:val="FootnoteReference"/>
        </w:rPr>
        <w:footnoteReference w:id="1605"/>
      </w:r>
      <w:r>
        <w:t xml:space="preserve"> all support the view that inflation swaps are likely to provide more reliable estimates of inflation expectations than bond break-even estimates.</w:t>
      </w:r>
    </w:p>
    <w:p w:rsidR="00C93468" w:rsidRPr="00C93468" w:rsidRDefault="00C93468" w:rsidP="00C93468">
      <w:pPr>
        <w:pStyle w:val="Heading8"/>
      </w:pPr>
      <w:bookmarkStart w:id="630" w:name="_Ref478561470"/>
      <w:bookmarkStart w:id="631" w:name="_Toc481057514"/>
      <w:r>
        <w:t>Effect of inflation outcomes on inflation expectations</w:t>
      </w:r>
      <w:bookmarkEnd w:id="630"/>
      <w:bookmarkEnd w:id="631"/>
    </w:p>
    <w:p w:rsidR="00C93468" w:rsidRDefault="00C93468" w:rsidP="00C93468">
      <w:r>
        <w:t>AusNet Services and CEG submitted that recent inflation outcomes support the use of the bond break-even approach, stating that:</w:t>
      </w:r>
    </w:p>
    <w:p w:rsidR="00C93468" w:rsidRPr="003E4A8E" w:rsidRDefault="00C93468" w:rsidP="00C93468">
      <w:pPr>
        <w:pStyle w:val="AERbulletlistfirststyle"/>
      </w:pPr>
      <w:r w:rsidRPr="00ED7C40">
        <w:t>B</w:t>
      </w:r>
      <w:r>
        <w:t>ond b</w:t>
      </w:r>
      <w:r w:rsidRPr="00ED7C40">
        <w:t>reak-even inflation estimates have responded materially to the sustained low inflation outcomes over the last three year</w:t>
      </w:r>
      <w:r>
        <w:t>s</w:t>
      </w:r>
      <w:r w:rsidRPr="00ED7C40">
        <w:t>, unlike estimates</w:t>
      </w:r>
      <w:r>
        <w:t xml:space="preserve"> from the RBA forecasts and target band approach</w:t>
      </w:r>
      <w:r w:rsidRPr="00ED7C40">
        <w:t>.</w:t>
      </w:r>
      <w:r>
        <w:t xml:space="preserve"> CEG appears to suggest that recent low inflation outcomes inform long-term inflation expectations.</w:t>
      </w:r>
      <w:r w:rsidRPr="002338CF">
        <w:rPr>
          <w:rStyle w:val="FootnoteReference"/>
        </w:rPr>
        <w:footnoteReference w:id="1606"/>
      </w:r>
    </w:p>
    <w:p w:rsidR="00C93468" w:rsidRDefault="00C93468" w:rsidP="00C93468">
      <w:pPr>
        <w:pStyle w:val="AERbulletlistfirststyle"/>
      </w:pPr>
      <w:r w:rsidRPr="00ED7C40">
        <w:t>Break-even inflation accurately predicted the recent fall in inflation below the bottom of the RBA’s target range – more</w:t>
      </w:r>
      <w:r>
        <w:t xml:space="preserve"> accurately than RBA forecasts. CEG appears to suggest that inflation expectations are informed by bond-breakeven estimates, due to the model's greater predictive power.</w:t>
      </w:r>
      <w:r>
        <w:rPr>
          <w:rStyle w:val="FootnoteReference"/>
        </w:rPr>
        <w:footnoteReference w:id="1607"/>
      </w:r>
    </w:p>
    <w:p w:rsidR="00C93468" w:rsidRPr="000F2E28" w:rsidRDefault="00C93468" w:rsidP="00C93468">
      <w:r>
        <w:t xml:space="preserve">In support of this submission </w:t>
      </w:r>
      <w:r w:rsidRPr="000F2E28">
        <w:t>CEG presented a number of charts</w:t>
      </w:r>
      <w:r w:rsidRPr="000F2E28">
        <w:rPr>
          <w:rStyle w:val="FootnoteReference"/>
        </w:rPr>
        <w:footnoteReference w:id="1608"/>
      </w:r>
      <w:r w:rsidRPr="000F2E28">
        <w:t xml:space="preserve"> that compared inflation outcomes against inflation estimates from the bond break-even approach and the RBA forecasts and target band approach. </w:t>
      </w:r>
      <w:r>
        <w:t xml:space="preserve">We note that the charts </w:t>
      </w:r>
      <w:r w:rsidRPr="000F2E28">
        <w:t>submitted by CEG examine only recent data and short-term inflation outcomes.</w:t>
      </w:r>
      <w:r w:rsidRPr="000E6A0B">
        <w:t xml:space="preserve"> </w:t>
      </w:r>
      <w:r>
        <w:t>However, our task is to estimate 10-year expected inflation (see section</w:t>
      </w:r>
      <w:r w:rsidR="008A2B2B">
        <w:t xml:space="preserve"> </w:t>
      </w:r>
      <w:r w:rsidR="008A2B2B">
        <w:fldChar w:fldCharType="begin"/>
      </w:r>
      <w:r w:rsidR="008A2B2B">
        <w:instrText xml:space="preserve"> REF _Ref479832864 \r \h </w:instrText>
      </w:r>
      <w:r w:rsidR="008A2B2B">
        <w:fldChar w:fldCharType="separate"/>
      </w:r>
      <w:r w:rsidR="006B4A74">
        <w:t>3.4.4</w:t>
      </w:r>
      <w:r w:rsidR="008A2B2B">
        <w:fldChar w:fldCharType="end"/>
      </w:r>
      <w:r>
        <w:t>).</w:t>
      </w:r>
    </w:p>
    <w:p w:rsidR="00C93468" w:rsidRDefault="00C93468" w:rsidP="00C93468">
      <w:r>
        <w:t xml:space="preserve">We consider it plausible that inflation expectations may be informed by the inflation estimates of an estimation approach that has historically been an accurate predictor of inflation outcomes. However, we consider that there is likely to be a material difference in short-term and long-term expectations of inflation. </w:t>
      </w:r>
    </w:p>
    <w:p w:rsidR="00C93468" w:rsidRDefault="00C93468" w:rsidP="00C93468">
      <w:r>
        <w:t>Similarly, we consider it plausible that forward-looking expectations may be informed by recent outcomes</w:t>
      </w:r>
      <w:r w:rsidRPr="007B7961">
        <w:t xml:space="preserve">. </w:t>
      </w:r>
      <w:r>
        <w:t>However, th</w:t>
      </w:r>
      <w:r w:rsidRPr="00CB6ED6">
        <w:t>e impact of this effect is likely overstated by CEG</w:t>
      </w:r>
      <w:r>
        <w:t xml:space="preserve"> – the effect is tempered by the potential for transient inflation shocks. Shocks may cause outcomes to vary from expectations, and we would not expect all shocks to be </w:t>
      </w:r>
      <w:r w:rsidRPr="0009728C">
        <w:t>routinely</w:t>
      </w:r>
      <w:r>
        <w:t xml:space="preserve"> and completely</w:t>
      </w:r>
      <w:r w:rsidRPr="0009728C">
        <w:t xml:space="preserve"> reflected in the formation of subsequent expectations</w:t>
      </w:r>
      <w:r>
        <w:t>, particularly when there is a greater distance between the recent outcomes and the term of the forward expectation. For example, the most recent quarterly inflation outcome would likely have a greater effect on 1-year forward expectations than 10-year forward expectations.</w:t>
      </w:r>
    </w:p>
    <w:p w:rsidR="00C93468" w:rsidRDefault="00C93468" w:rsidP="00C93468">
      <w:r>
        <w:t xml:space="preserve">There </w:t>
      </w:r>
      <w:r w:rsidRPr="007B7961">
        <w:t xml:space="preserve">is considerable evidence </w:t>
      </w:r>
      <w:r>
        <w:t>in the academic literature finding</w:t>
      </w:r>
      <w:r w:rsidRPr="007B7961">
        <w:t xml:space="preserve"> that long term inflation expectations are relatively stable over time</w:t>
      </w:r>
      <w:r>
        <w:t>,</w:t>
      </w:r>
      <w:r w:rsidRPr="007B7961">
        <w:t xml:space="preserve"> informed by and anchored within the RBA’s target band</w:t>
      </w:r>
      <w:r>
        <w:t xml:space="preserve">, and </w:t>
      </w:r>
      <w:r w:rsidRPr="007B7961">
        <w:t>do not respond significantly to inflation surprises.</w:t>
      </w:r>
      <w:r w:rsidRPr="007B7961">
        <w:rPr>
          <w:rStyle w:val="FootnoteReference"/>
        </w:rPr>
        <w:footnoteReference w:id="1609"/>
      </w:r>
      <w:r w:rsidRPr="007B7961">
        <w:t xml:space="preserve"> </w:t>
      </w:r>
      <w:r>
        <w:t xml:space="preserve">While </w:t>
      </w:r>
      <w:r w:rsidRPr="00A74A6A">
        <w:t>Finlay and Wende (2011) find that the contemporaneous rate of inflation has a strong influence on short term inflation expectations</w:t>
      </w:r>
      <w:r>
        <w:t xml:space="preserve">, </w:t>
      </w:r>
      <w:r w:rsidRPr="00A74A6A">
        <w:t xml:space="preserve">Gillitzer and Simon (2015); Finlay and Wende (2011); Leu and Sheen (2006); and </w:t>
      </w:r>
      <w:r w:rsidRPr="00FE48A7">
        <w:t>Jaaskela and McKibbin (2010)</w:t>
      </w:r>
      <w:r>
        <w:t xml:space="preserve"> find that long-term expectations are relatively stable.</w:t>
      </w:r>
      <w:r>
        <w:rPr>
          <w:rStyle w:val="FootnoteReference"/>
        </w:rPr>
        <w:footnoteReference w:id="1610"/>
      </w:r>
    </w:p>
    <w:p w:rsidR="00C93468" w:rsidRPr="006149CD" w:rsidRDefault="00C93468" w:rsidP="00C93468">
      <w:pPr>
        <w:rPr>
          <w:rStyle w:val="AERbody"/>
        </w:rPr>
      </w:pPr>
      <w:r w:rsidRPr="00ED32CB">
        <w:t xml:space="preserve">Sack (2000) and Christensen et al (2004) </w:t>
      </w:r>
      <w:r>
        <w:t xml:space="preserve">suggest </w:t>
      </w:r>
      <w:r w:rsidRPr="00ED32CB">
        <w:t xml:space="preserve">that the </w:t>
      </w:r>
      <w:r>
        <w:t>bond break-even estimates</w:t>
      </w:r>
      <w:r w:rsidRPr="00ED32CB">
        <w:t xml:space="preserve"> may be more volatile than long term inflation expectations because the 10 year </w:t>
      </w:r>
      <w:r>
        <w:t>bond break-even</w:t>
      </w:r>
      <w:r w:rsidRPr="00ED32CB">
        <w:t xml:space="preserve"> may be sensitive to relatively volatile short term inflation expectations</w:t>
      </w:r>
      <w:r>
        <w:t>.</w:t>
      </w:r>
      <w:r>
        <w:rPr>
          <w:rStyle w:val="FootnoteReference"/>
        </w:rPr>
        <w:footnoteReference w:id="1611"/>
      </w:r>
      <w:r>
        <w:t xml:space="preserve"> </w:t>
      </w:r>
      <w:r w:rsidRPr="006149CD">
        <w:rPr>
          <w:rStyle w:val="AERbody"/>
        </w:rPr>
        <w:t>Chris</w:t>
      </w:r>
      <w:r>
        <w:rPr>
          <w:rStyle w:val="AERbody"/>
        </w:rPr>
        <w:t>tensen et al. (2004) warns that, w</w:t>
      </w:r>
      <w:r w:rsidRPr="006149CD">
        <w:rPr>
          <w:rStyle w:val="AERbody"/>
        </w:rPr>
        <w:t>hen inflation expectations are term varying, the</w:t>
      </w:r>
      <w:r>
        <w:rPr>
          <w:rStyle w:val="AERbody"/>
        </w:rPr>
        <w:t>re can be</w:t>
      </w:r>
      <w:r w:rsidRPr="006149CD">
        <w:rPr>
          <w:rStyle w:val="AERbody"/>
        </w:rPr>
        <w:t xml:space="preserve"> problem</w:t>
      </w:r>
      <w:r>
        <w:rPr>
          <w:rStyle w:val="AERbody"/>
        </w:rPr>
        <w:t>s with estimating bond break-even inflation estimates from coupon paying bonds</w:t>
      </w:r>
      <w:r w:rsidRPr="006149CD">
        <w:rPr>
          <w:rStyle w:val="AERbody"/>
        </w:rPr>
        <w:t>, rather than zero coupon bonds</w:t>
      </w:r>
      <w:r>
        <w:rPr>
          <w:rStyle w:val="AERbody"/>
        </w:rPr>
        <w:t>. The problem</w:t>
      </w:r>
      <w:r w:rsidRPr="006149CD">
        <w:rPr>
          <w:rStyle w:val="AERbody"/>
        </w:rPr>
        <w:t xml:space="preserve"> is that </w:t>
      </w:r>
      <w:r>
        <w:rPr>
          <w:rStyle w:val="AERbody"/>
        </w:rPr>
        <w:t>bond break-even estimates are</w:t>
      </w:r>
      <w:r w:rsidRPr="006149CD">
        <w:rPr>
          <w:rStyle w:val="AERbody"/>
        </w:rPr>
        <w:t xml:space="preserve"> more sensitive to changes in sho</w:t>
      </w:r>
      <w:r>
        <w:rPr>
          <w:rStyle w:val="AERbody"/>
        </w:rPr>
        <w:t>rt term inflation expectations than changes to long-term expectations</w:t>
      </w:r>
      <w:r w:rsidRPr="006149CD">
        <w:rPr>
          <w:rStyle w:val="AERbody"/>
        </w:rPr>
        <w:t>.</w:t>
      </w:r>
      <w:r>
        <w:rPr>
          <w:rStyle w:val="FootnoteReference"/>
        </w:rPr>
        <w:footnoteReference w:id="1612"/>
      </w:r>
      <w:r w:rsidRPr="006149CD">
        <w:rPr>
          <w:rStyle w:val="AERbody"/>
        </w:rPr>
        <w:t xml:space="preserve"> The result is that short term inflation expectations can easily depart from relatively stable lon</w:t>
      </w:r>
      <w:r>
        <w:rPr>
          <w:rStyle w:val="AERbody"/>
        </w:rPr>
        <w:t>g term inflation expectations, a</w:t>
      </w:r>
      <w:r w:rsidRPr="006149CD">
        <w:rPr>
          <w:rStyle w:val="AERbody"/>
        </w:rPr>
        <w:t xml:space="preserve">nd shocks to inflation expectations of the shortest term will have a larger effect on the </w:t>
      </w:r>
      <w:r>
        <w:rPr>
          <w:rStyle w:val="AERbody"/>
        </w:rPr>
        <w:t>break-even estimates</w:t>
      </w:r>
      <w:r w:rsidRPr="006149CD">
        <w:rPr>
          <w:rStyle w:val="AERbody"/>
        </w:rPr>
        <w:t xml:space="preserve"> because it will positively influence all subsequent cou</w:t>
      </w:r>
      <w:r>
        <w:rPr>
          <w:rStyle w:val="AERbody"/>
        </w:rPr>
        <w:t>pon payments. Therefore, 10-</w:t>
      </w:r>
      <w:r w:rsidRPr="006149CD">
        <w:rPr>
          <w:rStyle w:val="AERbody"/>
        </w:rPr>
        <w:t xml:space="preserve">year </w:t>
      </w:r>
      <w:r>
        <w:rPr>
          <w:rStyle w:val="AERbody"/>
        </w:rPr>
        <w:t>break-even inflation estimates</w:t>
      </w:r>
      <w:r w:rsidRPr="006149CD">
        <w:rPr>
          <w:rStyle w:val="AERbody"/>
        </w:rPr>
        <w:t xml:space="preserve"> may </w:t>
      </w:r>
      <w:r>
        <w:rPr>
          <w:rStyle w:val="AERbody"/>
        </w:rPr>
        <w:t>appear to move in line with short-term inflation outcomes</w:t>
      </w:r>
      <w:r w:rsidRPr="006149CD">
        <w:rPr>
          <w:rStyle w:val="AERbody"/>
        </w:rPr>
        <w:t xml:space="preserve"> simply because of the</w:t>
      </w:r>
      <w:r>
        <w:rPr>
          <w:rStyle w:val="AERbody"/>
        </w:rPr>
        <w:t xml:space="preserve"> structuring of bond cash flows</w:t>
      </w:r>
      <w:r w:rsidRPr="006149CD">
        <w:rPr>
          <w:rStyle w:val="AERbody"/>
        </w:rPr>
        <w:t xml:space="preserve"> and not because long term inflation expectations have changed. </w:t>
      </w:r>
    </w:p>
    <w:p w:rsidR="00C93468" w:rsidRDefault="00C93468" w:rsidP="00C93468">
      <w:r>
        <w:t>Therefore to produce the best estimate of expected inflation, we should place limited weight on short term inflation outcomes. As stated in section</w:t>
      </w:r>
      <w:r w:rsidR="007858BF">
        <w:t> K.1</w:t>
      </w:r>
      <w:r>
        <w:t>, there is a role for short-term forecasts (in contrast to short-term outcomes) to inform our 10-year inflation estimate. We consider that the RBA's short-term forecasts appropriately incorporate information from recent inflation outcomes, and that the RBA forecasts and target band approach provides an appropriate balance between short-term forecasts and the anchoring of long-term expectations to the RBA's target band.</w:t>
      </w:r>
    </w:p>
    <w:p w:rsidR="00C93468" w:rsidRDefault="00C93468" w:rsidP="00C93468">
      <w:r>
        <w:t xml:space="preserve">Similarly, for estimating 10-year inflation, there is limited benefit in examining the relative accuracy of different estimation approaches for predicting short-term inflation outcomes. For the bond break-even approach in particular, we find that inflation estimates from this approach may be distorted by a number of potentially time-varying biases and risk premia (see section </w:t>
      </w:r>
      <w:r>
        <w:fldChar w:fldCharType="begin"/>
      </w:r>
      <w:r>
        <w:instrText xml:space="preserve"> REF _Ref478559903 \r \h </w:instrText>
      </w:r>
      <w:r>
        <w:fldChar w:fldCharType="separate"/>
      </w:r>
      <w:r w:rsidR="007858BF">
        <w:t>3.4.4.1</w:t>
      </w:r>
      <w:r>
        <w:fldChar w:fldCharType="end"/>
      </w:r>
      <w:r>
        <w:t xml:space="preserve">). To this extent, it is unlikely that investor expectations would be informed by the short-term predictive power of the break-even approach – </w:t>
      </w:r>
      <w:r w:rsidRPr="00ED32CB">
        <w:t>if biases are time-varying, the size of such biases may change in response to prevailing conditions in the financial market.</w:t>
      </w:r>
      <w:r w:rsidRPr="00264EDE">
        <w:rPr>
          <w:rStyle w:val="FootnoteReference"/>
        </w:rPr>
        <w:footnoteReference w:id="1613"/>
      </w:r>
      <w:r>
        <w:t xml:space="preserve"> </w:t>
      </w:r>
    </w:p>
    <w:p w:rsidR="00C93468" w:rsidRDefault="00C93468" w:rsidP="00C93468">
      <w:r>
        <w:t xml:space="preserve">10-year inflation expectations may be informed to some extent by the accuracy of an estimation approach at predicting 10 year inflation outcomes. </w:t>
      </w:r>
      <w:r>
        <w:fldChar w:fldCharType="begin"/>
      </w:r>
      <w:r>
        <w:instrText xml:space="preserve"> REF _Ref477792559 \h </w:instrText>
      </w:r>
      <w:r>
        <w:fldChar w:fldCharType="separate"/>
      </w:r>
      <w:r w:rsidR="006B4A74">
        <w:t xml:space="preserve">Figure </w:t>
      </w:r>
      <w:r w:rsidR="006B4A74">
        <w:rPr>
          <w:noProof/>
        </w:rPr>
        <w:t>3</w:t>
      </w:r>
      <w:r w:rsidR="006B4A74">
        <w:noBreakHyphen/>
      </w:r>
      <w:r w:rsidR="006B4A74">
        <w:rPr>
          <w:noProof/>
        </w:rPr>
        <w:t>27</w:t>
      </w:r>
      <w:r>
        <w:fldChar w:fldCharType="end"/>
      </w:r>
      <w:r>
        <w:t xml:space="preserve"> shows 10-year inflation outcomes since the start of inflation targeting, 10-year estimates from the break-even approach, and 10-year estimates from the RBA forecasts and target band approach.</w:t>
      </w:r>
    </w:p>
    <w:p w:rsidR="00C93468" w:rsidRPr="00ED32CB" w:rsidRDefault="00C93468" w:rsidP="00C93468">
      <w:pPr>
        <w:pStyle w:val="Caption"/>
      </w:pPr>
      <w:bookmarkStart w:id="632" w:name="_Ref477792559"/>
      <w:r>
        <w:t xml:space="preserve">Figure </w:t>
      </w:r>
      <w:fldSimple w:instr=" STYLEREF 1 \s ">
        <w:r w:rsidR="006B4A74">
          <w:rPr>
            <w:noProof/>
          </w:rPr>
          <w:t>3</w:t>
        </w:r>
      </w:fldSimple>
      <w:r w:rsidR="008A2B2B">
        <w:noBreakHyphen/>
      </w:r>
      <w:fldSimple w:instr=" SEQ Figure \* ARABIC \s 1 ">
        <w:r w:rsidR="006B4A74">
          <w:rPr>
            <w:noProof/>
          </w:rPr>
          <w:t>27</w:t>
        </w:r>
      </w:fldSimple>
      <w:bookmarkEnd w:id="632"/>
      <w:r>
        <w:tab/>
        <w:t>Comparison of inflation outcomes against break-even and RBA forecasts</w:t>
      </w:r>
    </w:p>
    <w:p w:rsidR="00C93468" w:rsidRPr="00ED32CB" w:rsidRDefault="00C93468" w:rsidP="00C93468">
      <w:r w:rsidRPr="00C93468">
        <w:rPr>
          <w:noProof/>
          <w:lang w:eastAsia="en-AU"/>
        </w:rPr>
        <w:drawing>
          <wp:inline distT="0" distB="0" distL="0" distR="0" wp14:anchorId="222A344A" wp14:editId="4824C3B7">
            <wp:extent cx="5382895" cy="3518114"/>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2895" cy="3518114"/>
                    </a:xfrm>
                    <a:prstGeom prst="rect">
                      <a:avLst/>
                    </a:prstGeom>
                    <a:noFill/>
                    <a:ln>
                      <a:noFill/>
                    </a:ln>
                  </pic:spPr>
                </pic:pic>
              </a:graphicData>
            </a:graphic>
          </wp:inline>
        </w:drawing>
      </w:r>
    </w:p>
    <w:p w:rsidR="00C93468" w:rsidRDefault="00C93468" w:rsidP="00C93468">
      <w:pPr>
        <w:pStyle w:val="AERtablesource"/>
      </w:pPr>
      <w:r>
        <w:t>Source:</w:t>
      </w:r>
      <w:r>
        <w:tab/>
        <w:t>AER analysis; ABS CPI (6401.0): weighted average of eight capital cities: all groups; RBA interest rate statistics (F16): indicative mid-rates of Australian government securities; RBA Statements on Monetary Policy from February 2007 to February 2017; 'Forecast date by event date' data file from Tulip &amp; Wallace (2012).</w:t>
      </w:r>
    </w:p>
    <w:p w:rsidR="00C93468" w:rsidRDefault="00C93468" w:rsidP="00C93468">
      <w:r>
        <w:t>We note that the introduction of the Goods and Services Tax (GST) in 2000 is likely to have affected a one-off change in the CPI. This specific one-off change is unlikely to have affected subsequent long-term inflation expectations. However, the change to CPI may persist in 10-year measures of CPI outcomes. Restricting measures of 10-year CPI outcomes to those that exclude the transient effect of the introduction of the GST limits the amount of data available.</w:t>
      </w:r>
      <w:r>
        <w:rPr>
          <w:rStyle w:val="FootnoteReference"/>
        </w:rPr>
        <w:footnoteReference w:id="1614"/>
      </w:r>
      <w:r>
        <w:t xml:space="preserve"> Consequently, direct comparisons of estimates from the RBA forecasts and target band approach or the bond break-even approach to inflation outcomes may be limited. </w:t>
      </w:r>
    </w:p>
    <w:p w:rsidR="00C93468" w:rsidRDefault="00C93468" w:rsidP="00C93468">
      <w:r>
        <w:fldChar w:fldCharType="begin"/>
      </w:r>
      <w:r>
        <w:instrText xml:space="preserve"> REF _Ref477792559 \h </w:instrText>
      </w:r>
      <w:r>
        <w:fldChar w:fldCharType="separate"/>
      </w:r>
      <w:r w:rsidR="006B4A74">
        <w:t xml:space="preserve">Figure </w:t>
      </w:r>
      <w:r w:rsidR="006B4A74">
        <w:rPr>
          <w:noProof/>
        </w:rPr>
        <w:t>3</w:t>
      </w:r>
      <w:r w:rsidR="006B4A74">
        <w:noBreakHyphen/>
      </w:r>
      <w:r w:rsidR="006B4A74">
        <w:rPr>
          <w:noProof/>
        </w:rPr>
        <w:t>27</w:t>
      </w:r>
      <w:r>
        <w:fldChar w:fldCharType="end"/>
      </w:r>
      <w:r>
        <w:t xml:space="preserve"> shows that 10-year inflation outcomes appear relative stable, consistent with the findings of </w:t>
      </w:r>
      <w:r w:rsidRPr="00A74A6A">
        <w:t xml:space="preserve">Gillitzer and Simon (2015); Finlay and Wende (2011); Leu and Sheen (2006); </w:t>
      </w:r>
      <w:r w:rsidRPr="00FE48A7">
        <w:t>Jaaskela and McKibbin (2010)</w:t>
      </w:r>
      <w:r>
        <w:t>; Kuttner and Robinson (2010); Paradiso and Rao (2012); and Mallick (2015).</w:t>
      </w:r>
      <w:r>
        <w:rPr>
          <w:rStyle w:val="FootnoteReference"/>
        </w:rPr>
        <w:footnoteReference w:id="1615"/>
      </w:r>
      <w:r w:rsidRPr="00657A72">
        <w:t xml:space="preserve"> </w:t>
      </w:r>
      <w:r>
        <w:t>The estimates from the RBA forecasts and target band approach also appear relatively stable, in contrast to the bond break-even estimates which appear more volatile.</w:t>
      </w:r>
      <w:r>
        <w:rPr>
          <w:rStyle w:val="FootnoteReference"/>
        </w:rPr>
        <w:footnoteReference w:id="1616"/>
      </w:r>
      <w:r w:rsidRPr="00657A72">
        <w:t xml:space="preserve"> </w:t>
      </w:r>
      <w:r>
        <w:t>During the GFC bond break-even estimates we</w:t>
      </w:r>
      <w:r w:rsidRPr="00ED32CB">
        <w:t xml:space="preserve">re particularly volatile, perhaps reflecting the </w:t>
      </w:r>
      <w:r>
        <w:t>approach's</w:t>
      </w:r>
      <w:r w:rsidRPr="00ED32CB">
        <w:t xml:space="preserve"> sensitivity to short term inflation shocks</w:t>
      </w:r>
      <w:r>
        <w:t xml:space="preserve"> that may not manifest in long term inflation expectations</w:t>
      </w:r>
      <w:r w:rsidRPr="00ED32CB">
        <w:t xml:space="preserve">. </w:t>
      </w:r>
    </w:p>
    <w:p w:rsidR="00C93468" w:rsidRPr="00C93468" w:rsidRDefault="00C93468" w:rsidP="00C93468">
      <w:pPr>
        <w:pStyle w:val="Heading8"/>
      </w:pPr>
      <w:bookmarkStart w:id="633" w:name="_Ref478561472"/>
      <w:bookmarkStart w:id="634" w:name="_Toc481057515"/>
      <w:r>
        <w:t>Break-even estimates are a statistically significant predictor of nominal CGS yields</w:t>
      </w:r>
      <w:bookmarkEnd w:id="633"/>
      <w:bookmarkEnd w:id="634"/>
    </w:p>
    <w:p w:rsidR="00C93468" w:rsidRDefault="00C93468" w:rsidP="00C93468">
      <w:r>
        <w:t>AusNet Services and CEG submitted that f</w:t>
      </w:r>
      <w:r w:rsidRPr="009A29D1">
        <w:t>alling 10 year break-even inflation is a statistically significant explanatory variable when regress</w:t>
      </w:r>
      <w:r>
        <w:t xml:space="preserve">ed against nominal CGS yields. CEG submitted that if </w:t>
      </w:r>
      <w:r w:rsidRPr="000438D3">
        <w:t>break-even inflation estimates are an accurate measure of expected inflation</w:t>
      </w:r>
      <w:r>
        <w:t xml:space="preserve">, then </w:t>
      </w:r>
      <w:r w:rsidRPr="009A29D1">
        <w:t xml:space="preserve">most of the recent fall in nominal CGS yields is due to falling inflation </w:t>
      </w:r>
      <w:r w:rsidRPr="0031263A">
        <w:t xml:space="preserve">expectations </w:t>
      </w:r>
      <w:r>
        <w:t>rather than falling required real returns.</w:t>
      </w:r>
      <w:r>
        <w:rPr>
          <w:rStyle w:val="FootnoteReference"/>
        </w:rPr>
        <w:footnoteReference w:id="1617"/>
      </w:r>
    </w:p>
    <w:p w:rsidR="00C93468" w:rsidRPr="00F415C8" w:rsidRDefault="00C93468" w:rsidP="00C93468">
      <w:r w:rsidRPr="00F415C8">
        <w:t>CEG regress</w:t>
      </w:r>
      <w:r>
        <w:t>ed</w:t>
      </w:r>
      <w:r w:rsidRPr="00F415C8">
        <w:t xml:space="preserve"> daily changes in nominal CGS yields on daily changes in breakeven inflation and find that breakeven inflation estimates largely explain changes in nominal CGS yields. CEG repeats their analysis with quarterly data instead of daily over a longer timeframe from December 2005 to June 2016. There are a number of problems evident from the analysis. First, it does not appear that CEG included any other explanatory variables in its regression analysis.</w:t>
      </w:r>
      <w:r w:rsidRPr="00F415C8">
        <w:rPr>
          <w:rStyle w:val="FootnoteReference"/>
        </w:rPr>
        <w:footnoteReference w:id="1618"/>
      </w:r>
      <w:r>
        <w:t xml:space="preserve"> T</w:t>
      </w:r>
      <w:r w:rsidRPr="00F415C8">
        <w:t>here may be a number of other factors that affect nominal CGS yields</w:t>
      </w:r>
      <w:r>
        <w:t xml:space="preserve"> and breakeven inflation rates, including </w:t>
      </w:r>
      <w:r w:rsidRPr="00F415C8">
        <w:t>the various biases and premia</w:t>
      </w:r>
      <w:r>
        <w:t xml:space="preserve"> outlined above</w:t>
      </w:r>
      <w:r w:rsidRPr="00F415C8">
        <w:t>, short term inflation expectations and the effect the coupon payments.</w:t>
      </w:r>
      <w:r w:rsidRPr="00F415C8">
        <w:rPr>
          <w:rStyle w:val="FootnoteReference"/>
        </w:rPr>
        <w:footnoteReference w:id="1619"/>
      </w:r>
      <w:r w:rsidRPr="00F415C8">
        <w:t xml:space="preserve"> If the regression model does not account for these factors it will suffer from omitted variable bias and its explanatory power will be severely diminished.</w:t>
      </w:r>
    </w:p>
    <w:p w:rsidR="00C93468" w:rsidRPr="00F415C8" w:rsidRDefault="00C93468" w:rsidP="00C93468">
      <w:r w:rsidRPr="00F415C8">
        <w:t>For example, reference has been made previously to the effect of coupon payments on the estimate of breakeven inflation. Deacon and Derry (1994) note that:</w:t>
      </w:r>
    </w:p>
    <w:p w:rsidR="00C93468" w:rsidRPr="00F415C8" w:rsidRDefault="00C93468" w:rsidP="00C93468">
      <w:pPr>
        <w:pStyle w:val="AERquote"/>
      </w:pPr>
      <w:r w:rsidRPr="00F415C8">
        <w:t>the fact that a break-even inflation rate is derived from only two gilt prices—one index-linked and one conventional—means that it is particularly vulnerable to distortions produced by the specific pair of stocks selected.</w:t>
      </w:r>
      <w:r w:rsidRPr="00F415C8">
        <w:br/>
        <w:t>For instance, when matching stocks by maturity there may be two conventionals of roughly equal maturity but widely-differing coupons. The difference in the break-even rates derived using the different stocks can be significant…</w:t>
      </w:r>
      <w:r w:rsidRPr="00F415C8">
        <w:rPr>
          <w:rStyle w:val="FootnoteReference"/>
        </w:rPr>
        <w:footnoteReference w:id="1620"/>
      </w:r>
    </w:p>
    <w:p w:rsidR="00C93468" w:rsidRPr="00F415C8" w:rsidRDefault="00C93468" w:rsidP="00C93468">
      <w:r w:rsidRPr="00F415C8">
        <w:t xml:space="preserve">CEG’s regression analysis does not </w:t>
      </w:r>
      <w:r>
        <w:t xml:space="preserve">appear to </w:t>
      </w:r>
      <w:r w:rsidRPr="00F415C8">
        <w:t xml:space="preserve">take into account the effect of coupon payments which in turn may undermine the explanatory power of the model.  </w:t>
      </w:r>
    </w:p>
    <w:p w:rsidR="00C93468" w:rsidRPr="00F415C8" w:rsidRDefault="00C93468" w:rsidP="00C93468">
      <w:r w:rsidRPr="00F415C8">
        <w:t>Second, the regression analysis itself appears to suffer from a specification issue. By regressing breakeven inflation on nominal CGS yields, CEG is attempting a regression of the form:</w:t>
      </w:r>
    </w:p>
    <w:p w:rsidR="00C93468" w:rsidRPr="00F415C8" w:rsidRDefault="00C93468" w:rsidP="00C93468">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*Breakeven inflation+ε</m:t>
          </m:r>
        </m:oMath>
      </m:oMathPara>
    </w:p>
    <w:p w:rsidR="00C93468" w:rsidRPr="00F415C8" w:rsidRDefault="00C93468" w:rsidP="00C93468">
      <w:r w:rsidRPr="00F415C8">
        <w:t>Now, the Fisher equation provides a relationship between an expected rate of inflation, nominal interest rates and real interest rates:</w:t>
      </w:r>
    </w:p>
    <w:p w:rsidR="00C93468" w:rsidRPr="00F415C8" w:rsidRDefault="00C93468" w:rsidP="00C93468">
      <m:oMathPara>
        <m:oMath>
          <m:r>
            <w:rPr>
              <w:rFonts w:ascii="Cambria Math" w:hAnsi="Cambria Math"/>
            </w:rPr>
            <m:t>1+i=(1+r)(1+π)</m:t>
          </m:r>
        </m:oMath>
      </m:oMathPara>
    </w:p>
    <w:p w:rsidR="00C93468" w:rsidRPr="00F415C8" w:rsidRDefault="00C93468" w:rsidP="00C93468">
      <w:r w:rsidRPr="00F415C8">
        <w:t xml:space="preserve">Where </w:t>
      </w:r>
      <m:oMath>
        <m:r>
          <w:rPr>
            <w:rFonts w:ascii="Cambria Math" w:hAnsi="Cambria Math"/>
          </w:rPr>
          <m:t>i</m:t>
        </m:r>
      </m:oMath>
      <w:r w:rsidRPr="00F415C8">
        <w:t xml:space="preserve"> is nominal yields, </w:t>
      </w:r>
      <m:oMath>
        <m:r>
          <w:rPr>
            <w:rFonts w:ascii="Cambria Math" w:hAnsi="Cambria Math"/>
          </w:rPr>
          <m:t>r</m:t>
        </m:r>
      </m:oMath>
      <w:r w:rsidRPr="00F415C8">
        <w:t xml:space="preserve"> is the real return and </w:t>
      </w:r>
      <m:oMath>
        <m:r>
          <w:rPr>
            <w:rFonts w:ascii="Cambria Math" w:hAnsi="Cambria Math"/>
          </w:rPr>
          <m:t>π</m:t>
        </m:r>
      </m:oMath>
      <w:r w:rsidRPr="00F415C8">
        <w:t xml:space="preserve"> is breakeven inflation. This equation can then be substituted into the original linear regression equation to obtain:</w:t>
      </w:r>
    </w:p>
    <w:p w:rsidR="00C93468" w:rsidRPr="00F415C8" w:rsidRDefault="00C93468" w:rsidP="00C93468">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rPr>
              </m:ctrlPr>
            </m:dPr>
            <m:e>
              <m:f>
                <m:fPr>
                  <m:ctrlPr>
                    <w:rPr>
                      <w:rFonts w:ascii="Cambria Math" w:hAnsi="Cambria Math"/>
                    </w:rPr>
                  </m:ctrlPr>
                </m:fPr>
                <m:num>
                  <m:r>
                    <w:rPr>
                      <w:rFonts w:ascii="Cambria Math" w:hAnsi="Cambria Math"/>
                    </w:rPr>
                    <m:t>1+i</m:t>
                  </m:r>
                </m:num>
                <m:den>
                  <m:r>
                    <w:rPr>
                      <w:rFonts w:ascii="Cambria Math" w:hAnsi="Cambria Math"/>
                    </w:rPr>
                    <m:t>1+r</m:t>
                  </m:r>
                </m:den>
              </m:f>
              <m:r>
                <w:rPr>
                  <w:rFonts w:ascii="Cambria Math" w:hAnsi="Cambria Math"/>
                </w:rPr>
                <m:t>-1</m:t>
              </m:r>
            </m:e>
          </m:d>
          <m:r>
            <w:rPr>
              <w:rFonts w:ascii="Cambria Math" w:hAnsi="Cambria Math"/>
            </w:rPr>
            <m:t>+ ε</m:t>
          </m:r>
        </m:oMath>
      </m:oMathPara>
    </w:p>
    <w:p w:rsidR="00C93468" w:rsidRPr="00F415C8" w:rsidRDefault="00C93468" w:rsidP="00C93468">
      <w:r w:rsidRPr="00F415C8">
        <w:t xml:space="preserve">It is immediately clear that the variable representing nominal interest rates appears on both sides of the equation, which when run, would result in a specification error in the regression. A regression that is incorrectly specified will likely produce results that are biased. </w:t>
      </w:r>
    </w:p>
    <w:p w:rsidR="00C93468" w:rsidRPr="00F415C8" w:rsidRDefault="00C93468" w:rsidP="00C93468">
      <w:r w:rsidRPr="00F415C8">
        <w:t>Alternatively, the previous equation can be rewritten as:</w:t>
      </w:r>
    </w:p>
    <w:p w:rsidR="00C93468" w:rsidRPr="00F415C8" w:rsidRDefault="00C93468" w:rsidP="00C93468">
      <m:oMathPara>
        <m:oMath>
          <m:r>
            <w:rPr>
              <w:rFonts w:ascii="Cambria Math" w:hAnsi="Cambria Math"/>
            </w:rPr>
            <m:t>Real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-1</m:t>
              </m:r>
            </m:e>
          </m:d>
          <m:r>
            <w:rPr>
              <w:rFonts w:ascii="Cambria Math" w:hAnsi="Cambria Math"/>
            </w:rPr>
            <m:t>π+ ε</m:t>
          </m:r>
        </m:oMath>
      </m:oMathPara>
    </w:p>
    <w:p w:rsidR="00C93468" w:rsidRPr="00F415C8" w:rsidRDefault="00C93468" w:rsidP="00C93468">
      <w:r w:rsidRPr="00F415C8">
        <w:t xml:space="preserve">This regression equation postulates a relationship between the indexed yield and the breakeven rate. It is likely that these two variables are unrelated, and, as a result, the estimated coefficient of the breakeven rate, in this regression equation, would be close to zero. This implies an estimate for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F415C8">
        <w:t xml:space="preserve"> of approximately one, similar to the original estimated regression.</w:t>
      </w:r>
    </w:p>
    <w:p w:rsidR="00C93468" w:rsidRPr="00F415C8" w:rsidRDefault="00C93468" w:rsidP="00C93468">
      <w:r w:rsidRPr="00F415C8">
        <w:t>In fact, the reason why CEG arrive at an estimate slightly different from one for the slope coefficient in their two regressions (Figures 11 and 12) is due to a slight correlation between the indexed yields and the breakeven rate</w:t>
      </w:r>
      <w:r>
        <w:t>.</w:t>
      </w:r>
      <w:r w:rsidRPr="00F415C8">
        <w:rPr>
          <w:rStyle w:val="FootnoteReference"/>
        </w:rPr>
        <w:footnoteReference w:id="1621"/>
      </w:r>
      <w:r w:rsidRPr="00F415C8">
        <w:t xml:space="preserve"> This is likely due to random chance </w:t>
      </w:r>
      <w:r>
        <w:t xml:space="preserve">rather </w:t>
      </w:r>
      <w:r w:rsidRPr="00F415C8">
        <w:t>than any long-run relationship. The fac</w:t>
      </w:r>
      <w:r>
        <w:t>t that CEG’s estimates for an 8-</w:t>
      </w:r>
      <w:r w:rsidRPr="00F415C8">
        <w:t>month horizon shows negative correlation,</w:t>
      </w:r>
      <w:r>
        <w:t xml:space="preserve"> whilst</w:t>
      </w:r>
      <w:r w:rsidRPr="00F415C8">
        <w:t xml:space="preserve"> CEG’s estimate for a </w:t>
      </w:r>
      <w:r>
        <w:t>ten</w:t>
      </w:r>
      <w:r w:rsidRPr="00F415C8">
        <w:t xml:space="preserve"> and a half year horizon shows positive correlation </w:t>
      </w:r>
      <w:r>
        <w:t>may be</w:t>
      </w:r>
      <w:r w:rsidRPr="00F415C8">
        <w:t xml:space="preserve"> evidence of this.</w:t>
      </w:r>
    </w:p>
    <w:p w:rsidR="00C93468" w:rsidRPr="00F415C8" w:rsidRDefault="00C93468" w:rsidP="00C93468">
      <w:r w:rsidRPr="00F415C8">
        <w:t>What this regression</w:t>
      </w:r>
      <w:r>
        <w:t xml:space="preserve"> </w:t>
      </w:r>
      <w:r w:rsidRPr="00F415C8">
        <w:t>shows, is not that there is a relationship between the breakeven rate and nominal yields, but rather, that there is no relationship between indexed yields and the breakeven rate.</w:t>
      </w:r>
    </w:p>
    <w:p w:rsidR="00C93468" w:rsidRPr="00F415C8" w:rsidRDefault="00C93468" w:rsidP="00C93468">
      <w:r>
        <w:t>Further</w:t>
      </w:r>
      <w:r w:rsidRPr="00F415C8">
        <w:t xml:space="preserve">, CEG’s daily analysis only extends to the period spanning December 2015 – August 2016. Even if breakeven inflation is a statistically significant explanatory variable for falling nominal CGS yields over this time, it may not necessarily be so over a longer time period. As discussed, both the </w:t>
      </w:r>
      <w:r>
        <w:t>break-even inflation estimates</w:t>
      </w:r>
      <w:r w:rsidRPr="00F415C8">
        <w:t xml:space="preserve"> and nominal CGS yields are susceptible to short term inflation expectations due to differences in the size and timing of coupon payments across maturities.</w:t>
      </w:r>
      <w:r w:rsidRPr="00F415C8">
        <w:rPr>
          <w:rStyle w:val="FootnoteReference"/>
        </w:rPr>
        <w:footnoteReference w:id="1622"/>
      </w:r>
      <w:r w:rsidRPr="00F415C8">
        <w:t xml:space="preserve"> CEG’s quarterly analysis undertaken from December 2005 to June 2016 is also problematic due to its limited sample size (approximately 40 observations). </w:t>
      </w:r>
    </w:p>
    <w:p w:rsidR="00C93468" w:rsidRDefault="00C93468" w:rsidP="00C93468">
      <w:r w:rsidRPr="00F415C8">
        <w:t xml:space="preserve">Notwithstanding the previous discussion, even if falling breakeven inflation is a statistically significant explanatory variable for falling nominal CGS yields, it may still not be suitable as an estimator for market expectations of inflation. There are likely other variables that affect breakeven inflation estimates, such as biases and premia which would result in divergent outcomes for breakeven inflation and market expectations of inflation. </w:t>
      </w:r>
    </w:p>
    <w:p w:rsidR="00C93468" w:rsidRPr="00C93468" w:rsidRDefault="00C93468" w:rsidP="00C93468">
      <w:pPr>
        <w:pStyle w:val="Heading8"/>
      </w:pPr>
      <w:bookmarkStart w:id="635" w:name="_Toc481057516"/>
      <w:r>
        <w:t>Reviewing the</w:t>
      </w:r>
      <w:r w:rsidRPr="00C93468">
        <w:t xml:space="preserve"> Post-Tax Revenue Model</w:t>
      </w:r>
      <w:bookmarkEnd w:id="635"/>
    </w:p>
    <w:p w:rsidR="00C93468" w:rsidRDefault="00C93468" w:rsidP="00C93468">
      <w:r>
        <w:t>AusNet Services submitted</w:t>
      </w:r>
      <w:r w:rsidRPr="004E26A9">
        <w:t xml:space="preserve"> that in making th</w:t>
      </w:r>
      <w:r>
        <w:t>is</w:t>
      </w:r>
      <w:r w:rsidRPr="004E26A9">
        <w:t xml:space="preserve"> transmission determination, it is open to </w:t>
      </w:r>
      <w:r>
        <w:t>us</w:t>
      </w:r>
      <w:r w:rsidRPr="004E26A9">
        <w:t xml:space="preserve"> to ap</w:t>
      </w:r>
      <w:r>
        <w:t>ply an alternative method to that set out in our post-tax revenue model</w:t>
      </w:r>
      <w:r w:rsidRPr="004E26A9">
        <w:t xml:space="preserve">. </w:t>
      </w:r>
      <w:r>
        <w:t>AusNet Services submitted that</w:t>
      </w:r>
      <w:r w:rsidRPr="004E26A9">
        <w:t xml:space="preserve"> proposal</w:t>
      </w:r>
      <w:r>
        <w:t>s</w:t>
      </w:r>
      <w:r w:rsidRPr="004E26A9">
        <w:t xml:space="preserve"> to change the method for estimating expected inflation has now been the subject of a number of service providers’ proposals (including Victorian electricity distribution networks and SA Power Networks), resulting in the issue being the subject of extensive consultation with stake</w:t>
      </w:r>
      <w:r>
        <w:t>holders.</w:t>
      </w:r>
      <w:r>
        <w:rPr>
          <w:rStyle w:val="FootnoteReference"/>
        </w:rPr>
        <w:footnoteReference w:id="1623"/>
      </w:r>
      <w:r>
        <w:t xml:space="preserve"> </w:t>
      </w:r>
    </w:p>
    <w:p w:rsidR="00C93468" w:rsidRDefault="00C93468" w:rsidP="00C93468">
      <w:r>
        <w:t>We consider that our electricity transmission and distribution determinations must be made in accordance with our published post-tax revenue model. The National Electricity Rules provide that:</w:t>
      </w:r>
    </w:p>
    <w:p w:rsidR="00C93468" w:rsidRDefault="00C93468" w:rsidP="00C93468">
      <w:pPr>
        <w:pStyle w:val="AERbulletlistfirststyle"/>
      </w:pPr>
      <w:r>
        <w:t>we must prepare and publish a post-tax revenue model;</w:t>
      </w:r>
      <w:r>
        <w:rPr>
          <w:rStyle w:val="FootnoteReference"/>
        </w:rPr>
        <w:footnoteReference w:id="1624"/>
      </w:r>
    </w:p>
    <w:p w:rsidR="00C93468" w:rsidRDefault="00C93468" w:rsidP="00C93468">
      <w:pPr>
        <w:pStyle w:val="AERbulletlistfirststyle"/>
      </w:pPr>
      <w:r>
        <w:t xml:space="preserve">the post-tax revenue model must </w:t>
      </w:r>
      <w:r w:rsidRPr="00D72CB5">
        <w:t xml:space="preserve">establish a </w:t>
      </w:r>
      <w:r>
        <w:t>method</w:t>
      </w:r>
      <w:r w:rsidRPr="00D72CB5">
        <w:t xml:space="preserve"> that we determine is likely to result in the best estimates of expected inflation</w:t>
      </w:r>
      <w:r>
        <w:t>;</w:t>
      </w:r>
      <w:r>
        <w:rPr>
          <w:rStyle w:val="FootnoteReference"/>
        </w:rPr>
        <w:footnoteReference w:id="1625"/>
      </w:r>
    </w:p>
    <w:p w:rsidR="00C93468" w:rsidRDefault="00C93468" w:rsidP="00C93468">
      <w:pPr>
        <w:pStyle w:val="AERbulletlistfirststyle"/>
      </w:pPr>
      <w:r>
        <w:t xml:space="preserve">a services provider's regulatory proposal must be </w:t>
      </w:r>
      <w:r w:rsidRPr="00D72CB5">
        <w:t>prepared in accordance with the post-tax revenue model</w:t>
      </w:r>
      <w:r>
        <w:t>;</w:t>
      </w:r>
      <w:r>
        <w:rPr>
          <w:rStyle w:val="FootnoteReference"/>
        </w:rPr>
        <w:footnoteReference w:id="1626"/>
      </w:r>
    </w:p>
    <w:p w:rsidR="00C93468" w:rsidRDefault="00C93468" w:rsidP="00C93468">
      <w:pPr>
        <w:pStyle w:val="AERbulletlistfirststyle"/>
      </w:pPr>
      <w:r>
        <w:t>the post-tax revenue model is required to be "in force" at all times;</w:t>
      </w:r>
      <w:r>
        <w:rPr>
          <w:rStyle w:val="FootnoteReference"/>
        </w:rPr>
        <w:footnoteReference w:id="1627"/>
      </w:r>
      <w:r>
        <w:t xml:space="preserve"> and</w:t>
      </w:r>
    </w:p>
    <w:p w:rsidR="00C93468" w:rsidRDefault="00C93468" w:rsidP="00C93468">
      <w:pPr>
        <w:pStyle w:val="AERbulletlistfirststyle"/>
      </w:pPr>
      <w:r>
        <w:t>we must approve a service providers' revenue requirement, as set out in the service providers' regulatory proposal, if we are satisfied that those amounts have been properly calculated using the post-tax revenue model.</w:t>
      </w:r>
      <w:r>
        <w:rPr>
          <w:rStyle w:val="FootnoteReference"/>
        </w:rPr>
        <w:footnoteReference w:id="1628"/>
      </w:r>
    </w:p>
    <w:p w:rsidR="00C93468" w:rsidRDefault="00C93468" w:rsidP="00C93468">
      <w:r>
        <w:t>Recently the Australian Competition Tribunal considered whether or not we can make an electricity transmission or distribution determination that is not in accordance with our published post-tax revenue model. In its October 2016 decision, the Tribunal affirmed our view that we cannot depart from the published post-tax revenue model in our regulatory determinations, stating:</w:t>
      </w:r>
      <w:r>
        <w:rPr>
          <w:rStyle w:val="FootnoteReference"/>
        </w:rPr>
        <w:footnoteReference w:id="1629"/>
      </w:r>
    </w:p>
    <w:p w:rsidR="00C93468" w:rsidRDefault="00C93468" w:rsidP="00C93468">
      <w:pPr>
        <w:pStyle w:val="AERquote"/>
      </w:pPr>
      <w:r>
        <w:t xml:space="preserve">The effect of cl 6.12.3(d) is that the AER has no discretion but to approve the total revenue requirements for a DNSP if it is satisfied that it has been calculated using the PTRM.  It is significant that the clause requires the amounts to have been “calculated” using the PTRM.  That expression ascribes to the PTRM a status more than merely a device or tool in which a proposal should be submitted.  Ultimately it plays a material part in the determination of the total revenue requirement.  </w:t>
      </w:r>
    </w:p>
    <w:p w:rsidR="00C93468" w:rsidRDefault="00C93468" w:rsidP="00C93468">
      <w:r>
        <w:t>The Tribunal stated that the post-tax revenue model being "in force" at all times means:</w:t>
      </w:r>
      <w:r>
        <w:rPr>
          <w:rStyle w:val="FootnoteReference"/>
        </w:rPr>
        <w:footnoteReference w:id="1630"/>
      </w:r>
    </w:p>
    <w:p w:rsidR="00C93468" w:rsidRPr="00F4557F" w:rsidRDefault="00C93468" w:rsidP="00C93468">
      <w:pPr>
        <w:pStyle w:val="AERquote"/>
      </w:pPr>
      <w:r w:rsidRPr="00F4557F">
        <w:t>not merely that the PTRM be available for use. Secondly, the PTRM cannot be amended at a whim. It can only be amended under the distribution consultation procedures. There would be little point in the rule makers establishing such a significant “gatekeeping” requirement if the PTRM were little more than a tool in which to submit a proposal.</w:t>
      </w:r>
    </w:p>
    <w:p w:rsidR="00C93468" w:rsidRDefault="00C93468" w:rsidP="00C93468">
      <w:r>
        <w:t>While our electricity determinations must be in accordance with out published post-tax revenue model, we may review and amend the model from time to time. Any process to review or amend the model must be undertaken in accordance with the consultation procedures set out in the National Electricity Rules. These procedures require that we consult with stakeholders, set out matters that we must have regard to, set out minimum consultation periods, and set out maximum time limits for any review.</w:t>
      </w:r>
      <w:r>
        <w:rPr>
          <w:rStyle w:val="FootnoteReference"/>
        </w:rPr>
        <w:footnoteReference w:id="1631"/>
      </w:r>
    </w:p>
    <w:p w:rsidR="00C93468" w:rsidRDefault="00C93468" w:rsidP="00C93468">
      <w:r>
        <w:t>We consider that it is timely to undertake a review of expected inflation given the extensive submissions that we have received on the topic and the importance of the post-tax revenue model to our treatment of inflation. On 15 December 2016 we indicated our intention to review our treatment of inflation, including if necessary the contents and operation of our post-tax revenue model. On 1</w:t>
      </w:r>
      <w:r w:rsidR="000917F2">
        <w:t>8</w:t>
      </w:r>
      <w:r>
        <w:t xml:space="preserve"> April 2017 we released a discussion paper on the estimation of expected inflation and the treatment of inflation in our revenue models.</w:t>
      </w:r>
    </w:p>
    <w:p w:rsidR="00C93468" w:rsidRDefault="00C93468" w:rsidP="00C93468">
      <w:r w:rsidRPr="005166BE">
        <w:t xml:space="preserve">The CCP </w:t>
      </w:r>
      <w:r>
        <w:t>supported initiating a review on estimating inflation, stating:</w:t>
      </w:r>
      <w:r>
        <w:rPr>
          <w:rStyle w:val="FootnoteReference"/>
        </w:rPr>
        <w:footnoteReference w:id="1632"/>
      </w:r>
    </w:p>
    <w:p w:rsidR="00C93468" w:rsidRDefault="00C93468" w:rsidP="00C93468">
      <w:pPr>
        <w:pStyle w:val="AERquote"/>
      </w:pPr>
      <w:r>
        <w:t>There has been little stakeholder consultation about changing from a methodology that has been in place for eight years, and changing methodologies at the request of a network when it is so significantly advantaged by the change that it looks like cherry-picking. In the interests of good administrative practice, our view is that more stakeholder consultation and a far wider analysis by the AER is required before any change in methodology.</w:t>
      </w:r>
    </w:p>
    <w:p w:rsidR="00C93468" w:rsidRPr="00C93468" w:rsidRDefault="00C93468" w:rsidP="00950EA8">
      <w:r>
        <w:t xml:space="preserve">Although AusNet Services did not request that we initiate a review of our published post-tax revenue model, </w:t>
      </w:r>
      <w:r w:rsidRPr="006E35A3">
        <w:t>AusNet Services</w:t>
      </w:r>
      <w:r>
        <w:t xml:space="preserve"> submitted that it </w:t>
      </w:r>
      <w:r w:rsidRPr="006E35A3">
        <w:t xml:space="preserve">supports the review and encourages </w:t>
      </w:r>
      <w:r>
        <w:t>us</w:t>
      </w:r>
      <w:r w:rsidRPr="006E35A3">
        <w:t xml:space="preserve"> to take the review in</w:t>
      </w:r>
      <w:r>
        <w:t>to account in making our final d</w:t>
      </w:r>
      <w:r w:rsidRPr="006E35A3">
        <w:t>ecision.</w:t>
      </w:r>
      <w:r>
        <w:rPr>
          <w:rStyle w:val="FootnoteReference"/>
        </w:rPr>
        <w:footnoteReference w:id="1633"/>
      </w:r>
      <w:r>
        <w:t xml:space="preserve"> However, we consider that the review is likely to take many months to conclude and well after the date of this final decision, given the complex issues recently submitted by stakeholders. Findings from the review cannot therefore be included in this final decision on AusNet Services' </w:t>
      </w:r>
      <w:r w:rsidR="00076F97">
        <w:t>2017–22</w:t>
      </w:r>
      <w:r>
        <w:t xml:space="preserve"> transmission determination. </w:t>
      </w:r>
    </w:p>
    <w:p w:rsidR="00C93468" w:rsidRDefault="00C93468" w:rsidP="005A6140"/>
    <w:p w:rsidR="00C93468" w:rsidRDefault="00C93468" w:rsidP="005A6140"/>
    <w:p w:rsidR="00C93468" w:rsidRDefault="00C93468" w:rsidP="005A6140"/>
    <w:p w:rsidR="005A6140" w:rsidRDefault="005A6140" w:rsidP="005A6140"/>
    <w:p w:rsidR="005A6140" w:rsidRDefault="005A6140" w:rsidP="005A6140"/>
    <w:p w:rsidR="005A6140" w:rsidRPr="00AA2065" w:rsidRDefault="005A6140" w:rsidP="005A6140"/>
    <w:p w:rsidR="00392FFF" w:rsidRDefault="00392FFF" w:rsidP="00392FFF">
      <w:pPr>
        <w:pStyle w:val="Heading7"/>
      </w:pPr>
      <w:bookmarkStart w:id="637" w:name="_Toc481057517"/>
      <w:r>
        <w:t>Equity and debt raising costs</w:t>
      </w:r>
      <w:bookmarkEnd w:id="433"/>
      <w:bookmarkEnd w:id="637"/>
    </w:p>
    <w:p w:rsidR="00392FFF" w:rsidRPr="00AA2065" w:rsidRDefault="00392FFF" w:rsidP="00392FFF">
      <w:r>
        <w:t>I</w:t>
      </w:r>
      <w:r w:rsidRPr="00AA2065">
        <w:t>n addition to compensating for the required rate of return on debt and equity</w:t>
      </w:r>
      <w:r>
        <w:t xml:space="preserve">, we provide an allowance for the transaction costs associated </w:t>
      </w:r>
      <w:r w:rsidRPr="00AA2065">
        <w:t>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392FFF" w:rsidRPr="001A2C20" w:rsidRDefault="00392FFF" w:rsidP="00392FFF">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392FFF" w:rsidRPr="00392FFF" w:rsidRDefault="00392FFF" w:rsidP="002656D9">
      <w:pPr>
        <w:pStyle w:val="Heading8"/>
        <w:numPr>
          <w:ilvl w:val="1"/>
          <w:numId w:val="46"/>
        </w:numPr>
        <w:tabs>
          <w:tab w:val="clear" w:pos="1305"/>
          <w:tab w:val="num" w:pos="993"/>
        </w:tabs>
        <w:ind w:hanging="1305"/>
      </w:pPr>
      <w:bookmarkStart w:id="638" w:name="_Toc451939040"/>
      <w:bookmarkStart w:id="639" w:name="_Toc456686790"/>
      <w:bookmarkStart w:id="640" w:name="_Toc481057518"/>
      <w:r>
        <w:t>Equity raising costs</w:t>
      </w:r>
      <w:bookmarkEnd w:id="638"/>
      <w:bookmarkEnd w:id="639"/>
      <w:bookmarkEnd w:id="640"/>
      <w:r>
        <w:t xml:space="preserve"> </w:t>
      </w:r>
    </w:p>
    <w:p w:rsidR="00392FFF" w:rsidRDefault="00392FFF" w:rsidP="00392FFF">
      <w:r>
        <w:t xml:space="preserve">We determine zero equity raising costs for the 2017–22 period in this final decision. AusNet </w:t>
      </w:r>
      <w:r w:rsidR="002656D9">
        <w:t xml:space="preserve">Services </w:t>
      </w:r>
      <w:r>
        <w:t>adopted our approach and submitted it will not incur equity raising costs over the 2017–22 period in its proposal and revised proposal.</w:t>
      </w:r>
      <w:r>
        <w:rPr>
          <w:rStyle w:val="FootnoteReference"/>
        </w:rPr>
        <w:footnoteReference w:id="1634"/>
      </w:r>
      <w:r>
        <w:t xml:space="preserve"> Therefore, we accept its proposal.</w:t>
      </w:r>
    </w:p>
    <w:p w:rsidR="00392FFF" w:rsidRPr="00C024A8" w:rsidRDefault="00392FFF" w:rsidP="00392FFF">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392FFF" w:rsidRDefault="00392FFF" w:rsidP="00392FFF">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1635"/>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636"/>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637"/>
      </w:r>
    </w:p>
    <w:p w:rsidR="00392FFF" w:rsidRDefault="00392FFF" w:rsidP="00392FFF">
      <w:pPr>
        <w:pStyle w:val="Heading8"/>
      </w:pPr>
      <w:bookmarkStart w:id="641" w:name="_Toc456686791"/>
      <w:bookmarkStart w:id="642" w:name="_Toc481057519"/>
      <w:r>
        <w:t>Debt raising costs</w:t>
      </w:r>
      <w:bookmarkEnd w:id="641"/>
      <w:bookmarkEnd w:id="642"/>
      <w:r>
        <w:t xml:space="preserve"> </w:t>
      </w:r>
    </w:p>
    <w:p w:rsidR="00392FFF" w:rsidRPr="00F83415" w:rsidRDefault="00392FFF" w:rsidP="00CC7A1C">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p>
    <w:p w:rsidR="00392FFF" w:rsidRDefault="00392FFF" w:rsidP="00392FFF">
      <w:pPr>
        <w:pStyle w:val="Heading9"/>
      </w:pPr>
      <w:bookmarkStart w:id="643" w:name="_Toc456686792"/>
      <w:bookmarkStart w:id="644" w:name="_Toc480460980"/>
      <w:r>
        <w:t>Final decision</w:t>
      </w:r>
      <w:bookmarkEnd w:id="643"/>
      <w:bookmarkEnd w:id="644"/>
      <w:r>
        <w:t xml:space="preserve"> </w:t>
      </w:r>
    </w:p>
    <w:p w:rsidR="00392FFF" w:rsidRDefault="00392FFF" w:rsidP="00392FFF">
      <w:r>
        <w:t>We determine debt raising costs using our benchmark based approach. AusNet Services has accepted our approach for forecasting debt raising costs in its revised proposal.</w:t>
      </w:r>
      <w:r>
        <w:rPr>
          <w:rStyle w:val="FootnoteReference"/>
        </w:rPr>
        <w:footnoteReference w:id="1638"/>
      </w:r>
      <w:r>
        <w:t xml:space="preserve"> We accept AusNet Services' proposal and determine</w:t>
      </w:r>
      <w:r w:rsidRPr="00C43648">
        <w:t xml:space="preserve"> debt raising costs of $</w:t>
      </w:r>
      <w:r>
        <w:t>7.8 million ($ 2016–17) over the 2017</w:t>
      </w:r>
      <w:r w:rsidRPr="00413171">
        <w:t>–</w:t>
      </w:r>
      <w:r>
        <w:t>22</w:t>
      </w:r>
      <w:r w:rsidRPr="00C43648">
        <w:t xml:space="preserve"> period</w:t>
      </w:r>
      <w:r w:rsidR="00E02715">
        <w:t xml:space="preserve"> for this final decision</w:t>
      </w:r>
      <w:r w:rsidRPr="00C43648">
        <w:t>, as set out in</w:t>
      </w:r>
      <w:r>
        <w:t xml:space="preserve"> </w:t>
      </w:r>
      <w:r>
        <w:fldChar w:fldCharType="begin"/>
      </w:r>
      <w:r>
        <w:instrText xml:space="preserve"> REF _Ref449602003 \h </w:instrText>
      </w:r>
      <w:r>
        <w:fldChar w:fldCharType="separate"/>
      </w:r>
      <w:r w:rsidR="006B4A74">
        <w:t xml:space="preserve">Table </w:t>
      </w:r>
      <w:r w:rsidR="006B4A74">
        <w:rPr>
          <w:noProof/>
        </w:rPr>
        <w:t>3</w:t>
      </w:r>
      <w:r w:rsidR="006B4A74">
        <w:noBreakHyphen/>
      </w:r>
      <w:r w:rsidR="006B4A74">
        <w:rPr>
          <w:noProof/>
        </w:rPr>
        <w:t>46</w:t>
      </w:r>
      <w:r>
        <w:fldChar w:fldCharType="end"/>
      </w:r>
      <w:r>
        <w:t xml:space="preserve">.  </w:t>
      </w:r>
    </w:p>
    <w:p w:rsidR="00392FFF" w:rsidRDefault="00392FFF" w:rsidP="00392FFF">
      <w:r>
        <w:t>We are satisfied that the debt raising costs estimate of $7.8 million</w:t>
      </w:r>
      <w:r w:rsidRPr="00C43648">
        <w:t xml:space="preserve"> contributes towards a total opex forecast that reasonably reflects efficient, prudent and realistic costs.</w:t>
      </w:r>
      <w:r>
        <w:t xml:space="preserve"> Consistent with the approach applied to recent decisions (including AusNet Services distribution), we consider that it is important to forecast debt raising costs based on a benchmark approach rather than a service provider's actual costs.</w:t>
      </w:r>
      <w:r>
        <w:rPr>
          <w:rStyle w:val="FootnoteReference"/>
        </w:rPr>
        <w:footnoteReference w:id="1639"/>
      </w:r>
      <w:r>
        <w:t xml:space="preserve"> This is to be consistent with the benchmark based forecast of the cost of debt used in the rate of return building block. This should give AusNet a reasonable opportunity to recover its efficient costs.  </w:t>
      </w:r>
    </w:p>
    <w:p w:rsidR="00392FFF" w:rsidRPr="00413171" w:rsidRDefault="00392FFF" w:rsidP="00392FFF">
      <w:pPr>
        <w:pStyle w:val="Caption"/>
      </w:pPr>
      <w:bookmarkStart w:id="645" w:name="_Ref449602003"/>
      <w:r>
        <w:t xml:space="preserve">Table </w:t>
      </w:r>
      <w:fldSimple w:instr=" STYLEREF 1 \s ">
        <w:r w:rsidR="006B4A74">
          <w:rPr>
            <w:noProof/>
          </w:rPr>
          <w:t>3</w:t>
        </w:r>
      </w:fldSimple>
      <w:r w:rsidR="008F29C8">
        <w:noBreakHyphen/>
      </w:r>
      <w:fldSimple w:instr=" SEQ Table \* ARABIC \s 1 ">
        <w:r w:rsidR="006B4A74">
          <w:rPr>
            <w:noProof/>
          </w:rPr>
          <w:t>46</w:t>
        </w:r>
      </w:fldSimple>
      <w:bookmarkEnd w:id="645"/>
      <w:r>
        <w:tab/>
      </w:r>
      <w:r w:rsidRPr="00413171">
        <w:t xml:space="preserve">AER's </w:t>
      </w:r>
      <w:r w:rsidR="00A64A73">
        <w:t>final</w:t>
      </w:r>
      <w:r w:rsidRPr="00413171">
        <w:t xml:space="preserve"> decision on debt raising costs (million, $ </w:t>
      </w:r>
      <w:r>
        <w:t>2016–17</w:t>
      </w:r>
      <w:r w:rsidRPr="00413171">
        <w:t>)</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392FFF" w:rsidRPr="00C43648" w:rsidTr="002A4528">
        <w:trPr>
          <w:cnfStyle w:val="100000000000" w:firstRow="1" w:lastRow="0" w:firstColumn="0" w:lastColumn="0" w:oddVBand="0" w:evenVBand="0" w:oddHBand="0" w:evenHBand="0" w:firstRowFirstColumn="0" w:firstRowLastColumn="0" w:lastRowFirstColumn="0" w:lastRowLastColumn="0"/>
        </w:trPr>
        <w:tc>
          <w:tcPr>
            <w:tcW w:w="714" w:type="pct"/>
          </w:tcPr>
          <w:p w:rsidR="00392FFF" w:rsidRDefault="00392FFF" w:rsidP="00392FFF"/>
        </w:tc>
        <w:tc>
          <w:tcPr>
            <w:tcW w:w="714" w:type="pct"/>
          </w:tcPr>
          <w:p w:rsidR="00392FFF" w:rsidRPr="00392FFF" w:rsidRDefault="00076F97" w:rsidP="00392FFF">
            <w:r>
              <w:t>2017–18</w:t>
            </w:r>
          </w:p>
        </w:tc>
        <w:tc>
          <w:tcPr>
            <w:tcW w:w="714" w:type="pct"/>
          </w:tcPr>
          <w:p w:rsidR="00392FFF" w:rsidRPr="00392FFF" w:rsidRDefault="00076F97" w:rsidP="00392FFF">
            <w:r>
              <w:t>2018–19</w:t>
            </w:r>
          </w:p>
        </w:tc>
        <w:tc>
          <w:tcPr>
            <w:tcW w:w="714" w:type="pct"/>
          </w:tcPr>
          <w:p w:rsidR="00392FFF" w:rsidRPr="00392FFF" w:rsidRDefault="00076F97" w:rsidP="00392FFF">
            <w:r>
              <w:t>2019–20</w:t>
            </w:r>
          </w:p>
        </w:tc>
        <w:tc>
          <w:tcPr>
            <w:tcW w:w="714" w:type="pct"/>
          </w:tcPr>
          <w:p w:rsidR="00392FFF" w:rsidRPr="00392FFF" w:rsidRDefault="00076F97" w:rsidP="00392FFF">
            <w:r>
              <w:t>2020–21</w:t>
            </w:r>
          </w:p>
        </w:tc>
        <w:tc>
          <w:tcPr>
            <w:tcW w:w="715" w:type="pct"/>
          </w:tcPr>
          <w:p w:rsidR="00392FFF" w:rsidRPr="00392FFF" w:rsidRDefault="00076F97" w:rsidP="00392FFF">
            <w:r>
              <w:t>2021–22</w:t>
            </w:r>
          </w:p>
        </w:tc>
        <w:tc>
          <w:tcPr>
            <w:tcW w:w="715" w:type="pct"/>
          </w:tcPr>
          <w:p w:rsidR="00392FFF" w:rsidRPr="00392FFF" w:rsidRDefault="00392FFF" w:rsidP="00392FFF">
            <w:r w:rsidRPr="00C43648">
              <w:t>Total</w:t>
            </w:r>
          </w:p>
        </w:tc>
      </w:tr>
      <w:tr w:rsidR="00392FFF" w:rsidRPr="00C43648" w:rsidTr="002A4528">
        <w:tc>
          <w:tcPr>
            <w:tcW w:w="714" w:type="pct"/>
          </w:tcPr>
          <w:p w:rsidR="00392FFF" w:rsidRPr="00254561" w:rsidRDefault="00392FFF" w:rsidP="00392FFF"/>
        </w:tc>
        <w:tc>
          <w:tcPr>
            <w:tcW w:w="714" w:type="pct"/>
            <w:vAlign w:val="top"/>
          </w:tcPr>
          <w:p w:rsidR="00392FFF" w:rsidRPr="00392FFF" w:rsidRDefault="00392FFF" w:rsidP="00392FFF">
            <w:r w:rsidRPr="004045B4">
              <w:t xml:space="preserve"> </w:t>
            </w:r>
            <w:r w:rsidRPr="00392FFF">
              <w:t xml:space="preserve">1.6 </w:t>
            </w:r>
          </w:p>
        </w:tc>
        <w:tc>
          <w:tcPr>
            <w:tcW w:w="714" w:type="pct"/>
            <w:vAlign w:val="top"/>
          </w:tcPr>
          <w:p w:rsidR="00392FFF" w:rsidRPr="00392FFF" w:rsidRDefault="00392FFF" w:rsidP="00392FFF">
            <w:r w:rsidRPr="004045B4">
              <w:t xml:space="preserve"> </w:t>
            </w:r>
            <w:r w:rsidRPr="00392FFF">
              <w:t xml:space="preserve">1.6 </w:t>
            </w:r>
          </w:p>
        </w:tc>
        <w:tc>
          <w:tcPr>
            <w:tcW w:w="714" w:type="pct"/>
            <w:vAlign w:val="top"/>
          </w:tcPr>
          <w:p w:rsidR="00392FFF" w:rsidRPr="00392FFF" w:rsidRDefault="00392FFF" w:rsidP="00392FFF">
            <w:r>
              <w:t>1.</w:t>
            </w:r>
            <w:r w:rsidRPr="00392FFF">
              <w:t xml:space="preserve">6 </w:t>
            </w:r>
          </w:p>
        </w:tc>
        <w:tc>
          <w:tcPr>
            <w:tcW w:w="714" w:type="pct"/>
            <w:vAlign w:val="top"/>
          </w:tcPr>
          <w:p w:rsidR="00392FFF" w:rsidRPr="00392FFF" w:rsidRDefault="00392FFF" w:rsidP="00392FFF">
            <w:r w:rsidRPr="004045B4">
              <w:t xml:space="preserve"> </w:t>
            </w:r>
            <w:r w:rsidRPr="00392FFF">
              <w:t xml:space="preserve">1.5 </w:t>
            </w:r>
          </w:p>
        </w:tc>
        <w:tc>
          <w:tcPr>
            <w:tcW w:w="715" w:type="pct"/>
            <w:vAlign w:val="top"/>
          </w:tcPr>
          <w:p w:rsidR="00392FFF" w:rsidRPr="00392FFF" w:rsidRDefault="00392FFF" w:rsidP="00392FFF">
            <w:r w:rsidRPr="004045B4">
              <w:t xml:space="preserve"> </w:t>
            </w:r>
            <w:r w:rsidRPr="00392FFF">
              <w:t xml:space="preserve">1.5 </w:t>
            </w:r>
          </w:p>
        </w:tc>
        <w:tc>
          <w:tcPr>
            <w:tcW w:w="715" w:type="pct"/>
          </w:tcPr>
          <w:p w:rsidR="00392FFF" w:rsidRPr="00392FFF" w:rsidRDefault="00392FFF" w:rsidP="00392FFF">
            <w:r>
              <w:t>7.</w:t>
            </w:r>
            <w:r w:rsidRPr="00392FFF">
              <w:t>8</w:t>
            </w:r>
          </w:p>
        </w:tc>
      </w:tr>
    </w:tbl>
    <w:p w:rsidR="00392FFF" w:rsidRDefault="00392FFF" w:rsidP="00392FFF">
      <w:pPr>
        <w:pStyle w:val="AERtablesource"/>
      </w:pPr>
      <w:r w:rsidRPr="00C43648">
        <w:t xml:space="preserve">Source: </w:t>
      </w:r>
      <w:r>
        <w:tab/>
      </w:r>
      <w:r w:rsidRPr="00C43648">
        <w:t>AER analysis.</w:t>
      </w:r>
    </w:p>
    <w:p w:rsidR="00392FFF" w:rsidRDefault="00392FFF" w:rsidP="00392FFF">
      <w:pPr>
        <w:pStyle w:val="AERtablesource"/>
      </w:pPr>
      <w:r>
        <w:t xml:space="preserve">Note: </w:t>
      </w:r>
      <w:r>
        <w:tab/>
        <w:t>Columns may not add to total due to rounding for presentation in table.</w:t>
      </w:r>
    </w:p>
    <w:p w:rsidR="00392FFF" w:rsidRPr="00E64828" w:rsidRDefault="00392FFF" w:rsidP="00392FFF">
      <w:pPr>
        <w:pStyle w:val="Heading9"/>
      </w:pPr>
      <w:bookmarkStart w:id="646" w:name="_Toc456686793"/>
      <w:bookmarkStart w:id="647" w:name="_Toc480460981"/>
      <w:r w:rsidRPr="00E64828">
        <w:t>AER's assessment approach</w:t>
      </w:r>
      <w:bookmarkEnd w:id="646"/>
      <w:bookmarkEnd w:id="647"/>
      <w:r>
        <w:t xml:space="preserve"> </w:t>
      </w:r>
    </w:p>
    <w:p w:rsidR="00392FFF" w:rsidRPr="00E64828" w:rsidRDefault="00392FFF" w:rsidP="00392FFF">
      <w:r w:rsidRPr="00E64828">
        <w:t>Our standard approach to forecasting debt raising costs is based on the approach in a report from the Allen Consulting Group (ACG), commissioned by the ACCC in 2004.</w:t>
      </w:r>
      <w:r>
        <w:rPr>
          <w:rStyle w:val="FootnoteReference"/>
        </w:rPr>
        <w:footnoteReference w:id="1640"/>
      </w:r>
      <w:r w:rsidRPr="00E64828">
        <w:t xml:space="preserve"> However, we relied on updated market data from 2008–13, as submitted in a recent report by PricewaterhouseCoopers (PwC) during the rate of return guideline process.</w:t>
      </w:r>
      <w:r>
        <w:rPr>
          <w:rStyle w:val="FootnoteReference"/>
        </w:rPr>
        <w:footnoteReference w:id="1641"/>
      </w:r>
      <w:r w:rsidRPr="00E64828">
        <w:t xml:space="preserve"> The approach uses a five year window of up to date bond data to reflect current market conditions. Where PwC has updated the data or the method, we have compared it against our standard approach and we are broadly satisfied it is reasonable.</w:t>
      </w:r>
    </w:p>
    <w:p w:rsidR="00392FFF" w:rsidRDefault="00392FFF" w:rsidP="00392FFF">
      <w:r w:rsidRPr="00E64828">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w:t>
      </w:r>
    </w:p>
    <w:p w:rsidR="00392FFF" w:rsidRDefault="00392FFF" w:rsidP="00392FFF">
      <w:r w:rsidRPr="003A2229">
        <w:t xml:space="preserve">Our decision on the unit costs and components of </w:t>
      </w:r>
      <w:r>
        <w:t>AusNet</w:t>
      </w:r>
      <w:r w:rsidRPr="003A2229">
        <w:t>'s benchmark rate of debt raising transaction costs is set out in</w:t>
      </w:r>
      <w:r>
        <w:t xml:space="preserve"> </w:t>
      </w:r>
      <w:r>
        <w:fldChar w:fldCharType="begin"/>
      </w:r>
      <w:r>
        <w:instrText xml:space="preserve"> REF _Ref449602773 \h </w:instrText>
      </w:r>
      <w:r>
        <w:fldChar w:fldCharType="separate"/>
      </w:r>
      <w:r w:rsidR="006B4A74">
        <w:t xml:space="preserve">Table </w:t>
      </w:r>
      <w:r w:rsidR="006B4A74">
        <w:rPr>
          <w:noProof/>
        </w:rPr>
        <w:t>3</w:t>
      </w:r>
      <w:r w:rsidR="006B4A74">
        <w:noBreakHyphen/>
      </w:r>
      <w:r w:rsidR="006B4A74">
        <w:rPr>
          <w:noProof/>
        </w:rPr>
        <w:t>47</w:t>
      </w:r>
      <w:r>
        <w:fldChar w:fldCharType="end"/>
      </w:r>
      <w:r w:rsidRPr="003A2229">
        <w:t>.</w:t>
      </w:r>
    </w:p>
    <w:p w:rsidR="00392FFF" w:rsidRPr="00413171" w:rsidRDefault="00392FFF" w:rsidP="00392FFF">
      <w:pPr>
        <w:pStyle w:val="Caption"/>
      </w:pPr>
      <w:bookmarkStart w:id="648" w:name="_Ref449602773"/>
      <w:r>
        <w:t xml:space="preserve">Table </w:t>
      </w:r>
      <w:fldSimple w:instr=" STYLEREF 1 \s ">
        <w:r w:rsidR="006B4A74">
          <w:rPr>
            <w:noProof/>
          </w:rPr>
          <w:t>3</w:t>
        </w:r>
      </w:fldSimple>
      <w:r w:rsidR="008F29C8">
        <w:noBreakHyphen/>
      </w:r>
      <w:fldSimple w:instr=" SEQ Table \* ARABIC \s 1 ">
        <w:r w:rsidR="006B4A74">
          <w:rPr>
            <w:noProof/>
          </w:rPr>
          <w:t>47</w:t>
        </w:r>
      </w:fldSimple>
      <w:bookmarkEnd w:id="648"/>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392FFF" w:rsidRPr="00C43648" w:rsidTr="002A4528">
        <w:trPr>
          <w:cnfStyle w:val="100000000000" w:firstRow="1" w:lastRow="0" w:firstColumn="0" w:lastColumn="0" w:oddVBand="0" w:evenVBand="0" w:oddHBand="0" w:evenHBand="0" w:firstRowFirstColumn="0" w:firstRowLastColumn="0" w:lastRowFirstColumn="0" w:lastRowLastColumn="0"/>
          <w:tblHeader/>
        </w:trPr>
        <w:tc>
          <w:tcPr>
            <w:tcW w:w="2373" w:type="dxa"/>
          </w:tcPr>
          <w:p w:rsidR="00392FFF" w:rsidRPr="00392FFF" w:rsidRDefault="00392FFF" w:rsidP="00392FFF">
            <w:r w:rsidRPr="00C43648">
              <w:t xml:space="preserve">Number of </w:t>
            </w:r>
            <w:r w:rsidRPr="00392FFF">
              <w:t>bonds</w:t>
            </w:r>
          </w:p>
        </w:tc>
        <w:tc>
          <w:tcPr>
            <w:tcW w:w="2252" w:type="dxa"/>
          </w:tcPr>
          <w:p w:rsidR="00392FFF" w:rsidRPr="00392FFF" w:rsidRDefault="00392FFF" w:rsidP="00392FFF">
            <w:r w:rsidRPr="00C43648">
              <w:t>Value</w:t>
            </w:r>
          </w:p>
        </w:tc>
        <w:tc>
          <w:tcPr>
            <w:tcW w:w="2034" w:type="dxa"/>
            <w:vAlign w:val="top"/>
          </w:tcPr>
          <w:p w:rsidR="00392FFF" w:rsidRPr="00392FFF" w:rsidRDefault="00392FFF" w:rsidP="00392FFF">
            <w:r w:rsidRPr="00C43648">
              <w:t>1 bond issued</w:t>
            </w:r>
          </w:p>
        </w:tc>
        <w:tc>
          <w:tcPr>
            <w:tcW w:w="2034" w:type="dxa"/>
            <w:vAlign w:val="top"/>
          </w:tcPr>
          <w:p w:rsidR="00392FFF" w:rsidRPr="00392FFF" w:rsidRDefault="00392FFF" w:rsidP="00392FFF">
            <w:r>
              <w:t>8</w:t>
            </w:r>
            <w:r w:rsidRPr="00392FFF">
              <w:t xml:space="preserve"> bonds issued</w:t>
            </w:r>
          </w:p>
        </w:tc>
      </w:tr>
      <w:tr w:rsidR="00392FFF" w:rsidRPr="00C43648" w:rsidTr="002A4528">
        <w:tc>
          <w:tcPr>
            <w:tcW w:w="2373" w:type="dxa"/>
          </w:tcPr>
          <w:p w:rsidR="00392FFF" w:rsidRPr="00392FFF" w:rsidRDefault="00392FFF" w:rsidP="00392FFF">
            <w:r w:rsidRPr="00C43648">
              <w:t>Amount raised</w:t>
            </w:r>
          </w:p>
        </w:tc>
        <w:tc>
          <w:tcPr>
            <w:tcW w:w="2252" w:type="dxa"/>
          </w:tcPr>
          <w:p w:rsidR="00392FFF" w:rsidRPr="00C43648" w:rsidRDefault="00392FFF" w:rsidP="00392FFF"/>
        </w:tc>
        <w:tc>
          <w:tcPr>
            <w:tcW w:w="2034" w:type="dxa"/>
            <w:vAlign w:val="top"/>
          </w:tcPr>
          <w:p w:rsidR="00392FFF" w:rsidRPr="00392FFF" w:rsidRDefault="00392FFF" w:rsidP="00392FFF">
            <w:r w:rsidRPr="00C43648">
              <w:t>$250m</w:t>
            </w:r>
          </w:p>
        </w:tc>
        <w:tc>
          <w:tcPr>
            <w:tcW w:w="2034" w:type="dxa"/>
            <w:vAlign w:val="top"/>
          </w:tcPr>
          <w:p w:rsidR="00392FFF" w:rsidRPr="00392FFF" w:rsidRDefault="00392FFF" w:rsidP="00392FFF">
            <w:r w:rsidRPr="00C43648">
              <w:t>$</w:t>
            </w:r>
            <w:r w:rsidRPr="00392FFF">
              <w:t>2000m</w:t>
            </w:r>
          </w:p>
        </w:tc>
      </w:tr>
      <w:tr w:rsidR="00392FFF" w:rsidRPr="00C43648" w:rsidTr="002A4528">
        <w:trPr>
          <w:cnfStyle w:val="000000010000" w:firstRow="0" w:lastRow="0" w:firstColumn="0" w:lastColumn="0" w:oddVBand="0" w:evenVBand="0" w:oddHBand="0" w:evenHBand="1" w:firstRowFirstColumn="0" w:firstRowLastColumn="0" w:lastRowFirstColumn="0" w:lastRowLastColumn="0"/>
        </w:trPr>
        <w:tc>
          <w:tcPr>
            <w:tcW w:w="2373" w:type="dxa"/>
          </w:tcPr>
          <w:p w:rsidR="00392FFF" w:rsidRPr="00392FFF" w:rsidRDefault="00392FFF" w:rsidP="00392FFF">
            <w:r w:rsidRPr="00C43648">
              <w:t>Arrangement fee</w:t>
            </w:r>
          </w:p>
        </w:tc>
        <w:tc>
          <w:tcPr>
            <w:tcW w:w="2252" w:type="dxa"/>
          </w:tcPr>
          <w:p w:rsidR="00392FFF" w:rsidRPr="00C43648" w:rsidRDefault="00392FFF" w:rsidP="00392FFF"/>
        </w:tc>
        <w:tc>
          <w:tcPr>
            <w:tcW w:w="2034" w:type="dxa"/>
            <w:vAlign w:val="top"/>
          </w:tcPr>
          <w:p w:rsidR="00392FFF" w:rsidRPr="00392FFF" w:rsidRDefault="00392FFF" w:rsidP="00392FFF">
            <w:r>
              <w:t>7.</w:t>
            </w:r>
            <w:r w:rsidRPr="00392FFF">
              <w:t>05</w:t>
            </w:r>
          </w:p>
        </w:tc>
        <w:tc>
          <w:tcPr>
            <w:tcW w:w="2034" w:type="dxa"/>
            <w:vAlign w:val="top"/>
          </w:tcPr>
          <w:p w:rsidR="00392FFF" w:rsidRPr="00392FFF" w:rsidRDefault="00392FFF" w:rsidP="00392FFF">
            <w:r>
              <w:t>7.</w:t>
            </w:r>
            <w:r w:rsidRPr="00392FFF">
              <w:t>05</w:t>
            </w:r>
          </w:p>
        </w:tc>
      </w:tr>
      <w:tr w:rsidR="00392FFF" w:rsidRPr="00C43648" w:rsidTr="002A4528">
        <w:tc>
          <w:tcPr>
            <w:tcW w:w="2373" w:type="dxa"/>
          </w:tcPr>
          <w:p w:rsidR="00392FFF" w:rsidRPr="00392FFF" w:rsidRDefault="00392FFF" w:rsidP="00392FFF">
            <w:r w:rsidRPr="00DA7B4A">
              <w:t>Bond Master Program (per program)</w:t>
            </w:r>
          </w:p>
        </w:tc>
        <w:tc>
          <w:tcPr>
            <w:tcW w:w="2252" w:type="dxa"/>
            <w:vAlign w:val="top"/>
          </w:tcPr>
          <w:p w:rsidR="00392FFF" w:rsidRPr="00392FFF" w:rsidRDefault="00392FFF" w:rsidP="00392FFF">
            <w:r w:rsidRPr="00DA7B4A">
              <w:t>$56,250</w:t>
            </w:r>
          </w:p>
        </w:tc>
        <w:tc>
          <w:tcPr>
            <w:tcW w:w="2034" w:type="dxa"/>
            <w:vAlign w:val="top"/>
          </w:tcPr>
          <w:p w:rsidR="00392FFF" w:rsidRPr="00392FFF" w:rsidRDefault="00392FFF" w:rsidP="00392FFF">
            <w:r w:rsidRPr="00DA7B4A">
              <w:t>0.3</w:t>
            </w:r>
            <w:r w:rsidRPr="00392FFF">
              <w:t>0</w:t>
            </w:r>
          </w:p>
        </w:tc>
        <w:tc>
          <w:tcPr>
            <w:tcW w:w="2034" w:type="dxa"/>
            <w:vAlign w:val="top"/>
          </w:tcPr>
          <w:p w:rsidR="00392FFF" w:rsidRPr="00392FFF" w:rsidRDefault="00392FFF" w:rsidP="00392FFF">
            <w:r w:rsidRPr="00DA7B4A">
              <w:t>0.</w:t>
            </w:r>
            <w:r w:rsidRPr="00392FFF">
              <w:t>04</w:t>
            </w:r>
          </w:p>
        </w:tc>
      </w:tr>
      <w:tr w:rsidR="00392FFF" w:rsidRPr="00C43648" w:rsidTr="002A4528">
        <w:trPr>
          <w:cnfStyle w:val="000000010000" w:firstRow="0" w:lastRow="0" w:firstColumn="0" w:lastColumn="0" w:oddVBand="0" w:evenVBand="0" w:oddHBand="0" w:evenHBand="1" w:firstRowFirstColumn="0" w:firstRowLastColumn="0" w:lastRowFirstColumn="0" w:lastRowLastColumn="0"/>
        </w:trPr>
        <w:tc>
          <w:tcPr>
            <w:tcW w:w="2373" w:type="dxa"/>
          </w:tcPr>
          <w:p w:rsidR="00392FFF" w:rsidRPr="00392FFF" w:rsidRDefault="00392FFF" w:rsidP="00392FFF">
            <w:r w:rsidRPr="00DA7B4A">
              <w:t xml:space="preserve">Issuer's </w:t>
            </w:r>
            <w:r w:rsidRPr="00392FFF">
              <w:t>legal counsel</w:t>
            </w:r>
          </w:p>
        </w:tc>
        <w:tc>
          <w:tcPr>
            <w:tcW w:w="2252" w:type="dxa"/>
            <w:vAlign w:val="top"/>
          </w:tcPr>
          <w:p w:rsidR="00392FFF" w:rsidRPr="00392FFF" w:rsidRDefault="00392FFF" w:rsidP="00FA503E">
            <w:r w:rsidRPr="00DA7B4A">
              <w:t>$15,6</w:t>
            </w:r>
            <w:r w:rsidR="00FA503E">
              <w:t>2</w:t>
            </w:r>
            <w:r w:rsidRPr="00DA7B4A">
              <w:t>5</w:t>
            </w:r>
          </w:p>
        </w:tc>
        <w:tc>
          <w:tcPr>
            <w:tcW w:w="2034" w:type="dxa"/>
            <w:vAlign w:val="top"/>
          </w:tcPr>
          <w:p w:rsidR="00392FFF" w:rsidRPr="00392FFF" w:rsidRDefault="00392FFF" w:rsidP="00392FFF">
            <w:r w:rsidRPr="00DA7B4A">
              <w:t>0.0</w:t>
            </w:r>
            <w:r w:rsidRPr="00392FFF">
              <w:t>8</w:t>
            </w:r>
          </w:p>
        </w:tc>
        <w:tc>
          <w:tcPr>
            <w:tcW w:w="2034" w:type="dxa"/>
            <w:vAlign w:val="top"/>
          </w:tcPr>
          <w:p w:rsidR="00392FFF" w:rsidRPr="00392FFF" w:rsidRDefault="00392FFF" w:rsidP="00392FFF">
            <w:r w:rsidRPr="00DA7B4A">
              <w:t>0.0</w:t>
            </w:r>
            <w:r w:rsidRPr="00392FFF">
              <w:t>8</w:t>
            </w:r>
          </w:p>
        </w:tc>
      </w:tr>
      <w:tr w:rsidR="00392FFF" w:rsidRPr="00C43648" w:rsidTr="002A4528">
        <w:tc>
          <w:tcPr>
            <w:tcW w:w="2373" w:type="dxa"/>
          </w:tcPr>
          <w:p w:rsidR="00392FFF" w:rsidRPr="00392FFF" w:rsidRDefault="00392FFF" w:rsidP="00392FFF">
            <w:r w:rsidRPr="00DA7B4A">
              <w:t>Company credit rating</w:t>
            </w:r>
          </w:p>
        </w:tc>
        <w:tc>
          <w:tcPr>
            <w:tcW w:w="2252" w:type="dxa"/>
            <w:vAlign w:val="top"/>
          </w:tcPr>
          <w:p w:rsidR="00392FFF" w:rsidRPr="00392FFF" w:rsidRDefault="00392FFF" w:rsidP="00392FFF">
            <w:r w:rsidRPr="00DA7B4A">
              <w:t>$77,500</w:t>
            </w:r>
          </w:p>
        </w:tc>
        <w:tc>
          <w:tcPr>
            <w:tcW w:w="2034" w:type="dxa"/>
            <w:vAlign w:val="top"/>
          </w:tcPr>
          <w:p w:rsidR="00392FFF" w:rsidRPr="00392FFF" w:rsidRDefault="00392FFF" w:rsidP="00392FFF">
            <w:r w:rsidRPr="00DA7B4A">
              <w:t>0.4</w:t>
            </w:r>
            <w:r w:rsidRPr="00392FFF">
              <w:t>2</w:t>
            </w:r>
          </w:p>
        </w:tc>
        <w:tc>
          <w:tcPr>
            <w:tcW w:w="2034" w:type="dxa"/>
            <w:vAlign w:val="top"/>
          </w:tcPr>
          <w:p w:rsidR="00392FFF" w:rsidRPr="00392FFF" w:rsidRDefault="00392FFF" w:rsidP="00392FFF">
            <w:r w:rsidRPr="00DA7B4A">
              <w:t>0.05</w:t>
            </w:r>
          </w:p>
        </w:tc>
      </w:tr>
      <w:tr w:rsidR="00392FFF" w:rsidRPr="00C43648" w:rsidTr="002A4528">
        <w:trPr>
          <w:cnfStyle w:val="000000010000" w:firstRow="0" w:lastRow="0" w:firstColumn="0" w:lastColumn="0" w:oddVBand="0" w:evenVBand="0" w:oddHBand="0" w:evenHBand="1" w:firstRowFirstColumn="0" w:firstRowLastColumn="0" w:lastRowFirstColumn="0" w:lastRowLastColumn="0"/>
        </w:trPr>
        <w:tc>
          <w:tcPr>
            <w:tcW w:w="2373" w:type="dxa"/>
          </w:tcPr>
          <w:p w:rsidR="00392FFF" w:rsidRPr="00392FFF" w:rsidRDefault="00392FFF" w:rsidP="00392FFF">
            <w:r w:rsidRPr="00DA7B4A">
              <w:t xml:space="preserve">Annual surveillance </w:t>
            </w:r>
            <w:r w:rsidRPr="00392FFF">
              <w:t>fee</w:t>
            </w:r>
          </w:p>
        </w:tc>
        <w:tc>
          <w:tcPr>
            <w:tcW w:w="2252" w:type="dxa"/>
            <w:vAlign w:val="top"/>
          </w:tcPr>
          <w:p w:rsidR="00392FFF" w:rsidRPr="00392FFF" w:rsidRDefault="00392FFF" w:rsidP="00392FFF">
            <w:r w:rsidRPr="00DA7B4A">
              <w:t>$35,500</w:t>
            </w:r>
          </w:p>
        </w:tc>
        <w:tc>
          <w:tcPr>
            <w:tcW w:w="2034" w:type="dxa"/>
            <w:vAlign w:val="top"/>
          </w:tcPr>
          <w:p w:rsidR="00392FFF" w:rsidRPr="00392FFF" w:rsidRDefault="00392FFF" w:rsidP="00392FFF">
            <w:r w:rsidRPr="00DA7B4A">
              <w:t>0.14</w:t>
            </w:r>
          </w:p>
        </w:tc>
        <w:tc>
          <w:tcPr>
            <w:tcW w:w="2034" w:type="dxa"/>
            <w:vAlign w:val="top"/>
          </w:tcPr>
          <w:p w:rsidR="00392FFF" w:rsidRPr="00392FFF" w:rsidRDefault="00392FFF" w:rsidP="00392FFF">
            <w:r w:rsidRPr="00DA7B4A">
              <w:t>0.02</w:t>
            </w:r>
          </w:p>
        </w:tc>
      </w:tr>
      <w:tr w:rsidR="00392FFF" w:rsidRPr="00C43648" w:rsidTr="002A4528">
        <w:tc>
          <w:tcPr>
            <w:tcW w:w="2373" w:type="dxa"/>
          </w:tcPr>
          <w:p w:rsidR="00392FFF" w:rsidRPr="00392FFF" w:rsidRDefault="00392FFF" w:rsidP="00392FFF">
            <w:r w:rsidRPr="00DA7B4A">
              <w:t>Up-front issuance fee</w:t>
            </w:r>
          </w:p>
        </w:tc>
        <w:tc>
          <w:tcPr>
            <w:tcW w:w="2252" w:type="dxa"/>
            <w:vAlign w:val="top"/>
          </w:tcPr>
          <w:p w:rsidR="00392FFF" w:rsidRPr="00392FFF" w:rsidRDefault="00392FFF" w:rsidP="00392FFF">
            <w:r w:rsidRPr="00DA7B4A">
              <w:t>5.20bp</w:t>
            </w:r>
          </w:p>
        </w:tc>
        <w:tc>
          <w:tcPr>
            <w:tcW w:w="2034" w:type="dxa"/>
            <w:vAlign w:val="top"/>
          </w:tcPr>
          <w:p w:rsidR="00392FFF" w:rsidRPr="00392FFF" w:rsidRDefault="00392FFF" w:rsidP="00392FFF">
            <w:r w:rsidRPr="00DA7B4A">
              <w:t>0.</w:t>
            </w:r>
            <w:r w:rsidRPr="00392FFF">
              <w:t>70</w:t>
            </w:r>
          </w:p>
        </w:tc>
        <w:tc>
          <w:tcPr>
            <w:tcW w:w="2034" w:type="dxa"/>
            <w:vAlign w:val="top"/>
          </w:tcPr>
          <w:p w:rsidR="00392FFF" w:rsidRPr="00392FFF" w:rsidRDefault="00392FFF" w:rsidP="00392FFF">
            <w:r w:rsidRPr="00DA7B4A">
              <w:t>0.</w:t>
            </w:r>
            <w:r w:rsidRPr="00392FFF">
              <w:t>70</w:t>
            </w:r>
          </w:p>
        </w:tc>
      </w:tr>
      <w:tr w:rsidR="00392FFF" w:rsidRPr="00C43648" w:rsidTr="002A4528">
        <w:trPr>
          <w:cnfStyle w:val="000000010000" w:firstRow="0" w:lastRow="0" w:firstColumn="0" w:lastColumn="0" w:oddVBand="0" w:evenVBand="0" w:oddHBand="0" w:evenHBand="1" w:firstRowFirstColumn="0" w:firstRowLastColumn="0" w:lastRowFirstColumn="0" w:lastRowLastColumn="0"/>
        </w:trPr>
        <w:tc>
          <w:tcPr>
            <w:tcW w:w="2373" w:type="dxa"/>
          </w:tcPr>
          <w:p w:rsidR="00392FFF" w:rsidRPr="00392FFF" w:rsidRDefault="00392FFF" w:rsidP="00392FFF">
            <w:r w:rsidRPr="00DA7B4A">
              <w:t>Registration up-front (per program)</w:t>
            </w:r>
          </w:p>
        </w:tc>
        <w:tc>
          <w:tcPr>
            <w:tcW w:w="2252" w:type="dxa"/>
            <w:vAlign w:val="top"/>
          </w:tcPr>
          <w:p w:rsidR="00392FFF" w:rsidRPr="00392FFF" w:rsidRDefault="00392FFF" w:rsidP="00392FFF">
            <w:r w:rsidRPr="00DA7B4A">
              <w:t>$20,850</w:t>
            </w:r>
          </w:p>
        </w:tc>
        <w:tc>
          <w:tcPr>
            <w:tcW w:w="2034" w:type="dxa"/>
            <w:vAlign w:val="top"/>
          </w:tcPr>
          <w:p w:rsidR="00392FFF" w:rsidRPr="00392FFF" w:rsidRDefault="00392FFF" w:rsidP="00392FFF">
            <w:r w:rsidRPr="00DA7B4A">
              <w:t>0.11</w:t>
            </w:r>
          </w:p>
        </w:tc>
        <w:tc>
          <w:tcPr>
            <w:tcW w:w="2034" w:type="dxa"/>
            <w:vAlign w:val="top"/>
          </w:tcPr>
          <w:p w:rsidR="00392FFF" w:rsidRPr="00392FFF" w:rsidRDefault="00392FFF" w:rsidP="00392FFF">
            <w:r w:rsidRPr="00DA7B4A">
              <w:t>0.01</w:t>
            </w:r>
          </w:p>
        </w:tc>
      </w:tr>
      <w:tr w:rsidR="00392FFF" w:rsidRPr="00C43648" w:rsidTr="002A4528">
        <w:tc>
          <w:tcPr>
            <w:tcW w:w="2373" w:type="dxa"/>
          </w:tcPr>
          <w:p w:rsidR="00392FFF" w:rsidRPr="00392FFF" w:rsidRDefault="00392FFF" w:rsidP="00392FFF">
            <w:r w:rsidRPr="00DA7B4A">
              <w:t>Registration- annual</w:t>
            </w:r>
          </w:p>
        </w:tc>
        <w:tc>
          <w:tcPr>
            <w:tcW w:w="2252" w:type="dxa"/>
            <w:vAlign w:val="top"/>
          </w:tcPr>
          <w:p w:rsidR="00392FFF" w:rsidRPr="00392FFF" w:rsidRDefault="00392FFF" w:rsidP="00392FFF">
            <w:r w:rsidRPr="00DA7B4A">
              <w:t>$7,825</w:t>
            </w:r>
          </w:p>
        </w:tc>
        <w:tc>
          <w:tcPr>
            <w:tcW w:w="2034" w:type="dxa"/>
            <w:vAlign w:val="top"/>
          </w:tcPr>
          <w:p w:rsidR="00392FFF" w:rsidRPr="00392FFF" w:rsidRDefault="00392FFF" w:rsidP="00392FFF">
            <w:r w:rsidRPr="00DA7B4A">
              <w:t>0.31</w:t>
            </w:r>
          </w:p>
        </w:tc>
        <w:tc>
          <w:tcPr>
            <w:tcW w:w="2034" w:type="dxa"/>
            <w:vAlign w:val="top"/>
          </w:tcPr>
          <w:p w:rsidR="00392FFF" w:rsidRPr="00392FFF" w:rsidRDefault="00392FFF" w:rsidP="00392FFF">
            <w:r w:rsidRPr="00DA7B4A">
              <w:t>0.31</w:t>
            </w:r>
          </w:p>
        </w:tc>
      </w:tr>
      <w:tr w:rsidR="00392FFF" w:rsidRPr="00C43648" w:rsidTr="002A4528">
        <w:trPr>
          <w:cnfStyle w:val="000000010000" w:firstRow="0" w:lastRow="0" w:firstColumn="0" w:lastColumn="0" w:oddVBand="0" w:evenVBand="0" w:oddHBand="0" w:evenHBand="1" w:firstRowFirstColumn="0" w:firstRowLastColumn="0" w:lastRowFirstColumn="0" w:lastRowLastColumn="0"/>
        </w:trPr>
        <w:tc>
          <w:tcPr>
            <w:tcW w:w="2373" w:type="dxa"/>
          </w:tcPr>
          <w:p w:rsidR="00392FFF" w:rsidRPr="00392FFF" w:rsidRDefault="00392FFF" w:rsidP="00392FFF">
            <w:r w:rsidRPr="00DA7B4A">
              <w:t>Agents out-of-pockets</w:t>
            </w:r>
          </w:p>
        </w:tc>
        <w:tc>
          <w:tcPr>
            <w:tcW w:w="2252" w:type="dxa"/>
            <w:vAlign w:val="top"/>
          </w:tcPr>
          <w:p w:rsidR="00392FFF" w:rsidRPr="00392FFF" w:rsidRDefault="00392FFF" w:rsidP="00392FFF">
            <w:r w:rsidRPr="00DA7B4A">
              <w:t>$3,000</w:t>
            </w:r>
          </w:p>
        </w:tc>
        <w:tc>
          <w:tcPr>
            <w:tcW w:w="2034" w:type="dxa"/>
            <w:vAlign w:val="top"/>
          </w:tcPr>
          <w:p w:rsidR="00392FFF" w:rsidRPr="00392FFF" w:rsidRDefault="00392FFF" w:rsidP="00392FFF">
            <w:r w:rsidRPr="00DA7B4A">
              <w:t>0.02</w:t>
            </w:r>
          </w:p>
        </w:tc>
        <w:tc>
          <w:tcPr>
            <w:tcW w:w="2034" w:type="dxa"/>
            <w:vAlign w:val="top"/>
          </w:tcPr>
          <w:p w:rsidR="00392FFF" w:rsidRPr="00392FFF" w:rsidRDefault="00392FFF" w:rsidP="00392FFF">
            <w:r w:rsidRPr="00DA7B4A">
              <w:t>0.02</w:t>
            </w:r>
          </w:p>
        </w:tc>
      </w:tr>
      <w:tr w:rsidR="00392FFF" w:rsidRPr="00C43648" w:rsidTr="002A4528">
        <w:tc>
          <w:tcPr>
            <w:tcW w:w="2373" w:type="dxa"/>
          </w:tcPr>
          <w:p w:rsidR="00392FFF" w:rsidRPr="00392FFF" w:rsidRDefault="00392FFF" w:rsidP="00392FFF">
            <w:r w:rsidRPr="00C43648">
              <w:t>Total (basis points per annum)</w:t>
            </w:r>
          </w:p>
        </w:tc>
        <w:tc>
          <w:tcPr>
            <w:tcW w:w="2252" w:type="dxa"/>
            <w:vAlign w:val="top"/>
          </w:tcPr>
          <w:p w:rsidR="00392FFF" w:rsidRPr="00C43648" w:rsidRDefault="00392FFF" w:rsidP="00392FFF"/>
        </w:tc>
        <w:tc>
          <w:tcPr>
            <w:tcW w:w="2034" w:type="dxa"/>
            <w:vAlign w:val="top"/>
          </w:tcPr>
          <w:p w:rsidR="00392FFF" w:rsidRPr="00392FFF" w:rsidRDefault="00392FFF" w:rsidP="00392FFF">
            <w:r w:rsidRPr="00C43648">
              <w:t>9.</w:t>
            </w:r>
            <w:r w:rsidRPr="00392FFF">
              <w:t>1</w:t>
            </w:r>
          </w:p>
        </w:tc>
        <w:tc>
          <w:tcPr>
            <w:tcW w:w="2034" w:type="dxa"/>
            <w:vAlign w:val="top"/>
          </w:tcPr>
          <w:p w:rsidR="00392FFF" w:rsidRPr="00392FFF" w:rsidRDefault="00392FFF" w:rsidP="00392FFF">
            <w:r>
              <w:t>8</w:t>
            </w:r>
            <w:r w:rsidRPr="00392FFF">
              <w:t>.3</w:t>
            </w:r>
          </w:p>
        </w:tc>
      </w:tr>
    </w:tbl>
    <w:p w:rsidR="00907E8E" w:rsidRDefault="00907E8E" w:rsidP="00EC7203">
      <w:pPr>
        <w:rPr>
          <w:rStyle w:val="AERbody"/>
        </w:rPr>
      </w:pPr>
    </w:p>
    <w:p w:rsidR="00F7725E" w:rsidRPr="006A0187" w:rsidRDefault="00F7725E" w:rsidP="00F7725E">
      <w:pPr>
        <w:pStyle w:val="Heading7"/>
      </w:pPr>
      <w:bookmarkStart w:id="649" w:name="_Ref456703498"/>
      <w:bookmarkStart w:id="650" w:name="_Toc481057520"/>
      <w:r>
        <w:t>Averaging periods - confidential appendix</w:t>
      </w:r>
      <w:bookmarkEnd w:id="649"/>
      <w:bookmarkEnd w:id="650"/>
    </w:p>
    <w:p w:rsidR="00F7725E" w:rsidRDefault="00F7725E" w:rsidP="00EC7203">
      <w:pPr>
        <w:rPr>
          <w:rStyle w:val="AERbody"/>
        </w:rPr>
      </w:pPr>
    </w:p>
    <w:sectPr w:rsidR="00F7725E"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34E" w:rsidRPr="00290C63" w:rsidRDefault="002D334E" w:rsidP="00290C63">
      <w:r>
        <w:separator/>
      </w:r>
    </w:p>
    <w:p w:rsidR="002D334E" w:rsidRDefault="002D334E"/>
  </w:endnote>
  <w:endnote w:type="continuationSeparator" w:id="0">
    <w:p w:rsidR="002D334E" w:rsidRPr="00290C63" w:rsidRDefault="002D334E" w:rsidP="00290C63">
      <w:r>
        <w:continuationSeparator/>
      </w:r>
    </w:p>
    <w:p w:rsidR="002D334E" w:rsidRDefault="002D3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4E" w:rsidRPr="00290C63" w:rsidRDefault="002D334E"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2D334E" w:rsidRDefault="002D334E"/>
  <w:p w:rsidR="002D334E" w:rsidRDefault="002D334E"/>
  <w:p w:rsidR="002D334E" w:rsidRDefault="002D334E"/>
  <w:p w:rsidR="002D334E" w:rsidRDefault="002D334E"/>
  <w:p w:rsidR="002D334E" w:rsidRDefault="002D334E"/>
  <w:p w:rsidR="002D334E" w:rsidRDefault="002D334E"/>
  <w:p w:rsidR="002D334E" w:rsidRDefault="002D33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23099"/>
      <w:docPartObj>
        <w:docPartGallery w:val="Page Numbers (Bottom of Page)"/>
        <w:docPartUnique/>
      </w:docPartObj>
    </w:sdtPr>
    <w:sdtEndPr>
      <w:rPr>
        <w:noProof/>
      </w:rPr>
    </w:sdtEndPr>
    <w:sdtContent>
      <w:p w:rsidR="002D334E" w:rsidRDefault="002D334E" w:rsidP="00122F86">
        <w:pPr>
          <w:pStyle w:val="Footer"/>
        </w:pPr>
        <w:r>
          <w:fldChar w:fldCharType="begin"/>
        </w:r>
        <w:r>
          <w:instrText xml:space="preserve"> PAGE   \* MERGEFORMAT </w:instrText>
        </w:r>
        <w:r>
          <w:fldChar w:fldCharType="separate"/>
        </w:r>
        <w:r w:rsidR="00334917">
          <w:rPr>
            <w:noProof/>
          </w:rPr>
          <w:t>3-0</w:t>
        </w:r>
        <w:r>
          <w:rPr>
            <w:noProof/>
          </w:rPr>
          <w:fldChar w:fldCharType="end"/>
        </w:r>
        <w:r>
          <w:rPr>
            <w:noProof/>
          </w:rPr>
          <w:t xml:space="preserve">          </w:t>
        </w:r>
        <w:r w:rsidRPr="00FD5E78">
          <w:rPr>
            <w:noProof/>
          </w:rPr>
          <w:t xml:space="preserve">Attachment </w:t>
        </w:r>
        <w:r>
          <w:rPr>
            <w:noProof/>
          </w:rPr>
          <w:t>3</w:t>
        </w:r>
        <w:r w:rsidRPr="00FD5E78">
          <w:rPr>
            <w:noProof/>
          </w:rPr>
          <w:t xml:space="preserve"> </w:t>
        </w:r>
        <w:r w:rsidRPr="00FD5E78">
          <w:rPr>
            <w:rFonts w:cs="Gautami"/>
            <w:noProof/>
          </w:rPr>
          <w:t xml:space="preserve">– </w:t>
        </w:r>
        <w:r>
          <w:t>Rate of return</w:t>
        </w:r>
        <w:r w:rsidRPr="00631982">
          <w:t xml:space="preserve"> </w:t>
        </w:r>
        <w:r w:rsidRPr="00FD5E78">
          <w:rPr>
            <w:rFonts w:cs="Gautami"/>
            <w:noProof/>
          </w:rPr>
          <w:t xml:space="preserve">| </w:t>
        </w:r>
        <w:r>
          <w:t>Final</w:t>
        </w:r>
        <w:r w:rsidRPr="00FD5E78">
          <w:rPr>
            <w:rFonts w:cs="Gautami"/>
            <w:noProof/>
          </w:rPr>
          <w:t xml:space="preserve"> decision</w:t>
        </w:r>
        <w:r>
          <w:rPr>
            <w:rFonts w:cs="Gautami"/>
            <w:noProof/>
          </w:rPr>
          <w:t>:</w:t>
        </w:r>
        <w:r w:rsidRPr="00FD5E78">
          <w:rPr>
            <w:rFonts w:cs="Gautami"/>
            <w:noProof/>
          </w:rPr>
          <w:t xml:space="preserve"> </w:t>
        </w:r>
        <w:r>
          <w:rPr>
            <w:rFonts w:cs="Gautami"/>
            <w:noProof/>
          </w:rPr>
          <w:t>AusNet Serices</w:t>
        </w:r>
        <w:r w:rsidRPr="00FD5E78">
          <w:t xml:space="preserve"> transmission</w:t>
        </w:r>
        <w:r w:rsidRPr="00FD5E78">
          <w:rPr>
            <w:rFonts w:cs="Gautami"/>
            <w:noProof/>
          </w:rPr>
          <w:t xml:space="preserve"> determination 201</w:t>
        </w:r>
        <w:r>
          <w:rPr>
            <w:rFonts w:cs="Gautami"/>
            <w:noProof/>
          </w:rPr>
          <w:t>7</w:t>
        </w:r>
        <w:r w:rsidRPr="00FD5E78">
          <w:rPr>
            <w:rFonts w:cs="Gautami"/>
            <w:noProof/>
          </w:rPr>
          <w:t>–</w:t>
        </w:r>
        <w:r>
          <w:rPr>
            <w:rFonts w:cs="Gautami"/>
            <w:noProof/>
          </w:rPr>
          <w:t>22</w:t>
        </w:r>
      </w:p>
    </w:sdtContent>
  </w:sdt>
  <w:p w:rsidR="002D334E" w:rsidRDefault="002D33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4E" w:rsidRPr="00290C63" w:rsidRDefault="002D334E"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2D334E" w:rsidRDefault="002D334E">
    <w:pPr>
      <w:pStyle w:val="Footer"/>
    </w:pPr>
  </w:p>
  <w:p w:rsidR="002D334E" w:rsidRDefault="002D334E"/>
  <w:p w:rsidR="002D334E" w:rsidRDefault="002D334E"/>
  <w:p w:rsidR="002D334E" w:rsidRDefault="002D334E"/>
  <w:p w:rsidR="002D334E" w:rsidRDefault="002D334E"/>
  <w:p w:rsidR="002D334E" w:rsidRDefault="002D334E"/>
  <w:p w:rsidR="002D334E" w:rsidRDefault="002D334E"/>
  <w:p w:rsidR="002D334E" w:rsidRDefault="002D33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34E" w:rsidRPr="00290C63" w:rsidRDefault="002D334E" w:rsidP="00290C63">
      <w:r>
        <w:separator/>
      </w:r>
    </w:p>
    <w:p w:rsidR="002D334E" w:rsidRDefault="002D334E"/>
  </w:footnote>
  <w:footnote w:type="continuationSeparator" w:id="0">
    <w:p w:rsidR="002D334E" w:rsidRPr="00290C63" w:rsidRDefault="002D334E" w:rsidP="00290C63">
      <w:r>
        <w:continuationSeparator/>
      </w:r>
    </w:p>
    <w:p w:rsidR="002D334E" w:rsidRDefault="002D334E"/>
  </w:footnote>
  <w:footnote w:id="1">
    <w:p w:rsidR="002D334E" w:rsidRDefault="002D334E" w:rsidP="00351675">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2D334E" w:rsidRDefault="002D334E" w:rsidP="00351675">
      <w:pPr>
        <w:pStyle w:val="FootnoteText"/>
      </w:pPr>
      <w:r>
        <w:rPr>
          <w:rStyle w:val="FootnoteReference"/>
        </w:rPr>
        <w:footnoteRef/>
      </w:r>
      <w:r>
        <w:t xml:space="preserve"> </w:t>
      </w:r>
      <w:r>
        <w:tab/>
        <w:t>NER, cl. 6.5.2(b); cl. 6A.6.2(b); NGR, cl. 87(2).</w:t>
      </w:r>
    </w:p>
  </w:footnote>
  <w:footnote w:id="3">
    <w:p w:rsidR="002D334E" w:rsidRDefault="002D334E" w:rsidP="00351675">
      <w:pPr>
        <w:pStyle w:val="FootnoteText"/>
      </w:pPr>
      <w:r>
        <w:rPr>
          <w:rStyle w:val="FootnoteReference"/>
        </w:rPr>
        <w:footnoteRef/>
      </w:r>
      <w:r>
        <w:t xml:space="preserve"> </w:t>
      </w:r>
      <w:r>
        <w:tab/>
        <w:t>NER, cl. 6.5.2(c); cl. 6A.6.2(c); NGR, cl. 87(3).</w:t>
      </w:r>
    </w:p>
  </w:footnote>
  <w:footnote w:id="4">
    <w:p w:rsidR="002D334E" w:rsidRDefault="002D334E" w:rsidP="00351675">
      <w:pPr>
        <w:pStyle w:val="FootnoteText"/>
      </w:pPr>
      <w:r>
        <w:rPr>
          <w:rStyle w:val="FootnoteReference"/>
        </w:rPr>
        <w:footnoteRef/>
      </w:r>
      <w:r>
        <w:t xml:space="preserve"> </w:t>
      </w:r>
      <w:r>
        <w:tab/>
        <w:t xml:space="preserve">AusNet Services, </w:t>
      </w:r>
      <w:r w:rsidRPr="0030019B">
        <w:rPr>
          <w:rStyle w:val="Emphasis"/>
        </w:rPr>
        <w:t>Transmission Revenue Review 2017-2022 revised regulatory proposal</w:t>
      </w:r>
      <w:r>
        <w:t xml:space="preserve">, 21 September 2016, p. 138. </w:t>
      </w:r>
    </w:p>
  </w:footnote>
  <w:footnote w:id="5">
    <w:p w:rsidR="002D334E" w:rsidRDefault="002D334E" w:rsidP="00F35251">
      <w:pPr>
        <w:pStyle w:val="FootnoteText"/>
      </w:pPr>
      <w:r>
        <w:rPr>
          <w:rStyle w:val="FootnoteReference"/>
        </w:rPr>
        <w:footnoteRef/>
      </w:r>
      <w:r>
        <w:t xml:space="preserve"> </w:t>
      </w:r>
      <w:r>
        <w:tab/>
        <w:t>NER, cl. 6.5.2(d)(1) and (2); cl. 6A.6.2(d)(1) and (2); NGR, cl. 87(4).</w:t>
      </w:r>
    </w:p>
  </w:footnote>
  <w:footnote w:id="6">
    <w:p w:rsidR="002D334E" w:rsidRDefault="002D334E" w:rsidP="00F35251">
      <w:pPr>
        <w:pStyle w:val="FootnoteText"/>
      </w:pPr>
      <w:r>
        <w:rPr>
          <w:rStyle w:val="FootnoteReference"/>
        </w:rPr>
        <w:footnoteRef/>
      </w:r>
      <w:r>
        <w:t xml:space="preserve"> </w:t>
      </w:r>
      <w:r>
        <w:tab/>
        <w:t>NER, cl. 6.5.2(b); NER, cl. 6A.6.2(b); NGR, r. 87(2).</w:t>
      </w:r>
    </w:p>
  </w:footnote>
  <w:footnote w:id="7">
    <w:p w:rsidR="002D334E" w:rsidRDefault="002D334E" w:rsidP="00F35251">
      <w:pPr>
        <w:pStyle w:val="FootnoteText"/>
      </w:pPr>
      <w:r>
        <w:rPr>
          <w:rStyle w:val="FootnoteReference"/>
        </w:rPr>
        <w:footnoteRef/>
      </w:r>
      <w:r>
        <w:t xml:space="preserve"> </w:t>
      </w:r>
      <w:r>
        <w:tab/>
        <w:t>NEL, s.16; NGL, s. 28.</w:t>
      </w:r>
    </w:p>
  </w:footnote>
  <w:footnote w:id="8">
    <w:p w:rsidR="002D334E" w:rsidRDefault="002D334E" w:rsidP="00351675">
      <w:pPr>
        <w:pStyle w:val="FootnoteText"/>
      </w:pPr>
      <w:r>
        <w:rPr>
          <w:rStyle w:val="FootnoteReference"/>
        </w:rPr>
        <w:footnoteRef/>
      </w:r>
      <w:r>
        <w:t xml:space="preserve"> </w:t>
      </w:r>
      <w:r>
        <w:tab/>
        <w:t xml:space="preserve">AusNet Services, </w:t>
      </w:r>
      <w:r>
        <w:rPr>
          <w:rStyle w:val="AERtextitalic"/>
        </w:rPr>
        <w:t>Transmission Revenue Review 2017-2022 - Revised Revenue Proposal</w:t>
      </w:r>
      <w:r>
        <w:t xml:space="preserve">, 21 September 2016. </w:t>
      </w:r>
    </w:p>
  </w:footnote>
  <w:footnote w:id="9">
    <w:p w:rsidR="002D334E" w:rsidRDefault="002D334E" w:rsidP="00351675">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 Also see our most recent decisions on SA Power Networks, Ergon Energy and Energex.</w:t>
      </w:r>
    </w:p>
  </w:footnote>
  <w:footnote w:id="10">
    <w:p w:rsidR="002D334E" w:rsidRDefault="002D334E" w:rsidP="00351675">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1">
    <w:p w:rsidR="002D334E" w:rsidRDefault="002D334E" w:rsidP="00351675">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2D334E" w:rsidRDefault="002D334E" w:rsidP="00351675">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w:t>
      </w:r>
    </w:p>
  </w:footnote>
  <w:footnote w:id="13">
    <w:p w:rsidR="002D334E" w:rsidRDefault="002D334E" w:rsidP="00351675">
      <w:pPr>
        <w:pStyle w:val="FootnoteText"/>
      </w:pPr>
      <w:r>
        <w:rPr>
          <w:rStyle w:val="FootnoteReference"/>
        </w:rPr>
        <w:footnoteRef/>
      </w:r>
      <w:r>
        <w:t xml:space="preserve"> </w:t>
      </w:r>
      <w:r>
        <w:tab/>
        <w:t>NER, cl. 6.2.8(c); NER, cl. 6A.6.2(c); NGR, r. 87(3).</w:t>
      </w:r>
    </w:p>
  </w:footnote>
  <w:footnote w:id="14">
    <w:p w:rsidR="002D334E" w:rsidRDefault="002D334E" w:rsidP="00351675">
      <w:pPr>
        <w:pStyle w:val="FootnoteText"/>
      </w:pPr>
      <w:r>
        <w:rPr>
          <w:rStyle w:val="FootnoteReference"/>
        </w:rPr>
        <w:footnoteRef/>
      </w:r>
      <w:r>
        <w:t xml:space="preserve"> </w:t>
      </w:r>
      <w:r>
        <w:tab/>
        <w:t xml:space="preserve">AusNet Services, </w:t>
      </w:r>
      <w:r>
        <w:rPr>
          <w:rStyle w:val="AERtextitalic"/>
        </w:rPr>
        <w:t>Transmission Revenue Review 2017-2022 - Revised Revenue Proposal</w:t>
      </w:r>
      <w:r>
        <w:t>, 21 September 2016, p. 192 - 196.</w:t>
      </w:r>
    </w:p>
  </w:footnote>
  <w:footnote w:id="15">
    <w:p w:rsidR="002D334E" w:rsidRDefault="002D334E" w:rsidP="00351675">
      <w:pPr>
        <w:pStyle w:val="FootnoteText"/>
      </w:pPr>
      <w:r>
        <w:rPr>
          <w:rStyle w:val="FootnoteReference"/>
        </w:rPr>
        <w:footnoteRef/>
      </w:r>
      <w:r>
        <w:t xml:space="preserve">     This final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6">
    <w:p w:rsidR="002D334E" w:rsidRDefault="002D334E" w:rsidP="00351675">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7">
    <w:p w:rsidR="002D334E" w:rsidRDefault="002D334E" w:rsidP="00351675">
      <w:pPr>
        <w:pStyle w:val="FootnoteText"/>
      </w:pPr>
      <w:r>
        <w:rPr>
          <w:rStyle w:val="FootnoteReference"/>
        </w:rPr>
        <w:footnoteRef/>
      </w:r>
      <w:r>
        <w:t xml:space="preserve"> </w:t>
      </w:r>
      <w:r>
        <w:tab/>
        <w:t xml:space="preserve">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8">
    <w:p w:rsidR="002D334E" w:rsidRDefault="002D334E" w:rsidP="0035167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9">
    <w:p w:rsidR="002D334E" w:rsidRDefault="002D334E">
      <w:pPr>
        <w:pStyle w:val="FootnoteText"/>
      </w:pPr>
      <w:r>
        <w:rPr>
          <w:rStyle w:val="FootnoteReference"/>
        </w:rPr>
        <w:footnoteRef/>
      </w:r>
      <w:r>
        <w:t xml:space="preserve"> </w:t>
      </w:r>
      <w:r>
        <w:tab/>
        <w:t>Ausgrid, Endeavour Energy and Essential Energy</w:t>
      </w:r>
    </w:p>
  </w:footnote>
  <w:footnote w:id="20">
    <w:p w:rsidR="002D334E" w:rsidRDefault="002D334E">
      <w:pPr>
        <w:pStyle w:val="FootnoteText"/>
      </w:pPr>
      <w:r>
        <w:rPr>
          <w:rStyle w:val="FootnoteReference"/>
        </w:rPr>
        <w:footnoteRef/>
      </w:r>
      <w:r>
        <w:t xml:space="preserve"> </w:t>
      </w:r>
      <w:r>
        <w:tab/>
        <w:t xml:space="preserve">Australian Competition Tribunal, </w:t>
      </w:r>
      <w:r w:rsidRPr="005772E3">
        <w:rPr>
          <w:rStyle w:val="AERtextitalic"/>
        </w:rPr>
        <w:t>Applications by Public Interest Advocacy Centre Ltd and Ausgrid [2016] ACompT 1</w:t>
      </w:r>
      <w:r>
        <w:t>, 26 February 2016</w:t>
      </w:r>
    </w:p>
  </w:footnote>
  <w:footnote w:id="21">
    <w:p w:rsidR="002D334E" w:rsidRDefault="002D334E"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2">
    <w:p w:rsidR="002D334E" w:rsidRDefault="002D334E"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3">
    <w:p w:rsidR="002D334E" w:rsidRDefault="002D334E" w:rsidP="00351675">
      <w:pPr>
        <w:pStyle w:val="FootnoteText"/>
      </w:pPr>
      <w:r>
        <w:rPr>
          <w:rStyle w:val="FootnoteReference"/>
        </w:rPr>
        <w:footnoteRef/>
      </w:r>
      <w:r>
        <w:t xml:space="preserve"> </w:t>
      </w:r>
      <w:r>
        <w:tab/>
        <w:t>For clarity, that is 100% of the base rate and DRP components of the allowed return on debt.</w:t>
      </w:r>
    </w:p>
  </w:footnote>
  <w:footnote w:id="24">
    <w:p w:rsidR="002D334E" w:rsidRDefault="002D334E"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5">
    <w:p w:rsidR="002D334E" w:rsidRDefault="002D334E">
      <w:pPr>
        <w:pStyle w:val="FootnoteText"/>
      </w:pPr>
      <w:r>
        <w:rPr>
          <w:rStyle w:val="FootnoteReference"/>
        </w:rPr>
        <w:footnoteRef/>
      </w:r>
      <w:r>
        <w:t xml:space="preserve"> </w:t>
      </w:r>
      <w:r>
        <w:tab/>
        <w:t xml:space="preserve">Australian Competition Tribunal, </w:t>
      </w:r>
      <w:r w:rsidRPr="00950EA8">
        <w:rPr>
          <w:rStyle w:val="AERtextitalic"/>
        </w:rPr>
        <w:t>Application by SA Power Networks [2016] ACompT 11</w:t>
      </w:r>
      <w:r>
        <w:t>, 26 October 2016</w:t>
      </w:r>
    </w:p>
  </w:footnote>
  <w:footnote w:id="26">
    <w:p w:rsidR="002D334E" w:rsidRDefault="002D334E">
      <w:pPr>
        <w:pStyle w:val="FootnoteText"/>
      </w:pPr>
      <w:r>
        <w:rPr>
          <w:rStyle w:val="FootnoteReference"/>
        </w:rPr>
        <w:footnoteRef/>
      </w:r>
      <w:r>
        <w:t xml:space="preserve"> </w:t>
      </w:r>
      <w:r>
        <w:tab/>
      </w:r>
      <w:r w:rsidRPr="00A00681">
        <w:t>SA Power Networks ABN 13 332 330 749 v Australian Competition Tribunal &amp; Anor, Federal Court File Number NSD3032/2016.</w:t>
      </w:r>
    </w:p>
  </w:footnote>
  <w:footnote w:id="27">
    <w:p w:rsidR="002D334E" w:rsidRDefault="002D334E">
      <w:pPr>
        <w:pStyle w:val="FootnoteText"/>
      </w:pPr>
      <w:r>
        <w:rPr>
          <w:rStyle w:val="FootnoteReference"/>
        </w:rPr>
        <w:footnoteRef/>
      </w:r>
      <w:r>
        <w:t xml:space="preserve"> </w:t>
      </w:r>
      <w:r>
        <w:tab/>
      </w:r>
      <w:hyperlink r:id="rId1" w:history="1">
        <w:r w:rsidRPr="00841DC7">
          <w:rPr>
            <w:rStyle w:val="Hyperlink"/>
            <w:sz w:val="16"/>
          </w:rPr>
          <w:t>http://www.competitiontribunal.gov.au/current-matters/tribunal-documents/act-8-2016</w:t>
        </w:r>
      </w:hyperlink>
      <w:r>
        <w:t xml:space="preserve">; </w:t>
      </w:r>
      <w:hyperlink r:id="rId2" w:history="1">
        <w:r w:rsidRPr="00841DC7">
          <w:rPr>
            <w:rStyle w:val="Hyperlink"/>
            <w:sz w:val="16"/>
          </w:rPr>
          <w:t>http://www.competitiontribunal.gov.au/current-matters/tribunal-documents/act-6-2016</w:t>
        </w:r>
      </w:hyperlink>
      <w:r>
        <w:t xml:space="preserve">;  </w:t>
      </w:r>
    </w:p>
  </w:footnote>
  <w:footnote w:id="28">
    <w:p w:rsidR="002D334E" w:rsidRDefault="002D334E" w:rsidP="00351675">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23–24</w:t>
      </w:r>
      <w:r w:rsidRPr="002F39F8">
        <w:t>.</w:t>
      </w:r>
    </w:p>
  </w:footnote>
  <w:footnote w:id="29">
    <w:p w:rsidR="002D334E" w:rsidRDefault="002D334E" w:rsidP="00351675">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30">
    <w:p w:rsidR="002D334E" w:rsidRDefault="002D334E">
      <w:pPr>
        <w:pStyle w:val="FootnoteText"/>
      </w:pPr>
      <w:r>
        <w:rPr>
          <w:rStyle w:val="FootnoteReference"/>
        </w:rPr>
        <w:footnoteRef/>
      </w:r>
      <w:r>
        <w:t xml:space="preserve"> </w:t>
      </w:r>
      <w:r>
        <w:tab/>
      </w:r>
      <w:r w:rsidRPr="005379ED">
        <w:t xml:space="preserve">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w:t>
      </w:r>
      <w:r>
        <w:t xml:space="preserve"> and, </w:t>
      </w:r>
      <w:r w:rsidRPr="005379ED">
        <w:t xml:space="preserve">Powercor, </w:t>
      </w:r>
      <w:r w:rsidRPr="005379ED">
        <w:rPr>
          <w:rStyle w:val="AERtextitalic"/>
        </w:rPr>
        <w:t>Revised regulatory proposal</w:t>
      </w:r>
      <w:r w:rsidRPr="005379ED">
        <w:t>, January 2016, pp. 340–341</w:t>
      </w:r>
    </w:p>
  </w:footnote>
  <w:footnote w:id="31">
    <w:p w:rsidR="002D334E" w:rsidRDefault="002D334E" w:rsidP="00DA1CF9">
      <w:pPr>
        <w:pStyle w:val="FootnoteText"/>
      </w:pPr>
      <w:r>
        <w:rPr>
          <w:rStyle w:val="FootnoteReference"/>
        </w:rPr>
        <w:footnoteRef/>
      </w:r>
      <w:r>
        <w:t xml:space="preserve"> </w:t>
      </w:r>
      <w:r>
        <w:tab/>
        <w:t>AusNet Services,</w:t>
      </w:r>
      <w:r w:rsidRPr="00E54179">
        <w:rPr>
          <w:rStyle w:val="AERtextitalic"/>
        </w:rPr>
        <w:t xml:space="preserve"> </w:t>
      </w:r>
      <w:r>
        <w:rPr>
          <w:rStyle w:val="AERtextitalic"/>
        </w:rPr>
        <w:t>Transmission Revenue Review 2017-2022 - Revised Revenue Proposal</w:t>
      </w:r>
      <w:r>
        <w:t>, 21 September 2016, p. 137.</w:t>
      </w:r>
    </w:p>
  </w:footnote>
  <w:footnote w:id="32">
    <w:p w:rsidR="002D334E" w:rsidRDefault="002D334E">
      <w:pPr>
        <w:pStyle w:val="FootnoteText"/>
      </w:pPr>
      <w:r>
        <w:rPr>
          <w:rStyle w:val="FootnoteReference"/>
        </w:rPr>
        <w:footnoteRef/>
      </w:r>
      <w:r>
        <w:t xml:space="preserve"> </w:t>
      </w:r>
      <w:r>
        <w:tab/>
        <w:t xml:space="preserve">AusNet Services, </w:t>
      </w:r>
      <w:r>
        <w:rPr>
          <w:rStyle w:val="AERtextitalic"/>
        </w:rPr>
        <w:t>Transmission Revenue Review 2017-2022 - Revised Revenue Proposal</w:t>
      </w:r>
      <w:r>
        <w:t xml:space="preserve">, 21 September 2016, pp. 143 and 146. </w:t>
      </w:r>
    </w:p>
  </w:footnote>
  <w:footnote w:id="33">
    <w:p w:rsidR="002D334E" w:rsidRDefault="002D334E" w:rsidP="00E10E75">
      <w:pPr>
        <w:pStyle w:val="FootnoteText"/>
      </w:pPr>
      <w:r>
        <w:rPr>
          <w:rStyle w:val="FootnoteReference"/>
        </w:rPr>
        <w:footnoteRef/>
      </w:r>
      <w:r>
        <w:t xml:space="preserve"> </w:t>
      </w:r>
      <w:r>
        <w:tab/>
        <w:t>AusNet Services,</w:t>
      </w:r>
      <w:r w:rsidRPr="00E54179">
        <w:rPr>
          <w:rStyle w:val="AERtextitalic"/>
        </w:rPr>
        <w:t xml:space="preserve"> </w:t>
      </w:r>
      <w:r>
        <w:rPr>
          <w:rStyle w:val="AERtextitalic"/>
        </w:rPr>
        <w:t>Transmission Revenue Review 2017-2022 - Revised Revenue Proposal</w:t>
      </w:r>
      <w:r>
        <w:t xml:space="preserve">, 21 September 2016 p. 138. </w:t>
      </w:r>
    </w:p>
  </w:footnote>
  <w:footnote w:id="34">
    <w:p w:rsidR="002D334E" w:rsidRDefault="002D334E">
      <w:pPr>
        <w:pStyle w:val="FootnoteText"/>
      </w:pPr>
      <w:r>
        <w:rPr>
          <w:rStyle w:val="FootnoteReference"/>
        </w:rPr>
        <w:footnoteRef/>
      </w:r>
      <w:r>
        <w:t xml:space="preserve"> </w:t>
      </w:r>
      <w:r>
        <w:tab/>
        <w:t>AusNet Services,</w:t>
      </w:r>
      <w:r w:rsidRPr="00E54179">
        <w:rPr>
          <w:rStyle w:val="AERtextitalic"/>
        </w:rPr>
        <w:t xml:space="preserve"> </w:t>
      </w:r>
      <w:r>
        <w:rPr>
          <w:rStyle w:val="AERtextitalic"/>
        </w:rPr>
        <w:t>Transmission Revenue Review 2017-2022 - Revised Revenue Proposal</w:t>
      </w:r>
      <w:r>
        <w:t>, 21 September 2016 p. 159.</w:t>
      </w:r>
    </w:p>
  </w:footnote>
  <w:footnote w:id="35">
    <w:p w:rsidR="002D334E" w:rsidRDefault="002D334E">
      <w:pPr>
        <w:pStyle w:val="FootnoteText"/>
      </w:pPr>
      <w:r>
        <w:rPr>
          <w:rStyle w:val="FootnoteReference"/>
        </w:rPr>
        <w:footnoteRef/>
      </w:r>
      <w:r>
        <w:t xml:space="preserve"> </w:t>
      </w:r>
      <w:r>
        <w:tab/>
        <w:t>AusNet Services,</w:t>
      </w:r>
      <w:r w:rsidRPr="00E54179">
        <w:rPr>
          <w:rStyle w:val="AERtextitalic"/>
        </w:rPr>
        <w:t xml:space="preserve"> </w:t>
      </w:r>
      <w:r>
        <w:rPr>
          <w:rStyle w:val="AERtextitalic"/>
        </w:rPr>
        <w:t>Transmission Revenue Review 2017-2022 - Revised Revenue Proposal</w:t>
      </w:r>
      <w:r>
        <w:t>, 21 September 2016 p. 157.</w:t>
      </w:r>
    </w:p>
  </w:footnote>
  <w:footnote w:id="36">
    <w:p w:rsidR="002D334E" w:rsidRDefault="002D334E" w:rsidP="00F90257">
      <w:pPr>
        <w:pStyle w:val="FootnoteText"/>
      </w:pPr>
      <w:r>
        <w:rPr>
          <w:rStyle w:val="FootnoteReference"/>
        </w:rPr>
        <w:footnoteRef/>
      </w:r>
      <w:r>
        <w:t xml:space="preserve"> </w:t>
      </w:r>
      <w:r>
        <w:tab/>
        <w:t>NEL, s. 16(1)(a), NGL, s. 23.</w:t>
      </w:r>
    </w:p>
  </w:footnote>
  <w:footnote w:id="37">
    <w:p w:rsidR="002D334E" w:rsidRDefault="002D334E" w:rsidP="00F90257">
      <w:pPr>
        <w:pStyle w:val="FootnoteText"/>
      </w:pPr>
      <w:r>
        <w:rPr>
          <w:rStyle w:val="FootnoteReference"/>
        </w:rPr>
        <w:footnoteRef/>
      </w:r>
      <w:r>
        <w:t xml:space="preserve"> </w:t>
      </w:r>
      <w:r>
        <w:tab/>
        <w:t>NEL, s. 16(2); NGL, s. 28(2)(a)(i).</w:t>
      </w:r>
    </w:p>
  </w:footnote>
  <w:footnote w:id="38">
    <w:p w:rsidR="002D334E" w:rsidRDefault="002D334E" w:rsidP="00F90257">
      <w:pPr>
        <w:pStyle w:val="FootnoteText"/>
      </w:pPr>
      <w:r>
        <w:rPr>
          <w:rStyle w:val="FootnoteReference"/>
        </w:rPr>
        <w:footnoteRef/>
      </w:r>
      <w:r>
        <w:t xml:space="preserve"> </w:t>
      </w:r>
      <w:r>
        <w:tab/>
        <w:t>NEL, s. 7A(2); NGL, s. 24(2)(a).</w:t>
      </w:r>
    </w:p>
  </w:footnote>
  <w:footnote w:id="39">
    <w:p w:rsidR="002D334E" w:rsidRDefault="002D334E" w:rsidP="00F90257">
      <w:pPr>
        <w:pStyle w:val="FootnoteText"/>
      </w:pPr>
      <w:r>
        <w:rPr>
          <w:rStyle w:val="FootnoteReference"/>
        </w:rPr>
        <w:footnoteRef/>
      </w:r>
      <w:r>
        <w:t xml:space="preserve"> </w:t>
      </w:r>
      <w:r>
        <w:tab/>
        <w:t>NEL, s. 7A(3);</w:t>
      </w:r>
      <w:r w:rsidRPr="0016130C">
        <w:t xml:space="preserve"> </w:t>
      </w:r>
      <w:r>
        <w:t>NGL, s. 24(3).</w:t>
      </w:r>
    </w:p>
  </w:footnote>
  <w:footnote w:id="40">
    <w:p w:rsidR="002D334E" w:rsidRDefault="002D334E" w:rsidP="00F90257">
      <w:pPr>
        <w:pStyle w:val="FootnoteText"/>
      </w:pPr>
      <w:r>
        <w:rPr>
          <w:rStyle w:val="FootnoteReference"/>
        </w:rPr>
        <w:footnoteRef/>
      </w:r>
      <w:r>
        <w:t xml:space="preserve"> </w:t>
      </w:r>
      <w:r>
        <w:tab/>
        <w:t>NEL, s. 7A(5); NGL, s. 24(5).</w:t>
      </w:r>
    </w:p>
  </w:footnote>
  <w:footnote w:id="41">
    <w:p w:rsidR="002D334E" w:rsidRDefault="002D334E" w:rsidP="00F90257">
      <w:pPr>
        <w:pStyle w:val="FootnoteText"/>
      </w:pPr>
      <w:r>
        <w:rPr>
          <w:rStyle w:val="FootnoteReference"/>
        </w:rPr>
        <w:footnoteRef/>
      </w:r>
      <w:r>
        <w:t xml:space="preserve"> </w:t>
      </w:r>
      <w:r>
        <w:tab/>
        <w:t>NEL, s. 7A(6); NGL, s. 24(6).</w:t>
      </w:r>
    </w:p>
  </w:footnote>
  <w:footnote w:id="42">
    <w:p w:rsidR="002D334E" w:rsidRDefault="002D334E" w:rsidP="00F90257">
      <w:pPr>
        <w:pStyle w:val="FootnoteText"/>
      </w:pPr>
      <w:r>
        <w:rPr>
          <w:rStyle w:val="FootnoteReference"/>
        </w:rPr>
        <w:footnoteRef/>
      </w:r>
      <w:r>
        <w:t xml:space="preserve"> </w:t>
      </w:r>
      <w:r>
        <w:tab/>
        <w:t>NEL, s. 7A(7); NGL, s. 24(7).</w:t>
      </w:r>
    </w:p>
  </w:footnote>
  <w:footnote w:id="43">
    <w:p w:rsidR="002D334E" w:rsidRPr="00D5405B" w:rsidRDefault="002D334E" w:rsidP="00F90257">
      <w:pPr>
        <w:pStyle w:val="FootnoteText"/>
        <w:rPr>
          <w:rStyle w:val="AERtexthighlight"/>
        </w:rPr>
      </w:pPr>
      <w:r>
        <w:rPr>
          <w:rStyle w:val="FootnoteReference"/>
        </w:rPr>
        <w:footnoteRef/>
      </w:r>
      <w:r>
        <w:t xml:space="preserve"> </w:t>
      </w:r>
      <w:r>
        <w:tab/>
        <w:t>NER, cl. 6.5.2(d); NER, cl. 6A.6.2(d); NGR, r, 87(4).</w:t>
      </w:r>
    </w:p>
  </w:footnote>
  <w:footnote w:id="44">
    <w:p w:rsidR="002D334E" w:rsidRDefault="002D334E" w:rsidP="00F90257">
      <w:pPr>
        <w:pStyle w:val="FootnoteText"/>
      </w:pPr>
      <w:r>
        <w:rPr>
          <w:rStyle w:val="FootnoteReference"/>
        </w:rPr>
        <w:footnoteRef/>
      </w:r>
      <w:r>
        <w:t xml:space="preserve"> </w:t>
      </w:r>
      <w:r>
        <w:tab/>
        <w:t>NER, cl. 6.5.2(e), NER cl, 6A.6.2(e); NGR, r. 87(5).</w:t>
      </w:r>
    </w:p>
  </w:footnote>
  <w:footnote w:id="45">
    <w:p w:rsidR="002D334E" w:rsidRDefault="002D334E" w:rsidP="00F90257">
      <w:pPr>
        <w:pStyle w:val="FootnoteText"/>
      </w:pPr>
      <w:r>
        <w:rPr>
          <w:rStyle w:val="FootnoteReference"/>
        </w:rPr>
        <w:footnoteRef/>
      </w:r>
      <w:r>
        <w:t xml:space="preserve"> </w:t>
      </w:r>
      <w:r>
        <w:tab/>
        <w:t>NER, cl  6.5.2</w:t>
      </w:r>
      <w:r w:rsidRPr="00A7067C">
        <w:t>(g)</w:t>
      </w:r>
      <w:r>
        <w:t xml:space="preserve">; NER, cl 6A.6.2(g); NGR, r. 87 (7). </w:t>
      </w:r>
    </w:p>
  </w:footnote>
  <w:footnote w:id="46">
    <w:p w:rsidR="002D334E" w:rsidRDefault="002D334E" w:rsidP="00F90257">
      <w:pPr>
        <w:pStyle w:val="FootnoteText"/>
      </w:pPr>
      <w:r>
        <w:rPr>
          <w:rStyle w:val="FootnoteReference"/>
        </w:rPr>
        <w:footnoteRef/>
      </w:r>
      <w:r>
        <w:t xml:space="preserve"> </w:t>
      </w:r>
      <w:r>
        <w:tab/>
        <w:t xml:space="preserve">NER, cl. 6.5.2 (h); NER, cl. 6A.6.2(h); NGR, cl. 87(8). </w:t>
      </w:r>
    </w:p>
  </w:footnote>
  <w:footnote w:id="47">
    <w:p w:rsidR="002D334E" w:rsidRDefault="002D334E" w:rsidP="00F90257">
      <w:pPr>
        <w:pStyle w:val="FootnoteText"/>
      </w:pPr>
      <w:r>
        <w:rPr>
          <w:rStyle w:val="FootnoteReference"/>
        </w:rPr>
        <w:footnoteRef/>
      </w:r>
      <w:r>
        <w:t xml:space="preserve"> </w:t>
      </w:r>
      <w:r>
        <w:tab/>
        <w:t>NER, cl. 6.5.2 (i); NER, cl. 6A.6.2(i)(2); NGR, cl. 87(9)(b).</w:t>
      </w:r>
    </w:p>
  </w:footnote>
  <w:footnote w:id="48">
    <w:p w:rsidR="002D334E" w:rsidRDefault="002D334E" w:rsidP="00F90257">
      <w:pPr>
        <w:pStyle w:val="FootnoteText"/>
      </w:pPr>
      <w:r>
        <w:rPr>
          <w:rStyle w:val="FootnoteReference"/>
        </w:rPr>
        <w:footnoteRef/>
      </w:r>
      <w:r>
        <w:t xml:space="preserve"> </w:t>
      </w:r>
      <w:r>
        <w:tab/>
        <w:t>NER, cl. 6.5.2 (k)(4); NER, cl. 6A.6.2(k)(4); NGR, r. 87(11)(d).</w:t>
      </w:r>
    </w:p>
  </w:footnote>
  <w:footnote w:id="49">
    <w:p w:rsidR="002D334E" w:rsidRDefault="002D334E" w:rsidP="00F90257">
      <w:pPr>
        <w:pStyle w:val="FootnoteText"/>
      </w:pPr>
      <w:r>
        <w:rPr>
          <w:rStyle w:val="FootnoteReference"/>
        </w:rPr>
        <w:footnoteRef/>
      </w:r>
      <w:r>
        <w:t xml:space="preserve"> </w:t>
      </w:r>
      <w:r>
        <w:tab/>
        <w:t xml:space="preserve">NER, cl. 6.5.2(c); NER, cl. 6A.6.2(c); NGR, r. 87(3). </w:t>
      </w:r>
    </w:p>
  </w:footnote>
  <w:footnote w:id="50">
    <w:p w:rsidR="002D334E" w:rsidRDefault="002D334E" w:rsidP="00F90257">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51">
    <w:p w:rsidR="002D334E" w:rsidRDefault="002D334E" w:rsidP="00F90257">
      <w:pPr>
        <w:pStyle w:val="FootnoteText"/>
      </w:pPr>
      <w:r>
        <w:rPr>
          <w:rStyle w:val="FootnoteReference"/>
        </w:rPr>
        <w:footnoteRef/>
      </w:r>
      <w:r>
        <w:t xml:space="preserve"> </w:t>
      </w:r>
      <w:r>
        <w:tab/>
        <w:t>See section H.2.1 of appendix H.</w:t>
      </w:r>
    </w:p>
  </w:footnote>
  <w:footnote w:id="52">
    <w:p w:rsidR="002D334E" w:rsidRDefault="002D334E" w:rsidP="00F90257">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3">
    <w:p w:rsidR="002D334E" w:rsidRDefault="002D334E" w:rsidP="00F90257">
      <w:pPr>
        <w:pStyle w:val="FootnoteText"/>
      </w:pPr>
      <w:r>
        <w:rPr>
          <w:rStyle w:val="FootnoteReference"/>
        </w:rPr>
        <w:footnoteRef/>
      </w:r>
      <w:r>
        <w:t xml:space="preserve"> </w:t>
      </w:r>
      <w:r>
        <w:tab/>
        <w:t xml:space="preserve">This includes both new and existing investment. </w:t>
      </w:r>
    </w:p>
  </w:footnote>
  <w:footnote w:id="54">
    <w:p w:rsidR="002D334E" w:rsidRDefault="002D334E" w:rsidP="00F90257">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5">
    <w:p w:rsidR="002D334E" w:rsidRDefault="002D334E" w:rsidP="00E20018">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6">
    <w:p w:rsidR="002D334E" w:rsidRDefault="002D334E" w:rsidP="00E20018">
      <w:pPr>
        <w:pStyle w:val="FootnoteText"/>
      </w:pPr>
      <w:r>
        <w:rPr>
          <w:rStyle w:val="FootnoteReference"/>
        </w:rPr>
        <w:footnoteRef/>
      </w:r>
      <w:r>
        <w:t xml:space="preserve"> </w:t>
      </w:r>
      <w:r>
        <w:tab/>
      </w:r>
      <w:r w:rsidRPr="00EE36F1">
        <w:t>Kahn</w:t>
      </w:r>
      <w:r>
        <w:t>, A.E.</w:t>
      </w:r>
      <w:r w:rsidRPr="00EE36F1">
        <w:t xml:space="preserve">, </w:t>
      </w:r>
      <w:r>
        <w:t xml:space="preserve">'The economics of regulation: Principles and institutions', </w:t>
      </w:r>
      <w:r w:rsidRPr="002656D9">
        <w:rPr>
          <w:rStyle w:val="Emphasis"/>
        </w:rPr>
        <w:t>The MIT Press, Massachusetts</w:t>
      </w:r>
      <w:r>
        <w:t>, 1988</w:t>
      </w:r>
      <w:r w:rsidRPr="00EE36F1">
        <w:t>, p. 45.</w:t>
      </w:r>
    </w:p>
  </w:footnote>
  <w:footnote w:id="57">
    <w:p w:rsidR="002D334E" w:rsidRDefault="002D334E" w:rsidP="00E20018">
      <w:pPr>
        <w:pStyle w:val="FootnoteText"/>
      </w:pPr>
      <w:r>
        <w:rPr>
          <w:rStyle w:val="FootnoteReference"/>
        </w:rPr>
        <w:footnoteRef/>
      </w:r>
      <w:r>
        <w:t xml:space="preserve"> </w:t>
      </w:r>
      <w:r>
        <w:tab/>
        <w:t xml:space="preserve">See sections 1.1 and 2.1 of appendix </w:t>
      </w:r>
      <w:r>
        <w:fldChar w:fldCharType="begin"/>
      </w:r>
      <w:r>
        <w:instrText xml:space="preserve"> REF _Ref479170782 \r \h </w:instrText>
      </w:r>
      <w:r>
        <w:fldChar w:fldCharType="separate"/>
      </w:r>
      <w:r>
        <w:t>H</w:t>
      </w:r>
      <w:r>
        <w:fldChar w:fldCharType="end"/>
      </w:r>
      <w:r>
        <w:t>.</w:t>
      </w:r>
    </w:p>
  </w:footnote>
  <w:footnote w:id="58">
    <w:p w:rsidR="002D334E" w:rsidRDefault="002D334E" w:rsidP="00E2001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9">
    <w:p w:rsidR="002D334E" w:rsidRDefault="002D334E" w:rsidP="00E20018">
      <w:pPr>
        <w:pStyle w:val="FootnoteText"/>
      </w:pPr>
      <w:r>
        <w:rPr>
          <w:rStyle w:val="FootnoteReference"/>
        </w:rPr>
        <w:footnoteRef/>
      </w:r>
      <w:r>
        <w:t xml:space="preserve"> </w:t>
      </w:r>
      <w:r>
        <w:tab/>
        <w:t xml:space="preserve">Bishop, S., Faff, R., Oliver, B., Twite, G., 'Corporate Finance', </w:t>
      </w:r>
      <w:r w:rsidRPr="002656D9">
        <w:rPr>
          <w:rStyle w:val="Emphasis"/>
        </w:rPr>
        <w:t>Ed. 5 Pearson Prentice Hall</w:t>
      </w:r>
      <w:r>
        <w:t>, 2004, p. 577.</w:t>
      </w:r>
    </w:p>
  </w:footnote>
  <w:footnote w:id="60">
    <w:p w:rsidR="002D334E" w:rsidRDefault="002D334E" w:rsidP="00E20018">
      <w:pPr>
        <w:pStyle w:val="FootnoteText"/>
      </w:pPr>
      <w:r>
        <w:rPr>
          <w:rStyle w:val="FootnoteReference"/>
        </w:rPr>
        <w:footnoteRef/>
      </w:r>
      <w:r>
        <w:t xml:space="preserve"> </w:t>
      </w:r>
      <w:r>
        <w:tab/>
        <w:t xml:space="preserve">Brealey, R., Myers, S., Partington, G., Robinson, D., 'Principles of corporate finance', 2007, </w:t>
      </w:r>
      <w:r w:rsidRPr="002656D9">
        <w:rPr>
          <w:rStyle w:val="Emphasis"/>
        </w:rPr>
        <w:t>The McGraw-Hill Companies Inc</w:t>
      </w:r>
      <w:r>
        <w:t>., 2007, p. 201.</w:t>
      </w:r>
    </w:p>
  </w:footnote>
  <w:footnote w:id="61">
    <w:p w:rsidR="002D334E" w:rsidRDefault="002D334E" w:rsidP="00E20018">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62">
    <w:p w:rsidR="002D334E" w:rsidRDefault="002D334E" w:rsidP="00E20018">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63">
    <w:p w:rsidR="002D334E" w:rsidRDefault="002D334E"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xml:space="preserve">; Brealey, R., Myers, S., Partington, G., Robinson, D., 'Principles of corporate finance', 2007, </w:t>
      </w:r>
      <w:r w:rsidRPr="002656D9">
        <w:rPr>
          <w:rStyle w:val="Emphasis"/>
        </w:rPr>
        <w:t>The McGraw-Hill Companies Inc</w:t>
      </w:r>
      <w:r>
        <w:t>., 2007, p. 107.</w:t>
      </w:r>
    </w:p>
  </w:footnote>
  <w:footnote w:id="64">
    <w:p w:rsidR="002D334E" w:rsidRDefault="002D334E" w:rsidP="00E20018">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5">
    <w:p w:rsidR="002D334E" w:rsidRDefault="002D334E" w:rsidP="00E20018">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6">
    <w:p w:rsidR="002D334E" w:rsidRDefault="002D334E" w:rsidP="00E20018">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7">
    <w:p w:rsidR="002D334E" w:rsidRDefault="002D334E" w:rsidP="00E20018">
      <w:pPr>
        <w:pStyle w:val="FootnoteText"/>
      </w:pPr>
      <w:r>
        <w:rPr>
          <w:rStyle w:val="FootnoteReference"/>
        </w:rPr>
        <w:footnoteRef/>
      </w:r>
      <w:r>
        <w:t xml:space="preserve"> </w:t>
      </w:r>
      <w:r>
        <w:tab/>
      </w:r>
      <w:r w:rsidRPr="007D32F9">
        <w:t>NER, cl</w:t>
      </w:r>
      <w:r>
        <w:t>l</w:t>
      </w:r>
      <w:r w:rsidRPr="007D32F9">
        <w:t>. 6.5.2(c), 6A.6.2(c); NGR, r. 87(2)(3).</w:t>
      </w:r>
    </w:p>
  </w:footnote>
  <w:footnote w:id="68">
    <w:p w:rsidR="002D334E" w:rsidRPr="00151C8A" w:rsidRDefault="002D334E" w:rsidP="00E20018">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9">
    <w:p w:rsidR="002D334E" w:rsidRDefault="002D334E" w:rsidP="00E20018">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70">
    <w:p w:rsidR="002D334E" w:rsidRDefault="002D334E" w:rsidP="00E20018">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71">
    <w:p w:rsidR="002D334E" w:rsidRDefault="002D334E" w:rsidP="00E20018">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72">
    <w:p w:rsidR="002D334E" w:rsidRDefault="002D334E"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cl. 6A.6.2(c), NGR r. 87(3). </w:t>
      </w:r>
    </w:p>
  </w:footnote>
  <w:footnote w:id="73">
    <w:p w:rsidR="002D334E" w:rsidRDefault="002D334E" w:rsidP="00E20018">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74">
    <w:p w:rsidR="002D334E" w:rsidRDefault="002D334E" w:rsidP="00E20018">
      <w:pPr>
        <w:pStyle w:val="FootnoteText"/>
      </w:pPr>
      <w:r>
        <w:rPr>
          <w:rStyle w:val="FootnoteReference"/>
        </w:rPr>
        <w:footnoteRef/>
      </w:r>
      <w:r>
        <w:t xml:space="preserve"> </w:t>
      </w:r>
      <w:r>
        <w:tab/>
        <w:t>NER v. 79, Chapter 10: 'Glossary', p. 1151.</w:t>
      </w:r>
    </w:p>
  </w:footnote>
  <w:footnote w:id="75">
    <w:p w:rsidR="002D334E" w:rsidRDefault="002D334E" w:rsidP="00E20018">
      <w:pPr>
        <w:pStyle w:val="FootnoteText"/>
      </w:pPr>
      <w:r>
        <w:rPr>
          <w:rStyle w:val="FootnoteReference"/>
        </w:rPr>
        <w:footnoteRef/>
      </w:r>
      <w:r>
        <w:t xml:space="preserve"> </w:t>
      </w:r>
      <w:r>
        <w:tab/>
        <w:t>NEL, s. 2B.</w:t>
      </w:r>
    </w:p>
  </w:footnote>
  <w:footnote w:id="76">
    <w:p w:rsidR="002D334E" w:rsidRDefault="002D334E"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cl. 6A.6.2(c), NGR, r.  87(3). Also see </w:t>
      </w:r>
      <w:r w:rsidRPr="000466C9">
        <w:t xml:space="preserve">section 2B of the </w:t>
      </w:r>
      <w:r>
        <w:t>NEL.</w:t>
      </w:r>
    </w:p>
  </w:footnote>
  <w:footnote w:id="77">
    <w:p w:rsidR="002D334E" w:rsidRDefault="002D334E" w:rsidP="00E20018">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Instead of 'standard control services', the transmission rules refer to 'prescribed transmission services' and the NGR refers to 'reference services'. See NER, cl.  6A.6.2(c), NGR, r.  87(3). Also see </w:t>
      </w:r>
      <w:r w:rsidRPr="000466C9">
        <w:t xml:space="preserve">section 2B of the </w:t>
      </w:r>
      <w:r>
        <w:t>NEL.</w:t>
      </w:r>
    </w:p>
  </w:footnote>
  <w:footnote w:id="78">
    <w:p w:rsidR="002D334E" w:rsidRDefault="002D334E" w:rsidP="00E20018">
      <w:pPr>
        <w:pStyle w:val="FootnoteText"/>
      </w:pPr>
      <w:r>
        <w:rPr>
          <w:rStyle w:val="FootnoteReference"/>
        </w:rPr>
        <w:footnoteRef/>
      </w:r>
      <w:r>
        <w:t xml:space="preserve"> </w:t>
      </w:r>
      <w:r>
        <w:tab/>
        <w:t>Bishop, S., Faff, R., Oliver, B., Twite, G., 'Corporate Finance', Ed. 5 Pearson Prentice Hall, 2004, p. 577.</w:t>
      </w:r>
    </w:p>
  </w:footnote>
  <w:footnote w:id="79">
    <w:p w:rsidR="002D334E" w:rsidRDefault="002D334E"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80">
    <w:p w:rsidR="002D334E" w:rsidRDefault="002D334E"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81">
    <w:p w:rsidR="002D334E" w:rsidRDefault="002D334E" w:rsidP="00E20018">
      <w:pPr>
        <w:pStyle w:val="FootnoteText"/>
      </w:pPr>
      <w:r>
        <w:rPr>
          <w:rStyle w:val="FootnoteReference"/>
        </w:rPr>
        <w:footnoteRef/>
      </w:r>
      <w:r>
        <w:t xml:space="preserve"> </w:t>
      </w:r>
      <w:r>
        <w:tab/>
        <w:t>Brealey, R., Myers, S., Allen, F., 'Principles of corporate finance', 2011, Ed. 10, McGraw-Hill Irwin, Figure 8.2, p. 187.</w:t>
      </w:r>
    </w:p>
  </w:footnote>
  <w:footnote w:id="82">
    <w:p w:rsidR="002D334E" w:rsidRDefault="002D334E"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83">
    <w:p w:rsidR="002D334E" w:rsidRDefault="002D334E" w:rsidP="00E20018">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84">
    <w:p w:rsidR="002D334E" w:rsidRDefault="002D334E" w:rsidP="00E20018">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85">
    <w:p w:rsidR="002D334E" w:rsidRDefault="002D334E" w:rsidP="00E20018">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86">
    <w:p w:rsidR="002D334E" w:rsidRDefault="002D334E" w:rsidP="00E20018">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7">
    <w:p w:rsidR="002D334E" w:rsidRDefault="002D334E" w:rsidP="00E20018">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8">
    <w:p w:rsidR="002D334E" w:rsidRDefault="002D334E" w:rsidP="00E20018">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89">
    <w:p w:rsidR="002D334E" w:rsidRDefault="002D334E"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90">
    <w:p w:rsidR="002D334E" w:rsidRDefault="002D334E" w:rsidP="00E20018">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91">
    <w:p w:rsidR="002D334E" w:rsidRDefault="002D334E" w:rsidP="00DB15A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92">
    <w:p w:rsidR="002D334E" w:rsidRDefault="002D334E" w:rsidP="00E20018">
      <w:pPr>
        <w:pStyle w:val="FootnoteText"/>
      </w:pPr>
      <w:r>
        <w:rPr>
          <w:rStyle w:val="FootnoteReference"/>
        </w:rPr>
        <w:footnoteRef/>
      </w:r>
      <w:r>
        <w:t xml:space="preserve"> </w:t>
      </w:r>
      <w:r>
        <w:tab/>
        <w:t>NER, cl. 6.5.2(k) and cl. 6A.6.2(k); NGR, r. 87(11).</w:t>
      </w:r>
    </w:p>
  </w:footnote>
  <w:footnote w:id="93">
    <w:p w:rsidR="002D334E" w:rsidRDefault="002D334E"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(1)</w:t>
      </w:r>
      <w:r w:rsidRPr="00F64E97">
        <w:t xml:space="preserve"> and </w:t>
      </w:r>
      <w:r>
        <w:t>cl</w:t>
      </w:r>
      <w:r w:rsidRPr="00F64E97">
        <w:t>.</w:t>
      </w:r>
      <w:r>
        <w:t xml:space="preserve"> </w:t>
      </w:r>
      <w:r w:rsidRPr="00F64E97">
        <w:t>6A.6.2(k)</w:t>
      </w:r>
      <w:r>
        <w:t>(1); NGR, r. 87(11)(a).</w:t>
      </w:r>
    </w:p>
  </w:footnote>
  <w:footnote w:id="94">
    <w:p w:rsidR="002D334E" w:rsidRDefault="002D334E"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(2)</w:t>
      </w:r>
      <w:r w:rsidRPr="00F64E97">
        <w:t xml:space="preserve"> and </w:t>
      </w:r>
      <w:r>
        <w:t>cl</w:t>
      </w:r>
      <w:r w:rsidRPr="00F64E97">
        <w:t>.</w:t>
      </w:r>
      <w:r>
        <w:t xml:space="preserve"> </w:t>
      </w:r>
      <w:r w:rsidRPr="00F64E97">
        <w:t>6A.6.2(k)</w:t>
      </w:r>
      <w:r>
        <w:t>(2); NGR, r. 87(11)(b).</w:t>
      </w:r>
    </w:p>
  </w:footnote>
  <w:footnote w:id="95">
    <w:p w:rsidR="002D334E" w:rsidRDefault="002D334E"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(3)</w:t>
      </w:r>
      <w:r w:rsidRPr="00F64E97">
        <w:t xml:space="preserve"> and </w:t>
      </w:r>
      <w:r>
        <w:t>cl</w:t>
      </w:r>
      <w:r w:rsidRPr="00F64E97">
        <w:t>.</w:t>
      </w:r>
      <w:r>
        <w:t xml:space="preserve"> </w:t>
      </w:r>
      <w:r w:rsidRPr="00F64E97">
        <w:t>6A.6.2(k)</w:t>
      </w:r>
      <w:r>
        <w:t>(3); NGR, r. 87(11)(c).</w:t>
      </w:r>
    </w:p>
  </w:footnote>
  <w:footnote w:id="96">
    <w:p w:rsidR="002D334E" w:rsidRDefault="002D334E"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(4)</w:t>
      </w:r>
      <w:r w:rsidRPr="00F64E97">
        <w:t xml:space="preserve"> and </w:t>
      </w:r>
      <w:r>
        <w:t>cl</w:t>
      </w:r>
      <w:r w:rsidRPr="00F64E97">
        <w:t>.</w:t>
      </w:r>
      <w:r>
        <w:t xml:space="preserve"> </w:t>
      </w:r>
      <w:r w:rsidRPr="00F64E97">
        <w:t>6A.6.2(k)</w:t>
      </w:r>
      <w:r>
        <w:t>(4); NGR, r. 87(11)(d).</w:t>
      </w:r>
    </w:p>
  </w:footnote>
  <w:footnote w:id="97">
    <w:p w:rsidR="002D334E" w:rsidRDefault="002D334E" w:rsidP="00E20018">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xml:space="preserve">, May 2010, pp. 252–253;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151C8A">
        <w:rPr>
          <w:rStyle w:val="AERtextitalic"/>
        </w:rPr>
        <w:t>Final decision—NT Gas: Access arrangement proposal for the Amadeus Gas Pipeline August 2011 to June 2016</w:t>
      </w:r>
      <w:r>
        <w:t>, July 2011, p. 78.</w:t>
      </w:r>
    </w:p>
  </w:footnote>
  <w:footnote w:id="98">
    <w:p w:rsidR="002D334E" w:rsidRDefault="002D334E" w:rsidP="00E20018">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9">
    <w:p w:rsidR="002D334E" w:rsidRDefault="002D334E" w:rsidP="00E20018">
      <w:pPr>
        <w:pStyle w:val="FootnoteText"/>
      </w:pPr>
      <w:r>
        <w:rPr>
          <w:rStyle w:val="FootnoteReference"/>
        </w:rPr>
        <w:footnoteRef/>
      </w:r>
      <w:r>
        <w:t xml:space="preserve"> </w:t>
      </w:r>
      <w:r>
        <w:tab/>
        <w:t>NER cl. 6.5.2(l) and cl. 6A.6.2(l), NGR, r. 87(12).</w:t>
      </w:r>
    </w:p>
  </w:footnote>
  <w:footnote w:id="100">
    <w:p w:rsidR="002D334E" w:rsidRDefault="002D334E" w:rsidP="008520A5">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9E0A46">
          <w:rPr>
            <w:rStyle w:val="Hyperlink"/>
            <w:color w:val="auto"/>
            <w:sz w:val="16"/>
            <w:u w:val="none"/>
          </w:rPr>
          <w:t>http://www.aer.gov.au/node/18859</w:t>
        </w:r>
      </w:hyperlink>
      <w:r>
        <w:t>.</w:t>
      </w:r>
    </w:p>
  </w:footnote>
  <w:footnote w:id="101">
    <w:p w:rsidR="002D334E" w:rsidRDefault="002D334E" w:rsidP="00E20018">
      <w:pPr>
        <w:pStyle w:val="FootnoteText"/>
      </w:pPr>
      <w:r>
        <w:rPr>
          <w:rStyle w:val="FootnoteReference"/>
        </w:rPr>
        <w:footnoteRef/>
      </w:r>
      <w:r>
        <w:t xml:space="preserve"> </w:t>
      </w:r>
      <w:r>
        <w:tab/>
        <w:t>NGR, cl. 87(18); NER, cl. 6.2.8(c); NER, cl. 6A.2.3(c).</w:t>
      </w:r>
    </w:p>
  </w:footnote>
  <w:footnote w:id="102">
    <w:p w:rsidR="002D334E" w:rsidRDefault="002D334E" w:rsidP="00E20018">
      <w:pPr>
        <w:pStyle w:val="FootnoteText"/>
      </w:pPr>
      <w:r>
        <w:rPr>
          <w:rStyle w:val="FootnoteReference"/>
        </w:rPr>
        <w:footnoteRef/>
      </w:r>
      <w:r>
        <w:t xml:space="preserve"> </w:t>
      </w:r>
      <w:r>
        <w:tab/>
        <w:t>NER, cll. S6.1.3(9),(9A),(9B); NER, cll.S6A.1.3.(4A), (4b), (4c); NGR, r. 72(1)(g).</w:t>
      </w:r>
    </w:p>
  </w:footnote>
  <w:footnote w:id="103">
    <w:p w:rsidR="002D334E" w:rsidRDefault="002D334E" w:rsidP="00E20018">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104">
    <w:p w:rsidR="002D334E" w:rsidRDefault="002D334E" w:rsidP="00E20018">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105">
    <w:p w:rsidR="002D334E" w:rsidRDefault="002D334E" w:rsidP="00E20018">
      <w:pPr>
        <w:pStyle w:val="FootnoteText"/>
      </w:pPr>
      <w:r>
        <w:rPr>
          <w:rStyle w:val="FootnoteReference"/>
        </w:rPr>
        <w:footnoteRef/>
      </w:r>
      <w:r>
        <w:t xml:space="preserve"> </w:t>
      </w:r>
      <w:r>
        <w:tab/>
        <w:t>NER, cl. 6..5.2 (n)(2); NER, cl. 6A.6.2(n)(2); NGR, r. 87(14)(b).</w:t>
      </w:r>
      <w:r w:rsidRPr="00C368FC">
        <w:t xml:space="preserve"> </w:t>
      </w:r>
      <w:r>
        <w:t xml:space="preserve">See </w:t>
      </w:r>
      <w:hyperlink r:id="rId4" w:history="1">
        <w:r w:rsidRPr="00C368FC">
          <w:rPr>
            <w:rStyle w:val="Hyperlink"/>
            <w:color w:val="auto"/>
            <w:sz w:val="16"/>
            <w:u w:val="none"/>
          </w:rPr>
          <w:t>http://www.aer.gov.au/node/18859</w:t>
        </w:r>
      </w:hyperlink>
      <w:r>
        <w:t>.</w:t>
      </w:r>
    </w:p>
  </w:footnote>
  <w:footnote w:id="106">
    <w:p w:rsidR="002D334E" w:rsidRDefault="002D334E" w:rsidP="00E20018">
      <w:pPr>
        <w:pStyle w:val="FootnoteText"/>
      </w:pPr>
      <w:r>
        <w:rPr>
          <w:rStyle w:val="FootnoteReference"/>
        </w:rPr>
        <w:footnoteRef/>
      </w:r>
      <w:r>
        <w:t xml:space="preserve"> </w:t>
      </w:r>
      <w:r>
        <w:tab/>
        <w:t>NER, cl. 6.5.2 (n), NER, cl. 6A.6.2(n);</w:t>
      </w:r>
      <w:r w:rsidRPr="009416A4">
        <w:t xml:space="preserve"> </w:t>
      </w:r>
      <w:r>
        <w:t>NGR, r. 87(14).</w:t>
      </w:r>
    </w:p>
  </w:footnote>
  <w:footnote w:id="107">
    <w:p w:rsidR="002D334E" w:rsidRDefault="002D334E" w:rsidP="00E20018">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8">
    <w:p w:rsidR="002D334E" w:rsidRDefault="002D334E"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5" w:history="1">
        <w:r w:rsidRPr="00C368FC">
          <w:rPr>
            <w:rStyle w:val="Hyperlink"/>
            <w:color w:val="auto"/>
            <w:sz w:val="16"/>
            <w:u w:val="none"/>
          </w:rPr>
          <w:t>http://www.aer.gov.au/node/18859</w:t>
        </w:r>
      </w:hyperlink>
      <w:r w:rsidRPr="00C368FC">
        <w:t>.</w:t>
      </w:r>
    </w:p>
  </w:footnote>
  <w:footnote w:id="109">
    <w:p w:rsidR="002D334E" w:rsidRDefault="002D334E"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10">
    <w:p w:rsidR="002D334E" w:rsidRDefault="002D334E" w:rsidP="00DF65C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111">
    <w:p w:rsidR="002D334E" w:rsidRDefault="002D334E"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12">
    <w:p w:rsidR="002D334E" w:rsidRDefault="002D334E" w:rsidP="00E20018">
      <w:pPr>
        <w:pStyle w:val="FootnoteText"/>
      </w:pPr>
      <w:r>
        <w:rPr>
          <w:rStyle w:val="FootnoteReference"/>
        </w:rPr>
        <w:footnoteRef/>
      </w:r>
      <w:r>
        <w:t xml:space="preserve"> </w:t>
      </w:r>
      <w:r>
        <w:tab/>
        <w:t xml:space="preserve">Available at, </w:t>
      </w:r>
      <w:hyperlink r:id="rId6" w:history="1">
        <w:r w:rsidRPr="009E0A46">
          <w:rPr>
            <w:rStyle w:val="Hyperlink"/>
            <w:color w:val="auto"/>
            <w:sz w:val="16"/>
            <w:u w:val="none"/>
          </w:rPr>
          <w:t>http://www.aer.gov.au/node/18859</w:t>
        </w:r>
      </w:hyperlink>
      <w:r>
        <w:t>.</w:t>
      </w:r>
    </w:p>
    <w:p w:rsidR="002D334E" w:rsidRDefault="002D334E" w:rsidP="00E20018">
      <w:pPr>
        <w:pStyle w:val="FootnoteText"/>
      </w:pPr>
    </w:p>
  </w:footnote>
  <w:footnote w:id="113">
    <w:p w:rsidR="002D334E" w:rsidRDefault="002D334E" w:rsidP="00E20018">
      <w:pPr>
        <w:pStyle w:val="FootnoteText"/>
      </w:pPr>
      <w:r>
        <w:rPr>
          <w:rStyle w:val="FootnoteReference"/>
        </w:rPr>
        <w:footnoteRef/>
      </w:r>
      <w:r>
        <w:t xml:space="preserve"> </w:t>
      </w:r>
      <w:r>
        <w:tab/>
        <w:t>This final decision determines the return on debt methodology for the 2017–22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14">
    <w:p w:rsidR="002D334E" w:rsidRDefault="002D334E" w:rsidP="00E20018">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15">
    <w:p w:rsidR="002D334E" w:rsidRDefault="002D334E" w:rsidP="00E20018">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16">
    <w:p w:rsidR="002D334E" w:rsidRDefault="002D334E" w:rsidP="00E20018">
      <w:pPr>
        <w:pStyle w:val="FootnoteText"/>
      </w:pPr>
      <w:r>
        <w:rPr>
          <w:rStyle w:val="FootnoteReference"/>
        </w:rPr>
        <w:footnoteRef/>
      </w:r>
      <w:r>
        <w:t xml:space="preserve"> </w:t>
      </w:r>
      <w:r>
        <w:tab/>
        <w:t>NER, cl. 6.5.2(i); NER, cl. 6A.6.2(i); NGR, r. 87(9).</w:t>
      </w:r>
    </w:p>
  </w:footnote>
  <w:footnote w:id="117">
    <w:p w:rsidR="002D334E" w:rsidRDefault="002D334E" w:rsidP="00E20018">
      <w:pPr>
        <w:pStyle w:val="FootnoteText"/>
      </w:pPr>
      <w:r>
        <w:rPr>
          <w:rStyle w:val="FootnoteReference"/>
        </w:rPr>
        <w:footnoteRef/>
      </w:r>
      <w:r>
        <w:t xml:space="preserve"> </w:t>
      </w:r>
      <w:r>
        <w:tab/>
        <w:t xml:space="preserve">Available at </w:t>
      </w:r>
      <w:hyperlink r:id="rId7" w:history="1">
        <w:r w:rsidRPr="009E0A46">
          <w:rPr>
            <w:rStyle w:val="Hyperlink"/>
            <w:color w:val="auto"/>
            <w:sz w:val="16"/>
            <w:u w:val="none"/>
          </w:rPr>
          <w:t>http://www.aer.gov.au/node/27616</w:t>
        </w:r>
      </w:hyperlink>
      <w:r>
        <w:t>.</w:t>
      </w:r>
    </w:p>
  </w:footnote>
  <w:footnote w:id="118">
    <w:p w:rsidR="002D334E" w:rsidRDefault="002D334E" w:rsidP="00E20018">
      <w:pPr>
        <w:pStyle w:val="FootnoteText"/>
      </w:pPr>
      <w:r>
        <w:rPr>
          <w:rStyle w:val="FootnoteReference"/>
        </w:rPr>
        <w:footnoteRef/>
      </w:r>
      <w:r>
        <w:t xml:space="preserve"> </w:t>
      </w:r>
      <w:r>
        <w:tab/>
        <w:t>NER, cl. 6.5.2(e); NER, cl. 6A.6.2(e); NGR, r. 87(9).</w:t>
      </w:r>
    </w:p>
  </w:footnote>
  <w:footnote w:id="119">
    <w:p w:rsidR="002D334E" w:rsidRDefault="002D334E"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20">
    <w:p w:rsidR="002D334E" w:rsidRDefault="002D334E" w:rsidP="00E20018">
      <w:pPr>
        <w:pStyle w:val="FootnoteText"/>
      </w:pPr>
      <w:r>
        <w:rPr>
          <w:rStyle w:val="FootnoteReference"/>
        </w:rPr>
        <w:footnoteRef/>
      </w:r>
      <w:r>
        <w:t xml:space="preserve"> </w:t>
      </w:r>
      <w:r>
        <w:tab/>
        <w:t>NEL, s. 7A(2); NGL s. 24(2)(a).</w:t>
      </w:r>
    </w:p>
  </w:footnote>
  <w:footnote w:id="121">
    <w:p w:rsidR="002D334E" w:rsidRDefault="002D334E" w:rsidP="00E20018">
      <w:pPr>
        <w:pStyle w:val="FootnoteText"/>
      </w:pPr>
      <w:r>
        <w:rPr>
          <w:rStyle w:val="FootnoteReference"/>
        </w:rPr>
        <w:footnoteRef/>
      </w:r>
      <w:r>
        <w:t xml:space="preserve"> </w:t>
      </w:r>
      <w:r>
        <w:tab/>
        <w:t>NEL, s. 7A(3);</w:t>
      </w:r>
      <w:r w:rsidRPr="00002EB2">
        <w:t xml:space="preserve"> </w:t>
      </w:r>
      <w:r>
        <w:t>NGL s. 24(2)(b).</w:t>
      </w:r>
    </w:p>
  </w:footnote>
  <w:footnote w:id="122">
    <w:p w:rsidR="002D334E" w:rsidRDefault="002D334E"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23">
    <w:p w:rsidR="002D334E" w:rsidRDefault="002D334E" w:rsidP="00E20018">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24">
    <w:p w:rsidR="002D334E" w:rsidRDefault="002D334E" w:rsidP="00E20018">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25">
    <w:p w:rsidR="002D334E" w:rsidRDefault="002D334E"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26">
    <w:p w:rsidR="002D334E" w:rsidRDefault="002D334E" w:rsidP="00E20018">
      <w:pPr>
        <w:pStyle w:val="FootnoteText"/>
      </w:pPr>
      <w:r>
        <w:rPr>
          <w:rStyle w:val="FootnoteReference"/>
        </w:rPr>
        <w:footnoteRef/>
      </w:r>
      <w:r>
        <w:t xml:space="preserve"> </w:t>
      </w:r>
      <w:r>
        <w:tab/>
        <w:t xml:space="preserve">NER, cl. 6.11.1(b); NER, cl. 6A.13.1(a1). NGR, r. 59(1), 62(1) states we are to consider submissions before making our regulatory decisions. NGR, cl, 64(2) states that our proposal for an access arrangement or revisions is to be formulated with regard to the service providers proposal (among other things). </w:t>
      </w:r>
    </w:p>
  </w:footnote>
  <w:footnote w:id="127">
    <w:p w:rsidR="002D334E" w:rsidRDefault="002D334E" w:rsidP="00E20018">
      <w:pPr>
        <w:pStyle w:val="FootnoteText"/>
      </w:pPr>
      <w:r>
        <w:rPr>
          <w:rStyle w:val="FootnoteReference"/>
        </w:rPr>
        <w:footnoteRef/>
      </w:r>
      <w:r>
        <w:t xml:space="preserve"> </w:t>
      </w:r>
      <w:r>
        <w:tab/>
        <w:t xml:space="preserve">NGR, r. 87(5)(a) and NER, cl. 6.5.2(e).  </w:t>
      </w:r>
    </w:p>
  </w:footnote>
  <w:footnote w:id="128">
    <w:p w:rsidR="002D334E" w:rsidRDefault="002D334E" w:rsidP="00E20018">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9">
    <w:p w:rsidR="002D334E" w:rsidRDefault="002D334E">
      <w:pPr>
        <w:pStyle w:val="FootnoteText"/>
      </w:pPr>
      <w:r>
        <w:rPr>
          <w:rStyle w:val="FootnoteReference"/>
        </w:rPr>
        <w:footnoteRef/>
      </w:r>
      <w:r>
        <w:t xml:space="preserve"> </w:t>
      </w:r>
      <w:r>
        <w:tab/>
        <w:t xml:space="preserve">TasNetworks, </w:t>
      </w:r>
      <w:r w:rsidRPr="00A164C0">
        <w:rPr>
          <w:rStyle w:val="Emphasis"/>
        </w:rPr>
        <w:t>Revised Regulatory Proposal 2017-2019</w:t>
      </w:r>
      <w:r>
        <w:t xml:space="preserve">, December 2016; Powerlink, </w:t>
      </w:r>
      <w:r w:rsidRPr="00A164C0">
        <w:rPr>
          <w:rStyle w:val="Emphasis"/>
        </w:rPr>
        <w:t>Revised Revenue Proposal 2018-22</w:t>
      </w:r>
      <w:r>
        <w:t xml:space="preserve">, December 2016.  </w:t>
      </w:r>
    </w:p>
  </w:footnote>
  <w:footnote w:id="130">
    <w:p w:rsidR="002D334E" w:rsidRDefault="002D334E" w:rsidP="0031162C">
      <w:pPr>
        <w:pStyle w:val="FootnoteText"/>
      </w:pPr>
      <w:r>
        <w:rPr>
          <w:rStyle w:val="FootnoteReference"/>
        </w:rPr>
        <w:footnoteRef/>
      </w:r>
      <w:r>
        <w:t xml:space="preserve"> </w:t>
      </w:r>
      <w:r>
        <w:tab/>
        <w:t>AusNet Services</w:t>
      </w:r>
      <w:r w:rsidRPr="005C6992">
        <w:rPr>
          <w:rStyle w:val="AERtextitalic"/>
        </w:rPr>
        <w:t>, AusNet Transmission Group Pty Ltd transmission revenue review 2017–2022</w:t>
      </w:r>
      <w:r>
        <w:rPr>
          <w:rStyle w:val="AERtextitalic"/>
        </w:rPr>
        <w:t>–revised revenue proposal</w:t>
      </w:r>
      <w:r>
        <w:t>, 21 September 2016.</w:t>
      </w:r>
    </w:p>
  </w:footnote>
  <w:footnote w:id="131">
    <w:p w:rsidR="002D334E" w:rsidRDefault="002D334E" w:rsidP="00E20018">
      <w:pPr>
        <w:pStyle w:val="FootnoteText"/>
      </w:pPr>
      <w:r>
        <w:rPr>
          <w:rStyle w:val="FootnoteReference"/>
        </w:rPr>
        <w:footnoteRef/>
      </w:r>
      <w:r>
        <w:t xml:space="preserve"> </w:t>
      </w:r>
      <w:r>
        <w:tab/>
      </w:r>
      <w:r w:rsidRPr="00D40AFA">
        <w:t>AusNet Services</w:t>
      </w:r>
      <w:r w:rsidRPr="00D40AFA">
        <w:rPr>
          <w:rStyle w:val="AERtextitalic"/>
        </w:rPr>
        <w:t>, AusNet Transmission Group Pty Ltd transmission revenue review 2017–2022–revised revenue proposal</w:t>
      </w:r>
      <w:r w:rsidRPr="00D40AFA">
        <w:t>, 21 September 2016</w:t>
      </w:r>
      <w:r>
        <w:t>, pp. 146–154.</w:t>
      </w:r>
    </w:p>
  </w:footnote>
  <w:footnote w:id="132">
    <w:p w:rsidR="002D334E" w:rsidRDefault="002D334E" w:rsidP="00E20018">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xml:space="preserve">. For similar material, see our decisions in 2015 on ActewAGL distribution, Ausgrid, Directlink, Endeavour Energy, Ergon Energy, Essential Energy, JGN, SAPN and TasNetworks. For 2016, see our decisions on AusNet Services (SP AusNet) distribution, Powercor, Jemena, CitiPower, and United Energy. </w:t>
      </w:r>
    </w:p>
  </w:footnote>
  <w:footnote w:id="133">
    <w:p w:rsidR="002D334E" w:rsidRDefault="002D334E" w:rsidP="002A118C">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 Also see our most recent decisions on SA Power Networks, Ergon Energy and Energex.</w:t>
      </w:r>
    </w:p>
  </w:footnote>
  <w:footnote w:id="134">
    <w:p w:rsidR="002D334E" w:rsidRDefault="002D334E" w:rsidP="00E20018">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5">
    <w:p w:rsidR="002D334E" w:rsidRDefault="002D334E" w:rsidP="00E20018">
      <w:pPr>
        <w:pStyle w:val="FootnoteText"/>
      </w:pPr>
      <w:r>
        <w:rPr>
          <w:rStyle w:val="FootnoteReference"/>
        </w:rPr>
        <w:footnoteRef/>
      </w:r>
      <w:r>
        <w:t xml:space="preserve"> </w:t>
      </w:r>
      <w:r>
        <w:tab/>
      </w:r>
      <w:r w:rsidRPr="00735D0E">
        <w:t xml:space="preserve">Partington, G., Satchell, S., </w:t>
      </w:r>
      <w:r w:rsidRPr="00D24089">
        <w:rPr>
          <w:rStyle w:val="AERtextitalic"/>
        </w:rPr>
        <w:t>Report to the AER: Issues in relation to the cost of debt</w:t>
      </w:r>
      <w:r>
        <w:t xml:space="preserve">, 9 April 2017 2017; Partington, G., Satchell, S., </w:t>
      </w:r>
      <w:r w:rsidRPr="00D24089">
        <w:rPr>
          <w:rStyle w:val="AERtextitalic"/>
        </w:rPr>
        <w:t>Report to the AER: Discussion of estimates of the return on equity</w:t>
      </w:r>
      <w:r>
        <w:t xml:space="preserve">, 12 April 2017 2017; 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6">
    <w:p w:rsidR="002D334E" w:rsidRDefault="002D334E" w:rsidP="00E20018">
      <w:pPr>
        <w:pStyle w:val="FootnoteText"/>
      </w:pPr>
      <w:r>
        <w:rPr>
          <w:rStyle w:val="FootnoteReference"/>
        </w:rPr>
        <w:footnoteRef/>
      </w:r>
      <w:r>
        <w:t xml:space="preserve"> </w:t>
      </w:r>
      <w:r>
        <w:tab/>
      </w:r>
      <w:r w:rsidRPr="00735D0E">
        <w:t xml:space="preserve">Partington, G., Satchell, S., </w:t>
      </w:r>
      <w:r w:rsidRPr="00D24089">
        <w:rPr>
          <w:rStyle w:val="AERtextitalic"/>
        </w:rPr>
        <w:t>Report to the AER: Issues in relation to the cost of debt</w:t>
      </w:r>
      <w:r w:rsidRPr="00735D0E">
        <w:t xml:space="preserve">, </w:t>
      </w:r>
      <w:r>
        <w:t>9 April</w:t>
      </w:r>
      <w:r w:rsidRPr="00735D0E">
        <w:t xml:space="preserve"> 2017</w:t>
      </w:r>
      <w:r>
        <w:t xml:space="preserve">; Partington, G., Satchell, S., </w:t>
      </w:r>
      <w:r w:rsidRPr="00D24089">
        <w:rPr>
          <w:rStyle w:val="AERtextitalic"/>
        </w:rPr>
        <w:t>Report to the AER: Discussion of estimates of the return on equity</w:t>
      </w:r>
      <w:r>
        <w:t xml:space="preserve">, 12 April 2017;Partington,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7">
    <w:p w:rsidR="002D334E" w:rsidRDefault="002D334E" w:rsidP="00E20018">
      <w:pPr>
        <w:pStyle w:val="FootnoteText"/>
      </w:pPr>
      <w:r>
        <w:rPr>
          <w:rStyle w:val="FootnoteReference"/>
        </w:rPr>
        <w:footnoteRef/>
      </w:r>
      <w:r>
        <w:t xml:space="preserve"> </w:t>
      </w:r>
      <w:r>
        <w:tab/>
        <w:t>Handley, J.</w:t>
      </w:r>
      <w:r w:rsidRPr="002F6091">
        <w:t xml:space="preserve">, </w:t>
      </w:r>
      <w:r w:rsidRPr="00D24089">
        <w:rPr>
          <w:rStyle w:val="AERtextitalic"/>
        </w:rPr>
        <w:t>Furthe</w:t>
      </w:r>
      <w:r>
        <w:t>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8">
    <w:p w:rsidR="002D334E" w:rsidRDefault="002D334E" w:rsidP="00E20018">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9">
    <w:p w:rsidR="002D334E" w:rsidRDefault="002D334E" w:rsidP="00E20018">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40">
    <w:p w:rsidR="002D334E" w:rsidRDefault="002D334E" w:rsidP="00E20018">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41">
    <w:p w:rsidR="002D334E" w:rsidRDefault="002D334E" w:rsidP="00E20018">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42">
    <w:p w:rsidR="002D334E" w:rsidRDefault="002D334E" w:rsidP="00E2001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TransGrid, CitiPower, Powercor, United Energy, AusNet Services (distribution), ActewAGL, AGN &amp; APTNT.</w:t>
      </w:r>
    </w:p>
    <w:p w:rsidR="002D334E" w:rsidRDefault="002D334E" w:rsidP="00E20018">
      <w:pPr>
        <w:pStyle w:val="FootnoteText"/>
      </w:pPr>
      <w:r>
        <w:tab/>
      </w:r>
      <w:r w:rsidRPr="00E06308">
        <w:t xml:space="preserve">Appendix F of our October and November 2015 decisions list submissions relating to AusNet Services' regulatory proposal and our recent decisions. We have also received and considered a number of new submissions since the October and November 2015 decisions. For example, CCP ( panel 8), </w:t>
      </w:r>
      <w:r w:rsidRPr="00E06308">
        <w:rPr>
          <w:rStyle w:val="AERtextitalic"/>
        </w:rPr>
        <w:t>Advice to AER from Consumer Challenge Panel sub-panel 8 regarding the AER Daft Decision and Australian Gas Networks' (SA) revised access arrangement 2016–2021 proposal</w:t>
      </w:r>
      <w:r w:rsidRPr="00E06308">
        <w:t>, 32 March 2016, p. 2.</w:t>
      </w:r>
    </w:p>
  </w:footnote>
  <w:footnote w:id="143">
    <w:p w:rsidR="002D334E" w:rsidRDefault="002D334E" w:rsidP="00E20018">
      <w:pPr>
        <w:pStyle w:val="FootnoteText"/>
      </w:pPr>
      <w:r>
        <w:rPr>
          <w:rStyle w:val="FootnoteReference"/>
        </w:rPr>
        <w:footnoteRef/>
      </w:r>
      <w:r>
        <w:t xml:space="preserve"> </w:t>
      </w:r>
      <w:r>
        <w:tab/>
        <w:t xml:space="preserve">For example, </w:t>
      </w:r>
      <w:r w:rsidRPr="0083726D">
        <w:t xml:space="preserve">CCP (panel 5), </w:t>
      </w:r>
      <w:r w:rsidRPr="0083726D">
        <w:rPr>
          <w:rStyle w:val="AERtextitalic"/>
        </w:rPr>
        <w:t>Transmission for the generations: Response to proposal by AusNet S</w:t>
      </w:r>
      <w:r>
        <w:rPr>
          <w:rStyle w:val="AERtextitalic"/>
        </w:rPr>
        <w:t>ervices transmission group Pty L</w:t>
      </w:r>
      <w:r w:rsidRPr="0083726D">
        <w:rPr>
          <w:rStyle w:val="AERtextitalic"/>
        </w:rPr>
        <w:t>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144">
    <w:p w:rsidR="002D334E" w:rsidRDefault="002D334E" w:rsidP="00E20018">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5">
    <w:p w:rsidR="002D334E" w:rsidRDefault="002D334E">
      <w:pPr>
        <w:pStyle w:val="FootnoteText"/>
      </w:pPr>
      <w:r>
        <w:rPr>
          <w:rStyle w:val="FootnoteReference"/>
        </w:rPr>
        <w:footnoteRef/>
      </w:r>
      <w:r>
        <w:t xml:space="preserve"> </w:t>
      </w:r>
      <w:r>
        <w:tab/>
        <w:t xml:space="preserve">See </w:t>
      </w:r>
      <w:r w:rsidRPr="00901E2A">
        <w:t>Australian Competition Tribunal,</w:t>
      </w:r>
      <w:r>
        <w:t xml:space="preserve"> Notice to extend time for ACT 7 of 2016 - Jemena Electricity Networks (Vic) Ltd, 24 February 2017. Available at: </w:t>
      </w:r>
      <w:hyperlink r:id="rId10" w:history="1">
        <w:r w:rsidRPr="00841DC7">
          <w:rPr>
            <w:rStyle w:val="Hyperlink"/>
            <w:sz w:val="16"/>
          </w:rPr>
          <w:t>http://www.competitiontribunal.gov.au/current-matters/tribunal-documents/act-7-2016</w:t>
        </w:r>
      </w:hyperlink>
      <w:r>
        <w:t xml:space="preserve"> </w:t>
      </w:r>
    </w:p>
  </w:footnote>
  <w:footnote w:id="146">
    <w:p w:rsidR="002D334E" w:rsidRDefault="002D334E" w:rsidP="00E20018">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7">
    <w:p w:rsidR="002D334E" w:rsidRDefault="002D334E" w:rsidP="00E20018">
      <w:pPr>
        <w:pStyle w:val="FootnoteText"/>
      </w:pPr>
      <w:r>
        <w:rPr>
          <w:rStyle w:val="FootnoteReference"/>
        </w:rPr>
        <w:footnoteRef/>
      </w:r>
      <w:r>
        <w:t xml:space="preserve"> </w:t>
      </w:r>
      <w:r>
        <w:tab/>
        <w:t>NGR, r. 87(3); NER, cl. 6A.6.2(c) include similar provisions.</w:t>
      </w:r>
    </w:p>
  </w:footnote>
  <w:footnote w:id="148">
    <w:p w:rsidR="002D334E" w:rsidRDefault="002D334E" w:rsidP="00867D79">
      <w:pPr>
        <w:pStyle w:val="FootnoteText"/>
      </w:pPr>
      <w:r>
        <w:rPr>
          <w:rStyle w:val="FootnoteReference"/>
        </w:rPr>
        <w:footnoteRef/>
      </w:r>
      <w:r>
        <w:t xml:space="preserve"> </w:t>
      </w:r>
      <w:r>
        <w:tab/>
        <w:t>The transmission and gas rules mirror this provision in NER, cl. 6A.6.2(k)(4); NGR, r. 87(11)(d).</w:t>
      </w:r>
    </w:p>
  </w:footnote>
  <w:footnote w:id="149">
    <w:p w:rsidR="002D334E" w:rsidRPr="00D5405B" w:rsidRDefault="002D334E" w:rsidP="00345EDF">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50">
    <w:p w:rsidR="002D334E" w:rsidRDefault="002D334E" w:rsidP="00345EDF">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51">
    <w:p w:rsidR="002D334E" w:rsidRDefault="002D334E" w:rsidP="00E31239">
      <w:pPr>
        <w:pStyle w:val="FootnoteText"/>
      </w:pPr>
      <w:r>
        <w:rPr>
          <w:rStyle w:val="FootnoteReference"/>
        </w:rPr>
        <w:footnoteRef/>
      </w:r>
      <w:r>
        <w:t xml:space="preserve"> </w:t>
      </w:r>
      <w:r>
        <w:tab/>
        <w:t xml:space="preserve">In this decision, we have not considered issues and submissions in relation to APTPPL's proposal for the Roma to Brisbane Pipeline. This is because we have deferred the APTPPL draft decision to further consider its tariff structure and other issues.  </w:t>
      </w:r>
    </w:p>
  </w:footnote>
  <w:footnote w:id="152">
    <w:p w:rsidR="002D334E" w:rsidRDefault="002D334E" w:rsidP="00345EDF">
      <w:pPr>
        <w:pStyle w:val="FootnoteText"/>
      </w:pPr>
      <w:r>
        <w:rPr>
          <w:rStyle w:val="FootnoteReference"/>
        </w:rPr>
        <w:footnoteRef/>
      </w:r>
      <w:r>
        <w:t xml:space="preserve"> </w:t>
      </w:r>
      <w:r>
        <w:tab/>
        <w:t>NER, cl. 6.5.2(c); NER, cl. 6A.6.2(c); NGR, r. 87(3).</w:t>
      </w:r>
    </w:p>
  </w:footnote>
  <w:footnote w:id="153">
    <w:p w:rsidR="002D334E" w:rsidRDefault="002D334E" w:rsidP="00345EDF">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4">
    <w:p w:rsidR="002D334E" w:rsidRDefault="002D334E" w:rsidP="00345EDF">
      <w:pPr>
        <w:pStyle w:val="FootnoteText"/>
      </w:pPr>
      <w:r>
        <w:rPr>
          <w:rStyle w:val="FootnoteReference"/>
        </w:rPr>
        <w:footnoteRef/>
      </w:r>
      <w:r>
        <w:t xml:space="preserve"> </w:t>
      </w:r>
      <w:r>
        <w:tab/>
        <w:t>As set out in NER, cl. 6; NER, cl. 6A; NGR.</w:t>
      </w:r>
    </w:p>
  </w:footnote>
  <w:footnote w:id="155">
    <w:p w:rsidR="002D334E" w:rsidRDefault="002D334E" w:rsidP="00345EDF">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6">
    <w:p w:rsidR="002D334E" w:rsidRDefault="002D334E" w:rsidP="00345EDF">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7">
    <w:p w:rsidR="002D334E" w:rsidRDefault="002D334E" w:rsidP="00345EDF">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8">
    <w:p w:rsidR="002D334E" w:rsidRDefault="002D334E" w:rsidP="00345EDF">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59">
    <w:p w:rsidR="002D334E" w:rsidRDefault="002D334E" w:rsidP="00D94CDE">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60">
    <w:p w:rsidR="002D334E" w:rsidRDefault="002D334E" w:rsidP="00345EDF">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61">
    <w:p w:rsidR="002D334E" w:rsidRDefault="002D334E" w:rsidP="00CC7A1C">
      <w:pPr>
        <w:pStyle w:val="FootnoteText"/>
        <w:numPr>
          <w:ilvl w:val="0"/>
          <w:numId w:val="24"/>
        </w:numPr>
      </w:pPr>
      <w:r>
        <w:rPr>
          <w:rStyle w:val="FootnoteReference"/>
        </w:rPr>
        <w:footnoteRef/>
      </w:r>
      <w:r>
        <w:t xml:space="preserve"> </w:t>
      </w:r>
      <w:r>
        <w:tab/>
        <w:t>Calculated as: 7.1% = 2.52% + 0.7 * 6.</w:t>
      </w:r>
      <w:r w:rsidRPr="000A1A8C">
        <w:t>5%</w:t>
      </w:r>
      <w:r>
        <w:t xml:space="preserve">. 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62">
    <w:p w:rsidR="002D334E" w:rsidRDefault="002D334E">
      <w:pPr>
        <w:pStyle w:val="FootnoteText"/>
      </w:pPr>
      <w:r>
        <w:rPr>
          <w:rStyle w:val="FootnoteReference"/>
        </w:rPr>
        <w:footnoteRef/>
      </w:r>
      <w:r>
        <w:t xml:space="preserve"> </w:t>
      </w:r>
      <w:r>
        <w:tab/>
        <w:t xml:space="preserve">Service providers have consistently proposed the use of the Sharpe-Linter CAPM (either by itself or in combination with other equity models) for estimate the return on equity. For example, see </w:t>
      </w:r>
      <w:r w:rsidRPr="00D5642A">
        <w:t xml:space="preserve">CitiPower, </w:t>
      </w:r>
      <w:r w:rsidRPr="00D5642A">
        <w:rPr>
          <w:rStyle w:val="AERtextitalic"/>
        </w:rPr>
        <w:t>Revised Regulatory Proposal 2016</w:t>
      </w:r>
      <w:r w:rsidRPr="00D5642A">
        <w:rPr>
          <w:rStyle w:val="AERtextitalic"/>
        </w:rPr>
        <w:softHyphen/>
        <w:t>–2020</w:t>
      </w:r>
      <w:r w:rsidRPr="00D5642A">
        <w:t>, January 2016, p. 284</w:t>
      </w:r>
      <w:r>
        <w:t xml:space="preserve">; </w:t>
      </w:r>
      <w:r w:rsidRPr="00D5642A">
        <w:t xml:space="preserve">AusNet Services, </w:t>
      </w:r>
      <w:r w:rsidRPr="00D5642A">
        <w:rPr>
          <w:rStyle w:val="Emphasis"/>
        </w:rPr>
        <w:t>AusNet Transmission Group Pty Ltd Transmission revised revenue review 2017–22</w:t>
      </w:r>
      <w:r>
        <w:t>, 21 September 2016</w:t>
      </w:r>
      <w:r w:rsidRPr="00D5642A">
        <w:t>.</w:t>
      </w:r>
    </w:p>
    <w:p w:rsidR="002D334E" w:rsidRDefault="002D334E">
      <w:pPr>
        <w:pStyle w:val="FootnoteText"/>
      </w:pPr>
      <w:r>
        <w:tab/>
        <w:t xml:space="preserve">Consumer groups have either supported the use of the Sharpe-Lintner CAPM (through support for the Guideline foundation model approach) or have not opposed the use of the model. For example see: </w:t>
      </w:r>
      <w:r w:rsidRPr="004972C2">
        <w:t xml:space="preserve">Origin Energy, </w:t>
      </w:r>
      <w:r w:rsidRPr="004972C2">
        <w:rPr>
          <w:rStyle w:val="Emphasis"/>
        </w:rPr>
        <w:t>Submission on ActewAGL’s revised access arrangement for 2016–21</w:t>
      </w:r>
      <w:r w:rsidRPr="004972C2">
        <w:t xml:space="preserve">, 4 February 2016, p. 2; Origin Energy, </w:t>
      </w:r>
      <w:r w:rsidRPr="004972C2">
        <w:rPr>
          <w:rStyle w:val="Emphasis"/>
        </w:rPr>
        <w:t>Submission on AGN’s revised access arrangement for 2016–21</w:t>
      </w:r>
      <w:r w:rsidRPr="004972C2">
        <w:t xml:space="preserve">, February 2016; Victorian Government, </w:t>
      </w:r>
      <w:r w:rsidRPr="004972C2">
        <w:rPr>
          <w:rStyle w:val="Emphasis"/>
        </w:rPr>
        <w:t>Submission on the Victorian electricity distribution network service providers’ revised regulatory proposals for 2016–20</w:t>
      </w:r>
      <w:r w:rsidRPr="004972C2">
        <w:t xml:space="preserve">, 12 February 2016, p. 1–2; EUCV, </w:t>
      </w:r>
      <w:r w:rsidRPr="004972C2">
        <w:rPr>
          <w:rStyle w:val="Emphasis"/>
        </w:rPr>
        <w:t>A response to AusNet revenue reset proposal for the 2017–2022 period</w:t>
      </w:r>
      <w:r w:rsidRPr="004972C2">
        <w:t xml:space="preserve">, 9 February 2016; AGL, </w:t>
      </w:r>
      <w:r w:rsidRPr="004972C2">
        <w:rPr>
          <w:rStyle w:val="Emphasis"/>
        </w:rPr>
        <w:t>Submission on the AER’s draft decision on AGN’s 2016–21 access arrangement</w:t>
      </w:r>
      <w:r w:rsidRPr="004972C2">
        <w:t>, 4 February 2016, p. 2.</w:t>
      </w:r>
    </w:p>
  </w:footnote>
  <w:footnote w:id="163">
    <w:p w:rsidR="002D334E" w:rsidRDefault="002D334E" w:rsidP="00345EDF">
      <w:pPr>
        <w:pStyle w:val="FootnoteText"/>
      </w:pPr>
      <w:r>
        <w:rPr>
          <w:rStyle w:val="FootnoteReference"/>
        </w:rPr>
        <w:footnoteRef/>
      </w:r>
      <w:r>
        <w:t xml:space="preserve"> </w:t>
      </w:r>
      <w:r>
        <w:tab/>
        <w:t xml:space="preserve">Appendix </w:t>
      </w:r>
      <w:r w:rsidR="00DC72C0">
        <w:t>M</w:t>
      </w:r>
      <w:r>
        <w:t xml:space="preserve"> sets out the averaging period used in this decision.</w:t>
      </w:r>
    </w:p>
  </w:footnote>
  <w:footnote w:id="164">
    <w:p w:rsidR="002D334E" w:rsidRDefault="002D334E">
      <w:pPr>
        <w:pStyle w:val="FootnoteText"/>
      </w:pPr>
      <w:r>
        <w:rPr>
          <w:rStyle w:val="FootnoteReference"/>
        </w:rPr>
        <w:footnoteRef/>
      </w:r>
      <w:r>
        <w:t xml:space="preserve"> </w:t>
      </w:r>
      <w:r>
        <w:tab/>
        <w:t>User submissions sometimes do not specifically mention the use of the dividend growth model. However, they generally propose a market risk premiums of 6.5 per cent or less which would be based on the use of historical returns (at least) and, to a lesser extent, the dividend growth model.</w:t>
      </w:r>
    </w:p>
  </w:footnote>
  <w:footnote w:id="165">
    <w:p w:rsidR="002D334E" w:rsidRDefault="002D334E">
      <w:pPr>
        <w:pStyle w:val="FootnoteText"/>
      </w:pPr>
      <w:r>
        <w:rPr>
          <w:rStyle w:val="FootnoteReference"/>
        </w:rPr>
        <w:footnoteRef/>
      </w:r>
      <w:r>
        <w:t xml:space="preserve"> </w:t>
      </w:r>
      <w:r>
        <w:tab/>
        <w:t>Where consumers groups have submitted specifically on how the beta should be estimated, they have generally proposed that the equity beta should be set with reference to empirical estimates from Olan Henry's 2014 study for the AER.</w:t>
      </w:r>
    </w:p>
  </w:footnote>
  <w:footnote w:id="166">
    <w:p w:rsidR="002D334E" w:rsidRDefault="002D334E">
      <w:pPr>
        <w:pStyle w:val="FootnoteText"/>
      </w:pPr>
      <w:r>
        <w:rPr>
          <w:rStyle w:val="FootnoteReference"/>
        </w:rPr>
        <w:footnoteRef/>
      </w:r>
      <w:r>
        <w:t xml:space="preserve"> </w:t>
      </w:r>
      <w:r>
        <w:tab/>
      </w:r>
      <w:r w:rsidRPr="004972C2">
        <w:t xml:space="preserve">For 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7">
    <w:p w:rsidR="002D334E" w:rsidRDefault="002D334E" w:rsidP="00352220">
      <w:pPr>
        <w:pStyle w:val="FootnoteText"/>
      </w:pPr>
      <w:r>
        <w:rPr>
          <w:rStyle w:val="FootnoteReference"/>
        </w:rPr>
        <w:footnoteRef/>
      </w:r>
      <w:r>
        <w:t xml:space="preserve"> </w:t>
      </w:r>
      <w:r>
        <w:tab/>
      </w:r>
      <w:r w:rsidRPr="00F17EB3">
        <w:t xml:space="preserve">CCP (subpanel 5), </w:t>
      </w:r>
      <w:r w:rsidRPr="00D24089">
        <w:rPr>
          <w:rStyle w:val="AERtextitalic"/>
        </w:rPr>
        <w:t>Response to AER draft decision on AusNet Services transmission revenue review</w:t>
      </w:r>
      <w:r w:rsidRPr="00F17EB3">
        <w:t xml:space="preserve">, September 2016, p. 20 </w:t>
      </w:r>
      <w:r>
        <w:t xml:space="preserve">; CCP (subpanel 5), </w:t>
      </w:r>
      <w:r w:rsidRPr="00D24089">
        <w:rPr>
          <w:rStyle w:val="AERtextitalic"/>
        </w:rPr>
        <w:t>Submission on AusNet transmission revised proposal</w:t>
      </w:r>
      <w:r w:rsidRPr="00F17EB3">
        <w:t xml:space="preserve">, </w:t>
      </w:r>
      <w:r>
        <w:t xml:space="preserve">October 2016, p. 8-9; </w:t>
      </w:r>
      <w:r w:rsidRPr="00352220">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 Cotton Australia, </w:t>
      </w:r>
      <w:r w:rsidRPr="005E5104">
        <w:rPr>
          <w:rStyle w:val="AERtextitalic"/>
        </w:rPr>
        <w:t>Re: AER Draft Decision–Powerlink Electricity transmission revised revenue proposal 2017–2022</w:t>
      </w:r>
      <w:r>
        <w:t xml:space="preserve">, 22 December 2016; Queensland farmers’ federation, </w:t>
      </w:r>
      <w:r w:rsidRPr="005E5104">
        <w:rPr>
          <w:rStyle w:val="AERtextitalic"/>
        </w:rPr>
        <w:t>Re: Response on Australian Energy Regulator (AER) Draft Decision on Powerlink ‘s revenue proposal for the 2017/18 –2021/22 regulatory period</w:t>
      </w:r>
      <w:r>
        <w:t xml:space="preserve">, 30 November 2016;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25 November 2016,</w:t>
      </w:r>
      <w:r>
        <w:t xml:space="preserve"> p. 28;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12 December 2016, p. 31.</w:t>
      </w:r>
      <w:r>
        <w:t xml:space="preserve"> </w:t>
      </w:r>
    </w:p>
  </w:footnote>
  <w:footnote w:id="168">
    <w:p w:rsidR="002D334E" w:rsidRDefault="002D334E" w:rsidP="00180347">
      <w:pPr>
        <w:pStyle w:val="FootnoteText"/>
      </w:pPr>
      <w:r>
        <w:rPr>
          <w:rStyle w:val="FootnoteReference"/>
        </w:rPr>
        <w:footnoteRef/>
      </w:r>
      <w:r>
        <w:t xml:space="preserve"> </w:t>
      </w:r>
      <w:r>
        <w:tab/>
        <w:t>CCP (subpanel 5</w:t>
      </w:r>
      <w:r w:rsidRPr="005E5104">
        <w:rPr>
          <w:rStyle w:val="AERtextitalic"/>
        </w:rPr>
        <w:t>), Transmission for the Generations III–Response to: Revised revenue proposal by AusNet Services for Transmission Revenue Review 2017–22</w:t>
      </w:r>
      <w:r>
        <w:t xml:space="preserve">, October 2016, pp. 9–11; CCP (subpanel 5), </w:t>
      </w:r>
      <w:r w:rsidRPr="005E5104">
        <w:rPr>
          <w:rStyle w:val="AERtextitalic"/>
        </w:rPr>
        <w:t>Transmission for the Generations III–Response to: AER draft decision for AusNet Services’ Transmission Revenue Review 2017–22</w:t>
      </w:r>
      <w:r>
        <w:t xml:space="preserve">, October 2016, pp. 20–21; CCP4 (Hugh Grant), </w:t>
      </w:r>
      <w:r w:rsidRPr="0063500D">
        <w:rPr>
          <w:rStyle w:val="Emphasis"/>
        </w:rPr>
        <w:t>Submission on Powerlink draft decision and revised proposal</w:t>
      </w:r>
      <w:r>
        <w:t xml:space="preserve">, 23 December 2016, pp. 5 &amp; 39-42; CCP4 (David Headberry), </w:t>
      </w:r>
      <w:r w:rsidRPr="0063500D">
        <w:rPr>
          <w:rStyle w:val="Emphasis"/>
        </w:rPr>
        <w:t>Submission on Powerlink draft decision and revised proposal</w:t>
      </w:r>
      <w:r>
        <w:t xml:space="preserve">, 23 December 2016, P21; CCP4 (Hugh Grant and David Headberry),  </w:t>
      </w:r>
      <w:r w:rsidRPr="005E5104">
        <w:rPr>
          <w:rStyle w:val="AERtextitalic"/>
        </w:rPr>
        <w:t>Submission to the AER, Powerlink Queensland 2018-22 revenue proposal</w:t>
      </w:r>
      <w:r>
        <w:t xml:space="preserve">, June 2016, pp. 45-6; </w:t>
      </w:r>
      <w:r w:rsidRPr="00180347">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5E5104">
        <w:rPr>
          <w:rStyle w:val="AERtextitalic"/>
        </w:rPr>
        <w:t>Submission to the AER: AER draft 2018–22 revenue decision Powerlink revised 208–22 revenue proposal</w:t>
      </w:r>
      <w:r>
        <w:t>, 23 December 2016, pp. 44–47.</w:t>
      </w:r>
    </w:p>
  </w:footnote>
  <w:footnote w:id="169">
    <w:p w:rsidR="002D334E" w:rsidRDefault="002D334E" w:rsidP="0087773E">
      <w:pPr>
        <w:pStyle w:val="FootnoteText"/>
      </w:pPr>
      <w:r>
        <w:rPr>
          <w:rStyle w:val="FootnoteReference"/>
        </w:rPr>
        <w:footnoteRef/>
      </w:r>
      <w:r>
        <w:t xml:space="preserve"> </w:t>
      </w:r>
      <w:r>
        <w:tab/>
        <w:t>The multi-model approach estimates a return on equity by combining estimates from four equity models: Sharpe–Lintner, Black, Fama–French and Wright.</w:t>
      </w:r>
    </w:p>
  </w:footnote>
  <w:footnote w:id="170">
    <w:p w:rsidR="002D334E" w:rsidRDefault="002D334E" w:rsidP="0087773E">
      <w:pPr>
        <w:pStyle w:val="FootnoteText"/>
      </w:pPr>
      <w:r>
        <w:rPr>
          <w:rStyle w:val="FootnoteReference"/>
        </w:rPr>
        <w:footnoteRef/>
      </w:r>
      <w:r>
        <w:t xml:space="preserve"> </w:t>
      </w:r>
      <w:r>
        <w:tab/>
        <w:t>For example, Ausgrid proposed a multi-model approach for estimating the return on equity in its distribution revenue proposal for the 2014–2019 regulatory period.</w:t>
      </w:r>
    </w:p>
  </w:footnote>
  <w:footnote w:id="171">
    <w:p w:rsidR="002D334E" w:rsidRDefault="002D334E" w:rsidP="0087773E">
      <w:pPr>
        <w:pStyle w:val="FootnoteText"/>
      </w:pPr>
      <w:r>
        <w:rPr>
          <w:rStyle w:val="FootnoteReference"/>
        </w:rPr>
        <w:footnoteRef/>
      </w:r>
      <w:r>
        <w:t xml:space="preserve"> </w:t>
      </w:r>
      <w:r>
        <w:tab/>
        <w:t>Australian Competition Tribunal, A</w:t>
      </w:r>
      <w:r w:rsidRPr="005E5104">
        <w:rPr>
          <w:rStyle w:val="AERtextitalic"/>
        </w:rPr>
        <w:t>pplications by Public Interest Advocacy Centre Ltd and Ausgrid [2016] ACompT 1</w:t>
      </w:r>
      <w:r>
        <w:t>, 26 February 2016.</w:t>
      </w:r>
    </w:p>
  </w:footnote>
  <w:footnote w:id="172">
    <w:p w:rsidR="002D334E" w:rsidRDefault="002D334E" w:rsidP="0087773E">
      <w:pPr>
        <w:pStyle w:val="FootnoteText"/>
      </w:pPr>
      <w:r>
        <w:rPr>
          <w:rStyle w:val="FootnoteReference"/>
        </w:rPr>
        <w:footnoteRef/>
      </w:r>
      <w:r>
        <w:t xml:space="preserve"> </w:t>
      </w:r>
      <w:r>
        <w:tab/>
      </w:r>
      <w:r w:rsidRPr="00680BC2">
        <w:t xml:space="preserve">AusNet Services, </w:t>
      </w:r>
      <w:r w:rsidRPr="00680BC2">
        <w:rPr>
          <w:rStyle w:val="Emphasis"/>
        </w:rPr>
        <w:t>AusNet Transmission Group Pty Ltd Transmission revised revenue review 2017–22</w:t>
      </w:r>
      <w:r w:rsidRPr="00680BC2">
        <w:t>, 21 September 2016, p</w:t>
      </w:r>
      <w:r>
        <w:t>. 138; TasNetworks, T</w:t>
      </w:r>
      <w:r w:rsidRPr="005E5104">
        <w:rPr>
          <w:rStyle w:val="AERtextitalic"/>
        </w:rPr>
        <w:t>asmanian Distribution Revised Regulatory Proposal Regulatory Control Period 1 July 2017 to 30 June 2019</w:t>
      </w:r>
      <w:r>
        <w:t>, December 2016, p. 7; Powerlink</w:t>
      </w:r>
      <w:r w:rsidRPr="005E5104">
        <w:rPr>
          <w:rStyle w:val="AERtextitalic"/>
        </w:rPr>
        <w:t>, 2018–22 Powerlink Queensland revised revenue proposa</w:t>
      </w:r>
      <w:r>
        <w:t>l, December 2016, p. 11.</w:t>
      </w:r>
    </w:p>
  </w:footnote>
  <w:footnote w:id="173">
    <w:p w:rsidR="002D334E" w:rsidRDefault="002D334E" w:rsidP="00CF13CB">
      <w:pPr>
        <w:pStyle w:val="FootnoteText"/>
      </w:pPr>
      <w:r>
        <w:rPr>
          <w:rStyle w:val="FootnoteReference"/>
        </w:rPr>
        <w:footnoteRef/>
      </w:r>
      <w:r>
        <w:t xml:space="preserve"> </w:t>
      </w:r>
      <w:r>
        <w:tab/>
      </w:r>
      <w:r w:rsidRPr="008A0A6F">
        <w:t xml:space="preserve">AusNet Services, </w:t>
      </w:r>
      <w:r w:rsidRPr="008A0A6F">
        <w:rPr>
          <w:rStyle w:val="Emphasis"/>
        </w:rPr>
        <w:t>AusNet Transmission Group Pty Ltd Transmission revised revenue review 2017–22</w:t>
      </w:r>
      <w:r w:rsidRPr="008A0A6F">
        <w:t>, 21 September 2016, p</w:t>
      </w:r>
      <w:r>
        <w:t>. 143.</w:t>
      </w:r>
    </w:p>
  </w:footnote>
  <w:footnote w:id="174">
    <w:p w:rsidR="002D334E" w:rsidRDefault="002D334E">
      <w:pPr>
        <w:pStyle w:val="FootnoteText"/>
      </w:pPr>
      <w:r>
        <w:rPr>
          <w:rStyle w:val="FootnoteReference"/>
        </w:rPr>
        <w:footnoteRef/>
      </w:r>
      <w:r>
        <w:t xml:space="preserve"> </w:t>
      </w:r>
      <w:r>
        <w:tab/>
      </w:r>
      <w:r w:rsidRPr="008A0A6F">
        <w:t xml:space="preserve">AusNet Services, </w:t>
      </w:r>
      <w:r w:rsidRPr="008A0A6F">
        <w:rPr>
          <w:rStyle w:val="Emphasis"/>
        </w:rPr>
        <w:t>AusNet Transmission Group Pty Ltd Transmission revised revenue review 2017–22</w:t>
      </w:r>
      <w:r w:rsidRPr="008A0A6F">
        <w:t>, 21 September 2016, p</w:t>
      </w:r>
      <w:r>
        <w:t>p. 143–146.</w:t>
      </w:r>
    </w:p>
  </w:footnote>
  <w:footnote w:id="175">
    <w:p w:rsidR="002D334E" w:rsidRDefault="002D334E" w:rsidP="00CF13CB">
      <w:pPr>
        <w:pStyle w:val="FootnoteText"/>
      </w:pPr>
      <w:r>
        <w:rPr>
          <w:rStyle w:val="FootnoteReference"/>
        </w:rPr>
        <w:footnoteRef/>
      </w:r>
      <w:r>
        <w:t xml:space="preserve"> </w:t>
      </w:r>
      <w:r>
        <w:tab/>
        <w:t>We received many stakeholder submissions supporting our guideline approach including:</w:t>
      </w:r>
      <w:r w:rsidRPr="00D40AFA">
        <w:t xml:space="preserve">; CCP4 (David Headberry), </w:t>
      </w:r>
      <w:r w:rsidRPr="005E5104">
        <w:rPr>
          <w:rStyle w:val="AERtextitalic"/>
        </w:rPr>
        <w:t>Response to the AER Draft Decision and Revised Proposal to Powerlink's electricity transmission network for a revenue reset for the 2017-2019 regulatory period</w:t>
      </w:r>
      <w:r w:rsidRPr="00D40AFA">
        <w:t xml:space="preserve">, 19 December 2016, p. 2; Cotton Australia, </w:t>
      </w:r>
      <w:r w:rsidRPr="005E5104">
        <w:rPr>
          <w:rStyle w:val="AERtextitalic"/>
        </w:rPr>
        <w:t>Re: AER Draft Decision–Powerlink Electricity transmission revised revenue proposal 2017–2022</w:t>
      </w:r>
      <w:r w:rsidRPr="00D40AFA">
        <w:t xml:space="preserve">, 22 December 2016; Queensland farmers’ federation, </w:t>
      </w:r>
      <w:r w:rsidRPr="005E5104">
        <w:rPr>
          <w:rStyle w:val="AERtextitalic"/>
        </w:rPr>
        <w:t>Re: Response on Australian Energy Regulator (AER) Draft Decision on Powerlink ‘s revenue proposal for the 2017/18 –2021/22 regulatory period</w:t>
      </w:r>
      <w:r w:rsidRPr="00D40AFA">
        <w:t xml:space="preserve">, 30 November 2016;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xml:space="preserve">, 25 November 2016, p. 28;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12 December 2016, p. 31.</w:t>
      </w:r>
    </w:p>
  </w:footnote>
  <w:footnote w:id="176">
    <w:p w:rsidR="002D334E" w:rsidRDefault="002D334E">
      <w:pPr>
        <w:pStyle w:val="FootnoteText"/>
      </w:pPr>
      <w:r>
        <w:rPr>
          <w:rStyle w:val="FootnoteReference"/>
        </w:rPr>
        <w:footnoteRef/>
      </w:r>
      <w:r>
        <w:t xml:space="preserve"> </w:t>
      </w:r>
      <w:r>
        <w:tab/>
        <w:t xml:space="preserve">AER, </w:t>
      </w:r>
      <w:r w:rsidRPr="005E5104">
        <w:rPr>
          <w:rStyle w:val="AERtextitalic"/>
        </w:rPr>
        <w:t>Final decision SA Power Networks determination 2015–16 to 2019–20: Attachment 3–Rate of return</w:t>
      </w:r>
      <w:r>
        <w:t>, October 2015, pp. 43–106.</w:t>
      </w:r>
    </w:p>
  </w:footnote>
  <w:footnote w:id="177">
    <w:p w:rsidR="002D334E" w:rsidRDefault="002D334E">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8">
    <w:p w:rsidR="002D334E" w:rsidRDefault="002D334E">
      <w:pPr>
        <w:pStyle w:val="FootnoteText"/>
      </w:pPr>
      <w:r>
        <w:rPr>
          <w:rStyle w:val="FootnoteReference"/>
        </w:rPr>
        <w:footnoteRef/>
      </w:r>
      <w:r>
        <w:t xml:space="preserve"> </w:t>
      </w:r>
      <w:r>
        <w:tab/>
        <w:t>As set out in NER cl. 6; NER cl. 6A; NGR.</w:t>
      </w:r>
    </w:p>
  </w:footnote>
  <w:footnote w:id="179">
    <w:p w:rsidR="002D334E" w:rsidRDefault="002D334E">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sidRPr="00D60AEA">
        <w:t>–</w:t>
      </w:r>
      <w:r>
        <w:t>13.</w:t>
      </w:r>
    </w:p>
  </w:footnote>
  <w:footnote w:id="180">
    <w:p w:rsidR="002D334E" w:rsidRDefault="002D334E">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1">
    <w:p w:rsidR="002D334E" w:rsidRDefault="002D334E" w:rsidP="00D60AEA">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82">
    <w:p w:rsidR="002D334E" w:rsidRDefault="002D334E" w:rsidP="00C7716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83">
    <w:p w:rsidR="002D334E" w:rsidRDefault="002D334E">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4">
    <w:p w:rsidR="002D334E" w:rsidRDefault="002D334E">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5">
    <w:p w:rsidR="002D334E" w:rsidRDefault="002D334E">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April 2015, p. 54].</w:t>
      </w:r>
    </w:p>
  </w:footnote>
  <w:footnote w:id="186">
    <w:p w:rsidR="002D334E" w:rsidRDefault="002D334E">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87">
    <w:p w:rsidR="002D334E" w:rsidRDefault="002D334E">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Queensland farmers’ federation, </w:t>
      </w:r>
      <w:r w:rsidRPr="00635D29">
        <w:rPr>
          <w:rStyle w:val="AERtextitalic"/>
        </w:rPr>
        <w:t>Re: Response on Australian Energy Regulator (AER) Draft Decision on Powerlink ‘s revenue proposal for the 2017/18 –2021/22 regulatory period</w:t>
      </w:r>
      <w:r>
        <w:t xml:space="preserve">, 30 November 2016; </w:t>
      </w:r>
    </w:p>
  </w:footnote>
  <w:footnote w:id="188">
    <w:p w:rsidR="002D334E" w:rsidRDefault="002D334E">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9">
    <w:p w:rsidR="002D334E" w:rsidRDefault="002D33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90">
    <w:p w:rsidR="002D334E" w:rsidRDefault="002D334E" w:rsidP="00E31230">
      <w:pPr>
        <w:pStyle w:val="FootnoteText"/>
      </w:pPr>
      <w:r>
        <w:rPr>
          <w:rStyle w:val="FootnoteReference"/>
        </w:rPr>
        <w:footnoteRef/>
      </w:r>
      <w:r>
        <w:tab/>
        <w:t xml:space="preserve">For example, see: </w:t>
      </w:r>
      <w:r w:rsidRPr="00853443">
        <w:t xml:space="preserve">AER, Final decision SA Power Networks determination 2015–16 to 2019–20: Attachment 3–Rate of return, October 2015, pp. </w:t>
      </w:r>
      <w:r>
        <w:t xml:space="preserve">257–323; AER, </w:t>
      </w:r>
      <w:r w:rsidRPr="00853443">
        <w:t xml:space="preserve">Final decision </w:t>
      </w:r>
      <w:r>
        <w:t>AusNet Services distribution</w:t>
      </w:r>
      <w:r w:rsidRPr="00853443">
        <w:t xml:space="preserve"> determination </w:t>
      </w:r>
      <w:r>
        <w:t>2016 to 2020</w:t>
      </w:r>
      <w:r w:rsidRPr="00853443">
        <w:t xml:space="preserve">: Attachment 3–Rate of return, </w:t>
      </w:r>
      <w:r>
        <w:t>May 2016</w:t>
      </w:r>
      <w:r w:rsidRPr="00853443">
        <w:t xml:space="preserve">, pp. </w:t>
      </w:r>
      <w:r>
        <w:t>165–212.</w:t>
      </w:r>
    </w:p>
  </w:footnote>
  <w:footnote w:id="191">
    <w:p w:rsidR="002D334E" w:rsidRDefault="002D334E">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192">
    <w:p w:rsidR="002D334E" w:rsidRDefault="002D334E">
      <w:pPr>
        <w:pStyle w:val="FootnoteText"/>
      </w:pPr>
      <w:r>
        <w:rPr>
          <w:rStyle w:val="FootnoteReference"/>
        </w:rPr>
        <w:footnoteRef/>
      </w:r>
      <w:r>
        <w:t xml:space="preserve"> </w:t>
      </w:r>
      <w:r>
        <w:tab/>
        <w:t xml:space="preserve">AER, </w:t>
      </w:r>
      <w:r w:rsidRPr="00664F75">
        <w:rPr>
          <w:rStyle w:val="AERtextitalic"/>
        </w:rPr>
        <w:t>Final decision SA Power Networks determination 2015–16 to 2019–20: Attachment 3–Rate of return</w:t>
      </w:r>
      <w:r>
        <w:t xml:space="preserve">, October 2015, pp. 257–323; AER, </w:t>
      </w:r>
      <w:r w:rsidRPr="00664F75">
        <w:rPr>
          <w:rStyle w:val="AERtextitalic"/>
        </w:rPr>
        <w:t>Final decision AusNet Services distribution determination 2016 to 2020: Attachment 3–Rate of return</w:t>
      </w:r>
      <w:r w:rsidRPr="00853443">
        <w:t>, May 2016</w:t>
      </w:r>
      <w:r>
        <w:t xml:space="preserve">, pp. 139–190  </w:t>
      </w:r>
    </w:p>
  </w:footnote>
  <w:footnote w:id="193">
    <w:p w:rsidR="002D334E" w:rsidRDefault="002D334E" w:rsidP="008B2351">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194">
    <w:p w:rsidR="002D334E" w:rsidRDefault="002D334E" w:rsidP="00385F4D">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w:t>
      </w:r>
      <w:r>
        <w:t xml:space="preserve"> </w:t>
      </w:r>
      <w:r w:rsidRPr="002B3EFB">
        <w:t>5. Lally discusses these risks in his report. Lally,</w:t>
      </w:r>
      <w:r>
        <w:t xml:space="preserve"> </w:t>
      </w:r>
      <w:r w:rsidRPr="007B70AB">
        <w:rPr>
          <w:rStyle w:val="AERtextitalic"/>
        </w:rPr>
        <w:t>The present value principle</w:t>
      </w:r>
      <w:r w:rsidRPr="002B3EFB">
        <w:t>, March 2013, p</w:t>
      </w:r>
      <w:r>
        <w:t>p</w:t>
      </w:r>
      <w:r w:rsidRPr="002B3EFB">
        <w:t>. 10</w:t>
      </w:r>
      <w:r>
        <w:rPr>
          <w:rFonts w:cs="Arial"/>
        </w:rPr>
        <w:t>–</w:t>
      </w:r>
      <w:r w:rsidRPr="002B3EFB">
        <w:t>12.</w:t>
      </w:r>
    </w:p>
  </w:footnote>
  <w:footnote w:id="195">
    <w:p w:rsidR="002D334E" w:rsidRDefault="002D334E" w:rsidP="00385F4D">
      <w:pPr>
        <w:pStyle w:val="FootnoteText"/>
      </w:pPr>
      <w:r>
        <w:rPr>
          <w:rStyle w:val="FootnoteReference"/>
        </w:rPr>
        <w:footnoteRef/>
      </w:r>
      <w:r>
        <w:t xml:space="preserve"> </w:t>
      </w:r>
      <w:r>
        <w:tab/>
      </w:r>
      <w:r w:rsidRPr="002B3EFB">
        <w:t xml:space="preserve">Standard and Poor's, viewed 5 March 2013, </w:t>
      </w:r>
      <w:hyperlink r:id="rId11" w:history="1">
        <w:r w:rsidRPr="008A31AD">
          <w:rPr>
            <w:rStyle w:val="Hyperlink"/>
            <w:color w:val="auto"/>
            <w:sz w:val="16"/>
            <w:u w:val="none"/>
          </w:rPr>
          <w:t>http://www.standardandpoors.com/prot/ratings/entityratings/</w:t>
        </w:r>
      </w:hyperlink>
      <w:r w:rsidRPr="008A31AD">
        <w:t>en/us</w:t>
      </w:r>
      <w:r w:rsidRPr="002B3EFB">
        <w:t>/</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hyperlink r:id="rId12" w:history="1">
        <w:r w:rsidRPr="000C679D">
          <w:rPr>
            <w:rStyle w:val="Hyperlink"/>
            <w:sz w:val="16"/>
          </w:rPr>
          <w:t>http://www.fitchratings.com/gws/en/esp/issr/80442187</w:t>
        </w:r>
      </w:hyperlink>
      <w:r>
        <w:t xml:space="preserve">. Also see AOFM, </w:t>
      </w:r>
      <w:r w:rsidRPr="00496DF0">
        <w:rPr>
          <w:rStyle w:val="AERtextitalic"/>
        </w:rPr>
        <w:t>Australian government securities: Major features of the AGS market</w:t>
      </w:r>
      <w:r>
        <w:t xml:space="preserve">, last updated 12 February 2015, viewed on 15 October 2015, link </w:t>
      </w:r>
      <w:hyperlink r:id="rId13" w:history="1">
        <w:r w:rsidRPr="000C679D">
          <w:rPr>
            <w:rStyle w:val="Hyperlink"/>
            <w:sz w:val="16"/>
          </w:rPr>
          <w:t>http://aofm.gov.au/ags/</w:t>
        </w:r>
      </w:hyperlink>
      <w:r>
        <w:t>.</w:t>
      </w:r>
    </w:p>
  </w:footnote>
  <w:footnote w:id="196">
    <w:p w:rsidR="002D334E" w:rsidRDefault="002D334E" w:rsidP="00385F4D">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197">
    <w:p w:rsidR="002D334E" w:rsidRDefault="002D334E" w:rsidP="00385F4D">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w:t>
      </w:r>
      <w:r>
        <w:t>APA Group</w:t>
      </w:r>
      <w:r w:rsidRPr="00902D5F">
        <w:t xml:space="preserve">,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198">
    <w:p w:rsidR="002D334E" w:rsidRDefault="002D334E" w:rsidP="00385F4D">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199">
    <w:p w:rsidR="002D334E" w:rsidRDefault="002D334E" w:rsidP="00D40AFA">
      <w:pPr>
        <w:pStyle w:val="FootnoteText"/>
      </w:pPr>
      <w:r>
        <w:rPr>
          <w:rStyle w:val="FootnoteReference"/>
        </w:rPr>
        <w:footnoteRef/>
      </w:r>
      <w:r>
        <w:t xml:space="preserve"> </w:t>
      </w:r>
      <w:r>
        <w:tab/>
      </w:r>
      <w:r w:rsidRPr="00D40AFA">
        <w:t>AusNet Services</w:t>
      </w:r>
      <w:r w:rsidRPr="00D40AFA">
        <w:rPr>
          <w:rStyle w:val="AERtextitalic"/>
        </w:rPr>
        <w:t>, Revenue proposal: Appendix 10I —Averaging period letter (confidential)</w:t>
      </w:r>
      <w:r w:rsidRPr="00D40AFA">
        <w:t>, October 2015, p. 1.</w:t>
      </w:r>
    </w:p>
  </w:footnote>
  <w:footnote w:id="200">
    <w:p w:rsidR="002D334E" w:rsidRDefault="002D334E" w:rsidP="00C91BAB">
      <w:pPr>
        <w:pStyle w:val="FootnoteText"/>
      </w:pPr>
      <w:r>
        <w:rPr>
          <w:rStyle w:val="FootnoteReference"/>
        </w:rPr>
        <w:footnoteRef/>
      </w:r>
      <w:r>
        <w:t xml:space="preserve"> </w:t>
      </w:r>
      <w:r>
        <w:tab/>
      </w:r>
      <w:r w:rsidRPr="00D40AFA">
        <w:t xml:space="preserve">AER, </w:t>
      </w:r>
      <w:r w:rsidRPr="00664F75">
        <w:rPr>
          <w:rStyle w:val="AERtextitalic"/>
        </w:rPr>
        <w:t>Draft Decision AusNet Services transmission determination 2017–18 to 2021–22 Confidential Appendix K: Rate of return – equity and debt averaging period</w:t>
      </w:r>
      <w:r w:rsidRPr="00D40AFA">
        <w:t>, July 2016</w:t>
      </w:r>
    </w:p>
  </w:footnote>
  <w:footnote w:id="201">
    <w:p w:rsidR="002D334E" w:rsidRDefault="002D334E" w:rsidP="008B2351">
      <w:pPr>
        <w:pStyle w:val="FootnoteText"/>
      </w:pPr>
      <w:r>
        <w:rPr>
          <w:rStyle w:val="FootnoteReference"/>
        </w:rPr>
        <w:footnoteRef/>
      </w:r>
      <w:r>
        <w:t xml:space="preserve"> </w:t>
      </w:r>
      <w:r>
        <w:tab/>
        <w:t>NER, cll. 6.5</w:t>
      </w:r>
      <w:r w:rsidRPr="009477CD">
        <w:t>.2(</w:t>
      </w:r>
      <w:r>
        <w:t>f</w:t>
      </w:r>
      <w:r w:rsidRPr="009477CD">
        <w:t>)</w:t>
      </w:r>
      <w:r>
        <w:t>; NER, cll. 6A.6.2(f); NGR, rr. 87(6).</w:t>
      </w:r>
    </w:p>
  </w:footnote>
  <w:footnote w:id="202">
    <w:p w:rsidR="002D334E" w:rsidRDefault="002D334E" w:rsidP="008B2351">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203">
    <w:p w:rsidR="002D334E" w:rsidRDefault="002D334E" w:rsidP="008B2351">
      <w:pPr>
        <w:pStyle w:val="FootnoteText"/>
      </w:pPr>
      <w:r>
        <w:rPr>
          <w:rStyle w:val="FootnoteReference"/>
        </w:rPr>
        <w:footnoteRef/>
      </w:r>
      <w:r>
        <w:t xml:space="preserve"> </w:t>
      </w:r>
      <w:r>
        <w:tab/>
        <w:t>NER, cll. 6.5.2(g); NER, cll. 6A.6.2(g); NGR, rr. 87(7).</w:t>
      </w:r>
    </w:p>
  </w:footnote>
  <w:footnote w:id="204">
    <w:p w:rsidR="002D334E" w:rsidRDefault="002D334E" w:rsidP="008B2351">
      <w:pPr>
        <w:pStyle w:val="FootnoteText"/>
      </w:pPr>
      <w:r>
        <w:rPr>
          <w:rStyle w:val="FootnoteReference"/>
        </w:rPr>
        <w:footnoteRef/>
      </w:r>
      <w:r>
        <w:t xml:space="preserve"> </w:t>
      </w:r>
      <w:r>
        <w:tab/>
        <w:t xml:space="preserve">NER, cl. 6.5.2(f); NER, cl. 6A.6.2(f); </w:t>
      </w:r>
      <w:r w:rsidRPr="00565069">
        <w:t>NGR, r. 87(6).</w:t>
      </w:r>
    </w:p>
  </w:footnote>
  <w:footnote w:id="205">
    <w:p w:rsidR="002D334E" w:rsidRDefault="002D334E" w:rsidP="008B2351">
      <w:pPr>
        <w:pStyle w:val="FootnoteText"/>
      </w:pPr>
      <w:r>
        <w:rPr>
          <w:rStyle w:val="FootnoteReference"/>
        </w:rPr>
        <w:footnoteRef/>
      </w:r>
      <w:r>
        <w:t xml:space="preserve"> </w:t>
      </w:r>
      <w:r>
        <w:tab/>
      </w:r>
      <w:r w:rsidRPr="00565069">
        <w:t xml:space="preserve">AER, </w:t>
      </w:r>
      <w:r>
        <w:rPr>
          <w:rStyle w:val="AERtextitalic"/>
        </w:rPr>
        <w:t>R</w:t>
      </w:r>
      <w:r w:rsidRPr="00AB221C">
        <w:rPr>
          <w:rStyle w:val="AERtextitalic"/>
        </w:rPr>
        <w:t>ate of return guideline</w:t>
      </w:r>
      <w:r>
        <w:t>, 17 December 2013, p. 15, 74–82.</w:t>
      </w:r>
    </w:p>
  </w:footnote>
  <w:footnote w:id="206">
    <w:p w:rsidR="002D334E" w:rsidRDefault="002D334E" w:rsidP="008B2351">
      <w:pPr>
        <w:pStyle w:val="FootnoteText"/>
      </w:pPr>
      <w:r>
        <w:rPr>
          <w:rStyle w:val="FootnoteReference"/>
        </w:rPr>
        <w:footnoteRef/>
      </w:r>
      <w:r>
        <w:t xml:space="preserve"> </w:t>
      </w:r>
      <w:r>
        <w:tab/>
        <w:t xml:space="preserve">This was recognised in Australian Competition Tribunal, </w:t>
      </w:r>
      <w:r w:rsidRPr="0086086E">
        <w:rPr>
          <w:rStyle w:val="AERtextitalic"/>
        </w:rPr>
        <w:t>Application by APA GasNet Australia (Operations) Pty Limited (No 2) [2013],  ACompT 8</w:t>
      </w:r>
      <w:r>
        <w:t>, 18 September 2013, paras 279, 302</w:t>
      </w:r>
      <w:r>
        <w:rPr>
          <w:rFonts w:cs="Arial"/>
        </w:rPr>
        <w:t>–</w:t>
      </w:r>
      <w:r>
        <w:t>308.</w:t>
      </w:r>
    </w:p>
  </w:footnote>
  <w:footnote w:id="207">
    <w:p w:rsidR="002D334E" w:rsidRDefault="002D334E" w:rsidP="008B2351">
      <w:pPr>
        <w:pStyle w:val="FootnoteText"/>
      </w:pPr>
      <w:r>
        <w:rPr>
          <w:rStyle w:val="FootnoteReference"/>
        </w:rPr>
        <w:footnoteRef/>
      </w:r>
      <w:r>
        <w:t xml:space="preserve"> </w:t>
      </w:r>
      <w:r>
        <w:tab/>
        <w:t xml:space="preserve">NER, cl. 6.5.2(f–g); NER, cl. 6A.6.2(f–g); </w:t>
      </w:r>
      <w:r w:rsidRPr="00565069">
        <w:t>NGR, r. 87(6</w:t>
      </w:r>
      <w:r>
        <w:t>–7</w:t>
      </w:r>
      <w:r w:rsidRPr="00565069">
        <w:t>).</w:t>
      </w:r>
    </w:p>
  </w:footnote>
  <w:footnote w:id="208">
    <w:p w:rsidR="002D334E" w:rsidRDefault="002D334E" w:rsidP="008B2351">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209">
    <w:p w:rsidR="002D334E" w:rsidRDefault="002D334E" w:rsidP="008B2351">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8 June 2011, para 145.</w:t>
      </w:r>
    </w:p>
  </w:footnote>
  <w:footnote w:id="210">
    <w:p w:rsidR="002D334E" w:rsidRDefault="002D334E" w:rsidP="008B2351">
      <w:pPr>
        <w:pStyle w:val="FootnoteText"/>
      </w:pPr>
      <w:r>
        <w:rPr>
          <w:rStyle w:val="FootnoteReference"/>
        </w:rPr>
        <w:footnoteRef/>
      </w:r>
      <w:r>
        <w:t xml:space="preserve"> </w:t>
      </w:r>
      <w:r>
        <w:tab/>
        <w:t>See sections 7 and 7A of the NEL for the NEO and RPP respectively. The NEO states: 'The</w:t>
      </w:r>
      <w:r w:rsidRPr="00E95B24">
        <w:t xml:space="preserve"> objective of this Law </w:t>
      </w:r>
      <w:r w:rsidRPr="00A40EA2">
        <w:t xml:space="preserve">is to promote efficient investment in, and efficient operation and use of, </w:t>
      </w:r>
      <w:r>
        <w:t>electricity</w:t>
      </w:r>
      <w:r w:rsidRPr="00A40EA2">
        <w:t xml:space="preserve"> services for the long term interests of consumers of </w:t>
      </w:r>
      <w:r>
        <w:t>electricity</w:t>
      </w:r>
      <w:r w:rsidRPr="00A40EA2">
        <w:t xml:space="preserve"> with respect to price, quality, safety, reliability and security of supply of </w:t>
      </w:r>
      <w:r>
        <w:t>electricity; and the reliability, safety and security of the national electricity system'.</w:t>
      </w:r>
    </w:p>
  </w:footnote>
  <w:footnote w:id="211">
    <w:p w:rsidR="002D334E" w:rsidRDefault="002D334E" w:rsidP="008B2351">
      <w:pPr>
        <w:pStyle w:val="FootnoteText"/>
      </w:pPr>
      <w:r>
        <w:rPr>
          <w:rStyle w:val="FootnoteReference"/>
        </w:rPr>
        <w:footnoteRef/>
      </w:r>
      <w:r>
        <w:t xml:space="preserve"> </w:t>
      </w:r>
      <w:r>
        <w:tab/>
        <w:t xml:space="preserve">See Mr Gregory Houston and Dr Martin Lally, </w:t>
      </w:r>
      <w:r w:rsidRPr="007B70AB">
        <w:rPr>
          <w:rStyle w:val="AERtextitalic"/>
        </w:rPr>
        <w:t>Joint report: Prepared in the context of proceedings between ActewAGL and the AER</w:t>
      </w:r>
      <w:r>
        <w:t>, 16 March 2011, p. 1. These experts agreed that, 'e</w:t>
      </w:r>
      <w:r w:rsidRPr="00F61A0C">
        <w:t xml:space="preserve">conomic theory says that the required rate of return to be used in </w:t>
      </w:r>
      <w:r>
        <w:t>e</w:t>
      </w:r>
      <w:r w:rsidRPr="00F61A0C">
        <w:t xml:space="preserve">valuating an investment decision is the forward looking rate estimated </w:t>
      </w:r>
      <w:r>
        <w:t>as at the date of that decision'.</w:t>
      </w:r>
    </w:p>
  </w:footnote>
  <w:footnote w:id="212">
    <w:p w:rsidR="002D334E" w:rsidRDefault="002D334E" w:rsidP="008B2351">
      <w:pPr>
        <w:pStyle w:val="FootnoteText"/>
      </w:pPr>
      <w:r>
        <w:rPr>
          <w:rStyle w:val="FootnoteReference"/>
        </w:rPr>
        <w:footnoteRef/>
      </w:r>
      <w:r>
        <w:t xml:space="preserve"> </w:t>
      </w:r>
      <w:r>
        <w:tab/>
        <w:t>NER, cl. 6.5.2(g); NER, cl. 6A.6.2(g); NGR, r. 87(7</w:t>
      </w:r>
      <w:r w:rsidRPr="00565069">
        <w:t>).</w:t>
      </w:r>
    </w:p>
  </w:footnote>
  <w:footnote w:id="213">
    <w:p w:rsidR="002D334E" w:rsidRDefault="002D334E" w:rsidP="008B2351">
      <w:pPr>
        <w:pStyle w:val="FootnoteText"/>
      </w:pPr>
      <w:r>
        <w:rPr>
          <w:rStyle w:val="FootnoteReference"/>
        </w:rPr>
        <w:footnoteRef/>
      </w:r>
      <w:r>
        <w:t xml:space="preserve"> </w:t>
      </w:r>
      <w:r>
        <w:tab/>
        <w:t>For clarity, service providers can select longer averaging periods for estimating the return on debt.</w:t>
      </w:r>
    </w:p>
  </w:footnote>
  <w:footnote w:id="214">
    <w:p w:rsidR="002D334E" w:rsidRDefault="002D334E" w:rsidP="008B2351">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 xml:space="preserve">; </w:t>
      </w:r>
      <w:r w:rsidRPr="00074552">
        <w:t xml:space="preserve">Lally, </w:t>
      </w:r>
      <w:r w:rsidRPr="002B43F5">
        <w:rPr>
          <w:rStyle w:val="AERtextitalic"/>
        </w:rPr>
        <w:t>Risk free rate and present value</w:t>
      </w:r>
      <w:r w:rsidRPr="00074552">
        <w:t>, August 2012, p. 7</w:t>
      </w:r>
      <w:r>
        <w:t>.</w:t>
      </w:r>
    </w:p>
  </w:footnote>
  <w:footnote w:id="215">
    <w:p w:rsidR="002D334E" w:rsidRDefault="002D334E" w:rsidP="008B2351">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216">
    <w:p w:rsidR="002D334E" w:rsidRDefault="002D334E" w:rsidP="008B2351">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17">
    <w:p w:rsidR="002D334E" w:rsidRDefault="002D334E" w:rsidP="008B2351">
      <w:pPr>
        <w:pStyle w:val="FootnoteText"/>
      </w:pPr>
      <w:r>
        <w:rPr>
          <w:rStyle w:val="FootnoteReference"/>
        </w:rPr>
        <w:footnoteRef/>
      </w:r>
      <w:r>
        <w:t xml:space="preserve"> </w:t>
      </w:r>
      <w:r>
        <w:tab/>
        <w:t xml:space="preserve">McKenzie and Partington, </w:t>
      </w:r>
      <w:r w:rsidRPr="007B70AB">
        <w:rPr>
          <w:rStyle w:val="AERtextitalic"/>
        </w:rPr>
        <w:t>Risk, asset pricing models and WACC</w:t>
      </w:r>
      <w:r>
        <w:t>, June 2013, p. 23.</w:t>
      </w:r>
    </w:p>
  </w:footnote>
  <w:footnote w:id="218">
    <w:p w:rsidR="002D334E" w:rsidRDefault="002D334E" w:rsidP="001D4715">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19">
    <w:p w:rsidR="002D334E" w:rsidRDefault="002D334E" w:rsidP="001D4715">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20">
    <w:p w:rsidR="002D334E" w:rsidRDefault="002D334E" w:rsidP="001D4715">
      <w:pPr>
        <w:pStyle w:val="FootnoteText"/>
      </w:pPr>
      <w:r>
        <w:rPr>
          <w:rStyle w:val="FootnoteReference"/>
        </w:rPr>
        <w:footnoteRef/>
      </w:r>
      <w:r>
        <w:t xml:space="preserve"> </w:t>
      </w:r>
      <w:r>
        <w:tab/>
        <w:t>More precisely, an efficient business (or benchmark efficient entity) with a similar degree of risk as that which applies to AusNet Services in the provision of standard control services.</w:t>
      </w:r>
    </w:p>
  </w:footnote>
  <w:footnote w:id="221">
    <w:p w:rsidR="002D334E" w:rsidRDefault="002D334E" w:rsidP="001D4715">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22">
    <w:p w:rsidR="002D334E" w:rsidRDefault="002D334E" w:rsidP="001D4715">
      <w:pPr>
        <w:pStyle w:val="FootnoteText"/>
      </w:pPr>
      <w:r>
        <w:rPr>
          <w:rStyle w:val="FootnoteReference"/>
        </w:rPr>
        <w:footnoteRef/>
      </w:r>
      <w:r>
        <w:t xml:space="preserve"> </w:t>
      </w:r>
      <w:r>
        <w:tab/>
        <w:t>However, the Black CAPM replaces this with an assumption of unlimited ability to short sell stocks.</w:t>
      </w:r>
    </w:p>
  </w:footnote>
  <w:footnote w:id="223">
    <w:p w:rsidR="002D334E" w:rsidRDefault="002D334E" w:rsidP="001D4715">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24">
    <w:p w:rsidR="002D334E" w:rsidRDefault="002D334E" w:rsidP="001D4715">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25">
    <w:p w:rsidR="002D334E" w:rsidRDefault="002D334E" w:rsidP="001D4715">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26">
    <w:p w:rsidR="002D334E" w:rsidRDefault="002D334E" w:rsidP="001D4715">
      <w:pPr>
        <w:pStyle w:val="FootnoteText"/>
      </w:pPr>
      <w:r>
        <w:rPr>
          <w:rStyle w:val="FootnoteReference"/>
        </w:rPr>
        <w:footnoteRef/>
      </w:r>
      <w:r>
        <w:t xml:space="preserve"> </w:t>
      </w:r>
      <w:r>
        <w:tab/>
        <w:t xml:space="preserve">As discussed in detail in section </w:t>
      </w:r>
      <w:r>
        <w:fldChar w:fldCharType="begin"/>
      </w:r>
      <w:r>
        <w:instrText xml:space="preserve"> REF _Ref478460051 \r \h </w:instrText>
      </w:r>
      <w:r>
        <w:fldChar w:fldCharType="separate"/>
      </w:r>
      <w:r>
        <w:t>G</w:t>
      </w:r>
      <w:r>
        <w:fldChar w:fldCharType="end"/>
      </w:r>
      <w:r>
        <w:t xml:space="preserve">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27">
    <w:p w:rsidR="002D334E" w:rsidRDefault="002D334E" w:rsidP="001D4715">
      <w:pPr>
        <w:pStyle w:val="FootnoteText"/>
      </w:pPr>
      <w:r>
        <w:rPr>
          <w:rStyle w:val="FootnoteReference"/>
        </w:rPr>
        <w:footnoteRef/>
      </w:r>
      <w:r>
        <w:t xml:space="preserve"> </w:t>
      </w:r>
      <w:r>
        <w:tab/>
        <w:t>But does not support an estimate beyond our range. We hold this view based on:</w:t>
      </w:r>
    </w:p>
    <w:p w:rsidR="002D334E" w:rsidRDefault="002D334E" w:rsidP="001D4715">
      <w:pPr>
        <w:pStyle w:val="FootnoteText"/>
      </w:pPr>
      <w:r>
        <w:tab/>
        <w:t>(1) the outcome of our conceptual analysis that a business with a similar degree of risk as AusNet Services (in providing regulated services) is likely to have an equity beta less than one;</w:t>
      </w:r>
    </w:p>
    <w:p w:rsidR="002D334E" w:rsidRDefault="002D334E" w:rsidP="001D4715">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28">
    <w:p w:rsidR="002D334E" w:rsidRDefault="002D334E" w:rsidP="001D4715">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 xml:space="preserve">; CEG, </w:t>
      </w:r>
      <w:r w:rsidRPr="000C309D">
        <w:rPr>
          <w:i/>
        </w:rPr>
        <w:t>Replication and extension of Henry’s beta analysis</w:t>
      </w:r>
      <w:r>
        <w:t xml:space="preserve">, 21 September 2016, pp. 2-3,14; CCP5, </w:t>
      </w:r>
      <w:r w:rsidRPr="00CB683F">
        <w:rPr>
          <w:rStyle w:val="AERtextitalic"/>
        </w:rPr>
        <w:t>Transmission for the Generations III–Response to: Revised revenue proposal by AusNet Services for Transmission Revenue Review 2017–22,</w:t>
      </w:r>
      <w:r>
        <w:t xml:space="preserve"> October 2016, pp. 10–11; CCP4 (Hugh Grant), </w:t>
      </w:r>
      <w:r w:rsidRPr="00CB683F">
        <w:rPr>
          <w:rStyle w:val="AERtextitalic"/>
        </w:rPr>
        <w:t>Submission to the AER: AER draft 2018–22 revenue decision Powerlink revised 208–22 revenue proposal</w:t>
      </w:r>
      <w:r>
        <w:t xml:space="preserve">, 23 December 2016, p. 45; </w:t>
      </w:r>
      <w:r w:rsidRPr="00744B73">
        <w:t xml:space="preserve">CCP4 (David Headberry), </w:t>
      </w:r>
      <w:r w:rsidRPr="00950EA8">
        <w:rPr>
          <w:rStyle w:val="AERtextitalic"/>
        </w:rPr>
        <w:t>Response to the AER Draft Decision and Revised Proposal to Powerlink's electricity transmission network for a revenue reset for the 2017-2019 regulatory period</w:t>
      </w:r>
      <w:r w:rsidRPr="004E503B">
        <w:t xml:space="preserve">, </w:t>
      </w:r>
      <w:r>
        <w:t xml:space="preserve">19 December 2016, p. 21; Cotton Australia, </w:t>
      </w:r>
      <w:r w:rsidRPr="00950EA8">
        <w:rPr>
          <w:rStyle w:val="AERtextitalic"/>
        </w:rPr>
        <w:t>Re: AER Draft Decision–Powerlink Electricity transmission revised revenue proposal 2017–2022,</w:t>
      </w:r>
      <w:r>
        <w:t xml:space="preserve"> 22 December 2016; Queensland farmers’ federation, </w:t>
      </w:r>
      <w:r w:rsidRPr="00950EA8">
        <w:rPr>
          <w:rStyle w:val="AERtextitalic"/>
        </w:rPr>
        <w:t>Re: Response on Australian Energy Regulator (AER) Draft Decision on Powerlink ‘s revenue proposal for the 2017/18 –2021/22 regulatory period</w:t>
      </w:r>
      <w:r>
        <w:t xml:space="preserve">, 30 November 2016; </w:t>
      </w:r>
      <w:r w:rsidRPr="00744B73">
        <w:t xml:space="preserve">CCP4 (David Headberry), </w:t>
      </w:r>
      <w:r w:rsidRPr="00950EA8">
        <w:rPr>
          <w:rStyle w:val="AERtextitalic"/>
        </w:rPr>
        <w:t>Response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744B73">
        <w:t xml:space="preserve">CCP4 (David Headberry), </w:t>
      </w:r>
      <w:r w:rsidRPr="00950EA8">
        <w:rPr>
          <w:rStyle w:val="AERtextitalic"/>
        </w:rPr>
        <w:t xml:space="preserve">Response to the AER Draft Decision and Revised Proposal to Tasmania's electricity distribution network service provider (TasNetworks - TND) for a revenue reset for the 2017-2019 regulatory </w:t>
      </w:r>
      <w:r w:rsidRPr="004E503B">
        <w:t xml:space="preserve">period, </w:t>
      </w:r>
      <w:r>
        <w:t>12 December</w:t>
      </w:r>
      <w:r w:rsidRPr="004E503B">
        <w:t xml:space="preserve"> 2016,</w:t>
      </w:r>
      <w:r>
        <w:t xml:space="preserve"> p. 31.</w:t>
      </w:r>
    </w:p>
  </w:footnote>
  <w:footnote w:id="229">
    <w:p w:rsidR="002D334E" w:rsidRDefault="002D334E" w:rsidP="001D4715">
      <w:pPr>
        <w:pStyle w:val="FootnoteText"/>
      </w:pPr>
      <w:r>
        <w:rPr>
          <w:rStyle w:val="FootnoteReference"/>
        </w:rPr>
        <w:footnoteRef/>
      </w:r>
      <w:r>
        <w:t xml:space="preserve"> </w:t>
      </w:r>
      <w:r>
        <w:tab/>
        <w:t xml:space="preserve">CEG, </w:t>
      </w:r>
      <w:r w:rsidRPr="000C309D">
        <w:rPr>
          <w:i/>
        </w:rPr>
        <w:t>Replication and extension of Henry’s beta analysis</w:t>
      </w:r>
      <w:r>
        <w:t xml:space="preserve">, 21 September 2016, pp. 2-3,14. </w:t>
      </w:r>
    </w:p>
  </w:footnote>
  <w:footnote w:id="230">
    <w:p w:rsidR="002D334E" w:rsidRDefault="002D334E" w:rsidP="001D4715">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21 September 2016, pp. 2-3,14</w:t>
      </w:r>
    </w:p>
  </w:footnote>
  <w:footnote w:id="231">
    <w:p w:rsidR="002D334E" w:rsidRDefault="002D334E" w:rsidP="001D4715">
      <w:pPr>
        <w:pStyle w:val="FootnoteText"/>
      </w:pPr>
      <w:r>
        <w:rPr>
          <w:rStyle w:val="FootnoteReference"/>
        </w:rPr>
        <w:footnoteRef/>
      </w:r>
      <w:r>
        <w:t xml:space="preserve"> </w:t>
      </w:r>
      <w:r>
        <w:tab/>
        <w:t xml:space="preserve">Partington and Satchell, </w:t>
      </w:r>
      <w:r w:rsidRPr="00D24089">
        <w:rPr>
          <w:rStyle w:val="AERtextitalic"/>
        </w:rPr>
        <w:t>Report to the AER: Discussion of estimates of the return on equity</w:t>
      </w:r>
      <w:r>
        <w:t>, 12 April 2017. p. 8, 14.</w:t>
      </w:r>
    </w:p>
  </w:footnote>
  <w:footnote w:id="232">
    <w:p w:rsidR="002D334E" w:rsidRDefault="002D334E" w:rsidP="001D4715">
      <w:pPr>
        <w:pStyle w:val="FootnoteText"/>
      </w:pPr>
      <w:r>
        <w:rPr>
          <w:rStyle w:val="FootnoteReference"/>
        </w:rPr>
        <w:footnoteRef/>
      </w:r>
      <w:r>
        <w:t xml:space="preserve"> </w:t>
      </w:r>
      <w:r>
        <w:tab/>
        <w:t>NER, cl. 6.5.2(f); NER, cl. 6A.6.2(f); NGR, r. 87(6). NEL, s.16; NGL, s. 23.</w:t>
      </w:r>
    </w:p>
  </w:footnote>
  <w:footnote w:id="233">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footnote>
  <w:footnote w:id="234">
    <w:p w:rsidR="002D334E" w:rsidRDefault="002D334E">
      <w:pPr>
        <w:pStyle w:val="FootnoteText"/>
      </w:pPr>
      <w:r>
        <w:rPr>
          <w:rStyle w:val="FootnoteReference"/>
        </w:rPr>
        <w:footnoteRef/>
      </w:r>
      <w:r>
        <w:t xml:space="preserve"> </w:t>
      </w:r>
      <w:r>
        <w:tab/>
        <w:t xml:space="preserve">AER Final decision, </w:t>
      </w:r>
      <w:r w:rsidRPr="00AB7824">
        <w:rPr>
          <w:rStyle w:val="AERtextitalic"/>
        </w:rPr>
        <w:t>SA Power Networks determination 2015 -16 to 2019 - 20, Attachment 3 - Rate of return</w:t>
      </w:r>
      <w:r>
        <w:t>, October 2015, pp. 451-62, 473-79, 496; AER Final decision</w:t>
      </w:r>
      <w:r w:rsidRPr="00AB7824">
        <w:rPr>
          <w:rStyle w:val="AERtextitalic"/>
        </w:rPr>
        <w:t>, Australian Gas Networks access arrangement 2016 to 2021, Attachment 3 - Rate of return</w:t>
      </w:r>
      <w:r>
        <w:t xml:space="preserve">, May 2016, pp. 41-87; AER Final decision, </w:t>
      </w:r>
      <w:r w:rsidRPr="00AB7824">
        <w:rPr>
          <w:rStyle w:val="AERtextitalic"/>
        </w:rPr>
        <w:t>AusNet Services distribution determination 2016 to 2020, Attachment 3 - Rate of return</w:t>
      </w:r>
      <w:r>
        <w:t>, May 2016, pp. 264-75</w:t>
      </w:r>
    </w:p>
  </w:footnote>
  <w:footnote w:id="235">
    <w:p w:rsidR="002D334E" w:rsidRDefault="002D334E"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36">
    <w:p w:rsidR="002D334E" w:rsidRDefault="002D334E">
      <w:pPr>
        <w:pStyle w:val="FootnoteText"/>
      </w:pPr>
      <w:r>
        <w:rPr>
          <w:rStyle w:val="FootnoteReference"/>
        </w:rPr>
        <w:footnoteRef/>
      </w:r>
      <w:r>
        <w:t xml:space="preserve"> </w:t>
      </w:r>
      <w:r>
        <w:tab/>
        <w:t xml:space="preserve">AER Final decision, </w:t>
      </w:r>
      <w:r w:rsidRPr="00EF131F">
        <w:rPr>
          <w:rStyle w:val="AERtextitalic"/>
        </w:rPr>
        <w:t>SA Power Networks determination 2015 -16 to 2019 - 20, Attachment 3 - Rate of return</w:t>
      </w:r>
      <w:r>
        <w:t xml:space="preserve">, October 2015, pp. 351-8, 501-5;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May 2016, pp. 44-90.</w:t>
      </w:r>
    </w:p>
  </w:footnote>
  <w:footnote w:id="237">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AER </w:t>
      </w:r>
      <w:r w:rsidRPr="00EF131F">
        <w:rPr>
          <w:rStyle w:val="AERtextitalic"/>
        </w:rPr>
        <w:t>Final decision, SA Power Networks determination 2015 -16 to 2019 - 20, Attachment 3 - Rate of return</w:t>
      </w:r>
      <w:r>
        <w:t xml:space="preserve">, October 2015, pp. 497-500; </w:t>
      </w:r>
    </w:p>
  </w:footnote>
  <w:footnote w:id="238">
    <w:p w:rsidR="002D334E" w:rsidRDefault="002D334E" w:rsidP="001D4715">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39">
    <w:p w:rsidR="002D334E" w:rsidRDefault="002D334E">
      <w:pPr>
        <w:pStyle w:val="FootnoteText"/>
      </w:pPr>
      <w:r>
        <w:rPr>
          <w:rStyle w:val="FootnoteReference"/>
        </w:rPr>
        <w:footnoteRef/>
      </w:r>
      <w:r>
        <w:t xml:space="preserve"> </w:t>
      </w:r>
      <w:r>
        <w:tab/>
        <w:t xml:space="preserve">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xml:space="preserve"> May 2016, pp. 44-90.</w:t>
      </w:r>
    </w:p>
  </w:footnote>
  <w:footnote w:id="240">
    <w:p w:rsidR="002D334E" w:rsidRDefault="002D334E" w:rsidP="001D4715">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2D334E" w:rsidRDefault="002D334E" w:rsidP="001D4715">
      <w:pPr>
        <w:pStyle w:val="FootnoteText"/>
      </w:pPr>
      <w:r>
        <w:tab/>
      </w:r>
      <w:r w:rsidRPr="00745914">
        <w:t xml:space="preserve">CitiPower, </w:t>
      </w:r>
      <w:r w:rsidRPr="00745914">
        <w:rPr>
          <w:rStyle w:val="AERtextitalic"/>
        </w:rPr>
        <w:t>Revised proposal</w:t>
      </w:r>
      <w:r w:rsidRPr="00745914">
        <w:t xml:space="preserve">, January 2016, pp. 311–313; Powercor, </w:t>
      </w:r>
      <w:r w:rsidRPr="00745914">
        <w:rPr>
          <w:rStyle w:val="Emphasis"/>
        </w:rPr>
        <w:t>Revised regulatory proposal 2016–2020,</w:t>
      </w:r>
      <w:r w:rsidRPr="00745914">
        <w:t xml:space="preserve"> January 2016, pp. 305–307;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87–91; United Energy, </w:t>
      </w:r>
      <w:r w:rsidRPr="00745914">
        <w:rPr>
          <w:rStyle w:val="Emphasis"/>
        </w:rPr>
        <w:t>Response to AER preliminary determination–Re: rate of return and gamma</w:t>
      </w:r>
      <w:r w:rsidRPr="00745914">
        <w:t xml:space="preserve">, 6 January 2016, pp. 65–67;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64–66.</w:t>
      </w:r>
      <w:r>
        <w:t xml:space="preserve"> </w:t>
      </w:r>
      <w:r>
        <w:tab/>
        <w:t xml:space="preserve">Also see Frontier Economics, </w:t>
      </w:r>
      <w:r>
        <w:rPr>
          <w:rStyle w:val="AERtextitalic"/>
        </w:rPr>
        <w:t>The required return on equity under a foundation model approach</w:t>
      </w:r>
      <w:r>
        <w:t>, January 2016, p. 39.</w:t>
      </w:r>
    </w:p>
  </w:footnote>
  <w:footnote w:id="241">
    <w:p w:rsidR="002D334E" w:rsidRDefault="002D334E">
      <w:pPr>
        <w:pStyle w:val="FootnoteText"/>
      </w:pPr>
      <w:r>
        <w:rPr>
          <w:rStyle w:val="FootnoteReference"/>
        </w:rPr>
        <w:footnoteRef/>
      </w:r>
      <w:r>
        <w:t xml:space="preserve"> </w:t>
      </w:r>
      <w:r>
        <w:tab/>
        <w:t xml:space="preserve">AER, </w:t>
      </w:r>
      <w:r w:rsidRPr="00EF131F">
        <w:rPr>
          <w:rStyle w:val="AERtextitalic"/>
        </w:rPr>
        <w:t>Final decision, SA Power Networks determination 2015 -16 to 2019 - 20, Attachment 3 - Rate of return</w:t>
      </w:r>
      <w:r>
        <w:t>, October 2015, pp. 501-5</w:t>
      </w:r>
      <w:r w:rsidRPr="00EC4749">
        <w:t>; AER</w:t>
      </w:r>
      <w:r>
        <w:t>,</w:t>
      </w:r>
      <w:r w:rsidRPr="00EC4749">
        <w:t xml:space="preserve"> </w:t>
      </w:r>
      <w:r w:rsidRPr="00EF131F">
        <w:rPr>
          <w:rStyle w:val="AERtextitalic"/>
        </w:rPr>
        <w:t>Final decision, Australian Gas Networks access arrangement 2016 to 2021, Attachment 3 - Rate of return</w:t>
      </w:r>
      <w:r w:rsidRPr="00EC4749">
        <w:t>, May 2016, pp. 41-87; AER</w:t>
      </w:r>
      <w:r>
        <w:t>,</w:t>
      </w:r>
      <w:r w:rsidRPr="00EC4749">
        <w:t xml:space="preserve"> </w:t>
      </w:r>
      <w:r w:rsidRPr="00EF131F">
        <w:rPr>
          <w:rStyle w:val="AERtextitalic"/>
        </w:rPr>
        <w:t>Final decision, AusNet Services distribution determination 2016 to 2020, Attachment 3 - Rate of return</w:t>
      </w:r>
      <w:r w:rsidRPr="00EC4749">
        <w:t>, May 2016, pp. 44-90</w:t>
      </w:r>
      <w:r>
        <w:t>.</w:t>
      </w:r>
    </w:p>
  </w:footnote>
  <w:footnote w:id="242">
    <w:p w:rsidR="002D334E" w:rsidRDefault="002D334E" w:rsidP="001D471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2D334E" w:rsidRDefault="002D334E" w:rsidP="001D4715">
      <w:pPr>
        <w:pStyle w:val="FootnoteText"/>
      </w:pPr>
      <w:r>
        <w:tab/>
      </w:r>
      <w:r w:rsidRPr="00745914">
        <w:t xml:space="preserve">Powercor, </w:t>
      </w:r>
      <w:r w:rsidRPr="00745914">
        <w:rPr>
          <w:rStyle w:val="Emphasis"/>
        </w:rPr>
        <w:t>Revised regulatory proposal 2016–2020,</w:t>
      </w:r>
      <w:r w:rsidRPr="00745914">
        <w:t xml:space="preserve"> January 2016, pp. 306–308;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88–91; United Energy, </w:t>
      </w:r>
      <w:r w:rsidRPr="00745914">
        <w:rPr>
          <w:rStyle w:val="Emphasis"/>
        </w:rPr>
        <w:t>Response to AER preliminary determination–Re: rate of return and gamma</w:t>
      </w:r>
      <w:r w:rsidRPr="00745914">
        <w:t xml:space="preserve">, 6 January 2016, pp. 66–68; AGN, </w:t>
      </w:r>
      <w:r w:rsidRPr="00745914">
        <w:rPr>
          <w:rStyle w:val="Emphasis"/>
        </w:rPr>
        <w:t>2016–17 to 2020/21 Access Arrangement information response to draft decision: Attachment 10.26 Response to draft decision: rate of return</w:t>
      </w:r>
      <w:r w:rsidRPr="00745914">
        <w:t xml:space="preserve">, January 2016, pp. 70–72;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71–73; AusNet Services, </w:t>
      </w:r>
      <w:r w:rsidRPr="00745914">
        <w:rPr>
          <w:rStyle w:val="Emphasis"/>
        </w:rPr>
        <w:t>Electricity distribution price review 2016–20 Revised regulatory proposal: Chapter 7 Rate of return &amp; gamma</w:t>
      </w:r>
      <w:r w:rsidRPr="00745914">
        <w:t>, 6 January 2016, pp. 65–67</w:t>
      </w:r>
      <w:r>
        <w:t>.</w:t>
      </w:r>
    </w:p>
  </w:footnote>
  <w:footnote w:id="243">
    <w:p w:rsidR="002D334E" w:rsidRDefault="002D334E">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October 2015, pp. 451-62</w:t>
      </w:r>
      <w:r w:rsidRPr="005E5E32">
        <w:t>; AER</w:t>
      </w:r>
      <w:r>
        <w:t>,</w:t>
      </w:r>
      <w:r w:rsidRPr="005E5E32">
        <w:t xml:space="preserve"> </w:t>
      </w:r>
      <w:r w:rsidRPr="008C4977">
        <w:rPr>
          <w:rStyle w:val="AERtextitalic"/>
        </w:rPr>
        <w:t>Final decision, Australian Gas Networks access arrangement 2016 to 2021, Attachment 3 - Rate of return</w:t>
      </w:r>
      <w:r w:rsidRPr="005E5E32">
        <w:t>, May 2016, pp. 41-87; AER</w:t>
      </w:r>
      <w:r w:rsidRPr="008C4977">
        <w:rPr>
          <w:rStyle w:val="AERtextitalic"/>
        </w:rPr>
        <w:t>, Final decision, AusNet Services distribution determination 2016 to 2020, Attachment 3 - Rate of return</w:t>
      </w:r>
      <w:r w:rsidRPr="005E5E32">
        <w:t>, May 2016, pp. 44-90.</w:t>
      </w:r>
    </w:p>
  </w:footnote>
  <w:footnote w:id="244">
    <w:p w:rsidR="002D334E" w:rsidRDefault="002D334E">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October 2015, pp. 451-62</w:t>
      </w:r>
      <w:r w:rsidRPr="005E5E32">
        <w:t>; AER</w:t>
      </w:r>
      <w:r>
        <w:t>,</w:t>
      </w:r>
      <w:r w:rsidRPr="005E5E32">
        <w:t xml:space="preserve"> </w:t>
      </w:r>
      <w:r w:rsidRPr="008C4977">
        <w:rPr>
          <w:rStyle w:val="AERtextitalic"/>
        </w:rPr>
        <w:t>Final decision, Australian Gas Networks access arrangement 2016 to 2021, Attachment 3 - Rate of return</w:t>
      </w:r>
      <w:r w:rsidRPr="005E5E32">
        <w:t>, May 2016, pp. 41-87; AER</w:t>
      </w:r>
      <w:r w:rsidRPr="008C4977">
        <w:rPr>
          <w:rStyle w:val="AERtextitalic"/>
        </w:rPr>
        <w:t>, Final decision, AusNet Services distribution determination 2016 to 2020, Attachment 3 - Rate of return</w:t>
      </w:r>
      <w:r w:rsidRPr="005E5E32">
        <w:t>, May 2016, pp. 44-90.</w:t>
      </w:r>
    </w:p>
  </w:footnote>
  <w:footnote w:id="245">
    <w:p w:rsidR="002D334E" w:rsidRDefault="002D334E"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xml:space="preserve">, January 2016, pp. 104-105. </w:t>
      </w:r>
    </w:p>
  </w:footnote>
  <w:footnote w:id="246">
    <w:p w:rsidR="002D334E" w:rsidRDefault="002D334E">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May 2016, pp. 264-75.</w:t>
      </w:r>
    </w:p>
  </w:footnote>
  <w:footnote w:id="247">
    <w:p w:rsidR="002D334E" w:rsidRDefault="002D334E"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w:t>
      </w:r>
    </w:p>
  </w:footnote>
  <w:footnote w:id="248">
    <w:p w:rsidR="002D334E" w:rsidRDefault="002D334E" w:rsidP="001D4715">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xml:space="preserve">, pp. 92–93. </w:t>
      </w:r>
    </w:p>
  </w:footnote>
  <w:footnote w:id="249">
    <w:p w:rsidR="002D334E" w:rsidRDefault="002D334E">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264-75.</w:t>
      </w:r>
    </w:p>
  </w:footnote>
  <w:footnote w:id="250">
    <w:p w:rsidR="002D334E" w:rsidRDefault="002D334E" w:rsidP="001D4715">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2D334E" w:rsidRDefault="002D334E" w:rsidP="001D4715">
      <w:pPr>
        <w:pStyle w:val="FootnoteText"/>
      </w:pPr>
      <w:r>
        <w:tab/>
      </w:r>
      <w:r w:rsidRPr="00745914">
        <w:t xml:space="preserve">Powercor, </w:t>
      </w:r>
      <w:r w:rsidRPr="00745914">
        <w:rPr>
          <w:rStyle w:val="Emphasis"/>
        </w:rPr>
        <w:t>Revised regulatory proposal 2016–2020,</w:t>
      </w:r>
      <w:r w:rsidRPr="00745914">
        <w:t xml:space="preserve"> January 2016, pp. 304–305;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87–88; United Energy, </w:t>
      </w:r>
      <w:r w:rsidRPr="00745914">
        <w:rPr>
          <w:rStyle w:val="Emphasis"/>
        </w:rPr>
        <w:t>Response to AER preliminary determination–Re: rate of return and gamma</w:t>
      </w:r>
      <w:r w:rsidRPr="00745914">
        <w:t xml:space="preserve">, 6 January 2016, pp. 64–65; AGN, </w:t>
      </w:r>
      <w:r w:rsidRPr="00745914">
        <w:rPr>
          <w:rStyle w:val="Emphasis"/>
        </w:rPr>
        <w:t>2016–17 to 2020/21 Access Arrangement information response to draft decision: Attachment 10.26 Response to draft decision: rate of return</w:t>
      </w:r>
      <w:r w:rsidRPr="00745914">
        <w:t xml:space="preserve">, January 2016, pp. 69–70;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69–70; AusNet Services, </w:t>
      </w:r>
      <w:r w:rsidRPr="00745914">
        <w:rPr>
          <w:rStyle w:val="Emphasis"/>
        </w:rPr>
        <w:t>Electricity distribution price review 2016–20 Revised regulatory proposal: Chapter 7 Rate of return &amp; gamma</w:t>
      </w:r>
      <w:r w:rsidRPr="00745914">
        <w:t>, 6 January 2016, pp. 63–64.</w:t>
      </w:r>
    </w:p>
  </w:footnote>
  <w:footnote w:id="251">
    <w:p w:rsidR="002D334E" w:rsidRDefault="002D334E" w:rsidP="001D471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 p. 4.</w:t>
      </w:r>
    </w:p>
  </w:footnote>
  <w:footnote w:id="252">
    <w:p w:rsidR="002D334E" w:rsidRDefault="002D334E">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xml:space="preserve">, October 2015, pp. 463-72;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May 2016, pp. 44-90, 256-9.</w:t>
      </w:r>
    </w:p>
  </w:footnote>
  <w:footnote w:id="253">
    <w:p w:rsidR="002D334E" w:rsidRDefault="002D334E" w:rsidP="001D4715">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46–58. </w:t>
      </w:r>
    </w:p>
  </w:footnote>
  <w:footnote w:id="254">
    <w:p w:rsidR="002D334E" w:rsidRDefault="002D334E">
      <w:pPr>
        <w:pStyle w:val="FootnoteText"/>
      </w:pPr>
      <w:r>
        <w:rPr>
          <w:rStyle w:val="FootnoteReference"/>
        </w:rPr>
        <w:footnoteRef/>
      </w:r>
      <w:r>
        <w:t xml:space="preserve"> </w:t>
      </w:r>
      <w:r>
        <w:tab/>
        <w:t xml:space="preserve">AER, </w:t>
      </w:r>
      <w:r w:rsidRPr="00FE6698">
        <w:rPr>
          <w:rStyle w:val="AERtextitalic"/>
        </w:rPr>
        <w:t>Final decision, SA Power Networks determination 2015 -16 to 2019 - 20, Attachment 3 - Rate of return</w:t>
      </w:r>
      <w:r>
        <w:t xml:space="preserve">, October 2015, pp. 463-72;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w:t>
      </w:r>
      <w:r>
        <w:t>, Attachment 3 - Rate of return, May 2016, pp. 44-90.</w:t>
      </w:r>
    </w:p>
  </w:footnote>
  <w:footnote w:id="255">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6">
    <w:p w:rsidR="002D334E" w:rsidRDefault="002D334E">
      <w:pPr>
        <w:pStyle w:val="FootnoteText"/>
      </w:pPr>
      <w:r>
        <w:rPr>
          <w:rStyle w:val="FootnoteReference"/>
        </w:rPr>
        <w:footnoteRef/>
      </w:r>
      <w:r>
        <w:t xml:space="preserve"> </w:t>
      </w:r>
      <w:r>
        <w:tab/>
        <w:t xml:space="preserve">AER, </w:t>
      </w:r>
      <w:r w:rsidRPr="00FE6698">
        <w:rPr>
          <w:rStyle w:val="AERtextitalic"/>
        </w:rPr>
        <w:t>Final decision, SA Power Networks determination 2015 -16 to 2019 - 20, Attachment 3 - Rate of return, October 2015,</w:t>
      </w:r>
      <w:r>
        <w:t xml:space="preserve"> pp. 463-72; AER, Final decision, </w:t>
      </w:r>
      <w:r w:rsidRPr="00FE6698">
        <w:rPr>
          <w:rStyle w:val="AERtextitalic"/>
        </w:rPr>
        <w:t>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257">
    <w:p w:rsidR="002D334E" w:rsidRDefault="002D334E"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Also see Frontier Economics, </w:t>
      </w:r>
      <w:r w:rsidRPr="00331E87">
        <w:rPr>
          <w:rStyle w:val="AERtextitalic"/>
        </w:rPr>
        <w:t>Estimating the equity beta for the benchmark efficient entity</w:t>
      </w:r>
      <w:r>
        <w:t xml:space="preserve">, January 2016, pp. 5–6. </w:t>
      </w:r>
    </w:p>
  </w:footnote>
  <w:footnote w:id="258">
    <w:p w:rsidR="002D334E" w:rsidRDefault="002D334E">
      <w:pPr>
        <w:pStyle w:val="FootnoteText"/>
      </w:pPr>
      <w:r>
        <w:rPr>
          <w:rStyle w:val="FootnoteReference"/>
        </w:rPr>
        <w:footnoteRef/>
      </w:r>
      <w:r>
        <w:t xml:space="preserve"> </w:t>
      </w:r>
      <w:r>
        <w:tab/>
        <w:t xml:space="preserve">AER, </w:t>
      </w:r>
      <w:r w:rsidRPr="00FE6698">
        <w:rPr>
          <w:rStyle w:val="AERtextitalic"/>
        </w:rPr>
        <w:t>Final decision, SA Power Networks determination 2015 -16 to 2019 - 20, Attachment 3 - Rate of return</w:t>
      </w:r>
      <w:r>
        <w:t xml:space="preserve">, October 2015, pp. 463-72, 483-90;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259">
    <w:p w:rsidR="002D334E" w:rsidRDefault="002D334E" w:rsidP="001D4715">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60">
    <w:p w:rsidR="002D334E" w:rsidRDefault="002D334E"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61">
    <w:p w:rsidR="002D334E" w:rsidRDefault="002D334E" w:rsidP="001D4715">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xml:space="preserve">, May 2014, pp. 79–81; AER, </w:t>
      </w:r>
      <w:r w:rsidRPr="00F34E7E">
        <w:rPr>
          <w:rStyle w:val="AERtextitalic"/>
        </w:rPr>
        <w:t>Final decision, SA Power Networks determination 2015 -16 to 2019 - 20, Attachment 3 - Rate of return</w:t>
      </w:r>
      <w:r>
        <w:t xml:space="preserve">, October 2015, pp. 463-72;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262">
    <w:p w:rsidR="002D334E" w:rsidRDefault="002D334E"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63">
    <w:p w:rsidR="002D334E" w:rsidRDefault="002D334E" w:rsidP="001D4715">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xml:space="preserve">, April 2014, p. 35; AER, </w:t>
      </w:r>
      <w:r w:rsidRPr="00F34E7E">
        <w:rPr>
          <w:rStyle w:val="AERtextitalic"/>
        </w:rPr>
        <w:t>Final decision, SA Power Networks determination 2015 -16 to 2019 - 20, Attachment 3 - Rate of return,</w:t>
      </w:r>
      <w:r>
        <w:t xml:space="preserve"> October 2015, pp. 33-143;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264">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January 2016, pp. 4–5; AER</w:t>
      </w:r>
      <w:r w:rsidRPr="00950EA8">
        <w:rPr>
          <w:rStyle w:val="AERtextitalic"/>
        </w:rPr>
        <w:t>, Final decision, SA Power Networks determination 2015 -16 to 2019 - 20, Attachment 3 - Rate of return</w:t>
      </w:r>
      <w:r>
        <w:t xml:space="preserve">, October 2015, pp. 463-72. </w:t>
      </w:r>
    </w:p>
  </w:footnote>
  <w:footnote w:id="265">
    <w:p w:rsidR="002D334E" w:rsidRDefault="002D334E">
      <w:pPr>
        <w:pStyle w:val="FootnoteText"/>
      </w:pPr>
      <w:r>
        <w:rPr>
          <w:rStyle w:val="FootnoteReference"/>
        </w:rPr>
        <w:footnoteRef/>
      </w:r>
      <w:r>
        <w:t xml:space="preserve"> </w:t>
      </w:r>
      <w:r>
        <w:tab/>
        <w:t xml:space="preserve">AER, </w:t>
      </w:r>
      <w:r w:rsidRPr="00AB7824">
        <w:rPr>
          <w:rStyle w:val="AERtextitalic"/>
        </w:rPr>
        <w:t>Final decision, Australian Gas Networks access arrangement 2016 to 2021, Attachment 3 - Rate of return</w:t>
      </w:r>
      <w:r>
        <w:t xml:space="preserve">, May 2016, pp. 41-87; AER, </w:t>
      </w:r>
      <w:r w:rsidRPr="00AB7824">
        <w:rPr>
          <w:rStyle w:val="AERtextitalic"/>
        </w:rPr>
        <w:t>Final decision, AusNet Services distribution determination 2016 to 2020, Attachment 3 - Rate of return</w:t>
      </w:r>
      <w:r>
        <w:t>, May 2016, pp. 44-90.</w:t>
      </w:r>
    </w:p>
  </w:footnote>
  <w:footnote w:id="266">
    <w:p w:rsidR="002D334E" w:rsidRDefault="002D334E" w:rsidP="001D4715">
      <w:pPr>
        <w:pStyle w:val="FootnoteText"/>
      </w:pPr>
      <w:r>
        <w:rPr>
          <w:rStyle w:val="FootnoteReference"/>
        </w:rPr>
        <w:footnoteRef/>
      </w:r>
      <w:r>
        <w:t xml:space="preserve"> </w:t>
      </w:r>
      <w:r>
        <w:tab/>
      </w:r>
      <w:r w:rsidRPr="003C4210">
        <w:t xml:space="preserve">Henry, </w:t>
      </w:r>
      <w:r w:rsidRPr="00A164C0">
        <w:rPr>
          <w:i/>
        </w:rPr>
        <w:t>Estimating β: An update</w:t>
      </w:r>
      <w:r w:rsidRPr="003C4210">
        <w:t>, April 2014, p. 35</w:t>
      </w:r>
      <w:r>
        <w:t xml:space="preserve">; CEG, </w:t>
      </w:r>
      <w:r w:rsidRPr="000C309D">
        <w:rPr>
          <w:i/>
        </w:rPr>
        <w:t>Replication and extension of Henry’s beta analysis</w:t>
      </w:r>
      <w:r>
        <w:t>, 21 September 2016, pp.  6, 9–12, 17.</w:t>
      </w:r>
    </w:p>
  </w:footnote>
  <w:footnote w:id="267">
    <w:p w:rsidR="002D334E" w:rsidRDefault="002D334E" w:rsidP="001D4715">
      <w:pPr>
        <w:pStyle w:val="FootnoteText"/>
      </w:pPr>
      <w:r>
        <w:rPr>
          <w:rStyle w:val="FootnoteReference"/>
        </w:rPr>
        <w:footnoteRef/>
      </w:r>
      <w:r>
        <w:t xml:space="preserve"> </w:t>
      </w:r>
      <w:r>
        <w:tab/>
        <w:t xml:space="preserve">CEG, </w:t>
      </w:r>
      <w:r w:rsidRPr="000C309D">
        <w:rPr>
          <w:i/>
        </w:rPr>
        <w:t>Replication and extension of Henry’s beta analysis</w:t>
      </w:r>
      <w:r>
        <w:t>, 21 September 2016, p.  6.</w:t>
      </w:r>
    </w:p>
  </w:footnote>
  <w:footnote w:id="268">
    <w:p w:rsidR="002D334E" w:rsidRDefault="002D334E"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2D334E" w:rsidRDefault="002D334E" w:rsidP="001D4715">
      <w:pPr>
        <w:pStyle w:val="FootnoteText"/>
      </w:pPr>
      <w:r>
        <w:tab/>
      </w:r>
      <w:r w:rsidRPr="00745914">
        <w:t xml:space="preserve">Powercor, </w:t>
      </w:r>
      <w:r w:rsidRPr="00745914">
        <w:rPr>
          <w:rStyle w:val="Emphasis"/>
        </w:rPr>
        <w:t>Revised regulatory proposal 2016–2020,</w:t>
      </w:r>
      <w:r w:rsidRPr="00745914">
        <w:t xml:space="preserve"> January 2016, pp. 308–309; ActewAGL, </w:t>
      </w:r>
      <w:r w:rsidRPr="00745914">
        <w:rPr>
          <w:rStyle w:val="Emphasis"/>
        </w:rPr>
        <w:t>Revised 2016–21 access arrangement proposal Response to the AER's draft decision, Appendix 5.01 Detailed response to rate of return, gamma and inflation</w:t>
      </w:r>
      <w:r w:rsidRPr="00745914">
        <w:t xml:space="preserve">, January 2016, pp. 91–92; United Energy, </w:t>
      </w:r>
      <w:r w:rsidRPr="00745914">
        <w:rPr>
          <w:rStyle w:val="Emphasis"/>
        </w:rPr>
        <w:t>Response to AER preliminary determination–Re: rate of return and gamma</w:t>
      </w:r>
      <w:r w:rsidRPr="00745914">
        <w:t xml:space="preserve">, 6 January 2016, p. 68; AGN, </w:t>
      </w:r>
      <w:r w:rsidRPr="00745914">
        <w:rPr>
          <w:rStyle w:val="Emphasis"/>
        </w:rPr>
        <w:t>2016–17 to 2020/21 Access Arrangement information response to draft decision: Attachment 10.26 Response to draft decision: rate of return</w:t>
      </w:r>
      <w:r w:rsidRPr="00745914">
        <w:t xml:space="preserve">, January 2016, pp. 72–73;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73–74; AusNet Services, </w:t>
      </w:r>
      <w:r w:rsidRPr="00745914">
        <w:rPr>
          <w:rStyle w:val="Emphasis"/>
        </w:rPr>
        <w:t>Electricity distribution price review 2016–20 Revised regulatory proposal: Chapter 7 Rate of return &amp; gamma</w:t>
      </w:r>
      <w:r w:rsidRPr="00745914">
        <w:t>, 6 January 2016, p. 67</w:t>
      </w:r>
      <w:r>
        <w:t xml:space="preserve">. </w:t>
      </w:r>
    </w:p>
  </w:footnote>
  <w:footnote w:id="269">
    <w:p w:rsidR="002D334E" w:rsidRDefault="002D334E">
      <w:pPr>
        <w:pStyle w:val="FootnoteText"/>
      </w:pPr>
      <w:r>
        <w:rPr>
          <w:rStyle w:val="FootnoteReference"/>
        </w:rPr>
        <w:footnoteRef/>
      </w:r>
      <w:r>
        <w:t xml:space="preserve"> </w:t>
      </w:r>
      <w:r>
        <w:tab/>
        <w:t xml:space="preserve">AER, </w:t>
      </w:r>
      <w:r w:rsidRPr="00AB7824">
        <w:rPr>
          <w:rStyle w:val="AERtextitalic"/>
        </w:rPr>
        <w:t>Final decision, SA Power Networks determination 2015 -16 to 2019 - 20, Attachment 3 - Rate of return</w:t>
      </w:r>
      <w:r>
        <w:t xml:space="preserve">, October 2015, pp. 496; AER, </w:t>
      </w:r>
      <w:r w:rsidRPr="00AB7824">
        <w:rPr>
          <w:rStyle w:val="AERtextitalic"/>
        </w:rPr>
        <w:t>Final decision, Australian Gas Networks access arrangement 2016 to 2021, Attachment 3 - Rate of return</w:t>
      </w:r>
      <w:r>
        <w:t>, May 2016, pp. 41-87; AER</w:t>
      </w:r>
      <w:r w:rsidRPr="00AB7824">
        <w:rPr>
          <w:rStyle w:val="AERtextitalic"/>
        </w:rPr>
        <w:t>, Final decision, AusNet Services distribution determination 2016 to 2020, Attachment 3 - Rate of return</w:t>
      </w:r>
      <w:r>
        <w:t>, May 2016, pp. 256-75.</w:t>
      </w:r>
    </w:p>
  </w:footnote>
  <w:footnote w:id="270">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2D334E" w:rsidRDefault="002D334E" w:rsidP="001D4715">
      <w:pPr>
        <w:pStyle w:val="FootnoteText"/>
      </w:pPr>
      <w:r>
        <w:tab/>
      </w:r>
      <w:r w:rsidRPr="00745914">
        <w:t xml:space="preserve">Powercor, </w:t>
      </w:r>
      <w:r w:rsidRPr="00745914">
        <w:rPr>
          <w:rStyle w:val="Emphasis"/>
        </w:rPr>
        <w:t>Revised regulatory proposal 2016–2020,</w:t>
      </w:r>
      <w:r w:rsidRPr="00745914">
        <w:t xml:space="preserve"> January 2016, pp. 305–308;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87–89; United Energy, </w:t>
      </w:r>
      <w:r w:rsidRPr="00745914">
        <w:rPr>
          <w:rStyle w:val="Emphasis"/>
        </w:rPr>
        <w:t>Response to AER preliminary determination–Re: rate of return and gamma</w:t>
      </w:r>
      <w:r w:rsidRPr="00745914">
        <w:t xml:space="preserve">, 6 January 2016, pp. 65–66;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64–65.</w:t>
      </w:r>
    </w:p>
  </w:footnote>
  <w:footnote w:id="271">
    <w:p w:rsidR="002D334E" w:rsidRDefault="002D334E" w:rsidP="001D4715">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72">
    <w:p w:rsidR="002D334E" w:rsidRDefault="002D334E" w:rsidP="001D4715">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73">
    <w:p w:rsidR="002D334E" w:rsidRDefault="002D334E">
      <w:pPr>
        <w:pStyle w:val="FootnoteText"/>
      </w:pPr>
      <w:r>
        <w:rPr>
          <w:rStyle w:val="FootnoteReference"/>
        </w:rPr>
        <w:footnoteRef/>
      </w:r>
      <w:r>
        <w:t xml:space="preserve"> </w:t>
      </w:r>
      <w:r>
        <w:tab/>
        <w:t xml:space="preserve">AER, </w:t>
      </w:r>
      <w:r w:rsidRPr="00AB7824">
        <w:rPr>
          <w:rStyle w:val="AERtextitalic"/>
        </w:rPr>
        <w:t>Final decision, SA Power Networks determination 2015 -16 to 2019 - 20, Attachment 3 - Rate of return</w:t>
      </w:r>
      <w:r>
        <w:t xml:space="preserve">, October 2015, pp. 473-9; AER, </w:t>
      </w:r>
      <w:r w:rsidRPr="00AB7824">
        <w:rPr>
          <w:rStyle w:val="AERtextitalic"/>
        </w:rPr>
        <w:t>Final decision, Australian Gas Networks access arrangement 2016 to 2021, Attachment 3 - Rate of return</w:t>
      </w:r>
      <w:r>
        <w:t xml:space="preserve">, May 2016, pp. 41-87; AER, </w:t>
      </w:r>
      <w:r w:rsidRPr="00AB7824">
        <w:rPr>
          <w:rStyle w:val="AERtextitalic"/>
        </w:rPr>
        <w:t>Final decision, AusNet Services distribution determination 2016 to 2020, Attachment 3 - Rate of return</w:t>
      </w:r>
      <w:r>
        <w:t>, May 2016, pp. 265-6, 267-8.</w:t>
      </w:r>
    </w:p>
  </w:footnote>
  <w:footnote w:id="274">
    <w:p w:rsidR="002D334E" w:rsidRDefault="002D334E" w:rsidP="001D4715">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AER, </w:t>
      </w:r>
      <w:r w:rsidRPr="00950EA8">
        <w:rPr>
          <w:rStyle w:val="AERtextitalic"/>
        </w:rPr>
        <w:t>Final decision, SA Power Networks determination 2015 -16 to 2019 - 20, Attachment 3 - Rate of return</w:t>
      </w:r>
      <w:r>
        <w:t xml:space="preserve">, October 2015, pp. 495-505; AER, </w:t>
      </w:r>
      <w:r w:rsidRPr="00950EA8">
        <w:rPr>
          <w:rStyle w:val="AERtextitalic"/>
        </w:rPr>
        <w:t>Final decision, Australian Gas Networks access arrangement 2016 to 2021, Attachment 3 - Rate of return</w:t>
      </w:r>
      <w:r>
        <w:t xml:space="preserve">, May 2016, pp. 41-87; AER, </w:t>
      </w:r>
      <w:r w:rsidRPr="00950EA8">
        <w:rPr>
          <w:rStyle w:val="AERtextitalic"/>
        </w:rPr>
        <w:t>Final decision, AusNet Services distribution determination 2016 to 2020, Attachment 3 - Rate of return</w:t>
      </w:r>
      <w:r>
        <w:t xml:space="preserve">, May 2016, pp. 256-9.    </w:t>
      </w:r>
    </w:p>
  </w:footnote>
  <w:footnote w:id="275">
    <w:p w:rsidR="002D334E" w:rsidRDefault="002D334E" w:rsidP="001D4715">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76">
    <w:p w:rsidR="002D334E" w:rsidRDefault="002D334E">
      <w:pPr>
        <w:pStyle w:val="FootnoteText"/>
      </w:pPr>
      <w:r>
        <w:rPr>
          <w:rStyle w:val="FootnoteReference"/>
        </w:rPr>
        <w:footnoteRef/>
      </w:r>
      <w:r>
        <w:t xml:space="preserve"> </w:t>
      </w:r>
      <w:r>
        <w:tab/>
        <w:t>AER</w:t>
      </w:r>
      <w:r w:rsidRPr="00AB7824">
        <w:rPr>
          <w:rStyle w:val="AERtextitalic"/>
        </w:rPr>
        <w:t>, Final decision, SA Power Networks determination 2015 -16 to 2019 - 20, Attachment 3 - Rate of return</w:t>
      </w:r>
      <w:r>
        <w:t xml:space="preserve">, October 2015, pp. 480-2; AER, </w:t>
      </w:r>
      <w:r w:rsidRPr="00AB7824">
        <w:rPr>
          <w:rStyle w:val="AERtextitalic"/>
        </w:rPr>
        <w:t>Final decision, Australian Gas Networks access arrangement 2016 to 2021, Attachment 3 - Rate of return</w:t>
      </w:r>
      <w:r>
        <w:t xml:space="preserve">, May 2016, pp. 41-87; AER, </w:t>
      </w:r>
      <w:r w:rsidRPr="00AB7824">
        <w:rPr>
          <w:rStyle w:val="AERtextitalic"/>
        </w:rPr>
        <w:t>Final decision, AusNet Services distribution determination 2016 to 2020, Attachment 3 - Rate of return</w:t>
      </w:r>
      <w:r>
        <w:t>, May 2016, pp. 260-1.</w:t>
      </w:r>
    </w:p>
  </w:footnote>
  <w:footnote w:id="277">
    <w:p w:rsidR="002D334E" w:rsidRDefault="002D334E" w:rsidP="001D4715">
      <w:pPr>
        <w:pStyle w:val="FootnoteText"/>
      </w:pPr>
      <w:r>
        <w:rPr>
          <w:rStyle w:val="FootnoteReference"/>
        </w:rPr>
        <w:footnoteRef/>
      </w:r>
      <w:r>
        <w:t xml:space="preserve"> </w:t>
      </w:r>
      <w:r>
        <w:tab/>
        <w:t xml:space="preserve">CCP5, </w:t>
      </w:r>
      <w:r w:rsidRPr="00AE3365">
        <w:rPr>
          <w:i/>
        </w:rPr>
        <w:t>Transmission for the Generations III–Response to: AER draft decision for AusNet Services’ Transmission Revenue Review 2017–22</w:t>
      </w:r>
      <w:r>
        <w:t>, October 2016, pp. 20–21.</w:t>
      </w:r>
    </w:p>
  </w:footnote>
  <w:footnote w:id="278">
    <w:p w:rsidR="002D334E" w:rsidRDefault="002D334E" w:rsidP="001D4715">
      <w:pPr>
        <w:pStyle w:val="FootnoteText"/>
      </w:pPr>
      <w:r>
        <w:rPr>
          <w:rStyle w:val="FootnoteReference"/>
        </w:rPr>
        <w:footnoteRef/>
      </w:r>
      <w:r>
        <w:t xml:space="preserve"> </w:t>
      </w:r>
      <w:r>
        <w:tab/>
        <w:t>AER</w:t>
      </w:r>
      <w:r w:rsidRPr="00950EA8">
        <w:rPr>
          <w:rStyle w:val="AERtextitalic"/>
        </w:rPr>
        <w:t>, Better Regulation Explanatory Statement: Rate of return Guideline</w:t>
      </w:r>
      <w:r>
        <w:t xml:space="preserve">, December 2013, pp. 85–88.  </w:t>
      </w:r>
    </w:p>
  </w:footnote>
  <w:footnote w:id="279">
    <w:p w:rsidR="002D334E" w:rsidRDefault="002D334E" w:rsidP="001D4715">
      <w:pPr>
        <w:pStyle w:val="FootnoteText"/>
      </w:pPr>
      <w:r>
        <w:rPr>
          <w:rStyle w:val="FootnoteReference"/>
        </w:rPr>
        <w:footnoteRef/>
      </w:r>
      <w:r>
        <w:t xml:space="preserve"> </w:t>
      </w:r>
      <w:r>
        <w:tab/>
        <w:t xml:space="preserve">AER, </w:t>
      </w:r>
      <w:r w:rsidRPr="00950EA8">
        <w:rPr>
          <w:rStyle w:val="AERtextitalic"/>
        </w:rPr>
        <w:t>Better Regulation Explanatory Statement: Rate of return Guideline</w:t>
      </w:r>
      <w:r>
        <w:t>, December 2013, pp. 85–88.</w:t>
      </w:r>
    </w:p>
  </w:footnote>
  <w:footnote w:id="280">
    <w:p w:rsidR="002D334E" w:rsidRDefault="002D334E" w:rsidP="001D4715">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w:t>
      </w:r>
    </w:p>
  </w:footnote>
  <w:footnote w:id="281">
    <w:p w:rsidR="002D334E" w:rsidRDefault="002D334E" w:rsidP="001D4715">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950EA8">
        <w:rPr>
          <w:rStyle w:val="AERtextitalic"/>
        </w:rPr>
        <w:t>submission with AusNet Transmission Group Pty Ltd Transmission Revenue Review 2017-2022, Revised Revenue Proposal</w:t>
      </w:r>
      <w:r>
        <w:t>, 21 September 2016, pp. 1, 6, 9, 13.</w:t>
      </w:r>
    </w:p>
  </w:footnote>
  <w:footnote w:id="282">
    <w:p w:rsidR="002D334E" w:rsidRDefault="002D334E">
      <w:pPr>
        <w:pStyle w:val="FootnoteText"/>
      </w:pPr>
      <w:r>
        <w:rPr>
          <w:rStyle w:val="FootnoteReference"/>
        </w:rPr>
        <w:footnoteRef/>
      </w:r>
      <w:r>
        <w:t xml:space="preserve"> </w:t>
      </w:r>
      <w:r>
        <w:tab/>
        <w:t xml:space="preserve">CEG, </w:t>
      </w:r>
      <w:r w:rsidRPr="00950EA8">
        <w:rPr>
          <w:rStyle w:val="AERtextitalic"/>
        </w:rPr>
        <w:t>Replication and extension of Henry’s beta analysis, submission with AusNet Transmission Group Pty Ltd Transmission Revenue Review 2017-2022, Revised Revenue Proposal</w:t>
      </w:r>
      <w:r>
        <w:t>, 21 September 2016, pp. 1, 6, 9, 13.</w:t>
      </w:r>
    </w:p>
  </w:footnote>
  <w:footnote w:id="283">
    <w:p w:rsidR="002D334E" w:rsidRDefault="002D334E" w:rsidP="00950EA8">
      <w:pPr>
        <w:pStyle w:val="FootnoteText"/>
        <w:tabs>
          <w:tab w:val="left" w:pos="5550"/>
        </w:tabs>
      </w:pPr>
      <w:r>
        <w:rPr>
          <w:rStyle w:val="FootnoteReference"/>
        </w:rPr>
        <w:footnoteRef/>
      </w:r>
      <w:r>
        <w:t xml:space="preserve"> </w:t>
      </w:r>
      <w:r>
        <w:tab/>
        <w:t xml:space="preserve">Partington and Satchell, </w:t>
      </w:r>
      <w:r w:rsidRPr="00F35251">
        <w:rPr>
          <w:rStyle w:val="AERtextitalic"/>
        </w:rPr>
        <w:t>Report to the AER: Discussion of estimates of the return on equity</w:t>
      </w:r>
      <w:r w:rsidRPr="00F35251">
        <w:t xml:space="preserve">, </w:t>
      </w:r>
      <w:r>
        <w:t>12 April</w:t>
      </w:r>
      <w:r w:rsidRPr="00F35251">
        <w:t xml:space="preserve"> 2017, p</w:t>
      </w:r>
      <w:r>
        <w:t>p</w:t>
      </w:r>
      <w:r w:rsidRPr="00F35251">
        <w:t xml:space="preserve">. </w:t>
      </w:r>
      <w:r>
        <w:t>8, 14.</w:t>
      </w:r>
    </w:p>
  </w:footnote>
  <w:footnote w:id="284">
    <w:p w:rsidR="002D334E" w:rsidRDefault="002D334E">
      <w:pPr>
        <w:pStyle w:val="FootnoteText"/>
      </w:pPr>
      <w:r>
        <w:rPr>
          <w:rStyle w:val="FootnoteReference"/>
        </w:rPr>
        <w:footnoteRef/>
      </w:r>
      <w:r>
        <w:t xml:space="preserve"> </w:t>
      </w:r>
      <w:r>
        <w:tab/>
        <w:t xml:space="preserve">CEG, </w:t>
      </w:r>
      <w:r w:rsidRPr="00950EA8">
        <w:rPr>
          <w:rStyle w:val="AERtextitalic"/>
        </w:rPr>
        <w:t>Replication and extension of Henry’s beta analysis, submission with AusNet Transmission Group Pty Ltd Transmission Revenue Review 2017-2022, Revised Revenue Proposal</w:t>
      </w:r>
      <w:r>
        <w:t>, 21 September 2016, pp. 13, 22.</w:t>
      </w:r>
    </w:p>
  </w:footnote>
  <w:footnote w:id="285">
    <w:p w:rsidR="002D334E" w:rsidRDefault="002D334E" w:rsidP="001D4715">
      <w:pPr>
        <w:pStyle w:val="FootnoteText"/>
      </w:pPr>
      <w:r>
        <w:rPr>
          <w:rStyle w:val="FootnoteReference"/>
        </w:rPr>
        <w:footnoteRef/>
      </w:r>
      <w:r>
        <w:t xml:space="preserve"> </w:t>
      </w:r>
      <w:r>
        <w:tab/>
        <w:t xml:space="preserve">CEG, </w:t>
      </w:r>
      <w:r w:rsidRPr="00950EA8">
        <w:rPr>
          <w:rStyle w:val="AERtextitalic"/>
        </w:rPr>
        <w:t>Replication and extension of Henry’s beta analysis, submission with AusNet Transmission Group Pty Ltd Transmission Revenue Review 2017-2022, Revised Revenue Proposal</w:t>
      </w:r>
      <w:r>
        <w:t>, 21 September 2016, pp. 15–16.</w:t>
      </w:r>
    </w:p>
  </w:footnote>
  <w:footnote w:id="286">
    <w:p w:rsidR="002D334E" w:rsidRDefault="002D334E" w:rsidP="001D4715">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950EA8">
        <w:rPr>
          <w:rStyle w:val="AERtextitalic"/>
        </w:rPr>
        <w:t>submission with AusNet Transmission Group Pty Ltd Transmission Revenue Review 2017-2022, Revised Revenue Proposal</w:t>
      </w:r>
      <w:r>
        <w:t xml:space="preserve">, 21 September 2016, p. 1. </w:t>
      </w:r>
      <w:r w:rsidRPr="00B044FB">
        <w:t xml:space="preserve"> </w:t>
      </w:r>
    </w:p>
  </w:footnote>
  <w:footnote w:id="287">
    <w:p w:rsidR="002D334E" w:rsidRDefault="002D334E" w:rsidP="00596021">
      <w:pPr>
        <w:pStyle w:val="FootnoteText"/>
      </w:pPr>
      <w:r>
        <w:rPr>
          <w:rStyle w:val="FootnoteReference"/>
        </w:rPr>
        <w:footnoteRef/>
      </w:r>
      <w:r>
        <w:t xml:space="preserve"> </w:t>
      </w:r>
      <w:r>
        <w:tab/>
      </w:r>
      <w:hyperlink r:id="rId14" w:history="1">
        <w:r w:rsidRPr="00914418">
          <w:rPr>
            <w:rStyle w:val="Hyperlink"/>
            <w:sz w:val="16"/>
          </w:rPr>
          <w:t>https://www.apa.com.au/about-apa/our-history/</w:t>
        </w:r>
      </w:hyperlink>
      <w:r>
        <w:rPr>
          <w:rStyle w:val="Hyperlink"/>
          <w:sz w:val="16"/>
        </w:rPr>
        <w:t xml:space="preserve">; </w:t>
      </w:r>
      <w:hyperlink r:id="rId15"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288">
    <w:p w:rsidR="002D334E" w:rsidRDefault="002D334E">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289">
    <w:p w:rsidR="002D334E" w:rsidRDefault="002D334E" w:rsidP="001D4715">
      <w:pPr>
        <w:pStyle w:val="FootnoteText"/>
      </w:pPr>
      <w:r>
        <w:rPr>
          <w:rStyle w:val="FootnoteReference"/>
        </w:rPr>
        <w:footnoteRef/>
      </w:r>
      <w:r>
        <w:t xml:space="preserve"> </w:t>
      </w:r>
      <w:r>
        <w:tab/>
        <w:t xml:space="preserve">CCP5, </w:t>
      </w:r>
      <w:r w:rsidRPr="00AE3365">
        <w:rPr>
          <w:i/>
        </w:rPr>
        <w:t>Transmission for the Generations III–Response to: Revised revenue proposal by AusNet Services for Transmission Revenue Review 2017–22</w:t>
      </w:r>
      <w:r>
        <w:t>, October 2016, pp. 10–11.</w:t>
      </w:r>
    </w:p>
    <w:p w:rsidR="002D334E" w:rsidRDefault="002D334E" w:rsidP="00A164C0">
      <w:pPr>
        <w:pStyle w:val="FootnoteText"/>
        <w:ind w:left="0" w:firstLine="0"/>
      </w:pPr>
    </w:p>
  </w:footnote>
  <w:footnote w:id="290">
    <w:p w:rsidR="002D334E" w:rsidRDefault="002D334E" w:rsidP="001D4715">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xml:space="preserve">, June 2016, pp.45-6; CCP4(Hugh Grant),  </w:t>
      </w:r>
      <w:r w:rsidRPr="00950EA8">
        <w:rPr>
          <w:rStyle w:val="AERtextitalic"/>
        </w:rPr>
        <w:t>Submission to the AER: AER draft 2018–22 revenue decision Powerlink Queensland revised 2018-22 revenue proposal</w:t>
      </w:r>
      <w:r>
        <w:t>, December 2016, pp.45-6.</w:t>
      </w:r>
    </w:p>
  </w:footnote>
  <w:footnote w:id="291">
    <w:p w:rsidR="002D334E" w:rsidRDefault="002D334E" w:rsidP="001D4715">
      <w:pPr>
        <w:pStyle w:val="FootnoteText"/>
      </w:pPr>
      <w:r>
        <w:rPr>
          <w:rStyle w:val="FootnoteReference"/>
        </w:rPr>
        <w:footnoteRef/>
      </w:r>
      <w:r>
        <w:t xml:space="preserve"> </w:t>
      </w:r>
      <w:r>
        <w:tab/>
        <w:t xml:space="preserve">AER, </w:t>
      </w:r>
      <w:r w:rsidRPr="00950EA8">
        <w:rPr>
          <w:rStyle w:val="AERtextitalic"/>
        </w:rPr>
        <w:t>Better Regulation Explanatory Statement: Rate of return Guideline</w:t>
      </w:r>
      <w:r>
        <w:t xml:space="preserve">, December 2013, pp. 85–88.  </w:t>
      </w:r>
    </w:p>
  </w:footnote>
  <w:footnote w:id="292">
    <w:p w:rsidR="002D334E" w:rsidRDefault="002D334E" w:rsidP="001D4715">
      <w:pPr>
        <w:pStyle w:val="FootnoteText"/>
      </w:pPr>
      <w:r>
        <w:rPr>
          <w:rStyle w:val="FootnoteReference"/>
        </w:rPr>
        <w:footnoteRef/>
      </w:r>
      <w:r>
        <w:t xml:space="preserve"> </w:t>
      </w:r>
      <w:r>
        <w:tab/>
        <w:t xml:space="preserve">AER, </w:t>
      </w:r>
      <w:r w:rsidRPr="00950EA8">
        <w:rPr>
          <w:rStyle w:val="AERtextitalic"/>
        </w:rPr>
        <w:t>Better Regulation Explanatory Statement: Rate of return Guideline</w:t>
      </w:r>
      <w:r>
        <w:t>, December 2013, pp. 85–88.</w:t>
      </w:r>
    </w:p>
  </w:footnote>
  <w:footnote w:id="293">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94">
    <w:p w:rsidR="002D334E" w:rsidRDefault="002D334E">
      <w:pPr>
        <w:pStyle w:val="FootnoteText"/>
      </w:pPr>
      <w:r>
        <w:rPr>
          <w:rStyle w:val="FootnoteReference"/>
        </w:rPr>
        <w:footnoteRef/>
      </w:r>
      <w:r>
        <w:t xml:space="preserve"> </w:t>
      </w:r>
      <w:r>
        <w:tab/>
        <w:t xml:space="preserve">AER, </w:t>
      </w:r>
      <w:r w:rsidRPr="00AB7824">
        <w:rPr>
          <w:rStyle w:val="AERtextitalic"/>
        </w:rPr>
        <w:t>Final decision, SA Power Networks determination 2015 -16 to 2019 - 20, Attachment 3 - Rate of return</w:t>
      </w:r>
      <w:r>
        <w:t xml:space="preserve">, October 2015, pp. 483-90; AER, </w:t>
      </w:r>
      <w:r w:rsidRPr="00AB7824">
        <w:rPr>
          <w:rStyle w:val="AERtextitalic"/>
        </w:rPr>
        <w:t>Final decision, Australian Gas Networks access arrangement 2016 to 2021, Attachment 3 - Rate of return</w:t>
      </w:r>
      <w:r>
        <w:t>, May 2016, pp. 41-87; AER</w:t>
      </w:r>
      <w:r w:rsidRPr="00AB7824">
        <w:rPr>
          <w:rStyle w:val="AERtextitalic"/>
        </w:rPr>
        <w:t>, Final decision, AusNet Services distribution determination 2016 to 2020, Attachment 3 - Rate of return</w:t>
      </w:r>
      <w:r>
        <w:t>, May 2016, pp. 260-1, 267-8.</w:t>
      </w:r>
    </w:p>
  </w:footnote>
  <w:footnote w:id="295">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96">
    <w:p w:rsidR="002D334E" w:rsidRDefault="002D334E">
      <w:pPr>
        <w:pStyle w:val="FootnoteText"/>
      </w:pPr>
      <w:r>
        <w:rPr>
          <w:rStyle w:val="FootnoteReference"/>
        </w:rPr>
        <w:footnoteRef/>
      </w:r>
      <w:r>
        <w:t xml:space="preserve"> </w:t>
      </w:r>
      <w:r>
        <w:tab/>
        <w:t xml:space="preserve">AER, </w:t>
      </w:r>
      <w:r w:rsidRPr="00AB7824">
        <w:rPr>
          <w:rStyle w:val="AERtextitalic"/>
        </w:rPr>
        <w:t>Final decision, SA Power Networks determination 2015 -16 to 2019 - 20, Attachment 3 - Rate of return</w:t>
      </w:r>
      <w:r>
        <w:t xml:space="preserve">, October 2015, pp. 483-90; AER, </w:t>
      </w:r>
      <w:r w:rsidRPr="00AB7824">
        <w:rPr>
          <w:rStyle w:val="AERtextitalic"/>
        </w:rPr>
        <w:t>Final decision, Australian Gas Networks access arrangement 2016 to 2021, Attachment 3 - Rate of return</w:t>
      </w:r>
      <w:r>
        <w:t xml:space="preserve">, May 2016, pp. 41-87; AER, </w:t>
      </w:r>
      <w:r w:rsidRPr="00AB7824">
        <w:rPr>
          <w:rStyle w:val="AERtextitalic"/>
        </w:rPr>
        <w:t>Final decision, AusNet Services distribution determination 2016 to 2020, Attachment 3 - Rate of return</w:t>
      </w:r>
      <w:r>
        <w:t>, May 2016, pp. 262-3.</w:t>
      </w:r>
    </w:p>
  </w:footnote>
  <w:footnote w:id="297">
    <w:p w:rsidR="002D334E" w:rsidRDefault="002D334E"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73–74;</w:t>
      </w:r>
      <w:r w:rsidRPr="009C72A1">
        <w:t xml:space="preserve"> </w:t>
      </w:r>
      <w:r>
        <w:t xml:space="preserve">ActewAGL, </w:t>
      </w:r>
      <w:r w:rsidRPr="00CD12C8">
        <w:rPr>
          <w:rStyle w:val="AERtextitalic"/>
        </w:rPr>
        <w:t>Revised 2016-21 access arrangement proposal appendix 5.01</w:t>
      </w:r>
      <w:r>
        <w:t xml:space="preserve">, January 2016, pp. 92–94. </w:t>
      </w:r>
    </w:p>
  </w:footnote>
  <w:footnote w:id="298">
    <w:p w:rsidR="002D334E" w:rsidRDefault="002D334E">
      <w:pPr>
        <w:pStyle w:val="FootnoteText"/>
      </w:pPr>
      <w:r>
        <w:rPr>
          <w:rStyle w:val="FootnoteReference"/>
        </w:rPr>
        <w:footnoteRef/>
      </w:r>
      <w:r>
        <w:t xml:space="preserve"> </w:t>
      </w:r>
      <w:r>
        <w:tab/>
        <w:t xml:space="preserve">AER, </w:t>
      </w:r>
      <w:r w:rsidRPr="00AB7824">
        <w:rPr>
          <w:rStyle w:val="AERtextitalic"/>
        </w:rPr>
        <w:t>Final decision, SA Power Networks determination 2015 -16 to 2019 - 20, Attachment 3 - Rate of return</w:t>
      </w:r>
      <w:r>
        <w:t xml:space="preserve">, October 2015, pp. 263-70, 491-4, 501-5; AER, </w:t>
      </w:r>
      <w:r w:rsidRPr="00AB7824">
        <w:rPr>
          <w:rStyle w:val="AERtextitalic"/>
        </w:rPr>
        <w:t>Final decision, Australian Gas Networks access</w:t>
      </w:r>
      <w:r>
        <w:t xml:space="preserve"> </w:t>
      </w:r>
      <w:r w:rsidRPr="00AB7824">
        <w:rPr>
          <w:rStyle w:val="AERtextitalic"/>
        </w:rPr>
        <w:t>arrangement 2016 to 2021, Attachment 3 - Rate of return</w:t>
      </w:r>
      <w:r>
        <w:t>, May 2016, pp. 41-87; AER</w:t>
      </w:r>
      <w:r w:rsidRPr="00AB7824">
        <w:rPr>
          <w:rStyle w:val="AERtextitalic"/>
        </w:rPr>
        <w:t>, Final decision, AusNet Services distribution determination 2016 to 2020, Attachment 3 - Rate of return</w:t>
      </w:r>
      <w:r>
        <w:t>, May 2016, pp. 179-92.</w:t>
      </w:r>
    </w:p>
  </w:footnote>
  <w:footnote w:id="299">
    <w:p w:rsidR="002D334E" w:rsidRDefault="002D334E"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2D334E" w:rsidRDefault="002D334E" w:rsidP="001D4715">
      <w:pPr>
        <w:pStyle w:val="FootnoteText"/>
      </w:pPr>
      <w:r>
        <w:tab/>
      </w:r>
      <w:r w:rsidRPr="00745914">
        <w:t xml:space="preserve">Powercor, </w:t>
      </w:r>
      <w:r w:rsidRPr="00745914">
        <w:rPr>
          <w:rStyle w:val="Emphasis"/>
        </w:rPr>
        <w:t>Revised regulatory proposal 2016–2020,</w:t>
      </w:r>
      <w:r w:rsidRPr="00745914">
        <w:t xml:space="preserve"> January 2016, pp. 309–310; ActewAGL, </w:t>
      </w:r>
      <w:r w:rsidRPr="00745914">
        <w:rPr>
          <w:rStyle w:val="Emphasis"/>
        </w:rPr>
        <w:t>Revised 2016–21 access arrangement proposal Response to the AER's draft decision, Appendix 5.01 Detailed response to rate of return, gamma and inflation</w:t>
      </w:r>
      <w:r w:rsidRPr="00745914">
        <w:t xml:space="preserve">, January 2016, pp. 93–94; United Energy, </w:t>
      </w:r>
      <w:r w:rsidRPr="00745914">
        <w:rPr>
          <w:rStyle w:val="Emphasis"/>
        </w:rPr>
        <w:t>Response to AER preliminary determination–Re: rate of return and gamma</w:t>
      </w:r>
      <w:r w:rsidRPr="00745914">
        <w:t xml:space="preserve">, 6 January 2016, pp. 69–70; AGN, </w:t>
      </w:r>
      <w:r w:rsidRPr="00745914">
        <w:rPr>
          <w:rStyle w:val="Emphasis"/>
        </w:rPr>
        <w:t>2016–17 to 2020/21 Access Arrangement information response to draft decision: Attachment 10.26 Response to draft decision: rate of return</w:t>
      </w:r>
      <w:r w:rsidRPr="00745914">
        <w:t xml:space="preserve">, January 2016, pp. 73–74;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74–75; AusNet Services, </w:t>
      </w:r>
      <w:r w:rsidRPr="00745914">
        <w:rPr>
          <w:rStyle w:val="Emphasis"/>
        </w:rPr>
        <w:t>Electricity distribution price review 2016–20 Revised regulatory proposal: Chapter 7 Rate of return &amp; gamma</w:t>
      </w:r>
      <w:r w:rsidRPr="00745914">
        <w:t>, 6 January 2016, pp. 68–69.</w:t>
      </w:r>
    </w:p>
  </w:footnote>
  <w:footnote w:id="300">
    <w:p w:rsidR="002D334E" w:rsidRDefault="002D334E" w:rsidP="001D4715">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xml:space="preserve">, January 2016, pp. 52–57). </w:t>
      </w:r>
    </w:p>
  </w:footnote>
  <w:footnote w:id="301">
    <w:p w:rsidR="002D334E" w:rsidRDefault="002D334E">
      <w:pPr>
        <w:pStyle w:val="FootnoteText"/>
      </w:pPr>
      <w:r>
        <w:rPr>
          <w:rStyle w:val="FootnoteReference"/>
        </w:rPr>
        <w:footnoteRef/>
      </w:r>
      <w:r>
        <w:t xml:space="preserve"> </w:t>
      </w:r>
      <w:r>
        <w:tab/>
        <w:t xml:space="preserve">AER, </w:t>
      </w:r>
      <w:r w:rsidRPr="00AB7824">
        <w:rPr>
          <w:rStyle w:val="AERtextitalic"/>
        </w:rPr>
        <w:t>Final decision, SA Power Networks determination 2015 -16 to 2019 - 20, Attachment 3 - Rate of return</w:t>
      </w:r>
      <w:r>
        <w:t xml:space="preserve">, October 2015, pp. 33-143; AER, </w:t>
      </w:r>
      <w:r w:rsidRPr="00AB7824">
        <w:rPr>
          <w:rStyle w:val="AERtextitalic"/>
        </w:rPr>
        <w:t>Final decision, Australian Gas Networks access arrangement 2016 to 2021, Attachment 3 - Rate of return</w:t>
      </w:r>
      <w:r>
        <w:t>, May 2016, pp. 41-87; AER</w:t>
      </w:r>
      <w:r w:rsidRPr="00AB7824">
        <w:rPr>
          <w:rStyle w:val="AERtextitalic"/>
        </w:rPr>
        <w:t>, Final decision, AusNet Services distribution determination 2016 to 2020, Attachment 3 - Rate of return</w:t>
      </w:r>
      <w:r>
        <w:t>, May 2016, pp. 44-90.</w:t>
      </w:r>
    </w:p>
  </w:footnote>
  <w:footnote w:id="302">
    <w:p w:rsidR="002D334E" w:rsidRDefault="002D334E" w:rsidP="001D4715">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303">
    <w:p w:rsidR="002D334E" w:rsidRDefault="002D334E" w:rsidP="001D4715">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304">
    <w:p w:rsidR="002D334E" w:rsidRDefault="002D334E">
      <w:pPr>
        <w:pStyle w:val="FootnoteText"/>
      </w:pPr>
      <w:r>
        <w:rPr>
          <w:rStyle w:val="FootnoteReference"/>
        </w:rPr>
        <w:footnoteRef/>
      </w:r>
      <w:r>
        <w:t xml:space="preserve"> </w:t>
      </w:r>
      <w:r>
        <w:tab/>
        <w:t xml:space="preserve">AER, </w:t>
      </w:r>
      <w:r w:rsidRPr="00AB7824">
        <w:rPr>
          <w:rStyle w:val="AERtextitalic"/>
        </w:rPr>
        <w:t>Final decision, SA Power Networks determination 2015 -16 to 2019 - 20, Attachment 3 - Rate of return</w:t>
      </w:r>
      <w:r>
        <w:t>, October 2015, pp. 491-4; AER</w:t>
      </w:r>
      <w:r w:rsidRPr="00AB7824">
        <w:rPr>
          <w:rStyle w:val="AERtextitalic"/>
        </w:rPr>
        <w:t>, Final decision, Australian Gas Networks access arrangement 2016 to 2021, Attachment 3 - Rate of return</w:t>
      </w:r>
      <w:r>
        <w:t xml:space="preserve">, May 2016, pp. 41-87; AER, </w:t>
      </w:r>
      <w:r w:rsidRPr="00AB7824">
        <w:rPr>
          <w:rStyle w:val="AERtextitalic"/>
        </w:rPr>
        <w:t>Final decision, AusNet Services distribution determination 2016 to 2020, Attachment 3 - Rate of return</w:t>
      </w:r>
      <w:r>
        <w:t>, May 2016, pp. 256-9.</w:t>
      </w:r>
    </w:p>
  </w:footnote>
  <w:footnote w:id="305">
    <w:p w:rsidR="002D334E" w:rsidRDefault="002D334E" w:rsidP="001D4715">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306">
    <w:p w:rsidR="002D334E" w:rsidRDefault="002D334E" w:rsidP="001D4715">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CCP4 (Hugh Grant and David Headberry), </w:t>
      </w:r>
      <w:r w:rsidRPr="004910A0">
        <w:rPr>
          <w:i/>
        </w:rPr>
        <w:t>Submission to the AER, Powerlink Queensland 2018-22 revenue proposal</w:t>
      </w:r>
      <w:r>
        <w:t>, June 2016, pp.45-6.</w:t>
      </w:r>
    </w:p>
  </w:footnote>
  <w:footnote w:id="307">
    <w:p w:rsidR="002D334E" w:rsidRDefault="002D334E" w:rsidP="001D4715">
      <w:pPr>
        <w:pStyle w:val="FootnoteText"/>
      </w:pPr>
      <w:r>
        <w:rPr>
          <w:rStyle w:val="FootnoteReference"/>
        </w:rPr>
        <w:footnoteRef/>
      </w:r>
      <w:r>
        <w:t xml:space="preserve"> </w:t>
      </w:r>
      <w:r>
        <w:tab/>
        <w:t xml:space="preserve">CCP4 (Hugh Grant and David Headberry), </w:t>
      </w:r>
      <w:r w:rsidRPr="004910A0">
        <w:rPr>
          <w:i/>
        </w:rPr>
        <w:t>Submission to the AER, Powerlink Queensland 2018-22 revenue proposal</w:t>
      </w:r>
      <w:r>
        <w:t>, June 2016, pp.45-6.</w:t>
      </w:r>
    </w:p>
  </w:footnote>
  <w:footnote w:id="308">
    <w:p w:rsidR="002D334E" w:rsidRDefault="002D334E" w:rsidP="001D4715">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309">
    <w:p w:rsidR="002D334E" w:rsidRDefault="002D334E"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CitiPower, Powercor, United Energy, JEN, AGN and ActewAGL submitted this report during the decision process. AER, </w:t>
      </w:r>
      <w:r w:rsidRPr="00950EA8">
        <w:rPr>
          <w:rStyle w:val="AERtextitalic"/>
        </w:rPr>
        <w:t>Final decision, SA Power Networks determination 2015 -16 to 2019 - 20, Attachment 3 - Rate of return</w:t>
      </w:r>
      <w:r>
        <w:t xml:space="preserve">, October 2015, pp. 434-49. </w:t>
      </w:r>
    </w:p>
  </w:footnote>
  <w:footnote w:id="310">
    <w:p w:rsidR="002D334E" w:rsidRDefault="002D334E">
      <w:pPr>
        <w:pStyle w:val="FootnoteText"/>
      </w:pPr>
      <w:r>
        <w:rPr>
          <w:rStyle w:val="FootnoteReference"/>
        </w:rPr>
        <w:footnoteRef/>
      </w:r>
      <w:r>
        <w:t xml:space="preserve"> </w:t>
      </w:r>
      <w:r>
        <w:tab/>
        <w:t xml:space="preserve">AER, </w:t>
      </w:r>
      <w:r w:rsidRPr="00AB7824">
        <w:rPr>
          <w:rStyle w:val="AERtextitalic"/>
        </w:rPr>
        <w:t>Final decision, Australian Gas Networks access arrangement 2016 to 2021, Attachment 3 - Rate of return</w:t>
      </w:r>
      <w:r>
        <w:t xml:space="preserve">, May 2016, pp. 41-87; AER, </w:t>
      </w:r>
      <w:r w:rsidRPr="00AB7824">
        <w:rPr>
          <w:rStyle w:val="AERtextitalic"/>
        </w:rPr>
        <w:t>Final decision, AusNet Services distribution determination 2016 to 2020, Attachment 3 - Rate of return</w:t>
      </w:r>
      <w:r>
        <w:t>, May 2016, pp. 44-90.</w:t>
      </w:r>
    </w:p>
  </w:footnote>
  <w:footnote w:id="311">
    <w:p w:rsidR="002D334E" w:rsidRDefault="002D334E"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AER, </w:t>
      </w:r>
      <w:r w:rsidRPr="00950EA8">
        <w:rPr>
          <w:rStyle w:val="AERtextitalic"/>
        </w:rPr>
        <w:t>Final decision, SA Power Networks determination 2015 -16 to 2019 - 20, Attachment 3 - Rate of return</w:t>
      </w:r>
      <w:r>
        <w:t xml:space="preserve">, October 2015, pp. 436-7, 438-46; AER, </w:t>
      </w:r>
      <w:r w:rsidRPr="00950EA8">
        <w:rPr>
          <w:rStyle w:val="AERtextitalic"/>
        </w:rPr>
        <w:t>Final decision, Australian Gas Networks access arrangement 2016 to 2021, Attachment 3 - Rate of return</w:t>
      </w:r>
      <w:r>
        <w:t xml:space="preserve">, May 2016, pp. 41-87; AER, </w:t>
      </w:r>
      <w:r w:rsidRPr="00950EA8">
        <w:rPr>
          <w:rStyle w:val="AERtextitalic"/>
        </w:rPr>
        <w:t>Final decision, AusNet Services distribution determination 2016 to 2020, Attachment 3 - Rate of return</w:t>
      </w:r>
      <w:r>
        <w:t>, May 2016, pp. 260-1, 262-3.</w:t>
      </w:r>
    </w:p>
  </w:footnote>
  <w:footnote w:id="312">
    <w:p w:rsidR="002D334E" w:rsidRDefault="002D334E"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6–7; AER, </w:t>
      </w:r>
      <w:r w:rsidRPr="00950EA8">
        <w:rPr>
          <w:rStyle w:val="AERtextitalic"/>
        </w:rPr>
        <w:t>Final decision, SA Power Networks determination 2015 -16 to 2019 - 20, Attachment 3 - Rate of return</w:t>
      </w:r>
      <w:r>
        <w:t xml:space="preserve">, October 2015, pp. 438-46; AER, </w:t>
      </w:r>
      <w:r w:rsidRPr="00950EA8">
        <w:rPr>
          <w:rStyle w:val="AERtextitalic"/>
        </w:rPr>
        <w:t>Final decision, Australian Gas Networks access arrangement 2016 to 2021, Attachment 3 - Rate of return</w:t>
      </w:r>
      <w:r>
        <w:t>, May 2016, pp. 41-87; AER</w:t>
      </w:r>
      <w:r w:rsidRPr="00950EA8">
        <w:rPr>
          <w:rStyle w:val="AERtextitalic"/>
        </w:rPr>
        <w:t>, Final decision, AusNet Services distribution determination 2016 to 2020, Attachment 3 - Rate of return</w:t>
      </w:r>
      <w:r>
        <w:t>, May 2016, pp. 44-90.</w:t>
      </w:r>
    </w:p>
  </w:footnote>
  <w:footnote w:id="313">
    <w:p w:rsidR="002D334E" w:rsidRDefault="002D334E"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20–26;</w:t>
      </w:r>
      <w:r w:rsidRPr="00462CE9">
        <w:t xml:space="preserve"> </w:t>
      </w:r>
      <w:r>
        <w:t xml:space="preserve">AER, </w:t>
      </w:r>
      <w:r w:rsidRPr="00950EA8">
        <w:rPr>
          <w:rStyle w:val="AERtextitalic"/>
        </w:rPr>
        <w:t>Final decision, SA Power Networks determination 2015 -16 to 2019 - 20, Attachment 3 - Rate of return</w:t>
      </w:r>
      <w:r>
        <w:t xml:space="preserve">, October 2015, pp. 447-9; AER, </w:t>
      </w:r>
      <w:r w:rsidRPr="00950EA8">
        <w:rPr>
          <w:rStyle w:val="AERtextitalic"/>
        </w:rPr>
        <w:t>Final decision, Australian Gas Networks access arrangement 2016 to 2021, Attachment 3 - Rate of return</w:t>
      </w:r>
      <w:r>
        <w:t xml:space="preserve">, May 2016, pp. 41-87; AER, </w:t>
      </w:r>
      <w:r w:rsidRPr="00950EA8">
        <w:rPr>
          <w:rStyle w:val="AERtextitalic"/>
        </w:rPr>
        <w:t>Final decision, AusNet Services distribution determination 2016 to 2020, Attachment 3 - Rate of return</w:t>
      </w:r>
      <w:r>
        <w:t xml:space="preserve">, May 2016, pp. 44-90. </w:t>
      </w:r>
    </w:p>
  </w:footnote>
  <w:footnote w:id="314">
    <w:p w:rsidR="002D334E" w:rsidRDefault="002D334E" w:rsidP="001D4715">
      <w:pPr>
        <w:pStyle w:val="FootnoteText"/>
      </w:pPr>
      <w:r>
        <w:rPr>
          <w:rStyle w:val="FootnoteReference"/>
        </w:rPr>
        <w:footnoteRef/>
      </w:r>
      <w:r>
        <w:t xml:space="preserve"> </w:t>
      </w:r>
      <w:r>
        <w:tab/>
        <w:t>CCP4(DH</w:t>
      </w:r>
      <w:r w:rsidRPr="004910A0">
        <w:rPr>
          <w:i/>
        </w:rPr>
        <w:t>), Submission to the AER, Response to the proposal from Tasmania’s electricity distribution network service provider (Tas</w:t>
      </w:r>
      <w:r>
        <w:rPr>
          <w:i/>
        </w:rPr>
        <w:t>N</w:t>
      </w:r>
      <w:r w:rsidRPr="004910A0">
        <w:rPr>
          <w:i/>
        </w:rPr>
        <w:t>etworks – TND) for a revenue reset for the 2017-19 regulatory period</w:t>
      </w:r>
      <w:r>
        <w:t>, 4 May 2016, p. 47.</w:t>
      </w:r>
    </w:p>
  </w:footnote>
  <w:footnote w:id="315">
    <w:p w:rsidR="002D334E" w:rsidRDefault="002D334E" w:rsidP="001D4715">
      <w:pPr>
        <w:pStyle w:val="FootnoteText"/>
      </w:pPr>
      <w:r>
        <w:rPr>
          <w:rStyle w:val="FootnoteReference"/>
        </w:rPr>
        <w:footnoteRef/>
      </w:r>
      <w:r>
        <w:t xml:space="preserve"> </w:t>
      </w:r>
      <w:r>
        <w:tab/>
        <w:t>AER</w:t>
      </w:r>
      <w:r w:rsidRPr="00950EA8">
        <w:rPr>
          <w:rStyle w:val="AERtextitalic"/>
        </w:rPr>
        <w:t xml:space="preserve">, Draft decision, AusNet Services transmission determination </w:t>
      </w:r>
      <w:r>
        <w:rPr>
          <w:rStyle w:val="AERtextitalic"/>
        </w:rPr>
        <w:t>2017–18</w:t>
      </w:r>
      <w:r w:rsidRPr="00950EA8">
        <w:rPr>
          <w:rStyle w:val="AERtextitalic"/>
        </w:rPr>
        <w:t xml:space="preserve"> to 2021-22, Attachment 3 - Rate of return</w:t>
      </w:r>
      <w:r>
        <w:t>, July 2016, p. 24.</w:t>
      </w:r>
    </w:p>
  </w:footnote>
  <w:footnote w:id="316">
    <w:p w:rsidR="002D334E" w:rsidRDefault="002D334E" w:rsidP="001D4715">
      <w:pPr>
        <w:pStyle w:val="FootnoteText"/>
      </w:pPr>
      <w:r>
        <w:rPr>
          <w:rStyle w:val="FootnoteReference"/>
        </w:rPr>
        <w:footnoteRef/>
      </w:r>
      <w:r>
        <w:t xml:space="preserve"> </w:t>
      </w:r>
      <w:r>
        <w:tab/>
        <w:t xml:space="preserve">Tasmanian Small Business Council, </w:t>
      </w:r>
      <w:r w:rsidRPr="00F44614">
        <w:rPr>
          <w:i/>
        </w:rPr>
        <w:t>Submission to the AER, TasNetworks’ electricity distribution regulatory proposal 1 July 2017 to 30 June 2019 and tariff structure proposal</w:t>
      </w:r>
      <w:r>
        <w:t>, May 2016, p.8; CCP4(DH</w:t>
      </w:r>
      <w:r w:rsidRPr="00F44614">
        <w:rPr>
          <w:i/>
        </w:rPr>
        <w:t>), Submission to the AER, Response to the proposal from Tasmania’s electricity distribution network service provider</w:t>
      </w:r>
      <w:r w:rsidRPr="0083127E">
        <w:rPr>
          <w:i/>
        </w:rPr>
        <w:t xml:space="preserve"> (Tas</w:t>
      </w:r>
      <w:r>
        <w:rPr>
          <w:i/>
        </w:rPr>
        <w:t>N</w:t>
      </w:r>
      <w:r w:rsidRPr="00F44614">
        <w:rPr>
          <w:i/>
        </w:rPr>
        <w:t>etworks – TND) for a revenue reset for the 2017-19 regulatory period</w:t>
      </w:r>
      <w:r>
        <w:t xml:space="preserve">, 4 May 2016, pp. 5, 44; Tasmanian Small Business Council, </w:t>
      </w:r>
      <w:r w:rsidRPr="004910A0">
        <w:rPr>
          <w:i/>
        </w:rPr>
        <w:t>Submission to the AER, TasNetworks’ electricity distribution regulatory proposal 1 July 2017 to 30 June 2019 and tariff structure proposal</w:t>
      </w:r>
      <w:r>
        <w:t xml:space="preserve">, May 2016, p.36; CCP4(DH), </w:t>
      </w:r>
      <w:r w:rsidRPr="00F44614">
        <w:rPr>
          <w:i/>
        </w:rPr>
        <w:t>Submission to the AER, Response to the AER draft decision and revised proposal to Powerlink’s electricity transmission</w:t>
      </w:r>
      <w:r>
        <w:t xml:space="preserve">, 19 December 2016, p. 21.  </w:t>
      </w:r>
    </w:p>
  </w:footnote>
  <w:footnote w:id="317">
    <w:p w:rsidR="002D334E" w:rsidRDefault="002D334E" w:rsidP="001D4715">
      <w:pPr>
        <w:pStyle w:val="FootnoteText"/>
      </w:pPr>
      <w:r>
        <w:rPr>
          <w:rStyle w:val="FootnoteReference"/>
        </w:rPr>
        <w:footnoteRef/>
      </w:r>
      <w:r>
        <w:t xml:space="preserve"> </w:t>
      </w:r>
      <w:r>
        <w:tab/>
        <w:t xml:space="preserve">AER, </w:t>
      </w:r>
      <w:r w:rsidRPr="00950EA8">
        <w:rPr>
          <w:rStyle w:val="AERtextitalic"/>
        </w:rPr>
        <w:t>Better Regulation Explanatory Statement: Rate of return Guideline</w:t>
      </w:r>
      <w:r>
        <w:t xml:space="preserve">, December 2013, pp. 85–88.  </w:t>
      </w:r>
    </w:p>
  </w:footnote>
  <w:footnote w:id="318">
    <w:p w:rsidR="002D334E" w:rsidRDefault="002D334E" w:rsidP="001D4715">
      <w:pPr>
        <w:pStyle w:val="FootnoteText"/>
      </w:pPr>
      <w:r>
        <w:rPr>
          <w:rStyle w:val="FootnoteReference"/>
        </w:rPr>
        <w:footnoteRef/>
      </w:r>
      <w:r>
        <w:t xml:space="preserve"> </w:t>
      </w:r>
      <w:r>
        <w:tab/>
        <w:t xml:space="preserve">AER, </w:t>
      </w:r>
      <w:r w:rsidRPr="00950EA8">
        <w:rPr>
          <w:rStyle w:val="AERtextitalic"/>
        </w:rPr>
        <w:t>Better Regulation Explanatory Statement: Rate of return Guideline</w:t>
      </w:r>
      <w:r>
        <w:t>, December 2013, pp. 85–88.</w:t>
      </w:r>
    </w:p>
  </w:footnote>
  <w:footnote w:id="319">
    <w:p w:rsidR="002D334E" w:rsidRDefault="002D334E" w:rsidP="001D4715">
      <w:pPr>
        <w:pStyle w:val="FootnoteText"/>
      </w:pPr>
      <w:r>
        <w:rPr>
          <w:rStyle w:val="FootnoteReference"/>
        </w:rPr>
        <w:footnoteRef/>
      </w:r>
      <w:r>
        <w:t xml:space="preserve"> </w:t>
      </w:r>
      <w:r>
        <w:tab/>
        <w:t>Australian Competition Tribunal.</w:t>
      </w:r>
    </w:p>
  </w:footnote>
  <w:footnote w:id="320">
    <w:p w:rsidR="002D334E" w:rsidRDefault="002D334E" w:rsidP="001D4715">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June 2016, p.47.</w:t>
      </w:r>
    </w:p>
  </w:footnote>
  <w:footnote w:id="321">
    <w:p w:rsidR="002D334E" w:rsidRDefault="002D334E" w:rsidP="001D4715">
      <w:pPr>
        <w:pStyle w:val="FootnoteText"/>
      </w:pPr>
      <w:r>
        <w:rPr>
          <w:rStyle w:val="FootnoteReference"/>
        </w:rPr>
        <w:footnoteRef/>
      </w:r>
      <w:r>
        <w:t xml:space="preserve"> </w:t>
      </w:r>
      <w:r>
        <w:tab/>
        <w:t xml:space="preserve">CCP4(Hugh Grant and David Headberry),  </w:t>
      </w:r>
      <w:r w:rsidRPr="00F44614">
        <w:rPr>
          <w:i/>
        </w:rPr>
        <w:t>Submission to the AER, Powerlink Queensland 2018-22 revenue proposal</w:t>
      </w:r>
      <w:r>
        <w:t>, June 2016, p. 3.</w:t>
      </w:r>
    </w:p>
  </w:footnote>
  <w:footnote w:id="322">
    <w:p w:rsidR="002D334E" w:rsidRDefault="002D334E" w:rsidP="00772B77">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202, 221–222.</w:t>
      </w:r>
    </w:p>
  </w:footnote>
  <w:footnote w:id="323">
    <w:p w:rsidR="002D334E" w:rsidRDefault="002D334E" w:rsidP="00772B77">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221–222.</w:t>
      </w:r>
    </w:p>
  </w:footnote>
  <w:footnote w:id="324">
    <w:p w:rsidR="002D334E" w:rsidRDefault="002D334E">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148-149.</w:t>
      </w:r>
    </w:p>
  </w:footnote>
  <w:footnote w:id="325">
    <w:p w:rsidR="002D334E" w:rsidRDefault="002D334E" w:rsidP="00B31FB8">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148-149; Frontier Economics, </w:t>
      </w:r>
      <w:r w:rsidRPr="00950EA8">
        <w:rPr>
          <w:rStyle w:val="AERtextitalic"/>
        </w:rPr>
        <w:t>The market risk premium</w:t>
      </w:r>
      <w:r>
        <w:t xml:space="preserve">, September 2016, p. 71–73, 75–76; SAPN proposal, </w:t>
      </w:r>
      <w:r w:rsidRPr="00950EA8">
        <w:rPr>
          <w:rStyle w:val="AERtextitalic"/>
        </w:rPr>
        <w:t>Revised regulatory proposal 2015–20</w:t>
      </w:r>
      <w:r>
        <w:t xml:space="preserve">, 3 July 2015, p. 331; United Energy, </w:t>
      </w:r>
      <w:r w:rsidRPr="00950EA8">
        <w:rPr>
          <w:rStyle w:val="AERtextitalic"/>
        </w:rPr>
        <w:t>2016 to 2020 Revised regulatory proposal</w:t>
      </w:r>
      <w:r>
        <w:t xml:space="preserve">, 6 January 2016, p. 77. </w:t>
      </w:r>
    </w:p>
  </w:footnote>
  <w:footnote w:id="326">
    <w:p w:rsidR="002D334E" w:rsidRDefault="002D334E" w:rsidP="00772B77">
      <w:pPr>
        <w:pStyle w:val="FootnoteText"/>
      </w:pPr>
      <w:r>
        <w:rPr>
          <w:rStyle w:val="FootnoteReference"/>
        </w:rPr>
        <w:footnoteRef/>
      </w:r>
      <w:r>
        <w:t xml:space="preserve"> </w:t>
      </w:r>
      <w:r>
        <w:tab/>
        <w:t>See 'other information and evaluation of information' subsection of section 3.4.2 and Appendix E.</w:t>
      </w:r>
    </w:p>
  </w:footnote>
  <w:footnote w:id="327">
    <w:p w:rsidR="002D334E" w:rsidRDefault="002D334E" w:rsidP="00772B77">
      <w:pPr>
        <w:pStyle w:val="FootnoteText"/>
      </w:pPr>
      <w:r>
        <w:rPr>
          <w:rStyle w:val="FootnoteReference"/>
        </w:rPr>
        <w:footnoteRef/>
      </w:r>
      <w:r>
        <w:t xml:space="preserve"> </w:t>
      </w:r>
      <w:r>
        <w:tab/>
        <w:t>IPART</w:t>
      </w:r>
      <w:r w:rsidRPr="00BA392B">
        <w:rPr>
          <w:rStyle w:val="Emphasis"/>
        </w:rPr>
        <w:t>, Maximum fees and charges for cruise ships in Sydney Harbour Final decision</w:t>
      </w:r>
      <w:r w:rsidRPr="001B3748">
        <w:t>, 25 November 2016</w:t>
      </w:r>
      <w:r>
        <w:t xml:space="preserve">; </w:t>
      </w:r>
      <w:r w:rsidRPr="001B3748">
        <w:t>ESCOSA</w:t>
      </w:r>
      <w:r w:rsidRPr="00BA392B">
        <w:rPr>
          <w:rStyle w:val="Emphasis"/>
        </w:rPr>
        <w:t>, SA Water Regulatory Determination 2016 Final Decision</w:t>
      </w:r>
      <w:r w:rsidRPr="001B3748">
        <w:t>, June 2016</w:t>
      </w:r>
      <w:r>
        <w:t xml:space="preserve">; </w:t>
      </w:r>
      <w:r w:rsidRPr="001B3748">
        <w:t xml:space="preserve">ESCV, </w:t>
      </w:r>
      <w:r w:rsidRPr="00BA392B">
        <w:rPr>
          <w:rStyle w:val="Emphasis"/>
        </w:rPr>
        <w:t>Goulbourn-Murray Water Price Review 2016</w:t>
      </w:r>
      <w:r w:rsidRPr="001B3748">
        <w:t>, 16 June 2016</w:t>
      </w:r>
      <w:r>
        <w:t>.</w:t>
      </w:r>
    </w:p>
  </w:footnote>
  <w:footnote w:id="328">
    <w:p w:rsidR="002D334E" w:rsidRDefault="002D334E" w:rsidP="007004E9">
      <w:pPr>
        <w:pStyle w:val="FootnoteText"/>
      </w:pPr>
      <w:r>
        <w:rPr>
          <w:rStyle w:val="FootnoteReference"/>
        </w:rPr>
        <w:footnoteRef/>
      </w:r>
      <w:r>
        <w:t xml:space="preserve"> </w:t>
      </w:r>
      <w:r>
        <w:tab/>
        <w:t xml:space="preserve">CCP5, </w:t>
      </w:r>
      <w:r w:rsidRPr="00BA392B">
        <w:rPr>
          <w:rStyle w:val="Emphasis"/>
        </w:rPr>
        <w:t>response to AER draft decision on AusNet services transmission review</w:t>
      </w:r>
      <w:r>
        <w:t xml:space="preserve">, September 2016; CCP5, </w:t>
      </w:r>
      <w:r w:rsidRPr="00950EA8">
        <w:rPr>
          <w:rStyle w:val="AERtextitalic"/>
        </w:rPr>
        <w:t>Transmission for the Generations III–Response to: Revised revenue proposal by AusNet Services for Transmission Revenue Review 2017–22</w:t>
      </w:r>
      <w:r>
        <w:t xml:space="preserve">, October 2016, pp. 9–10; CCP4 (Hugh Grant), </w:t>
      </w:r>
      <w:r w:rsidRPr="00950EA8">
        <w:rPr>
          <w:rStyle w:val="AERtextitalic"/>
        </w:rPr>
        <w:t>Submission to the AER: AER draft 2018–22 revenue decision Powerlink revised 208–22 revenue proposal</w:t>
      </w:r>
      <w:r>
        <w:t xml:space="preserve">, 23 December 2016, p. 44; </w:t>
      </w:r>
      <w:r w:rsidRPr="007004E9">
        <w:t xml:space="preserve">CCP4 (David Headberry), </w:t>
      </w:r>
      <w:r w:rsidRPr="00950EA8">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Queensland farmers’ federation, </w:t>
      </w:r>
      <w:r w:rsidRPr="00950EA8">
        <w:rPr>
          <w:rStyle w:val="AERtextitalic"/>
        </w:rPr>
        <w:t>Re: Response on Australian Energy Regulator (AER) Draft Decision on Powerlink ‘s revenue proposal for the 2017/18 –2021/22 regulatory period</w:t>
      </w:r>
      <w:r>
        <w:t>, 30 November 2016.</w:t>
      </w:r>
    </w:p>
  </w:footnote>
  <w:footnote w:id="329">
    <w:p w:rsidR="002D334E" w:rsidRDefault="002D334E" w:rsidP="00772B77">
      <w:pPr>
        <w:pStyle w:val="FootnoteText"/>
      </w:pPr>
      <w:r>
        <w:rPr>
          <w:rStyle w:val="FootnoteReference"/>
        </w:rPr>
        <w:footnoteRef/>
      </w:r>
      <w:r>
        <w:t xml:space="preserve"> </w:t>
      </w:r>
      <w:r>
        <w:tab/>
        <w:t xml:space="preserve">AusNet Services, </w:t>
      </w:r>
      <w:r w:rsidRPr="00BA392B">
        <w:rPr>
          <w:rStyle w:val="Emphasis"/>
        </w:rPr>
        <w:t>AusNet Transmission 2017-22 Revised Revenue Proposal</w:t>
      </w:r>
      <w:r>
        <w:t xml:space="preserve">, 21 September 2016; TasNetworks, </w:t>
      </w:r>
      <w:r w:rsidRPr="00BA392B">
        <w:rPr>
          <w:rStyle w:val="Emphasis"/>
        </w:rPr>
        <w:t>TasNetworks Distribution Revised Regulatory Proposal 2017-19</w:t>
      </w:r>
      <w:r>
        <w:t xml:space="preserve">, December 2016; Powerlink, </w:t>
      </w:r>
      <w:r w:rsidRPr="00BA392B">
        <w:rPr>
          <w:rStyle w:val="Emphasis"/>
        </w:rPr>
        <w:t>Powerlink 2018-2022 Revised Revenue Proposal</w:t>
      </w:r>
      <w:r>
        <w:t>, December 2016.</w:t>
      </w:r>
    </w:p>
  </w:footnote>
  <w:footnote w:id="330">
    <w:p w:rsidR="002D334E" w:rsidRDefault="002D334E" w:rsidP="00772B77">
      <w:pPr>
        <w:pStyle w:val="FootnoteText"/>
      </w:pPr>
      <w:r>
        <w:rPr>
          <w:rStyle w:val="FootnoteReference"/>
        </w:rPr>
        <w:footnoteRef/>
      </w:r>
      <w:r>
        <w:t xml:space="preserve"> </w:t>
      </w:r>
      <w:r>
        <w:tab/>
        <w:t xml:space="preserve">AER, </w:t>
      </w:r>
      <w:r>
        <w:rPr>
          <w:rStyle w:val="Emphasis"/>
        </w:rPr>
        <w:t>Explanatory statement, Rate of Return Guideline</w:t>
      </w:r>
      <w:r>
        <w:t>, December 2013, pp. 14.</w:t>
      </w:r>
    </w:p>
  </w:footnote>
  <w:footnote w:id="331">
    <w:p w:rsidR="002D334E" w:rsidRDefault="002D334E" w:rsidP="00772B77">
      <w:pPr>
        <w:pStyle w:val="FootnoteText"/>
      </w:pPr>
      <w:r>
        <w:rPr>
          <w:rStyle w:val="FootnoteReference"/>
        </w:rPr>
        <w:footnoteRef/>
      </w:r>
      <w:r>
        <w:t xml:space="preserve"> </w:t>
      </w:r>
      <w:r>
        <w:tab/>
      </w:r>
      <w:r>
        <w:rPr>
          <w:szCs w:val="16"/>
        </w:rPr>
        <w:t xml:space="preserve">CCP (subpanel 5), </w:t>
      </w:r>
      <w:r>
        <w:rPr>
          <w:i/>
          <w:iCs/>
          <w:szCs w:val="16"/>
        </w:rPr>
        <w:t>Response to AER draft decision on AusNet Services transmission revenue review</w:t>
      </w:r>
      <w:r>
        <w:rPr>
          <w:szCs w:val="16"/>
        </w:rPr>
        <w:t>, September 2016, p. 20</w:t>
      </w:r>
      <w:r>
        <w:t xml:space="preserve">. </w:t>
      </w:r>
    </w:p>
  </w:footnote>
  <w:footnote w:id="332">
    <w:p w:rsidR="002D334E" w:rsidRDefault="002D334E" w:rsidP="00772B77">
      <w:pPr>
        <w:pStyle w:val="FootnoteText"/>
      </w:pPr>
      <w:r>
        <w:rPr>
          <w:rStyle w:val="FootnoteReference"/>
        </w:rPr>
        <w:footnoteRef/>
      </w:r>
      <w:r>
        <w:t xml:space="preserve"> </w:t>
      </w:r>
      <w:r>
        <w:tab/>
        <w:t xml:space="preserve">CCP (subpanel 5), </w:t>
      </w:r>
      <w:r>
        <w:rPr>
          <w:i/>
        </w:rPr>
        <w:t xml:space="preserve">Submission on AusNet transmission revised proposal, </w:t>
      </w:r>
      <w:r>
        <w:t xml:space="preserve">October 2016, pp.8-9. </w:t>
      </w:r>
    </w:p>
  </w:footnote>
  <w:footnote w:id="333">
    <w:p w:rsidR="002D334E" w:rsidRDefault="002D334E" w:rsidP="00772B77">
      <w:pPr>
        <w:pStyle w:val="FootnoteText"/>
      </w:pPr>
      <w:r>
        <w:rPr>
          <w:rStyle w:val="FootnoteReference"/>
        </w:rPr>
        <w:footnoteRef/>
      </w:r>
      <w:r>
        <w:t xml:space="preserve"> </w:t>
      </w:r>
      <w:r>
        <w:tab/>
        <w:t xml:space="preserve">CCP4 (David Headberry), </w:t>
      </w:r>
      <w:r w:rsidRPr="00BA392B">
        <w:rPr>
          <w:rStyle w:val="Emphasis"/>
        </w:rPr>
        <w:t>Submission on Powerlink draft decision and revised proposal</w:t>
      </w:r>
      <w:r>
        <w:t>, 23 December 2016, p. 21.</w:t>
      </w:r>
    </w:p>
  </w:footnote>
  <w:footnote w:id="334">
    <w:p w:rsidR="002D334E" w:rsidRDefault="002D334E" w:rsidP="00772B77">
      <w:pPr>
        <w:pStyle w:val="FootnoteText"/>
      </w:pPr>
      <w:r>
        <w:rPr>
          <w:rStyle w:val="FootnoteReference"/>
        </w:rPr>
        <w:footnoteRef/>
      </w:r>
      <w:r>
        <w:t xml:space="preserve"> </w:t>
      </w:r>
      <w:r>
        <w:tab/>
        <w:t xml:space="preserve">CCP4 (Hugh Grant), </w:t>
      </w:r>
      <w:r w:rsidRPr="00BA392B">
        <w:rPr>
          <w:rStyle w:val="Emphasis"/>
        </w:rPr>
        <w:t>Submission on Powerlink draft decision and revised proposal</w:t>
      </w:r>
      <w:r>
        <w:t>, 23 December 2016, pp.5 &amp; 39-42.</w:t>
      </w:r>
    </w:p>
  </w:footnote>
  <w:footnote w:id="335">
    <w:p w:rsidR="002D334E" w:rsidRDefault="002D334E">
      <w:pPr>
        <w:pStyle w:val="FootnoteText"/>
      </w:pPr>
      <w:r>
        <w:rPr>
          <w:rStyle w:val="FootnoteReference"/>
        </w:rPr>
        <w:footnoteRef/>
      </w:r>
      <w:r>
        <w:t xml:space="preserve"> </w:t>
      </w:r>
      <w:r>
        <w:tab/>
        <w:t xml:space="preserve">Cotton Australia, </w:t>
      </w:r>
      <w:r w:rsidRPr="00BA392B">
        <w:rPr>
          <w:rStyle w:val="Emphasis"/>
        </w:rPr>
        <w:t>Submission on Powerlink revised proposal</w:t>
      </w:r>
      <w:r>
        <w:t>, 22 December 2016, p. 2.</w:t>
      </w:r>
    </w:p>
  </w:footnote>
  <w:footnote w:id="336">
    <w:p w:rsidR="002D334E" w:rsidRDefault="002D334E">
      <w:pPr>
        <w:pStyle w:val="FootnoteText"/>
      </w:pPr>
      <w:r>
        <w:rPr>
          <w:rStyle w:val="FootnoteReference"/>
        </w:rPr>
        <w:footnoteRef/>
      </w:r>
      <w:r>
        <w:t xml:space="preserve"> </w:t>
      </w:r>
      <w:r>
        <w:tab/>
        <w:t xml:space="preserve">John Herbst, </w:t>
      </w:r>
      <w:r w:rsidRPr="00A164C0">
        <w:rPr>
          <w:rStyle w:val="Emphasis"/>
        </w:rPr>
        <w:t>Submission on TasNetworks tariff structure statement</w:t>
      </w:r>
      <w:r>
        <w:t>, December 2016, pp. 1-3.</w:t>
      </w:r>
    </w:p>
  </w:footnote>
  <w:footnote w:id="337">
    <w:p w:rsidR="002D334E" w:rsidRDefault="002D334E" w:rsidP="00772B77">
      <w:pPr>
        <w:pStyle w:val="FootnoteText"/>
      </w:pPr>
      <w:r>
        <w:rPr>
          <w:rStyle w:val="FootnoteReference"/>
        </w:rPr>
        <w:footnoteRef/>
      </w:r>
      <w:r>
        <w:t xml:space="preserve"> </w:t>
      </w:r>
      <w:r>
        <w:tab/>
        <w:t xml:space="preserve">Frontier considers that we set a market risk premium of 6.5 per cent in the December 2013 Guideline by estimating the mid-point of historical excess returns and dividend growth model estimates. See Frontier Economics, </w:t>
      </w:r>
      <w:r w:rsidRPr="00A164C0">
        <w:rPr>
          <w:rStyle w:val="Emphasis"/>
        </w:rPr>
        <w:t>The Market Risk Premium</w:t>
      </w:r>
      <w:r>
        <w:t>, September 2016, p. 25.</w:t>
      </w:r>
    </w:p>
  </w:footnote>
  <w:footnote w:id="338">
    <w:p w:rsidR="002D334E" w:rsidRDefault="002D334E" w:rsidP="004A411C">
      <w:pPr>
        <w:pStyle w:val="FootnoteText"/>
      </w:pPr>
      <w:r>
        <w:rPr>
          <w:rStyle w:val="FootnoteReference"/>
        </w:rPr>
        <w:footnoteRef/>
      </w:r>
      <w:r>
        <w:t xml:space="preserve"> </w:t>
      </w:r>
      <w:r>
        <w:tab/>
        <w:t xml:space="preserve">See: AER, </w:t>
      </w:r>
      <w:r w:rsidRPr="00F13A0F">
        <w:rPr>
          <w:rStyle w:val="Emphasis"/>
        </w:rPr>
        <w:t>Final decision SA Power Networks determination 2015-16 to 2019-20: Attachment 3–Rate of return</w:t>
      </w:r>
      <w:r>
        <w:t>, October 2015, pp. 33–144.</w:t>
      </w:r>
    </w:p>
  </w:footnote>
  <w:footnote w:id="339">
    <w:p w:rsidR="002D334E" w:rsidRDefault="002D334E" w:rsidP="004A411C">
      <w:pPr>
        <w:pStyle w:val="FootnoteText"/>
      </w:pPr>
      <w:r>
        <w:rPr>
          <w:rStyle w:val="FootnoteReference"/>
        </w:rPr>
        <w:footnoteRef/>
      </w:r>
      <w:r>
        <w:t xml:space="preserve"> </w:t>
      </w:r>
      <w:r>
        <w:tab/>
        <w:t xml:space="preserve">See for example: AER, </w:t>
      </w:r>
      <w:r w:rsidRPr="00F13A0F">
        <w:rPr>
          <w:rStyle w:val="Emphasis"/>
        </w:rPr>
        <w:t>Final decision SA Power Networks determination 2015-16 to 2019-20: Attachment 3–Rate of return</w:t>
      </w:r>
      <w:r>
        <w:t>, October 2015, pp. 43–106.</w:t>
      </w:r>
    </w:p>
  </w:footnote>
  <w:footnote w:id="340">
    <w:p w:rsidR="002D334E" w:rsidRDefault="002D334E" w:rsidP="00772B77">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341">
    <w:p w:rsidR="002D334E" w:rsidRDefault="002D334E" w:rsidP="00772B77">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w:t>
      </w:r>
      <w:r w:rsidRPr="00176A4B">
        <w:t xml:space="preserve">Partington &amp; Satchell, </w:t>
      </w:r>
      <w:r>
        <w:rPr>
          <w:rStyle w:val="AERtextitalic"/>
        </w:rPr>
        <w:t xml:space="preserve">Report to the AER: Analysis of </w:t>
      </w:r>
      <w:r w:rsidRPr="00176A4B">
        <w:rPr>
          <w:rStyle w:val="AERtextitalic"/>
        </w:rPr>
        <w:t>criticism of 2015 determinations</w:t>
      </w:r>
      <w:r w:rsidRPr="00176A4B">
        <w:t>, October 2015</w:t>
      </w:r>
      <w:r>
        <w:t>, pp. 43–44.</w:t>
      </w:r>
    </w:p>
  </w:footnote>
  <w:footnote w:id="342">
    <w:p w:rsidR="002D334E" w:rsidRDefault="002D334E" w:rsidP="00310F6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148-149; Frontier Economics, The market risk premium, September 2016, p. 71–73, 75–76; SAPN, </w:t>
      </w:r>
      <w:r w:rsidRPr="00A164C0">
        <w:rPr>
          <w:rStyle w:val="Emphasis"/>
        </w:rPr>
        <w:t>2015-20 Revised Regulatory Proposal</w:t>
      </w:r>
      <w:r>
        <w:t xml:space="preserve">, July 2015, P349-355; Ausgrid, </w:t>
      </w:r>
      <w:r w:rsidRPr="00A164C0">
        <w:rPr>
          <w:rStyle w:val="Emphasis"/>
        </w:rPr>
        <w:t>Ausgrid Revised Regulatory Proposal (amended)</w:t>
      </w:r>
      <w:r>
        <w:t>, February 2015, P6; AusNet Services</w:t>
      </w:r>
      <w:r w:rsidRPr="00A164C0">
        <w:rPr>
          <w:rStyle w:val="Emphasis"/>
        </w:rPr>
        <w:t>, Revenue Proposal - Revised - PUBLIC</w:t>
      </w:r>
      <w:r>
        <w:t>, 18 November 15,pp. 234-235.</w:t>
      </w:r>
    </w:p>
  </w:footnote>
  <w:footnote w:id="343">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24.</w:t>
      </w:r>
    </w:p>
  </w:footnote>
  <w:footnote w:id="344">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345">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pp.28-31.</w:t>
      </w:r>
    </w:p>
  </w:footnote>
  <w:footnote w:id="346">
    <w:p w:rsidR="002D334E" w:rsidRDefault="002D334E" w:rsidP="001B65C8">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p.24.</w:t>
      </w:r>
    </w:p>
  </w:footnote>
  <w:footnote w:id="347">
    <w:p w:rsidR="002D334E" w:rsidRDefault="002D334E" w:rsidP="00772B77">
      <w:pPr>
        <w:pStyle w:val="FootnoteText"/>
      </w:pPr>
      <w:r>
        <w:rPr>
          <w:rStyle w:val="FootnoteReference"/>
        </w:rPr>
        <w:footnoteRef/>
      </w:r>
      <w:r>
        <w:t xml:space="preserve"> </w:t>
      </w:r>
      <w:r>
        <w:tab/>
        <w:t>For the return on equity: the Sharpe Lintner CAPM, Black CAPM, Fama-French model and the dividend growth model. For the market risk premium: historical excess returns, Wright approach, dividend growth model and independent expert valuation reports.</w:t>
      </w:r>
    </w:p>
  </w:footnote>
  <w:footnote w:id="348">
    <w:p w:rsidR="002D334E" w:rsidRDefault="002D334E" w:rsidP="00327929">
      <w:pPr>
        <w:pStyle w:val="FootnoteText"/>
      </w:pPr>
      <w:r>
        <w:rPr>
          <w:rStyle w:val="FootnoteReference"/>
        </w:rPr>
        <w:footnoteRef/>
      </w:r>
      <w:r>
        <w:t xml:space="preserve"> </w:t>
      </w:r>
      <w:r>
        <w:tab/>
        <w:t xml:space="preserve">SAPN, </w:t>
      </w:r>
      <w:r w:rsidRPr="00A74F31">
        <w:rPr>
          <w:rStyle w:val="Emphasis"/>
        </w:rPr>
        <w:t>Regulatory Proposal 2015-20</w:t>
      </w:r>
      <w:r>
        <w:t xml:space="preserve">, pp.318-319; AGN, </w:t>
      </w:r>
      <w:r w:rsidRPr="00A74F31">
        <w:rPr>
          <w:rStyle w:val="Emphasis"/>
        </w:rPr>
        <w:t>Revised SA Access Arrangement Information January 2016</w:t>
      </w:r>
      <w:r>
        <w:t>, pp.88-89; Frontier Economics, The Required Return on Equity Under a Foundation Model Approach, January 2016, pp.7-10, 22.</w:t>
      </w:r>
    </w:p>
  </w:footnote>
  <w:footnote w:id="349">
    <w:p w:rsidR="002D334E" w:rsidRDefault="002D334E"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24–25.</w:t>
      </w:r>
    </w:p>
  </w:footnote>
  <w:footnote w:id="350">
    <w:p w:rsidR="002D334E" w:rsidRDefault="002D334E"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51">
    <w:p w:rsidR="002D334E" w:rsidRDefault="002D334E"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52">
    <w:p w:rsidR="002D334E" w:rsidRDefault="002D334E" w:rsidP="00772B77">
      <w:pPr>
        <w:pStyle w:val="FootnoteText"/>
      </w:pPr>
      <w:r>
        <w:rPr>
          <w:rStyle w:val="FootnoteReference"/>
        </w:rPr>
        <w:footnoteRef/>
      </w:r>
      <w:r>
        <w:t xml:space="preserve"> </w:t>
      </w:r>
      <w:r>
        <w:tab/>
        <w:t>Frontier assumed a theta of 0.35, the NERA adjustment and excluded averaging periods that start in 1980 (that is it excluded the 1980–2015 and the 1988–2015 averaging periods).</w:t>
      </w:r>
    </w:p>
  </w:footnote>
  <w:footnote w:id="353">
    <w:p w:rsidR="002D334E" w:rsidRDefault="002D334E" w:rsidP="00772B77">
      <w:pPr>
        <w:pStyle w:val="FootnoteText"/>
      </w:pPr>
      <w:r>
        <w:rPr>
          <w:rStyle w:val="FootnoteReference"/>
        </w:rPr>
        <w:footnoteRef/>
      </w:r>
      <w:r>
        <w:t xml:space="preserve"> </w:t>
      </w:r>
      <w:r>
        <w:tab/>
        <w:t xml:space="preserve">AER, Better regulation Explanatory statement rate of return guideline appendices, December 2013, p. 27. </w:t>
      </w:r>
    </w:p>
  </w:footnote>
  <w:footnote w:id="354">
    <w:p w:rsidR="002D334E" w:rsidRDefault="002D334E">
      <w:pPr>
        <w:pStyle w:val="FootnoteText"/>
      </w:pPr>
      <w:r>
        <w:rPr>
          <w:rStyle w:val="FootnoteReference"/>
        </w:rPr>
        <w:footnoteRef/>
      </w:r>
      <w:r>
        <w:t xml:space="preserve"> </w:t>
      </w:r>
      <w:r>
        <w:tab/>
        <w:t xml:space="preserve">Frontier Economics, </w:t>
      </w:r>
      <w:r w:rsidRPr="00A74F31">
        <w:rPr>
          <w:rStyle w:val="Emphasis"/>
        </w:rPr>
        <w:t>The Market Risk Premium</w:t>
      </w:r>
      <w:r>
        <w:t xml:space="preserve">, September 2016, pp. 35–37; Frontier Economics, </w:t>
      </w:r>
      <w:r w:rsidRPr="00A74F31">
        <w:rPr>
          <w:rStyle w:val="Emphasis"/>
        </w:rPr>
        <w:t>The Required Return On Equity Under A Foundation Model Approach</w:t>
      </w:r>
      <w:r>
        <w:t>, January 2016, pp. 32–34.</w:t>
      </w:r>
    </w:p>
  </w:footnote>
  <w:footnote w:id="355">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p.15.</w:t>
      </w:r>
    </w:p>
  </w:footnote>
  <w:footnote w:id="356">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20.</w:t>
      </w:r>
    </w:p>
  </w:footnote>
  <w:footnote w:id="357">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pp.20-23.</w:t>
      </w:r>
    </w:p>
  </w:footnote>
  <w:footnote w:id="358">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p.21.</w:t>
      </w:r>
    </w:p>
  </w:footnote>
  <w:footnote w:id="359">
    <w:p w:rsidR="002D334E" w:rsidRDefault="002D334E">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AER, </w:t>
      </w:r>
      <w:r w:rsidRPr="00A164C0">
        <w:rPr>
          <w:rStyle w:val="Emphasis"/>
        </w:rPr>
        <w:t>Final Decision AusNet distribution determination - Attachment 3 - rate of return</w:t>
      </w:r>
      <w:r>
        <w:t>, May 2016.</w:t>
      </w:r>
    </w:p>
  </w:footnote>
  <w:footnote w:id="360">
    <w:p w:rsidR="002D334E" w:rsidRDefault="002D334E" w:rsidP="00310F6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pp. 147–149;</w:t>
      </w:r>
      <w:r w:rsidRPr="00285FDF">
        <w:t xml:space="preserve"> </w:t>
      </w:r>
      <w:r>
        <w:t xml:space="preserve">SAPN, </w:t>
      </w:r>
      <w:r w:rsidRPr="00B907B8">
        <w:rPr>
          <w:rStyle w:val="Emphasis"/>
        </w:rPr>
        <w:t>2015-20 Revised Regulatory Proposal</w:t>
      </w:r>
      <w:r>
        <w:t xml:space="preserve">, July 2015, pp.349-355; Ausgrid, </w:t>
      </w:r>
      <w:r w:rsidRPr="00B907B8">
        <w:rPr>
          <w:rStyle w:val="Emphasis"/>
        </w:rPr>
        <w:t>Ausgrid Revised Regulatory Proposal (amended)</w:t>
      </w:r>
      <w:r>
        <w:t>, February 2015, P6; AusNet Services</w:t>
      </w:r>
      <w:r w:rsidRPr="00B907B8">
        <w:rPr>
          <w:rStyle w:val="Emphasis"/>
        </w:rPr>
        <w:t>, Revenue Proposal - Revised - PUBLIC</w:t>
      </w:r>
      <w:r>
        <w:t>, 18 November 15, pp.234-235.</w:t>
      </w:r>
    </w:p>
  </w:footnote>
  <w:footnote w:id="361">
    <w:p w:rsidR="002D334E" w:rsidRDefault="002D334E" w:rsidP="00C33F1F">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62">
    <w:p w:rsidR="002D334E" w:rsidRDefault="002D334E" w:rsidP="00772B77">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pp. 147-153; AusNet Services</w:t>
      </w:r>
      <w:r w:rsidRPr="00B907B8">
        <w:rPr>
          <w:rStyle w:val="Emphasis"/>
        </w:rPr>
        <w:t>, Revenue Proposal - Revised - PUBLIC</w:t>
      </w:r>
      <w:r>
        <w:t>, 18 November 15, p. 250;</w:t>
      </w:r>
      <w:r w:rsidRPr="00285FDF">
        <w:t xml:space="preserve"> </w:t>
      </w:r>
      <w:r>
        <w:t xml:space="preserve">SAPN, </w:t>
      </w:r>
      <w:r w:rsidRPr="00B907B8">
        <w:rPr>
          <w:rStyle w:val="Emphasis"/>
        </w:rPr>
        <w:t>2015-20 Revised Regulatory Proposal</w:t>
      </w:r>
      <w:r>
        <w:t xml:space="preserve">, July 2015, p.337. </w:t>
      </w:r>
    </w:p>
  </w:footnote>
  <w:footnote w:id="363">
    <w:p w:rsidR="002D334E" w:rsidRDefault="002D334E">
      <w:pPr>
        <w:pStyle w:val="FootnoteText"/>
      </w:pPr>
      <w:r>
        <w:rPr>
          <w:rStyle w:val="FootnoteReference"/>
        </w:rPr>
        <w:footnoteRef/>
      </w:r>
      <w:r>
        <w:t xml:space="preserve"> </w:t>
      </w:r>
      <w:r>
        <w:tab/>
      </w:r>
      <w:r w:rsidRPr="00826060">
        <w:t>AER</w:t>
      </w:r>
      <w:r w:rsidRPr="00A164C0">
        <w:rPr>
          <w:rStyle w:val="Emphasis"/>
        </w:rPr>
        <w:t>, Final Decision SA Power Networks distribution determination - attachment 3 - rate of return</w:t>
      </w:r>
      <w:r>
        <w:t>, October 2015, pp.322-323.</w:t>
      </w:r>
    </w:p>
  </w:footnote>
  <w:footnote w:id="364">
    <w:p w:rsidR="002D334E" w:rsidRDefault="002D334E" w:rsidP="00772B77">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365">
    <w:p w:rsidR="002D334E" w:rsidRDefault="002D334E" w:rsidP="00772B77">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263; Frontier Economics</w:t>
      </w:r>
      <w:r w:rsidRPr="00F85FCC">
        <w:t xml:space="preserve">, </w:t>
      </w:r>
      <w:r>
        <w:rPr>
          <w:rStyle w:val="AERtextitalic"/>
        </w:rPr>
        <w:t>The Market Risk Premium</w:t>
      </w:r>
      <w:r>
        <w:t>, September</w:t>
      </w:r>
      <w:r w:rsidRPr="00F85FCC">
        <w:t xml:space="preserve"> 201</w:t>
      </w:r>
      <w:r>
        <w:t xml:space="preserve">6, pp. 35-38; ; Ausgrid, </w:t>
      </w:r>
      <w:r w:rsidRPr="00B907B8">
        <w:rPr>
          <w:rStyle w:val="Emphasis"/>
        </w:rPr>
        <w:t>Ausgrid Revised Regulatory Proposal (amended)</w:t>
      </w:r>
      <w:r>
        <w:t xml:space="preserve">, February 2015, p.197; SAPN, </w:t>
      </w:r>
      <w:r w:rsidRPr="00B907B8">
        <w:rPr>
          <w:rStyle w:val="Emphasis"/>
        </w:rPr>
        <w:t>2015-20 Revised Regulatory Proposal</w:t>
      </w:r>
      <w:r>
        <w:t>, July 2015, p. 337.</w:t>
      </w:r>
    </w:p>
  </w:footnote>
  <w:footnote w:id="366">
    <w:p w:rsidR="002D334E" w:rsidRDefault="002D334E">
      <w:pPr>
        <w:pStyle w:val="FootnoteText"/>
      </w:pPr>
      <w:r>
        <w:rPr>
          <w:rStyle w:val="FootnoteReference"/>
        </w:rPr>
        <w:footnoteRef/>
      </w:r>
      <w:r>
        <w:t xml:space="preserve"> </w:t>
      </w:r>
      <w:r>
        <w:tab/>
        <w:t xml:space="preserve">AER, </w:t>
      </w:r>
      <w:r w:rsidRPr="00A164C0">
        <w:rPr>
          <w:rStyle w:val="Emphasis"/>
        </w:rPr>
        <w:t>Final decision on SA Power Networks distribution determination - attachment 3 - Rate of Return</w:t>
      </w:r>
      <w:r>
        <w:t>, October 2015, pp.402-403.</w:t>
      </w:r>
    </w:p>
  </w:footnote>
  <w:footnote w:id="367">
    <w:p w:rsidR="002D334E" w:rsidRDefault="002D334E" w:rsidP="00772B77">
      <w:pPr>
        <w:pStyle w:val="FootnoteText"/>
      </w:pPr>
      <w:r>
        <w:rPr>
          <w:rStyle w:val="FootnoteReference"/>
        </w:rPr>
        <w:footnoteRef/>
      </w:r>
      <w:r>
        <w:t xml:space="preserve"> </w:t>
      </w:r>
      <w:r>
        <w:tab/>
        <w:t>Partington and Satchell,</w:t>
      </w:r>
      <w:r w:rsidRPr="00452704">
        <w:t xml:space="preserve"> </w:t>
      </w:r>
      <w:r w:rsidRPr="00A164C0">
        <w:rPr>
          <w:rStyle w:val="Emphasis"/>
        </w:rPr>
        <w:t xml:space="preserve">Report to the AER: Discussion of estimates of the return on equity, </w:t>
      </w:r>
      <w:r>
        <w:t>12 April 2017, p. 28.</w:t>
      </w:r>
    </w:p>
  </w:footnote>
  <w:footnote w:id="368">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 AusNet Services, AusNet transmission revised revenue proposal, 21 September 2016, p.152.</w:t>
      </w:r>
    </w:p>
  </w:footnote>
  <w:footnote w:id="369">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370">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p.16.</w:t>
      </w:r>
    </w:p>
  </w:footnote>
  <w:footnote w:id="371">
    <w:p w:rsidR="002D334E" w:rsidRDefault="002D334E">
      <w:pPr>
        <w:pStyle w:val="FootnoteText"/>
      </w:pPr>
      <w:r>
        <w:rPr>
          <w:rStyle w:val="FootnoteReference"/>
        </w:rPr>
        <w:footnoteRef/>
      </w:r>
      <w:r>
        <w:t xml:space="preserve"> </w:t>
      </w:r>
      <w:r>
        <w:tab/>
      </w:r>
      <w:r w:rsidRPr="00226E14">
        <w:t xml:space="preserve">AER, </w:t>
      </w:r>
      <w:r w:rsidRPr="00A164C0">
        <w:rPr>
          <w:rStyle w:val="Emphasis"/>
        </w:rPr>
        <w:t>Final decision on SA Power Networks distribution determination - attachment 3 - Rate of Return</w:t>
      </w:r>
      <w:r w:rsidRPr="00226E14">
        <w:t xml:space="preserve">, October 2015, </w:t>
      </w:r>
      <w:r>
        <w:t>pp.</w:t>
      </w:r>
      <w:r w:rsidRPr="00226E14">
        <w:t>402-403</w:t>
      </w:r>
      <w:r>
        <w:t xml:space="preserve">; </w:t>
      </w:r>
      <w:r w:rsidRPr="00226E14">
        <w:t xml:space="preserve">AER, </w:t>
      </w:r>
      <w:r w:rsidRPr="00A164C0">
        <w:rPr>
          <w:rStyle w:val="Emphasis"/>
        </w:rPr>
        <w:t>Final Decision AusNet distribution determination - Attachment 3 - rate of return</w:t>
      </w:r>
      <w:r w:rsidRPr="00226E14">
        <w:t>, May 2016</w:t>
      </w:r>
      <w:r>
        <w:t>, p.90-91.</w:t>
      </w:r>
    </w:p>
  </w:footnote>
  <w:footnote w:id="372">
    <w:p w:rsidR="002D334E" w:rsidRDefault="002D334E" w:rsidP="00772B77">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235; Frontier Economics</w:t>
      </w:r>
      <w:r w:rsidRPr="00F85FCC">
        <w:t xml:space="preserve">, </w:t>
      </w:r>
      <w:r>
        <w:rPr>
          <w:rStyle w:val="AERtextitalic"/>
        </w:rPr>
        <w:t>The Market Risk Premium</w:t>
      </w:r>
      <w:r>
        <w:t>, September</w:t>
      </w:r>
      <w:r w:rsidRPr="00F85FCC">
        <w:t xml:space="preserve"> 201</w:t>
      </w:r>
      <w:r>
        <w:t>6, pp. 34-36; AusNet Services</w:t>
      </w:r>
      <w:r w:rsidRPr="00B907B8">
        <w:rPr>
          <w:rStyle w:val="Emphasis"/>
        </w:rPr>
        <w:t>, Revenue Proposal - Revised - PUBLIC</w:t>
      </w:r>
      <w:r>
        <w:t>, 18 November 15, p. 250.</w:t>
      </w:r>
    </w:p>
  </w:footnote>
  <w:footnote w:id="373">
    <w:p w:rsidR="002D334E" w:rsidRDefault="002D334E" w:rsidP="0015508E">
      <w:pPr>
        <w:pStyle w:val="FootnoteText"/>
      </w:pPr>
      <w:r>
        <w:rPr>
          <w:rStyle w:val="FootnoteReference"/>
        </w:rPr>
        <w:footnoteRef/>
      </w:r>
      <w:r>
        <w:t xml:space="preserve"> </w:t>
      </w:r>
      <w:r>
        <w:tab/>
      </w:r>
      <w:r w:rsidRPr="00226E14">
        <w:t>AER</w:t>
      </w:r>
      <w:r w:rsidRPr="00A164C0">
        <w:rPr>
          <w:rStyle w:val="Emphasis"/>
        </w:rPr>
        <w:t>, Final Decision AusNet distribution determination - Attachment 3 - rate of return</w:t>
      </w:r>
      <w:r w:rsidRPr="00226E14">
        <w:t xml:space="preserve">, May 2016, </w:t>
      </w:r>
      <w:r>
        <w:t>p.61;</w:t>
      </w:r>
      <w:r w:rsidRPr="00226E14">
        <w:t xml:space="preserve"> AER, </w:t>
      </w:r>
      <w:r w:rsidRPr="00A164C0">
        <w:rPr>
          <w:rStyle w:val="Emphasis"/>
        </w:rPr>
        <w:t>Final decision on CitiPower distribution determination - attachment 3 - Rate of Return</w:t>
      </w:r>
      <w:r>
        <w:t>, May 2016</w:t>
      </w:r>
      <w:r w:rsidRPr="00226E14">
        <w:t>,</w:t>
      </w:r>
      <w:r>
        <w:t xml:space="preserve"> p.60.</w:t>
      </w:r>
    </w:p>
  </w:footnote>
  <w:footnote w:id="374">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34-36.</w:t>
      </w:r>
    </w:p>
  </w:footnote>
  <w:footnote w:id="375">
    <w:p w:rsidR="002D334E" w:rsidRDefault="002D334E" w:rsidP="00772B77">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376">
    <w:p w:rsidR="002D334E" w:rsidRDefault="002D334E" w:rsidP="00772B77">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377">
    <w:p w:rsidR="002D334E" w:rsidRDefault="002D334E" w:rsidP="00772B77">
      <w:pPr>
        <w:pStyle w:val="FootnoteText"/>
      </w:pPr>
      <w:r>
        <w:rPr>
          <w:rStyle w:val="FootnoteReference"/>
        </w:rPr>
        <w:footnoteRef/>
      </w:r>
      <w:r>
        <w:t xml:space="preserve"> </w:t>
      </w:r>
      <w:r>
        <w:tab/>
        <w:t xml:space="preserve">Frontier Economics, </w:t>
      </w:r>
      <w:r w:rsidRPr="00405AF1">
        <w:rPr>
          <w:rStyle w:val="Emphasis"/>
        </w:rPr>
        <w:t>The relationship between government bond yields and the market risk premium</w:t>
      </w:r>
      <w:r>
        <w:t>, January 2016, p. 39; Frontier Economics</w:t>
      </w:r>
      <w:r w:rsidRPr="00F85FCC">
        <w:t xml:space="preserve">, </w:t>
      </w:r>
      <w:r>
        <w:rPr>
          <w:rStyle w:val="AERtextitalic"/>
        </w:rPr>
        <w:t>The Market Risk Premium</w:t>
      </w:r>
      <w:r>
        <w:t>, September</w:t>
      </w:r>
      <w:r w:rsidRPr="00F85FCC">
        <w:t xml:space="preserve"> 201</w:t>
      </w:r>
      <w:r>
        <w:t>6, pp. 61–62.</w:t>
      </w:r>
    </w:p>
  </w:footnote>
  <w:footnote w:id="378">
    <w:p w:rsidR="002D334E" w:rsidRDefault="002D334E">
      <w:pPr>
        <w:pStyle w:val="FootnoteText"/>
      </w:pPr>
      <w:r>
        <w:rPr>
          <w:rStyle w:val="FootnoteReference"/>
        </w:rPr>
        <w:footnoteRef/>
      </w:r>
      <w:r>
        <w:t xml:space="preserve"> </w:t>
      </w:r>
      <w:r>
        <w:tab/>
      </w:r>
      <w:r w:rsidRPr="00AC26B1">
        <w:t xml:space="preserve">AER, </w:t>
      </w:r>
      <w:r w:rsidRPr="00A164C0">
        <w:rPr>
          <w:rStyle w:val="Emphasis"/>
        </w:rPr>
        <w:t>Final Decision AusNet distribution determination - Attachment 3 - rate of return</w:t>
      </w:r>
      <w:r w:rsidRPr="00AC26B1">
        <w:t xml:space="preserve">, May 2016, </w:t>
      </w:r>
      <w:r>
        <w:t>p.</w:t>
      </w:r>
      <w:r w:rsidRPr="00AC26B1">
        <w:t>61</w:t>
      </w:r>
      <w:r>
        <w:t xml:space="preserve">; AER, </w:t>
      </w:r>
      <w:r w:rsidRPr="00A164C0">
        <w:rPr>
          <w:rStyle w:val="Emphasis"/>
        </w:rPr>
        <w:t>Final Decision SA Power Networks distribution determination - attachment 3 - rate of return</w:t>
      </w:r>
      <w:r>
        <w:t>, October 2015, p.360-361</w:t>
      </w:r>
    </w:p>
  </w:footnote>
  <w:footnote w:id="379">
    <w:p w:rsidR="002D334E" w:rsidRDefault="002D334E" w:rsidP="00772B77">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380">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Ausgrid, </w:t>
      </w:r>
      <w:r w:rsidRPr="00B907B8">
        <w:rPr>
          <w:rStyle w:val="Emphasis"/>
        </w:rPr>
        <w:t>Ausgrid Revised Regulatory Proposal (amended)</w:t>
      </w:r>
      <w:r>
        <w:t>, February 2015, p. 6.</w:t>
      </w:r>
    </w:p>
  </w:footnote>
  <w:footnote w:id="381">
    <w:p w:rsidR="002D334E" w:rsidRDefault="002D334E" w:rsidP="00C33F1F">
      <w:pPr>
        <w:pStyle w:val="FootnoteText"/>
        <w:tabs>
          <w:tab w:val="clear" w:pos="340"/>
          <w:tab w:val="left" w:pos="142"/>
        </w:tabs>
        <w:ind w:left="142" w:hanging="142"/>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r>
        <w:t xml:space="preserve">; </w:t>
      </w:r>
      <w:r w:rsidRPr="00F56847">
        <w:t>AER</w:t>
      </w:r>
      <w:r w:rsidRPr="00A164C0">
        <w:rPr>
          <w:rStyle w:val="Emphasis"/>
        </w:rPr>
        <w:t>, Final Decision AusNet distribution determination - Attachment 3 - rate of return</w:t>
      </w:r>
      <w:r w:rsidRPr="00F56847">
        <w:t xml:space="preserve">, May 2016, </w:t>
      </w:r>
      <w:r>
        <w:t xml:space="preserve">p. </w:t>
      </w:r>
      <w:r w:rsidRPr="00F56847">
        <w:t>6</w:t>
      </w:r>
      <w:r>
        <w:t>2.</w:t>
      </w:r>
    </w:p>
  </w:footnote>
  <w:footnote w:id="382">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383">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w:t>
      </w:r>
      <w:r w:rsidRPr="00F56847">
        <w:t xml:space="preserve">AER, </w:t>
      </w:r>
      <w:r w:rsidRPr="00A164C0">
        <w:rPr>
          <w:rStyle w:val="Emphasis"/>
        </w:rPr>
        <w:t>Final Decision AusNet distribution determination - Attachment 3 - rate of return</w:t>
      </w:r>
      <w:r w:rsidRPr="00F56847">
        <w:t xml:space="preserve">, May 2016, </w:t>
      </w:r>
      <w:r>
        <w:t xml:space="preserve">p. </w:t>
      </w:r>
      <w:r w:rsidRPr="00F56847">
        <w:t>62</w:t>
      </w:r>
      <w:r>
        <w:t>.</w:t>
      </w:r>
    </w:p>
  </w:footnote>
  <w:footnote w:id="384">
    <w:p w:rsidR="002D334E" w:rsidRDefault="002D334E" w:rsidP="00772B77">
      <w:pPr>
        <w:pStyle w:val="FootnoteText"/>
      </w:pPr>
      <w:r>
        <w:rPr>
          <w:rStyle w:val="FootnoteReference"/>
        </w:rPr>
        <w:footnoteRef/>
      </w:r>
      <w:r>
        <w:t xml:space="preserve"> </w:t>
      </w:r>
      <w:r>
        <w:tab/>
        <w:t>Partington and Satchell,</w:t>
      </w:r>
      <w:r w:rsidRPr="00F56847">
        <w:t xml:space="preserve"> </w:t>
      </w:r>
      <w:r w:rsidRPr="00A164C0">
        <w:rPr>
          <w:rStyle w:val="Emphasis"/>
        </w:rPr>
        <w:t xml:space="preserve">Report to the AER: Discussion of estimates of the return on equity, </w:t>
      </w:r>
      <w:r>
        <w:t>12 April 2017,p. 32.</w:t>
      </w:r>
    </w:p>
  </w:footnote>
  <w:footnote w:id="385">
    <w:p w:rsidR="002D334E" w:rsidRDefault="002D334E" w:rsidP="00DB7AA8">
      <w:pPr>
        <w:pStyle w:val="FootnoteText"/>
        <w:tabs>
          <w:tab w:val="clear" w:pos="340"/>
          <w:tab w:val="left" w:pos="284"/>
        </w:tabs>
        <w:ind w:left="284" w:hanging="284"/>
      </w:pPr>
      <w:r>
        <w:rPr>
          <w:rStyle w:val="FootnoteReference"/>
        </w:rPr>
        <w:footnoteRef/>
      </w:r>
      <w:r>
        <w:t xml:space="preserve"> </w:t>
      </w:r>
      <w:r>
        <w:tab/>
        <w:t xml:space="preserve"> 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t xml:space="preserve">  </w:t>
      </w:r>
      <w:r w:rsidRPr="00B923B2">
        <w:rPr>
          <w:rStyle w:val="AERtextitalic"/>
        </w:rPr>
        <w:t>Report to the AER: Return on equity (Updated)</w:t>
      </w:r>
      <w:r w:rsidRPr="00B923B2">
        <w:t>, April 2015</w:t>
      </w:r>
      <w:r>
        <w:t>, p. 51.</w:t>
      </w:r>
    </w:p>
  </w:footnote>
  <w:footnote w:id="386">
    <w:p w:rsidR="002D334E" w:rsidRDefault="002D334E" w:rsidP="002656D9">
      <w:pPr>
        <w:pStyle w:val="FootnoteText"/>
        <w:tabs>
          <w:tab w:val="clear" w:pos="340"/>
          <w:tab w:val="left" w:pos="284"/>
        </w:tabs>
        <w:ind w:left="284" w:hanging="284"/>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pp. 232–234;</w:t>
      </w:r>
      <w:r w:rsidRPr="00733A68">
        <w:t xml:space="preserve"> AusNet Services</w:t>
      </w:r>
      <w:r w:rsidRPr="00733A68">
        <w:rPr>
          <w:rStyle w:val="Emphasis"/>
        </w:rPr>
        <w:t>, Revenue Proposal - Revised - PUBLIC</w:t>
      </w:r>
      <w:r w:rsidRPr="00733A68">
        <w:t xml:space="preserve">, 18 November 15, </w:t>
      </w:r>
      <w:r>
        <w:t xml:space="preserve">p. </w:t>
      </w:r>
      <w:r w:rsidRPr="00733A68">
        <w:t>2</w:t>
      </w:r>
      <w:r>
        <w:t>33.</w:t>
      </w:r>
    </w:p>
  </w:footnote>
  <w:footnote w:id="387">
    <w:p w:rsidR="002D334E" w:rsidRDefault="002D334E">
      <w:pPr>
        <w:pStyle w:val="FootnoteText"/>
      </w:pPr>
      <w:r>
        <w:rPr>
          <w:rStyle w:val="FootnoteReference"/>
        </w:rPr>
        <w:footnoteRef/>
      </w:r>
      <w:r>
        <w:t xml:space="preserve"> </w:t>
      </w:r>
      <w:r>
        <w:tab/>
      </w:r>
      <w:r w:rsidRPr="00F56847">
        <w:t xml:space="preserve">AER, </w:t>
      </w:r>
      <w:r w:rsidRPr="00A164C0">
        <w:rPr>
          <w:rStyle w:val="Emphasis"/>
        </w:rPr>
        <w:t>Final Decision AusNet distribution determination - Attachment 3 - rate of return</w:t>
      </w:r>
      <w:r w:rsidRPr="00F56847">
        <w:t xml:space="preserve">, May 2016, </w:t>
      </w:r>
      <w:r>
        <w:t xml:space="preserve">p. </w:t>
      </w:r>
      <w:r w:rsidRPr="00F56847">
        <w:t>62</w:t>
      </w:r>
      <w:r>
        <w:t xml:space="preserve">; AER, </w:t>
      </w:r>
      <w:r w:rsidRPr="00A164C0">
        <w:rPr>
          <w:rStyle w:val="Emphasis"/>
        </w:rPr>
        <w:t>Final decision SA Power Networks distribution determination - attachment 3 - Rate of return</w:t>
      </w:r>
      <w:r>
        <w:t>, October 2015, pp. 380-382</w:t>
      </w:r>
    </w:p>
  </w:footnote>
  <w:footnote w:id="388">
    <w:p w:rsidR="002D334E" w:rsidRDefault="002D334E" w:rsidP="00772B77">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147; SAPN, </w:t>
      </w:r>
      <w:r w:rsidRPr="00A164C0">
        <w:rPr>
          <w:rStyle w:val="Emphasis"/>
        </w:rPr>
        <w:t>SA Power Networks - 2015-20 Revised Regulatory Proposal</w:t>
      </w:r>
      <w:r>
        <w:t xml:space="preserve">, July 2015, p.341. </w:t>
      </w:r>
    </w:p>
  </w:footnote>
  <w:footnote w:id="389">
    <w:p w:rsidR="002D334E" w:rsidRDefault="002D334E">
      <w:pPr>
        <w:pStyle w:val="FootnoteText"/>
      </w:pPr>
      <w:r>
        <w:rPr>
          <w:rStyle w:val="FootnoteReference"/>
        </w:rPr>
        <w:footnoteRef/>
      </w:r>
      <w:r>
        <w:t xml:space="preserve"> </w:t>
      </w:r>
      <w:r>
        <w:tab/>
      </w:r>
      <w:r w:rsidRPr="00F56847">
        <w:t xml:space="preserve">AER, </w:t>
      </w:r>
      <w:r w:rsidRPr="00F56847">
        <w:rPr>
          <w:rStyle w:val="Emphasis"/>
        </w:rPr>
        <w:t>Final Decision AusNet distribution determination - Attachment 3 - rate of return</w:t>
      </w:r>
      <w:r w:rsidRPr="00F56847">
        <w:t xml:space="preserve">, May 2016, </w:t>
      </w:r>
      <w:r>
        <w:t>p.</w:t>
      </w:r>
      <w:r w:rsidRPr="00F56847">
        <w:t>62</w:t>
      </w:r>
      <w:r>
        <w:t>;</w:t>
      </w:r>
      <w:r w:rsidRPr="00F56847">
        <w:t xml:space="preserve"> AER, </w:t>
      </w:r>
      <w:r w:rsidRPr="00F56847">
        <w:rPr>
          <w:rStyle w:val="Emphasis"/>
        </w:rPr>
        <w:t xml:space="preserve">Final Decision </w:t>
      </w:r>
      <w:r>
        <w:rPr>
          <w:rStyle w:val="Emphasis"/>
        </w:rPr>
        <w:t>CitiPower</w:t>
      </w:r>
      <w:r w:rsidRPr="00F56847">
        <w:rPr>
          <w:rStyle w:val="Emphasis"/>
        </w:rPr>
        <w:t xml:space="preserve"> distribution determination - Attachment 3 - rate of return</w:t>
      </w:r>
      <w:r w:rsidRPr="00F56847">
        <w:t xml:space="preserve">, May 2016, </w:t>
      </w:r>
      <w:r>
        <w:t>p.</w:t>
      </w:r>
      <w:r w:rsidRPr="00F56847">
        <w:t>62</w:t>
      </w:r>
      <w:r>
        <w:t xml:space="preserve">; </w:t>
      </w:r>
      <w:r w:rsidRPr="00F56847">
        <w:t xml:space="preserve">AER, </w:t>
      </w:r>
      <w:r w:rsidRPr="00F56847">
        <w:rPr>
          <w:rStyle w:val="Emphasis"/>
        </w:rPr>
        <w:t xml:space="preserve">Final Decision </w:t>
      </w:r>
      <w:r>
        <w:rPr>
          <w:rStyle w:val="Emphasis"/>
        </w:rPr>
        <w:t xml:space="preserve">SA </w:t>
      </w:r>
      <w:r w:rsidRPr="00F56847">
        <w:rPr>
          <w:rStyle w:val="Emphasis"/>
        </w:rPr>
        <w:t xml:space="preserve">Power </w:t>
      </w:r>
      <w:r>
        <w:rPr>
          <w:rStyle w:val="Emphasis"/>
        </w:rPr>
        <w:t xml:space="preserve">Networks </w:t>
      </w:r>
      <w:r w:rsidRPr="00F56847">
        <w:rPr>
          <w:rStyle w:val="Emphasis"/>
        </w:rPr>
        <w:t>distribution determination - Attachment 3 - rate of return</w:t>
      </w:r>
      <w:r>
        <w:t>, October 2015</w:t>
      </w:r>
      <w:r w:rsidRPr="00F56847">
        <w:t xml:space="preserve">, </w:t>
      </w:r>
      <w:r>
        <w:t>pp.370-375.</w:t>
      </w:r>
    </w:p>
  </w:footnote>
  <w:footnote w:id="390">
    <w:p w:rsidR="002D334E" w:rsidRDefault="002D334E" w:rsidP="002656D9">
      <w:pPr>
        <w:pStyle w:val="FootnoteText"/>
        <w:tabs>
          <w:tab w:val="clear" w:pos="340"/>
          <w:tab w:val="left" w:pos="284"/>
        </w:tabs>
        <w:ind w:left="284" w:hanging="284"/>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391">
    <w:p w:rsidR="002D334E" w:rsidRDefault="002D334E"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392">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74–75.</w:t>
      </w:r>
    </w:p>
  </w:footnote>
  <w:footnote w:id="393">
    <w:p w:rsidR="002D334E" w:rsidRDefault="002D334E" w:rsidP="00772B77">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r>
        <w:t>;</w:t>
      </w:r>
      <w:r w:rsidRPr="008170C4">
        <w:t xml:space="preserve"> AER, </w:t>
      </w:r>
      <w:r w:rsidRPr="008170C4">
        <w:rPr>
          <w:rStyle w:val="Emphasis"/>
        </w:rPr>
        <w:t>Final Decision AusNet distribution determination - Attachment 3 - rate of return</w:t>
      </w:r>
      <w:r w:rsidRPr="008170C4">
        <w:t xml:space="preserve">, May 2016, </w:t>
      </w:r>
      <w:r>
        <w:t>p.</w:t>
      </w:r>
      <w:r w:rsidRPr="008170C4">
        <w:t xml:space="preserve"> 62</w:t>
      </w:r>
      <w:r>
        <w:t>.</w:t>
      </w:r>
    </w:p>
  </w:footnote>
  <w:footnote w:id="394">
    <w:p w:rsidR="002D334E" w:rsidRDefault="002D334E" w:rsidP="00996F81">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151; Frontier Economics</w:t>
      </w:r>
      <w:r w:rsidRPr="00F85FCC">
        <w:t xml:space="preserve">, </w:t>
      </w:r>
      <w:r>
        <w:rPr>
          <w:rStyle w:val="AERtextitalic"/>
        </w:rPr>
        <w:t>The Market Risk Premium</w:t>
      </w:r>
      <w:r>
        <w:t>, September</w:t>
      </w:r>
      <w:r w:rsidRPr="00F85FCC">
        <w:t xml:space="preserve"> 201</w:t>
      </w:r>
      <w:r>
        <w:t>6</w:t>
      </w:r>
      <w:r w:rsidRPr="00F85FCC">
        <w:t xml:space="preserve">, pp. </w:t>
      </w:r>
      <w:r>
        <w:t>32-34,51-54;</w:t>
      </w:r>
      <w:r w:rsidRPr="00996F81">
        <w:t xml:space="preserve"> </w:t>
      </w:r>
      <w:r>
        <w:t xml:space="preserve">SAPN, </w:t>
      </w:r>
      <w:r w:rsidRPr="00B907B8">
        <w:rPr>
          <w:rStyle w:val="Emphasis"/>
        </w:rPr>
        <w:t>2015-20 Revised Regulatory Proposal</w:t>
      </w:r>
      <w:r>
        <w:t xml:space="preserve">, July 2015, p.338.  </w:t>
      </w:r>
    </w:p>
  </w:footnote>
  <w:footnote w:id="395">
    <w:p w:rsidR="002D334E" w:rsidRDefault="002D334E">
      <w:pPr>
        <w:pStyle w:val="FootnoteText"/>
      </w:pPr>
      <w:r>
        <w:rPr>
          <w:rStyle w:val="FootnoteReference"/>
        </w:rPr>
        <w:footnoteRef/>
      </w:r>
      <w:r>
        <w:t xml:space="preserve"> </w:t>
      </w:r>
      <w:r>
        <w:tab/>
        <w:t xml:space="preserve">ERA, </w:t>
      </w:r>
      <w:r w:rsidRPr="00B951BB">
        <w:rPr>
          <w:rStyle w:val="Emphasis"/>
        </w:rPr>
        <w:t>Final Decision on Proposed Revisions to the Access Arrangement for the Goldfields Gas Pipeline</w:t>
      </w:r>
      <w:r w:rsidRPr="00B951BB">
        <w:t>, June 2016</w:t>
      </w:r>
      <w:r>
        <w:t>, p. 240.</w:t>
      </w:r>
    </w:p>
  </w:footnote>
  <w:footnote w:id="396">
    <w:p w:rsidR="002D334E" w:rsidRDefault="002D334E" w:rsidP="00772B77">
      <w:pPr>
        <w:pStyle w:val="FootnoteText"/>
      </w:pPr>
      <w:r>
        <w:rPr>
          <w:rStyle w:val="FootnoteReference"/>
        </w:rPr>
        <w:footnoteRef/>
      </w:r>
      <w:r>
        <w:t xml:space="preserve"> </w:t>
      </w:r>
      <w:r>
        <w:tab/>
        <w:t>AER</w:t>
      </w:r>
      <w:r w:rsidRPr="008170C4">
        <w:t xml:space="preserve">, </w:t>
      </w:r>
      <w:r w:rsidRPr="008170C4">
        <w:rPr>
          <w:rStyle w:val="Emphasis"/>
        </w:rPr>
        <w:t>Final Decision SA Power Networks distribution determination - Attachment 3 - rate of return</w:t>
      </w:r>
      <w:r w:rsidRPr="008170C4">
        <w:t>, October 2015</w:t>
      </w:r>
      <w:r>
        <w:t>, pp. 487-489.</w:t>
      </w:r>
    </w:p>
  </w:footnote>
  <w:footnote w:id="397">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 xml:space="preserve">33.  </w:t>
      </w:r>
    </w:p>
  </w:footnote>
  <w:footnote w:id="398">
    <w:p w:rsidR="002D334E" w:rsidRDefault="002D334E" w:rsidP="005E3878">
      <w:pPr>
        <w:pStyle w:val="FootnoteText"/>
      </w:pPr>
      <w:r>
        <w:rPr>
          <w:rStyle w:val="FootnoteReference"/>
        </w:rPr>
        <w:footnoteRef/>
      </w:r>
      <w:r>
        <w:t xml:space="preserve"> </w:t>
      </w:r>
      <w:r>
        <w:tab/>
        <w:t xml:space="preserve">AER, </w:t>
      </w:r>
      <w:r w:rsidRPr="005D653A">
        <w:rPr>
          <w:rStyle w:val="Emphasis"/>
        </w:rPr>
        <w:t>Final Decision SA Power Networks distribution determination - Attachment 3 - rate of return</w:t>
      </w:r>
      <w:r w:rsidRPr="005D653A">
        <w:t>, October 2015</w:t>
      </w:r>
      <w:r>
        <w:t xml:space="preserve">, pp 48-51; Partington and Satchell, </w:t>
      </w:r>
      <w:r w:rsidRPr="00A164C0">
        <w:rPr>
          <w:rStyle w:val="Emphasis"/>
        </w:rPr>
        <w:t xml:space="preserve">Report to the AER: Discussion of estimates of the return on equity, </w:t>
      </w:r>
      <w:r>
        <w:t>12 April 2017, p. 28.</w:t>
      </w:r>
    </w:p>
  </w:footnote>
  <w:footnote w:id="399">
    <w:p w:rsidR="002D334E" w:rsidRDefault="002D334E"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28</w:t>
      </w:r>
    </w:p>
  </w:footnote>
  <w:footnote w:id="400">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10, 22–25, 55; SAPN, </w:t>
      </w:r>
      <w:r w:rsidRPr="00B907B8">
        <w:rPr>
          <w:rStyle w:val="Emphasis"/>
        </w:rPr>
        <w:t>2015-20 Revised Regulatory Proposal</w:t>
      </w:r>
      <w:r>
        <w:t>, July 2015, p. 337.</w:t>
      </w:r>
    </w:p>
  </w:footnote>
  <w:footnote w:id="401">
    <w:p w:rsidR="002D334E" w:rsidRDefault="002D334E" w:rsidP="00772B77">
      <w:pPr>
        <w:pStyle w:val="FootnoteText"/>
      </w:pPr>
      <w:r>
        <w:rPr>
          <w:rStyle w:val="FootnoteReference"/>
        </w:rPr>
        <w:footnoteRef/>
      </w:r>
      <w:r>
        <w:t xml:space="preserve"> </w:t>
      </w:r>
      <w:r>
        <w:tab/>
        <w:t>Partington and Satchell</w:t>
      </w:r>
      <w:r w:rsidRPr="005E3878">
        <w:t xml:space="preserve">, </w:t>
      </w:r>
      <w:r w:rsidRPr="00950EA8">
        <w:rPr>
          <w:rStyle w:val="AERtextitalic"/>
        </w:rPr>
        <w:t>Report to the AER: Discussion of estimates of the return on equity</w:t>
      </w:r>
      <w:r w:rsidRPr="005E3878">
        <w:t xml:space="preserve">, </w:t>
      </w:r>
      <w:r>
        <w:t>12 April</w:t>
      </w:r>
      <w:r w:rsidRPr="005E3878">
        <w:t xml:space="preserve"> 2017</w:t>
      </w:r>
      <w:r>
        <w:t xml:space="preserve"> p. 33.</w:t>
      </w:r>
    </w:p>
  </w:footnote>
  <w:footnote w:id="402">
    <w:p w:rsidR="002D334E" w:rsidRDefault="002D334E" w:rsidP="00772B77">
      <w:pPr>
        <w:pStyle w:val="FootnoteText"/>
      </w:pPr>
      <w:r>
        <w:rPr>
          <w:rStyle w:val="FootnoteReference"/>
        </w:rPr>
        <w:footnoteRef/>
      </w:r>
      <w:r>
        <w:t xml:space="preserve"> </w:t>
      </w:r>
      <w:r>
        <w:tab/>
        <w:t xml:space="preserve">AER, </w:t>
      </w:r>
      <w:r w:rsidRPr="005E3878">
        <w:rPr>
          <w:rStyle w:val="Emphasis"/>
        </w:rPr>
        <w:t>Final Decision SA Power Networks distribution determination - Attachment 3 - rate of return</w:t>
      </w:r>
      <w:r w:rsidRPr="005E3878">
        <w:t>, October 2015</w:t>
      </w:r>
      <w:r w:rsidRPr="007A1D94">
        <w:t>, p. 119</w:t>
      </w:r>
      <w:r>
        <w:t>.</w:t>
      </w:r>
    </w:p>
  </w:footnote>
  <w:footnote w:id="403">
    <w:p w:rsidR="002D334E" w:rsidRDefault="002D334E" w:rsidP="00772B77">
      <w:pPr>
        <w:pStyle w:val="FootnoteText"/>
      </w:pPr>
      <w:r>
        <w:rPr>
          <w:rStyle w:val="FootnoteReference"/>
        </w:rPr>
        <w:footnoteRef/>
      </w:r>
      <w:r>
        <w:t xml:space="preserve"> </w:t>
      </w:r>
      <w:r>
        <w:tab/>
        <w:t xml:space="preserve">AER, </w:t>
      </w:r>
      <w:r w:rsidRPr="00C84B38">
        <w:rPr>
          <w:rStyle w:val="Emphasis"/>
        </w:rPr>
        <w:t>Explanatory Statement: Rate of Return Guideline</w:t>
      </w:r>
      <w:r>
        <w:rPr>
          <w:rStyle w:val="Emphasis"/>
        </w:rPr>
        <w:t xml:space="preserve"> - appendices</w:t>
      </w:r>
      <w:r w:rsidRPr="008E4F6D">
        <w:t>, December 2013</w:t>
      </w:r>
      <w:r>
        <w:t xml:space="preserve">, p. 7-24;AER, </w:t>
      </w:r>
      <w:r w:rsidRPr="005E3878">
        <w:rPr>
          <w:rStyle w:val="Emphasis"/>
        </w:rPr>
        <w:t>Final Decision SA Power Networks distribution determination - Attachment 3 - rate of return</w:t>
      </w:r>
      <w:r w:rsidRPr="005E3878">
        <w:t>, October 2015</w:t>
      </w:r>
      <w:r>
        <w:t>, pp. 322-323.</w:t>
      </w:r>
    </w:p>
  </w:footnote>
  <w:footnote w:id="404">
    <w:p w:rsidR="002D334E" w:rsidRDefault="002D334E" w:rsidP="00772B77">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152; Frontier Economics</w:t>
      </w:r>
      <w:r w:rsidRPr="00F85FCC">
        <w:t xml:space="preserve">, </w:t>
      </w:r>
      <w:r>
        <w:rPr>
          <w:rStyle w:val="AERtextitalic"/>
        </w:rPr>
        <w:t>The Market Risk Premium</w:t>
      </w:r>
      <w:r>
        <w:t>, September</w:t>
      </w:r>
      <w:r w:rsidRPr="00F85FCC">
        <w:t xml:space="preserve"> 201</w:t>
      </w:r>
      <w:r>
        <w:t>6</w:t>
      </w:r>
      <w:r w:rsidRPr="00F85FCC">
        <w:t xml:space="preserve">, p. </w:t>
      </w:r>
      <w:r>
        <w:t>21–24; Ausgrid</w:t>
      </w:r>
      <w:r w:rsidRPr="00A164C0">
        <w:rPr>
          <w:rStyle w:val="Emphasis"/>
        </w:rPr>
        <w:t>, Revised Regulatory Proposal (amended)</w:t>
      </w:r>
      <w:r>
        <w:t xml:space="preserve">, February 2015, pp. 190-191. </w:t>
      </w:r>
    </w:p>
  </w:footnote>
  <w:footnote w:id="405">
    <w:p w:rsidR="002D334E" w:rsidRDefault="002D334E" w:rsidP="00772B77">
      <w:pPr>
        <w:pStyle w:val="FootnoteText"/>
      </w:pPr>
      <w:r>
        <w:rPr>
          <w:rStyle w:val="FootnoteReference"/>
        </w:rPr>
        <w:footnoteRef/>
      </w:r>
      <w:r>
        <w:t xml:space="preserve"> </w:t>
      </w:r>
      <w:r>
        <w:tab/>
      </w:r>
      <w:r w:rsidRPr="008E4F6D">
        <w:t xml:space="preserve">Australian Energy Regulator, </w:t>
      </w:r>
      <w:r w:rsidRPr="00A164C0">
        <w:rPr>
          <w:rStyle w:val="Emphasis"/>
        </w:rPr>
        <w:t>Explanatory Statement: Rate of Return Guideline</w:t>
      </w:r>
      <w:r w:rsidRPr="008E4F6D">
        <w:t>, December 2013, page 91.</w:t>
      </w:r>
      <w:r>
        <w:t xml:space="preserve">  </w:t>
      </w:r>
    </w:p>
  </w:footnote>
  <w:footnote w:id="406">
    <w:p w:rsidR="002D334E" w:rsidRDefault="002D334E" w:rsidP="00772B77">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pp. 23-26.</w:t>
      </w:r>
      <w:r w:rsidRPr="009A6053">
        <w:t xml:space="preserve"> </w:t>
      </w:r>
    </w:p>
  </w:footnote>
  <w:footnote w:id="407">
    <w:p w:rsidR="002D334E" w:rsidRDefault="002D334E" w:rsidP="00772B77">
      <w:pPr>
        <w:pStyle w:val="FootnoteText"/>
      </w:pPr>
      <w:r>
        <w:rPr>
          <w:rStyle w:val="FootnoteReference"/>
        </w:rPr>
        <w:footnoteRef/>
      </w:r>
      <w:r>
        <w:t xml:space="preserve"> </w:t>
      </w:r>
      <w:r>
        <w:tab/>
        <w:t>Partington</w:t>
      </w:r>
      <w:r w:rsidRPr="001A1C41">
        <w:t xml:space="preserve"> and Satchell, </w:t>
      </w:r>
      <w:r w:rsidRPr="00A164C0">
        <w:rPr>
          <w:rStyle w:val="Emphasis"/>
        </w:rPr>
        <w:t xml:space="preserve">Report to the AER: Discussion of estimates of the return on equity, </w:t>
      </w:r>
      <w:r>
        <w:t>12 April 2017, p. 23.</w:t>
      </w:r>
    </w:p>
  </w:footnote>
  <w:footnote w:id="408">
    <w:p w:rsidR="002D334E" w:rsidRDefault="002D334E" w:rsidP="00772B77">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xml:space="preserve">, pp. 23–26. </w:t>
      </w:r>
    </w:p>
  </w:footnote>
  <w:footnote w:id="409">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pp. 4</w:t>
      </w:r>
      <w:r>
        <w:t>; Ausgrid</w:t>
      </w:r>
      <w:r w:rsidRPr="00B907B8">
        <w:rPr>
          <w:rStyle w:val="Emphasis"/>
        </w:rPr>
        <w:t>, Revised Regulatory Proposal (amended)</w:t>
      </w:r>
      <w:r>
        <w:t>, February 2015, pp. 190-191.</w:t>
      </w:r>
    </w:p>
  </w:footnote>
  <w:footnote w:id="410">
    <w:p w:rsidR="002D334E" w:rsidRDefault="002D334E">
      <w:pPr>
        <w:pStyle w:val="FootnoteText"/>
      </w:pPr>
      <w:r>
        <w:rPr>
          <w:rStyle w:val="FootnoteReference"/>
        </w:rPr>
        <w:footnoteRef/>
      </w:r>
      <w:r>
        <w:t xml:space="preserve"> </w:t>
      </w:r>
      <w:r>
        <w:tab/>
        <w:t xml:space="preserve">AER, </w:t>
      </w:r>
      <w:r w:rsidRPr="00A164C0">
        <w:rPr>
          <w:rStyle w:val="Emphasis"/>
        </w:rPr>
        <w:t>Explanatory Statement - appendices - rate of return guideline</w:t>
      </w:r>
      <w:r>
        <w:t>, December 2013, p. 82.</w:t>
      </w:r>
    </w:p>
  </w:footnote>
  <w:footnote w:id="411">
    <w:p w:rsidR="002D334E" w:rsidRDefault="002D334E">
      <w:pPr>
        <w:pStyle w:val="FootnoteText"/>
      </w:pPr>
      <w:r>
        <w:rPr>
          <w:rStyle w:val="FootnoteReference"/>
        </w:rPr>
        <w:footnoteRef/>
      </w:r>
      <w:r>
        <w:t xml:space="preserve"> </w:t>
      </w:r>
      <w:r>
        <w:tab/>
        <w:t xml:space="preserve">Partington and Satchell, </w:t>
      </w:r>
      <w:r w:rsidRPr="00950EA8">
        <w:rPr>
          <w:rStyle w:val="AERtextitalic"/>
        </w:rPr>
        <w:t>Report to the AER: Cost of equity issues 2016 electricity and gas determinations</w:t>
      </w:r>
      <w:r>
        <w:t>, April 2016, pp. 23–26.</w:t>
      </w:r>
    </w:p>
  </w:footnote>
  <w:footnote w:id="412">
    <w:p w:rsidR="002D334E" w:rsidRDefault="002D334E" w:rsidP="00772B77">
      <w:pPr>
        <w:pStyle w:val="FootnoteText"/>
      </w:pPr>
      <w:r>
        <w:rPr>
          <w:rStyle w:val="FootnoteReference"/>
        </w:rPr>
        <w:footnoteRef/>
      </w:r>
      <w:r>
        <w:t xml:space="preserve"> </w:t>
      </w:r>
      <w:r>
        <w:tab/>
        <w:t xml:space="preserve">Partington and Satchel, </w:t>
      </w:r>
      <w:r w:rsidRPr="001A1C41">
        <w:rPr>
          <w:rStyle w:val="Emphasis"/>
        </w:rPr>
        <w:t>Report to the AER: Cost of equity issues–Final decisions for the VIC DNSPs</w:t>
      </w:r>
      <w:r w:rsidRPr="001A1C41">
        <w:t>, April 2016</w:t>
      </w:r>
      <w:r>
        <w:t>, pp. 25-26</w:t>
      </w:r>
    </w:p>
  </w:footnote>
  <w:footnote w:id="413">
    <w:p w:rsidR="002D334E" w:rsidRDefault="002D334E"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April 2016, p. 23.</w:t>
      </w:r>
    </w:p>
  </w:footnote>
  <w:footnote w:id="414">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53–54.</w:t>
      </w:r>
    </w:p>
  </w:footnote>
  <w:footnote w:id="415">
    <w:p w:rsidR="002D334E" w:rsidRDefault="002D334E" w:rsidP="00C33F1F">
      <w:pPr>
        <w:pStyle w:val="FootnoteText"/>
      </w:pPr>
      <w:r>
        <w:rPr>
          <w:rStyle w:val="FootnoteReference"/>
        </w:rPr>
        <w:footnoteRef/>
      </w:r>
      <w:r>
        <w:t xml:space="preserve"> </w:t>
      </w:r>
      <w:r>
        <w:tab/>
        <w:t>Partington and Satchell,</w:t>
      </w:r>
      <w:r w:rsidRPr="001A1C41">
        <w:rPr>
          <w:rStyle w:val="Emphasis"/>
        </w:rPr>
        <w:t xml:space="preserve"> </w:t>
      </w:r>
      <w:r w:rsidRPr="00A164C0">
        <w:rPr>
          <w:rStyle w:val="Emphasis"/>
        </w:rPr>
        <w:t xml:space="preserve">Report to the AER: Discussion of estimates of the return on equity, </w:t>
      </w:r>
      <w:r>
        <w:t>12 April 2017, pp.15-16.</w:t>
      </w:r>
    </w:p>
  </w:footnote>
  <w:footnote w:id="416">
    <w:p w:rsidR="002D334E" w:rsidRDefault="002D334E" w:rsidP="00C33F1F">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33.  </w:t>
      </w:r>
    </w:p>
  </w:footnote>
  <w:footnote w:id="417">
    <w:p w:rsidR="002D334E" w:rsidRDefault="002D334E" w:rsidP="00C33F1F">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 p. 28.</w:t>
      </w:r>
    </w:p>
  </w:footnote>
  <w:footnote w:id="418">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4, 55–58.</w:t>
      </w:r>
    </w:p>
  </w:footnote>
  <w:footnote w:id="419">
    <w:p w:rsidR="002D334E" w:rsidRDefault="002D334E"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April 2016, p. 23.</w:t>
      </w:r>
    </w:p>
  </w:footnote>
  <w:footnote w:id="420">
    <w:p w:rsidR="002D334E" w:rsidRDefault="002D334E"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 25. 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12 April 2017, pp. 23-24.</w:t>
      </w:r>
    </w:p>
  </w:footnote>
  <w:footnote w:id="421">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422">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423">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424">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48-49; SAPN, </w:t>
      </w:r>
      <w:r w:rsidRPr="00B907B8">
        <w:rPr>
          <w:rStyle w:val="Emphasis"/>
        </w:rPr>
        <w:t>2015-20 Revised Regulatory Proposal</w:t>
      </w:r>
      <w:r>
        <w:t>, July 2015, p. 341.</w:t>
      </w:r>
    </w:p>
  </w:footnote>
  <w:footnote w:id="425">
    <w:p w:rsidR="002D334E" w:rsidRDefault="002D334E" w:rsidP="00772B77">
      <w:pPr>
        <w:pStyle w:val="FootnoteText"/>
      </w:pPr>
      <w:r>
        <w:rPr>
          <w:rStyle w:val="FootnoteReference"/>
        </w:rPr>
        <w:footnoteRef/>
      </w:r>
      <w:r>
        <w:t xml:space="preserve"> </w:t>
      </w:r>
      <w:r>
        <w:tab/>
        <w:t xml:space="preserve">RBA Table F7, Share Market. Available at: </w:t>
      </w:r>
      <w:hyperlink r:id="rId16" w:history="1">
        <w:r w:rsidRPr="00841DC7">
          <w:rPr>
            <w:rStyle w:val="Hyperlink"/>
            <w:sz w:val="16"/>
          </w:rPr>
          <w:t>http://www.rba.gov.au/statistics/tables/</w:t>
        </w:r>
      </w:hyperlink>
      <w:r>
        <w:t xml:space="preserve"> </w:t>
      </w:r>
    </w:p>
  </w:footnote>
  <w:footnote w:id="426">
    <w:p w:rsidR="002D334E" w:rsidRDefault="002D334E" w:rsidP="00772B77">
      <w:pPr>
        <w:pStyle w:val="FootnoteText"/>
      </w:pPr>
      <w:r>
        <w:rPr>
          <w:rStyle w:val="FootnoteReference"/>
        </w:rPr>
        <w:footnoteRef/>
      </w:r>
      <w:r>
        <w:t xml:space="preserve"> </w:t>
      </w:r>
      <w:r>
        <w:tab/>
        <w:t xml:space="preserve">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 xml:space="preserve">12 April 2017, pp. 20-21; AER, </w:t>
      </w:r>
      <w:r w:rsidRPr="00A164C0">
        <w:rPr>
          <w:rStyle w:val="Emphasis"/>
        </w:rPr>
        <w:t>Final decision CitiPower distribution determination - attachment 3 - rate of return</w:t>
      </w:r>
      <w:r>
        <w:t>, May 2016, p. 88.</w:t>
      </w:r>
    </w:p>
  </w:footnote>
  <w:footnote w:id="427">
    <w:p w:rsidR="002D334E" w:rsidRDefault="002D334E" w:rsidP="00772B77">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 p. 21.</w:t>
      </w:r>
    </w:p>
  </w:footnote>
  <w:footnote w:id="428">
    <w:p w:rsidR="002D334E" w:rsidRDefault="002D334E" w:rsidP="00266238">
      <w:pPr>
        <w:pStyle w:val="FootnoteText"/>
      </w:pPr>
      <w:r>
        <w:rPr>
          <w:rStyle w:val="FootnoteReference"/>
        </w:rPr>
        <w:footnoteRef/>
      </w:r>
      <w:r>
        <w:t xml:space="preserve"> </w:t>
      </w:r>
      <w:r>
        <w:tab/>
        <w:t>AusNet p150, Frontier Economics</w:t>
      </w:r>
      <w:r w:rsidRPr="00F85FCC">
        <w:t xml:space="preserve">, </w:t>
      </w:r>
      <w:r>
        <w:rPr>
          <w:rStyle w:val="AERtextitalic"/>
        </w:rPr>
        <w:t>The Market Risk Premium</w:t>
      </w:r>
      <w:r>
        <w:t>, September</w:t>
      </w:r>
      <w:r w:rsidRPr="00F85FCC">
        <w:t xml:space="preserve"> 201</w:t>
      </w:r>
      <w:r>
        <w:t xml:space="preserve">6, p.40; </w:t>
      </w:r>
      <w:r w:rsidRPr="00273F0E">
        <w:t xml:space="preserve">CitiPower, </w:t>
      </w:r>
      <w:r w:rsidRPr="00273F0E">
        <w:rPr>
          <w:rStyle w:val="AERtextitalic"/>
        </w:rPr>
        <w:t>Revised regulatory proposal 2016–2020</w:t>
      </w:r>
      <w:r w:rsidRPr="00273F0E">
        <w:t>,</w:t>
      </w:r>
      <w:r>
        <w:t xml:space="preserve"> January 2016, p.321-324.</w:t>
      </w:r>
    </w:p>
  </w:footnote>
  <w:footnote w:id="429">
    <w:p w:rsidR="002D334E" w:rsidRDefault="002D334E">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October 2015, pp.93,388-390.</w:t>
      </w:r>
    </w:p>
  </w:footnote>
  <w:footnote w:id="430">
    <w:p w:rsidR="002D334E" w:rsidRDefault="002D334E" w:rsidP="00772B77">
      <w:pPr>
        <w:pStyle w:val="FootnoteText"/>
      </w:pPr>
      <w:r>
        <w:rPr>
          <w:rStyle w:val="FootnoteReference"/>
        </w:rPr>
        <w:footnoteRef/>
      </w:r>
      <w:r>
        <w:t xml:space="preserve"> </w:t>
      </w:r>
      <w:r>
        <w:tab/>
        <w:t xml:space="preserve">AER, </w:t>
      </w:r>
      <w:r w:rsidRPr="00405AF1">
        <w:rPr>
          <w:rStyle w:val="Emphasis"/>
        </w:rPr>
        <w:t>Explanatory Statement - Rate of Return Guideline</w:t>
      </w:r>
      <w:r>
        <w:t>, December 2013, p.140.</w:t>
      </w:r>
    </w:p>
  </w:footnote>
  <w:footnote w:id="431">
    <w:p w:rsidR="002D334E" w:rsidRDefault="002D334E" w:rsidP="00772B77">
      <w:pPr>
        <w:pStyle w:val="FootnoteText"/>
      </w:pPr>
      <w:r>
        <w:rPr>
          <w:rStyle w:val="FootnoteReference"/>
        </w:rPr>
        <w:footnoteRef/>
      </w:r>
      <w:r>
        <w:t xml:space="preserve"> </w:t>
      </w:r>
      <w:r>
        <w:tab/>
        <w:t xml:space="preserve">ERA, </w:t>
      </w:r>
      <w:r w:rsidRPr="0005600A">
        <w:rPr>
          <w:rStyle w:val="Emphasis"/>
        </w:rPr>
        <w:t>Final Decision on Proposed Revisions to the Access Arrangement for the Goldfields Gas Pipeline</w:t>
      </w:r>
      <w:r>
        <w:t>, June 2016, pp. 209-210.</w:t>
      </w:r>
    </w:p>
  </w:footnote>
  <w:footnote w:id="432">
    <w:p w:rsidR="002D334E" w:rsidRDefault="002D334E"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p.78; ; SAPN, </w:t>
      </w:r>
      <w:r w:rsidRPr="00B907B8">
        <w:rPr>
          <w:rStyle w:val="Emphasis"/>
        </w:rPr>
        <w:t>SA Power Networks - 2015-20 Revised Regulatory Proposal,</w:t>
      </w:r>
      <w:r>
        <w:t xml:space="preserve"> July 2015, P379; AusNet Services</w:t>
      </w:r>
      <w:r w:rsidRPr="00B907B8">
        <w:rPr>
          <w:rStyle w:val="Emphasis"/>
        </w:rPr>
        <w:t>, Revenue Proposal - Revised - PUBLIC</w:t>
      </w:r>
      <w:r>
        <w:t>, 18 November 15, p.263.</w:t>
      </w:r>
    </w:p>
  </w:footnote>
  <w:footnote w:id="433">
    <w:p w:rsidR="002D334E" w:rsidRDefault="002D334E" w:rsidP="00772B77">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 367–368.</w:t>
      </w:r>
    </w:p>
  </w:footnote>
  <w:footnote w:id="434">
    <w:p w:rsidR="002D334E" w:rsidRDefault="002D334E" w:rsidP="00772B77">
      <w:pPr>
        <w:pStyle w:val="FootnoteText"/>
      </w:pPr>
      <w:r>
        <w:rPr>
          <w:rStyle w:val="FootnoteReference"/>
        </w:rPr>
        <w:footnoteRef/>
      </w:r>
      <w:r>
        <w:t xml:space="preserve"> </w:t>
      </w:r>
      <w:r>
        <w:tab/>
        <w:t xml:space="preserve">AER, </w:t>
      </w:r>
      <w:r w:rsidRPr="00405AF1">
        <w:rPr>
          <w:rStyle w:val="Emphasis"/>
        </w:rPr>
        <w:t>Final Decision Ausgrid Distribution Determination 2015/16 to 2018/19 - rate of return attachment</w:t>
      </w:r>
      <w:r>
        <w:t>, April 2015, p.315-317.</w:t>
      </w:r>
    </w:p>
  </w:footnote>
  <w:footnote w:id="435">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P26; SAPN, </w:t>
      </w:r>
      <w:r w:rsidRPr="00B907B8">
        <w:rPr>
          <w:rStyle w:val="Emphasis"/>
        </w:rPr>
        <w:t>SA Power Networks - 2015-20 Revised Regulatory Proposal,</w:t>
      </w:r>
      <w:r>
        <w:t xml:space="preserve"> July 2015, p. 331.</w:t>
      </w:r>
    </w:p>
  </w:footnote>
  <w:footnote w:id="436">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26.</w:t>
      </w:r>
    </w:p>
  </w:footnote>
  <w:footnote w:id="437">
    <w:p w:rsidR="002D334E" w:rsidRDefault="002D334E"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p.8, Figure 4; SAPN, </w:t>
      </w:r>
      <w:r w:rsidRPr="00A164C0">
        <w:rPr>
          <w:rStyle w:val="Emphasis"/>
        </w:rPr>
        <w:t>SA Power Networks - 2015-20 Revised Regulatory Proposal,</w:t>
      </w:r>
      <w:r>
        <w:t xml:space="preserve"> July 2015, p. 331.</w:t>
      </w:r>
    </w:p>
  </w:footnote>
  <w:footnote w:id="438">
    <w:p w:rsidR="002D334E" w:rsidRDefault="002D334E" w:rsidP="00772B77">
      <w:pPr>
        <w:pStyle w:val="FootnoteText"/>
      </w:pPr>
      <w:r>
        <w:rPr>
          <w:rStyle w:val="FootnoteReference"/>
        </w:rPr>
        <w:footnoteRef/>
      </w:r>
      <w:r>
        <w:t xml:space="preserve"> </w:t>
      </w:r>
      <w:r>
        <w:tab/>
        <w:t xml:space="preserve">AER, </w:t>
      </w:r>
      <w:r w:rsidRPr="00405AF1">
        <w:rPr>
          <w:rStyle w:val="Emphasis"/>
        </w:rPr>
        <w:t>AER Final Decision on SAPN distribution 2015-2020</w:t>
      </w:r>
      <w:r>
        <w:t xml:space="preserve">, Attachment 3, Section A.3.4, p. 321. </w:t>
      </w:r>
    </w:p>
  </w:footnote>
  <w:footnote w:id="439">
    <w:p w:rsidR="002D334E" w:rsidRDefault="002D334E">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w:t>
      </w:r>
    </w:p>
  </w:footnote>
  <w:footnote w:id="440">
    <w:p w:rsidR="002D334E" w:rsidRDefault="002D334E" w:rsidP="00772B77">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441">
    <w:p w:rsidR="002D334E" w:rsidRDefault="002D334E" w:rsidP="00772B77">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pp.339-340.</w:t>
      </w:r>
    </w:p>
  </w:footnote>
  <w:footnote w:id="442">
    <w:p w:rsidR="002D334E" w:rsidRDefault="002D334E" w:rsidP="00772B77">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443">
    <w:p w:rsidR="002D334E" w:rsidRDefault="002D334E" w:rsidP="00772B77">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444">
    <w:p w:rsidR="002D334E" w:rsidRDefault="002D334E" w:rsidP="00772B77">
      <w:pPr>
        <w:pStyle w:val="FootnoteText"/>
      </w:pPr>
      <w:r>
        <w:rPr>
          <w:rStyle w:val="FootnoteReference"/>
        </w:rPr>
        <w:footnoteRef/>
      </w:r>
      <w:r>
        <w:t xml:space="preserve"> </w:t>
      </w:r>
      <w:r>
        <w:tab/>
        <w:t xml:space="preserve">Frontier, </w:t>
      </w:r>
      <w:r w:rsidRPr="00405AF1">
        <w:rPr>
          <w:rStyle w:val="Emphasis"/>
        </w:rPr>
        <w:t>The Market Risk Premium, September 2016</w:t>
      </w:r>
      <w:r>
        <w:t>, p. 76.</w:t>
      </w:r>
    </w:p>
  </w:footnote>
  <w:footnote w:id="445">
    <w:p w:rsidR="002D334E" w:rsidRDefault="002D334E" w:rsidP="00772B77">
      <w:pPr>
        <w:pStyle w:val="FootnoteText"/>
      </w:pPr>
      <w:r>
        <w:rPr>
          <w:rStyle w:val="FootnoteReference"/>
        </w:rPr>
        <w:footnoteRef/>
      </w:r>
      <w:r>
        <w:t xml:space="preserve"> </w:t>
      </w:r>
      <w:r>
        <w:tab/>
        <w:t xml:space="preserve">AER, </w:t>
      </w:r>
      <w:r w:rsidRPr="001551FE">
        <w:rPr>
          <w:rStyle w:val="Emphasis"/>
        </w:rPr>
        <w:t>Final Decision Ausgrid Distribution Determination Rate of Return attachment</w:t>
      </w:r>
      <w:r>
        <w:t>, April 2015, pp. 339-340.</w:t>
      </w:r>
    </w:p>
  </w:footnote>
  <w:footnote w:id="446">
    <w:p w:rsidR="002D334E" w:rsidRDefault="002D334E" w:rsidP="00772B77">
      <w:pPr>
        <w:pStyle w:val="FootnoteText"/>
      </w:pPr>
      <w:r>
        <w:rPr>
          <w:rStyle w:val="FootnoteReference"/>
        </w:rPr>
        <w:footnoteRef/>
      </w:r>
      <w:r>
        <w:t xml:space="preserve"> </w:t>
      </w:r>
      <w:r>
        <w:tab/>
        <w:t>Partington</w:t>
      </w:r>
      <w:r w:rsidRPr="006B1751">
        <w:t xml:space="preserve"> and Satchell,</w:t>
      </w:r>
      <w:r w:rsidRPr="006B1751">
        <w:rPr>
          <w:rStyle w:val="Emphasis"/>
        </w:rPr>
        <w:t xml:space="preserve"> </w:t>
      </w:r>
      <w:r w:rsidRPr="00A164C0">
        <w:rPr>
          <w:rStyle w:val="Emphasis"/>
        </w:rPr>
        <w:t xml:space="preserve">Report to the AER: Discussion of estimates of the return on equity, </w:t>
      </w:r>
      <w:r>
        <w:t>12 April 2017, p. 27.</w:t>
      </w:r>
    </w:p>
  </w:footnote>
  <w:footnote w:id="447">
    <w:p w:rsidR="002D334E" w:rsidRDefault="002D334E" w:rsidP="00772B77">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448">
    <w:p w:rsidR="002D334E" w:rsidRDefault="002D334E" w:rsidP="00772B77">
      <w:pPr>
        <w:pStyle w:val="FootnoteText"/>
      </w:pPr>
      <w:r>
        <w:rPr>
          <w:rStyle w:val="FootnoteReference"/>
        </w:rPr>
        <w:footnoteRef/>
      </w:r>
      <w:r>
        <w:t xml:space="preserve"> </w:t>
      </w:r>
      <w:r>
        <w:tab/>
        <w:t xml:space="preserve">AER, </w:t>
      </w:r>
      <w:r w:rsidRPr="00405AF1">
        <w:rPr>
          <w:rStyle w:val="Emphasis"/>
        </w:rPr>
        <w:t>AER Explanatory Statement - Rate of Return Guideline</w:t>
      </w:r>
      <w:r>
        <w:t>, December 2013, p.</w:t>
      </w:r>
      <w:r w:rsidR="008D113E">
        <w:t xml:space="preserve"> </w:t>
      </w:r>
      <w:r>
        <w:t>6.</w:t>
      </w:r>
    </w:p>
  </w:footnote>
  <w:footnote w:id="449">
    <w:p w:rsidR="002D334E" w:rsidRDefault="002D334E" w:rsidP="00772B77">
      <w:pPr>
        <w:pStyle w:val="FootnoteText"/>
      </w:pPr>
      <w:r>
        <w:rPr>
          <w:rStyle w:val="FootnoteReference"/>
        </w:rPr>
        <w:footnoteRef/>
      </w:r>
      <w:r>
        <w:t xml:space="preserve"> </w:t>
      </w:r>
      <w:r>
        <w:tab/>
        <w:t xml:space="preserve">Partington </w:t>
      </w:r>
      <w:r w:rsidRPr="006B1751">
        <w:t>and Satchell</w:t>
      </w:r>
      <w:r w:rsidRPr="0006305F">
        <w:rPr>
          <w:rStyle w:val="Emphasis"/>
        </w:rPr>
        <w:t xml:space="preserve"> </w:t>
      </w:r>
      <w:r w:rsidRPr="00A164C0">
        <w:rPr>
          <w:rStyle w:val="Emphasis"/>
        </w:rPr>
        <w:t xml:space="preserve">Report to the AER: Discussion of estimates of the return on equity, </w:t>
      </w:r>
      <w:r>
        <w:t>12 April 2017, p.16.</w:t>
      </w:r>
    </w:p>
  </w:footnote>
  <w:footnote w:id="450">
    <w:p w:rsidR="002D334E" w:rsidRDefault="002D334E" w:rsidP="00772B77">
      <w:pPr>
        <w:pStyle w:val="FootnoteText"/>
      </w:pPr>
      <w:r>
        <w:rPr>
          <w:rStyle w:val="FootnoteReference"/>
        </w:rPr>
        <w:footnoteRef/>
      </w:r>
      <w:r>
        <w:t xml:space="preserve"> </w:t>
      </w:r>
      <w:r>
        <w:tab/>
        <w:t xml:space="preserve">Partington </w:t>
      </w:r>
      <w:r w:rsidRPr="006B1751">
        <w:t>and Satchell,</w:t>
      </w:r>
      <w:r w:rsidRPr="006B1751">
        <w:rPr>
          <w:rStyle w:val="Emphasis"/>
        </w:rPr>
        <w:t xml:space="preserve"> </w:t>
      </w:r>
      <w:r w:rsidRPr="00A164C0">
        <w:rPr>
          <w:rStyle w:val="Emphasis"/>
        </w:rPr>
        <w:t xml:space="preserve">Report to the AER: Discussion of estimates of the return on equity, </w:t>
      </w:r>
      <w:r>
        <w:t>12 April 2017, p.16.</w:t>
      </w:r>
    </w:p>
  </w:footnote>
  <w:footnote w:id="451">
    <w:p w:rsidR="002D334E" w:rsidRDefault="002D334E" w:rsidP="00772B77">
      <w:pPr>
        <w:pStyle w:val="FootnoteText"/>
      </w:pPr>
      <w:r>
        <w:rPr>
          <w:rStyle w:val="FootnoteReference"/>
        </w:rPr>
        <w:footnoteRef/>
      </w:r>
      <w:r>
        <w:t xml:space="preserve"> </w:t>
      </w:r>
      <w:r>
        <w:tab/>
        <w:t xml:space="preserve">Lonergan Edwards, </w:t>
      </w:r>
      <w:r w:rsidRPr="00405AF1">
        <w:rPr>
          <w:rStyle w:val="Emphasis"/>
        </w:rPr>
        <w:t>Valuation on Ethane Pipeline Income Fund,</w:t>
      </w:r>
      <w:r>
        <w:t xml:space="preserve"> 31 March 2016; Grant Samuel, </w:t>
      </w:r>
      <w:r w:rsidRPr="00405AF1">
        <w:rPr>
          <w:rStyle w:val="Emphasis"/>
        </w:rPr>
        <w:t>Valuation on Pacific Brands</w:t>
      </w:r>
      <w:r>
        <w:t xml:space="preserve">, 20/05/2016; KPMG, </w:t>
      </w:r>
      <w:r w:rsidRPr="00405AF1">
        <w:rPr>
          <w:rStyle w:val="Emphasis"/>
        </w:rPr>
        <w:t>Valuation report on STW Comms</w:t>
      </w:r>
      <w:r>
        <w:t>, 29 February 2016.</w:t>
      </w:r>
    </w:p>
  </w:footnote>
  <w:footnote w:id="452">
    <w:p w:rsidR="002D334E" w:rsidRDefault="002D334E" w:rsidP="00772B77">
      <w:pPr>
        <w:pStyle w:val="FootnoteText"/>
      </w:pPr>
      <w:r>
        <w:rPr>
          <w:rStyle w:val="FootnoteReference"/>
        </w:rPr>
        <w:footnoteRef/>
      </w:r>
      <w:r>
        <w:t xml:space="preserve"> </w:t>
      </w:r>
      <w:r>
        <w:tab/>
        <w:t xml:space="preserve">Grant Samuel, </w:t>
      </w:r>
      <w:r w:rsidRPr="0005600A">
        <w:rPr>
          <w:rStyle w:val="Emphasis"/>
        </w:rPr>
        <w:t>Valuation on Pacific Brands</w:t>
      </w:r>
      <w:r>
        <w:t>, 20 May 2016.</w:t>
      </w:r>
    </w:p>
  </w:footnote>
  <w:footnote w:id="453">
    <w:p w:rsidR="002D334E" w:rsidRDefault="002D334E" w:rsidP="00772B77">
      <w:pPr>
        <w:pStyle w:val="FootnoteText"/>
      </w:pPr>
      <w:r>
        <w:rPr>
          <w:rStyle w:val="FootnoteReference"/>
        </w:rPr>
        <w:footnoteRef/>
      </w:r>
      <w:r>
        <w:t xml:space="preserve"> </w:t>
      </w:r>
      <w:r>
        <w:tab/>
        <w:t xml:space="preserve">Lonergan Edwards, </w:t>
      </w:r>
      <w:r w:rsidRPr="0005600A">
        <w:rPr>
          <w:rStyle w:val="Emphasis"/>
        </w:rPr>
        <w:t>Valuation on Ethane Pipeline Income Fund,</w:t>
      </w:r>
      <w:r>
        <w:t xml:space="preserve"> 31 March 2016, Grant Samuel, </w:t>
      </w:r>
      <w:r w:rsidRPr="0005600A">
        <w:rPr>
          <w:rStyle w:val="Emphasis"/>
        </w:rPr>
        <w:t>Valuation on Pacific Brands</w:t>
      </w:r>
      <w:r>
        <w:t xml:space="preserve">, 20 May 2016; KPMG, </w:t>
      </w:r>
      <w:r w:rsidRPr="0005600A">
        <w:rPr>
          <w:rStyle w:val="Emphasis"/>
        </w:rPr>
        <w:t>Valuation report on STW Comms</w:t>
      </w:r>
      <w:r>
        <w:t>, 29 February 2016.</w:t>
      </w:r>
    </w:p>
  </w:footnote>
  <w:footnote w:id="454">
    <w:p w:rsidR="002D334E" w:rsidRDefault="002D334E" w:rsidP="00772B77">
      <w:pPr>
        <w:pStyle w:val="FootnoteText"/>
      </w:pPr>
      <w:r>
        <w:rPr>
          <w:rStyle w:val="FootnoteReference"/>
        </w:rPr>
        <w:footnoteRef/>
      </w:r>
      <w:r>
        <w:t xml:space="preserve"> </w:t>
      </w:r>
      <w:r>
        <w:tab/>
        <w:t xml:space="preserve">Deloitte, </w:t>
      </w:r>
      <w:r w:rsidRPr="00405AF1">
        <w:rPr>
          <w:rStyle w:val="Emphasis"/>
        </w:rPr>
        <w:t xml:space="preserve">Valuation on Patties Foods, </w:t>
      </w:r>
      <w:r>
        <w:t>15 July 2016.</w:t>
      </w:r>
    </w:p>
  </w:footnote>
  <w:footnote w:id="455">
    <w:p w:rsidR="002D334E" w:rsidRDefault="002D334E" w:rsidP="00772B77">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456">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 xml:space="preserve">33.  </w:t>
      </w:r>
    </w:p>
  </w:footnote>
  <w:footnote w:id="457">
    <w:p w:rsidR="002D334E" w:rsidRDefault="002D334E" w:rsidP="00772B77">
      <w:pPr>
        <w:pStyle w:val="FootnoteText"/>
      </w:pPr>
      <w:r>
        <w:rPr>
          <w:rStyle w:val="FootnoteReference"/>
        </w:rPr>
        <w:footnoteRef/>
      </w:r>
      <w:r>
        <w:t xml:space="preserve"> </w:t>
      </w:r>
      <w:r>
        <w:tab/>
      </w:r>
      <w:r w:rsidRPr="006B1751">
        <w:t xml:space="preserve">AER, </w:t>
      </w:r>
      <w:r w:rsidRPr="006B1751">
        <w:rPr>
          <w:rStyle w:val="Emphasis"/>
        </w:rPr>
        <w:t>Final Decision SA Power Networks distribution determination - Attachment 3 - rate of return</w:t>
      </w:r>
      <w:r w:rsidRPr="006B1751">
        <w:t>, October 2015, p 48-51</w:t>
      </w:r>
      <w:r>
        <w:t xml:space="preserve">; AER, </w:t>
      </w:r>
      <w:r w:rsidRPr="00A164C0">
        <w:rPr>
          <w:rStyle w:val="Emphasis"/>
        </w:rPr>
        <w:t>Rate of Return guideline - explanatory statement</w:t>
      </w:r>
      <w:r>
        <w:t xml:space="preserve">, December 2013, p. 91 ; Partington </w:t>
      </w:r>
      <w:r w:rsidRPr="006B1751">
        <w:t>and Satchell,</w:t>
      </w:r>
      <w:r w:rsidRPr="006B1751">
        <w:rPr>
          <w:rStyle w:val="Emphasis"/>
        </w:rPr>
        <w:t xml:space="preserve"> Report to the AER: Discussion of estimates of the return on equity</w:t>
      </w:r>
      <w:r w:rsidRPr="006B1751">
        <w:t xml:space="preserve">, </w:t>
      </w:r>
      <w:r>
        <w:t>12 April</w:t>
      </w:r>
      <w:r w:rsidRPr="006B1751">
        <w:t xml:space="preserve"> 2017</w:t>
      </w:r>
      <w:r>
        <w:t>, p. 26.</w:t>
      </w:r>
    </w:p>
  </w:footnote>
  <w:footnote w:id="458">
    <w:p w:rsidR="002D334E" w:rsidRDefault="002D334E" w:rsidP="00772B77">
      <w:pPr>
        <w:pStyle w:val="FootnoteText"/>
      </w:pPr>
      <w:r>
        <w:rPr>
          <w:rStyle w:val="FootnoteReference"/>
        </w:rPr>
        <w:footnoteRef/>
      </w:r>
      <w:r>
        <w:t xml:space="preserve"> </w:t>
      </w:r>
      <w:r>
        <w:tab/>
        <w:t>Partington</w:t>
      </w:r>
      <w:r w:rsidRPr="006B1751">
        <w:t xml:space="preserve"> and Satchell,</w:t>
      </w:r>
      <w:r w:rsidRPr="006B1751">
        <w:rPr>
          <w:rStyle w:val="Emphasis"/>
        </w:rPr>
        <w:t xml:space="preserve"> Report to the AER: Discussion of estimates of the return on equity</w:t>
      </w:r>
      <w:r w:rsidRPr="006B1751">
        <w:t xml:space="preserve">, </w:t>
      </w:r>
      <w:r>
        <w:t>12 April</w:t>
      </w:r>
      <w:r w:rsidRPr="006B1751">
        <w:t xml:space="preserve"> 2017</w:t>
      </w:r>
      <w:r>
        <w:t>, p. 26.</w:t>
      </w:r>
    </w:p>
  </w:footnote>
  <w:footnote w:id="459">
    <w:p w:rsidR="002D334E" w:rsidRDefault="002D334E"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 xml:space="preserve">p. 76; </w:t>
      </w:r>
      <w:r w:rsidRPr="00273F0E">
        <w:t xml:space="preserve">CitiPower, </w:t>
      </w:r>
      <w:r w:rsidRPr="00273F0E">
        <w:rPr>
          <w:rStyle w:val="AERtextitalic"/>
        </w:rPr>
        <w:t>Revised regulatory proposal 2016–2020</w:t>
      </w:r>
      <w:r w:rsidRPr="00273F0E">
        <w:t>,</w:t>
      </w:r>
      <w:r>
        <w:t xml:space="preserve"> January 2016, pp. 321-324.</w:t>
      </w:r>
    </w:p>
  </w:footnote>
  <w:footnote w:id="460">
    <w:p w:rsidR="002D334E" w:rsidRDefault="002D334E" w:rsidP="00772B77">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 93.</w:t>
      </w:r>
    </w:p>
  </w:footnote>
  <w:footnote w:id="461">
    <w:p w:rsidR="002D334E" w:rsidRDefault="002D334E"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p. 76.</w:t>
      </w:r>
    </w:p>
  </w:footnote>
  <w:footnote w:id="462">
    <w:p w:rsidR="002D334E" w:rsidRDefault="002D334E" w:rsidP="00A4295D">
      <w:pPr>
        <w:pStyle w:val="FootnoteText"/>
      </w:pPr>
      <w:r>
        <w:rPr>
          <w:rStyle w:val="FootnoteReference"/>
        </w:rPr>
        <w:footnoteRef/>
      </w:r>
      <w:r>
        <w:t xml:space="preserve"> </w:t>
      </w:r>
      <w:r>
        <w:tab/>
        <w:t xml:space="preserve">AER, </w:t>
      </w:r>
      <w:r w:rsidRPr="00A164C0">
        <w:rPr>
          <w:rStyle w:val="Emphasis"/>
        </w:rPr>
        <w:t>Final decision AusNet distribution determination - Attachment 3 - Rate of Return</w:t>
      </w:r>
      <w:r>
        <w:t xml:space="preserve">, May 2016, p. 244; </w:t>
      </w:r>
      <w:r w:rsidRPr="00866B7A">
        <w:t xml:space="preserve">AER, </w:t>
      </w:r>
      <w:r w:rsidRPr="00866B7A">
        <w:rPr>
          <w:rStyle w:val="Emphasis"/>
        </w:rPr>
        <w:t xml:space="preserve">Final decision </w:t>
      </w:r>
      <w:r>
        <w:rPr>
          <w:rStyle w:val="Emphasis"/>
        </w:rPr>
        <w:t xml:space="preserve">SA Power Networks </w:t>
      </w:r>
      <w:r w:rsidRPr="00866B7A">
        <w:rPr>
          <w:rStyle w:val="Emphasis"/>
        </w:rPr>
        <w:t>distribution determination - Attachment 3 - Rate of Return</w:t>
      </w:r>
      <w:r w:rsidRPr="00866B7A">
        <w:t xml:space="preserve">, </w:t>
      </w:r>
      <w:r>
        <w:t>October 2015</w:t>
      </w:r>
      <w:r w:rsidRPr="00866B7A">
        <w:t xml:space="preserve">, </w:t>
      </w:r>
      <w:r>
        <w:t>p.</w:t>
      </w:r>
      <w:r w:rsidRPr="00866B7A">
        <w:t>244</w:t>
      </w:r>
      <w:r>
        <w:t>.</w:t>
      </w:r>
    </w:p>
  </w:footnote>
  <w:footnote w:id="463">
    <w:p w:rsidR="002D334E" w:rsidRDefault="002D334E">
      <w:pPr>
        <w:pStyle w:val="FootnoteText"/>
      </w:pPr>
      <w:r>
        <w:rPr>
          <w:rStyle w:val="FootnoteReference"/>
        </w:rPr>
        <w:footnoteRef/>
      </w:r>
      <w:r>
        <w:t xml:space="preserve"> </w:t>
      </w:r>
      <w:r>
        <w:tab/>
      </w:r>
      <w:r w:rsidRPr="006566E4">
        <w:t>Partington and Satchell,</w:t>
      </w:r>
      <w:r w:rsidRPr="006566E4">
        <w:rPr>
          <w:rStyle w:val="Emphasis"/>
        </w:rPr>
        <w:t xml:space="preserve"> </w:t>
      </w:r>
      <w:r w:rsidRPr="00A164C0">
        <w:rPr>
          <w:rStyle w:val="Emphasis"/>
        </w:rPr>
        <w:t xml:space="preserve">Report to the AER: Discussion of estimates of the return on equity, </w:t>
      </w:r>
      <w:r>
        <w:t>12 April 2017</w:t>
      </w:r>
      <w:r w:rsidRPr="006566E4">
        <w:t>, p</w:t>
      </w:r>
      <w:r>
        <w:t>p</w:t>
      </w:r>
      <w:r w:rsidRPr="006566E4">
        <w:t xml:space="preserve">. </w:t>
      </w:r>
      <w:r>
        <w:t>17–18</w:t>
      </w:r>
      <w:r w:rsidRPr="006566E4">
        <w:t>.</w:t>
      </w:r>
    </w:p>
  </w:footnote>
  <w:footnote w:id="464">
    <w:p w:rsidR="002D334E" w:rsidRDefault="002D334E">
      <w:pPr>
        <w:pStyle w:val="FootnoteText"/>
      </w:pPr>
      <w:r>
        <w:rPr>
          <w:rStyle w:val="FootnoteReference"/>
        </w:rPr>
        <w:footnoteRef/>
      </w:r>
      <w:r>
        <w:t xml:space="preserve"> </w:t>
      </w:r>
      <w:r>
        <w:tab/>
      </w:r>
      <w:r w:rsidRPr="005E6E22">
        <w:t>Partington and Satchell,</w:t>
      </w:r>
      <w:r w:rsidRPr="005E6E22">
        <w:rPr>
          <w:rStyle w:val="Emphasis"/>
        </w:rPr>
        <w:t xml:space="preserve"> </w:t>
      </w:r>
      <w:r w:rsidRPr="00A164C0">
        <w:rPr>
          <w:rStyle w:val="Emphasis"/>
        </w:rPr>
        <w:t xml:space="preserve">Report to the AER: Discussion of estimates of the return on equity, </w:t>
      </w:r>
      <w:r>
        <w:t>12 April 2017</w:t>
      </w:r>
      <w:r w:rsidRPr="005E6E22">
        <w:t>, pp. 1</w:t>
      </w:r>
      <w:r>
        <w:t>8</w:t>
      </w:r>
      <w:r w:rsidRPr="005E6E22">
        <w:t>–1</w:t>
      </w:r>
      <w:r>
        <w:t>9</w:t>
      </w:r>
      <w:r w:rsidRPr="005E6E22">
        <w:t>.</w:t>
      </w:r>
    </w:p>
  </w:footnote>
  <w:footnote w:id="465">
    <w:p w:rsidR="002D334E" w:rsidRDefault="002D334E" w:rsidP="00501F99">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466">
    <w:p w:rsidR="002D334E" w:rsidRDefault="002D334E" w:rsidP="00501F99">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67">
    <w:p w:rsidR="002D334E" w:rsidRDefault="002D334E" w:rsidP="00501F99">
      <w:pPr>
        <w:pStyle w:val="FootnoteText"/>
      </w:pPr>
      <w:r>
        <w:rPr>
          <w:rStyle w:val="FootnoteReference"/>
        </w:rPr>
        <w:footnoteRef/>
      </w:r>
      <w:r>
        <w:t xml:space="preserve"> </w:t>
      </w:r>
      <w:r>
        <w:tab/>
        <w:t>Or more precisely, a benchmark efficient entity with a similar degree of risk as AusNet Services in respect of the provision of prescribed transmission services.</w:t>
      </w:r>
    </w:p>
  </w:footnote>
  <w:footnote w:id="468">
    <w:p w:rsidR="002D334E" w:rsidRDefault="002D334E" w:rsidP="00501F99">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469">
    <w:p w:rsidR="002D334E" w:rsidRDefault="002D334E" w:rsidP="00501F99">
      <w:pPr>
        <w:pStyle w:val="FootnoteText"/>
      </w:pPr>
      <w:r>
        <w:rPr>
          <w:rStyle w:val="FootnoteReference"/>
        </w:rPr>
        <w:footnoteRef/>
      </w:r>
      <w:r>
        <w:t xml:space="preserve"> </w:t>
      </w:r>
      <w:r>
        <w:tab/>
        <w:t>The other material includes our construction of the Wright CAPM, other regulators' estimates, comparison with return on debt and relevant broker and independent expert reports.</w:t>
      </w:r>
    </w:p>
  </w:footnote>
  <w:footnote w:id="470">
    <w:p w:rsidR="002D334E" w:rsidRDefault="002D334E" w:rsidP="00501F99">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71">
    <w:p w:rsidR="002D334E" w:rsidRDefault="002D334E" w:rsidP="00501F99">
      <w:pPr>
        <w:pStyle w:val="FootnoteText"/>
      </w:pPr>
      <w:r>
        <w:rPr>
          <w:rStyle w:val="FootnoteReference"/>
        </w:rPr>
        <w:footnoteRef/>
      </w:r>
      <w:r>
        <w:t xml:space="preserve"> </w:t>
      </w:r>
      <w:r>
        <w:tab/>
        <w:t>AusNet transmission, Powerlink and TasNetworks .</w:t>
      </w:r>
    </w:p>
  </w:footnote>
  <w:footnote w:id="472">
    <w:p w:rsidR="002D334E" w:rsidRDefault="002D334E" w:rsidP="00501F99">
      <w:pPr>
        <w:pStyle w:val="FootnoteText"/>
      </w:pPr>
      <w:r>
        <w:rPr>
          <w:rStyle w:val="FootnoteReference"/>
        </w:rPr>
        <w:footnoteRef/>
      </w:r>
      <w:r>
        <w:t xml:space="preserve"> </w:t>
      </w:r>
      <w:r>
        <w:tab/>
        <w:t xml:space="preserve">CCP5, </w:t>
      </w:r>
      <w:r w:rsidRPr="00CB683F">
        <w:rPr>
          <w:rStyle w:val="AERtextitalic"/>
        </w:rPr>
        <w:t>Transmission for the Generations III–Response to: Revised revenue proposal by AusNet Services for Transmission Revenue Review 2017–22,</w:t>
      </w:r>
      <w:r>
        <w:t xml:space="preserve"> October 2016, pp. 10–11; CCP5, </w:t>
      </w:r>
      <w:r w:rsidRPr="00CB683F">
        <w:rPr>
          <w:rStyle w:val="AERtextitalic"/>
        </w:rPr>
        <w:t>Transmission for the Generations III–Response to: AER draft decision for AusNet Services’ Transmission Revenue Review 2017–22</w:t>
      </w:r>
      <w:r>
        <w:t xml:space="preserve">, October 2016, pp. 20–21; CCP4 (Hugh Grant), </w:t>
      </w:r>
      <w:r w:rsidRPr="00CB683F">
        <w:rPr>
          <w:rStyle w:val="AERtextitalic"/>
        </w:rPr>
        <w:t>Submission to the AER: AER draft 2018–22 revenue decision Powerlink revised 208–22 revenue proposal</w:t>
      </w:r>
      <w:r>
        <w:t>, 23 December 2016, p. 45.</w:t>
      </w:r>
    </w:p>
  </w:footnote>
  <w:footnote w:id="473">
    <w:p w:rsidR="002D334E" w:rsidRDefault="002D334E" w:rsidP="00501F99">
      <w:pPr>
        <w:pStyle w:val="FootnoteText"/>
      </w:pPr>
      <w:r>
        <w:rPr>
          <w:rStyle w:val="FootnoteReference"/>
        </w:rPr>
        <w:footnoteRef/>
      </w:r>
      <w:r>
        <w:t xml:space="preserve"> </w:t>
      </w:r>
      <w:r>
        <w:tab/>
      </w:r>
      <w:r w:rsidRPr="007C4A3C">
        <w:t xml:space="preserve"> </w:t>
      </w:r>
      <w:r w:rsidRPr="00744B73">
        <w:t xml:space="preserve">CCP4 (David Headberry), </w:t>
      </w:r>
      <w:r w:rsidRPr="00950EA8">
        <w:rPr>
          <w:rStyle w:val="AERtextitalic"/>
        </w:rPr>
        <w:t>Response to the AER Draft Decision and Revised Proposal to Powerlink's electricity transmission network for a revenue reset for the 2017-2019 regulatory period</w:t>
      </w:r>
      <w:r w:rsidRPr="004E503B">
        <w:t xml:space="preserve">, </w:t>
      </w:r>
      <w:r>
        <w:t xml:space="preserve">19 December 2016, p. 21; Cotton Australia, </w:t>
      </w:r>
      <w:r w:rsidRPr="00950EA8">
        <w:rPr>
          <w:rStyle w:val="AERtextitalic"/>
        </w:rPr>
        <w:t>Re: AER Draft Decision–Powerlink Electricity transmission revised revenue proposal 2017–2022</w:t>
      </w:r>
      <w:r>
        <w:t xml:space="preserve">, 22 December 2016; Queensland farmers’ federation, </w:t>
      </w:r>
      <w:r w:rsidRPr="00950EA8">
        <w:rPr>
          <w:rStyle w:val="AERtextitalic"/>
        </w:rPr>
        <w:t>Re: Response on Australian Energy Regulator (AER) Draft Decision on Powerlink ‘s revenue proposal for the 2017/18 –2021/22 regulatory period</w:t>
      </w:r>
      <w:r>
        <w:t xml:space="preserve">, 30 November 2016; </w:t>
      </w:r>
      <w:r w:rsidRPr="00744B73">
        <w:t xml:space="preserve">CCP4 (David Headberry), </w:t>
      </w:r>
      <w:r w:rsidRPr="00950EA8">
        <w:rPr>
          <w:rStyle w:val="AERtextitalic"/>
        </w:rPr>
        <w:t>Response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744B73">
        <w:t xml:space="preserve">CCP4 (David Headberry), </w:t>
      </w:r>
      <w:r w:rsidRPr="00950EA8">
        <w:rPr>
          <w:rStyle w:val="AERtextitalic"/>
        </w:rPr>
        <w:t>Response to the AER Draft Decision and Revised Proposal to Tasmania's electricity distribution network service provider (TasNetworks - TND) for a revenue reset for the 2017-2019 regulatory period</w:t>
      </w:r>
      <w:r w:rsidRPr="004E503B">
        <w:t xml:space="preserve">, </w:t>
      </w:r>
      <w:r>
        <w:t>12 December</w:t>
      </w:r>
      <w:r w:rsidRPr="004E503B">
        <w:t xml:space="preserve"> 2016,</w:t>
      </w:r>
      <w:r>
        <w:t xml:space="preserve"> p. 31.</w:t>
      </w:r>
    </w:p>
  </w:footnote>
  <w:footnote w:id="474">
    <w:p w:rsidR="002D334E" w:rsidRDefault="002D334E" w:rsidP="006A3314">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C.2</w:t>
      </w:r>
      <w:r>
        <w:fldChar w:fldCharType="end"/>
      </w:r>
      <w:r>
        <w:t xml:space="preserve"> respectively.</w:t>
      </w:r>
    </w:p>
  </w:footnote>
  <w:footnote w:id="475">
    <w:p w:rsidR="002D334E" w:rsidRDefault="002D334E" w:rsidP="006A3314">
      <w:pPr>
        <w:pStyle w:val="FootnoteText"/>
      </w:pPr>
      <w:r>
        <w:rPr>
          <w:rStyle w:val="FootnoteReference"/>
        </w:rPr>
        <w:footnoteRef/>
      </w:r>
      <w:r>
        <w:t xml:space="preserve"> </w:t>
      </w:r>
      <w:r>
        <w:tab/>
        <w:t>Estimated as the difference between our estimate of the equity risk premium and the prevailing debt risk premium for November 2016.</w:t>
      </w:r>
    </w:p>
  </w:footnote>
  <w:footnote w:id="476">
    <w:p w:rsidR="002D334E" w:rsidRDefault="002D334E" w:rsidP="00501F99">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477">
    <w:p w:rsidR="002D334E" w:rsidRDefault="002D334E" w:rsidP="00501F99">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0F3DDE">
        <w:t>AusNet Services</w:t>
      </w:r>
      <w:r>
        <w:t>' 2016-20 distribution determination. And for example pages 78–80 of our final decision for AusNet Services (distribution) in May 2016.</w:t>
      </w:r>
    </w:p>
  </w:footnote>
  <w:footnote w:id="478">
    <w:p w:rsidR="002D334E" w:rsidRDefault="002D334E" w:rsidP="00501F99">
      <w:pPr>
        <w:pStyle w:val="FootnoteText"/>
      </w:pPr>
      <w:r>
        <w:rPr>
          <w:rStyle w:val="FootnoteReference"/>
        </w:rPr>
        <w:footnoteRef/>
      </w:r>
      <w:r>
        <w:t xml:space="preserve"> </w:t>
      </w:r>
      <w:r>
        <w:tab/>
        <w:t>For example, SAPN, Final decision, p. 509; AER</w:t>
      </w:r>
      <w:r w:rsidRPr="00A164C0">
        <w:rPr>
          <w:rStyle w:val="Emphasis"/>
        </w:rPr>
        <w:t>, Final Decision CitiPower distribution determination - attachment 3 - rate of return</w:t>
      </w:r>
      <w:r>
        <w:t>, May 2016, p. 76.</w:t>
      </w:r>
    </w:p>
  </w:footnote>
  <w:footnote w:id="479">
    <w:p w:rsidR="002D334E" w:rsidRDefault="002D334E" w:rsidP="00501F99">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 And for example pages 78–80 of our final decision for AusNet Services (distribution) in May 2016.</w:t>
      </w:r>
    </w:p>
  </w:footnote>
  <w:footnote w:id="480">
    <w:p w:rsidR="002D334E" w:rsidRDefault="002D334E" w:rsidP="00501F99">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481">
    <w:p w:rsidR="002D334E" w:rsidRDefault="002D334E" w:rsidP="00501F99">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r w:rsidRPr="00214A02">
        <w:t xml:space="preserve"> </w:t>
      </w:r>
    </w:p>
    <w:p w:rsidR="002D334E" w:rsidRDefault="002D334E" w:rsidP="00501F99">
      <w:pPr>
        <w:pStyle w:val="FootnoteText"/>
      </w:pPr>
      <w:r>
        <w:tab/>
        <w:t>ASX &amp; SGX-ST release, AusNet Services successfully prices HKD 1.2bn offer, 9 December 2016; ASX &amp; SGX-ST release, AusNet Services successfully prices NOK 1bn offer, 10 January 2017; ASX &amp; SGX-ST release, AusNet Services successfully prices USD 80m offer, 19 January 2017.</w:t>
      </w:r>
    </w:p>
  </w:footnote>
  <w:footnote w:id="482">
    <w:p w:rsidR="002D334E" w:rsidRDefault="002D334E" w:rsidP="00501F99">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483">
    <w:p w:rsidR="002D334E" w:rsidRDefault="002D334E" w:rsidP="006A3314">
      <w:pPr>
        <w:pStyle w:val="FootnoteText"/>
      </w:pPr>
      <w:r>
        <w:rPr>
          <w:rStyle w:val="FootnoteReference"/>
        </w:rPr>
        <w:footnoteRef/>
      </w:r>
      <w:r>
        <w:t xml:space="preserve"> </w:t>
      </w:r>
      <w:r>
        <w:tab/>
        <w:t>For details, see section L.1 of Confidential Appendix L in Attachment 3 to our preliminary decision on AusNet Services' 2016-20 distribution determination.</w:t>
      </w:r>
    </w:p>
  </w:footnote>
  <w:footnote w:id="484">
    <w:p w:rsidR="002D334E" w:rsidRDefault="002D334E" w:rsidP="006A3314">
      <w:pPr>
        <w:pStyle w:val="FootnoteText"/>
      </w:pPr>
      <w:r>
        <w:rPr>
          <w:rStyle w:val="FootnoteReference"/>
        </w:rPr>
        <w:footnoteRef/>
      </w:r>
      <w:r>
        <w:t xml:space="preserve"> </w:t>
      </w:r>
      <w:r>
        <w:tab/>
        <w:t xml:space="preserve">See section </w:t>
      </w:r>
      <w:r>
        <w:fldChar w:fldCharType="begin"/>
      </w:r>
      <w:r>
        <w:instrText xml:space="preserve"> REF _Ref451685409 \r \h </w:instrText>
      </w:r>
      <w:r>
        <w:fldChar w:fldCharType="separate"/>
      </w:r>
      <w:r>
        <w:t>E</w:t>
      </w:r>
      <w:r>
        <w:fldChar w:fldCharType="end"/>
      </w:r>
      <w:r>
        <w:t xml:space="preserve"> for further discussion.</w:t>
      </w:r>
    </w:p>
  </w:footnote>
  <w:footnote w:id="485">
    <w:p w:rsidR="002D334E" w:rsidRDefault="002D334E" w:rsidP="006A3314">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486">
    <w:p w:rsidR="002D334E" w:rsidRDefault="002D334E" w:rsidP="006A3314">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487">
    <w:p w:rsidR="002D334E" w:rsidRDefault="002D334E" w:rsidP="006A3314">
      <w:pPr>
        <w:pStyle w:val="FootnoteText"/>
      </w:pPr>
      <w:r>
        <w:rPr>
          <w:rStyle w:val="FootnoteReference"/>
        </w:rPr>
        <w:footnoteRef/>
      </w:r>
      <w:r>
        <w:t xml:space="preserve"> </w:t>
      </w:r>
      <w:r>
        <w:tab/>
      </w:r>
      <w:r w:rsidRPr="004177B1">
        <w:t xml:space="preserve">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Transmission for the generations: Response to proposal by AusN</w:t>
      </w:r>
      <w:r>
        <w:rPr>
          <w:rStyle w:val="AERtextitalic"/>
        </w:rPr>
        <w:t>et Services transmission group Pty L</w:t>
      </w:r>
      <w:r w:rsidRPr="001A0C41">
        <w:rPr>
          <w:rStyle w:val="AERtextitalic"/>
        </w:rPr>
        <w:t xml:space="preserve">td and AER issues paper for AusNet Services transmission revenue </w:t>
      </w:r>
      <w:r>
        <w:rPr>
          <w:rStyle w:val="AERtextitalic"/>
        </w:rPr>
        <w:t>review</w:t>
      </w:r>
      <w:r w:rsidRPr="001A0C41">
        <w:rPr>
          <w:rStyle w:val="AERtextitalic"/>
        </w:rPr>
        <w:t xml:space="preserve">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488">
    <w:p w:rsidR="002D334E" w:rsidRDefault="002D334E" w:rsidP="006A3314">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 xml:space="preserve">Transmission for the generations: Response to proposal by AusNet Services </w:t>
      </w:r>
      <w:r>
        <w:rPr>
          <w:rStyle w:val="AERtextitalic"/>
        </w:rPr>
        <w:t>transmission group Pty L</w:t>
      </w:r>
      <w:r w:rsidRPr="001A0C41">
        <w:rPr>
          <w:rStyle w:val="AERtextitalic"/>
        </w:rPr>
        <w:t xml:space="preserve">td and AER issues paper for AusNet Services transmission revenue </w:t>
      </w:r>
      <w:r>
        <w:rPr>
          <w:rStyle w:val="AERtextitalic"/>
        </w:rPr>
        <w:t>review</w:t>
      </w:r>
      <w:r w:rsidRPr="001A0C41">
        <w:rPr>
          <w:rStyle w:val="AERtextitalic"/>
        </w:rPr>
        <w:t xml:space="preserve"> 2017–22</w:t>
      </w:r>
      <w:r w:rsidRPr="00F3489A">
        <w:t>, February 2016</w:t>
      </w:r>
      <w:r>
        <w:t>.</w:t>
      </w:r>
    </w:p>
  </w:footnote>
  <w:footnote w:id="489">
    <w:p w:rsidR="002D334E" w:rsidRDefault="002D334E" w:rsidP="006A3314">
      <w:pPr>
        <w:pStyle w:val="FootnoteText"/>
      </w:pPr>
      <w:r>
        <w:rPr>
          <w:rStyle w:val="FootnoteReference"/>
        </w:rPr>
        <w:footnoteRef/>
      </w:r>
      <w:r>
        <w:t xml:space="preserve"> </w:t>
      </w:r>
      <w:r>
        <w:tab/>
        <w:t xml:space="preserve"> CCP Panel 5</w:t>
      </w:r>
      <w:r w:rsidRPr="009751A6">
        <w:t xml:space="preserve">, </w:t>
      </w:r>
      <w:r>
        <w:rPr>
          <w:rStyle w:val="AERtextitalic"/>
        </w:rPr>
        <w:t>Response to AER draft decision on AusNet transmission revenue review</w:t>
      </w:r>
      <w:r w:rsidRPr="009751A6">
        <w:t xml:space="preserve">, </w:t>
      </w:r>
      <w:r>
        <w:t>September</w:t>
      </w:r>
      <w:r w:rsidRPr="009751A6">
        <w:t xml:space="preserve"> 2016</w:t>
      </w:r>
      <w:r>
        <w:t>; ; CCP5, Transmission for the Generations III–Response to: Revised revenue proposal by AusNet Services for Transmission Revenue Review 2017–22, October 2016.</w:t>
      </w:r>
    </w:p>
  </w:footnote>
  <w:footnote w:id="490">
    <w:p w:rsidR="002D334E" w:rsidRDefault="002D334E" w:rsidP="00501F99">
      <w:pPr>
        <w:pStyle w:val="FootnoteText"/>
      </w:pPr>
      <w:r>
        <w:rPr>
          <w:rStyle w:val="FootnoteReference"/>
        </w:rPr>
        <w:footnoteRef/>
      </w:r>
      <w:r>
        <w:t xml:space="preserve"> </w:t>
      </w:r>
      <w:r>
        <w:tab/>
        <w:t xml:space="preserve">CCP4 (David Headberry) - </w:t>
      </w:r>
      <w:r w:rsidRPr="00405AF1">
        <w:rPr>
          <w:rStyle w:val="Emphasis"/>
        </w:rPr>
        <w:t>Submission on Powerlink draft decision and revised proposal</w:t>
      </w:r>
      <w:r>
        <w:t>, p21, 21 December 2016; CCP5</w:t>
      </w:r>
      <w:r w:rsidRPr="00405AF1">
        <w:rPr>
          <w:rStyle w:val="Emphasis"/>
        </w:rPr>
        <w:t>, Submission on AusNet transmission revised proposal,</w:t>
      </w:r>
      <w:r>
        <w:t xml:space="preserve"> October 2016 p10; 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 xml:space="preserve">Transmission for the generations: Response to proposal by AusNet Services transmission group </w:t>
      </w:r>
      <w:r>
        <w:rPr>
          <w:rStyle w:val="AERtextitalic"/>
        </w:rPr>
        <w:t>Pty L</w:t>
      </w:r>
      <w:r w:rsidRPr="001A0C41">
        <w:rPr>
          <w:rStyle w:val="AERtextitalic"/>
        </w:rPr>
        <w:t xml:space="preserve">td and AER issues paper for AusNet Services transmission revenue </w:t>
      </w:r>
      <w:r>
        <w:rPr>
          <w:rStyle w:val="AERtextitalic"/>
        </w:rPr>
        <w:t>review</w:t>
      </w:r>
      <w:r w:rsidRPr="001A0C41">
        <w:rPr>
          <w:rStyle w:val="AERtextitalic"/>
        </w:rPr>
        <w:t xml:space="preserve">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29–30. </w:t>
      </w:r>
    </w:p>
  </w:footnote>
  <w:footnote w:id="491">
    <w:p w:rsidR="002D334E" w:rsidRDefault="002D334E" w:rsidP="00501F99">
      <w:pPr>
        <w:pStyle w:val="FootnoteText"/>
      </w:pPr>
      <w:r>
        <w:rPr>
          <w:rStyle w:val="FootnoteReference"/>
        </w:rPr>
        <w:footnoteRef/>
      </w:r>
      <w:r>
        <w:t xml:space="preserve"> </w:t>
      </w:r>
      <w:r>
        <w:tab/>
        <w:t xml:space="preserve">CCP4 (Hugh Grant) </w:t>
      </w:r>
      <w:r w:rsidRPr="00405AF1">
        <w:rPr>
          <w:rStyle w:val="Emphasis"/>
        </w:rPr>
        <w:t>- Submission on Powerlink draft decision and revised proposa</w:t>
      </w:r>
      <w:r>
        <w:rPr>
          <w:rStyle w:val="Emphasis"/>
        </w:rPr>
        <w:t>l,</w:t>
      </w:r>
      <w:r w:rsidRPr="003C3081">
        <w:t xml:space="preserve"> </w:t>
      </w:r>
      <w:r>
        <w:t xml:space="preserve">23 December 2016, p39-42,; CCP5, </w:t>
      </w:r>
      <w:r w:rsidRPr="00405AF1">
        <w:rPr>
          <w:rStyle w:val="Emphasis"/>
        </w:rPr>
        <w:t>Submission on AusNet transmission revised proposal</w:t>
      </w:r>
      <w:r>
        <w:t xml:space="preserve">, October 2016, p10; </w:t>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Transmission for the generations: Response to proposal by AusN</w:t>
      </w:r>
      <w:r>
        <w:rPr>
          <w:rStyle w:val="AERtextitalic"/>
        </w:rPr>
        <w:t>et Services transmission group Pty L</w:t>
      </w:r>
      <w:r w:rsidRPr="001A0C41">
        <w:rPr>
          <w:rStyle w:val="AERtextitalic"/>
        </w:rPr>
        <w:t xml:space="preserve">td and AER issues paper for AusNet Services transmission revenue </w:t>
      </w:r>
      <w:r>
        <w:rPr>
          <w:rStyle w:val="AERtextitalic"/>
        </w:rPr>
        <w:t>review</w:t>
      </w:r>
      <w:r w:rsidRPr="001A0C41">
        <w:rPr>
          <w:rStyle w:val="AERtextitalic"/>
        </w:rPr>
        <w:t xml:space="preserve">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 </w:t>
      </w:r>
    </w:p>
  </w:footnote>
  <w:footnote w:id="492">
    <w:p w:rsidR="002D334E" w:rsidRDefault="002D334E" w:rsidP="00501F99">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493">
    <w:p w:rsidR="002D334E" w:rsidRDefault="002D334E" w:rsidP="00501F99">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94">
    <w:p w:rsidR="002D334E" w:rsidRDefault="002D334E" w:rsidP="00501F99">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95">
    <w:p w:rsidR="002D334E" w:rsidRDefault="002D334E" w:rsidP="006A3314">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Previously covered in AER Final decision for Australian Gas Networks Access Arrangement, CitiPower distribution Determination and Jemena distribution determination all in May 2016.  </w:t>
      </w:r>
    </w:p>
  </w:footnote>
  <w:footnote w:id="496">
    <w:p w:rsidR="002D334E" w:rsidRDefault="002D334E">
      <w:pPr>
        <w:pStyle w:val="FootnoteText"/>
      </w:pPr>
      <w:r>
        <w:rPr>
          <w:rStyle w:val="FootnoteReference"/>
        </w:rPr>
        <w:footnoteRef/>
      </w:r>
      <w:r>
        <w:t xml:space="preserve"> </w:t>
      </w:r>
      <w:r>
        <w:tab/>
        <w:t>AER</w:t>
      </w:r>
      <w:r w:rsidRPr="00A164C0">
        <w:rPr>
          <w:rStyle w:val="Emphasis"/>
        </w:rPr>
        <w:t>, Final Decision AusNet distribution determination - Attachment 3 - rate of return</w:t>
      </w:r>
      <w:r>
        <w:t>, May 2016, p.82.</w:t>
      </w:r>
    </w:p>
  </w:footnote>
  <w:footnote w:id="497">
    <w:p w:rsidR="002D334E" w:rsidRDefault="002D334E"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P16</w:t>
      </w:r>
    </w:p>
  </w:footnote>
  <w:footnote w:id="498">
    <w:p w:rsidR="002D334E" w:rsidRDefault="002D334E" w:rsidP="006A3314">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45; AusNet Services, </w:t>
      </w:r>
      <w:r w:rsidRPr="008556CC">
        <w:rPr>
          <w:rStyle w:val="Emphasis"/>
        </w:rPr>
        <w:t>Transmission Revised Revenue Proposal</w:t>
      </w:r>
      <w:r>
        <w:t xml:space="preserve">, 21 September 2016, p150; Please see any one of: </w:t>
      </w:r>
      <w:r w:rsidRPr="008556CC">
        <w:rPr>
          <w:rStyle w:val="Emphasis"/>
        </w:rPr>
        <w:t>AER Final decision for Australian Gas Networks Access Arrangement</w:t>
      </w:r>
      <w:r>
        <w:t xml:space="preserve">, </w:t>
      </w:r>
      <w:r w:rsidRPr="008556CC">
        <w:rPr>
          <w:rStyle w:val="Emphasis"/>
        </w:rPr>
        <w:t>AER's CitiPower distribution Determination</w:t>
      </w:r>
      <w:r>
        <w:t xml:space="preserve"> or AER </w:t>
      </w:r>
      <w:r w:rsidRPr="008556CC">
        <w:rPr>
          <w:rStyle w:val="Emphasis"/>
        </w:rPr>
        <w:t>Jemena distribution determination</w:t>
      </w:r>
      <w:r>
        <w:t xml:space="preserve"> all in May 2016 for examples of where this material and argument has been considered before.</w:t>
      </w:r>
    </w:p>
  </w:footnote>
  <w:footnote w:id="499">
    <w:p w:rsidR="002D334E" w:rsidRDefault="002D334E" w:rsidP="006A3314">
      <w:pPr>
        <w:pStyle w:val="FootnoteText"/>
      </w:pPr>
      <w:r>
        <w:rPr>
          <w:rStyle w:val="FootnoteReference"/>
        </w:rPr>
        <w:footnoteRef/>
      </w:r>
      <w:r>
        <w:t xml:space="preserve"> </w:t>
      </w:r>
      <w:r>
        <w:tab/>
        <w:t>Frontier,</w:t>
      </w:r>
      <w:r>
        <w:rPr>
          <w:rStyle w:val="AERtextitalic"/>
        </w:rPr>
        <w:t xml:space="preserve"> T</w:t>
      </w:r>
      <w:r w:rsidRPr="00A01314">
        <w:rPr>
          <w:rStyle w:val="AERtextitalic"/>
        </w:rPr>
        <w:t>he market risk premium</w:t>
      </w:r>
      <w:r w:rsidRPr="00A01314">
        <w:t xml:space="preserve">, </w:t>
      </w:r>
      <w:r>
        <w:t xml:space="preserve">September 2016, p. 44; AusNet Services, </w:t>
      </w:r>
      <w:r w:rsidRPr="008556CC">
        <w:rPr>
          <w:rStyle w:val="Emphasis"/>
        </w:rPr>
        <w:t>Transmission Revised Revenue Proposal</w:t>
      </w:r>
      <w:r>
        <w:t>, 21 September 2016, p154; Please see any one of: AER Final decision for Australian Gas Networks Access Arrangement, CitiPower distribution Determination and Jemena distribution determination all in May 2016 for examples of where this material and argument has been considered before.</w:t>
      </w:r>
    </w:p>
  </w:footnote>
  <w:footnote w:id="500">
    <w:p w:rsidR="002D334E" w:rsidRDefault="002D334E">
      <w:pPr>
        <w:pStyle w:val="FootnoteText"/>
      </w:pPr>
      <w:r>
        <w:rPr>
          <w:rStyle w:val="FootnoteReference"/>
        </w:rPr>
        <w:footnoteRef/>
      </w:r>
      <w:r>
        <w:t xml:space="preserve"> </w:t>
      </w:r>
      <w:r>
        <w:tab/>
      </w:r>
      <w:r w:rsidRPr="007902A4">
        <w:t>AER</w:t>
      </w:r>
      <w:r w:rsidRPr="007902A4">
        <w:rPr>
          <w:rStyle w:val="Emphasis"/>
        </w:rPr>
        <w:t>, Final Decision AusNet distribution determination - Attachment 3 - rate of return</w:t>
      </w:r>
      <w:r w:rsidRPr="007902A4">
        <w:t xml:space="preserve">, May 2016, </w:t>
      </w:r>
      <w:r>
        <w:t>p.</w:t>
      </w:r>
      <w:r w:rsidRPr="007902A4">
        <w:t>8</w:t>
      </w:r>
      <w:r>
        <w:t>4</w:t>
      </w:r>
    </w:p>
  </w:footnote>
  <w:footnote w:id="501">
    <w:p w:rsidR="002D334E" w:rsidRDefault="002D334E" w:rsidP="00894A39">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41; AusNet, </w:t>
      </w:r>
      <w:r w:rsidRPr="00A164C0">
        <w:rPr>
          <w:rStyle w:val="Emphasis"/>
        </w:rPr>
        <w:t>Service Revenue Proposal Revised - Public</w:t>
      </w:r>
      <w:r>
        <w:t>, Nov 2015, p..217.</w:t>
      </w:r>
    </w:p>
  </w:footnote>
  <w:footnote w:id="502">
    <w:p w:rsidR="002D334E" w:rsidRDefault="002D334E"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p.28.</w:t>
      </w:r>
    </w:p>
  </w:footnote>
  <w:footnote w:id="503">
    <w:p w:rsidR="002D334E" w:rsidRDefault="002D334E" w:rsidP="00894A39">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-44.</w:t>
      </w:r>
    </w:p>
  </w:footnote>
  <w:footnote w:id="504">
    <w:p w:rsidR="002D334E" w:rsidRDefault="002D334E" w:rsidP="00894A39">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44.</w:t>
      </w:r>
    </w:p>
  </w:footnote>
  <w:footnote w:id="505">
    <w:p w:rsidR="002D334E" w:rsidRDefault="002D334E" w:rsidP="006A3314">
      <w:pPr>
        <w:pStyle w:val="FootnoteText"/>
      </w:pPr>
      <w:r>
        <w:rPr>
          <w:rStyle w:val="FootnoteReference"/>
        </w:rPr>
        <w:footnoteRef/>
      </w:r>
      <w:r>
        <w:t xml:space="preserve"> </w:t>
      </w:r>
      <w:r>
        <w:tab/>
        <w:t xml:space="preserve">Or more precisely, a benchmark efficient entity with a similar degree of risk as </w:t>
      </w:r>
      <w:r w:rsidRPr="000F3DDE">
        <w:t>AusNet Services</w:t>
      </w:r>
      <w:r>
        <w:t xml:space="preserve"> in respect of the provision of prescribed transmission services.</w:t>
      </w:r>
    </w:p>
  </w:footnote>
  <w:footnote w:id="506">
    <w:p w:rsidR="002D334E" w:rsidRDefault="002D334E" w:rsidP="006A3314">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507">
    <w:p w:rsidR="002D334E" w:rsidRDefault="002D334E">
      <w:pPr>
        <w:pStyle w:val="FootnoteText"/>
      </w:pPr>
      <w:r>
        <w:rPr>
          <w:rStyle w:val="FootnoteReference"/>
        </w:rPr>
        <w:footnoteRef/>
      </w:r>
      <w:r>
        <w:t xml:space="preserve"> </w:t>
      </w:r>
      <w:r>
        <w:tab/>
        <w:t xml:space="preserve">Frontier Economics, </w:t>
      </w:r>
      <w:r>
        <w:rPr>
          <w:rStyle w:val="AERtextitalic"/>
        </w:rPr>
        <w:t>The market risk premium</w:t>
      </w:r>
      <w:r>
        <w:t>, September 2016, pp.55–59.</w:t>
      </w:r>
    </w:p>
  </w:footnote>
  <w:footnote w:id="508">
    <w:p w:rsidR="002D334E" w:rsidRDefault="002D334E" w:rsidP="006A3314">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509">
    <w:p w:rsidR="002D334E" w:rsidRDefault="002D334E" w:rsidP="006A3314">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 87(3).</w:t>
      </w:r>
    </w:p>
  </w:footnote>
  <w:footnote w:id="510">
    <w:p w:rsidR="002D334E" w:rsidRDefault="002D334E" w:rsidP="006A331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511">
    <w:p w:rsidR="002D334E" w:rsidRDefault="002D334E" w:rsidP="006A3314">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AER</w:t>
      </w:r>
      <w:r w:rsidRPr="00B55FA0">
        <w:rPr>
          <w:rStyle w:val="Emphasis"/>
        </w:rPr>
        <w:t>, Preliminary decision AusNet Services determination 2016 to 2020: Attachment 3–Rate of return</w:t>
      </w:r>
      <w:r w:rsidRPr="00B55FA0">
        <w:t>, October 2015, pp. 268–270</w:t>
      </w:r>
      <w:r>
        <w:t>.</w:t>
      </w:r>
    </w:p>
    <w:p w:rsidR="002D334E" w:rsidRDefault="002D334E" w:rsidP="006A3314">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512">
    <w:p w:rsidR="002D334E" w:rsidRDefault="002D334E" w:rsidP="006A3314">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513">
    <w:p w:rsidR="002D334E" w:rsidRDefault="002D334E" w:rsidP="006A3314">
      <w:pPr>
        <w:pStyle w:val="FootnoteText"/>
      </w:pPr>
      <w:r>
        <w:rPr>
          <w:rStyle w:val="FootnoteReference"/>
        </w:rPr>
        <w:footnoteRef/>
      </w:r>
      <w:r>
        <w:t xml:space="preserve"> </w:t>
      </w:r>
      <w:r>
        <w:tab/>
        <w:t xml:space="preserve">Partington, </w:t>
      </w:r>
      <w:r w:rsidRPr="00B342F3">
        <w:rPr>
          <w:rStyle w:val="AERtextitalic"/>
        </w:rPr>
        <w:t>Report to the AER: Return on equity (</w:t>
      </w:r>
      <w:r>
        <w:rPr>
          <w:rStyle w:val="AERtextitalic"/>
        </w:rPr>
        <w:t>u</w:t>
      </w:r>
      <w:r w:rsidRPr="00B342F3">
        <w:rPr>
          <w:rStyle w:val="AERtextitalic"/>
        </w:rPr>
        <w:t>pdated)</w:t>
      </w:r>
      <w:r>
        <w:t>, April 2015, p. 72.</w:t>
      </w:r>
    </w:p>
  </w:footnote>
  <w:footnote w:id="514">
    <w:p w:rsidR="002D334E" w:rsidRDefault="002D334E" w:rsidP="006A3314">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 xml:space="preserve">Return on equity (updated), </w:t>
      </w:r>
      <w:r w:rsidRPr="00BF02BD">
        <w:t>April 2015</w:t>
      </w:r>
      <w:r>
        <w:t>, p. 72.</w:t>
      </w:r>
    </w:p>
  </w:footnote>
  <w:footnote w:id="515">
    <w:p w:rsidR="002D334E" w:rsidRDefault="002D334E" w:rsidP="006A3314">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516">
    <w:p w:rsidR="002D334E" w:rsidRDefault="002D334E" w:rsidP="00894A39">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517">
    <w:p w:rsidR="002D334E" w:rsidRDefault="002D334E" w:rsidP="00894A39">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xml:space="preserve">, </w:t>
      </w:r>
      <w:r>
        <w:t>12 April</w:t>
      </w:r>
      <w:r w:rsidRPr="00FA22CC">
        <w:t xml:space="preserve"> 2017</w:t>
      </w:r>
      <w:r>
        <w:t>, p. 34.</w:t>
      </w:r>
    </w:p>
  </w:footnote>
  <w:footnote w:id="518">
    <w:p w:rsidR="002D334E" w:rsidRDefault="002D334E" w:rsidP="00894A39">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xml:space="preserve">, </w:t>
      </w:r>
      <w:r>
        <w:t>12 April</w:t>
      </w:r>
      <w:r w:rsidRPr="00FA22CC">
        <w:t xml:space="preserve"> 2017</w:t>
      </w:r>
      <w:r>
        <w:t>, p. 18.</w:t>
      </w:r>
    </w:p>
  </w:footnote>
  <w:footnote w:id="519">
    <w:p w:rsidR="002D334E" w:rsidRDefault="002D334E" w:rsidP="00894A39">
      <w:pPr>
        <w:pStyle w:val="FootnoteText"/>
      </w:pPr>
      <w:r>
        <w:rPr>
          <w:rStyle w:val="FootnoteReference"/>
        </w:rPr>
        <w:footnoteRef/>
      </w:r>
      <w:r>
        <w:t xml:space="preserve"> </w:t>
      </w:r>
      <w:r>
        <w:tab/>
        <w:t xml:space="preserve">Frontier Economics, </w:t>
      </w:r>
      <w:r w:rsidRPr="008556CC">
        <w:rPr>
          <w:rStyle w:val="Emphasis"/>
        </w:rPr>
        <w:t>The market risk premium</w:t>
      </w:r>
      <w:r>
        <w:t>, September 2016, p. 47–54.</w:t>
      </w:r>
    </w:p>
  </w:footnote>
  <w:footnote w:id="520">
    <w:p w:rsidR="002D334E" w:rsidRDefault="002D334E" w:rsidP="00894A39">
      <w:pPr>
        <w:pStyle w:val="FootnoteText"/>
      </w:pPr>
      <w:r>
        <w:rPr>
          <w:rStyle w:val="FootnoteReference"/>
        </w:rPr>
        <w:footnoteRef/>
      </w:r>
      <w:r>
        <w:t xml:space="preserve"> </w:t>
      </w:r>
      <w:r>
        <w:tab/>
        <w:t xml:space="preserve">Duarte and Rosa, </w:t>
      </w:r>
      <w:r w:rsidRPr="008556CC">
        <w:rPr>
          <w:rStyle w:val="Emphasis"/>
        </w:rPr>
        <w:t>The Equity Risk Premium: A review of Models</w:t>
      </w:r>
      <w:r>
        <w:t>, February 2015.</w:t>
      </w:r>
    </w:p>
  </w:footnote>
  <w:footnote w:id="521">
    <w:p w:rsidR="002D334E" w:rsidRDefault="002D334E" w:rsidP="00894A39">
      <w:pPr>
        <w:pStyle w:val="FootnoteText"/>
      </w:pPr>
      <w:r>
        <w:rPr>
          <w:rStyle w:val="FootnoteReference"/>
        </w:rPr>
        <w:footnoteRef/>
      </w:r>
      <w:r>
        <w:t xml:space="preserve"> </w:t>
      </w:r>
      <w:r>
        <w:tab/>
        <w:t xml:space="preserve">Strunk, </w:t>
      </w:r>
      <w:r w:rsidRPr="008556CC">
        <w:rPr>
          <w:rStyle w:val="Emphasis"/>
        </w:rPr>
        <w:t>The Decoupling of Treasury Yields and the Cost of Equity for Public Utilities</w:t>
      </w:r>
      <w:r>
        <w:t>, 2014.</w:t>
      </w:r>
    </w:p>
  </w:footnote>
  <w:footnote w:id="522">
    <w:p w:rsidR="002D334E" w:rsidRDefault="002D334E" w:rsidP="00894A39">
      <w:pPr>
        <w:pStyle w:val="FootnoteText"/>
      </w:pPr>
      <w:r>
        <w:rPr>
          <w:rStyle w:val="FootnoteReference"/>
        </w:rPr>
        <w:footnoteRef/>
      </w:r>
      <w:r>
        <w:t xml:space="preserve"> </w:t>
      </w:r>
      <w:r>
        <w:tab/>
        <w:t>Partington</w:t>
      </w:r>
      <w:r w:rsidRPr="00FA22CC">
        <w:t xml:space="preserve"> and Satchell,</w:t>
      </w:r>
      <w:r w:rsidRPr="00FA22CC">
        <w:rPr>
          <w:rStyle w:val="Emphasis"/>
        </w:rPr>
        <w:t xml:space="preserve"> </w:t>
      </w:r>
      <w:r w:rsidRPr="00A164C0">
        <w:rPr>
          <w:rStyle w:val="Emphasis"/>
        </w:rPr>
        <w:t xml:space="preserve">Report to the AER: Discussion of estimates of the return on equity, </w:t>
      </w:r>
      <w:r>
        <w:t>12 April 2017, p. 28.</w:t>
      </w:r>
    </w:p>
  </w:footnote>
  <w:footnote w:id="523">
    <w:p w:rsidR="002D334E" w:rsidRDefault="002D334E" w:rsidP="00894A39">
      <w:pPr>
        <w:pStyle w:val="FootnoteText"/>
      </w:pPr>
      <w:r>
        <w:rPr>
          <w:rStyle w:val="FootnoteReference"/>
        </w:rPr>
        <w:footnoteRef/>
      </w:r>
      <w:r>
        <w:t xml:space="preserve"> </w:t>
      </w:r>
      <w:r>
        <w:tab/>
        <w:t>The FERC effectively uses a dividend model to estimate a range for the required return on equity and then selects a point estimate based on movement in the government bond yields.</w:t>
      </w:r>
    </w:p>
  </w:footnote>
  <w:footnote w:id="524">
    <w:p w:rsidR="002D334E" w:rsidRDefault="002D334E" w:rsidP="00894A39">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525">
    <w:p w:rsidR="002D334E" w:rsidRDefault="002D334E" w:rsidP="00894A39">
      <w:pPr>
        <w:pStyle w:val="FootnoteText"/>
      </w:pPr>
      <w:r>
        <w:rPr>
          <w:rStyle w:val="FootnoteReference"/>
        </w:rPr>
        <w:footnoteRef/>
      </w:r>
      <w:r>
        <w:t xml:space="preserve"> </w:t>
      </w:r>
      <w:r>
        <w:tab/>
        <w:t xml:space="preserve">FERC, </w:t>
      </w:r>
      <w:r w:rsidRPr="00A164C0">
        <w:rPr>
          <w:rStyle w:val="Emphasis"/>
        </w:rPr>
        <w:t>Docket No.EL11-66-001</w:t>
      </w:r>
      <w:r>
        <w:t>, June 2014 Paragraph 7 then pp. 13-43.</w:t>
      </w:r>
    </w:p>
    <w:p w:rsidR="002D334E" w:rsidRDefault="002D334E" w:rsidP="00894A39">
      <w:pPr>
        <w:pStyle w:val="FootnoteText"/>
      </w:pPr>
      <w:r>
        <w:tab/>
        <w:t xml:space="preserve">FERC, </w:t>
      </w:r>
      <w:r w:rsidRPr="00A164C0">
        <w:rPr>
          <w:rStyle w:val="Emphasis"/>
        </w:rPr>
        <w:t>Meeting Slides on Return on Equity</w:t>
      </w:r>
      <w:r>
        <w:t xml:space="preserve">, June 19 2014, </w:t>
      </w:r>
      <w:r w:rsidRPr="00D329A2">
        <w:t>https://www.ferc.gov/industries/electric/indus-act/oatt-reform/e-7-presentation.pdf</w:t>
      </w:r>
    </w:p>
  </w:footnote>
  <w:footnote w:id="526">
    <w:p w:rsidR="002D334E" w:rsidRDefault="002D334E" w:rsidP="00894A39">
      <w:pPr>
        <w:pStyle w:val="FootnoteText"/>
      </w:pPr>
      <w:r>
        <w:rPr>
          <w:rStyle w:val="FootnoteReference"/>
        </w:rPr>
        <w:footnoteRef/>
      </w:r>
      <w:r>
        <w:t xml:space="preserve"> </w:t>
      </w:r>
      <w:r>
        <w:tab/>
        <w:t xml:space="preserve">FERC, </w:t>
      </w:r>
      <w:r w:rsidRPr="007E6349">
        <w:t>Docket No. EL13-48-001</w:t>
      </w:r>
      <w:r>
        <w:t>, February 2016.</w:t>
      </w:r>
    </w:p>
  </w:footnote>
  <w:footnote w:id="527">
    <w:p w:rsidR="002D334E" w:rsidRDefault="002D334E" w:rsidP="005E6E22">
      <w:pPr>
        <w:pStyle w:val="FootnoteText"/>
      </w:pPr>
      <w:r>
        <w:rPr>
          <w:rStyle w:val="FootnoteReference"/>
        </w:rPr>
        <w:footnoteRef/>
      </w:r>
      <w:r>
        <w:t xml:space="preserve"> </w:t>
      </w:r>
      <w:r>
        <w:tab/>
      </w:r>
      <w:r w:rsidRPr="006566E4">
        <w:t>Partington and Satchell,</w:t>
      </w:r>
      <w:r w:rsidRPr="006566E4">
        <w:rPr>
          <w:rStyle w:val="Emphasis"/>
        </w:rPr>
        <w:t xml:space="preserve"> </w:t>
      </w:r>
      <w:r w:rsidRPr="00A164C0">
        <w:rPr>
          <w:rStyle w:val="Emphasis"/>
        </w:rPr>
        <w:t xml:space="preserve">Report to the AER: Discussion of estimates of the return on equity, </w:t>
      </w:r>
      <w:r>
        <w:t>12 April 2017</w:t>
      </w:r>
      <w:r w:rsidRPr="006566E4">
        <w:t>, p</w:t>
      </w:r>
      <w:r>
        <w:t>p</w:t>
      </w:r>
      <w:r w:rsidRPr="006566E4">
        <w:t xml:space="preserve">. </w:t>
      </w:r>
      <w:r>
        <w:t>17–18</w:t>
      </w:r>
      <w:r w:rsidRPr="006566E4">
        <w:t>.</w:t>
      </w:r>
    </w:p>
  </w:footnote>
  <w:footnote w:id="528">
    <w:p w:rsidR="002D334E" w:rsidRDefault="002D334E" w:rsidP="006A3314">
      <w:pPr>
        <w:pStyle w:val="FootnoteText"/>
      </w:pPr>
      <w:r>
        <w:rPr>
          <w:rStyle w:val="FootnoteReference"/>
        </w:rPr>
        <w:footnoteRef/>
      </w:r>
      <w:r>
        <w:t xml:space="preserve"> </w:t>
      </w:r>
      <w:r>
        <w:tab/>
        <w:t xml:space="preserve">For example, see </w:t>
      </w:r>
      <w:r w:rsidRPr="00C36099">
        <w:t>AER</w:t>
      </w:r>
      <w:r w:rsidRPr="00C36099">
        <w:rPr>
          <w:rStyle w:val="Emphasis"/>
        </w:rPr>
        <w:t>, Preliminary decision AusNet Services determination 2016 to 2020: Attachment 3–Rate of return</w:t>
      </w:r>
      <w:r w:rsidRPr="00C36099">
        <w:t>, October 2015, pp. 269–271.</w:t>
      </w:r>
    </w:p>
  </w:footnote>
  <w:footnote w:id="529">
    <w:p w:rsidR="002D334E" w:rsidRDefault="002D334E" w:rsidP="00894A3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pp.147-154. </w:t>
      </w:r>
    </w:p>
  </w:footnote>
  <w:footnote w:id="530">
    <w:p w:rsidR="002D334E" w:rsidRDefault="002D334E" w:rsidP="00894A39">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xml:space="preserve">, January 2016, pp. 21–25; Frontier Economics, </w:t>
      </w:r>
      <w:r w:rsidRPr="00A164C0">
        <w:rPr>
          <w:rStyle w:val="Emphasis"/>
        </w:rPr>
        <w:t>The market risk premium</w:t>
      </w:r>
      <w:r>
        <w:t xml:space="preserve">, September 2016, pp. 46–54. </w:t>
      </w:r>
    </w:p>
  </w:footnote>
  <w:footnote w:id="531">
    <w:p w:rsidR="002D334E" w:rsidRDefault="002D334E" w:rsidP="00894A39">
      <w:pPr>
        <w:pStyle w:val="FootnoteText"/>
      </w:pPr>
      <w:r>
        <w:rPr>
          <w:rStyle w:val="FootnoteReference"/>
        </w:rPr>
        <w:footnoteRef/>
      </w:r>
      <w:r>
        <w:t xml:space="preserve"> </w:t>
      </w:r>
      <w:r>
        <w:tab/>
        <w:t>A 2015 report from the Federal Reserve Bank authored by Duarte and Rosa, a speech from Glenn Stevens of the RBA in April 2015, A report for NERA titled "</w:t>
      </w:r>
      <w:r w:rsidRPr="00A164C0">
        <w:rPr>
          <w:rStyle w:val="Emphasis"/>
        </w:rPr>
        <w:t>The decoupling of treasury yields and the cost of equity for public utilities</w:t>
      </w:r>
      <w:r>
        <w:t>" by Strunk (2014).</w:t>
      </w:r>
    </w:p>
  </w:footnote>
  <w:footnote w:id="532">
    <w:p w:rsidR="002D334E" w:rsidRDefault="002D334E" w:rsidP="00894A39">
      <w:pPr>
        <w:pStyle w:val="FootnoteText"/>
      </w:pPr>
      <w:r>
        <w:rPr>
          <w:rStyle w:val="FootnoteReference"/>
        </w:rPr>
        <w:footnoteRef/>
      </w:r>
      <w:r>
        <w:t xml:space="preserve"> </w:t>
      </w:r>
      <w:r>
        <w:tab/>
        <w:t>A 2014 decision by the Federal Energy Regulatory Commission (FERC) in the United States.</w:t>
      </w:r>
      <w:r w:rsidRPr="006E620F">
        <w:t xml:space="preserve"> FERC, </w:t>
      </w:r>
      <w:r w:rsidRPr="00A164C0">
        <w:rPr>
          <w:rStyle w:val="Emphasis"/>
        </w:rPr>
        <w:t>Docket No. ER14-500-000</w:t>
      </w:r>
      <w:r w:rsidRPr="006E620F">
        <w:t>, June 2014, pp. 71</w:t>
      </w:r>
      <w:r>
        <w:t xml:space="preserve">; ERA Decisions </w:t>
      </w:r>
      <w:r w:rsidRPr="00A164C0">
        <w:rPr>
          <w:rStyle w:val="Emphasis"/>
        </w:rPr>
        <w:t>ATCO Gas Final decision</w:t>
      </w:r>
      <w:r>
        <w:t xml:space="preserve"> June 2015 and </w:t>
      </w:r>
      <w:r w:rsidRPr="00A164C0">
        <w:rPr>
          <w:rStyle w:val="Emphasis"/>
        </w:rPr>
        <w:t xml:space="preserve">DBP Final Decision </w:t>
      </w:r>
      <w:r>
        <w:t xml:space="preserve">June 2016; IPART, Semi-annual WACC update, February 2016, ESC Golburn Murray Water Draft Determination, February 2016; ESCOSA, </w:t>
      </w:r>
      <w:r w:rsidRPr="00A164C0">
        <w:rPr>
          <w:rStyle w:val="Emphasis"/>
        </w:rPr>
        <w:t>SA Water Final determination</w:t>
      </w:r>
      <w:r>
        <w:t xml:space="preserve"> June 2016; QCA, </w:t>
      </w:r>
      <w:r w:rsidRPr="00A164C0">
        <w:rPr>
          <w:rStyle w:val="Emphasis"/>
        </w:rPr>
        <w:t>DBCT Draft Decision</w:t>
      </w:r>
      <w:r>
        <w:t xml:space="preserve">, June 2016; Ofgem (UK), </w:t>
      </w:r>
      <w:r w:rsidRPr="00A164C0">
        <w:rPr>
          <w:rStyle w:val="Emphasis"/>
        </w:rPr>
        <w:t>RIIO-ED1</w:t>
      </w:r>
      <w:r>
        <w:t xml:space="preserve">, November 2014; FERC (US), </w:t>
      </w:r>
      <w:r w:rsidRPr="00A164C0">
        <w:rPr>
          <w:rStyle w:val="Emphasis"/>
        </w:rPr>
        <w:t>Baltimore Gas et al</w:t>
      </w:r>
      <w:r>
        <w:t>, February 2016.</w:t>
      </w:r>
    </w:p>
  </w:footnote>
  <w:footnote w:id="533">
    <w:p w:rsidR="002D334E" w:rsidRDefault="002D334E"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30–31,65-73 see AER, Jemena distribution determination 2016-2020: Rate of Return Attachment, May 2016 P60 where this was considered previously.</w:t>
      </w:r>
    </w:p>
  </w:footnote>
  <w:footnote w:id="534">
    <w:p w:rsidR="002D334E" w:rsidRDefault="002D334E"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 see AER, Jemena distribution determination 2016-2020:</w:t>
      </w:r>
      <w:r w:rsidRPr="00560539">
        <w:t xml:space="preserve"> </w:t>
      </w:r>
      <w:r>
        <w:t>Rate of Return Attachment, May 2016 P88 where this was considered previously.</w:t>
      </w:r>
    </w:p>
  </w:footnote>
  <w:footnote w:id="535">
    <w:p w:rsidR="002D334E" w:rsidRDefault="002D334E" w:rsidP="00894A39">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536">
    <w:p w:rsidR="002D334E" w:rsidRDefault="002D334E" w:rsidP="00894A39">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537">
    <w:p w:rsidR="002D334E" w:rsidRDefault="002D334E" w:rsidP="00894A39">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538">
    <w:p w:rsidR="002D334E" w:rsidRDefault="002D334E" w:rsidP="00894A39">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539">
    <w:p w:rsidR="002D334E" w:rsidRDefault="002D334E" w:rsidP="00894A39">
      <w:pPr>
        <w:pStyle w:val="FootnoteText"/>
      </w:pPr>
      <w:r>
        <w:rPr>
          <w:rStyle w:val="FootnoteReference"/>
        </w:rPr>
        <w:footnoteRef/>
      </w:r>
      <w:r>
        <w:t xml:space="preserve"> </w:t>
      </w:r>
      <w:r>
        <w:tab/>
        <w:t>Partington &amp; Satchell,</w:t>
      </w:r>
      <w:r w:rsidRPr="00740003">
        <w:rPr>
          <w:rStyle w:val="Emphasis"/>
        </w:rPr>
        <w:t xml:space="preserve"> Report to the AER: Cost of equity issues–Final decisions for the VIC DNSPs</w:t>
      </w:r>
      <w:r w:rsidRPr="00740003">
        <w:t>, April 2016</w:t>
      </w:r>
      <w:r>
        <w:t xml:space="preserve"> , pp. 31-32;</w:t>
      </w:r>
      <w:r w:rsidRPr="00740003">
        <w:t xml:space="preserve"> Partington, </w:t>
      </w:r>
      <w:r w:rsidRPr="00740003">
        <w:rPr>
          <w:rStyle w:val="AERtextitalic"/>
        </w:rPr>
        <w:t xml:space="preserve">Report to the AER: Return on equity (updated), </w:t>
      </w:r>
      <w:r w:rsidRPr="00740003">
        <w:t>April 2015</w:t>
      </w:r>
      <w:r>
        <w:t>, p. 32.</w:t>
      </w:r>
    </w:p>
    <w:p w:rsidR="002D334E" w:rsidRDefault="002D334E" w:rsidP="00894A39">
      <w:pPr>
        <w:pStyle w:val="FootnoteText"/>
      </w:pPr>
      <w:r>
        <w:tab/>
        <w:t>See P325 of the AER's decision on SAPN from October 2015 (Attachment 3) for further references</w:t>
      </w:r>
    </w:p>
  </w:footnote>
  <w:footnote w:id="540">
    <w:p w:rsidR="002D334E" w:rsidRDefault="002D334E" w:rsidP="00894A39">
      <w:pPr>
        <w:pStyle w:val="FootnoteText"/>
      </w:pPr>
      <w:r>
        <w:rPr>
          <w:rStyle w:val="FootnoteReference"/>
        </w:rPr>
        <w:footnoteRef/>
      </w:r>
      <w:r>
        <w:t xml:space="preserve"> </w:t>
      </w:r>
      <w:r>
        <w:tab/>
        <w:t>Partington</w:t>
      </w:r>
      <w:r w:rsidRPr="00FA22CC">
        <w:t xml:space="preserve"> and Satchell,</w:t>
      </w:r>
      <w:r w:rsidRPr="00FA22CC">
        <w:rPr>
          <w:rStyle w:val="Emphasis"/>
        </w:rPr>
        <w:t xml:space="preserve"> </w:t>
      </w:r>
      <w:r w:rsidRPr="00A164C0">
        <w:rPr>
          <w:rStyle w:val="Emphasis"/>
        </w:rPr>
        <w:t xml:space="preserve">Report to the AER: Discussion of estimates of the return on equity, </w:t>
      </w:r>
      <w:r>
        <w:t>12 April 2017, p. 32.</w:t>
      </w:r>
    </w:p>
  </w:footnote>
  <w:footnote w:id="541">
    <w:p w:rsidR="002D334E" w:rsidRDefault="002D334E" w:rsidP="00894A3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p.142.</w:t>
      </w:r>
    </w:p>
  </w:footnote>
  <w:footnote w:id="542">
    <w:p w:rsidR="002D334E" w:rsidRDefault="002D334E" w:rsidP="00894A39">
      <w:pPr>
        <w:pStyle w:val="FootnoteText"/>
      </w:pPr>
      <w:r>
        <w:rPr>
          <w:rStyle w:val="FootnoteReference"/>
        </w:rPr>
        <w:footnoteRef/>
      </w:r>
      <w:r>
        <w:t xml:space="preserve"> </w:t>
      </w:r>
      <w:r>
        <w:tab/>
        <w:t xml:space="preserve">Frontier, </w:t>
      </w:r>
      <w:r>
        <w:rPr>
          <w:i/>
        </w:rPr>
        <w:t xml:space="preserve">The Market Risk Premium, </w:t>
      </w:r>
      <w:r>
        <w:t>September 2016, p.31.</w:t>
      </w:r>
    </w:p>
  </w:footnote>
  <w:footnote w:id="543">
    <w:p w:rsidR="002D334E" w:rsidRDefault="002D334E" w:rsidP="00894A39">
      <w:pPr>
        <w:pStyle w:val="FootnoteText"/>
      </w:pPr>
      <w:r>
        <w:rPr>
          <w:rStyle w:val="FootnoteReference"/>
        </w:rPr>
        <w:footnoteRef/>
      </w:r>
      <w:r>
        <w:t xml:space="preserve"> </w:t>
      </w:r>
      <w:r>
        <w:tab/>
        <w:t xml:space="preserve">Frontier, </w:t>
      </w:r>
      <w:r>
        <w:rPr>
          <w:rStyle w:val="Emphasis"/>
        </w:rPr>
        <w:t>The relationship between government bond yields and the market risk premium</w:t>
      </w:r>
      <w:r>
        <w:t>, January 2016, p. 13.</w:t>
      </w:r>
    </w:p>
  </w:footnote>
  <w:footnote w:id="544">
    <w:p w:rsidR="002D334E" w:rsidRDefault="002D334E" w:rsidP="00894A39">
      <w:pPr>
        <w:pStyle w:val="FootnoteText"/>
      </w:pPr>
      <w:r>
        <w:rPr>
          <w:rStyle w:val="FootnoteReference"/>
        </w:rPr>
        <w:footnoteRef/>
      </w:r>
      <w:r>
        <w:t xml:space="preserve">  </w:t>
      </w:r>
      <w:r>
        <w:tab/>
        <w:t xml:space="preserve">Frontier, </w:t>
      </w:r>
      <w:r>
        <w:rPr>
          <w:i/>
        </w:rPr>
        <w:t xml:space="preserve">The Market Risk Premium, </w:t>
      </w:r>
      <w:r>
        <w:t>September 2016, pp.31–34.</w:t>
      </w:r>
    </w:p>
  </w:footnote>
  <w:footnote w:id="545">
    <w:p w:rsidR="002D334E" w:rsidRDefault="002D334E">
      <w:pPr>
        <w:pStyle w:val="FootnoteText"/>
      </w:pPr>
      <w:r>
        <w:rPr>
          <w:rStyle w:val="FootnoteReference"/>
        </w:rPr>
        <w:footnoteRef/>
      </w:r>
      <w:r>
        <w:t xml:space="preserve"> </w:t>
      </w:r>
      <w:r>
        <w:tab/>
      </w:r>
      <w:r w:rsidRPr="00D6679E">
        <w:t xml:space="preserve">Lally found the standard deviation of average real market returns is 1.5 per cent. The standard deviation for the average real government bond yield is 1.4 per cent. For the estimate MRP time series, it is 0.9 per cent. These standard deviations imply the average real market return is considerably more volatile than that for the estimated MRP. Lally, Review of the AER’s methodology, March 2013, pp. 12–16. </w:t>
      </w:r>
      <w:r>
        <w:t xml:space="preserve"> </w:t>
      </w:r>
    </w:p>
  </w:footnote>
  <w:footnote w:id="546">
    <w:p w:rsidR="002D334E" w:rsidRDefault="002D334E"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P28</w:t>
      </w:r>
    </w:p>
  </w:footnote>
  <w:footnote w:id="547">
    <w:p w:rsidR="002D334E" w:rsidRDefault="002D334E" w:rsidP="00894A39">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 xml:space="preserve"> 2014, p. 17.</w:t>
      </w:r>
    </w:p>
  </w:footnote>
  <w:footnote w:id="548">
    <w:p w:rsidR="002D334E" w:rsidRDefault="002D334E"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xml:space="preserve">, September 2016, pp. 46–47. </w:t>
      </w:r>
    </w:p>
  </w:footnote>
  <w:footnote w:id="549">
    <w:p w:rsidR="002D334E" w:rsidRDefault="002D334E"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xml:space="preserve">, September 2016, pp. 47-50. </w:t>
      </w:r>
    </w:p>
  </w:footnote>
  <w:footnote w:id="550">
    <w:p w:rsidR="002D334E" w:rsidRDefault="002D334E" w:rsidP="00894A39">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 Deloitte, CFO Survey: Beyond the clouds, Q3 2014, P19 Chart 17: Frequency of hurdle rate updates.</w:t>
      </w:r>
    </w:p>
  </w:footnote>
  <w:footnote w:id="551">
    <w:p w:rsidR="002D334E" w:rsidRDefault="002D334E" w:rsidP="00894A39">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552">
    <w:p w:rsidR="002D334E" w:rsidRDefault="002D334E" w:rsidP="00894A39">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53">
    <w:p w:rsidR="002D334E" w:rsidRDefault="002D334E" w:rsidP="00894A39">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554">
    <w:p w:rsidR="002D334E" w:rsidRDefault="002D334E" w:rsidP="00894A39">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55">
    <w:p w:rsidR="002D334E" w:rsidRDefault="002D334E" w:rsidP="00894A39">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556">
    <w:p w:rsidR="002D334E" w:rsidRDefault="002D334E" w:rsidP="00894A39">
      <w:pPr>
        <w:pStyle w:val="FootnoteText"/>
      </w:pPr>
      <w:r>
        <w:rPr>
          <w:rStyle w:val="FootnoteReference"/>
        </w:rPr>
        <w:footnoteRef/>
      </w:r>
      <w:r>
        <w:t xml:space="preserve"> </w:t>
      </w:r>
      <w:r>
        <w:tab/>
        <w:t xml:space="preserve">See section C.7.2 of Attachment 3 to our preliminary decision for </w:t>
      </w:r>
      <w:r w:rsidRPr="00897F23">
        <w:t>AusNet Services</w:t>
      </w:r>
      <w:r>
        <w:t>' 2016-20 distribution determination.</w:t>
      </w:r>
    </w:p>
  </w:footnote>
  <w:footnote w:id="557">
    <w:p w:rsidR="002D334E" w:rsidRDefault="002D334E" w:rsidP="00894A39">
      <w:pPr>
        <w:pStyle w:val="FootnoteText"/>
      </w:pPr>
      <w:r>
        <w:rPr>
          <w:rStyle w:val="FootnoteReference"/>
        </w:rPr>
        <w:footnoteRef/>
      </w:r>
      <w:r>
        <w:t xml:space="preserve"> </w:t>
      </w:r>
      <w:r>
        <w:tab/>
        <w:t>Assuming rational, well-functioning markets.</w:t>
      </w:r>
    </w:p>
  </w:footnote>
  <w:footnote w:id="558">
    <w:p w:rsidR="002D334E" w:rsidRDefault="002D334E" w:rsidP="00894A39">
      <w:pPr>
        <w:pStyle w:val="FootnoteText"/>
      </w:pPr>
      <w:r>
        <w:rPr>
          <w:rStyle w:val="FootnoteReference"/>
        </w:rPr>
        <w:footnoteRef/>
      </w:r>
      <w:r>
        <w:t xml:space="preserve"> </w:t>
      </w:r>
      <w:r>
        <w:tab/>
        <w:t xml:space="preserve">Frontier Economics, </w:t>
      </w:r>
      <w:r w:rsidRPr="00074148">
        <w:rPr>
          <w:rStyle w:val="Emphasis"/>
        </w:rPr>
        <w:t>The market risk premium</w:t>
      </w:r>
      <w:r>
        <w:t xml:space="preserve">, September 2016, p. 48-49; Frontier Economics, </w:t>
      </w:r>
      <w:r w:rsidRPr="00965F4A">
        <w:rPr>
          <w:rStyle w:val="Emphasis"/>
        </w:rPr>
        <w:t>The relationship between government bond yields and the market risk premium</w:t>
      </w:r>
      <w:r>
        <w:t>, January 2016 , pp. 21-23.</w:t>
      </w:r>
    </w:p>
  </w:footnote>
  <w:footnote w:id="559">
    <w:p w:rsidR="002D334E" w:rsidRDefault="002D334E" w:rsidP="00894A39">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560">
    <w:p w:rsidR="002D334E" w:rsidRDefault="002D334E"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p.20.</w:t>
      </w:r>
    </w:p>
  </w:footnote>
  <w:footnote w:id="561">
    <w:p w:rsidR="002D334E" w:rsidRDefault="002D334E"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p.20.</w:t>
      </w:r>
    </w:p>
  </w:footnote>
  <w:footnote w:id="562">
    <w:p w:rsidR="002D334E" w:rsidRDefault="002D334E"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p.21.</w:t>
      </w:r>
    </w:p>
  </w:footnote>
  <w:footnote w:id="563">
    <w:p w:rsidR="002D334E" w:rsidRDefault="002D334E" w:rsidP="00834500">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154</w:t>
      </w:r>
      <w:r w:rsidRPr="00C36099">
        <w:t>.</w:t>
      </w:r>
    </w:p>
  </w:footnote>
  <w:footnote w:id="564">
    <w:p w:rsidR="002D334E" w:rsidRDefault="002D334E" w:rsidP="00894A39">
      <w:pPr>
        <w:pStyle w:val="FootnoteText"/>
      </w:pPr>
      <w:r>
        <w:rPr>
          <w:rStyle w:val="FootnoteReference"/>
        </w:rPr>
        <w:footnoteRef/>
      </w:r>
      <w:r>
        <w:t xml:space="preserve"> </w:t>
      </w:r>
      <w:r>
        <w:tab/>
        <w:t>CCP4 (Hugh Grant),</w:t>
      </w:r>
      <w:r w:rsidRPr="00220907">
        <w:rPr>
          <w:rStyle w:val="Emphasis"/>
        </w:rPr>
        <w:t xml:space="preserve"> Submission on Powerlink draft decision and revised proposal</w:t>
      </w:r>
      <w:r w:rsidRPr="00220907">
        <w:t>, 23 December 2016</w:t>
      </w:r>
      <w:r>
        <w:t xml:space="preserve">, pp. 46–47; and </w:t>
      </w:r>
      <w:r w:rsidRPr="00DA5904">
        <w:t xml:space="preserve">CCP (David Headberry), </w:t>
      </w:r>
      <w:r w:rsidRPr="00DA5904">
        <w:rPr>
          <w:rStyle w:val="Emphasis"/>
        </w:rPr>
        <w:t>Response to the AER Draft Decision and Revised Proposal to Powerlink's electricity transmission network for a revenue reset for the 2017-2019 regulatory period</w:t>
      </w:r>
      <w:r w:rsidRPr="00DA5904">
        <w:t>, 19 December 2016, p</w:t>
      </w:r>
      <w:r>
        <w:t>p. 21–25</w:t>
      </w:r>
      <w:r w:rsidRPr="00DA5904">
        <w:t>.</w:t>
      </w:r>
    </w:p>
  </w:footnote>
  <w:footnote w:id="565">
    <w:p w:rsidR="002D334E" w:rsidRDefault="002D334E" w:rsidP="00894A39">
      <w:pPr>
        <w:pStyle w:val="FootnoteText"/>
      </w:pPr>
      <w:r>
        <w:rPr>
          <w:rStyle w:val="FootnoteReference"/>
        </w:rPr>
        <w:footnoteRef/>
      </w:r>
      <w:r>
        <w:t xml:space="preserve"> </w:t>
      </w:r>
      <w:r>
        <w:tab/>
        <w:t xml:space="preserve">For example, see CCP Sub-Panel 2 (Bruce Mountain), </w:t>
      </w:r>
      <w:r w:rsidRPr="00CA549A">
        <w:rPr>
          <w:rStyle w:val="AERtextitalic"/>
        </w:rPr>
        <w:t>Submission on the AER’s Preliminary Decisions for Energex, Ergon and South Australia Power Networks</w:t>
      </w:r>
      <w:r>
        <w:t xml:space="preserve">, July 2015, pp. 3–6. CCP Sub-Panel 2 (Hugh Grant), </w:t>
      </w:r>
      <w:r w:rsidRPr="00FE3DE0">
        <w:rPr>
          <w:rStyle w:val="AERtextitalic"/>
        </w:rPr>
        <w:t>Consumer Challenge Panel (CCP2 Panel) Submission AER Preliminary 2015-20 Revenue Determinations Energex and Ergon Energy Revised Revenue Proposals</w:t>
      </w:r>
      <w:r>
        <w:t xml:space="preserve">, September 2015, pp. 11–13. [To the extent, the CCP submissions appear to be suggesting that inflation is double counted under our building block frameworks (WACC and RAB), see Attachment 2 – the regulated asset base].CCP Sub-Panel 3 (David Headberry, Beverley Hughson, David Prins), </w:t>
      </w:r>
      <w:r w:rsidRPr="000605C0">
        <w:rPr>
          <w:rStyle w:val="AERtextitalic"/>
        </w:rPr>
        <w:t>Response to proposals from Victorian electricity distribution network service providers for a revenue reset for the 2016</w:t>
      </w:r>
      <w:r w:rsidRPr="000605C0">
        <w:rPr>
          <w:rStyle w:val="AERtextitalic"/>
          <w:rFonts w:ascii="Cambria Math" w:hAnsi="Cambria Math" w:cs="Cambria Math"/>
        </w:rPr>
        <w:t>‐</w:t>
      </w:r>
      <w:r w:rsidRPr="000605C0">
        <w:rPr>
          <w:rStyle w:val="AERtextitalic"/>
        </w:rPr>
        <w:t>2020 regulatory period</w:t>
      </w:r>
      <w:r>
        <w:t xml:space="preserve">, August 2015, pp. 68–69. Queensland Council of Social Services, </w:t>
      </w:r>
      <w:r w:rsidRPr="00CA549A">
        <w:rPr>
          <w:rStyle w:val="AERtextitalic"/>
        </w:rPr>
        <w:t>Response to Australian Energy Regulator Preliminary Decision for Queensland distributors 2015-2020</w:t>
      </w:r>
      <w:r>
        <w:t xml:space="preserve">, July 2015, p. 20. Queensland Farmers' Federation, </w:t>
      </w:r>
      <w:r w:rsidRPr="00974FED">
        <w:rPr>
          <w:rStyle w:val="AERtextitalic"/>
        </w:rPr>
        <w:t>Submission to Australian Energy Regulator (AER) on the Preliminary Determination for the Ergon Energy and Energex Regulatory Proposals for 2015-2020</w:t>
      </w:r>
      <w:r>
        <w:t xml:space="preserve">, July 2015, pp. 2–3. Total Environment Centre, </w:t>
      </w:r>
      <w:r w:rsidRPr="00974FED">
        <w:rPr>
          <w:rStyle w:val="AERtextitalic"/>
        </w:rPr>
        <w:t>Submission to the AER on the Preliminary Decisions on the QLD DBs' Regulatory Proposals 2015-20</w:t>
      </w:r>
      <w:r>
        <w:t xml:space="preserve">, July 2015, pp. 8–9. Victorian Energy Consumer and User Alliance, </w:t>
      </w:r>
      <w:r w:rsidRPr="00974FED">
        <w:rPr>
          <w:rStyle w:val="AERtextitalic"/>
        </w:rPr>
        <w:t>Submission to the AER: Victorian Distribution Networks' 2016-20 Revenue Proposals</w:t>
      </w:r>
      <w:r>
        <w:t>, July 2015, p. 9.</w:t>
      </w:r>
      <w:r w:rsidRPr="00DA5904">
        <w:t xml:space="preserve"> ResponseAbility (Hugh Grant), </w:t>
      </w:r>
      <w:r w:rsidRPr="00DA5904">
        <w:rPr>
          <w:rStyle w:val="Emphasis"/>
        </w:rPr>
        <w:t>Assets or liabilities? The need to apply fair regulatory values to Australia's electricity networks</w:t>
      </w:r>
      <w:r w:rsidRPr="00DA5904">
        <w:t>, 5 May 2016</w:t>
      </w:r>
      <w:r>
        <w:t xml:space="preserve">. </w:t>
      </w:r>
      <w:r w:rsidRPr="00DA5904">
        <w:t xml:space="preserve">CCP Sub-panel 4 (Hugh Grant and David Headberry), </w:t>
      </w:r>
      <w:r w:rsidRPr="00DA5904">
        <w:rPr>
          <w:rStyle w:val="Emphasis"/>
        </w:rPr>
        <w:t>Submission to the AER, Powerlink Queensland 2018–22 revenue proposal</w:t>
      </w:r>
      <w:r w:rsidRPr="00DA5904">
        <w:t xml:space="preserve">, 20 June 2016. CCP (Hugh Grant), </w:t>
      </w:r>
      <w:r w:rsidRPr="00457A06">
        <w:rPr>
          <w:rStyle w:val="Emphasis"/>
        </w:rPr>
        <w:t>Addressing the RAB/WACC disconnect issues within the current rules</w:t>
      </w:r>
      <w:r w:rsidRPr="00DA5904">
        <w:t xml:space="preserve">, 18 July 2016; and CCP (Hugh Grant), </w:t>
      </w:r>
      <w:r w:rsidRPr="00457A06">
        <w:rPr>
          <w:rStyle w:val="Emphasis"/>
        </w:rPr>
        <w:t>The methodology for the comparison of the electricity networks' return on equity with the returns of ASX 50 companies—in the context of the Powerlink/Telstra comparison</w:t>
      </w:r>
      <w:r w:rsidRPr="00DA5904">
        <w:t>, 26 July 2016</w:t>
      </w:r>
      <w:r>
        <w:t>.</w:t>
      </w:r>
    </w:p>
  </w:footnote>
  <w:footnote w:id="566">
    <w:p w:rsidR="002D334E" w:rsidRDefault="002D334E" w:rsidP="00430FD3">
      <w:pPr>
        <w:pStyle w:val="FootnoteText"/>
      </w:pPr>
      <w:r>
        <w:rPr>
          <w:rStyle w:val="FootnoteReference"/>
        </w:rPr>
        <w:footnoteRef/>
      </w:r>
      <w:r>
        <w:t xml:space="preserve"> </w:t>
      </w:r>
      <w:r>
        <w:tab/>
      </w:r>
      <w:r w:rsidRPr="001D4868">
        <w:t>For instance: the disaggregation of regulated and unregulated revenue and assets; the absence of market value share prices and asset values; and the absence of historical financial statements where regulated networks were Government owned.</w:t>
      </w:r>
      <w:r>
        <w:t xml:space="preserve"> All these issues are noted in AER</w:t>
      </w:r>
      <w:r w:rsidRPr="001435E8">
        <w:t xml:space="preserve">, </w:t>
      </w:r>
      <w:r w:rsidRPr="001435E8">
        <w:rPr>
          <w:rStyle w:val="Emphasis"/>
        </w:rPr>
        <w:t xml:space="preserve">Draft decision, Powerlink determination </w:t>
      </w:r>
      <w:r>
        <w:rPr>
          <w:rStyle w:val="Emphasis"/>
        </w:rPr>
        <w:t>2017–18</w:t>
      </w:r>
      <w:r w:rsidRPr="001435E8">
        <w:rPr>
          <w:rStyle w:val="Emphasis"/>
        </w:rPr>
        <w:t xml:space="preserve"> to 2021-22: Attachment 2 − Regulatory asset base</w:t>
      </w:r>
      <w:r w:rsidRPr="001435E8">
        <w:t>, September 2016, Section A.</w:t>
      </w:r>
      <w:r>
        <w:t>2.</w:t>
      </w:r>
    </w:p>
  </w:footnote>
  <w:footnote w:id="567">
    <w:p w:rsidR="002D334E" w:rsidRDefault="002D334E" w:rsidP="00430FD3">
      <w:pPr>
        <w:pStyle w:val="FootnoteText"/>
      </w:pPr>
      <w:r>
        <w:rPr>
          <w:rStyle w:val="FootnoteReference"/>
        </w:rPr>
        <w:footnoteRef/>
      </w:r>
      <w:r>
        <w:t xml:space="preserve"> </w:t>
      </w:r>
      <w:r>
        <w:tab/>
      </w:r>
      <w:r w:rsidRPr="00B32EB3">
        <w:t xml:space="preserve">AER, </w:t>
      </w:r>
      <w:r w:rsidRPr="00B32EB3">
        <w:rPr>
          <w:rStyle w:val="Emphasis"/>
        </w:rPr>
        <w:t xml:space="preserve">Draft decision, Powerlink determination </w:t>
      </w:r>
      <w:r>
        <w:rPr>
          <w:rStyle w:val="Emphasis"/>
        </w:rPr>
        <w:t>2017–18</w:t>
      </w:r>
      <w:r w:rsidRPr="00B32EB3">
        <w:rPr>
          <w:rStyle w:val="Emphasis"/>
        </w:rPr>
        <w:t xml:space="preserve">  to 2021-22: Attachment 2 − Regulatory asset base</w:t>
      </w:r>
      <w:r>
        <w:t xml:space="preserve">, </w:t>
      </w:r>
      <w:r w:rsidRPr="00B32EB3">
        <w:t>September 2016, Section A.2</w:t>
      </w:r>
      <w:r>
        <w:t>.</w:t>
      </w:r>
    </w:p>
  </w:footnote>
  <w:footnote w:id="568">
    <w:p w:rsidR="002D334E" w:rsidRDefault="002D334E" w:rsidP="003E0A44">
      <w:pPr>
        <w:pStyle w:val="FootnoteText"/>
      </w:pPr>
      <w:r>
        <w:rPr>
          <w:rStyle w:val="FootnoteReference"/>
        </w:rPr>
        <w:footnoteRef/>
      </w:r>
      <w:r>
        <w:t xml:space="preserve"> </w:t>
      </w:r>
      <w:r>
        <w:tab/>
      </w:r>
      <w:r w:rsidRPr="00D40AFA">
        <w:t>AusNet Services</w:t>
      </w:r>
      <w:r w:rsidRPr="00851313">
        <w:t xml:space="preserve">, </w:t>
      </w:r>
      <w:r w:rsidRPr="00851313">
        <w:rPr>
          <w:rStyle w:val="AERtextitalic"/>
        </w:rPr>
        <w:t xml:space="preserve">Revised </w:t>
      </w:r>
      <w:r>
        <w:rPr>
          <w:rStyle w:val="AERtextitalic"/>
        </w:rPr>
        <w:t>revenue</w:t>
      </w:r>
      <w:r w:rsidRPr="00851313">
        <w:rPr>
          <w:rStyle w:val="AERtextitalic"/>
        </w:rPr>
        <w:t xml:space="preserve"> proposal</w:t>
      </w:r>
      <w:r w:rsidRPr="00851313">
        <w:t xml:space="preserve">, </w:t>
      </w:r>
      <w:r>
        <w:t>21 September</w:t>
      </w:r>
      <w:r w:rsidRPr="00851313">
        <w:t xml:space="preserve"> 2016</w:t>
      </w:r>
      <w:r>
        <w:t>, p.159.</w:t>
      </w:r>
    </w:p>
  </w:footnote>
  <w:footnote w:id="569">
    <w:p w:rsidR="002D334E" w:rsidRDefault="002D334E" w:rsidP="00907E8E">
      <w:pPr>
        <w:pStyle w:val="FootnoteText"/>
      </w:pPr>
      <w:r>
        <w:rPr>
          <w:rStyle w:val="FootnoteReference"/>
        </w:rPr>
        <w:footnoteRef/>
      </w:r>
      <w:r>
        <w:t xml:space="preserve"> </w:t>
      </w:r>
      <w:r>
        <w:tab/>
        <w:t>For clarity, that is 100% of the base rate and DRP components of the allowed return on debt.</w:t>
      </w:r>
    </w:p>
  </w:footnote>
  <w:footnote w:id="570">
    <w:p w:rsidR="002D334E" w:rsidRDefault="002D334E" w:rsidP="00907E8E">
      <w:pPr>
        <w:pStyle w:val="FootnoteText"/>
      </w:pPr>
      <w:r>
        <w:rPr>
          <w:rStyle w:val="FootnoteReference"/>
        </w:rPr>
        <w:footnoteRef/>
      </w:r>
      <w:r>
        <w:t xml:space="preserve"> </w:t>
      </w:r>
      <w:r>
        <w:tab/>
      </w:r>
      <w:r w:rsidRPr="004E53AD">
        <w:t xml:space="preserve">AusNet Transmission Group Pty Ltd, </w:t>
      </w:r>
      <w:r w:rsidRPr="004E53AD">
        <w:rPr>
          <w:i/>
          <w:iCs/>
        </w:rPr>
        <w:t>Transmission Revenue Review 2017–2022 regulatory proposal</w:t>
      </w:r>
      <w:r w:rsidRPr="004E53AD">
        <w:t xml:space="preserve">, 30 October 2015, p. 269.  </w:t>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December 2013, chapters 3,</w:t>
      </w:r>
      <w:r>
        <w:t xml:space="preserve"> </w:t>
      </w:r>
      <w:r w:rsidRPr="0039163B">
        <w:t xml:space="preserve">6 and appendix B; AER, </w:t>
      </w:r>
      <w:r>
        <w:t xml:space="preserve"> Draft Decision - AusNet Services transmission determination 2017–18 to 2021–22.</w:t>
      </w:r>
    </w:p>
  </w:footnote>
  <w:footnote w:id="571">
    <w:p w:rsidR="002D334E" w:rsidRDefault="002D334E" w:rsidP="00907E8E">
      <w:pPr>
        <w:pStyle w:val="FootnoteText"/>
      </w:pPr>
      <w:r>
        <w:rPr>
          <w:rStyle w:val="FootnoteReference"/>
        </w:rPr>
        <w:footnoteRef/>
      </w:r>
      <w:r>
        <w:t xml:space="preserve">    CEG, </w:t>
      </w:r>
      <w:r w:rsidRPr="00222160">
        <w:rPr>
          <w:i/>
        </w:rPr>
        <w:t>The AER’s current interpretation of the ARORO</w:t>
      </w:r>
      <w:r>
        <w:t>, September 2016.</w:t>
      </w:r>
    </w:p>
  </w:footnote>
  <w:footnote w:id="572">
    <w:p w:rsidR="002D334E" w:rsidRDefault="002D334E" w:rsidP="00907E8E">
      <w:pPr>
        <w:pStyle w:val="FootnoteText"/>
      </w:pPr>
      <w:r>
        <w:rPr>
          <w:rStyle w:val="FootnoteReference"/>
        </w:rPr>
        <w:footnoteRef/>
      </w:r>
      <w:r>
        <w:t xml:space="preserve"> </w:t>
      </w:r>
      <w:r>
        <w:tab/>
        <w:t>S</w:t>
      </w:r>
      <w:r w:rsidRPr="00AE0473">
        <w:t>uch as our full transition</w:t>
      </w:r>
      <w:r>
        <w:t>.</w:t>
      </w:r>
    </w:p>
  </w:footnote>
  <w:footnote w:id="573">
    <w:p w:rsidR="002D334E" w:rsidRDefault="002D334E" w:rsidP="00907E8E">
      <w:pPr>
        <w:pStyle w:val="FootnoteText"/>
      </w:pPr>
      <w:r>
        <w:rPr>
          <w:rStyle w:val="FootnoteReference"/>
        </w:rPr>
        <w:footnoteRef/>
      </w:r>
      <w:r>
        <w:t xml:space="preserve"> </w:t>
      </w:r>
      <w:r>
        <w:tab/>
        <w:t>NER, cl. 6A.12.3(b).</w:t>
      </w:r>
    </w:p>
  </w:footnote>
  <w:footnote w:id="574">
    <w:p w:rsidR="002D334E" w:rsidRDefault="002D334E" w:rsidP="00907E8E">
      <w:pPr>
        <w:pStyle w:val="FootnoteText"/>
      </w:pPr>
      <w:r>
        <w:rPr>
          <w:rStyle w:val="FootnoteReference"/>
        </w:rPr>
        <w:footnoteRef/>
      </w:r>
      <w:r>
        <w:t xml:space="preserve">    AusNet Services, letter to the AER: </w:t>
      </w:r>
      <w:r w:rsidRPr="0027518D">
        <w:rPr>
          <w:i/>
        </w:rPr>
        <w:t>Removing uncertainty of the Cost of Debt transition</w:t>
      </w:r>
      <w:r>
        <w:rPr>
          <w:i/>
        </w:rPr>
        <w:t xml:space="preserve">, </w:t>
      </w:r>
      <w:r w:rsidRPr="0027518D">
        <w:t>9 December 2016</w:t>
      </w:r>
      <w:r>
        <w:t>.</w:t>
      </w:r>
    </w:p>
  </w:footnote>
  <w:footnote w:id="575">
    <w:p w:rsidR="002D334E" w:rsidRDefault="002D334E" w:rsidP="00907E8E">
      <w:pPr>
        <w:pStyle w:val="FootnoteText"/>
      </w:pPr>
      <w:r>
        <w:rPr>
          <w:rStyle w:val="FootnoteReference"/>
        </w:rPr>
        <w:footnoteRef/>
      </w:r>
      <w:r>
        <w:t xml:space="preserve">    AusNet Services, letter to the AER:</w:t>
      </w:r>
      <w:r>
        <w:rPr>
          <w:i/>
        </w:rPr>
        <w:t xml:space="preserve"> AusNet Services’ Transmission- Revised Revenue Proposal, </w:t>
      </w:r>
      <w:r>
        <w:t>20</w:t>
      </w:r>
      <w:r w:rsidRPr="0027518D">
        <w:t xml:space="preserve"> December 2016</w:t>
      </w:r>
      <w:r>
        <w:t>.</w:t>
      </w:r>
    </w:p>
  </w:footnote>
  <w:footnote w:id="576">
    <w:p w:rsidR="002D334E" w:rsidRPr="00F11AE3" w:rsidRDefault="002D334E" w:rsidP="00907E8E">
      <w:pPr>
        <w:pStyle w:val="FootnoteText"/>
      </w:pPr>
      <w:r>
        <w:rPr>
          <w:rStyle w:val="FootnoteReference"/>
        </w:rPr>
        <w:footnoteRef/>
      </w:r>
      <w:r>
        <w:t xml:space="preserve">    AusNet Services, letter to the AER: </w:t>
      </w:r>
      <w:r w:rsidRPr="0027518D">
        <w:rPr>
          <w:i/>
        </w:rPr>
        <w:t>Removing uncertainty of the Cost of Debt transition</w:t>
      </w:r>
      <w:r>
        <w:rPr>
          <w:i/>
        </w:rPr>
        <w:t xml:space="preserve">, </w:t>
      </w:r>
      <w:r w:rsidRPr="0027518D">
        <w:t>9 December 2016</w:t>
      </w:r>
      <w:r>
        <w:t>.</w:t>
      </w:r>
    </w:p>
  </w:footnote>
  <w:footnote w:id="577">
    <w:p w:rsidR="002D334E" w:rsidRDefault="002D334E" w:rsidP="00907E8E">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578">
    <w:p w:rsidR="002D334E" w:rsidRDefault="002D334E" w:rsidP="00907E8E">
      <w:pPr>
        <w:pStyle w:val="FootnoteText"/>
      </w:pPr>
      <w:r>
        <w:rPr>
          <w:rStyle w:val="FootnoteReference"/>
        </w:rPr>
        <w:footnoteRef/>
      </w:r>
      <w:r>
        <w:t xml:space="preserve"> </w:t>
      </w:r>
      <w:r>
        <w:tab/>
        <w:t>This decision determines the return on debt methodology for the 2016–20 regulatory control period. This period covers the first five years of the 10 year transition period. This decision also sets out our intended return on debt methodology for the remaining five years.</w:t>
      </w:r>
    </w:p>
  </w:footnote>
  <w:footnote w:id="579">
    <w:p w:rsidR="002D334E" w:rsidRDefault="002D334E" w:rsidP="00907E8E">
      <w:pPr>
        <w:pStyle w:val="FootnoteText"/>
      </w:pPr>
      <w:r>
        <w:rPr>
          <w:rStyle w:val="FootnoteReference"/>
        </w:rPr>
        <w:footnoteRef/>
      </w:r>
      <w:r>
        <w:t xml:space="preserve"> </w:t>
      </w:r>
      <w:r>
        <w:tab/>
      </w:r>
      <w:r w:rsidRPr="000938BF">
        <w:t>NER cl. 6.5.2(l) and cl. 6A.6.2(l)</w:t>
      </w:r>
      <w:r>
        <w:t xml:space="preserve"> and NGR, r. 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_Ref479168996 \r \h </w:instrText>
      </w:r>
      <w:r>
        <w:rPr>
          <w:rStyle w:val="AERbody"/>
          <w:sz w:val="16"/>
        </w:rPr>
      </w:r>
      <w:r>
        <w:rPr>
          <w:rStyle w:val="AERbody"/>
          <w:sz w:val="16"/>
        </w:rPr>
        <w:fldChar w:fldCharType="separate"/>
      </w:r>
      <w:r>
        <w:rPr>
          <w:rStyle w:val="AERbody"/>
          <w:sz w:val="16"/>
        </w:rPr>
        <w:t>J</w:t>
      </w:r>
      <w:r>
        <w:rPr>
          <w:rStyle w:val="AERbody"/>
          <w:sz w:val="16"/>
        </w:rPr>
        <w:fldChar w:fldCharType="end"/>
      </w:r>
      <w:r>
        <w:rPr>
          <w:rStyle w:val="AERbody"/>
        </w:rPr>
        <w:t xml:space="preserve"> </w:t>
      </w:r>
      <w:r>
        <w:t>of this attachment 3.</w:t>
      </w:r>
    </w:p>
  </w:footnote>
  <w:footnote w:id="580">
    <w:p w:rsidR="002D334E" w:rsidRDefault="002D334E" w:rsidP="00907E8E">
      <w:pPr>
        <w:pStyle w:val="FootnoteText"/>
      </w:pPr>
      <w:r>
        <w:rPr>
          <w:rStyle w:val="FootnoteReference"/>
        </w:rPr>
        <w:footnoteRef/>
      </w:r>
      <w:r>
        <w:t xml:space="preserve"> </w:t>
      </w:r>
      <w:r>
        <w:tab/>
        <w:t>That is, TasNetworks and Powerlink.</w:t>
      </w:r>
    </w:p>
  </w:footnote>
  <w:footnote w:id="581">
    <w:p w:rsidR="002D334E" w:rsidRDefault="002D334E" w:rsidP="00907E8E">
      <w:pPr>
        <w:pStyle w:val="FootnoteText"/>
      </w:pPr>
      <w:r>
        <w:rPr>
          <w:rStyle w:val="FootnoteReference"/>
        </w:rPr>
        <w:footnoteRef/>
      </w:r>
      <w:r>
        <w:t xml:space="preserve">    CEG, </w:t>
      </w:r>
      <w:r w:rsidRPr="00584EB7">
        <w:rPr>
          <w:i/>
        </w:rPr>
        <w:t>The AER’s current interpretation of the ARORO</w:t>
      </w:r>
      <w:r>
        <w:t>, September 2016.</w:t>
      </w:r>
    </w:p>
  </w:footnote>
  <w:footnote w:id="582">
    <w:p w:rsidR="002D334E" w:rsidRDefault="002D334E" w:rsidP="00907E8E">
      <w:pPr>
        <w:pStyle w:val="FootnoteText"/>
      </w:pPr>
      <w:r>
        <w:rPr>
          <w:rStyle w:val="FootnoteReference"/>
        </w:rPr>
        <w:footnoteRef/>
      </w:r>
      <w:r>
        <w:t xml:space="preserve">    </w:t>
      </w:r>
      <w:r w:rsidRPr="00D40AFA">
        <w:t>AusNet Services</w:t>
      </w:r>
      <w:r>
        <w:t xml:space="preserve">, </w:t>
      </w:r>
      <w:r w:rsidRPr="00D81671">
        <w:rPr>
          <w:i/>
        </w:rPr>
        <w:t>Transmission revenue review 2017-2022</w:t>
      </w:r>
      <w:r>
        <w:t>, 30 October 2015, p.196.</w:t>
      </w:r>
    </w:p>
  </w:footnote>
  <w:footnote w:id="583">
    <w:p w:rsidR="002D334E" w:rsidRDefault="002D334E">
      <w:pPr>
        <w:pStyle w:val="FootnoteText"/>
      </w:pPr>
      <w:r>
        <w:rPr>
          <w:rStyle w:val="FootnoteReference"/>
        </w:rPr>
        <w:footnoteRef/>
      </w:r>
      <w:r>
        <w:t xml:space="preserve"> </w:t>
      </w:r>
      <w:r>
        <w:tab/>
        <w:t xml:space="preserve">CEG, </w:t>
      </w:r>
      <w:r w:rsidRPr="001A4058">
        <w:t>The AER’s current interpretation of the ARORO</w:t>
      </w:r>
      <w:r>
        <w:t>, September 2016</w:t>
      </w:r>
    </w:p>
  </w:footnote>
  <w:footnote w:id="584">
    <w:p w:rsidR="002D334E" w:rsidRDefault="002D334E">
      <w:pPr>
        <w:pStyle w:val="FootnoteText"/>
      </w:pPr>
      <w:r>
        <w:rPr>
          <w:rStyle w:val="FootnoteReference"/>
        </w:rPr>
        <w:footnoteRef/>
      </w:r>
      <w:r>
        <w:t xml:space="preserve"> </w:t>
      </w:r>
      <w:r>
        <w:tab/>
      </w:r>
      <w:r w:rsidRPr="00D40AFA">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l, 21 September 2016, p.137.</w:t>
      </w:r>
    </w:p>
  </w:footnote>
  <w:footnote w:id="585">
    <w:p w:rsidR="002D334E" w:rsidRDefault="002D334E" w:rsidP="00907E8E">
      <w:pPr>
        <w:pStyle w:val="FootnoteText"/>
        <w:ind w:left="0" w:firstLine="0"/>
      </w:pPr>
      <w:r>
        <w:rPr>
          <w:rStyle w:val="FootnoteReference"/>
        </w:rPr>
        <w:footnoteRef/>
      </w:r>
      <w:r>
        <w:t xml:space="preserve"> </w:t>
      </w:r>
      <w:r>
        <w:tab/>
      </w:r>
      <w:r w:rsidRPr="00D40AFA">
        <w:t>AusNet Services</w:t>
      </w:r>
      <w:r>
        <w:t xml:space="preserve">, </w:t>
      </w:r>
      <w:r w:rsidRPr="00950EA8">
        <w:rPr>
          <w:rStyle w:val="AERtextitalic"/>
        </w:rPr>
        <w:t>Revised revenue proposal</w:t>
      </w:r>
      <w:r>
        <w:t>, 21 September 2016, p.157.</w:t>
      </w:r>
    </w:p>
  </w:footnote>
  <w:footnote w:id="586">
    <w:p w:rsidR="002D334E" w:rsidRDefault="002D334E" w:rsidP="00907E8E">
      <w:pPr>
        <w:pStyle w:val="FootnoteText"/>
      </w:pPr>
      <w:r>
        <w:rPr>
          <w:rStyle w:val="FootnoteReference"/>
        </w:rPr>
        <w:footnoteRef/>
      </w:r>
      <w:r>
        <w:t xml:space="preserve"> </w:t>
      </w:r>
      <w:r>
        <w:tab/>
      </w:r>
      <w:r w:rsidRPr="00D40AFA">
        <w:t>AusNet Services</w:t>
      </w:r>
      <w:r>
        <w:t xml:space="preserve">, </w:t>
      </w:r>
      <w:r w:rsidRPr="00E70998">
        <w:rPr>
          <w:i/>
        </w:rPr>
        <w:t xml:space="preserve">Revised </w:t>
      </w:r>
      <w:r>
        <w:t>revenue</w:t>
      </w:r>
      <w:r w:rsidRPr="00E70998">
        <w:rPr>
          <w:i/>
        </w:rPr>
        <w:t xml:space="preserve"> proposal</w:t>
      </w:r>
      <w:r>
        <w:t>, 21 September 2016, p.156.</w:t>
      </w:r>
    </w:p>
  </w:footnote>
  <w:footnote w:id="587">
    <w:p w:rsidR="002D334E" w:rsidRDefault="002D334E" w:rsidP="00907E8E">
      <w:pPr>
        <w:pStyle w:val="FootnoteText"/>
      </w:pPr>
      <w:r>
        <w:rPr>
          <w:rStyle w:val="FootnoteReference"/>
        </w:rPr>
        <w:footnoteRef/>
      </w:r>
      <w:r>
        <w:t xml:space="preserve"> </w:t>
      </w:r>
      <w:r>
        <w:tab/>
      </w:r>
      <w:r w:rsidRPr="00D40AFA">
        <w:t>AusNet Services</w:t>
      </w:r>
      <w:r>
        <w:t xml:space="preserve">, </w:t>
      </w:r>
      <w:r w:rsidRPr="004102DB">
        <w:rPr>
          <w:i/>
        </w:rPr>
        <w:t xml:space="preserve">Revised </w:t>
      </w:r>
      <w:r>
        <w:t>revenue</w:t>
      </w:r>
      <w:r w:rsidRPr="004102DB">
        <w:rPr>
          <w:i/>
        </w:rPr>
        <w:t xml:space="preserve"> proposal</w:t>
      </w:r>
      <w:r>
        <w:t>, 21 September 2016, p.165.</w:t>
      </w:r>
    </w:p>
  </w:footnote>
  <w:footnote w:id="588">
    <w:p w:rsidR="002D334E" w:rsidRPr="00A237D2" w:rsidRDefault="002D334E" w:rsidP="00907E8E">
      <w:pPr>
        <w:pStyle w:val="FootnoteText"/>
      </w:pPr>
      <w:r>
        <w:rPr>
          <w:rStyle w:val="FootnoteReference"/>
        </w:rPr>
        <w:footnoteRef/>
      </w:r>
      <w:r>
        <w:t xml:space="preserve"> </w:t>
      </w:r>
      <w:r>
        <w:tab/>
      </w:r>
      <w:r w:rsidRPr="00D40AFA">
        <w:t>AusNet Services</w:t>
      </w:r>
      <w:r>
        <w:t xml:space="preserve">, letter to the AER: </w:t>
      </w:r>
      <w:r w:rsidRPr="00584EB7">
        <w:rPr>
          <w:i/>
        </w:rPr>
        <w:t>AusNet Services’ transmission- revised revenue proposal</w:t>
      </w:r>
      <w:r>
        <w:rPr>
          <w:i/>
        </w:rPr>
        <w:t xml:space="preserve">, </w:t>
      </w:r>
      <w:r w:rsidRPr="00584EB7">
        <w:t>20 December 2016</w:t>
      </w:r>
      <w:r>
        <w:t>.</w:t>
      </w:r>
    </w:p>
  </w:footnote>
  <w:footnote w:id="589">
    <w:p w:rsidR="002D334E" w:rsidRDefault="002D334E">
      <w:pPr>
        <w:pStyle w:val="FootnoteText"/>
      </w:pPr>
      <w:r>
        <w:rPr>
          <w:rStyle w:val="FootnoteReference"/>
        </w:rPr>
        <w:footnoteRef/>
      </w:r>
      <w:r>
        <w:t xml:space="preserve"> </w:t>
      </w:r>
      <w:r>
        <w:tab/>
      </w:r>
      <w:r w:rsidRPr="00D40AFA">
        <w:t>AusNet Services</w:t>
      </w:r>
      <w:r>
        <w:t xml:space="preserve">, letter to the AER: </w:t>
      </w:r>
      <w:r w:rsidRPr="00950EA8">
        <w:rPr>
          <w:rStyle w:val="AERtextitalic"/>
        </w:rPr>
        <w:t>Removing uncertainty of the Cost of Debt transition</w:t>
      </w:r>
      <w:r w:rsidRPr="00D043CC">
        <w:t xml:space="preserve">, </w:t>
      </w:r>
      <w:r w:rsidRPr="0027518D">
        <w:t>9 December 2016</w:t>
      </w:r>
      <w:r>
        <w:t>.</w:t>
      </w:r>
    </w:p>
  </w:footnote>
  <w:footnote w:id="590">
    <w:p w:rsidR="002D334E" w:rsidRDefault="002D334E" w:rsidP="00907E8E">
      <w:pPr>
        <w:pStyle w:val="FootnoteText"/>
      </w:pPr>
      <w:r>
        <w:rPr>
          <w:rStyle w:val="FootnoteReference"/>
        </w:rPr>
        <w:footnoteRef/>
      </w:r>
      <w:r>
        <w:t xml:space="preserve"> </w:t>
      </w:r>
      <w:r>
        <w:tab/>
      </w:r>
      <w:r w:rsidRPr="00D40AFA">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 xml:space="preserve">l, 21 September 2016, p.159. </w:t>
      </w:r>
    </w:p>
  </w:footnote>
  <w:footnote w:id="591">
    <w:p w:rsidR="002D334E" w:rsidRDefault="002D334E">
      <w:pPr>
        <w:pStyle w:val="FootnoteText"/>
      </w:pPr>
      <w:r>
        <w:rPr>
          <w:rStyle w:val="FootnoteReference"/>
        </w:rPr>
        <w:footnoteRef/>
      </w:r>
      <w:r>
        <w:t xml:space="preserve"> </w:t>
      </w:r>
      <w:r>
        <w:tab/>
        <w:t xml:space="preserve">CCP (Panel 5), </w:t>
      </w:r>
      <w:r w:rsidRPr="00950EA8">
        <w:rPr>
          <w:rStyle w:val="AERtextitalic"/>
        </w:rPr>
        <w:t>Submission to the AER: Transmission for the Generations III, Response to: Revised revenue proposal by AusNet Services For: Transmission Revenue Review 2017-22</w:t>
      </w:r>
      <w:r>
        <w:t>, October 2016, p.12.</w:t>
      </w:r>
    </w:p>
  </w:footnote>
  <w:footnote w:id="592">
    <w:p w:rsidR="002D334E" w:rsidRDefault="002D334E">
      <w:pPr>
        <w:pStyle w:val="FootnoteText"/>
      </w:pPr>
      <w:r>
        <w:rPr>
          <w:rStyle w:val="FootnoteReference"/>
        </w:rPr>
        <w:footnoteRef/>
      </w:r>
      <w:r>
        <w:t xml:space="preserve"> </w:t>
      </w:r>
      <w:r>
        <w:tab/>
      </w:r>
      <w:r w:rsidRPr="00EB6EAE">
        <w:t>CCP (Panel 5</w:t>
      </w:r>
      <w:r w:rsidRPr="00950EA8">
        <w:rPr>
          <w:rStyle w:val="AERtextitalic"/>
        </w:rPr>
        <w:t>), Submission to the AER: Transmission for the Generations III, Response to: Revised revenue proposal by AusNet Services For: Transmission Revenue Review 2017-22</w:t>
      </w:r>
      <w:r w:rsidRPr="00EB6EAE">
        <w:t>, October 2016, p.12</w:t>
      </w:r>
      <w:r>
        <w:t>.</w:t>
      </w:r>
    </w:p>
  </w:footnote>
  <w:footnote w:id="593">
    <w:p w:rsidR="002D334E" w:rsidRDefault="002D334E">
      <w:pPr>
        <w:pStyle w:val="FootnoteText"/>
      </w:pPr>
      <w:r>
        <w:rPr>
          <w:rStyle w:val="FootnoteReference"/>
        </w:rPr>
        <w:footnoteRef/>
      </w:r>
      <w:r>
        <w:t xml:space="preserve"> </w:t>
      </w:r>
      <w:r>
        <w:tab/>
      </w:r>
      <w:r w:rsidRPr="00EB6EAE">
        <w:t xml:space="preserve">CCP (Panel 5), </w:t>
      </w:r>
      <w:r w:rsidRPr="00950EA8">
        <w:rPr>
          <w:rStyle w:val="AERtextitalic"/>
        </w:rPr>
        <w:t>Submission to the AER: Transmission for the Generations III, Response to: Revised revenue proposal by AusNet Services For: Transmission Revenue Review 2017-22</w:t>
      </w:r>
      <w:r w:rsidRPr="00EB6EAE">
        <w:t>, October 2016, p.12</w:t>
      </w:r>
      <w:r>
        <w:t>.</w:t>
      </w:r>
    </w:p>
  </w:footnote>
  <w:footnote w:id="594">
    <w:p w:rsidR="002D334E" w:rsidRDefault="002D334E">
      <w:pPr>
        <w:pStyle w:val="FootnoteText"/>
      </w:pPr>
      <w:r>
        <w:rPr>
          <w:rStyle w:val="FootnoteReference"/>
        </w:rPr>
        <w:footnoteRef/>
      </w:r>
      <w:r>
        <w:t xml:space="preserve"> </w:t>
      </w:r>
      <w:r>
        <w:tab/>
      </w:r>
      <w:r w:rsidRPr="00D40AFA">
        <w:t>AusNet Services</w:t>
      </w:r>
      <w:r>
        <w:t>, Letter to the AER</w:t>
      </w:r>
      <w:r w:rsidRPr="00EB6EAE">
        <w:t xml:space="preserve">: </w:t>
      </w:r>
      <w:r w:rsidRPr="00950EA8">
        <w:rPr>
          <w:rStyle w:val="AERtextitalic"/>
        </w:rPr>
        <w:t>Removing uncertainty on the Cost of Debt transition</w:t>
      </w:r>
      <w:r>
        <w:t>, 9 December 2016</w:t>
      </w:r>
    </w:p>
  </w:footnote>
  <w:footnote w:id="595">
    <w:p w:rsidR="002D334E" w:rsidRDefault="002D334E" w:rsidP="00EB6EAE">
      <w:pPr>
        <w:pStyle w:val="FootnoteText"/>
        <w:tabs>
          <w:tab w:val="clear" w:pos="340"/>
          <w:tab w:val="left" w:pos="776"/>
        </w:tabs>
      </w:pPr>
      <w:r>
        <w:rPr>
          <w:rStyle w:val="FootnoteReference"/>
        </w:rPr>
        <w:footnoteRef/>
      </w:r>
      <w:r>
        <w:t xml:space="preserve"> </w:t>
      </w:r>
      <w:r>
        <w:tab/>
        <w:t xml:space="preserve">AusNet Services, Submission to the AER: </w:t>
      </w:r>
      <w:r w:rsidRPr="00950EA8">
        <w:rPr>
          <w:rStyle w:val="AERtextitalic"/>
        </w:rPr>
        <w:t>AusNet Services’ Transmission- Revised Revenue Proposal</w:t>
      </w:r>
      <w:r w:rsidRPr="00EB6EAE">
        <w:t>,  20 December 2016</w:t>
      </w:r>
      <w:r>
        <w:t>.</w:t>
      </w:r>
    </w:p>
  </w:footnote>
  <w:footnote w:id="596">
    <w:p w:rsidR="002D334E" w:rsidRDefault="002D334E" w:rsidP="00907E8E">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597">
    <w:p w:rsidR="002D334E" w:rsidRDefault="002D334E" w:rsidP="00907E8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98">
    <w:p w:rsidR="002D334E" w:rsidRDefault="002D334E" w:rsidP="00907E8E">
      <w:pPr>
        <w:pStyle w:val="FootnoteText"/>
      </w:pPr>
      <w:r>
        <w:rPr>
          <w:rStyle w:val="FootnoteReference"/>
        </w:rPr>
        <w:footnoteRef/>
      </w:r>
      <w:r>
        <w:t xml:space="preserve"> </w:t>
      </w:r>
      <w:r>
        <w:tab/>
        <w:t>For the RPPs see NEL, s. 7A; NGL, s. 24.</w:t>
      </w:r>
    </w:p>
  </w:footnote>
  <w:footnote w:id="599">
    <w:p w:rsidR="002D334E" w:rsidRPr="00B57A7C" w:rsidRDefault="002D334E" w:rsidP="00907E8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600">
    <w:p w:rsidR="002D334E" w:rsidRDefault="002D334E" w:rsidP="007E1962">
      <w:pPr>
        <w:pStyle w:val="FootnoteText"/>
      </w:pPr>
      <w:r>
        <w:rPr>
          <w:rStyle w:val="FootnoteReference"/>
        </w:rPr>
        <w:footnoteRef/>
      </w:r>
      <w:r>
        <w:t xml:space="preserve"> </w:t>
      </w:r>
      <w:r>
        <w:tab/>
      </w:r>
      <w:r w:rsidRPr="00FA6FCE">
        <w:t xml:space="preserve">Partington, G., Satchell, S., Report to the AER: </w:t>
      </w:r>
      <w:r w:rsidRPr="00950EA8">
        <w:rPr>
          <w:rStyle w:val="AERtextitalic"/>
        </w:rPr>
        <w:t>Issues in relation to the cost of debt</w:t>
      </w:r>
      <w:r w:rsidRPr="00FA6FCE">
        <w:t>,</w:t>
      </w:r>
      <w:r>
        <w:t xml:space="preserve"> </w:t>
      </w:r>
      <w:r w:rsidRPr="00950EA8">
        <w:t>9 April 2017</w:t>
      </w:r>
      <w:r>
        <w:t>.</w:t>
      </w:r>
    </w:p>
  </w:footnote>
  <w:footnote w:id="601">
    <w:p w:rsidR="002D334E" w:rsidRDefault="002D334E" w:rsidP="00907E8E">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602">
    <w:p w:rsidR="002D334E" w:rsidRDefault="002D334E" w:rsidP="00907E8E">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603">
    <w:p w:rsidR="002D334E" w:rsidRDefault="002D334E" w:rsidP="00907E8E">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604">
    <w:p w:rsidR="002D334E" w:rsidRDefault="002D334E" w:rsidP="00907E8E">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605">
    <w:p w:rsidR="002D334E" w:rsidRDefault="002D334E" w:rsidP="00907E8E">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_Ref479169214 \r \h </w:instrText>
      </w:r>
      <w:r>
        <w:fldChar w:fldCharType="separate"/>
      </w:r>
      <w:r>
        <w:t>H</w:t>
      </w:r>
      <w:r>
        <w:fldChar w:fldCharType="end"/>
      </w:r>
      <w:r>
        <w:t xml:space="preserve">). </w:t>
      </w:r>
    </w:p>
  </w:footnote>
  <w:footnote w:id="606">
    <w:p w:rsidR="002D334E" w:rsidRDefault="002D334E" w:rsidP="00907E8E">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607">
    <w:p w:rsidR="002D334E" w:rsidRDefault="002D334E" w:rsidP="00907E8E">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608">
    <w:p w:rsidR="002D334E" w:rsidRDefault="002D334E" w:rsidP="00907E8E">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609">
    <w:p w:rsidR="002D334E" w:rsidRDefault="002D334E" w:rsidP="00907E8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610">
    <w:p w:rsidR="002D334E" w:rsidRDefault="002D334E" w:rsidP="00907E8E">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21 September 2016, p.166</w:t>
      </w:r>
    </w:p>
  </w:footnote>
  <w:footnote w:id="611">
    <w:p w:rsidR="002D334E" w:rsidRDefault="002D334E" w:rsidP="00907E8E">
      <w:pPr>
        <w:pStyle w:val="FootnoteText"/>
      </w:pPr>
      <w:r>
        <w:rPr>
          <w:rStyle w:val="FootnoteReference"/>
        </w:rPr>
        <w:footnoteRef/>
      </w:r>
      <w:r>
        <w:t xml:space="preserve">     CEG, </w:t>
      </w:r>
      <w:r w:rsidRPr="00E70998">
        <w:rPr>
          <w:i/>
        </w:rPr>
        <w:t>The AER’s current interpretation of the ARORO</w:t>
      </w:r>
      <w:r>
        <w:t>, September 2016, p. 3.</w:t>
      </w:r>
    </w:p>
  </w:footnote>
  <w:footnote w:id="612">
    <w:p w:rsidR="002D334E" w:rsidRDefault="002D334E" w:rsidP="00907E8E">
      <w:pPr>
        <w:pStyle w:val="FootnoteText"/>
      </w:pPr>
      <w:r>
        <w:rPr>
          <w:rStyle w:val="FootnoteReference"/>
        </w:rPr>
        <w:footnoteRef/>
      </w:r>
      <w:r>
        <w:t xml:space="preserve"> </w:t>
      </w:r>
      <w:r>
        <w:tab/>
        <w:t>As required under NER, cl. 5.5.2(h); NER, cl. 6A.6.2(h); NGR, r. 87(8).</w:t>
      </w:r>
    </w:p>
  </w:footnote>
  <w:footnote w:id="613">
    <w:p w:rsidR="002D334E" w:rsidRDefault="002D334E" w:rsidP="00B70020">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xml:space="preserve">, 21 September 2016, p.166; CEG, </w:t>
      </w:r>
      <w:r w:rsidRPr="00E70998">
        <w:rPr>
          <w:i/>
        </w:rPr>
        <w:t>The AER’s current interpretation of the ARORO</w:t>
      </w:r>
      <w:r>
        <w:t>, September 2016</w:t>
      </w:r>
    </w:p>
  </w:footnote>
  <w:footnote w:id="614">
    <w:p w:rsidR="002D334E" w:rsidRDefault="002D334E" w:rsidP="00B70020">
      <w:pPr>
        <w:pStyle w:val="FootnoteText"/>
      </w:pPr>
      <w:r>
        <w:rPr>
          <w:rStyle w:val="FootnoteReference"/>
        </w:rPr>
        <w:footnoteRef/>
      </w:r>
      <w:r>
        <w:t xml:space="preserve"> </w:t>
      </w:r>
      <w:r>
        <w:tab/>
      </w:r>
      <w:r w:rsidRPr="000C0E6D">
        <w:t xml:space="preserve">CEG, </w:t>
      </w:r>
      <w:r w:rsidRPr="000C0E6D">
        <w:rPr>
          <w:i/>
        </w:rPr>
        <w:t>The AER’s current interpretation of the ARORO</w:t>
      </w:r>
      <w:r w:rsidRPr="000C0E6D">
        <w:t>, September 2016</w:t>
      </w:r>
      <w:r>
        <w:t>, p. 36.</w:t>
      </w:r>
    </w:p>
  </w:footnote>
  <w:footnote w:id="615">
    <w:p w:rsidR="002D334E" w:rsidRDefault="002D334E" w:rsidP="00907E8E">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616">
    <w:p w:rsidR="002D334E" w:rsidRDefault="002D334E" w:rsidP="00907E8E">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617">
    <w:p w:rsidR="002D334E" w:rsidRDefault="002D334E" w:rsidP="00907E8E">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618">
    <w:p w:rsidR="002D334E" w:rsidRDefault="002D334E" w:rsidP="00907E8E">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619">
    <w:p w:rsidR="002D334E" w:rsidRDefault="002D334E" w:rsidP="00907E8E">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620">
    <w:p w:rsidR="002D334E" w:rsidRDefault="002D334E" w:rsidP="00907E8E">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621">
    <w:p w:rsidR="002D334E" w:rsidRDefault="002D334E" w:rsidP="00907E8E">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622">
    <w:p w:rsidR="002D334E" w:rsidRDefault="002D334E" w:rsidP="00907E8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623">
    <w:p w:rsidR="002D334E" w:rsidRDefault="002D334E" w:rsidP="00907E8E">
      <w:pPr>
        <w:pStyle w:val="FootnoteText"/>
      </w:pPr>
      <w:r>
        <w:rPr>
          <w:rStyle w:val="FootnoteReference"/>
        </w:rPr>
        <w:footnoteRef/>
      </w:r>
      <w:r>
        <w:t xml:space="preserve"> </w:t>
      </w:r>
      <w:r>
        <w:tab/>
        <w:t>The RPPs require we have regard to this effect on incentives. See NEL, s. 7A(3)(b); NGL, s. 24(3)(b).</w:t>
      </w:r>
    </w:p>
  </w:footnote>
  <w:footnote w:id="624">
    <w:p w:rsidR="002D334E" w:rsidRDefault="002D334E" w:rsidP="00907E8E">
      <w:pPr>
        <w:pStyle w:val="FootnoteText"/>
      </w:pPr>
      <w:r>
        <w:rPr>
          <w:rStyle w:val="FootnoteReference"/>
        </w:rPr>
        <w:footnoteRef/>
      </w:r>
      <w:r>
        <w:t xml:space="preserve">    This was proposed by ActewAGL, AGN, Amadeus, CitiPower, JEN and United Energy.</w:t>
      </w:r>
    </w:p>
  </w:footnote>
  <w:footnote w:id="625">
    <w:p w:rsidR="002D334E" w:rsidRDefault="002D334E" w:rsidP="00907E8E">
      <w:pPr>
        <w:pStyle w:val="FootnoteText"/>
      </w:pPr>
      <w:r>
        <w:rPr>
          <w:rStyle w:val="FootnoteReference"/>
        </w:rPr>
        <w:footnoteRef/>
      </w:r>
      <w:r>
        <w:t xml:space="preserve">    This was proposed by ActewAGL, AGN, Amadeus, CitiPower, JEN and United Energy.</w:t>
      </w:r>
    </w:p>
  </w:footnote>
  <w:footnote w:id="626">
    <w:p w:rsidR="002D334E" w:rsidRDefault="002D334E" w:rsidP="0046271E">
      <w:pPr>
        <w:pStyle w:val="FootnoteText"/>
      </w:pPr>
      <w:r>
        <w:rPr>
          <w:rStyle w:val="FootnoteReference"/>
        </w:rPr>
        <w:footnoteRef/>
      </w:r>
      <w:r>
        <w:t xml:space="preserve"> </w:t>
      </w:r>
      <w:r>
        <w:tab/>
      </w:r>
      <w:r w:rsidRPr="0046271E">
        <w:t xml:space="preserve">ActewAGL, </w:t>
      </w:r>
      <w:r w:rsidRPr="002656D9">
        <w:rPr>
          <w:rStyle w:val="Emphasis"/>
        </w:rPr>
        <w:t>Access arrangement information</w:t>
      </w:r>
      <w:r w:rsidRPr="0046271E">
        <w:t xml:space="preserve">, January 2016, p. 35; AGN, </w:t>
      </w:r>
      <w:r w:rsidRPr="002656D9">
        <w:rPr>
          <w:rStyle w:val="Emphasis"/>
        </w:rPr>
        <w:t>Attachment 10.26 response to draft decision: Rate of return</w:t>
      </w:r>
      <w:r w:rsidRPr="0046271E">
        <w:t xml:space="preserve">, January 2016, p. 3; AusNet Electricity Services, </w:t>
      </w:r>
      <w:r w:rsidRPr="002656D9">
        <w:rPr>
          <w:rStyle w:val="Emphasis"/>
        </w:rPr>
        <w:t>Revised regulatory proposal</w:t>
      </w:r>
      <w:r w:rsidRPr="0046271E">
        <w:t xml:space="preserve">, January 2016, p. 7-33;  CitiPower, </w:t>
      </w:r>
      <w:r w:rsidRPr="002656D9">
        <w:rPr>
          <w:rStyle w:val="Emphasis"/>
        </w:rPr>
        <w:t>Revised Regulatory Proposal 2016—2020</w:t>
      </w:r>
      <w:r w:rsidRPr="0046271E">
        <w:t xml:space="preserve">, January 2016, p. 266; JEN, </w:t>
      </w:r>
      <w:r w:rsidRPr="002656D9">
        <w:rPr>
          <w:rStyle w:val="Emphasis"/>
        </w:rPr>
        <w:t>Attachment 6-1 rate of return, gamma, forecast inflation, and debt and equity raising costs,</w:t>
      </w:r>
      <w:r w:rsidRPr="0046271E">
        <w:t xml:space="preserve"> January 2016, p. 28; Powercor, </w:t>
      </w:r>
      <w:r w:rsidRPr="002656D9">
        <w:rPr>
          <w:rStyle w:val="Emphasis"/>
        </w:rPr>
        <w:t>Revised regulatory proposal 2016–20</w:t>
      </w:r>
      <w:r w:rsidRPr="0046271E">
        <w:t>, January 2016, p. 260; United Energy, 2</w:t>
      </w:r>
      <w:r w:rsidRPr="002656D9">
        <w:rPr>
          <w:rStyle w:val="Emphasis"/>
        </w:rPr>
        <w:t>016 to 2020 revised regulatory proposal</w:t>
      </w:r>
      <w:r w:rsidRPr="0046271E">
        <w:t>, January 2016, p. 79.</w:t>
      </w:r>
      <w:r>
        <w:t xml:space="preserve"> </w:t>
      </w:r>
    </w:p>
  </w:footnote>
  <w:footnote w:id="627">
    <w:p w:rsidR="002D334E" w:rsidRDefault="002D334E">
      <w:pPr>
        <w:pStyle w:val="FootnoteText"/>
      </w:pPr>
      <w:r>
        <w:rPr>
          <w:rStyle w:val="FootnoteReference"/>
        </w:rPr>
        <w:footnoteRef/>
      </w:r>
      <w:r>
        <w:t xml:space="preserve"> </w:t>
      </w:r>
      <w:r>
        <w:tab/>
      </w:r>
      <w:r w:rsidRPr="0046271E">
        <w:t xml:space="preserve">In the revised proposals that put Option 5 before us, </w:t>
      </w:r>
      <m:oMath>
        <m:r>
          <m:rPr>
            <m:sty m:val="p"/>
          </m:rPr>
          <w:rPr>
            <w:rFonts w:ascii="Cambria Math" w:hAnsi="Cambria Math"/>
          </w:rPr>
          <m:t>x=1/3</m:t>
        </m:r>
      </m:oMath>
      <w:r w:rsidRPr="0046271E">
        <w:t xml:space="preserve"> based on CEG, Critique of the AER's approach to transition, January 2016, p. 2.</w:t>
      </w:r>
    </w:p>
  </w:footnote>
  <w:footnote w:id="628">
    <w:p w:rsidR="002D334E" w:rsidRDefault="002D334E" w:rsidP="00907E8E">
      <w:pPr>
        <w:pStyle w:val="FootnoteText"/>
      </w:pPr>
      <w:r>
        <w:rPr>
          <w:rStyle w:val="FootnoteReference"/>
        </w:rPr>
        <w:footnoteRef/>
      </w:r>
      <w:r>
        <w:t xml:space="preserve"> </w:t>
      </w:r>
      <w:r>
        <w:tab/>
      </w:r>
      <w:r w:rsidRPr="00E82AD9">
        <w:t xml:space="preserve">See AER final decision for CitiPower distribution determination, AER final decision for </w:t>
      </w:r>
      <w:r>
        <w:t xml:space="preserve">Australian gas networks access </w:t>
      </w:r>
      <w:r w:rsidRPr="00E82AD9">
        <w:t xml:space="preserve">arrangement. AER final decision for ActewAGL distribution access arrangement </w:t>
      </w:r>
    </w:p>
  </w:footnote>
  <w:footnote w:id="629">
    <w:p w:rsidR="002D334E" w:rsidRDefault="002D334E" w:rsidP="00907E8E">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630">
    <w:p w:rsidR="002D334E" w:rsidRDefault="002D334E" w:rsidP="00907E8E">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631">
    <w:p w:rsidR="002D334E" w:rsidRDefault="002D334E" w:rsidP="00907E8E">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632">
    <w:p w:rsidR="002D334E" w:rsidRDefault="002D334E" w:rsidP="00907E8E">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633">
    <w:p w:rsidR="002D334E" w:rsidRDefault="002D334E" w:rsidP="00907E8E">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634">
    <w:p w:rsidR="002D334E" w:rsidRDefault="002D334E" w:rsidP="00907E8E">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635">
    <w:p w:rsidR="002D334E" w:rsidRDefault="002D334E">
      <w:pPr>
        <w:pStyle w:val="FootnoteText"/>
      </w:pPr>
      <w:r>
        <w:rPr>
          <w:rStyle w:val="FootnoteReference"/>
        </w:rPr>
        <w:footnoteRef/>
      </w:r>
      <w:r>
        <w:t xml:space="preserve"> </w:t>
      </w:r>
      <w:r>
        <w:tab/>
      </w:r>
      <w:r w:rsidRPr="009E2CDF">
        <w:t>That is CitiPower, Powercor, Jemena, United Energy and AusNet Services</w:t>
      </w:r>
    </w:p>
  </w:footnote>
  <w:footnote w:id="636">
    <w:p w:rsidR="002D334E" w:rsidRDefault="002D334E" w:rsidP="00907E8E">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–16</w:t>
      </w:r>
      <w:r>
        <w:t>7.</w:t>
      </w:r>
    </w:p>
  </w:footnote>
  <w:footnote w:id="637">
    <w:p w:rsidR="002D334E" w:rsidRDefault="002D334E" w:rsidP="00907E8E">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638">
    <w:p w:rsidR="002D334E" w:rsidRDefault="002D334E" w:rsidP="00907E8E">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639">
    <w:p w:rsidR="002D334E" w:rsidRDefault="002D334E"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w:t>
      </w:r>
      <w:r w:rsidRPr="002C1145">
        <w:t xml:space="preserve">AusNet Transmission Group Pty Ltd, </w:t>
      </w:r>
      <w:r w:rsidRPr="00DC0445">
        <w:rPr>
          <w:i/>
        </w:rPr>
        <w:t>Transmission Revenue Review 2017–2022 regulatory proposal</w:t>
      </w:r>
      <w:r w:rsidRPr="002C1145">
        <w:t>, 30 October 2015</w:t>
      </w:r>
      <w:r>
        <w:t xml:space="preserve">, p. 267; AusNet Transmission Group Pty Ltd, </w:t>
      </w:r>
      <w:r w:rsidRPr="002656D9">
        <w:rPr>
          <w:rStyle w:val="Emphasis"/>
        </w:rPr>
        <w:t>Transmission Revenue Review 2017–2022 regulatory proposal</w:t>
      </w:r>
      <w:r>
        <w:t xml:space="preserve">, 21 September 2016, pp. 159, 168. </w:t>
      </w:r>
    </w:p>
  </w:footnote>
  <w:footnote w:id="640">
    <w:p w:rsidR="002D334E" w:rsidRDefault="002D334E" w:rsidP="00C04C58">
      <w:pPr>
        <w:pStyle w:val="FootnoteText"/>
      </w:pPr>
      <w:r>
        <w:rPr>
          <w:rStyle w:val="FootnoteReference"/>
        </w:rPr>
        <w:footnoteRef/>
      </w:r>
      <w:r>
        <w:t xml:space="preserve"> </w:t>
      </w:r>
      <w:r>
        <w:tab/>
        <w:t xml:space="preserve">For example, see AER, </w:t>
      </w:r>
      <w:r w:rsidRPr="002656D9">
        <w:rPr>
          <w:rStyle w:val="Emphasis"/>
        </w:rPr>
        <w:t xml:space="preserve">final decision -TransGrid Transmission determination 2015-16 to </w:t>
      </w:r>
      <w:r>
        <w:rPr>
          <w:rStyle w:val="Emphasis"/>
        </w:rPr>
        <w:t>2017–18</w:t>
      </w:r>
      <w:r w:rsidRPr="002656D9">
        <w:rPr>
          <w:rStyle w:val="Emphasis"/>
        </w:rPr>
        <w:t>, Attachment 3 - Rate of return</w:t>
      </w:r>
      <w:r>
        <w:t xml:space="preserve">, April 2015, p. 12-13; AER, </w:t>
      </w:r>
      <w:r>
        <w:rPr>
          <w:rStyle w:val="AERtextitalic"/>
        </w:rPr>
        <w:t xml:space="preserve">preliminary </w:t>
      </w:r>
      <w:r w:rsidRPr="005C6992">
        <w:rPr>
          <w:rStyle w:val="AERtextitalic"/>
        </w:rPr>
        <w:t>decision-AusNet Services distribution determination 2016 to 2020, Attachment 3: Rate of return</w:t>
      </w:r>
      <w:r>
        <w:t xml:space="preserve">, October 2015, p. 11; AER, </w:t>
      </w:r>
      <w:r w:rsidRPr="005C6992">
        <w:rPr>
          <w:rStyle w:val="AERtextitalic"/>
        </w:rPr>
        <w:t>final decision-AusNet Services distribution determination 2016 to 2020, Attachment 3: Rate of return</w:t>
      </w:r>
      <w:r>
        <w:t>, May 2016, p. 11; AER</w:t>
      </w:r>
      <w:r w:rsidRPr="002656D9">
        <w:rPr>
          <w:rStyle w:val="Emphasis"/>
        </w:rPr>
        <w:t>, Attachment 3 – Rate of return, draft decision: AusNet Services transmission determination 2017–22 to 2021-2022</w:t>
      </w:r>
      <w:r>
        <w:t>, July 2016, p. 13.</w:t>
      </w:r>
    </w:p>
  </w:footnote>
  <w:footnote w:id="641">
    <w:p w:rsidR="002D334E" w:rsidRDefault="002D334E" w:rsidP="00C04C58">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642">
    <w:p w:rsidR="002D334E" w:rsidRDefault="002D334E"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643">
    <w:p w:rsidR="002D334E" w:rsidRDefault="002D334E"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644">
    <w:p w:rsidR="002D334E" w:rsidRDefault="002D334E" w:rsidP="00C04C58">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645">
    <w:p w:rsidR="002D334E" w:rsidRDefault="002D334E" w:rsidP="00C04C58">
      <w:pPr>
        <w:pStyle w:val="FootnoteText"/>
      </w:pPr>
      <w:r>
        <w:rPr>
          <w:rStyle w:val="FootnoteReference"/>
        </w:rPr>
        <w:footnoteRef/>
      </w:r>
      <w:r>
        <w:t xml:space="preserve"> </w:t>
      </w:r>
      <w:r>
        <w:tab/>
        <w:t>AusNet Transmission Group Pty Ltd, Transmission Revenue Review 2017</w:t>
      </w:r>
      <w:r w:rsidRPr="00883E95">
        <w:t>–</w:t>
      </w:r>
      <w:r>
        <w:t>2022 regulatory proposal, 30 October 2015, pp. 191, 196.</w:t>
      </w:r>
    </w:p>
  </w:footnote>
  <w:footnote w:id="646">
    <w:p w:rsidR="002D334E" w:rsidRDefault="002D334E" w:rsidP="00C04C58">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pp. 137, 167.</w:t>
      </w:r>
    </w:p>
  </w:footnote>
  <w:footnote w:id="647">
    <w:p w:rsidR="002D334E" w:rsidRDefault="002D334E" w:rsidP="00C04C58">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 159.</w:t>
      </w:r>
    </w:p>
  </w:footnote>
  <w:footnote w:id="648">
    <w:p w:rsidR="002D334E" w:rsidRDefault="002D334E" w:rsidP="00C04C58">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649">
    <w:p w:rsidR="002D334E" w:rsidRDefault="002D334E" w:rsidP="00C04C58">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650">
    <w:p w:rsidR="002D334E" w:rsidRDefault="002D334E" w:rsidP="00C04C58">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651">
    <w:p w:rsidR="002D334E" w:rsidRDefault="002D334E" w:rsidP="00C04C58">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652">
    <w:p w:rsidR="002D334E" w:rsidRDefault="002D334E" w:rsidP="00C04C58">
      <w:pPr>
        <w:pStyle w:val="FootnoteText"/>
      </w:pPr>
      <w:r>
        <w:rPr>
          <w:rStyle w:val="FootnoteReference"/>
        </w:rPr>
        <w:footnoteRef/>
      </w:r>
      <w:r>
        <w:t xml:space="preserve"> </w:t>
      </w:r>
      <w:r>
        <w:tab/>
        <w:t>CCP4, David Headberry, Submission to the Australian Energy Regulator, Response to the Proposal from Tasmania's Electricity Distribution Network Service provider (TasNetworks - TND) for a revenue reset for the 2017-19 regulatory period, 4 May 2016, p. 44.</w:t>
      </w:r>
    </w:p>
  </w:footnote>
  <w:footnote w:id="653">
    <w:p w:rsidR="002D334E" w:rsidRDefault="002D334E" w:rsidP="00C04C58">
      <w:pPr>
        <w:pStyle w:val="FootnoteText"/>
      </w:pPr>
      <w:r>
        <w:rPr>
          <w:rStyle w:val="FootnoteReference"/>
        </w:rPr>
        <w:footnoteRef/>
      </w:r>
      <w:r>
        <w:t xml:space="preserve"> </w:t>
      </w:r>
      <w:r>
        <w:tab/>
        <w:t>CCP4, Hugh Grant and David Headberry, Submission to the AER, Powerlink Queensland 2018- 22 Revenue Proposal, June 2016, pp. 4, 34, 46.</w:t>
      </w:r>
    </w:p>
  </w:footnote>
  <w:footnote w:id="654">
    <w:p w:rsidR="002D334E" w:rsidRDefault="002D334E" w:rsidP="00C04C58">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655">
    <w:p w:rsidR="002D334E" w:rsidRDefault="002D334E" w:rsidP="00C04C58">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656">
    <w:p w:rsidR="002D334E" w:rsidRDefault="002D334E" w:rsidP="00C04C58">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657">
    <w:p w:rsidR="002D334E" w:rsidRDefault="002D334E" w:rsidP="00C04C58">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658">
    <w:p w:rsidR="002D334E" w:rsidRDefault="002D334E" w:rsidP="00C04C58">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659">
    <w:p w:rsidR="002D334E" w:rsidRDefault="002D334E" w:rsidP="00C04C58">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660">
    <w:p w:rsidR="002D334E" w:rsidRDefault="002D334E" w:rsidP="00C04C58">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661">
    <w:p w:rsidR="002D334E" w:rsidRDefault="002D334E" w:rsidP="00C04C58">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662">
    <w:p w:rsidR="002D334E" w:rsidRDefault="002D334E"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Preliminary decision AusNet distribution determination - Attachment 3 - Rate of return</w:t>
      </w:r>
      <w:r>
        <w:t>, October 2015, p. 214.</w:t>
      </w:r>
    </w:p>
  </w:footnote>
  <w:footnote w:id="663">
    <w:p w:rsidR="002D334E" w:rsidRDefault="002D334E" w:rsidP="00C04C58">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664">
    <w:p w:rsidR="002D334E" w:rsidRDefault="002D334E" w:rsidP="00BF2F91">
      <w:pPr>
        <w:pStyle w:val="FootnoteText"/>
      </w:pPr>
      <w:r>
        <w:rPr>
          <w:rStyle w:val="FootnoteReference"/>
        </w:rPr>
        <w:footnoteRef/>
      </w:r>
      <w:r>
        <w:t xml:space="preserve"> </w:t>
      </w:r>
      <w:r>
        <w:tab/>
        <w:t xml:space="preserve">The RBA data series is available on the RBA's website in Statistical Table F3: </w:t>
      </w:r>
      <w:hyperlink r:id="rId17" w:anchor="interest-rates" w:history="1">
        <w:r w:rsidRPr="00A452ED">
          <w:rPr>
            <w:rStyle w:val="Hyperlink"/>
            <w:sz w:val="16"/>
            <w:szCs w:val="16"/>
          </w:rPr>
          <w:t>http://www.rba.gov.au/statistics/tables/index.html#interest-rates</w:t>
        </w:r>
      </w:hyperlink>
    </w:p>
  </w:footnote>
  <w:footnote w:id="665">
    <w:p w:rsidR="002D334E" w:rsidRDefault="002D334E" w:rsidP="00BF2F91">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666">
    <w:p w:rsidR="002D334E" w:rsidRDefault="002D334E" w:rsidP="00BF2F91">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667">
    <w:p w:rsidR="002D334E" w:rsidRDefault="002D334E" w:rsidP="00BF2F91">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668">
    <w:p w:rsidR="002D334E" w:rsidRPr="00B85376" w:rsidRDefault="002D334E" w:rsidP="00BF2F91">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 3-201 to 3-216.</w:t>
      </w:r>
    </w:p>
  </w:footnote>
  <w:footnote w:id="669">
    <w:p w:rsidR="002D334E" w:rsidRDefault="002D334E" w:rsidP="00BF2F9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670">
    <w:p w:rsidR="002D334E" w:rsidRDefault="002D334E" w:rsidP="00BF2F91">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671">
    <w:p w:rsidR="002D334E" w:rsidRDefault="002D334E" w:rsidP="00BF2F91">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672">
    <w:p w:rsidR="002D334E" w:rsidRDefault="002D334E" w:rsidP="00BF2F91">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673">
    <w:p w:rsidR="002D334E" w:rsidRDefault="002D334E" w:rsidP="00BF2F9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74">
    <w:p w:rsidR="002D334E" w:rsidRPr="00465D99" w:rsidRDefault="002D334E"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675">
    <w:p w:rsidR="002D334E" w:rsidRPr="00465D99" w:rsidRDefault="002D334E"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676">
    <w:p w:rsidR="002D334E" w:rsidRDefault="002D334E" w:rsidP="00BF2F91">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677">
    <w:p w:rsidR="002D334E" w:rsidRDefault="002D334E" w:rsidP="00BF2F91">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678">
    <w:p w:rsidR="002D334E" w:rsidRDefault="002D334E"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679">
    <w:p w:rsidR="002D334E" w:rsidRDefault="002D334E" w:rsidP="00BF2F9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80">
    <w:p w:rsidR="002D334E" w:rsidRDefault="002D334E" w:rsidP="00BF2F91">
      <w:pPr>
        <w:pStyle w:val="FootnoteText"/>
      </w:pPr>
      <w:r>
        <w:rPr>
          <w:rStyle w:val="FootnoteReference"/>
        </w:rPr>
        <w:footnoteRef/>
      </w:r>
      <w:r>
        <w:t xml:space="preserve"> </w:t>
      </w:r>
      <w:r>
        <w:tab/>
        <w:t>[2016] ACompT 1 at 263.</w:t>
      </w:r>
    </w:p>
  </w:footnote>
  <w:footnote w:id="681">
    <w:p w:rsidR="002D334E" w:rsidRDefault="002D334E" w:rsidP="00BF2F91">
      <w:pPr>
        <w:pStyle w:val="FootnoteText"/>
      </w:pPr>
      <w:r>
        <w:rPr>
          <w:rStyle w:val="FootnoteReference"/>
        </w:rPr>
        <w:footnoteRef/>
      </w:r>
      <w:r>
        <w:t xml:space="preserve"> </w:t>
      </w:r>
      <w:r>
        <w:tab/>
        <w:t>[2016] ACompT 1 at 265.</w:t>
      </w:r>
    </w:p>
  </w:footnote>
  <w:footnote w:id="682">
    <w:p w:rsidR="002D334E" w:rsidRDefault="002D334E" w:rsidP="00BF2F91">
      <w:pPr>
        <w:pStyle w:val="FootnoteText"/>
      </w:pPr>
      <w:r>
        <w:rPr>
          <w:rStyle w:val="FootnoteReference"/>
        </w:rPr>
        <w:footnoteRef/>
      </w:r>
      <w:r>
        <w:t xml:space="preserve"> </w:t>
      </w:r>
      <w:r>
        <w:tab/>
        <w:t>[2016] ACompT 1 at 265-6.</w:t>
      </w:r>
    </w:p>
  </w:footnote>
  <w:footnote w:id="683">
    <w:p w:rsidR="002D334E" w:rsidRDefault="002D334E" w:rsidP="00BF2F91">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684">
    <w:p w:rsidR="002D334E" w:rsidRDefault="002D334E" w:rsidP="00BF2F91">
      <w:pPr>
        <w:pStyle w:val="FootnoteText"/>
      </w:pPr>
      <w:r>
        <w:rPr>
          <w:rStyle w:val="FootnoteReference"/>
        </w:rPr>
        <w:footnoteRef/>
      </w:r>
      <w:r>
        <w:t xml:space="preserve"> </w:t>
      </w:r>
      <w:r>
        <w:tab/>
        <w:t xml:space="preserve">Electricity revised proposals— AusNet Transmission Group, </w:t>
      </w:r>
      <w:r>
        <w:rPr>
          <w:i/>
        </w:rPr>
        <w:t xml:space="preserve">Revised Revenue Proposal, </w:t>
      </w:r>
      <w:r>
        <w:t xml:space="preserve">September 2016, p. 155-178; Powerlink, </w:t>
      </w:r>
      <w:r w:rsidRPr="00414A87">
        <w:rPr>
          <w:i/>
        </w:rPr>
        <w:t>Revised Revenue Proposal</w:t>
      </w:r>
      <w:r>
        <w:t xml:space="preserve">, December 2016, p. iii. TasNetworks, </w:t>
      </w:r>
      <w:r w:rsidRPr="00414A87">
        <w:rPr>
          <w:i/>
        </w:rPr>
        <w:t>Tasmanian Distribution Regulatory Proposal</w:t>
      </w:r>
      <w:r>
        <w:t xml:space="preserve">, January 2016, p. 117, TasNetworks, </w:t>
      </w:r>
      <w:r w:rsidRPr="00414A87">
        <w:rPr>
          <w:i/>
        </w:rPr>
        <w:t>Tasmanian Distribution Revised Regulatory Proposal</w:t>
      </w:r>
      <w:r>
        <w:t xml:space="preserve">, December 2016, pp. 7. </w:t>
      </w:r>
    </w:p>
  </w:footnote>
  <w:footnote w:id="685">
    <w:p w:rsidR="002D334E" w:rsidRDefault="002D334E" w:rsidP="00BF2F91">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686">
    <w:p w:rsidR="002D334E" w:rsidRDefault="002D334E" w:rsidP="00BF2F91">
      <w:pPr>
        <w:pStyle w:val="FootnoteText"/>
      </w:pPr>
      <w:r>
        <w:rPr>
          <w:rStyle w:val="FootnoteReference"/>
        </w:rPr>
        <w:footnoteRef/>
      </w:r>
      <w:r>
        <w:t xml:space="preserve"> </w:t>
      </w:r>
      <w:r>
        <w:tab/>
      </w:r>
      <w:r w:rsidRPr="00C442AD">
        <w:t>[</w:t>
      </w:r>
      <w:r>
        <w:t xml:space="preserve">ACCC REU, </w:t>
      </w:r>
      <w:r w:rsidRPr="00C442AD">
        <w:rPr>
          <w:i/>
        </w:rPr>
        <w:t>Thomson Reuters Credit Curve Methodology</w:t>
      </w:r>
      <w:r>
        <w:t>, April 2017.]</w:t>
      </w:r>
    </w:p>
  </w:footnote>
  <w:footnote w:id="687">
    <w:p w:rsidR="002D334E" w:rsidRDefault="002D334E" w:rsidP="00BF2F91">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688">
    <w:p w:rsidR="002D334E" w:rsidRDefault="002D334E" w:rsidP="00BF2F91">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689">
    <w:p w:rsidR="002D334E" w:rsidRDefault="002D334E" w:rsidP="0082114E">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690">
    <w:p w:rsidR="002D334E" w:rsidRDefault="002D334E" w:rsidP="0082114E">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91">
    <w:p w:rsidR="002D334E" w:rsidRDefault="002D334E" w:rsidP="0082114E">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8"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92">
    <w:p w:rsidR="002D334E" w:rsidRDefault="002D334E" w:rsidP="0082114E">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93">
    <w:p w:rsidR="002D334E" w:rsidRDefault="002D334E" w:rsidP="0082114E">
      <w:pPr>
        <w:pStyle w:val="FootnoteText"/>
      </w:pPr>
      <w:r>
        <w:rPr>
          <w:rStyle w:val="FootnoteReference"/>
        </w:rPr>
        <w:footnoteRef/>
      </w:r>
      <w:r>
        <w:t xml:space="preserve"> </w:t>
      </w:r>
      <w:r>
        <w:tab/>
        <w:t>Specifically, from 15 September 2014 to 3 November 2014.</w:t>
      </w:r>
    </w:p>
  </w:footnote>
  <w:footnote w:id="694">
    <w:p w:rsidR="002D334E" w:rsidRDefault="002D334E" w:rsidP="0082114E">
      <w:pPr>
        <w:pStyle w:val="FootnoteText"/>
      </w:pPr>
      <w:r>
        <w:rPr>
          <w:rStyle w:val="FootnoteReference"/>
        </w:rPr>
        <w:footnoteRef/>
      </w:r>
      <w:r>
        <w:t xml:space="preserve"> </w:t>
      </w:r>
      <w:r>
        <w:tab/>
        <w:t>Specifically, 14 April 2015.</w:t>
      </w:r>
    </w:p>
  </w:footnote>
  <w:footnote w:id="695">
    <w:p w:rsidR="002D334E" w:rsidRDefault="002D334E" w:rsidP="0082114E">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96">
    <w:p w:rsidR="002D334E" w:rsidRDefault="002D334E" w:rsidP="0082114E">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97">
    <w:p w:rsidR="002D334E" w:rsidRDefault="002D334E" w:rsidP="00245D0E">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698">
    <w:p w:rsidR="002D334E" w:rsidRDefault="002D334E" w:rsidP="00245D0E">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699">
    <w:p w:rsidR="002D334E" w:rsidRDefault="002D334E" w:rsidP="00245D0E">
      <w:pPr>
        <w:pStyle w:val="FootnoteText"/>
      </w:pPr>
      <w:r>
        <w:rPr>
          <w:rStyle w:val="FootnoteReference"/>
        </w:rPr>
        <w:footnoteRef/>
      </w:r>
      <w:r>
        <w:t xml:space="preserve"> </w:t>
      </w:r>
      <w:r>
        <w:tab/>
        <w:t>NER, cl. 6.5.2(l) and cl. 6A.6.2(l).</w:t>
      </w:r>
    </w:p>
  </w:footnote>
  <w:footnote w:id="700">
    <w:p w:rsidR="002D334E" w:rsidRDefault="002D334E" w:rsidP="00245D0E">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701">
    <w:p w:rsidR="002D334E" w:rsidRDefault="002D334E" w:rsidP="00245D0E">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702">
    <w:p w:rsidR="002D334E" w:rsidRDefault="002D334E" w:rsidP="00245D0E">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703">
    <w:p w:rsidR="002D334E" w:rsidRDefault="002D334E" w:rsidP="00245D0E">
      <w:pPr>
        <w:pStyle w:val="FootnoteText"/>
      </w:pPr>
      <w:r>
        <w:rPr>
          <w:rStyle w:val="FootnoteReference"/>
        </w:rPr>
        <w:footnoteRef/>
      </w:r>
      <w:r>
        <w:t xml:space="preserve"> </w:t>
      </w:r>
      <w:r>
        <w:tab/>
        <w:t>Specifically, the spread to CGS.</w:t>
      </w:r>
    </w:p>
  </w:footnote>
  <w:footnote w:id="704">
    <w:p w:rsidR="002D334E" w:rsidRDefault="002D334E" w:rsidP="00245D0E">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705">
    <w:p w:rsidR="002D334E" w:rsidRDefault="002D334E" w:rsidP="00245D0E">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276.</w:t>
      </w:r>
    </w:p>
  </w:footnote>
  <w:footnote w:id="706">
    <w:p w:rsidR="002D334E" w:rsidRDefault="002D334E" w:rsidP="00245D0E">
      <w:pPr>
        <w:pStyle w:val="FootnoteText"/>
      </w:pPr>
      <w:r>
        <w:rPr>
          <w:rStyle w:val="FootnoteReference"/>
        </w:rPr>
        <w:footnoteRef/>
      </w:r>
      <w:r>
        <w:t xml:space="preserve"> </w:t>
      </w:r>
      <w:r>
        <w:tab/>
        <w:t>AusNet Services characterises</w:t>
      </w:r>
      <w:r w:rsidRPr="0018148E">
        <w:t xml:space="preserve"> </w:t>
      </w:r>
      <w:r>
        <w:t>a new issue premium as ‘t</w:t>
      </w:r>
      <w:r w:rsidRPr="000062C0">
        <w:t xml:space="preserve">he difference between the costs facing a business issuing bonds into the primary debt market </w:t>
      </w:r>
      <w:r>
        <w:t xml:space="preserve">[which would determine their effective cost of debt] </w:t>
      </w:r>
      <w:r w:rsidRPr="000062C0">
        <w:t>and trading in the secondary debt market</w:t>
      </w:r>
      <w:r>
        <w:t xml:space="preserve"> [which we use to estimate the debt allowance]’. See AusNet Transmission Group Pty Ltd, </w:t>
      </w:r>
      <w:r w:rsidRPr="0047386D">
        <w:rPr>
          <w:i/>
        </w:rPr>
        <w:t>Transmission Revenue Review 2017</w:t>
      </w:r>
      <w:r w:rsidRPr="0047386D">
        <w:rPr>
          <w:rFonts w:cs="Arial"/>
          <w:i/>
        </w:rPr>
        <w:t>–</w:t>
      </w:r>
      <w:r w:rsidRPr="0047386D">
        <w:rPr>
          <w:i/>
        </w:rPr>
        <w:t>2022 regulatory proposal</w:t>
      </w:r>
      <w:r>
        <w:t>, 30 October 2015, p. 275.</w:t>
      </w:r>
    </w:p>
  </w:footnote>
  <w:footnote w:id="707">
    <w:p w:rsidR="002D334E" w:rsidRDefault="002D334E" w:rsidP="00245D0E">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708">
    <w:p w:rsidR="002D334E" w:rsidRDefault="002D334E" w:rsidP="00245D0E">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709">
    <w:p w:rsidR="002D334E" w:rsidRDefault="002D334E" w:rsidP="00245D0E">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710">
    <w:p w:rsidR="002D334E" w:rsidRDefault="002D334E" w:rsidP="00245D0E">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711">
    <w:p w:rsidR="002D334E" w:rsidRDefault="002D334E" w:rsidP="00245D0E">
      <w:pPr>
        <w:pStyle w:val="FootnoteText"/>
      </w:pPr>
      <w:r>
        <w:rPr>
          <w:rStyle w:val="FootnoteReference"/>
        </w:rPr>
        <w:footnoteRef/>
      </w:r>
      <w:r>
        <w:t xml:space="preserve"> </w:t>
      </w:r>
      <w:r>
        <w:tab/>
        <w:t xml:space="preserve">AusNet Services, </w:t>
      </w:r>
      <w:r>
        <w:rPr>
          <w:rStyle w:val="Emphasis"/>
        </w:rPr>
        <w:t>Nominated debt averaging periods for AusNet Services’ 2017</w:t>
      </w:r>
      <w:r>
        <w:rPr>
          <w:rStyle w:val="Emphasis"/>
          <w:rFonts w:cs="Arial"/>
        </w:rPr>
        <w:t>–</w:t>
      </w:r>
      <w:r>
        <w:rPr>
          <w:rStyle w:val="Emphasis"/>
        </w:rPr>
        <w:t xml:space="preserve">22 transmission revenue reset, </w:t>
      </w:r>
      <w:r>
        <w:t xml:space="preserve">, 2 June 2016; AusNet Services, </w:t>
      </w:r>
      <w:r w:rsidRPr="00AC04F4">
        <w:rPr>
          <w:i/>
        </w:rPr>
        <w:t>Transmission revenue review, Appendix 10I: Averaging period letter (Confidential)</w:t>
      </w:r>
      <w:r>
        <w:t xml:space="preserve">, 30 October 2015. </w:t>
      </w:r>
    </w:p>
  </w:footnote>
  <w:footnote w:id="712">
    <w:p w:rsidR="002D334E" w:rsidRDefault="002D334E" w:rsidP="00245D0E">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713">
    <w:p w:rsidR="002D334E" w:rsidRDefault="002D334E" w:rsidP="00245D0E">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714">
    <w:p w:rsidR="002D334E" w:rsidRDefault="002D334E" w:rsidP="00245D0E">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715">
    <w:p w:rsidR="002D334E" w:rsidRDefault="002D334E" w:rsidP="00245D0E">
      <w:pPr>
        <w:pStyle w:val="FootnoteText"/>
      </w:pPr>
      <w:r>
        <w:rPr>
          <w:rStyle w:val="FootnoteReference"/>
        </w:rPr>
        <w:footnoteRef/>
      </w:r>
      <w:r>
        <w:t xml:space="preserve"> </w:t>
      </w:r>
      <w:r>
        <w:tab/>
        <w:t>A further possible constraint on the start date is that</w:t>
      </w:r>
      <w:r w:rsidRPr="00D76D56">
        <w:t>, as set out in the previous section, one of our conditions is at the time it is nominated all dates in the averaging period must take place in the future.</w:t>
      </w:r>
    </w:p>
  </w:footnote>
  <w:footnote w:id="716">
    <w:p w:rsidR="002D334E" w:rsidRDefault="002D334E" w:rsidP="00245D0E">
      <w:pPr>
        <w:pStyle w:val="FootnoteText"/>
      </w:pPr>
      <w:r>
        <w:rPr>
          <w:rStyle w:val="FootnoteReference"/>
        </w:rPr>
        <w:footnoteRef/>
      </w:r>
      <w:r>
        <w:t xml:space="preserve"> </w:t>
      </w:r>
      <w:r>
        <w:tab/>
        <w:t xml:space="preserve">The RBA publishes its month end data on the third day of the following month. We consider the 6th business day of February will allow us to finalise our required calculations to inform AusNet of their debt allowance outcomes.  </w:t>
      </w:r>
    </w:p>
  </w:footnote>
  <w:footnote w:id="717">
    <w:p w:rsidR="002D334E" w:rsidRDefault="002D334E" w:rsidP="00245D0E">
      <w:pPr>
        <w:pStyle w:val="FootnoteText"/>
      </w:pPr>
      <w:r>
        <w:rPr>
          <w:rStyle w:val="FootnoteReference"/>
        </w:rPr>
        <w:footnoteRef/>
      </w:r>
      <w:r>
        <w:t xml:space="preserve"> </w:t>
      </w:r>
      <w:r>
        <w:tab/>
      </w:r>
      <w:r w:rsidRPr="00AB7FB7">
        <w:t xml:space="preserve">See for example AER, </w:t>
      </w:r>
      <w:r w:rsidRPr="00AB7FB7">
        <w:rPr>
          <w:rStyle w:val="AERtextitalic"/>
        </w:rPr>
        <w:t>Final decision, TransGrid transmission determination, Attachment 3</w:t>
      </w:r>
      <w:r w:rsidRPr="00AB7FB7">
        <w:t>, April 2015.</w:t>
      </w:r>
    </w:p>
  </w:footnote>
  <w:footnote w:id="718">
    <w:p w:rsidR="002D334E" w:rsidRDefault="002D334E" w:rsidP="00245D0E">
      <w:pPr>
        <w:pStyle w:val="FootnoteText"/>
      </w:pPr>
      <w:r>
        <w:rPr>
          <w:rStyle w:val="FootnoteReference"/>
        </w:rPr>
        <w:footnoteRef/>
      </w:r>
      <w:r>
        <w:t xml:space="preserve"> </w:t>
      </w:r>
      <w:r w:rsidRPr="00A3151D">
        <w:tab/>
        <w:t>Cl. 6A.24.2(b) and (c) of the NER.</w:t>
      </w:r>
    </w:p>
  </w:footnote>
  <w:footnote w:id="719">
    <w:p w:rsidR="002D334E" w:rsidRDefault="002D334E" w:rsidP="00245D0E">
      <w:pPr>
        <w:pStyle w:val="FootnoteText"/>
      </w:pPr>
      <w:r>
        <w:rPr>
          <w:rStyle w:val="FootnoteReference"/>
        </w:rPr>
        <w:footnoteRef/>
      </w:r>
      <w:r>
        <w:t xml:space="preserve"> </w:t>
      </w:r>
      <w:r>
        <w:tab/>
        <w:t>AusNet Services, email to the Australian Energy Regulator, received 16:30 on 17 June 2016.</w:t>
      </w:r>
    </w:p>
  </w:footnote>
  <w:footnote w:id="720">
    <w:p w:rsidR="002D334E" w:rsidRDefault="002D334E" w:rsidP="00245D0E">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721">
    <w:p w:rsidR="002D334E" w:rsidRDefault="002D334E">
      <w:pPr>
        <w:pStyle w:val="FootnoteText"/>
      </w:pPr>
      <w:r>
        <w:rPr>
          <w:rStyle w:val="FootnoteReference"/>
        </w:rPr>
        <w:footnoteRef/>
      </w:r>
      <w:r>
        <w:t xml:space="preserve"> </w:t>
      </w:r>
      <w:r>
        <w:tab/>
      </w:r>
      <w:r w:rsidRPr="0084079E">
        <w:t xml:space="preserve">AER, </w:t>
      </w:r>
      <w:r w:rsidRPr="00185FF8">
        <w:rPr>
          <w:rStyle w:val="Emphasis"/>
        </w:rPr>
        <w:t>Rate of return guideline</w:t>
      </w:r>
      <w:r w:rsidRPr="0084079E">
        <w:t xml:space="preserve">, December 2013, p. 9. AusNet Transmission Group Pty Ltd, </w:t>
      </w:r>
      <w:r w:rsidRPr="00185FF8">
        <w:rPr>
          <w:rStyle w:val="Emphasis"/>
        </w:rPr>
        <w:t>Transmission Revenue Review 2017–2022 regulatory proposal</w:t>
      </w:r>
      <w:r w:rsidRPr="0084079E">
        <w:t xml:space="preserve">, 30 October 2015, p. 191. </w:t>
      </w:r>
      <w:r>
        <w:t xml:space="preserve"> </w:t>
      </w:r>
    </w:p>
  </w:footnote>
  <w:footnote w:id="722">
    <w:p w:rsidR="002D334E" w:rsidRDefault="002D334E">
      <w:pPr>
        <w:pStyle w:val="FootnoteText"/>
      </w:pPr>
      <w:r>
        <w:rPr>
          <w:rStyle w:val="FootnoteReference"/>
        </w:rPr>
        <w:footnoteRef/>
      </w:r>
      <w:r>
        <w:t xml:space="preserve"> </w:t>
      </w:r>
      <w:r>
        <w:tab/>
        <w:t xml:space="preserve">That is if a service provider had a gearing ratio that was significantly different to the benchmark gearing ratio, then we would consider any implications of this for including that service provider within the sample used to estimate the industry median credit rating. </w:t>
      </w:r>
    </w:p>
  </w:footnote>
  <w:footnote w:id="723">
    <w:p w:rsidR="002D334E" w:rsidRDefault="002D334E" w:rsidP="00C93468">
      <w:pPr>
        <w:pStyle w:val="FootnoteText"/>
      </w:pPr>
      <w:r>
        <w:rPr>
          <w:rStyle w:val="FootnoteReference"/>
        </w:rPr>
        <w:footnoteRef/>
      </w:r>
      <w:r>
        <w:t xml:space="preserve"> </w:t>
      </w:r>
      <w:r>
        <w:tab/>
        <w:t xml:space="preserve">Calculated over a 20-day averaging period, using our return on equity risk free rate averaging period. </w:t>
      </w:r>
    </w:p>
  </w:footnote>
  <w:footnote w:id="724">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191-192.</w:t>
      </w:r>
    </w:p>
  </w:footnote>
  <w:footnote w:id="725">
    <w:p w:rsidR="002D334E" w:rsidRDefault="002D334E" w:rsidP="00C93468">
      <w:pPr>
        <w:pStyle w:val="FootnoteText"/>
      </w:pPr>
      <w:r>
        <w:rPr>
          <w:rStyle w:val="FootnoteReference"/>
        </w:rPr>
        <w:footnoteRef/>
      </w:r>
      <w:r>
        <w:t xml:space="preserve"> </w:t>
      </w:r>
      <w:r>
        <w:tab/>
        <w:t>See: Application by SA Power Networks [2016] ACompT 11, para 614.</w:t>
      </w:r>
    </w:p>
  </w:footnote>
  <w:footnote w:id="726">
    <w:p w:rsidR="002D334E" w:rsidRDefault="002D334E" w:rsidP="00C93468">
      <w:pPr>
        <w:pStyle w:val="FootnoteText"/>
      </w:pPr>
      <w:r>
        <w:rPr>
          <w:rStyle w:val="FootnoteReference"/>
        </w:rPr>
        <w:footnoteRef/>
      </w:r>
      <w:r>
        <w:t xml:space="preserve"> </w:t>
      </w:r>
      <w:r>
        <w:tab/>
        <w:t>Including</w:t>
      </w:r>
      <w:r w:rsidRPr="00DA54AC">
        <w:t xml:space="preserve"> </w:t>
      </w:r>
      <w:r>
        <w:t xml:space="preserve">ActewAGL, </w:t>
      </w:r>
      <w:r>
        <w:rPr>
          <w:rStyle w:val="AERtextitalic"/>
        </w:rPr>
        <w:t>Appendix 5.01: Detailed response to rate of return, gamma and inflation</w:t>
      </w:r>
      <w:r>
        <w:t xml:space="preserve">, January 2016, p. 135; AusNet Transmission Group Pty Ltd, </w:t>
      </w:r>
      <w:r w:rsidRPr="00A51CD5">
        <w:rPr>
          <w:rStyle w:val="AERtextitalic"/>
        </w:rPr>
        <w:t>Transmission Revenue Review 2017-2022 Revised Revenue Proposal</w:t>
      </w:r>
      <w:r>
        <w:t xml:space="preserve">, 21 September 2016, pp. 178-194; AusNet Services, </w:t>
      </w:r>
      <w:r w:rsidRPr="005C2943">
        <w:rPr>
          <w:rStyle w:val="AERtextitalic"/>
        </w:rPr>
        <w:t>R</w:t>
      </w:r>
      <w:r>
        <w:rPr>
          <w:rStyle w:val="AERtextitalic"/>
        </w:rPr>
        <w:t>evised regulatory p</w:t>
      </w:r>
      <w:r w:rsidRPr="005C2943">
        <w:rPr>
          <w:rStyle w:val="AERtextitalic"/>
        </w:rPr>
        <w:t>roposal</w:t>
      </w:r>
      <w:r w:rsidRPr="00EC24CF">
        <w:t xml:space="preserve">, </w:t>
      </w:r>
      <w:r>
        <w:t>January 2016, pp. 7-96</w:t>
      </w:r>
      <w:r w:rsidRPr="000641C7">
        <w:t>–</w:t>
      </w:r>
      <w:r>
        <w:t>7-102;</w:t>
      </w:r>
      <w:r w:rsidRPr="00DA54AC">
        <w:t xml:space="preserve"> </w:t>
      </w:r>
      <w:r>
        <w:t xml:space="preserve">AGN, </w:t>
      </w:r>
      <w:r>
        <w:rPr>
          <w:rStyle w:val="AERtextitalic"/>
        </w:rPr>
        <w:t>Attachment 9.3 Response to draft decision: Inflation</w:t>
      </w:r>
      <w:r>
        <w:t xml:space="preserve">, January 2016, p. 6.; JEN, </w:t>
      </w:r>
      <w:r w:rsidRPr="00086BBC">
        <w:rPr>
          <w:rStyle w:val="AERtextitalic"/>
        </w:rPr>
        <w:t>Revocation and substitution submission, Attachment 6-1 Rate of return, gamma, forecast inflation, and debt and equity raising costs</w:t>
      </w:r>
      <w:r>
        <w:t xml:space="preserve">, January 2016, p. 111; SA Power Networks, </w:t>
      </w:r>
      <w:r w:rsidRPr="004C08AC">
        <w:rPr>
          <w:rStyle w:val="AERtextitalic"/>
        </w:rPr>
        <w:t>Revised Regulatory Proposal 2015-20</w:t>
      </w:r>
      <w:r>
        <w:t xml:space="preserve">, 3 July 2015, pp. 393-399; </w:t>
      </w:r>
      <w:r w:rsidRPr="00EC24CF">
        <w:t xml:space="preserve">United Energy, </w:t>
      </w:r>
      <w:r w:rsidRPr="005C2943">
        <w:rPr>
          <w:rStyle w:val="AERtextitalic"/>
        </w:rPr>
        <w:t>Regulatory Proposal</w:t>
      </w:r>
      <w:r w:rsidRPr="00EC24CF">
        <w:t xml:space="preserve">, </w:t>
      </w:r>
      <w:r>
        <w:t xml:space="preserve">April 2015, </w:t>
      </w:r>
      <w:r w:rsidRPr="00EC24CF">
        <w:t>p. 105</w:t>
      </w:r>
      <w:r>
        <w:t xml:space="preserve">; United Energy, </w:t>
      </w:r>
      <w:r w:rsidRPr="00572480">
        <w:rPr>
          <w:rStyle w:val="AERtextitalic"/>
        </w:rPr>
        <w:t>Response to AER preliminary decision re: rate of return and gamma</w:t>
      </w:r>
      <w:r>
        <w:t>, 6 January 2016, p. 103.</w:t>
      </w:r>
    </w:p>
    <w:p w:rsidR="002D334E" w:rsidRDefault="002D334E" w:rsidP="00C93468">
      <w:pPr>
        <w:pStyle w:val="FootnoteText"/>
      </w:pPr>
      <w:r>
        <w:tab/>
        <w:t>CitiPower and Powercor</w:t>
      </w:r>
      <w:r w:rsidDel="008F2186">
        <w:t xml:space="preserve"> </w:t>
      </w:r>
      <w:r>
        <w:t xml:space="preserve">proposed the RBA forecasts and target band approach, but also submitted that the break-even approach would be 'superior' and would result in the 'best estimate' (CitiPower, </w:t>
      </w:r>
      <w:r w:rsidRPr="000B2E88">
        <w:rPr>
          <w:rStyle w:val="AERtextitalic"/>
        </w:rPr>
        <w:t>Revised regulatory proposal</w:t>
      </w:r>
      <w:r>
        <w:t>, January 2016, pp. 376</w:t>
      </w:r>
      <w:r w:rsidRPr="000641C7">
        <w:t>–</w:t>
      </w:r>
      <w:r>
        <w:t xml:space="preserve">383; Powercor, </w:t>
      </w:r>
      <w:r w:rsidRPr="000B2E88">
        <w:rPr>
          <w:rStyle w:val="AERtextitalic"/>
        </w:rPr>
        <w:t>Revised regulatory proposal</w:t>
      </w:r>
      <w:r>
        <w:t>, January 2016, p. 377).</w:t>
      </w:r>
    </w:p>
  </w:footnote>
  <w:footnote w:id="727">
    <w:p w:rsidR="002D334E" w:rsidRDefault="002D334E" w:rsidP="00C93468">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xml:space="preserve">, 29 January 2016, p. 117; Powerlink Queensland, </w:t>
      </w:r>
      <w:r w:rsidRPr="006C0405">
        <w:rPr>
          <w:rStyle w:val="AERtextitalic"/>
        </w:rPr>
        <w:t>201</w:t>
      </w:r>
      <w:r>
        <w:rPr>
          <w:rStyle w:val="AERtextitalic"/>
        </w:rPr>
        <w:t>8</w:t>
      </w:r>
      <w:r w:rsidRPr="006C0405">
        <w:rPr>
          <w:rStyle w:val="AERtextitalic"/>
        </w:rPr>
        <w:t xml:space="preserve">–2022 </w:t>
      </w:r>
      <w:r>
        <w:rPr>
          <w:rStyle w:val="AERtextitalic"/>
        </w:rPr>
        <w:t>Powerlink Queensland revenue</w:t>
      </w:r>
      <w:r w:rsidRPr="006C0405">
        <w:rPr>
          <w:rStyle w:val="AERtextitalic"/>
        </w:rPr>
        <w:t xml:space="preserve"> proposal</w:t>
      </w:r>
      <w:r>
        <w:t>, 31 January 2016, p. 95.</w:t>
      </w:r>
    </w:p>
  </w:footnote>
  <w:footnote w:id="728">
    <w:p w:rsidR="002D334E" w:rsidRDefault="002D334E" w:rsidP="00C93468">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 5.</w:t>
      </w:r>
    </w:p>
  </w:footnote>
  <w:footnote w:id="729">
    <w:p w:rsidR="002D334E" w:rsidRDefault="002D334E" w:rsidP="00C93468">
      <w:pPr>
        <w:pStyle w:val="FootnoteText"/>
      </w:pPr>
      <w:r w:rsidRPr="004D069F">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paragraphs 200-204.</w:t>
      </w:r>
    </w:p>
  </w:footnote>
  <w:footnote w:id="730">
    <w:p w:rsidR="002D334E" w:rsidRDefault="002D334E" w:rsidP="00C93468">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paragraphs 214-221.</w:t>
      </w:r>
    </w:p>
  </w:footnote>
  <w:footnote w:id="731">
    <w:p w:rsidR="002D334E" w:rsidRDefault="002D334E" w:rsidP="00C93468">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21</w:t>
      </w:r>
      <w:r>
        <w:t>3</w:t>
      </w:r>
      <w:r w:rsidRPr="00C371CA">
        <w:t>.</w:t>
      </w:r>
    </w:p>
  </w:footnote>
  <w:footnote w:id="732">
    <w:p w:rsidR="002D334E" w:rsidRDefault="002D334E" w:rsidP="00C93468">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w:t>
      </w:r>
      <w:r>
        <w:t>22</w:t>
      </w:r>
      <w:r w:rsidRPr="00C371CA">
        <w:t>-22</w:t>
      </w:r>
      <w:r>
        <w:t>3</w:t>
      </w:r>
      <w:r w:rsidRPr="00C371CA">
        <w:t>.</w:t>
      </w:r>
    </w:p>
  </w:footnote>
  <w:footnote w:id="733">
    <w:p w:rsidR="002D334E" w:rsidRDefault="002D334E" w:rsidP="00C93468">
      <w:pPr>
        <w:pStyle w:val="FootnoteText"/>
      </w:pPr>
      <w:r w:rsidRPr="004D069F">
        <w:rPr>
          <w:rStyle w:val="FootnoteReference"/>
        </w:rPr>
        <w:footnoteRef/>
      </w:r>
      <w:r>
        <w:rPr>
          <w:rFonts w:eastAsia="Arial Unicode MS" w:cs="Arial Unicode MS"/>
        </w:rPr>
        <w:t xml:space="preserve"> </w:t>
      </w:r>
      <w:r>
        <w:rPr>
          <w:rFonts w:eastAsia="Arial Unicode MS" w:cs="Arial Unicode MS"/>
        </w:rPr>
        <w:tab/>
        <w:t>Carolin Pflueger and Luis Viceira (2015), ‘Return Predictability in the Treasury Market: Real Rates, Inflation, and Liquidity’, Working Paper, p. 12 and p. 16, Table IIA; Matthias Fleckenstein, Francis Longstaff and Hanno Lustig (2014), ‘The TIPS-Treasury Bonds Puzzle’, The Journal of Finance, 69(5), October, pp. 2151-2197; Zhuoshi Liu, Elisabeth Vangelista, Iryna Kaminski and Jon Relleen (2015), ‘The informational content of market-based measures of inflation expectations derived from government bonds and inflation swaps in the United Kingdom’, Staff Working Paper No. 551, Bank of England, pp. 1-36;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734">
    <w:p w:rsidR="002D334E" w:rsidRDefault="002D334E" w:rsidP="00C93468">
      <w:pPr>
        <w:pStyle w:val="FootnoteText"/>
      </w:pPr>
      <w:r>
        <w:rPr>
          <w:rStyle w:val="FootnoteReference"/>
        </w:rPr>
        <w:footnoteRef/>
      </w:r>
      <w:r>
        <w:t xml:space="preserve"> </w:t>
      </w:r>
      <w:r>
        <w:tab/>
        <w:t xml:space="preserve">This point is also noted by CEG, see: CEG, </w:t>
      </w:r>
      <w:r w:rsidRPr="00A51CD5">
        <w:rPr>
          <w:rStyle w:val="AERtextitalic"/>
        </w:rPr>
        <w:t>Best Estimate of Expected Inflation</w:t>
      </w:r>
      <w:r>
        <w:t>,</w:t>
      </w:r>
      <w:r w:rsidRPr="00215774">
        <w:t xml:space="preserve"> September 2016</w:t>
      </w:r>
      <w:r>
        <w:t>, p. 45.</w:t>
      </w:r>
    </w:p>
  </w:footnote>
  <w:footnote w:id="735">
    <w:p w:rsidR="002D334E" w:rsidRDefault="002D334E" w:rsidP="00C93468">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#11, April 2017, paragraph 213, 219-220.</w:t>
      </w:r>
    </w:p>
  </w:footnote>
  <w:footnote w:id="736">
    <w:p w:rsidR="002D334E" w:rsidRDefault="002D334E" w:rsidP="00C93468">
      <w:pPr>
        <w:pStyle w:val="FootnoteText"/>
      </w:pPr>
      <w:r>
        <w:rPr>
          <w:vertAlign w:val="superscript"/>
        </w:rPr>
        <w:footnoteRef/>
      </w:r>
      <w:r>
        <w:rPr>
          <w:rFonts w:eastAsia="Arial Unicode MS" w:cs="Arial Unicode MS"/>
        </w:rPr>
        <w:t xml:space="preserve"> </w:t>
      </w:r>
      <w:r>
        <w:rPr>
          <w:rFonts w:eastAsia="Arial Unicode MS" w:cs="Arial Unicode MS"/>
        </w:rPr>
        <w:tab/>
        <w:t>Stefania D’Amico, Don Kim and Min Wei (2016), ‘Tips from TIPS: The informational content of Treasury Inflation-Protected Security prices’, Finance and Economics Discussion Series, Divisions of Research and Statistics and Monetary Affairs, Federal Reserve Board, 2014-24, p. 37.</w:t>
      </w:r>
    </w:p>
  </w:footnote>
  <w:footnote w:id="737">
    <w:p w:rsidR="002D334E" w:rsidRDefault="002D334E" w:rsidP="00C93468">
      <w:pPr>
        <w:pStyle w:val="FootnoteText"/>
      </w:pPr>
      <w:r w:rsidRPr="00FD18B1">
        <w:rPr>
          <w:rStyle w:val="FootnoteReference"/>
        </w:rPr>
        <w:footnoteRef/>
      </w:r>
      <w:r>
        <w:t xml:space="preserve"> </w:t>
      </w:r>
      <w:r>
        <w:tab/>
        <w:t>In practice, only one cash payment is actually made, being the difference between the pre-determined fixed rate and the actual CPI.</w:t>
      </w:r>
    </w:p>
  </w:footnote>
  <w:footnote w:id="738">
    <w:p w:rsidR="002D334E" w:rsidRPr="00EE5409" w:rsidRDefault="002D334E" w:rsidP="00C93468">
      <w:pPr>
        <w:pStyle w:val="FootnoteText"/>
      </w:pPr>
      <w:r w:rsidRPr="00BB271E">
        <w:rPr>
          <w:rStyle w:val="FootnoteReference"/>
          <w:rFonts w:asciiTheme="minorHAnsi" w:hAnsiTheme="minorHAnsi" w:cstheme="minorHAnsi"/>
          <w:sz w:val="17"/>
          <w:szCs w:val="17"/>
        </w:rPr>
        <w:footnoteRef/>
      </w:r>
      <w:r w:rsidRPr="00BB271E">
        <w:t xml:space="preserve"> </w:t>
      </w:r>
      <w:r>
        <w:tab/>
      </w:r>
      <w:r w:rsidRPr="00DD24C5">
        <w:t>Charles Howard and Louis D’Antonio (1994), ‘The Cost of Hedging and the Optimal Hedge Ratio’, The Journal of Futures Markets, 14(2), pp. 237-238.</w:t>
      </w:r>
    </w:p>
  </w:footnote>
  <w:footnote w:id="739">
    <w:p w:rsidR="002D334E" w:rsidRPr="00EE5409" w:rsidRDefault="002D334E" w:rsidP="00C93468">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Kieran Davies, Felicity Emmett and Denise Wong (2010), ‘Submission to the 16th Series Consumer Price Review’ Australia/NZ Strategy and Economics, The Royal Bank of Scotland, 12 March, p. 9.</w:t>
      </w:r>
    </w:p>
  </w:footnote>
  <w:footnote w:id="740">
    <w:p w:rsidR="002D334E" w:rsidRPr="0046733A" w:rsidRDefault="002D334E" w:rsidP="00C93468">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 xml:space="preserve">Arroub Zine-eddine (2014), OpenGamma Quantitative Research, ‘Inflation: Instruments and curve construction’, January, p. 2. </w:t>
      </w:r>
    </w:p>
  </w:footnote>
  <w:footnote w:id="741">
    <w:p w:rsidR="002D334E" w:rsidRPr="0046733A" w:rsidRDefault="002D334E" w:rsidP="00C93468">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Matthew Hurd and Jon Relleen (2006), ‘New information from inflation swaps and index-linked bonds’, Bank of England Quarterly Bulletin, Spring, p. 27.</w:t>
      </w:r>
    </w:p>
  </w:footnote>
  <w:footnote w:id="742">
    <w:p w:rsidR="002D334E" w:rsidRDefault="002D334E" w:rsidP="00C93468">
      <w:pPr>
        <w:pStyle w:val="FootnoteText"/>
      </w:pPr>
      <w:r>
        <w:rPr>
          <w:rStyle w:val="FootnoteReference"/>
        </w:rPr>
        <w:footnoteRef/>
      </w:r>
      <w:r>
        <w:t xml:space="preserve"> </w:t>
      </w:r>
      <w:r>
        <w:tab/>
        <w:t xml:space="preserve">See Mathysen, </w:t>
      </w:r>
      <w:r w:rsidRPr="009B20F9">
        <w:rPr>
          <w:rStyle w:val="AERtextitalic"/>
        </w:rPr>
        <w:t>Best estimates of expected inflation: a comparative assessment of four methods</w:t>
      </w:r>
      <w:r>
        <w:t xml:space="preserve">, ACCC Working Paper #11, April 2017, paragraphs 174-178. </w:t>
      </w:r>
    </w:p>
  </w:footnote>
  <w:footnote w:id="743">
    <w:p w:rsidR="002D334E" w:rsidRDefault="002D334E" w:rsidP="00C93468">
      <w:pPr>
        <w:pStyle w:val="FootnoteText"/>
      </w:pPr>
      <w:r w:rsidRPr="00272C0C">
        <w:rPr>
          <w:rStyle w:val="FootnoteReference"/>
        </w:rPr>
        <w:footnoteRef/>
      </w:r>
      <w:r>
        <w:rPr>
          <w:rFonts w:eastAsia="Arial Unicode MS" w:cs="Arial Unicode MS"/>
        </w:rPr>
        <w:t xml:space="preserve"> </w:t>
      </w:r>
      <w:r>
        <w:rPr>
          <w:rFonts w:eastAsia="Arial Unicode MS" w:cs="Arial Unicode MS"/>
        </w:rPr>
        <w:tab/>
        <w:t>See also: Richard Finlay and David Olivan (2012), ‘Extracting Information from Financial Market Instruments’, RBA Bulletin, March Quarter, pp. 45-46; Reserve Bank of Australia (2015), Statement on Monetary Policy, February, p. 50; Joseph Haubrich, George Pennachi and Peter Ritchken (2012), ‘Inflation Expectations, Real Rates, and Risk Premia: Evidence from Inflation Swaps’, The Review of Financial Studies, 25(2), p. 1590; Zhuoshi Liu, Elisabeth Vangelista, Iryna Kaminski and Jon Relleen (2015), ‘The informational content of market-based measures of inflation expectations derived from government bonds and inflation swaps in the United Kingdom’, Staff Working Paper No. 551, Bank of England, p. 2; Carolin Pflueger and Luis Viceira (2015), ‘Return Predictability in the Treasury Market: Real Rates, Inflation, and Liquidity’, Working Paper, p. 12, p. 16 and Table IIA;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744">
    <w:p w:rsidR="002D334E" w:rsidRDefault="002D334E" w:rsidP="006051BD">
      <w:pPr>
        <w:pStyle w:val="FootnoteText"/>
      </w:pPr>
      <w:r>
        <w:rPr>
          <w:rStyle w:val="FootnoteReference"/>
        </w:rPr>
        <w:footnoteRef/>
      </w:r>
      <w:r>
        <w:t xml:space="preserve"> </w:t>
      </w:r>
      <w:r>
        <w:tab/>
        <w:t xml:space="preserve">AusNet Services, </w:t>
      </w:r>
      <w:r w:rsidRPr="00680BC2">
        <w:rPr>
          <w:rStyle w:val="Emphasis"/>
        </w:rPr>
        <w:t>AusNet Transmission Group Pty Ltd Transmission revised revenue review 2017–22</w:t>
      </w:r>
      <w:r w:rsidRPr="00680BC2">
        <w:t xml:space="preserve">, 21 </w:t>
      </w:r>
      <w:r>
        <w:t xml:space="preserve">September 2016, p. 143. </w:t>
      </w:r>
    </w:p>
    <w:p w:rsidR="002D334E" w:rsidRDefault="002D334E" w:rsidP="006051BD">
      <w:pPr>
        <w:pStyle w:val="FootnoteText"/>
      </w:pPr>
      <w:r>
        <w:rPr>
          <w:rStyle w:val="FootnoteReference"/>
        </w:rPr>
        <w:footnoteRef/>
      </w:r>
      <w:r>
        <w:t xml:space="preserve"> </w:t>
      </w:r>
      <w:r>
        <w:tab/>
      </w:r>
      <w:r w:rsidRPr="00680BC2">
        <w:t>AusNet Services, September 2016, p</w:t>
      </w:r>
      <w:r>
        <w:t>. 138.</w:t>
      </w:r>
    </w:p>
  </w:footnote>
  <w:footnote w:id="745">
    <w:p w:rsidR="002D334E" w:rsidRDefault="002D334E" w:rsidP="000A0378">
      <w:pPr>
        <w:pStyle w:val="FootnoteText"/>
      </w:pPr>
      <w:r>
        <w:rPr>
          <w:rStyle w:val="FootnoteReference"/>
        </w:rPr>
        <w:footnoteRef/>
      </w:r>
      <w:r>
        <w:t xml:space="preserve"> </w:t>
      </w:r>
      <w:r>
        <w:tab/>
        <w:t xml:space="preserve">AER, </w:t>
      </w:r>
      <w:r w:rsidRPr="002656D9">
        <w:rPr>
          <w:rStyle w:val="Emphasis"/>
        </w:rPr>
        <w:t>Better regulation Rate of Return Guideline: Explanatory Statement</w:t>
      </w:r>
      <w:r>
        <w:t>, December 2013, p. 62.</w:t>
      </w:r>
    </w:p>
  </w:footnote>
  <w:footnote w:id="746">
    <w:p w:rsidR="002D334E" w:rsidRDefault="002D334E" w:rsidP="000A0378">
      <w:pPr>
        <w:pStyle w:val="FootnoteText"/>
      </w:pPr>
      <w:r>
        <w:rPr>
          <w:rStyle w:val="FootnoteReference"/>
        </w:rPr>
        <w:footnoteRef/>
      </w:r>
      <w:r>
        <w:t xml:space="preserve"> </w:t>
      </w:r>
      <w:r>
        <w:tab/>
        <w:t>[2016] ACT 1 at 180–222.</w:t>
      </w:r>
    </w:p>
  </w:footnote>
  <w:footnote w:id="747">
    <w:p w:rsidR="002D334E" w:rsidRDefault="002D334E" w:rsidP="000A0378">
      <w:pPr>
        <w:pStyle w:val="FootnoteText"/>
      </w:pPr>
      <w:r>
        <w:rPr>
          <w:rStyle w:val="FootnoteReference"/>
        </w:rPr>
        <w:footnoteRef/>
      </w:r>
      <w:r>
        <w:t xml:space="preserve"> </w:t>
      </w:r>
      <w:r>
        <w:tab/>
        <w:t>[2016] ACT 1 at pp. 200–201.</w:t>
      </w:r>
    </w:p>
  </w:footnote>
  <w:footnote w:id="748">
    <w:p w:rsidR="002D334E" w:rsidRDefault="002D334E" w:rsidP="000A0378">
      <w:pPr>
        <w:pStyle w:val="FootnoteText"/>
      </w:pPr>
      <w:r>
        <w:rPr>
          <w:rStyle w:val="FootnoteReference"/>
        </w:rPr>
        <w:footnoteRef/>
      </w:r>
      <w:r>
        <w:t xml:space="preserve"> </w:t>
      </w:r>
      <w:r>
        <w:tab/>
        <w:t>[2016] ACT 1 at 219–221.</w:t>
      </w:r>
    </w:p>
  </w:footnote>
  <w:footnote w:id="749">
    <w:p w:rsidR="002D334E" w:rsidRDefault="002D334E" w:rsidP="00A210B3">
      <w:pPr>
        <w:pStyle w:val="FootnoteText"/>
      </w:pPr>
      <w:r>
        <w:rPr>
          <w:rStyle w:val="FootnoteReference"/>
        </w:rPr>
        <w:footnoteRef/>
      </w:r>
      <w:r>
        <w:t xml:space="preserve"> </w:t>
      </w:r>
      <w:r>
        <w:tab/>
        <w:t>AusNet Services, TasNetworks, Powerlink.</w:t>
      </w:r>
    </w:p>
  </w:footnote>
  <w:footnote w:id="750">
    <w:p w:rsidR="002D334E" w:rsidRDefault="002D334E" w:rsidP="00A210B3">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143.</w:t>
      </w:r>
    </w:p>
  </w:footnote>
  <w:footnote w:id="751">
    <w:p w:rsidR="002D334E" w:rsidRDefault="002D334E" w:rsidP="00A210B3">
      <w:pPr>
        <w:pStyle w:val="FootnoteText"/>
      </w:pPr>
      <w:r>
        <w:rPr>
          <w:rStyle w:val="FootnoteReference"/>
        </w:rPr>
        <w:footnoteRef/>
      </w:r>
      <w:r>
        <w:t xml:space="preserve"> </w:t>
      </w:r>
      <w:r>
        <w:tab/>
        <w:t>AusNet Services</w:t>
      </w:r>
      <w:r w:rsidRPr="00DC0445">
        <w:rPr>
          <w:rStyle w:val="AERtextitalic"/>
        </w:rPr>
        <w:t>, AusNet Transmission Group Pty Ltd transmission revenue review 2017–2022</w:t>
      </w:r>
      <w:r>
        <w:t xml:space="preserve">, 30 October 2015, pp. 239–266; </w:t>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752">
    <w:p w:rsidR="002D334E" w:rsidRDefault="002D334E" w:rsidP="00A210B3">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753">
    <w:p w:rsidR="002D334E" w:rsidRDefault="002D334E" w:rsidP="00A210B3">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t>3.4.1</w:t>
      </w:r>
      <w:r>
        <w:fldChar w:fldCharType="end"/>
      </w:r>
      <w:r>
        <w:t>.</w:t>
      </w:r>
    </w:p>
  </w:footnote>
  <w:footnote w:id="754">
    <w:p w:rsidR="002D334E" w:rsidRDefault="002D334E" w:rsidP="00A210B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755">
    <w:p w:rsidR="002D334E" w:rsidRDefault="002D334E" w:rsidP="00A210B3">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56">
    <w:p w:rsidR="002D334E" w:rsidRDefault="002D334E" w:rsidP="00A210B3">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57">
    <w:p w:rsidR="002D334E" w:rsidRDefault="002D334E" w:rsidP="00A210B3">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58">
    <w:p w:rsidR="002D334E" w:rsidRDefault="002D334E"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59">
    <w:p w:rsidR="002D334E" w:rsidRDefault="002D334E"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760">
    <w:p w:rsidR="002D334E" w:rsidRDefault="002D334E" w:rsidP="00A210B3">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761">
    <w:p w:rsidR="002D334E" w:rsidRDefault="002D334E" w:rsidP="00A210B3">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762">
    <w:p w:rsidR="002D334E" w:rsidRDefault="002D334E"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63">
    <w:p w:rsidR="002D334E" w:rsidRDefault="002D334E"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64">
    <w:p w:rsidR="002D334E" w:rsidRDefault="002D334E"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765">
    <w:p w:rsidR="002D334E" w:rsidRDefault="002D334E" w:rsidP="00A210B3">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2D334E" w:rsidRDefault="002D334E" w:rsidP="00A210B3">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p w:rsidR="002D334E" w:rsidRDefault="002D334E" w:rsidP="00A210B3">
      <w:pPr>
        <w:pStyle w:val="FootnoteText"/>
      </w:pPr>
      <w:r>
        <w:tab/>
        <w:t>AusNet Services</w:t>
      </w:r>
      <w:r w:rsidRPr="00DC0445">
        <w:rPr>
          <w:rStyle w:val="AERtextitalic"/>
        </w:rPr>
        <w:t>, AusNet Transmission Group Pty Ltd transmission revenue review 2017–2022</w:t>
      </w:r>
      <w:r>
        <w:t>, 30 October 2015, pp. 239–266.</w:t>
      </w:r>
    </w:p>
  </w:footnote>
  <w:footnote w:id="766">
    <w:p w:rsidR="002D334E" w:rsidRDefault="002D334E" w:rsidP="00A210B3">
      <w:pPr>
        <w:pStyle w:val="FootnoteText"/>
      </w:pPr>
      <w:r>
        <w:rPr>
          <w:rStyle w:val="FootnoteReference"/>
        </w:rPr>
        <w:footnoteRef/>
      </w:r>
      <w:r>
        <w:t xml:space="preserve"> </w:t>
      </w:r>
      <w:r>
        <w:tab/>
        <w:t>ActewAGL, Jemena Electricity Networks, AusNet Services (Distribution and Transmission), CitiPower/Powercor, APTNT, Australian Gas Networks (AGN) and United Energy.</w:t>
      </w:r>
    </w:p>
  </w:footnote>
  <w:footnote w:id="767">
    <w:p w:rsidR="002D334E" w:rsidRDefault="002D334E" w:rsidP="00A210B3">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r>
        <w:t>; AusNet Services</w:t>
      </w:r>
      <w:r w:rsidRPr="00DC0445">
        <w:rPr>
          <w:rStyle w:val="AERtextitalic"/>
        </w:rPr>
        <w:t>, AusNet Transmission Group Pty Ltd transmission revenue review 2017–2022</w:t>
      </w:r>
      <w:r>
        <w:t>, 30 October 2015, pp. 239–266.</w:t>
      </w:r>
    </w:p>
  </w:footnote>
  <w:footnote w:id="768">
    <w:p w:rsidR="002D334E" w:rsidRDefault="002D334E" w:rsidP="00A210B3">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p w:rsidR="002D334E" w:rsidRDefault="002D334E" w:rsidP="00A210B3">
      <w:pPr>
        <w:pStyle w:val="FootnoteText"/>
      </w:pPr>
      <w:r>
        <w:tab/>
        <w:t>AusNet Services</w:t>
      </w:r>
      <w:r w:rsidRPr="00DC0445">
        <w:rPr>
          <w:rStyle w:val="AERtextitalic"/>
        </w:rPr>
        <w:t>, AusNet Transmission Group Pty Ltd transmission revenue review 2017–2022</w:t>
      </w:r>
      <w:r>
        <w:t>, 30 October 2015, pp. 195, 230–231; AusNet Services</w:t>
      </w:r>
      <w:r w:rsidRPr="00DC0445">
        <w:rPr>
          <w:rStyle w:val="AERtextitalic"/>
        </w:rPr>
        <w:t>, AusNet Transmission Group Pty Ltd transmission revenue review 2017–2022</w:t>
      </w:r>
      <w:r>
        <w:rPr>
          <w:rStyle w:val="AERtextitalic"/>
        </w:rPr>
        <w:t>: Revised Revenue Proposal</w:t>
      </w:r>
      <w:r>
        <w:t xml:space="preserve">, 21 September 2016, pp. 143 &amp; 146; </w:t>
      </w:r>
    </w:p>
  </w:footnote>
  <w:footnote w:id="769">
    <w:p w:rsidR="002D334E" w:rsidRDefault="002D334E" w:rsidP="00A210B3">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770">
    <w:p w:rsidR="002D334E" w:rsidRDefault="002D334E" w:rsidP="00A210B3">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771">
    <w:p w:rsidR="002D334E" w:rsidRDefault="002D334E" w:rsidP="00066E1D">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772">
    <w:p w:rsidR="002D334E" w:rsidRDefault="002D334E" w:rsidP="00A210B3">
      <w:pPr>
        <w:pStyle w:val="FootnoteText"/>
      </w:pPr>
      <w:r>
        <w:rPr>
          <w:rStyle w:val="FootnoteReference"/>
        </w:rPr>
        <w:footnoteRef/>
      </w:r>
      <w:r>
        <w:t xml:space="preserve"> </w:t>
      </w:r>
      <w:r>
        <w:tab/>
        <w:t>NER, cll. 6A.6.2 (g) and 6.5.2(g)</w:t>
      </w:r>
      <w:r w:rsidRPr="00C61D42">
        <w:t xml:space="preserve"> and NGR</w:t>
      </w:r>
      <w:r>
        <w:t>, r.</w:t>
      </w:r>
      <w:r w:rsidRPr="00C61D42">
        <w:t xml:space="preserve"> 87 (</w:t>
      </w:r>
      <w:r>
        <w:t>7).</w:t>
      </w:r>
      <w:r w:rsidRPr="00C61D42">
        <w:t xml:space="preserve"> </w:t>
      </w:r>
      <w:r w:rsidRPr="00146C6E">
        <w:t xml:space="preserve"> </w:t>
      </w:r>
      <w:r>
        <w:t xml:space="preserve"> </w:t>
      </w:r>
    </w:p>
  </w:footnote>
  <w:footnote w:id="773">
    <w:p w:rsidR="002D334E" w:rsidRDefault="002D334E" w:rsidP="00A210B3">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 AusNet Services</w:t>
      </w:r>
      <w:r w:rsidRPr="008170DA">
        <w:rPr>
          <w:rStyle w:val="AERtextitalic"/>
        </w:rPr>
        <w:t>, AusNet Transmission Group Pty Ltd transmission revenue review 2017–2022</w:t>
      </w:r>
      <w:r>
        <w:t>, 30 October 2015, pp. 204–223, 239–266.</w:t>
      </w:r>
    </w:p>
  </w:footnote>
  <w:footnote w:id="774">
    <w:p w:rsidR="002D334E" w:rsidRDefault="002D334E" w:rsidP="00A210B3">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775">
    <w:p w:rsidR="002D334E" w:rsidRDefault="002D334E"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w:t>
      </w:r>
      <w:r>
        <w:rPr>
          <w:rStyle w:val="AERtextitalic"/>
        </w:rPr>
        <w:t>et Services transmission group Pty L</w:t>
      </w:r>
      <w:r w:rsidRPr="0083726D">
        <w:rPr>
          <w:rStyle w:val="AERtextitalic"/>
        </w:rPr>
        <w:t>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776">
    <w:p w:rsidR="002D334E" w:rsidRDefault="002D334E" w:rsidP="00A210B3">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 xml:space="preserve">Transmission for the generations: Response to proposal by AusNet Services transmission group </w:t>
      </w:r>
      <w:r>
        <w:rPr>
          <w:rStyle w:val="Emphasis"/>
        </w:rPr>
        <w:t>Pty L</w:t>
      </w:r>
      <w:r w:rsidRPr="00092C84">
        <w:rPr>
          <w:rStyle w:val="Emphasis"/>
        </w:rPr>
        <w:t>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777">
    <w:p w:rsidR="002D334E" w:rsidRDefault="002D334E" w:rsidP="00A210B3">
      <w:pPr>
        <w:pStyle w:val="FootnoteText"/>
      </w:pPr>
      <w:r>
        <w:rPr>
          <w:rStyle w:val="FootnoteReference"/>
        </w:rPr>
        <w:footnoteRef/>
      </w:r>
      <w:r>
        <w:t xml:space="preserve"> CCP5, Transmission for the Generations III–Response to: Revised revenue proposal by AusNet Services for Transmission Revenue Review 2017–22, October 2016, p. 18.</w:t>
      </w:r>
    </w:p>
  </w:footnote>
  <w:footnote w:id="778">
    <w:p w:rsidR="002D334E" w:rsidRDefault="002D334E" w:rsidP="00A210B3">
      <w:pPr>
        <w:pStyle w:val="FootnoteText"/>
      </w:pPr>
      <w:r>
        <w:rPr>
          <w:rStyle w:val="FootnoteReference"/>
        </w:rPr>
        <w:footnoteRef/>
      </w:r>
      <w:r>
        <w:t xml:space="preserve"> </w:t>
      </w:r>
      <w:r>
        <w:tab/>
        <w:t>CCP5, Transmission for the Generations III–Response to: AER draft decision for AusNet Services’ Transmission Revenue Review 2017–22, October 2016, pp. 20–21.</w:t>
      </w:r>
    </w:p>
  </w:footnote>
  <w:footnote w:id="779">
    <w:p w:rsidR="002D334E" w:rsidRDefault="002D334E" w:rsidP="00156301">
      <w:pPr>
        <w:pStyle w:val="FootnoteText"/>
      </w:pPr>
      <w:r>
        <w:rPr>
          <w:rStyle w:val="FootnoteReference"/>
        </w:rPr>
        <w:footnoteRef/>
      </w:r>
      <w:r>
        <w:t xml:space="preserve"> </w:t>
      </w:r>
      <w:r>
        <w:tab/>
      </w:r>
      <w:r w:rsidRPr="00EF3C65">
        <w:t xml:space="preserve">CCP4 (David Headberry), </w:t>
      </w:r>
      <w:r w:rsidRPr="009308C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w:t>
      </w:r>
    </w:p>
  </w:footnote>
  <w:footnote w:id="780">
    <w:p w:rsidR="002D334E" w:rsidRDefault="002D334E" w:rsidP="00156301">
      <w:pPr>
        <w:pStyle w:val="FootnoteText"/>
      </w:pPr>
      <w:r>
        <w:rPr>
          <w:rStyle w:val="FootnoteReference"/>
        </w:rPr>
        <w:footnoteRef/>
      </w:r>
      <w:r>
        <w:t xml:space="preserve"> </w:t>
      </w:r>
      <w:r>
        <w:tab/>
        <w:t xml:space="preserve">Queensland farmers’ federation, </w:t>
      </w:r>
      <w:r w:rsidRPr="009308C4">
        <w:rPr>
          <w:rStyle w:val="AERtextitalic"/>
        </w:rPr>
        <w:t>Re: Response on Australian Energy Regulator (AER) Draft Decision on Powerlink's revenue proposal for the 2017/18 –2021/22 regulatory period</w:t>
      </w:r>
      <w:r>
        <w:t>, 30 November 2016.</w:t>
      </w:r>
    </w:p>
  </w:footnote>
  <w:footnote w:id="781">
    <w:p w:rsidR="002D334E" w:rsidRDefault="002D334E" w:rsidP="00A210B3">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p w:rsidR="002D334E" w:rsidRDefault="002D334E" w:rsidP="00A210B3">
      <w:pPr>
        <w:pStyle w:val="FootnoteText"/>
      </w:pPr>
      <w:r>
        <w:tab/>
        <w:t>AusNet Services</w:t>
      </w:r>
      <w:r w:rsidRPr="00DC0445">
        <w:rPr>
          <w:rStyle w:val="AERtextitalic"/>
        </w:rPr>
        <w:t>, AusNet Transmission Group Pty Ltd transmission revenue review 2017–2022</w:t>
      </w:r>
      <w:r>
        <w:t>, 30 October 2015, pp. 214, 250–260.</w:t>
      </w:r>
    </w:p>
  </w:footnote>
  <w:footnote w:id="782">
    <w:p w:rsidR="002D334E" w:rsidRDefault="002D334E"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83">
    <w:p w:rsidR="002D334E" w:rsidRDefault="002D334E"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784">
    <w:p w:rsidR="002D334E" w:rsidRPr="00892F96" w:rsidRDefault="002D334E" w:rsidP="00A210B3">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85">
    <w:p w:rsidR="002D334E" w:rsidRDefault="002D334E"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786">
    <w:p w:rsidR="002D334E" w:rsidRPr="00892F96" w:rsidRDefault="002D334E" w:rsidP="00A210B3">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87">
    <w:p w:rsidR="002D334E" w:rsidRDefault="002D334E" w:rsidP="00A210B3">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788">
    <w:p w:rsidR="002D334E" w:rsidRDefault="002D334E"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789">
    <w:p w:rsidR="002D334E" w:rsidRDefault="002D334E" w:rsidP="00A210B3">
      <w:pPr>
        <w:pStyle w:val="FootnoteText"/>
      </w:pPr>
      <w:r>
        <w:rPr>
          <w:rStyle w:val="FootnoteReference"/>
        </w:rPr>
        <w:footnoteRef/>
      </w:r>
      <w:r>
        <w:t xml:space="preserve"> </w:t>
      </w:r>
      <w:r>
        <w:tab/>
        <w:t>Generalised least squares.</w:t>
      </w:r>
    </w:p>
  </w:footnote>
  <w:footnote w:id="790">
    <w:p w:rsidR="002D334E" w:rsidRDefault="002D334E" w:rsidP="00A210B3">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791">
    <w:p w:rsidR="002D334E" w:rsidRDefault="002D334E" w:rsidP="00A210B3">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92">
    <w:p w:rsidR="002D334E" w:rsidRDefault="002D334E" w:rsidP="00A210B3">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93">
    <w:p w:rsidR="002D334E" w:rsidRDefault="002D334E" w:rsidP="00A210B3">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94">
    <w:p w:rsidR="002D334E" w:rsidRDefault="002D334E"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SFG, </w:t>
      </w:r>
      <w:r w:rsidRPr="00C9290A">
        <w:rPr>
          <w:rStyle w:val="AERtextitalic"/>
        </w:rPr>
        <w:t>Cost of Equity in the Black Capital Asset Pricing Model</w:t>
      </w:r>
      <w:r>
        <w:t>, 22 May 2014, p. 3.</w:t>
      </w:r>
    </w:p>
  </w:footnote>
  <w:footnote w:id="795">
    <w:p w:rsidR="002D334E" w:rsidRDefault="002D334E"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96">
    <w:p w:rsidR="002D334E" w:rsidRDefault="002D334E"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97">
    <w:p w:rsidR="002D334E" w:rsidRDefault="002D334E" w:rsidP="00A210B3">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98">
    <w:p w:rsidR="002D334E" w:rsidRDefault="002D334E"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99">
    <w:p w:rsidR="002D334E" w:rsidRDefault="002D334E"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800">
    <w:p w:rsidR="002D334E" w:rsidRDefault="002D334E" w:rsidP="00A210B3">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801">
    <w:p w:rsidR="002D334E" w:rsidRDefault="002D334E" w:rsidP="00A210B3">
      <w:pPr>
        <w:pStyle w:val="FootnoteText"/>
      </w:pPr>
      <w:r>
        <w:rPr>
          <w:rStyle w:val="FootnoteReference"/>
        </w:rPr>
        <w:footnoteRef/>
      </w:r>
      <w:r>
        <w:t xml:space="preserve"> </w:t>
      </w:r>
      <w:r>
        <w:tab/>
        <w:t>Partington and Satchell, draft report, April 2015, p. 50.</w:t>
      </w:r>
    </w:p>
  </w:footnote>
  <w:footnote w:id="802">
    <w:p w:rsidR="002D334E" w:rsidRDefault="002D334E" w:rsidP="00A210B3">
      <w:pPr>
        <w:pStyle w:val="FootnoteText"/>
      </w:pPr>
      <w:r>
        <w:rPr>
          <w:rStyle w:val="FootnoteReference"/>
        </w:rPr>
        <w:footnoteRef/>
      </w:r>
      <w:r>
        <w:t xml:space="preserve"> </w:t>
      </w:r>
      <w:r>
        <w:tab/>
        <w:t>Partington and Satchell, draft report, April 2015, p. 50.</w:t>
      </w:r>
    </w:p>
  </w:footnote>
  <w:footnote w:id="803">
    <w:p w:rsidR="002D334E" w:rsidRDefault="002D334E"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804">
    <w:p w:rsidR="002D334E" w:rsidRDefault="002D334E"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805">
    <w:p w:rsidR="002D334E" w:rsidRDefault="002D334E" w:rsidP="00A210B3">
      <w:pPr>
        <w:pStyle w:val="FootnoteText"/>
      </w:pPr>
      <w:r>
        <w:rPr>
          <w:rStyle w:val="FootnoteReference"/>
        </w:rPr>
        <w:footnoteRef/>
      </w:r>
      <w:r>
        <w:t xml:space="preserve"> </w:t>
      </w:r>
      <w:r>
        <w:tab/>
        <w:t>Partington and Satchell, draft report, April 2015, p. 45.</w:t>
      </w:r>
    </w:p>
  </w:footnote>
  <w:footnote w:id="806">
    <w:p w:rsidR="002D334E" w:rsidRDefault="002D334E"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807">
    <w:p w:rsidR="002D334E" w:rsidRDefault="002D334E"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808">
    <w:p w:rsidR="002D334E" w:rsidRDefault="002D334E" w:rsidP="00A210B3">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809">
    <w:p w:rsidR="002D334E" w:rsidRDefault="002D334E"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810">
    <w:p w:rsidR="002D334E" w:rsidRDefault="002D334E" w:rsidP="00A210B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11">
    <w:p w:rsidR="002D334E" w:rsidRDefault="002D334E" w:rsidP="00A210B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12">
    <w:p w:rsidR="002D334E" w:rsidRDefault="002D334E" w:rsidP="00A210B3">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813">
    <w:p w:rsidR="002D334E" w:rsidRDefault="002D334E" w:rsidP="00A210B3">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814">
    <w:p w:rsidR="002D334E" w:rsidRDefault="002D334E"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815">
    <w:p w:rsidR="002D334E" w:rsidRDefault="002D334E" w:rsidP="00A210B3">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816">
    <w:p w:rsidR="002D334E" w:rsidRDefault="002D334E" w:rsidP="00A210B3">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817">
    <w:p w:rsidR="002D334E" w:rsidRDefault="002D334E" w:rsidP="00A210B3">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p w:rsidR="002D334E" w:rsidRDefault="002D334E" w:rsidP="00A210B3">
      <w:pPr>
        <w:pStyle w:val="FootnoteText"/>
      </w:pPr>
      <w:r>
        <w:tab/>
        <w:t>AusNet Services</w:t>
      </w:r>
      <w:r w:rsidRPr="00DC0445">
        <w:rPr>
          <w:rStyle w:val="AERtextitalic"/>
        </w:rPr>
        <w:t>, AusNet Transmission Group Pty Ltd transmission revenue review 2017–2022</w:t>
      </w:r>
      <w:r>
        <w:t>, 30 October 2015, pp. 263–266.</w:t>
      </w:r>
    </w:p>
  </w:footnote>
  <w:footnote w:id="818">
    <w:p w:rsidR="002D334E" w:rsidRDefault="002D334E" w:rsidP="00A210B3">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r>
        <w:t>.</w:t>
      </w:r>
    </w:p>
    <w:p w:rsidR="002D334E" w:rsidRDefault="002D334E" w:rsidP="00A210B3">
      <w:pPr>
        <w:pStyle w:val="FootnoteText"/>
      </w:pPr>
      <w:r>
        <w:tab/>
        <w:t>AusNet Services</w:t>
      </w:r>
      <w:r w:rsidRPr="00DC0445">
        <w:rPr>
          <w:rStyle w:val="AERtextitalic"/>
        </w:rPr>
        <w:t>, AusNet Transmission Group Pty Ltd transmission revenue review 2017–2022</w:t>
      </w:r>
      <w:r>
        <w:t xml:space="preserve">, 30 October 2015, pp. 250–255. </w:t>
      </w:r>
    </w:p>
  </w:footnote>
  <w:footnote w:id="819">
    <w:p w:rsidR="002D334E" w:rsidRDefault="002D334E" w:rsidP="00A210B3">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 xml:space="preserve">2016–17 to 2020/21 Access Arrangement information response to draft </w:t>
      </w:r>
      <w:r>
        <w:rPr>
          <w:rStyle w:val="Emphasis"/>
        </w:rPr>
        <w:t>decision: Attachment 10.26 Response</w:t>
      </w:r>
      <w:r w:rsidRPr="00BC555B">
        <w:rPr>
          <w:rStyle w:val="Emphasis"/>
        </w:rPr>
        <w:t xml:space="preserv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820">
    <w:p w:rsidR="002D334E" w:rsidRDefault="002D334E"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21">
    <w:p w:rsidR="002D334E" w:rsidRDefault="002D334E" w:rsidP="00A210B3">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p w:rsidR="002D334E" w:rsidRDefault="002D334E" w:rsidP="00A210B3">
      <w:pPr>
        <w:pStyle w:val="FootnoteText"/>
      </w:pPr>
      <w:r>
        <w:tab/>
        <w:t>AusNet Services</w:t>
      </w:r>
      <w:r w:rsidRPr="00172CD0">
        <w:rPr>
          <w:rStyle w:val="AERtextitalic"/>
        </w:rPr>
        <w:t>, AusNet Transmission Group Pty Ltd transmission revenue review 2017–2022</w:t>
      </w:r>
      <w:r>
        <w:t>, 30 October 2015, p. 239.</w:t>
      </w:r>
    </w:p>
  </w:footnote>
  <w:footnote w:id="822">
    <w:p w:rsidR="002D334E" w:rsidRDefault="002D334E" w:rsidP="00A210B3">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p w:rsidR="002D334E" w:rsidRDefault="002D334E" w:rsidP="00A210B3">
      <w:pPr>
        <w:pStyle w:val="FootnoteText"/>
      </w:pPr>
      <w:r>
        <w:tab/>
        <w:t>AusNet Services</w:t>
      </w:r>
      <w:r w:rsidRPr="00172CD0">
        <w:rPr>
          <w:rStyle w:val="AERtextitalic"/>
        </w:rPr>
        <w:t>, AusNet Transmission Group Pty Ltd transmission revenue review 2017–2022</w:t>
      </w:r>
      <w:r>
        <w:t xml:space="preserve">, 30 October 2015, pp. 257–259. </w:t>
      </w:r>
    </w:p>
  </w:footnote>
  <w:footnote w:id="823">
    <w:p w:rsidR="002D334E" w:rsidRDefault="002D334E"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824">
    <w:p w:rsidR="002D334E" w:rsidRDefault="002D334E"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825">
    <w:p w:rsidR="002D334E" w:rsidRDefault="002D334E"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826">
    <w:p w:rsidR="002D334E" w:rsidRDefault="002D334E"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827">
    <w:p w:rsidR="002D334E" w:rsidRDefault="002D334E"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28">
    <w:p w:rsidR="002D334E" w:rsidRDefault="002D334E"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29">
    <w:p w:rsidR="002D334E" w:rsidRDefault="002D334E"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830">
    <w:p w:rsidR="002D334E" w:rsidRDefault="002D334E" w:rsidP="00A210B3">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831">
    <w:p w:rsidR="002D334E" w:rsidRDefault="002D334E"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832">
    <w:p w:rsidR="002D334E" w:rsidRDefault="002D334E"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833">
    <w:p w:rsidR="002D334E" w:rsidRDefault="002D334E" w:rsidP="00A210B3">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834">
    <w:p w:rsidR="002D334E" w:rsidRDefault="002D334E"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35">
    <w:p w:rsidR="002D334E" w:rsidRDefault="002D334E"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36">
    <w:p w:rsidR="002D334E" w:rsidRDefault="002D334E"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837">
    <w:p w:rsidR="002D334E" w:rsidRDefault="002D334E"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838">
    <w:p w:rsidR="002D334E" w:rsidRDefault="002D334E" w:rsidP="00A210B3">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839">
    <w:p w:rsidR="002D334E" w:rsidRDefault="002D334E"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40">
    <w:p w:rsidR="002D334E" w:rsidRDefault="002D334E" w:rsidP="00A210B3">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841">
    <w:p w:rsidR="002D334E" w:rsidRDefault="002D334E" w:rsidP="00A210B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r>
        <w:tab/>
      </w:r>
    </w:p>
  </w:footnote>
  <w:footnote w:id="842">
    <w:p w:rsidR="002D334E" w:rsidRDefault="002D334E"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43">
    <w:p w:rsidR="002D334E" w:rsidRDefault="002D334E" w:rsidP="00A210B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r>
        <w:tab/>
      </w:r>
    </w:p>
  </w:footnote>
  <w:footnote w:id="844">
    <w:p w:rsidR="002D334E" w:rsidRDefault="002D334E"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pp. 217, 239–244, 255–259.</w:t>
      </w:r>
    </w:p>
  </w:footnote>
  <w:footnote w:id="845">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46">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847">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848">
    <w:p w:rsidR="002D334E" w:rsidRDefault="002D334E"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849">
    <w:p w:rsidR="002D334E" w:rsidRDefault="002D334E"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850">
    <w:p w:rsidR="002D334E" w:rsidRDefault="002D334E" w:rsidP="00A210B3">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851">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852">
    <w:p w:rsidR="002D334E" w:rsidRDefault="002D334E"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853">
    <w:p w:rsidR="002D334E" w:rsidRDefault="002D334E" w:rsidP="00A210B3">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854">
    <w:p w:rsidR="002D334E" w:rsidRDefault="002D334E" w:rsidP="00A210B3">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855">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856">
    <w:p w:rsidR="002D334E" w:rsidRDefault="002D334E"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857">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858">
    <w:p w:rsidR="002D334E" w:rsidRDefault="002D334E" w:rsidP="00A210B3">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p w:rsidR="002D334E" w:rsidRDefault="002D334E" w:rsidP="00A210B3">
      <w:pPr>
        <w:pStyle w:val="FootnoteText"/>
      </w:pPr>
      <w:r>
        <w:tab/>
        <w:t>AusNet Services</w:t>
      </w:r>
      <w:r w:rsidRPr="00172CD0">
        <w:rPr>
          <w:rStyle w:val="AERtextitalic"/>
        </w:rPr>
        <w:t>, AusNet Transmission Group Pty Ltd transmission revenue review 2017–2022</w:t>
      </w:r>
      <w:r>
        <w:t>, 30 October 2015, pp. 222–223, 250–255.</w:t>
      </w:r>
    </w:p>
  </w:footnote>
  <w:footnote w:id="859">
    <w:p w:rsidR="002D334E" w:rsidRDefault="002D334E"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860">
    <w:p w:rsidR="002D334E" w:rsidRDefault="002D334E"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861">
    <w:p w:rsidR="002D334E" w:rsidRDefault="002D334E" w:rsidP="00A210B3">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862">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63">
    <w:p w:rsidR="002D334E" w:rsidRDefault="002D334E"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864">
    <w:p w:rsidR="002D334E" w:rsidRDefault="002D334E"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865">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66">
    <w:p w:rsidR="002D334E" w:rsidRDefault="002D334E"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867">
    <w:p w:rsidR="002D334E" w:rsidRDefault="002D334E" w:rsidP="009A1A4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868">
    <w:p w:rsidR="002D334E" w:rsidRDefault="002D334E" w:rsidP="009A1A4E">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t>3.4.1</w:t>
      </w:r>
      <w:r>
        <w:fldChar w:fldCharType="end"/>
      </w:r>
      <w:r>
        <w:t>.</w:t>
      </w:r>
    </w:p>
  </w:footnote>
  <w:footnote w:id="869">
    <w:p w:rsidR="002D334E" w:rsidRDefault="002D334E" w:rsidP="009A1A4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r>
        <w:t>.</w:t>
      </w:r>
    </w:p>
  </w:footnote>
  <w:footnote w:id="870">
    <w:p w:rsidR="002D334E" w:rsidRDefault="002D334E"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871">
    <w:p w:rsidR="002D334E" w:rsidRDefault="002D334E"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872">
    <w:p w:rsidR="002D334E" w:rsidRDefault="002D334E" w:rsidP="009A1A4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873">
    <w:p w:rsidR="002D334E" w:rsidRDefault="002D334E" w:rsidP="009A1A4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p w:rsidR="002D334E" w:rsidRDefault="002D334E" w:rsidP="009A1A4E">
      <w:pPr>
        <w:pStyle w:val="FootnoteText"/>
      </w:pPr>
      <w:r>
        <w:tab/>
        <w:t>AusNet Services</w:t>
      </w:r>
      <w:r w:rsidRPr="00172CD0">
        <w:rPr>
          <w:rStyle w:val="AERtextitalic"/>
        </w:rPr>
        <w:t>, AusNet Transmission Group Pty Ltd transmission revenue review 2017–2022</w:t>
      </w:r>
      <w:r>
        <w:t>, 30 October 2015, p. 223.</w:t>
      </w:r>
    </w:p>
  </w:footnote>
  <w:footnote w:id="874">
    <w:p w:rsidR="002D334E" w:rsidRDefault="002D334E" w:rsidP="009A1A4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875">
    <w:p w:rsidR="002D334E" w:rsidRDefault="002D334E" w:rsidP="009A1A4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876">
    <w:p w:rsidR="002D334E" w:rsidRDefault="002D334E" w:rsidP="009A1A4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877">
    <w:p w:rsidR="002D334E" w:rsidRDefault="002D334E" w:rsidP="009A1A4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878">
    <w:p w:rsidR="002D334E" w:rsidRDefault="002D334E" w:rsidP="009A1A4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879">
    <w:p w:rsidR="002D334E" w:rsidRDefault="002D334E"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880">
    <w:p w:rsidR="002D334E" w:rsidRDefault="002D334E"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881">
    <w:p w:rsidR="002D334E" w:rsidRDefault="002D334E" w:rsidP="009A1A4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882">
    <w:p w:rsidR="002D334E" w:rsidRDefault="002D334E" w:rsidP="009A1A4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883">
    <w:p w:rsidR="002D334E" w:rsidRDefault="002D334E" w:rsidP="009A1A4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84">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85">
    <w:p w:rsidR="002D334E" w:rsidRDefault="002D334E" w:rsidP="009A1A4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86">
    <w:p w:rsidR="002D334E" w:rsidRDefault="002D334E" w:rsidP="009A1A4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87">
    <w:p w:rsidR="002D334E" w:rsidRDefault="002D334E" w:rsidP="009A1A4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888">
    <w:p w:rsidR="002D334E" w:rsidRDefault="002D334E" w:rsidP="009A1A4E">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889">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890">
    <w:p w:rsidR="002D334E" w:rsidRDefault="002D334E" w:rsidP="009A1A4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891">
    <w:p w:rsidR="002D334E" w:rsidRDefault="002D334E" w:rsidP="009A1A4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892">
    <w:p w:rsidR="002D334E" w:rsidRDefault="002D334E" w:rsidP="009A1A4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893">
    <w:p w:rsidR="002D334E" w:rsidRDefault="002D334E" w:rsidP="009A1A4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894">
    <w:p w:rsidR="002D334E" w:rsidRDefault="002D334E"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p w:rsidR="002D334E" w:rsidRDefault="002D334E" w:rsidP="009A1A4E">
      <w:pPr>
        <w:pStyle w:val="FootnoteText"/>
      </w:pPr>
      <w:r>
        <w:tab/>
        <w:t>AusNet Services</w:t>
      </w:r>
      <w:r w:rsidRPr="00172CD0">
        <w:rPr>
          <w:rStyle w:val="AERtextitalic"/>
        </w:rPr>
        <w:t>, AusNet Transmission Group Pty Ltd transmission revenue review 2017–2022</w:t>
      </w:r>
      <w:r>
        <w:t>, 30 October 2015, pp. 204–223.</w:t>
      </w:r>
    </w:p>
  </w:footnote>
  <w:footnote w:id="895">
    <w:p w:rsidR="002D334E" w:rsidRDefault="002D334E" w:rsidP="009A1A4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 pp. 58-65.</w:t>
      </w:r>
    </w:p>
  </w:footnote>
  <w:footnote w:id="896">
    <w:p w:rsidR="002D334E" w:rsidRDefault="002D334E"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 AusNet Services</w:t>
      </w:r>
      <w:r w:rsidRPr="00172CD0">
        <w:rPr>
          <w:rStyle w:val="AERtextitalic"/>
        </w:rPr>
        <w:t>, AusNet Transmission Group Pty Ltd transmission revenue review 2017–2022</w:t>
      </w:r>
      <w:r>
        <w:t>, 30 October 2015, pp. 259–263.</w:t>
      </w:r>
    </w:p>
  </w:footnote>
  <w:footnote w:id="897">
    <w:p w:rsidR="002D334E" w:rsidRDefault="002D334E"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898">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899">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900">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901">
    <w:p w:rsidR="002D334E" w:rsidRDefault="002D334E"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902">
    <w:p w:rsidR="002D334E" w:rsidRDefault="002D334E"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903">
    <w:p w:rsidR="002D334E" w:rsidRDefault="002D334E" w:rsidP="009A1A4E">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904">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905">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906">
    <w:p w:rsidR="002D334E" w:rsidRDefault="002D334E"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907">
    <w:p w:rsidR="002D334E" w:rsidRDefault="002D334E"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908">
    <w:p w:rsidR="002D334E" w:rsidRDefault="002D334E" w:rsidP="009A1A4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909">
    <w:p w:rsidR="002D334E" w:rsidRDefault="002D334E"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910">
    <w:p w:rsidR="002D334E" w:rsidRDefault="002D334E" w:rsidP="009A1A4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911">
    <w:p w:rsidR="002D334E" w:rsidRDefault="002D334E" w:rsidP="009A1A4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912">
    <w:p w:rsidR="002D334E" w:rsidRDefault="002D334E"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913">
    <w:p w:rsidR="002D334E" w:rsidRDefault="002D334E" w:rsidP="009A1A4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914">
    <w:p w:rsidR="002D334E" w:rsidRDefault="002D334E" w:rsidP="009A1A4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915">
    <w:p w:rsidR="002D334E" w:rsidRDefault="002D334E" w:rsidP="009A1A4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916">
    <w:p w:rsidR="002D334E" w:rsidRDefault="002D334E"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917">
    <w:p w:rsidR="002D334E" w:rsidRDefault="002D334E" w:rsidP="009A1A4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918">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19">
    <w:p w:rsidR="002D334E" w:rsidRDefault="002D334E" w:rsidP="009A1A4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920">
    <w:p w:rsidR="002D334E" w:rsidRDefault="002D334E"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21">
    <w:p w:rsidR="002D334E" w:rsidRDefault="002D334E" w:rsidP="009A1A4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922">
    <w:p w:rsidR="002D334E" w:rsidRDefault="002D334E" w:rsidP="009A1A4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923">
    <w:p w:rsidR="002D334E" w:rsidRDefault="002D334E" w:rsidP="009A1A4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924">
    <w:p w:rsidR="002D334E" w:rsidRDefault="002D334E"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p w:rsidR="002D334E" w:rsidRDefault="002D334E" w:rsidP="009A1A4E">
      <w:pPr>
        <w:pStyle w:val="FootnoteText"/>
      </w:pPr>
      <w:r>
        <w:tab/>
        <w:t>AusNet Services</w:t>
      </w:r>
      <w:r w:rsidRPr="00172CD0">
        <w:rPr>
          <w:rStyle w:val="AERtextitalic"/>
        </w:rPr>
        <w:t>, AusNet Transmission Group Pty Ltd transmission revenue review 2017–2022</w:t>
      </w:r>
      <w:r>
        <w:t>, 30 October 2015, pp. 210–211.</w:t>
      </w:r>
    </w:p>
  </w:footnote>
  <w:footnote w:id="925">
    <w:p w:rsidR="002D334E" w:rsidRDefault="002D334E"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926">
    <w:p w:rsidR="002D334E" w:rsidRDefault="002D334E"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p w:rsidR="002D334E" w:rsidRDefault="002D334E" w:rsidP="009A1A4E">
      <w:pPr>
        <w:pStyle w:val="FootnoteText"/>
      </w:pPr>
      <w:r>
        <w:tab/>
        <w:t>AusNet Services</w:t>
      </w:r>
      <w:r w:rsidRPr="00172CD0">
        <w:rPr>
          <w:rStyle w:val="AERtextitalic"/>
        </w:rPr>
        <w:t>, AusNet Transmission Group Pty Ltd transmission revenue review 2017–2022</w:t>
      </w:r>
      <w:r>
        <w:t>, 30 October 2015, pp. 214–215, 217, 250–263.</w:t>
      </w:r>
    </w:p>
  </w:footnote>
  <w:footnote w:id="927">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928">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929">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930">
    <w:p w:rsidR="002D334E" w:rsidRDefault="002D334E" w:rsidP="009A1A4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31">
    <w:p w:rsidR="002D334E" w:rsidRDefault="002D334E"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32">
    <w:p w:rsidR="002D334E" w:rsidRDefault="002D334E"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33">
    <w:p w:rsidR="002D334E" w:rsidRDefault="002D334E" w:rsidP="009A1A4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34">
    <w:p w:rsidR="002D334E" w:rsidRDefault="002D334E" w:rsidP="009A1A4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35">
    <w:p w:rsidR="002D334E" w:rsidRDefault="002D334E" w:rsidP="009A1A4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36">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37">
    <w:p w:rsidR="002D334E" w:rsidRDefault="002D334E" w:rsidP="009A1A4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38">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39">
    <w:p w:rsidR="002D334E" w:rsidRDefault="002D334E" w:rsidP="009A1A4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40">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41">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942">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943">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944">
    <w:p w:rsidR="002D334E" w:rsidRDefault="002D334E" w:rsidP="009A1A4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945">
    <w:p w:rsidR="002D334E" w:rsidRDefault="002D334E"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946">
    <w:p w:rsidR="002D334E" w:rsidRDefault="002D334E"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947">
    <w:p w:rsidR="002D334E" w:rsidRDefault="002D334E"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48">
    <w:p w:rsidR="002D334E" w:rsidRDefault="002D334E"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49">
    <w:p w:rsidR="002D334E" w:rsidRDefault="002D334E"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p w:rsidR="002D334E" w:rsidRDefault="002D334E" w:rsidP="009A1A4E">
      <w:pPr>
        <w:pStyle w:val="FootnoteText"/>
      </w:pPr>
      <w:r>
        <w:tab/>
        <w:t>AusNet Services</w:t>
      </w:r>
      <w:r w:rsidRPr="00172CD0">
        <w:rPr>
          <w:rStyle w:val="AERtextitalic"/>
        </w:rPr>
        <w:t>, AusNet Transmission Group Pty Ltd transmission revenue review 2017–2022</w:t>
      </w:r>
      <w:r>
        <w:t>, 30 October 2015, pp. 200–223, 244–250.</w:t>
      </w:r>
    </w:p>
  </w:footnote>
  <w:footnote w:id="950">
    <w:p w:rsidR="002D334E" w:rsidRDefault="002D334E" w:rsidP="0089007A">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rPr>
          <w:rStyle w:val="AERtextitalic"/>
        </w:rPr>
        <w:t>: Revised revenue proposal</w:t>
      </w:r>
      <w:r>
        <w:t>, 21 September 2016, pp. 147–154.</w:t>
      </w:r>
    </w:p>
  </w:footnote>
  <w:footnote w:id="951">
    <w:p w:rsidR="002D334E" w:rsidRDefault="002D334E"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952">
    <w:p w:rsidR="002D334E" w:rsidRDefault="002D334E" w:rsidP="009A1A4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53">
    <w:p w:rsidR="002D334E" w:rsidRDefault="002D334E" w:rsidP="009A1A4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r>
        <w:t xml:space="preserve"> </w:t>
      </w:r>
    </w:p>
    <w:p w:rsidR="002D334E" w:rsidRDefault="002D334E" w:rsidP="009A1A4E">
      <w:pPr>
        <w:pStyle w:val="FootnoteText"/>
      </w:pPr>
      <w:r>
        <w:tab/>
        <w:t>AusNet Services</w:t>
      </w:r>
      <w:r w:rsidRPr="00172CD0">
        <w:rPr>
          <w:rStyle w:val="AERtextitalic"/>
        </w:rPr>
        <w:t>, AusNet Transmission Group Pty Ltd transmission revenue review 2017–2022</w:t>
      </w:r>
      <w:r>
        <w:t>, 30 October 2015, pp. 196–223.</w:t>
      </w:r>
    </w:p>
  </w:footnote>
  <w:footnote w:id="954">
    <w:p w:rsidR="002D334E" w:rsidRDefault="002D334E"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955">
    <w:p w:rsidR="002D334E" w:rsidRDefault="002D334E"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956">
    <w:p w:rsidR="002D334E" w:rsidRDefault="002D334E"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957">
    <w:p w:rsidR="002D334E" w:rsidRDefault="002D334E"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958">
    <w:p w:rsidR="002D334E" w:rsidRDefault="002D334E"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959">
    <w:p w:rsidR="002D334E" w:rsidRDefault="002D334E"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960">
    <w:p w:rsidR="002D334E" w:rsidRDefault="002D334E" w:rsidP="009A1A4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961">
    <w:p w:rsidR="002D334E" w:rsidRDefault="002D334E" w:rsidP="009A1A4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962">
    <w:p w:rsidR="002D334E" w:rsidRDefault="002D334E" w:rsidP="00C33F1F">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963">
    <w:p w:rsidR="002D334E" w:rsidRDefault="002D334E" w:rsidP="00C33F1F">
      <w:pPr>
        <w:pStyle w:val="FootnoteText"/>
      </w:pPr>
      <w:r>
        <w:rPr>
          <w:rStyle w:val="FootnoteReference"/>
        </w:rPr>
        <w:footnoteRef/>
      </w:r>
      <w:r>
        <w:t xml:space="preserve"> </w:t>
      </w:r>
      <w:r>
        <w:tab/>
        <w:t xml:space="preserve">Bringham and Daves state, 'The CAPM is an ex-ante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964">
    <w:p w:rsidR="002D334E" w:rsidRDefault="002D334E" w:rsidP="00C33F1F">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965">
    <w:p w:rsidR="002D334E" w:rsidRDefault="002D334E" w:rsidP="00C33F1F">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966">
    <w:p w:rsidR="002D334E" w:rsidRDefault="002D334E" w:rsidP="00C33F1F">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967">
    <w:p w:rsidR="002D334E" w:rsidRDefault="002D334E" w:rsidP="00C33F1F">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968">
    <w:p w:rsidR="002D334E" w:rsidRDefault="002D334E" w:rsidP="00C33F1F">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969">
    <w:p w:rsidR="002D334E" w:rsidRDefault="002D334E" w:rsidP="00C33F1F">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970">
    <w:p w:rsidR="002D334E" w:rsidRDefault="002D334E" w:rsidP="00C33F1F">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971">
    <w:p w:rsidR="002D334E" w:rsidRDefault="002D334E" w:rsidP="00C33F1F">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972">
    <w:p w:rsidR="002D334E" w:rsidRDefault="002D334E" w:rsidP="001043A2">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p w:rsidR="002D334E" w:rsidRDefault="002D334E" w:rsidP="001043A2">
      <w:pPr>
        <w:pStyle w:val="FootnoteText"/>
      </w:pPr>
      <w:r>
        <w:tab/>
        <w:t>AusNet Services</w:t>
      </w:r>
      <w:r w:rsidRPr="00172CD0">
        <w:rPr>
          <w:rStyle w:val="AERtextitalic"/>
        </w:rPr>
        <w:t>, AusNet Transmission Group Pty Ltd transmission revenue review 2017–2022</w:t>
      </w:r>
      <w:r>
        <w:t>, 30 October 2015, pp. 226, 232, 250, 252, 254 &amp; 263.</w:t>
      </w:r>
    </w:p>
    <w:p w:rsidR="002D334E" w:rsidRDefault="002D334E" w:rsidP="001043A2">
      <w:pPr>
        <w:pStyle w:val="FootnoteText"/>
      </w:pPr>
      <w:r>
        <w:tab/>
        <w:t xml:space="preserve">AusNet Services, </w:t>
      </w:r>
      <w:r w:rsidRPr="00172CD0">
        <w:rPr>
          <w:rStyle w:val="AERtextitalic"/>
        </w:rPr>
        <w:t>AusNet Transmission Group Pty Ltd transmission revenue review 2017–2022</w:t>
      </w:r>
      <w:r>
        <w:rPr>
          <w:rStyle w:val="AERtextitalic"/>
        </w:rPr>
        <w:t xml:space="preserve">: Revised revenue proposal, </w:t>
      </w:r>
      <w:r>
        <w:t>21 September 2016, p. 151.</w:t>
      </w:r>
    </w:p>
  </w:footnote>
  <w:footnote w:id="973">
    <w:p w:rsidR="002D334E" w:rsidRDefault="002D334E" w:rsidP="001043A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974">
    <w:p w:rsidR="002D334E" w:rsidRDefault="002D334E" w:rsidP="001722C0">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estimates of the return on equity,  </w:t>
      </w:r>
      <w:r>
        <w:t>12 April 2017, p. 28.</w:t>
      </w:r>
    </w:p>
  </w:footnote>
  <w:footnote w:id="975">
    <w:p w:rsidR="002D334E" w:rsidRDefault="002D334E" w:rsidP="00BB18D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976">
    <w:p w:rsidR="002D334E" w:rsidRDefault="002D334E" w:rsidP="00BB18D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977">
    <w:p w:rsidR="002D334E" w:rsidRDefault="002D334E" w:rsidP="00BB18D4">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978">
    <w:p w:rsidR="002D334E" w:rsidRDefault="002D334E" w:rsidP="00BB18D4">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979">
    <w:p w:rsidR="002D334E" w:rsidRDefault="002D334E" w:rsidP="00BB18D4">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980">
    <w:p w:rsidR="002D334E" w:rsidRDefault="002D334E" w:rsidP="00BB18D4">
      <w:pPr>
        <w:pStyle w:val="FootnoteText"/>
      </w:pPr>
      <w:r>
        <w:rPr>
          <w:rStyle w:val="FootnoteReference"/>
        </w:rPr>
        <w:footnoteRef/>
      </w:r>
      <w:r>
        <w:t xml:space="preserve"> </w:t>
      </w:r>
      <w:r>
        <w:tab/>
        <w:t>Our risk free rate estimate is 2.52 per cent.</w:t>
      </w:r>
    </w:p>
  </w:footnote>
  <w:footnote w:id="981">
    <w:p w:rsidR="002D334E" w:rsidRDefault="002D334E" w:rsidP="00BB18D4">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t>3.4.1</w:t>
      </w:r>
      <w:r>
        <w:fldChar w:fldCharType="end"/>
      </w:r>
      <w:r>
        <w:t>.</w:t>
      </w:r>
    </w:p>
  </w:footnote>
  <w:footnote w:id="982">
    <w:p w:rsidR="002D334E" w:rsidRDefault="002D334E" w:rsidP="00BB18D4">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983">
    <w:p w:rsidR="002D334E" w:rsidRDefault="002D334E" w:rsidP="00BB18D4">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984">
    <w:p w:rsidR="002D334E" w:rsidRDefault="002D334E"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85">
    <w:p w:rsidR="002D334E" w:rsidRDefault="002D334E" w:rsidP="00BB18D4">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986">
    <w:p w:rsidR="002D334E" w:rsidRDefault="002D334E" w:rsidP="00BB18D4">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987">
    <w:p w:rsidR="002D334E" w:rsidRDefault="002D334E" w:rsidP="00BB18D4">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988">
    <w:p w:rsidR="002D334E" w:rsidRDefault="002D334E" w:rsidP="00BB18D4">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989">
    <w:p w:rsidR="002D334E" w:rsidRDefault="002D334E" w:rsidP="00BB18D4">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90">
    <w:p w:rsidR="002D334E" w:rsidRDefault="002D334E" w:rsidP="00BB18D4">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991">
    <w:p w:rsidR="002D334E" w:rsidRDefault="002D334E"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992">
    <w:p w:rsidR="002D334E" w:rsidRDefault="002D334E"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993">
    <w:p w:rsidR="002D334E" w:rsidRDefault="002D334E"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994">
    <w:p w:rsidR="002D334E" w:rsidRDefault="002D334E" w:rsidP="00BB18D4">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995">
    <w:p w:rsidR="002D334E" w:rsidRDefault="002D334E"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996">
    <w:p w:rsidR="002D334E" w:rsidRDefault="002D334E"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997">
    <w:p w:rsidR="002D334E" w:rsidRDefault="002D334E"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98">
    <w:p w:rsidR="002D334E" w:rsidRDefault="002D334E"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999">
    <w:p w:rsidR="002D334E" w:rsidRDefault="002D334E"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1000">
    <w:p w:rsidR="002D334E" w:rsidRDefault="002D334E"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1001">
    <w:p w:rsidR="002D334E" w:rsidRDefault="002D334E"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p.74;</w:t>
      </w:r>
      <w:r w:rsidRPr="00F13BF7">
        <w:t xml:space="preserve"> </w:t>
      </w:r>
      <w:r>
        <w:t>AusNet, AusNet transmission Revised Revenue Proposal, 21 September 2016, p 147.</w:t>
      </w:r>
    </w:p>
  </w:footnote>
  <w:footnote w:id="1002">
    <w:p w:rsidR="002D334E" w:rsidRDefault="002D334E" w:rsidP="00BB18D4">
      <w:pPr>
        <w:pStyle w:val="FootnoteText"/>
      </w:pPr>
      <w:r>
        <w:rPr>
          <w:rStyle w:val="FootnoteReference"/>
        </w:rPr>
        <w:footnoteRef/>
      </w:r>
      <w:r>
        <w:t xml:space="preserve">     Frontier Economics</w:t>
      </w:r>
      <w:r w:rsidRPr="00F85FCC">
        <w:t xml:space="preserve">, </w:t>
      </w:r>
      <w:r>
        <w:rPr>
          <w:rStyle w:val="AERtextitalic"/>
        </w:rPr>
        <w:t>The Market Risk Premium</w:t>
      </w:r>
      <w:r>
        <w:t>, September</w:t>
      </w:r>
      <w:r w:rsidRPr="00F85FCC">
        <w:t xml:space="preserve"> 201</w:t>
      </w:r>
      <w:r>
        <w:t>6, pp. 27-28,74.</w:t>
      </w:r>
    </w:p>
  </w:footnote>
  <w:footnote w:id="1003">
    <w:p w:rsidR="002D334E" w:rsidRDefault="002D334E" w:rsidP="00BB18D4">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xml:space="preserve">, June 2015, pp. 333–338.; 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1004">
    <w:p w:rsidR="002D334E" w:rsidRDefault="002D334E"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27-28.</w:t>
      </w:r>
    </w:p>
  </w:footnote>
  <w:footnote w:id="1005">
    <w:p w:rsidR="002D334E" w:rsidRDefault="002D334E" w:rsidP="00BB18D4">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1006">
    <w:p w:rsidR="002D334E" w:rsidRDefault="002D334E" w:rsidP="00BB18D4">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1007">
    <w:p w:rsidR="002D334E" w:rsidRDefault="002D334E" w:rsidP="009F0858">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008">
    <w:p w:rsidR="002D334E" w:rsidRDefault="002D334E" w:rsidP="009F0858">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1009">
    <w:p w:rsidR="002D334E" w:rsidRDefault="002D334E" w:rsidP="009F0858">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010">
    <w:p w:rsidR="002D334E" w:rsidRDefault="002D334E"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1011">
    <w:p w:rsidR="002D334E" w:rsidRDefault="002D334E" w:rsidP="009F085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1012">
    <w:p w:rsidR="002D334E" w:rsidRDefault="002D334E" w:rsidP="009F0858">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1013">
    <w:p w:rsidR="002D334E" w:rsidRDefault="002D334E"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1014">
    <w:p w:rsidR="002D334E" w:rsidRDefault="002D334E" w:rsidP="009F0858">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15">
    <w:p w:rsidR="002D334E" w:rsidRDefault="002D334E">
      <w:pPr>
        <w:pStyle w:val="FootnoteText"/>
      </w:pPr>
      <w:r>
        <w:rPr>
          <w:rStyle w:val="FootnoteReference"/>
        </w:rPr>
        <w:footnoteRef/>
      </w:r>
      <w:r>
        <w:t xml:space="preserve"> </w:t>
      </w:r>
      <w:r>
        <w:tab/>
        <w:t>Partington and Satchell, pp. 23–25.</w:t>
      </w:r>
    </w:p>
  </w:footnote>
  <w:footnote w:id="1016">
    <w:p w:rsidR="002D334E" w:rsidRDefault="002D334E" w:rsidP="009F0858">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17">
    <w:p w:rsidR="002D334E" w:rsidRDefault="002D334E" w:rsidP="009F0858">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18">
    <w:p w:rsidR="002D334E" w:rsidRDefault="002D334E" w:rsidP="009F0858">
      <w:pPr>
        <w:pStyle w:val="FootnoteText"/>
      </w:pPr>
      <w:r>
        <w:rPr>
          <w:rStyle w:val="FootnoteReference"/>
        </w:rPr>
        <w:footnoteRef/>
      </w:r>
      <w:r>
        <w:t xml:space="preserve"> </w:t>
      </w:r>
      <w:r>
        <w:tab/>
        <w:t>Rather than target prices.</w:t>
      </w:r>
    </w:p>
  </w:footnote>
  <w:footnote w:id="1019">
    <w:p w:rsidR="002D334E" w:rsidRDefault="002D334E" w:rsidP="009F0858">
      <w:pPr>
        <w:pStyle w:val="FootnoteText"/>
      </w:pPr>
      <w:r>
        <w:rPr>
          <w:rStyle w:val="FootnoteReference"/>
        </w:rPr>
        <w:footnoteRef/>
      </w:r>
      <w:r>
        <w:t xml:space="preserve"> </w:t>
      </w:r>
      <w:r>
        <w:tab/>
        <w:t>Assumed to be 2.5 per cent, which is the mid-point of the RBA's target inflation band.</w:t>
      </w:r>
    </w:p>
  </w:footnote>
  <w:footnote w:id="1020">
    <w:p w:rsidR="002D334E" w:rsidRDefault="002D334E" w:rsidP="009F0858">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21">
    <w:p w:rsidR="002D334E" w:rsidRDefault="002D334E" w:rsidP="009F085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22">
    <w:p w:rsidR="002D334E" w:rsidRDefault="002D334E" w:rsidP="009F0858">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23">
    <w:p w:rsidR="002D334E" w:rsidRDefault="002D334E" w:rsidP="009F0858">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24">
    <w:p w:rsidR="002D334E" w:rsidRDefault="002D334E" w:rsidP="009F0858">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25">
    <w:p w:rsidR="002D334E" w:rsidRDefault="002D334E" w:rsidP="009F0858">
      <w:pPr>
        <w:pStyle w:val="FootnoteText"/>
      </w:pPr>
      <w:r>
        <w:rPr>
          <w:rStyle w:val="FootnoteReference"/>
        </w:rPr>
        <w:footnoteRef/>
      </w:r>
      <w:r>
        <w:t xml:space="preserve"> </w:t>
      </w:r>
      <w:r>
        <w:tab/>
        <w:t>Although they use a different value for the assumed utilisation rate of imputation credits.</w:t>
      </w:r>
    </w:p>
  </w:footnote>
  <w:footnote w:id="1026">
    <w:p w:rsidR="002D334E" w:rsidRDefault="002D334E" w:rsidP="009F0858">
      <w:pPr>
        <w:pStyle w:val="FootnoteText"/>
      </w:pPr>
      <w:r>
        <w:rPr>
          <w:rStyle w:val="FootnoteReference"/>
        </w:rPr>
        <w:footnoteRef/>
      </w:r>
      <w:r>
        <w:t xml:space="preserve"> </w:t>
      </w:r>
      <w:r>
        <w:tab/>
        <w:t xml:space="preserve">AusNet Services adopts the market risk premium estimates of Frontier Economics, see: Frontier Economics, </w:t>
      </w:r>
      <w:r>
        <w:rPr>
          <w:rStyle w:val="AERtextitalic"/>
        </w:rPr>
        <w:t>an updated estimate of the required return on equity, Report prepared for AusNet Services</w:t>
      </w:r>
      <w:r>
        <w:t>, August 2015, p. 6.</w:t>
      </w:r>
    </w:p>
  </w:footnote>
  <w:footnote w:id="1027">
    <w:p w:rsidR="002D334E" w:rsidRDefault="002D334E" w:rsidP="009F0858">
      <w:pPr>
        <w:pStyle w:val="FootnoteText"/>
      </w:pPr>
      <w:r>
        <w:rPr>
          <w:rStyle w:val="FootnoteReference"/>
        </w:rPr>
        <w:footnoteRef/>
      </w:r>
      <w:r>
        <w:t xml:space="preserve"> </w:t>
      </w:r>
      <w:r>
        <w:tab/>
        <w:t>Frontier Economics, The market risk premium, September 2016, p. 76.</w:t>
      </w:r>
    </w:p>
  </w:footnote>
  <w:footnote w:id="1028">
    <w:p w:rsidR="002D334E" w:rsidRDefault="002D334E" w:rsidP="009F0858">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029">
    <w:p w:rsidR="002D334E" w:rsidRDefault="002D334E" w:rsidP="009F0858">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30">
    <w:p w:rsidR="002D334E" w:rsidRDefault="002D334E" w:rsidP="009F0858">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1031">
    <w:p w:rsidR="002D334E" w:rsidRDefault="002D334E"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032">
    <w:p w:rsidR="002D334E" w:rsidRDefault="002D334E" w:rsidP="009F0858">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1033">
    <w:p w:rsidR="002D334E" w:rsidRDefault="002D334E" w:rsidP="009F0858">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1034">
    <w:p w:rsidR="002D334E" w:rsidRDefault="002D334E"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35">
    <w:p w:rsidR="002D334E" w:rsidRDefault="002D334E" w:rsidP="00EC583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036">
    <w:p w:rsidR="002D334E" w:rsidRDefault="002D334E"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37">
    <w:p w:rsidR="002D334E" w:rsidRDefault="002D334E" w:rsidP="00EC5833">
      <w:pPr>
        <w:pStyle w:val="FootnoteText"/>
      </w:pPr>
      <w:r>
        <w:rPr>
          <w:rStyle w:val="FootnoteReference"/>
        </w:rPr>
        <w:footnoteRef/>
      </w:r>
      <w:r>
        <w:t xml:space="preserve"> </w:t>
      </w:r>
      <w:r>
        <w:tab/>
        <w:t xml:space="preserve">Damodaran, </w:t>
      </w:r>
      <w:hyperlink r:id="rId19" w:history="1">
        <w:r w:rsidRPr="00007302">
          <w:rPr>
            <w:rStyle w:val="Hyperlink"/>
            <w:sz w:val="16"/>
          </w:rPr>
          <w:t>http://pages.stern.nyu.edu/~adamodar/New_Home_Page/lectures/pe.html</w:t>
        </w:r>
      </w:hyperlink>
      <w:r>
        <w:t xml:space="preserve">, </w:t>
      </w:r>
    </w:p>
  </w:footnote>
  <w:footnote w:id="1038">
    <w:p w:rsidR="002D334E" w:rsidRDefault="002D334E"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39">
    <w:p w:rsidR="002D334E" w:rsidRDefault="002D334E"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40">
    <w:p w:rsidR="002D334E" w:rsidRDefault="002D334E">
      <w:pPr>
        <w:pStyle w:val="FootnoteText"/>
      </w:pPr>
      <w:r>
        <w:rPr>
          <w:rStyle w:val="FootnoteReference"/>
        </w:rPr>
        <w:footnoteRef/>
      </w:r>
      <w:r>
        <w:t xml:space="preserve"> </w:t>
      </w:r>
      <w:r>
        <w:tab/>
        <w:t>Frontier, The market risk premium, September 2016, p. 63.</w:t>
      </w:r>
    </w:p>
  </w:footnote>
  <w:footnote w:id="1041">
    <w:p w:rsidR="002D334E" w:rsidRDefault="002D334E" w:rsidP="009F0858">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1042">
    <w:p w:rsidR="002D334E" w:rsidRDefault="002D334E" w:rsidP="009F0858">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1043">
    <w:p w:rsidR="002D334E" w:rsidRDefault="002D334E" w:rsidP="002E790A">
      <w:pPr>
        <w:pStyle w:val="FootnoteText"/>
      </w:pPr>
      <w:r>
        <w:rPr>
          <w:rStyle w:val="FootnoteReference"/>
        </w:rPr>
        <w:footnoteRef/>
      </w:r>
      <w:r>
        <w:t xml:space="preserve"> </w:t>
      </w:r>
      <w:r>
        <w:tab/>
        <w:t xml:space="preserve">Partington and Satchell, </w:t>
      </w:r>
      <w:r w:rsidRPr="00440833">
        <w:rPr>
          <w:rStyle w:val="Emphasis"/>
        </w:rPr>
        <w:t>Report to the AER: Discussion of estimates of the return o</w:t>
      </w:r>
      <w:r>
        <w:rPr>
          <w:rStyle w:val="Emphasis"/>
        </w:rPr>
        <w:t xml:space="preserve">n equity, </w:t>
      </w:r>
      <w:r>
        <w:t>12 April 2017, p. 32.</w:t>
      </w:r>
    </w:p>
  </w:footnote>
  <w:footnote w:id="1044">
    <w:p w:rsidR="002D334E" w:rsidRDefault="002D334E" w:rsidP="0048197D">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045">
    <w:p w:rsidR="002D334E" w:rsidRDefault="002D334E" w:rsidP="00827E36">
      <w:pPr>
        <w:pStyle w:val="FootnoteText"/>
      </w:pPr>
      <w:r>
        <w:rPr>
          <w:rStyle w:val="FootnoteReference"/>
        </w:rPr>
        <w:footnoteRef/>
      </w:r>
      <w:r>
        <w:t xml:space="preserve"> </w:t>
      </w:r>
      <w:r>
        <w:tab/>
      </w:r>
      <w:r w:rsidRPr="00827E36">
        <w:t xml:space="preserve">Partington and Satchell, </w:t>
      </w:r>
      <w:r w:rsidRPr="00950EA8">
        <w:rPr>
          <w:rStyle w:val="AERtextitalic"/>
        </w:rPr>
        <w:t>Report to the AER: Discussion of estimates of the return on equity</w:t>
      </w:r>
      <w:r w:rsidRPr="00827E36">
        <w:t xml:space="preserve">, </w:t>
      </w:r>
      <w:r>
        <w:t>12 April</w:t>
      </w:r>
      <w:r w:rsidRPr="00827E36">
        <w:t xml:space="preserve"> 2017, pp. 1</w:t>
      </w:r>
      <w:r>
        <w:t>7–18</w:t>
      </w:r>
      <w:r w:rsidRPr="00827E36">
        <w:t>, 3</w:t>
      </w:r>
      <w:r>
        <w:t>2</w:t>
      </w:r>
      <w:r w:rsidRPr="00827E36">
        <w:t>.</w:t>
      </w:r>
    </w:p>
  </w:footnote>
  <w:footnote w:id="1046">
    <w:p w:rsidR="002D334E" w:rsidRDefault="002D334E" w:rsidP="0048197D">
      <w:pPr>
        <w:pStyle w:val="FootnoteText"/>
        <w:tabs>
          <w:tab w:val="clear" w:pos="340"/>
          <w:tab w:val="left" w:pos="284"/>
        </w:tabs>
        <w:ind w:left="142" w:hanging="142"/>
      </w:pPr>
      <w:r>
        <w:rPr>
          <w:rStyle w:val="FootnoteReference"/>
        </w:rPr>
        <w:footnoteRef/>
      </w:r>
      <w:r>
        <w:t xml:space="preserve"> </w:t>
      </w:r>
      <w:r>
        <w:tab/>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47">
    <w:p w:rsidR="002D334E" w:rsidRDefault="002D334E"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048">
    <w:p w:rsidR="002D334E" w:rsidRDefault="002D334E" w:rsidP="00EC5833">
      <w:pPr>
        <w:pStyle w:val="FootnoteText"/>
      </w:pPr>
      <w:r>
        <w:rPr>
          <w:rStyle w:val="FootnoteReference"/>
        </w:rPr>
        <w:footnoteRef/>
      </w:r>
      <w:r>
        <w:t xml:space="preserve"> </w:t>
      </w:r>
      <w:r>
        <w:tab/>
        <w:t xml:space="preserve">Partington and Satchell, </w:t>
      </w:r>
      <w:r w:rsidRPr="00950EA8">
        <w:rPr>
          <w:rStyle w:val="AERtextitalic"/>
        </w:rPr>
        <w:t>Report to the AER: Discussion of estimates of the return on equity</w:t>
      </w:r>
      <w:r>
        <w:t>, 12 April 2017, p. 29.</w:t>
      </w:r>
    </w:p>
  </w:footnote>
  <w:footnote w:id="1049">
    <w:p w:rsidR="002D334E" w:rsidRDefault="002D334E" w:rsidP="009F085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050">
    <w:p w:rsidR="002D334E" w:rsidRDefault="002D334E" w:rsidP="009F085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051">
    <w:p w:rsidR="002D334E" w:rsidRDefault="002D334E" w:rsidP="006A331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1052">
    <w:p w:rsidR="002D334E" w:rsidRDefault="002D334E" w:rsidP="006A331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053">
    <w:p w:rsidR="002D334E" w:rsidRDefault="002D334E" w:rsidP="006A331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1054">
    <w:p w:rsidR="002D334E" w:rsidRDefault="002D334E" w:rsidP="006A3314">
      <w:pPr>
        <w:pStyle w:val="FootnoteText"/>
      </w:pPr>
      <w:r>
        <w:rPr>
          <w:rStyle w:val="FootnoteReference"/>
        </w:rPr>
        <w:footnoteRef/>
      </w:r>
      <w:r>
        <w:t xml:space="preserve"> </w:t>
      </w:r>
      <w:r>
        <w:tab/>
        <w:t>AusNet</w:t>
      </w:r>
      <w:r w:rsidRPr="00F85FCC">
        <w:t xml:space="preserve">, </w:t>
      </w:r>
      <w:r>
        <w:rPr>
          <w:rStyle w:val="AERtextitalic"/>
        </w:rPr>
        <w:t>The AusNet Transmission Revised Revenue Proposal 2017-2022</w:t>
      </w:r>
      <w:r>
        <w:t>, September</w:t>
      </w:r>
      <w:r w:rsidRPr="00F85FCC">
        <w:t xml:space="preserve"> 201</w:t>
      </w:r>
      <w:r>
        <w:t>6, P150-151</w:t>
      </w:r>
    </w:p>
  </w:footnote>
  <w:footnote w:id="1055">
    <w:p w:rsidR="002D334E" w:rsidRDefault="002D334E" w:rsidP="006A3314">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1056">
    <w:p w:rsidR="002D334E" w:rsidRDefault="002D334E" w:rsidP="006A331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1057">
    <w:p w:rsidR="002D334E" w:rsidRDefault="002D334E" w:rsidP="006A3314">
      <w:pPr>
        <w:pStyle w:val="FootnoteText"/>
      </w:pPr>
      <w:r>
        <w:rPr>
          <w:rStyle w:val="FootnoteReference"/>
        </w:rPr>
        <w:footnoteRef/>
      </w:r>
      <w:r>
        <w:t xml:space="preserve"> </w:t>
      </w:r>
      <w:r>
        <w:tab/>
        <w:t xml:space="preserve">This was based on Merton, R.C., 'On Estimating the Expected Return on the Market: An Exploratory Investigation', </w:t>
      </w:r>
      <w:r>
        <w:rPr>
          <w:rStyle w:val="AERtextitalic"/>
        </w:rPr>
        <w:t>Journal of Financial Economics</w:t>
      </w:r>
      <w:r>
        <w:t>, 1980, Vol. 8, pp. 323</w:t>
      </w:r>
      <w:r>
        <w:rPr>
          <w:rFonts w:cs="Gautami"/>
        </w:rPr>
        <w:t>–</w:t>
      </w:r>
      <w:r>
        <w:t>361.</w:t>
      </w:r>
    </w:p>
  </w:footnote>
  <w:footnote w:id="1058">
    <w:p w:rsidR="002D334E" w:rsidRDefault="002D334E" w:rsidP="006A3314">
      <w:pPr>
        <w:pStyle w:val="FootnoteText"/>
      </w:pPr>
      <w:r>
        <w:rPr>
          <w:rStyle w:val="FootnoteReference"/>
        </w:rPr>
        <w:footnoteRef/>
      </w:r>
      <w:r>
        <w:t xml:space="preserve"> </w:t>
      </w:r>
      <w:r>
        <w:tab/>
        <w:t xml:space="preserve">This averaging period is from 31 October 2016 to 25 November 2016.  </w:t>
      </w:r>
    </w:p>
  </w:footnote>
  <w:footnote w:id="1059">
    <w:p w:rsidR="002D334E" w:rsidRDefault="002D334E" w:rsidP="006A331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060">
    <w:p w:rsidR="002D334E" w:rsidRDefault="002D334E" w:rsidP="006A3314">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061">
    <w:p w:rsidR="002D334E" w:rsidRDefault="002D334E" w:rsidP="006A331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062">
    <w:p w:rsidR="002D334E" w:rsidRDefault="002D334E" w:rsidP="006A3314">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r.87(3).</w:t>
      </w:r>
    </w:p>
  </w:footnote>
  <w:footnote w:id="1063">
    <w:p w:rsidR="002D334E" w:rsidRDefault="002D334E" w:rsidP="006A3314">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1064">
    <w:p w:rsidR="002D334E" w:rsidRDefault="002D334E" w:rsidP="006A3314">
      <w:pPr>
        <w:pStyle w:val="FootnoteText"/>
      </w:pPr>
      <w:r>
        <w:rPr>
          <w:rStyle w:val="FootnoteReference"/>
        </w:rPr>
        <w:footnoteRef/>
      </w:r>
      <w:r>
        <w:t xml:space="preserve"> </w:t>
      </w:r>
      <w:r>
        <w:tab/>
        <w:t>Based on a proposed return on equity of 10 per cent and a proposed risk free rate of 3.02 per cent (see: AusNet Services</w:t>
      </w:r>
      <w:r w:rsidRPr="00172CD0">
        <w:rPr>
          <w:rStyle w:val="AERtextitalic"/>
        </w:rPr>
        <w:t>, AusNet Transmission Group Pty Ltd transmission revenue review 2017–2022</w:t>
      </w:r>
      <w:r>
        <w:t>, 30 October 2015, pp. 265–266).</w:t>
      </w:r>
    </w:p>
  </w:footnote>
  <w:footnote w:id="1065">
    <w:p w:rsidR="002D334E" w:rsidRDefault="002D334E" w:rsidP="006A331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066">
    <w:p w:rsidR="002D334E" w:rsidRDefault="002D334E" w:rsidP="006A3314">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067">
    <w:p w:rsidR="002D334E" w:rsidRDefault="002D334E" w:rsidP="006A3314">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1068">
    <w:p w:rsidR="002D334E" w:rsidRDefault="002D334E" w:rsidP="006A3314">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p>
  </w:footnote>
  <w:footnote w:id="1069">
    <w:p w:rsidR="002D334E" w:rsidRDefault="002D334E" w:rsidP="006A3314">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1070">
    <w:p w:rsidR="002D334E" w:rsidRDefault="002D334E" w:rsidP="006A3314">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1071">
    <w:p w:rsidR="002D334E" w:rsidRDefault="002D334E" w:rsidP="006A3314">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 xml:space="preserve">78–79; Frontier Economics, </w:t>
      </w:r>
      <w:r w:rsidRPr="00074148">
        <w:rPr>
          <w:rStyle w:val="Emphasis"/>
        </w:rPr>
        <w:t>The market risk premium</w:t>
      </w:r>
      <w:r>
        <w:t xml:space="preserve">, September 2016, p32. </w:t>
      </w:r>
    </w:p>
    <w:p w:rsidR="002D334E" w:rsidRDefault="002D334E" w:rsidP="006A3314">
      <w:pPr>
        <w:pStyle w:val="FootnoteText"/>
      </w:pPr>
      <w:r>
        <w:tab/>
      </w:r>
    </w:p>
  </w:footnote>
  <w:footnote w:id="1072">
    <w:p w:rsidR="002D334E" w:rsidRDefault="002D334E" w:rsidP="006A3314">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1073">
    <w:p w:rsidR="002D334E" w:rsidRDefault="002D334E" w:rsidP="006A3314">
      <w:pPr>
        <w:pStyle w:val="FootnoteText"/>
      </w:pPr>
      <w:r>
        <w:rPr>
          <w:rStyle w:val="FootnoteReference"/>
        </w:rPr>
        <w:footnoteRef/>
      </w:r>
      <w:r>
        <w:t xml:space="preserve"> </w:t>
      </w:r>
      <w:r>
        <w:tab/>
        <w:t>Fernandez, Ortiz, Acín, M</w:t>
      </w:r>
      <w:r>
        <w:rPr>
          <w:rStyle w:val="AERtextitalic"/>
        </w:rPr>
        <w:t>arket risk premium used in 71 countries in 2016</w:t>
      </w:r>
      <w:r w:rsidRPr="00280362">
        <w:rPr>
          <w:rStyle w:val="AERtextitalic"/>
        </w:rPr>
        <w:t>: a survey</w:t>
      </w:r>
      <w:r>
        <w:t xml:space="preserve">, May 2016; 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 xml:space="preserve">uary 2013; Asher and Carruther , </w:t>
      </w:r>
      <w:r w:rsidRPr="006665F9">
        <w:rPr>
          <w:rStyle w:val="Emphasis"/>
        </w:rPr>
        <w:t>Equity Risk Premium Survey 2015, Acutaries Digital</w:t>
      </w:r>
      <w:r>
        <w:t>, May 26 2016.</w:t>
      </w:r>
    </w:p>
  </w:footnote>
  <w:footnote w:id="1074">
    <w:p w:rsidR="002D334E" w:rsidRDefault="002D334E" w:rsidP="006A3314">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075">
    <w:p w:rsidR="002D334E" w:rsidRDefault="002D334E" w:rsidP="006A3314">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76">
    <w:p w:rsidR="002D334E" w:rsidRDefault="002D334E" w:rsidP="006A3314">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77">
    <w:p w:rsidR="002D334E" w:rsidRDefault="002D334E" w:rsidP="006A3314">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078">
    <w:p w:rsidR="002D334E" w:rsidRDefault="002D334E" w:rsidP="006A3314">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079">
    <w:p w:rsidR="002D334E" w:rsidRDefault="002D334E" w:rsidP="006A3314">
      <w:pPr>
        <w:pStyle w:val="FootnoteText"/>
      </w:pPr>
      <w:r>
        <w:rPr>
          <w:rStyle w:val="FootnoteReference"/>
        </w:rPr>
        <w:footnoteRef/>
      </w:r>
      <w:r>
        <w:tab/>
        <w:t xml:space="preserve">AusNet, AusNet Transmission Revised revenue proposal 2017-2022, 21 September 2016; </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27 March 2015, p. 7).</w:t>
      </w:r>
    </w:p>
  </w:footnote>
  <w:footnote w:id="1080">
    <w:p w:rsidR="002D334E" w:rsidRDefault="002D334E" w:rsidP="006A3314">
      <w:pPr>
        <w:pStyle w:val="FootnoteText"/>
      </w:pPr>
      <w:r>
        <w:rPr>
          <w:rStyle w:val="FootnoteReference"/>
        </w:rPr>
        <w:footnoteRef/>
      </w:r>
      <w:r>
        <w:t xml:space="preserve"> </w:t>
      </w:r>
      <w:r>
        <w:tab/>
        <w:t xml:space="preserve">See, for example, AusNet Services, </w:t>
      </w:r>
      <w:r w:rsidRPr="006C0405">
        <w:rPr>
          <w:rStyle w:val="AERtextitalic"/>
        </w:rPr>
        <w:t>Transmission Revenue Review 2017–2022 regulatory proposal</w:t>
      </w:r>
      <w:r>
        <w:t xml:space="preserve">, 30 October 2015, p. 235;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1081">
    <w:p w:rsidR="002D334E" w:rsidRDefault="002D334E" w:rsidP="006A3314">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3C2547">
        <w:t xml:space="preserve">Table </w:t>
      </w:r>
      <w:r>
        <w:rPr>
          <w:noProof/>
        </w:rPr>
        <w:t>3</w:t>
      </w:r>
      <w:r>
        <w:noBreakHyphen/>
      </w:r>
      <w:r>
        <w:rPr>
          <w:noProof/>
        </w:rPr>
        <w:t>30</w:t>
      </w:r>
      <w:r>
        <w:fldChar w:fldCharType="end"/>
      </w:r>
      <w:r>
        <w:t xml:space="preserve"> capture the most recent report from each broker on each of the stated companies in this time period.</w:t>
      </w:r>
    </w:p>
  </w:footnote>
  <w:footnote w:id="1082">
    <w:p w:rsidR="002D334E" w:rsidRDefault="002D334E" w:rsidP="006A3314">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1083">
    <w:p w:rsidR="002D334E" w:rsidRDefault="002D334E" w:rsidP="006A3314">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1084">
    <w:p w:rsidR="002D334E" w:rsidRDefault="002D334E" w:rsidP="006A3314">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1085">
    <w:p w:rsidR="002D334E" w:rsidRDefault="002D334E" w:rsidP="006A3314">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086">
    <w:p w:rsidR="002D334E" w:rsidRDefault="002D334E" w:rsidP="006A3314">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1087">
    <w:p w:rsidR="002D334E" w:rsidRDefault="002D334E" w:rsidP="006A3314">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1088">
    <w:p w:rsidR="002D334E" w:rsidRDefault="002D334E" w:rsidP="006A3314">
      <w:pPr>
        <w:pStyle w:val="FootnoteText"/>
      </w:pPr>
      <w:r>
        <w:rPr>
          <w:rStyle w:val="FootnoteReference"/>
        </w:rPr>
        <w:footnoteRef/>
      </w:r>
      <w:r>
        <w:t xml:space="preserve"> </w:t>
      </w:r>
      <w:r>
        <w:tab/>
      </w:r>
      <w:r w:rsidRPr="00B67D24">
        <w:rPr>
          <w:lang w:eastAsia="en-AU"/>
        </w:rPr>
        <w:t xml:space="preserve">Australian Competition and Consumer Commission, </w:t>
      </w:r>
      <w:r w:rsidRPr="002656D9">
        <w:rPr>
          <w:rStyle w:val="Emphasis"/>
        </w:rPr>
        <w:t>NBN Co Special Access Undertaking: Long Term Revenue Constraint Methodology 2014–15 - Draft Determination</w:t>
      </w:r>
      <w:r w:rsidRPr="00B67D24">
        <w:rPr>
          <w:lang w:eastAsia="en-AU"/>
        </w:rPr>
        <w:t>, March 2016</w:t>
      </w:r>
      <w:r w:rsidRPr="00B67D24">
        <w:t xml:space="preserve">; </w:t>
      </w:r>
      <w:r w:rsidRPr="00B67D24">
        <w:rPr>
          <w:lang w:eastAsia="en-AU"/>
        </w:rPr>
        <w:t xml:space="preserve">Essential Services Commission of Victoria, </w:t>
      </w:r>
      <w:r w:rsidRPr="002656D9">
        <w:rPr>
          <w:rStyle w:val="Emphasis"/>
        </w:rPr>
        <w:t>Melbourne Water Price Review 2016: Draft Decision</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Sydney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Hunter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Australian Competition and Consumer Commission, W</w:t>
      </w:r>
      <w:r w:rsidRPr="002656D9">
        <w:rPr>
          <w:rStyle w:val="Emphasis"/>
        </w:rPr>
        <w:t>aterNSW: Annual review of regulated charges 2016-17 - Draft decision</w:t>
      </w:r>
      <w:r w:rsidRPr="00B67D24">
        <w:rPr>
          <w:lang w:eastAsia="en-AU"/>
        </w:rPr>
        <w:t>,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Draft decision DBCT Management's 2015 draft access undertaking</w:t>
      </w:r>
      <w:r w:rsidRPr="00B67D24">
        <w:rPr>
          <w:lang w:eastAsia="en-AU"/>
        </w:rPr>
        <w:t>, 19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Final decision Aurizon Network 2014 Access Undertaking-Volume IV-Maximum allowable revenue</w:t>
      </w:r>
      <w:r w:rsidRPr="00B67D24">
        <w:rPr>
          <w:lang w:eastAsia="en-AU"/>
        </w:rPr>
        <w:t>, 28 April 2016</w:t>
      </w:r>
      <w:r w:rsidRPr="00B67D24">
        <w:t xml:space="preserve">; </w:t>
      </w:r>
      <w:r w:rsidRPr="00B67D24">
        <w:rPr>
          <w:lang w:eastAsia="en-AU"/>
        </w:rPr>
        <w:t xml:space="preserve">IPART, </w:t>
      </w:r>
      <w:r w:rsidRPr="002656D9">
        <w:rPr>
          <w:rStyle w:val="Emphasis"/>
        </w:rPr>
        <w:t>Weighted average cost of capital (WACC) Final report - information paper 10</w:t>
      </w:r>
      <w:r w:rsidRPr="00B67D24">
        <w:rPr>
          <w:lang w:eastAsia="en-AU"/>
        </w:rPr>
        <w:t>, 10 May 2016</w:t>
      </w:r>
      <w:r w:rsidRPr="00B67D24">
        <w:t xml:space="preserve">; </w:t>
      </w:r>
      <w:r w:rsidRPr="00B67D24">
        <w:rPr>
          <w:lang w:eastAsia="en-AU"/>
        </w:rPr>
        <w:t xml:space="preserve">Australian Competition and Consumer Commission, </w:t>
      </w:r>
      <w:r w:rsidRPr="002656D9">
        <w:rPr>
          <w:rStyle w:val="Emphasis"/>
        </w:rPr>
        <w:t>WaterNSW: Annual review of regulated charges 2016-17 -Final decision</w:t>
      </w:r>
      <w:r w:rsidRPr="00B67D24">
        <w:rPr>
          <w:lang w:eastAsia="en-AU"/>
        </w:rPr>
        <w:t>, May 2016</w:t>
      </w:r>
      <w:r w:rsidRPr="00B67D24">
        <w:t xml:space="preserve">; </w:t>
      </w:r>
      <w:r w:rsidRPr="00B67D24">
        <w:rPr>
          <w:lang w:eastAsia="en-AU"/>
        </w:rPr>
        <w:t xml:space="preserve">QCA, </w:t>
      </w:r>
      <w:r w:rsidRPr="002656D9">
        <w:rPr>
          <w:rStyle w:val="Emphasis"/>
        </w:rPr>
        <w:t>Regulated retail electricity prices for 2016-17, Final determination</w:t>
      </w:r>
      <w:r w:rsidRPr="00B67D24">
        <w:rPr>
          <w:lang w:eastAsia="en-AU"/>
        </w:rPr>
        <w:t>, 31 May 2016</w:t>
      </w:r>
      <w:r w:rsidRPr="00B67D24">
        <w:t xml:space="preserve">; </w:t>
      </w:r>
      <w:r w:rsidRPr="00B67D24">
        <w:rPr>
          <w:lang w:eastAsia="en-AU"/>
        </w:rPr>
        <w:t xml:space="preserve">ESCOSA, </w:t>
      </w:r>
      <w:r w:rsidRPr="002656D9">
        <w:rPr>
          <w:rStyle w:val="Emphasis"/>
        </w:rPr>
        <w:t>SA Water Regulatory Determination 2016 Final Decision</w:t>
      </w:r>
      <w:r w:rsidRPr="00B67D24">
        <w:rPr>
          <w:lang w:eastAsia="en-AU"/>
        </w:rPr>
        <w:t>, June 2016</w:t>
      </w:r>
      <w:r w:rsidRPr="00B67D24">
        <w:t xml:space="preserve">; </w:t>
      </w:r>
      <w:r w:rsidRPr="00B67D24">
        <w:rPr>
          <w:lang w:eastAsia="en-AU"/>
        </w:rPr>
        <w:t xml:space="preserve">IPART, </w:t>
      </w:r>
      <w:r w:rsidRPr="002656D9">
        <w:rPr>
          <w:rStyle w:val="Emphasis"/>
        </w:rPr>
        <w:t>Review of prices for the Water Administration Ministerial Corporation</w:t>
      </w:r>
      <w:r w:rsidRPr="00B67D24">
        <w:rPr>
          <w:lang w:eastAsia="en-AU"/>
        </w:rPr>
        <w:t>, 7 June 2016</w:t>
      </w:r>
      <w:r w:rsidRPr="00B67D24">
        <w:t xml:space="preserve">; </w:t>
      </w:r>
      <w:r w:rsidRPr="00B67D24">
        <w:rPr>
          <w:lang w:eastAsia="en-AU"/>
        </w:rPr>
        <w:t xml:space="preserve">IPART, </w:t>
      </w:r>
      <w:r w:rsidRPr="002656D9">
        <w:rPr>
          <w:rStyle w:val="Emphasis"/>
        </w:rPr>
        <w:t>Review of prices for Sydney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Hunter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WaterNSW, Final Report</w:t>
      </w:r>
      <w:r w:rsidRPr="00B67D24">
        <w:rPr>
          <w:lang w:eastAsia="en-AU"/>
        </w:rPr>
        <w:t>, 14 June 2016</w:t>
      </w:r>
      <w:r w:rsidRPr="00B67D24">
        <w:t xml:space="preserve">; </w:t>
      </w:r>
      <w:r w:rsidRPr="00B67D24">
        <w:rPr>
          <w:lang w:eastAsia="en-AU"/>
        </w:rPr>
        <w:t xml:space="preserve">ESCV, </w:t>
      </w:r>
      <w:r w:rsidRPr="002656D9">
        <w:rPr>
          <w:rStyle w:val="Emphasis"/>
        </w:rPr>
        <w:t>Goulbourn-Murray Water Price Review 2016</w:t>
      </w:r>
      <w:r w:rsidRPr="00B67D24">
        <w:rPr>
          <w:lang w:eastAsia="en-AU"/>
        </w:rPr>
        <w:t>, 16 June 2016</w:t>
      </w:r>
      <w:r w:rsidRPr="00B67D24">
        <w:t xml:space="preserve">; </w:t>
      </w:r>
      <w:r w:rsidRPr="00B67D24">
        <w:rPr>
          <w:lang w:eastAsia="en-AU"/>
        </w:rPr>
        <w:t xml:space="preserve">ESCV, </w:t>
      </w:r>
      <w:r w:rsidRPr="002656D9">
        <w:rPr>
          <w:rStyle w:val="Emphasis"/>
        </w:rPr>
        <w:t>Melbourne Water Price Review 2016 final decision</w:t>
      </w:r>
      <w:r w:rsidRPr="00B67D24">
        <w:rPr>
          <w:lang w:eastAsia="en-AU"/>
        </w:rPr>
        <w:t>, 16 June 2016</w:t>
      </w:r>
      <w:r w:rsidRPr="00B67D24">
        <w:t xml:space="preserve">; </w:t>
      </w:r>
      <w:r w:rsidRPr="00B67D24">
        <w:rPr>
          <w:lang w:eastAsia="en-AU"/>
        </w:rPr>
        <w:t xml:space="preserve">QCA, </w:t>
      </w:r>
      <w:r w:rsidRPr="002656D9">
        <w:rPr>
          <w:rStyle w:val="Emphasis"/>
        </w:rPr>
        <w:t>Queensland Rail's Draft Access Undertaking, Decision</w:t>
      </w:r>
      <w:r w:rsidRPr="00B67D24">
        <w:rPr>
          <w:lang w:eastAsia="en-AU"/>
        </w:rPr>
        <w:t>, 17 June 2016</w:t>
      </w:r>
      <w:r w:rsidRPr="00B67D24">
        <w:t xml:space="preserve">; </w:t>
      </w:r>
      <w:r w:rsidRPr="00B67D24">
        <w:rPr>
          <w:lang w:eastAsia="en-AU"/>
        </w:rPr>
        <w:t xml:space="preserve">ACCC, </w:t>
      </w:r>
      <w:r w:rsidRPr="002656D9">
        <w:rPr>
          <w:rStyle w:val="Emphasis"/>
        </w:rPr>
        <w:t>Australian Rail Track Corporation's application to vary the 2011 Hunter Valley Access Undertaking - extension of term</w:t>
      </w:r>
      <w:r w:rsidRPr="00B67D24">
        <w:rPr>
          <w:lang w:eastAsia="en-AU"/>
        </w:rPr>
        <w:t>, 22 June 2016</w:t>
      </w:r>
      <w:r w:rsidRPr="00B67D24">
        <w:t xml:space="preserve">; </w:t>
      </w:r>
      <w:r w:rsidRPr="00B67D24">
        <w:rPr>
          <w:lang w:eastAsia="en-AU"/>
        </w:rPr>
        <w:t xml:space="preserve">ERA, </w:t>
      </w:r>
      <w:r w:rsidRPr="002656D9">
        <w:rPr>
          <w:rStyle w:val="Emphasis"/>
        </w:rPr>
        <w:t>Final Decision on Proposed Revisions to the Access Arrangement for the Dampier to Bunbury Natural Gas Pipeline 2016 – 2020</w:t>
      </w:r>
      <w:r w:rsidRPr="00B67D24">
        <w:rPr>
          <w:lang w:eastAsia="en-AU"/>
        </w:rPr>
        <w:t>, Appendix 4 Rate of Return, 30 June 2016</w:t>
      </w:r>
      <w:r w:rsidRPr="00B67D24">
        <w:t xml:space="preserve">; </w:t>
      </w:r>
      <w:r w:rsidRPr="00B67D24">
        <w:rPr>
          <w:lang w:eastAsia="en-AU"/>
        </w:rPr>
        <w:t xml:space="preserve">ERA, </w:t>
      </w:r>
      <w:r w:rsidRPr="002656D9">
        <w:rPr>
          <w:rStyle w:val="Emphasis"/>
        </w:rPr>
        <w:t>Final Decision on Proposed Revisions to the Access Arrangement for the Goldfields Gas Pipeline</w:t>
      </w:r>
      <w:r w:rsidRPr="00B67D24">
        <w:rPr>
          <w:lang w:eastAsia="en-AU"/>
        </w:rPr>
        <w:t>, 30 June 2016</w:t>
      </w:r>
      <w:r w:rsidRPr="00B67D24">
        <w:t xml:space="preserve">; </w:t>
      </w:r>
      <w:r w:rsidRPr="00B67D24">
        <w:rPr>
          <w:lang w:eastAsia="en-AU"/>
        </w:rPr>
        <w:t xml:space="preserve">IPART, </w:t>
      </w:r>
      <w:r w:rsidRPr="002656D9">
        <w:rPr>
          <w:rStyle w:val="Emphasis"/>
        </w:rPr>
        <w:t>Maximum fees and charges for cruise ships in Sydney Harbour Draft decision</w:t>
      </w:r>
      <w:r w:rsidRPr="00B67D24">
        <w:rPr>
          <w:lang w:eastAsia="en-AU"/>
        </w:rPr>
        <w:t>, 26 July 2016</w:t>
      </w:r>
      <w:r w:rsidRPr="00B67D24">
        <w:t xml:space="preserve">; </w:t>
      </w:r>
      <w:r w:rsidRPr="00B67D24">
        <w:rPr>
          <w:lang w:eastAsia="en-AU"/>
        </w:rPr>
        <w:t xml:space="preserve">IPART, </w:t>
      </w:r>
      <w:r w:rsidRPr="002656D9">
        <w:rPr>
          <w:rStyle w:val="Emphasis"/>
        </w:rPr>
        <w:t>WACC biannual update</w:t>
      </w:r>
      <w:r w:rsidRPr="00B67D24">
        <w:rPr>
          <w:lang w:eastAsia="en-AU"/>
        </w:rPr>
        <w:t>, August 2016</w:t>
      </w:r>
      <w:r w:rsidRPr="00B67D24">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B67D24">
        <w:rPr>
          <w:lang w:eastAsia="en-AU"/>
        </w:rPr>
        <w:t xml:space="preserve">QCA, </w:t>
      </w:r>
      <w:r w:rsidRPr="002656D9">
        <w:rPr>
          <w:rStyle w:val="Emphasis"/>
        </w:rPr>
        <w:t>DBCT 2015 Draft Access Undertaking Final decision</w:t>
      </w:r>
      <w:r w:rsidRPr="00B67D24">
        <w:rPr>
          <w:lang w:eastAsia="en-AU"/>
        </w:rPr>
        <w:t>, 21 November 2016</w:t>
      </w:r>
      <w:r w:rsidRPr="00B67D24">
        <w:t xml:space="preserve">; </w:t>
      </w:r>
      <w:r w:rsidRPr="00B67D24">
        <w:rPr>
          <w:lang w:eastAsia="en-AU"/>
        </w:rPr>
        <w:t xml:space="preserve">IPART, </w:t>
      </w:r>
      <w:r w:rsidRPr="002656D9">
        <w:rPr>
          <w:rStyle w:val="Emphasis"/>
        </w:rPr>
        <w:t>Maximum fees and charges for cruise ships in Sydney Harbour Final decision</w:t>
      </w:r>
      <w:r w:rsidRPr="00B67D24">
        <w:rPr>
          <w:lang w:eastAsia="en-AU"/>
        </w:rPr>
        <w:t>, 25 November 2016</w:t>
      </w:r>
    </w:p>
  </w:footnote>
  <w:footnote w:id="1089">
    <w:p w:rsidR="002D334E" w:rsidRDefault="002D334E" w:rsidP="006A3314">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1090">
    <w:p w:rsidR="002D334E" w:rsidRDefault="002D334E" w:rsidP="006A3314">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1091">
    <w:p w:rsidR="002D334E" w:rsidRDefault="002D334E" w:rsidP="006A3314">
      <w:pPr>
        <w:pStyle w:val="FootnoteText"/>
      </w:pPr>
      <w:r>
        <w:rPr>
          <w:rStyle w:val="FootnoteReference"/>
        </w:rPr>
        <w:footnoteRef/>
      </w:r>
      <w:r>
        <w:t xml:space="preserve"> </w:t>
      </w:r>
      <w:r>
        <w:tab/>
      </w:r>
      <w:r w:rsidRPr="00977DEE">
        <w:rPr>
          <w:lang w:eastAsia="en-AU"/>
        </w:rPr>
        <w:t xml:space="preserve">Australian Competition and Consumer Commission, </w:t>
      </w:r>
      <w:r w:rsidRPr="002656D9">
        <w:rPr>
          <w:rStyle w:val="Emphasis"/>
        </w:rPr>
        <w:t>NBN Co Special Access Undertaking: Long Term Revenue Constraint Methodology 2014–15 - Draft Determination</w:t>
      </w:r>
      <w:r w:rsidRPr="00977DEE">
        <w:rPr>
          <w:lang w:eastAsia="en-AU"/>
        </w:rPr>
        <w:t>, March 2016</w:t>
      </w:r>
      <w:r w:rsidRPr="00977DEE">
        <w:t xml:space="preserve">; </w:t>
      </w:r>
      <w:r w:rsidRPr="00977DEE">
        <w:rPr>
          <w:lang w:eastAsia="en-AU"/>
        </w:rPr>
        <w:t xml:space="preserve">Essential Services Commission of Victoria, </w:t>
      </w:r>
      <w:r w:rsidRPr="002656D9">
        <w:rPr>
          <w:rStyle w:val="Emphasis"/>
        </w:rPr>
        <w:t>Melbourne Water Price Review 2016: Draft Decision</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Sydney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Hunter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WaterNSW from 1 July 2016 to 30 June 2020 - Draft report</w:t>
      </w:r>
      <w:r w:rsidRPr="00977DEE">
        <w:rPr>
          <w:lang w:eastAsia="en-AU"/>
        </w:rPr>
        <w:t>, March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 Draft decision</w:t>
      </w:r>
      <w:r w:rsidRPr="00977DEE">
        <w:rPr>
          <w:lang w:eastAsia="en-AU"/>
        </w:rPr>
        <w:t>,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Draft decision DBCT Management's 2015 draft access undertaking</w:t>
      </w:r>
      <w:r w:rsidRPr="00977DEE">
        <w:rPr>
          <w:lang w:eastAsia="en-AU"/>
        </w:rPr>
        <w:t>, 19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Final decision Aurizon Network 2014 Access Undertaking-Volume IV-Maximum allowable revenue</w:t>
      </w:r>
      <w:r w:rsidRPr="00977DEE">
        <w:rPr>
          <w:lang w:eastAsia="en-AU"/>
        </w:rPr>
        <w:t>, 28 April 2016</w:t>
      </w:r>
      <w:r w:rsidRPr="00977DEE">
        <w:t xml:space="preserve">; </w:t>
      </w:r>
      <w:r w:rsidRPr="00977DEE">
        <w:rPr>
          <w:lang w:eastAsia="en-AU"/>
        </w:rPr>
        <w:t xml:space="preserve">IPART, </w:t>
      </w:r>
      <w:r w:rsidRPr="002656D9">
        <w:rPr>
          <w:rStyle w:val="Emphasis"/>
        </w:rPr>
        <w:t>Weighted average cost of capital (WACC) Final report - information paper 10</w:t>
      </w:r>
      <w:r w:rsidRPr="00977DEE">
        <w:rPr>
          <w:lang w:eastAsia="en-AU"/>
        </w:rPr>
        <w:t>, 10 May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2016-17 -Final decision</w:t>
      </w:r>
      <w:r w:rsidRPr="00977DEE">
        <w:rPr>
          <w:lang w:eastAsia="en-AU"/>
        </w:rPr>
        <w:t>, May 2016</w:t>
      </w:r>
      <w:r w:rsidRPr="00977DEE">
        <w:t xml:space="preserve">; </w:t>
      </w:r>
      <w:r w:rsidRPr="00977DEE">
        <w:rPr>
          <w:lang w:eastAsia="en-AU"/>
        </w:rPr>
        <w:t xml:space="preserve">QCA, </w:t>
      </w:r>
      <w:r w:rsidRPr="002656D9">
        <w:rPr>
          <w:rStyle w:val="Emphasis"/>
        </w:rPr>
        <w:t>Regulated retail electricity prices for 2016-17, Final determination</w:t>
      </w:r>
      <w:r w:rsidRPr="00977DEE">
        <w:rPr>
          <w:lang w:eastAsia="en-AU"/>
        </w:rPr>
        <w:t>, 31 May 2016</w:t>
      </w:r>
      <w:r w:rsidRPr="00977DEE">
        <w:t xml:space="preserve">; </w:t>
      </w:r>
      <w:r w:rsidRPr="00977DEE">
        <w:rPr>
          <w:lang w:eastAsia="en-AU"/>
        </w:rPr>
        <w:t xml:space="preserve">ESCOSA, </w:t>
      </w:r>
      <w:r w:rsidRPr="002656D9">
        <w:rPr>
          <w:rStyle w:val="Emphasis"/>
        </w:rPr>
        <w:t>SA Water Regulatory Determination 2016 Final Decision</w:t>
      </w:r>
      <w:r w:rsidRPr="00977DEE">
        <w:rPr>
          <w:lang w:eastAsia="en-AU"/>
        </w:rPr>
        <w:t>, June 2016</w:t>
      </w:r>
      <w:r w:rsidRPr="00977DEE">
        <w:t xml:space="preserve">; </w:t>
      </w:r>
      <w:r w:rsidRPr="00977DEE">
        <w:rPr>
          <w:lang w:eastAsia="en-AU"/>
        </w:rPr>
        <w:t xml:space="preserve">IPART, </w:t>
      </w:r>
      <w:r w:rsidRPr="002656D9">
        <w:rPr>
          <w:rStyle w:val="Emphasis"/>
        </w:rPr>
        <w:t>Review of prices for the Water Administration Ministerial Corporation</w:t>
      </w:r>
      <w:r w:rsidRPr="00977DEE">
        <w:rPr>
          <w:lang w:eastAsia="en-AU"/>
        </w:rPr>
        <w:t>, 7 June 2016</w:t>
      </w:r>
      <w:r w:rsidRPr="00977DEE">
        <w:t xml:space="preserve">; </w:t>
      </w:r>
      <w:r w:rsidRPr="00977DEE">
        <w:rPr>
          <w:lang w:eastAsia="en-AU"/>
        </w:rPr>
        <w:t xml:space="preserve">IPART, </w:t>
      </w:r>
      <w:r w:rsidRPr="002656D9">
        <w:rPr>
          <w:rStyle w:val="Emphasis"/>
        </w:rPr>
        <w:t>Review of prices for Sydney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Hunter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WaterNSW, Final Report</w:t>
      </w:r>
      <w:r w:rsidRPr="00977DEE">
        <w:rPr>
          <w:lang w:eastAsia="en-AU"/>
        </w:rPr>
        <w:t>, 14 June 2016</w:t>
      </w:r>
      <w:r w:rsidRPr="00977DEE">
        <w:t xml:space="preserve">; </w:t>
      </w:r>
      <w:r w:rsidRPr="00977DEE">
        <w:rPr>
          <w:lang w:eastAsia="en-AU"/>
        </w:rPr>
        <w:t xml:space="preserve">ESCV, </w:t>
      </w:r>
      <w:r w:rsidRPr="002656D9">
        <w:rPr>
          <w:rStyle w:val="Emphasis"/>
        </w:rPr>
        <w:t>Goulbourn-Murray Water Price Review 2016</w:t>
      </w:r>
      <w:r w:rsidRPr="00977DEE">
        <w:rPr>
          <w:lang w:eastAsia="en-AU"/>
        </w:rPr>
        <w:t>, 16 June 2016</w:t>
      </w:r>
      <w:r w:rsidRPr="00977DEE">
        <w:t xml:space="preserve">; </w:t>
      </w:r>
      <w:r w:rsidRPr="00977DEE">
        <w:rPr>
          <w:lang w:eastAsia="en-AU"/>
        </w:rPr>
        <w:t xml:space="preserve">ESCV, </w:t>
      </w:r>
      <w:r w:rsidRPr="002656D9">
        <w:rPr>
          <w:rStyle w:val="Emphasis"/>
        </w:rPr>
        <w:t>Melbourne Water Price Review 2016 final decision</w:t>
      </w:r>
      <w:r w:rsidRPr="00977DEE">
        <w:rPr>
          <w:lang w:eastAsia="en-AU"/>
        </w:rPr>
        <w:t>, 16 June 2016</w:t>
      </w:r>
      <w:r w:rsidRPr="00977DEE">
        <w:t xml:space="preserve">; </w:t>
      </w:r>
      <w:r w:rsidRPr="00977DEE">
        <w:rPr>
          <w:lang w:eastAsia="en-AU"/>
        </w:rPr>
        <w:t xml:space="preserve">QCA, </w:t>
      </w:r>
      <w:r w:rsidRPr="002656D9">
        <w:rPr>
          <w:rStyle w:val="Emphasis"/>
        </w:rPr>
        <w:t>Queensland Rail's Draft Access Undertaking, Decision</w:t>
      </w:r>
      <w:r w:rsidRPr="00977DEE">
        <w:rPr>
          <w:lang w:eastAsia="en-AU"/>
        </w:rPr>
        <w:t>, 17 June 2016</w:t>
      </w:r>
      <w:r w:rsidRPr="00977DEE">
        <w:t xml:space="preserve">; </w:t>
      </w:r>
      <w:r w:rsidRPr="00977DEE">
        <w:rPr>
          <w:lang w:eastAsia="en-AU"/>
        </w:rPr>
        <w:t xml:space="preserve">ACCC, </w:t>
      </w:r>
      <w:r w:rsidRPr="002656D9">
        <w:rPr>
          <w:rStyle w:val="Emphasis"/>
        </w:rPr>
        <w:t>Australian Rail Track Corporation's application to vary the 2011 Hunter Valley Access Undertaking - extension of term</w:t>
      </w:r>
      <w:r w:rsidRPr="00977DEE">
        <w:rPr>
          <w:lang w:eastAsia="en-AU"/>
        </w:rPr>
        <w:t>, 22 June 2016</w:t>
      </w:r>
      <w:r w:rsidRPr="00977DEE">
        <w:t xml:space="preserve">; </w:t>
      </w:r>
      <w:r w:rsidRPr="00977DEE">
        <w:rPr>
          <w:lang w:eastAsia="en-AU"/>
        </w:rPr>
        <w:t xml:space="preserve">ERA, </w:t>
      </w:r>
      <w:r w:rsidRPr="002656D9">
        <w:rPr>
          <w:rStyle w:val="Emphasis"/>
        </w:rPr>
        <w:t>Final Decision on Proposed Revisions to the Access Arrangement for the Dampier to Bunbury Natural Gas Pipeline 2016 – 2020</w:t>
      </w:r>
      <w:r w:rsidRPr="00977DEE">
        <w:rPr>
          <w:lang w:eastAsia="en-AU"/>
        </w:rPr>
        <w:t>, Appendix 4 Rate of Return, 30 June 2016</w:t>
      </w:r>
      <w:r w:rsidRPr="00977DEE">
        <w:t xml:space="preserve">; </w:t>
      </w:r>
      <w:r w:rsidRPr="00977DEE">
        <w:rPr>
          <w:lang w:eastAsia="en-AU"/>
        </w:rPr>
        <w:t xml:space="preserve">ERA, </w:t>
      </w:r>
      <w:r w:rsidRPr="002656D9">
        <w:rPr>
          <w:rStyle w:val="Emphasis"/>
        </w:rPr>
        <w:t>Final Decision on Proposed Revisions to the Access Arrangement for the Goldfields Gas Pipeline</w:t>
      </w:r>
      <w:r w:rsidRPr="00977DEE">
        <w:rPr>
          <w:lang w:eastAsia="en-AU"/>
        </w:rPr>
        <w:t>, 30 June 2016</w:t>
      </w:r>
      <w:r w:rsidRPr="00977DEE">
        <w:t xml:space="preserve">; </w:t>
      </w:r>
      <w:r w:rsidRPr="00977DEE">
        <w:rPr>
          <w:lang w:eastAsia="en-AU"/>
        </w:rPr>
        <w:t xml:space="preserve">IPART, </w:t>
      </w:r>
      <w:r w:rsidRPr="002656D9">
        <w:rPr>
          <w:rStyle w:val="Emphasis"/>
        </w:rPr>
        <w:t>Maximum fees and charges for cruise ships in Sydney Harbour Draft decision</w:t>
      </w:r>
      <w:r w:rsidRPr="00977DEE">
        <w:rPr>
          <w:lang w:eastAsia="en-AU"/>
        </w:rPr>
        <w:t>, 26 July 2016</w:t>
      </w:r>
      <w:r w:rsidRPr="00977DEE">
        <w:t xml:space="preserve">; </w:t>
      </w:r>
      <w:r w:rsidRPr="00977DEE">
        <w:rPr>
          <w:lang w:eastAsia="en-AU"/>
        </w:rPr>
        <w:t xml:space="preserve">IPART, </w:t>
      </w:r>
      <w:r w:rsidRPr="002656D9">
        <w:rPr>
          <w:rStyle w:val="Emphasis"/>
        </w:rPr>
        <w:t>WACC biannual update</w:t>
      </w:r>
      <w:r w:rsidRPr="00977DEE">
        <w:rPr>
          <w:lang w:eastAsia="en-AU"/>
        </w:rPr>
        <w:t>, August 2016</w:t>
      </w:r>
      <w:r w:rsidRPr="00977DEE">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977DEE">
        <w:rPr>
          <w:lang w:eastAsia="en-AU"/>
        </w:rPr>
        <w:t xml:space="preserve">QCA, </w:t>
      </w:r>
      <w:r w:rsidRPr="002656D9">
        <w:rPr>
          <w:rStyle w:val="Emphasis"/>
        </w:rPr>
        <w:t>DBCT 2015 Draft Access Undertaking Final decision</w:t>
      </w:r>
      <w:r w:rsidRPr="00977DEE">
        <w:rPr>
          <w:lang w:eastAsia="en-AU"/>
        </w:rPr>
        <w:t>, 21 November 2016</w:t>
      </w:r>
      <w:r w:rsidRPr="00977DEE">
        <w:t xml:space="preserve">; </w:t>
      </w:r>
      <w:r w:rsidRPr="00977DEE">
        <w:rPr>
          <w:lang w:eastAsia="en-AU"/>
        </w:rPr>
        <w:t xml:space="preserve">IPART, </w:t>
      </w:r>
      <w:r w:rsidRPr="002656D9">
        <w:rPr>
          <w:rStyle w:val="Emphasis"/>
        </w:rPr>
        <w:t>Maximum fees and charges for cruise ships in Sydney Harbour Final decision</w:t>
      </w:r>
      <w:r w:rsidRPr="00977DEE">
        <w:rPr>
          <w:lang w:eastAsia="en-AU"/>
        </w:rPr>
        <w:t>, 25 November 2016</w:t>
      </w:r>
      <w:r>
        <w:rPr>
          <w:lang w:eastAsia="en-AU"/>
        </w:rPr>
        <w:t>.</w:t>
      </w:r>
    </w:p>
  </w:footnote>
  <w:footnote w:id="1092">
    <w:p w:rsidR="002D334E" w:rsidRDefault="002D334E" w:rsidP="006A3314">
      <w:pPr>
        <w:pStyle w:val="FootnoteText"/>
      </w:pPr>
      <w:r>
        <w:rPr>
          <w:rStyle w:val="FootnoteReference"/>
        </w:rPr>
        <w:footnoteRef/>
      </w:r>
      <w:r>
        <w:t xml:space="preserve"> </w:t>
      </w:r>
      <w:r>
        <w:tab/>
        <w:t xml:space="preserve">CitiPower, </w:t>
      </w:r>
      <w:r>
        <w:rPr>
          <w:rStyle w:val="Emphasis"/>
        </w:rPr>
        <w:t>Revised regulatory proposal 2016–2020</w:t>
      </w:r>
      <w:r>
        <w:t xml:space="preserve">, January 2016, pp. 307, 316; Powercor, </w:t>
      </w:r>
      <w:r>
        <w:rPr>
          <w:rStyle w:val="AERtextitalic"/>
        </w:rPr>
        <w:t>Revised regulatory proposal 2016–2020</w:t>
      </w:r>
      <w:r>
        <w:t xml:space="preserve">, January  2016, pp. 301, 310; ActewAGL, </w:t>
      </w:r>
      <w:r>
        <w:rPr>
          <w:rStyle w:val="Emphasis"/>
        </w:rPr>
        <w:t>Revised 2016–21 access arrangement proposal Response to the AER's draft decision, Appendix 5.01 Detailed response to rate of return, gamma and inflation</w:t>
      </w:r>
      <w:r>
        <w:t xml:space="preserve">, January 2016, pp. 73–74, 83–84; United Energy, </w:t>
      </w:r>
      <w:r>
        <w:rPr>
          <w:rStyle w:val="Emphasis"/>
        </w:rPr>
        <w:t>Response to AER preliminary determination–Re: rate of return and gamma</w:t>
      </w:r>
      <w:r>
        <w:t xml:space="preserve">, 6 January 2016, pp. 53–54,61–62; AGN, </w:t>
      </w:r>
      <w:r>
        <w:rPr>
          <w:rStyle w:val="Emphasis"/>
        </w:rPr>
        <w:t>2016–17 to 2020/21 Access Arrangement information response to draft decision: Attachment 10.26 Response to draft decision: rate of return</w:t>
      </w:r>
      <w:r>
        <w:t xml:space="preserve">, January 2016, pp. 67 ; JEN (Vic), </w:t>
      </w:r>
      <w:r>
        <w:rPr>
          <w:rStyle w:val="Emphasis"/>
        </w:rPr>
        <w:t>2016–20 Electricity distribution price review regulatory proposal revocation and substitution submission: Attachment 6–1 Rate of return, gamma, forecast inflation, and debt and equity raising costs,</w:t>
      </w:r>
      <w:r>
        <w:t xml:space="preserve"> 6 January 2016, pp. 58–59, 67–68; AusNet Services, </w:t>
      </w:r>
      <w:r>
        <w:rPr>
          <w:rStyle w:val="Emphasis"/>
        </w:rPr>
        <w:t>Electricity distribution price review 2016–20 Revised regulatory proposal: Chapter 7 Rate of return &amp; gamma</w:t>
      </w:r>
      <w:r>
        <w:t>, 6 January 2016, pp. 53, 70–73.</w:t>
      </w:r>
    </w:p>
  </w:footnote>
  <w:footnote w:id="1093">
    <w:p w:rsidR="002D334E" w:rsidRDefault="002D334E" w:rsidP="006A3314">
      <w:pPr>
        <w:pStyle w:val="FootnoteText"/>
      </w:pPr>
      <w:r>
        <w:rPr>
          <w:rStyle w:val="FootnoteReference"/>
        </w:rPr>
        <w:footnoteRef/>
      </w:r>
      <w:r>
        <w:t xml:space="preserve"> </w:t>
      </w:r>
      <w:r>
        <w:tab/>
        <w:t xml:space="preserve">HoustonKemp, </w:t>
      </w:r>
      <w:r>
        <w:rPr>
          <w:rStyle w:val="AERtextitalic"/>
        </w:rPr>
        <w:t>The cost of equity: Response to the AER's draft decisions for the Victorian electricity distributors, ActewAGL Distribution and Australian Gas Networks</w:t>
      </w:r>
      <w:r>
        <w:t xml:space="preserve">, January 2016, pp. xiii–xiv. </w:t>
      </w:r>
    </w:p>
  </w:footnote>
  <w:footnote w:id="1094">
    <w:p w:rsidR="002D334E" w:rsidRDefault="002D334E" w:rsidP="006A3314">
      <w:pPr>
        <w:pStyle w:val="FootnoteText"/>
      </w:pPr>
      <w:r>
        <w:rPr>
          <w:rStyle w:val="FootnoteReference"/>
        </w:rPr>
        <w:footnoteRef/>
      </w:r>
      <w:r>
        <w:t xml:space="preserve"> </w:t>
      </w:r>
      <w:r>
        <w:tab/>
        <w:t xml:space="preserve">Partington, </w:t>
      </w:r>
      <w:r>
        <w:rPr>
          <w:rStyle w:val="AERtextitalic"/>
        </w:rPr>
        <w:t>Report to the AER: Return on equity (Updated)</w:t>
      </w:r>
      <w:r>
        <w:t xml:space="preserve">, April 2015, p. 28; Partington &amp; Satchell, </w:t>
      </w:r>
      <w:r>
        <w:rPr>
          <w:rStyle w:val="AERtextitalic"/>
        </w:rPr>
        <w:t>Report to the AER: Analysis of criticism of 2015 determinations</w:t>
      </w:r>
      <w:r>
        <w:t>, October 2015, p. 36.</w:t>
      </w:r>
    </w:p>
  </w:footnote>
  <w:footnote w:id="1095">
    <w:p w:rsidR="002D334E" w:rsidRDefault="002D334E" w:rsidP="0035222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96">
    <w:p w:rsidR="002D334E" w:rsidRDefault="002D334E" w:rsidP="00352220">
      <w:pPr>
        <w:pStyle w:val="FootnoteText"/>
      </w:pPr>
      <w:r>
        <w:rPr>
          <w:rStyle w:val="FootnoteReference"/>
        </w:rPr>
        <w:footnoteRef/>
      </w:r>
      <w:r>
        <w:t xml:space="preserve"> </w:t>
      </w:r>
      <w:r>
        <w:tab/>
        <w:t>AusNet Services, pp. 144–146.</w:t>
      </w:r>
    </w:p>
  </w:footnote>
  <w:footnote w:id="1097">
    <w:p w:rsidR="002D334E" w:rsidRDefault="002D334E" w:rsidP="00352220">
      <w:pPr>
        <w:pStyle w:val="FootnoteText"/>
      </w:pPr>
      <w:r>
        <w:rPr>
          <w:rStyle w:val="FootnoteReference"/>
        </w:rPr>
        <w:footnoteRef/>
      </w:r>
      <w:r>
        <w:t xml:space="preserve"> </w:t>
      </w:r>
      <w:r>
        <w:tab/>
        <w:t xml:space="preserve">CEG, </w:t>
      </w:r>
      <w:r w:rsidRPr="00950EA8">
        <w:rPr>
          <w:rStyle w:val="AERtextitalic"/>
        </w:rPr>
        <w:t>Replication and extension of Henry’s beta analysis</w:t>
      </w:r>
      <w:r>
        <w:t>, 21 September 2016.</w:t>
      </w:r>
    </w:p>
  </w:footnote>
  <w:footnote w:id="1098">
    <w:p w:rsidR="002D334E" w:rsidRDefault="002D334E" w:rsidP="0035222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99">
    <w:p w:rsidR="002D334E" w:rsidRDefault="002D334E" w:rsidP="00352220">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100">
    <w:p w:rsidR="002D334E" w:rsidRDefault="002D334E" w:rsidP="00352220">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101">
    <w:p w:rsidR="002D334E" w:rsidRDefault="002D334E" w:rsidP="0035222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p>
  </w:footnote>
  <w:footnote w:id="1102">
    <w:p w:rsidR="002D334E" w:rsidRDefault="002D334E" w:rsidP="00352220">
      <w:pPr>
        <w:pStyle w:val="FootnoteText"/>
      </w:pPr>
      <w:r>
        <w:rPr>
          <w:rStyle w:val="FootnoteReference"/>
        </w:rPr>
        <w:footnoteRef/>
      </w:r>
      <w:r>
        <w:t xml:space="preserve"> </w:t>
      </w:r>
      <w:r>
        <w:tab/>
        <w:t>R</w:t>
      </w:r>
      <w:r w:rsidRPr="00D20501">
        <w:t>aw equity beta estimates are those that are observed from the initial regression</w:t>
      </w:r>
    </w:p>
  </w:footnote>
  <w:footnote w:id="1103">
    <w:p w:rsidR="002D334E" w:rsidRDefault="002D334E" w:rsidP="00352220">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104">
    <w:p w:rsidR="002D334E" w:rsidRDefault="002D334E" w:rsidP="0035222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105">
    <w:p w:rsidR="002D334E" w:rsidRDefault="002D334E" w:rsidP="0035222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106">
    <w:p w:rsidR="002D334E" w:rsidRDefault="002D334E" w:rsidP="00352220">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107">
    <w:p w:rsidR="002D334E" w:rsidRDefault="002D334E" w:rsidP="0035222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108">
    <w:p w:rsidR="002D334E" w:rsidRDefault="002D334E" w:rsidP="0035222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09">
    <w:p w:rsidR="002D334E" w:rsidRDefault="002D334E" w:rsidP="0035222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10">
    <w:p w:rsidR="002D334E" w:rsidRDefault="002D334E" w:rsidP="0035222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11">
    <w:p w:rsidR="002D334E" w:rsidRDefault="002D334E" w:rsidP="00352220">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112">
    <w:p w:rsidR="002D334E" w:rsidRDefault="002D334E" w:rsidP="00352220">
      <w:pPr>
        <w:pStyle w:val="FootnoteText"/>
      </w:pPr>
      <w:r>
        <w:rPr>
          <w:rStyle w:val="FootnoteReference"/>
        </w:rPr>
        <w:footnoteRef/>
      </w:r>
      <w:r>
        <w:t xml:space="preserve"> </w:t>
      </w:r>
      <w:r>
        <w:tab/>
        <w:t>A</w:t>
      </w:r>
      <w:r w:rsidRPr="00354781">
        <w:t xml:space="preserve">s set out in section D.2.2 of Attachment 3 to </w:t>
      </w:r>
      <w:r>
        <w:t>AusNet Services'</w:t>
      </w:r>
      <w:r w:rsidRPr="00354781">
        <w:t xml:space="preserve"> preliminary decision</w:t>
      </w:r>
      <w:r>
        <w:t>.</w:t>
      </w:r>
    </w:p>
  </w:footnote>
  <w:footnote w:id="1113">
    <w:p w:rsidR="002D334E" w:rsidRDefault="002D334E" w:rsidP="0035222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xml:space="preserve">, April 2014; SFG, </w:t>
      </w:r>
      <w:r w:rsidRPr="00B85B84">
        <w:rPr>
          <w:i/>
        </w:rPr>
        <w:t>Beta and the Black capital asset pricing model</w:t>
      </w:r>
      <w:r>
        <w:t xml:space="preserve">, 13 February, 2015; ERA, </w:t>
      </w:r>
      <w:r w:rsidRPr="00950EA8">
        <w:rPr>
          <w:rStyle w:val="AERtextitalic"/>
        </w:rPr>
        <w:t>Draft decision on proposed revisions to the Access Arrangement for the Dampier to Bunbury Natural Gas Pipeline 2016–2020: Appendix 4 Rate of Return</w:t>
      </w:r>
      <w:r w:rsidRPr="00672B79">
        <w:t xml:space="preserve">, </w:t>
      </w:r>
      <w:r>
        <w:t xml:space="preserve">22 December 2015, p.192; ERA, </w:t>
      </w:r>
      <w:r w:rsidRPr="00950EA8">
        <w:rPr>
          <w:rStyle w:val="AERtextitalic"/>
        </w:rPr>
        <w:t>Final decision on proposed revisions to the Access Arrangement for the Dampier to Bunbury Natural Gas Pipeline 2016–2020: Appendix 4 Rate of Return</w:t>
      </w:r>
      <w:r>
        <w:t xml:space="preserve">, 30 June 2016, p. 193; CEG, </w:t>
      </w:r>
      <w:r w:rsidRPr="00B85B84">
        <w:rPr>
          <w:i/>
        </w:rPr>
        <w:t>Replication and extension of Henry’s beta analysis</w:t>
      </w:r>
      <w:r>
        <w:t>, September 2016, pp. 7, 9, 15, 20-1.</w:t>
      </w:r>
    </w:p>
  </w:footnote>
  <w:footnote w:id="1114">
    <w:p w:rsidR="002D334E" w:rsidRDefault="002D334E" w:rsidP="00352220">
      <w:pPr>
        <w:pStyle w:val="FootnoteText"/>
      </w:pPr>
      <w:r>
        <w:rPr>
          <w:rStyle w:val="FootnoteReference"/>
        </w:rPr>
        <w:footnoteRef/>
      </w:r>
      <w:r>
        <w:t xml:space="preserve"> </w:t>
      </w:r>
      <w:r>
        <w:tab/>
        <w:t xml:space="preserve">CEG, </w:t>
      </w:r>
      <w:r w:rsidRPr="000C309D">
        <w:rPr>
          <w:i/>
        </w:rPr>
        <w:t>Replication and extension of Henry’s beta analysis</w:t>
      </w:r>
      <w:r>
        <w:t>, 21 September 2016.</w:t>
      </w:r>
    </w:p>
  </w:footnote>
  <w:footnote w:id="1115">
    <w:p w:rsidR="002D334E" w:rsidRDefault="002D334E" w:rsidP="00352220">
      <w:pPr>
        <w:pStyle w:val="FootnoteText"/>
      </w:pPr>
      <w:r>
        <w:rPr>
          <w:rStyle w:val="FootnoteReference"/>
        </w:rPr>
        <w:footnoteRef/>
      </w:r>
      <w:r>
        <w:t xml:space="preserve"> </w:t>
      </w:r>
      <w:r>
        <w:tab/>
        <w:t xml:space="preserve">CEG, </w:t>
      </w:r>
      <w:r w:rsidRPr="00950EA8">
        <w:rPr>
          <w:rStyle w:val="AERtextitalic"/>
        </w:rPr>
        <w:t>Replication and extension of Henry’s beta analysis, submission with AusNet Transmission Group Pty Ltd Transmission Revenue Review 2017-2022, Revised Revenue Proposal</w:t>
      </w:r>
      <w:r>
        <w:t>, 21 September 2016,   p. 7.</w:t>
      </w:r>
    </w:p>
  </w:footnote>
  <w:footnote w:id="1116">
    <w:p w:rsidR="002D334E" w:rsidRDefault="002D334E"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950EA8">
        <w:rPr>
          <w:rStyle w:val="AERtextitalic"/>
        </w:rPr>
        <w:t>submission with AusNet Transmission Group Pty Ltd Transmission Revenue Review 2017-2022, Revised Revenue Proposal</w:t>
      </w:r>
      <w:r>
        <w:t>, 21 September 2016,   p. 10.</w:t>
      </w:r>
    </w:p>
  </w:footnote>
  <w:footnote w:id="1117">
    <w:p w:rsidR="002D334E" w:rsidRDefault="002D334E"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950EA8">
        <w:rPr>
          <w:rStyle w:val="AERtextitalic"/>
        </w:rPr>
        <w:t>submission with AusNet Transmission Group Pty Ltd Transmission Revenue Review 2017-2022, Revised Revenue Proposal</w:t>
      </w:r>
      <w:r>
        <w:t>, 21 September 2016,   p. 12.</w:t>
      </w:r>
    </w:p>
  </w:footnote>
  <w:footnote w:id="1118">
    <w:p w:rsidR="002D334E" w:rsidRDefault="002D334E" w:rsidP="00352220">
      <w:pPr>
        <w:pStyle w:val="FootnoteText"/>
      </w:pPr>
      <w:r>
        <w:rPr>
          <w:rStyle w:val="FootnoteReference"/>
        </w:rPr>
        <w:footnoteRef/>
      </w:r>
      <w:r>
        <w:t xml:space="preserve"> </w:t>
      </w:r>
      <w:r>
        <w:tab/>
      </w:r>
      <w:r>
        <w:rPr>
          <w:rStyle w:val="AERtextsize8"/>
        </w:rPr>
        <w:t>The discrepancy is because we adjust for related party transactions for SKI to Powercor, CitiPower and SAPN (formerly ETSA).</w:t>
      </w:r>
    </w:p>
  </w:footnote>
  <w:footnote w:id="1119">
    <w:p w:rsidR="002D334E" w:rsidRDefault="002D334E"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950EA8">
        <w:rPr>
          <w:rStyle w:val="AERtextitalic"/>
        </w:rPr>
        <w:t>submission with AusNet Transmission Group Pty Ltd Transmission Revenue Review 2017-2022, Revised Revenue Proposal</w:t>
      </w:r>
      <w:r>
        <w:t>, 21 September 2016,   p. 6.</w:t>
      </w:r>
    </w:p>
  </w:footnote>
  <w:footnote w:id="1120">
    <w:p w:rsidR="002D334E" w:rsidRDefault="002D334E"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pp. 11–12.</w:t>
      </w:r>
    </w:p>
  </w:footnote>
  <w:footnote w:id="1121">
    <w:p w:rsidR="002D334E" w:rsidRDefault="002D334E"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 xml:space="preserve">12 April </w:t>
      </w:r>
      <w:r w:rsidRPr="009E2AB3">
        <w:t>2017</w:t>
      </w:r>
      <w:r>
        <w:t>, p. 13.</w:t>
      </w:r>
    </w:p>
  </w:footnote>
  <w:footnote w:id="1122">
    <w:p w:rsidR="002D334E" w:rsidRDefault="002D334E"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 xml:space="preserve">12 April </w:t>
      </w:r>
      <w:r w:rsidRPr="009E2AB3">
        <w:t>2017</w:t>
      </w:r>
      <w:r>
        <w:t>, pp. 8, 14.</w:t>
      </w:r>
    </w:p>
  </w:footnote>
  <w:footnote w:id="1123">
    <w:p w:rsidR="002D334E" w:rsidRDefault="002D334E"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950EA8">
        <w:rPr>
          <w:rStyle w:val="AERtextitalic"/>
        </w:rPr>
        <w:t>submission with AusNet Transmission Group Pty Ltd Transmission Revenue Review 2017-2022, Revised Revenue Proposal</w:t>
      </w:r>
      <w:r>
        <w:t>, 21 September 2016, p. 13.</w:t>
      </w:r>
    </w:p>
  </w:footnote>
  <w:footnote w:id="1124">
    <w:p w:rsidR="002D334E" w:rsidRDefault="002D334E"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950EA8">
        <w:rPr>
          <w:rStyle w:val="AERtextitalic"/>
        </w:rPr>
        <w:t>submission with AusNet Transmission Group Pty Ltd Transmission Revenue Review 2017-2022, Revised Revenue Proposal</w:t>
      </w:r>
      <w:r>
        <w:t>, 21 September 2016,   p. 2.</w:t>
      </w:r>
    </w:p>
  </w:footnote>
  <w:footnote w:id="1125">
    <w:p w:rsidR="002D334E" w:rsidRDefault="002D334E" w:rsidP="00352220">
      <w:pPr>
        <w:pStyle w:val="FootnoteText"/>
      </w:pPr>
      <w:r>
        <w:rPr>
          <w:rStyle w:val="FootnoteReference"/>
        </w:rPr>
        <w:footnoteRef/>
      </w:r>
      <w:r>
        <w:t xml:space="preserve"> </w:t>
      </w:r>
      <w:r>
        <w:tab/>
        <w:t>AER,</w:t>
      </w:r>
      <w:r w:rsidRPr="00B62985">
        <w:t xml:space="preserve"> </w:t>
      </w:r>
      <w:r w:rsidRPr="00B62985">
        <w:rPr>
          <w:rStyle w:val="AERtextitalic"/>
        </w:rPr>
        <w:t xml:space="preserve">Better regulation: Explanatory statement rate of return guideline, </w:t>
      </w:r>
      <w:r w:rsidRPr="00B62985">
        <w:t>December 2013</w:t>
      </w:r>
      <w:r>
        <w:t>, p. 122.</w:t>
      </w:r>
    </w:p>
  </w:footnote>
  <w:footnote w:id="1126">
    <w:p w:rsidR="002D334E" w:rsidRDefault="002D334E" w:rsidP="0070354B">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127">
    <w:p w:rsidR="002D334E" w:rsidRDefault="002D334E" w:rsidP="0070354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28">
    <w:p w:rsidR="002D334E" w:rsidRDefault="002D334E" w:rsidP="0070354B">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129">
    <w:p w:rsidR="002D334E" w:rsidRDefault="002D334E" w:rsidP="0070354B">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130">
    <w:p w:rsidR="002D334E" w:rsidRDefault="002D334E"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131">
    <w:p w:rsidR="002D334E" w:rsidRDefault="002D334E" w:rsidP="0070354B">
      <w:pPr>
        <w:pStyle w:val="FootnoteText"/>
      </w:pPr>
      <w:r>
        <w:rPr>
          <w:rStyle w:val="FootnoteReference"/>
        </w:rPr>
        <w:footnoteRef/>
      </w:r>
      <w:r>
        <w:t xml:space="preserve"> </w:t>
      </w:r>
      <w:r>
        <w:tab/>
        <w:t>See, for example, sections D.2.1 and D.2.3 of Attachment 3 to our preliminary decision for AusNet Services. In these decisions we also responded to submissions from other stakeholders that suggested the equity beta estimates in Henry's 2014 report cluster around a range of 0.3 to 0.5.</w:t>
      </w:r>
    </w:p>
  </w:footnote>
  <w:footnote w:id="1132">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33">
    <w:p w:rsidR="002D334E" w:rsidRDefault="002D334E" w:rsidP="0070354B">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134">
    <w:p w:rsidR="002D334E" w:rsidRDefault="002D334E" w:rsidP="0070354B">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135">
    <w:p w:rsidR="002D334E" w:rsidRDefault="002D334E" w:rsidP="0070354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136">
    <w:p w:rsidR="002D334E" w:rsidRDefault="002D334E" w:rsidP="0070354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137">
    <w:p w:rsidR="002D334E" w:rsidRDefault="002D334E" w:rsidP="0070354B">
      <w:pPr>
        <w:pStyle w:val="FootnoteText"/>
      </w:pPr>
      <w:r>
        <w:rPr>
          <w:rStyle w:val="FootnoteReference"/>
        </w:rPr>
        <w:footnoteRef/>
      </w:r>
      <w:r>
        <w:t xml:space="preserve"> </w:t>
      </w:r>
      <w:r>
        <w:tab/>
        <w:t xml:space="preserve">See: </w:t>
      </w:r>
      <w:hyperlink r:id="rId20" w:history="1">
        <w:r w:rsidRPr="007C34AE">
          <w:rPr>
            <w:rStyle w:val="Hyperlink"/>
            <w:color w:val="auto"/>
            <w:sz w:val="16"/>
            <w:u w:val="none"/>
          </w:rPr>
          <w:t>http://www.asx.com.au/asx/statistics/announcements.do?by=asxCode&amp;asxCode=ENV&amp;timeframe=Y&amp;year=2014</w:t>
        </w:r>
      </w:hyperlink>
      <w:r>
        <w:t xml:space="preserve">. </w:t>
      </w:r>
    </w:p>
  </w:footnote>
  <w:footnote w:id="1138">
    <w:p w:rsidR="002D334E" w:rsidRDefault="002D334E" w:rsidP="0070354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139">
    <w:p w:rsidR="002D334E" w:rsidRDefault="002D334E" w:rsidP="0070354B">
      <w:pPr>
        <w:pStyle w:val="FootnoteText"/>
      </w:pPr>
      <w:r>
        <w:rPr>
          <w:rStyle w:val="FootnoteReference"/>
        </w:rPr>
        <w:footnoteRef/>
      </w:r>
      <w:r>
        <w:t xml:space="preserve"> </w:t>
      </w:r>
      <w:r>
        <w:tab/>
        <w:t xml:space="preserve">APA Group, </w:t>
      </w:r>
      <w:r>
        <w:rPr>
          <w:rStyle w:val="AERtextitalic"/>
        </w:rPr>
        <w:t>Annual report 2016: energy.connected.</w:t>
      </w:r>
      <w:r>
        <w:t>, pp. 16, 29.</w:t>
      </w:r>
    </w:p>
  </w:footnote>
  <w:footnote w:id="1140">
    <w:p w:rsidR="002D334E" w:rsidRDefault="002D334E" w:rsidP="0070354B">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141">
    <w:p w:rsidR="002D334E" w:rsidRDefault="002D334E" w:rsidP="00ED4D93">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 20; </w:t>
      </w:r>
    </w:p>
  </w:footnote>
  <w:footnote w:id="1142">
    <w:p w:rsidR="002D334E" w:rsidRDefault="002D334E" w:rsidP="00ED4D93">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pp. 10, 16.  </w:t>
      </w:r>
    </w:p>
  </w:footnote>
  <w:footnote w:id="1143">
    <w:p w:rsidR="002D334E" w:rsidRDefault="002D334E" w:rsidP="0070354B">
      <w:pPr>
        <w:pStyle w:val="FootnoteText"/>
      </w:pPr>
      <w:r>
        <w:rPr>
          <w:rStyle w:val="FootnoteReference"/>
        </w:rPr>
        <w:footnoteRef/>
      </w:r>
      <w:r>
        <w:t xml:space="preserve"> </w:t>
      </w:r>
      <w:r>
        <w:tab/>
        <w:t xml:space="preserve">AusNet Services, </w:t>
      </w:r>
      <w:r>
        <w:rPr>
          <w:rStyle w:val="AERtextitalic"/>
        </w:rPr>
        <w:t>Annual report 2016</w:t>
      </w:r>
      <w:r>
        <w:t>, p. 73.</w:t>
      </w:r>
    </w:p>
  </w:footnote>
  <w:footnote w:id="1144">
    <w:p w:rsidR="002D334E" w:rsidRDefault="002D334E" w:rsidP="0070354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21"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22"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23" w:history="1">
        <w:r w:rsidRPr="006558B8">
          <w:rPr>
            <w:rStyle w:val="Hyperlink"/>
            <w:color w:val="auto"/>
            <w:sz w:val="16"/>
            <w:u w:val="none"/>
          </w:rPr>
          <w:t>http://www.aer.gov.au/node/5219</w:t>
        </w:r>
      </w:hyperlink>
      <w:r>
        <w:t>.</w:t>
      </w:r>
    </w:p>
  </w:footnote>
  <w:footnote w:id="1145">
    <w:p w:rsidR="002D334E" w:rsidRDefault="002D334E" w:rsidP="0070354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146">
    <w:p w:rsidR="002D334E" w:rsidRDefault="002D334E" w:rsidP="0070354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147">
    <w:p w:rsidR="002D334E" w:rsidRDefault="002D334E" w:rsidP="0070354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148">
    <w:p w:rsidR="002D334E" w:rsidRDefault="002D334E" w:rsidP="0070354B">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149">
    <w:p w:rsidR="002D334E" w:rsidRDefault="002D334E" w:rsidP="0070354B">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150">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51">
    <w:p w:rsidR="002D334E" w:rsidRDefault="002D334E" w:rsidP="0070354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152">
    <w:p w:rsidR="002D334E" w:rsidRDefault="002D334E" w:rsidP="0070354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153">
    <w:p w:rsidR="002D334E" w:rsidRDefault="002D334E" w:rsidP="0070354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154">
    <w:p w:rsidR="002D334E" w:rsidRDefault="002D334E" w:rsidP="0070354B">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155">
    <w:p w:rsidR="002D334E" w:rsidRDefault="002D334E" w:rsidP="0070354B">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156">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157">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58">
    <w:p w:rsidR="002D334E" w:rsidRDefault="002D334E"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159">
    <w:p w:rsidR="002D334E" w:rsidRDefault="002D334E" w:rsidP="0070354B">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160">
    <w:p w:rsidR="002D334E" w:rsidRDefault="002D334E"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161">
    <w:p w:rsidR="002D334E" w:rsidRDefault="002D334E" w:rsidP="0070354B">
      <w:pPr>
        <w:pStyle w:val="FootnoteText"/>
      </w:pPr>
      <w:r>
        <w:rPr>
          <w:rStyle w:val="FootnoteReference"/>
        </w:rPr>
        <w:footnoteRef/>
      </w:r>
      <w:r>
        <w:t xml:space="preserve"> </w:t>
      </w:r>
      <w:r>
        <w:tab/>
        <w:t>NER, cll. 6.5.2(f) and 6A.6.2(f); NGR, r. 87(6).</w:t>
      </w:r>
    </w:p>
  </w:footnote>
  <w:footnote w:id="1162">
    <w:p w:rsidR="002D334E" w:rsidRDefault="002D334E" w:rsidP="0070354B">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163">
    <w:p w:rsidR="002D334E" w:rsidRDefault="002D334E" w:rsidP="0070354B">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164">
    <w:p w:rsidR="002D334E" w:rsidRDefault="002D334E" w:rsidP="0070354B">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165">
    <w:p w:rsidR="002D334E" w:rsidRDefault="002D334E" w:rsidP="0070354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166">
    <w:p w:rsidR="002D334E" w:rsidRDefault="002D334E" w:rsidP="0070354B">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167">
    <w:p w:rsidR="002D334E" w:rsidRDefault="002D334E"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168">
    <w:p w:rsidR="002D334E" w:rsidRDefault="002D334E" w:rsidP="0070354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169">
    <w:p w:rsidR="002D334E" w:rsidRDefault="002D334E" w:rsidP="0070354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170">
    <w:p w:rsidR="002D334E" w:rsidRDefault="002D334E" w:rsidP="0070354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171">
    <w:p w:rsidR="002D334E" w:rsidRDefault="002D334E" w:rsidP="0070354B">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172">
    <w:p w:rsidR="002D334E" w:rsidRDefault="002D334E" w:rsidP="0070354B">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173">
    <w:p w:rsidR="002D334E" w:rsidRDefault="002D334E" w:rsidP="0070354B">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174">
    <w:p w:rsidR="002D334E" w:rsidRDefault="002D334E" w:rsidP="0070354B">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G.4.2</w:t>
      </w:r>
      <w:r>
        <w:fldChar w:fldCharType="end"/>
      </w:r>
      <w:r>
        <w:t>)</w:t>
      </w:r>
      <w:r w:rsidRPr="00872992">
        <w:t>.</w:t>
      </w:r>
    </w:p>
  </w:footnote>
  <w:footnote w:id="1175">
    <w:p w:rsidR="002D334E" w:rsidRDefault="002D334E"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176">
    <w:p w:rsidR="002D334E" w:rsidRDefault="002D334E" w:rsidP="0070354B">
      <w:pPr>
        <w:pStyle w:val="FootnoteText"/>
      </w:pPr>
      <w:r>
        <w:rPr>
          <w:rStyle w:val="FootnoteReference"/>
        </w:rPr>
        <w:footnoteRef/>
      </w:r>
      <w:r>
        <w:t xml:space="preserve"> </w:t>
      </w:r>
      <w:r>
        <w:tab/>
        <w:t>See, for example,</w:t>
      </w:r>
      <w:r w:rsidRPr="00DC3465">
        <w:t xml:space="preserve"> </w:t>
      </w:r>
      <w:r>
        <w:t xml:space="preserve">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D.2.1 (under the heading 'International comparators').</w:t>
      </w:r>
    </w:p>
  </w:footnote>
  <w:footnote w:id="1177">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178">
    <w:p w:rsidR="002D334E" w:rsidRDefault="002D334E" w:rsidP="0070354B">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179">
    <w:p w:rsidR="002D334E" w:rsidRDefault="002D334E" w:rsidP="0070354B">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180">
    <w:p w:rsidR="002D334E" w:rsidRDefault="002D334E" w:rsidP="0070354B">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181">
    <w:p w:rsidR="002D334E" w:rsidRDefault="002D334E" w:rsidP="0070354B">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182">
    <w:p w:rsidR="002D334E" w:rsidRDefault="002D334E" w:rsidP="0070354B">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G.4.2</w:t>
      </w:r>
      <w:r>
        <w:fldChar w:fldCharType="end"/>
      </w:r>
      <w:r>
        <w:t>.</w:t>
      </w:r>
    </w:p>
  </w:footnote>
  <w:footnote w:id="1183">
    <w:p w:rsidR="002D334E" w:rsidRDefault="002D334E" w:rsidP="0070354B">
      <w:pPr>
        <w:pStyle w:val="FootnoteText"/>
      </w:pPr>
      <w:r>
        <w:rPr>
          <w:rStyle w:val="FootnoteReference"/>
        </w:rPr>
        <w:footnoteRef/>
      </w:r>
      <w:r>
        <w:t xml:space="preserve"> </w:t>
      </w:r>
      <w:r>
        <w:tab/>
        <w:t>That is, the National Electricity Law and Rules, and the National Gas Law and Rules.</w:t>
      </w:r>
    </w:p>
  </w:footnote>
  <w:footnote w:id="1184">
    <w:p w:rsidR="002D334E" w:rsidRDefault="002D334E" w:rsidP="0070354B">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24"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185">
    <w:p w:rsidR="002D334E" w:rsidRDefault="002D334E" w:rsidP="0070354B">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186">
    <w:p w:rsidR="002D334E" w:rsidRDefault="002D334E" w:rsidP="0070354B">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187">
    <w:p w:rsidR="002D334E" w:rsidRDefault="002D334E"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188">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189">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190">
    <w:p w:rsidR="002D334E" w:rsidRDefault="002D334E"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91">
    <w:p w:rsidR="002D334E" w:rsidRDefault="002D334E"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192">
    <w:p w:rsidR="002D334E" w:rsidRDefault="002D334E"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193">
    <w:p w:rsidR="002D334E" w:rsidRDefault="002D334E"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194">
    <w:p w:rsidR="002D334E" w:rsidRDefault="002D334E" w:rsidP="0070354B">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195">
    <w:p w:rsidR="002D334E" w:rsidRDefault="002D334E" w:rsidP="00CE5DD5">
      <w:pPr>
        <w:pStyle w:val="FootnoteText"/>
      </w:pPr>
      <w:r>
        <w:rPr>
          <w:rStyle w:val="FootnoteReference"/>
        </w:rPr>
        <w:footnoteRef/>
      </w:r>
      <w:r>
        <w:t xml:space="preserve"> </w:t>
      </w:r>
      <w:r>
        <w:tab/>
        <w:t>For clarity, that is 100% of the base rate and DRP components of the allowed return on debt.</w:t>
      </w:r>
    </w:p>
  </w:footnote>
  <w:footnote w:id="1196">
    <w:p w:rsidR="002D334E" w:rsidRDefault="002D334E" w:rsidP="00CE5DD5">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197">
    <w:p w:rsidR="002D334E" w:rsidRDefault="002D334E" w:rsidP="00CE5DD5">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198">
    <w:p w:rsidR="002D334E" w:rsidRDefault="002D334E" w:rsidP="00CE5DD5">
      <w:pPr>
        <w:pStyle w:val="FootnoteText"/>
      </w:pPr>
      <w:r>
        <w:rPr>
          <w:rStyle w:val="FootnoteReference"/>
        </w:rPr>
        <w:footnoteRef/>
      </w:r>
      <w:r>
        <w:t xml:space="preserve"> </w:t>
      </w:r>
      <w:r>
        <w:tab/>
        <w:t>NER, cl. 6.5.2(c); NER, cl. 6A.6.2(c); NGR, r. 87(3).</w:t>
      </w:r>
    </w:p>
  </w:footnote>
  <w:footnote w:id="1199">
    <w:p w:rsidR="002D334E" w:rsidRDefault="002D334E" w:rsidP="00CE5DD5">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200">
    <w:p w:rsidR="002D334E" w:rsidRDefault="002D334E" w:rsidP="00CE5DD5">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1201">
    <w:p w:rsidR="002D334E" w:rsidRDefault="002D334E" w:rsidP="00CE5DD5">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202">
    <w:p w:rsidR="002D334E" w:rsidRDefault="002D334E" w:rsidP="00CE5DD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203">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204">
    <w:p w:rsidR="002D334E" w:rsidRDefault="002D334E" w:rsidP="00CE5DD5">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205">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206">
    <w:p w:rsidR="002D334E" w:rsidRDefault="002D334E" w:rsidP="00CE5DD5">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In relation to the cost of debt</w:t>
      </w:r>
      <w:r>
        <w:t>, 9 April 2017, p. 23.</w:t>
      </w:r>
    </w:p>
  </w:footnote>
  <w:footnote w:id="1207">
    <w:p w:rsidR="002D334E" w:rsidRDefault="002D334E" w:rsidP="00CE5DD5">
      <w:pPr>
        <w:pStyle w:val="FootnoteText"/>
      </w:pPr>
      <w:r>
        <w:rPr>
          <w:rStyle w:val="FootnoteReference"/>
        </w:rPr>
        <w:footnoteRef/>
      </w:r>
      <w:r>
        <w:t xml:space="preserve">   </w:t>
      </w:r>
      <w:r w:rsidRPr="001C3D87">
        <w:t>Partington, G., Satchell, S., Report to the AER: Discussion of the allowed cost of debt, 5 May 2016, p. 15.</w:t>
      </w:r>
    </w:p>
  </w:footnote>
  <w:footnote w:id="1208">
    <w:p w:rsidR="002D334E" w:rsidRDefault="002D334E" w:rsidP="00CE5DD5">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209">
    <w:p w:rsidR="002D334E" w:rsidRDefault="002D334E" w:rsidP="00CE5DD5">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210">
    <w:p w:rsidR="002D334E" w:rsidRDefault="002D334E" w:rsidP="00CE5DD5">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211">
    <w:p w:rsidR="002D334E" w:rsidRDefault="002D334E" w:rsidP="00CE5DD5">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212">
    <w:p w:rsidR="002D334E" w:rsidRDefault="002D334E" w:rsidP="00CE5DD5">
      <w:pPr>
        <w:pStyle w:val="FootnoteText"/>
      </w:pPr>
      <w:r>
        <w:rPr>
          <w:rStyle w:val="FootnoteReference"/>
        </w:rPr>
        <w:footnoteRef/>
      </w:r>
      <w:r>
        <w:t xml:space="preserve"> </w:t>
      </w:r>
      <w:r>
        <w:tab/>
      </w:r>
      <w:r w:rsidRPr="00E0091E">
        <w:t xml:space="preserve">AER, </w:t>
      </w:r>
      <w:r w:rsidRPr="007F2F06">
        <w:rPr>
          <w:rStyle w:val="AERtextitalic"/>
        </w:rPr>
        <w:t>Final decision–Electricity transmission and distribution network service providers: Review of the weighted average cost of capital (WACC) parameters</w:t>
      </w:r>
      <w:r w:rsidRPr="00E0091E">
        <w:t>, May 2009, p. 82.</w:t>
      </w:r>
    </w:p>
  </w:footnote>
  <w:footnote w:id="1213">
    <w:p w:rsidR="002D334E" w:rsidRDefault="002D334E" w:rsidP="00CE5DD5">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214">
    <w:p w:rsidR="002D334E" w:rsidRDefault="002D334E" w:rsidP="00CE5DD5">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215">
    <w:p w:rsidR="002D334E" w:rsidRDefault="002D334E" w:rsidP="00CE5DD5">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216">
    <w:p w:rsidR="002D334E" w:rsidRDefault="002D334E" w:rsidP="00CE5DD5">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217">
    <w:p w:rsidR="002D334E" w:rsidRDefault="002D334E">
      <w:pPr>
        <w:pStyle w:val="FootnoteText"/>
      </w:pPr>
      <w:r>
        <w:rPr>
          <w:rStyle w:val="FootnoteReference"/>
        </w:rPr>
        <w:footnoteRef/>
      </w:r>
      <w:r>
        <w:t xml:space="preserve"> </w:t>
      </w:r>
      <w:r>
        <w:tab/>
        <w:t>That is CitiPower, Powercor, Jemena, United Energy and AusNet Services</w:t>
      </w:r>
    </w:p>
  </w:footnote>
  <w:footnote w:id="1218">
    <w:p w:rsidR="002D334E" w:rsidRDefault="002D334E"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219">
    <w:p w:rsidR="002D334E" w:rsidRDefault="002D334E" w:rsidP="0095716E">
      <w:pPr>
        <w:pStyle w:val="FootnoteText"/>
      </w:pPr>
      <w:r>
        <w:rPr>
          <w:rStyle w:val="FootnoteReference"/>
        </w:rPr>
        <w:footnoteRef/>
      </w:r>
      <w:r>
        <w:t xml:space="preserve">   AusNet, </w:t>
      </w:r>
      <w:r w:rsidRPr="00584EB7">
        <w:rPr>
          <w:i/>
        </w:rPr>
        <w:t>Transmission revised revenue proposal</w:t>
      </w:r>
      <w:r>
        <w:t>, September 2016, p.155.</w:t>
      </w:r>
    </w:p>
  </w:footnote>
  <w:footnote w:id="1220">
    <w:p w:rsidR="002D334E" w:rsidRPr="0070748E" w:rsidRDefault="002D334E" w:rsidP="00CE5DD5">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221">
    <w:p w:rsidR="002D334E" w:rsidRDefault="002D334E" w:rsidP="00CE5DD5">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footnote>
  <w:footnote w:id="1222">
    <w:p w:rsidR="002D334E" w:rsidRDefault="002D334E" w:rsidP="00CE5DD5">
      <w:pPr>
        <w:pStyle w:val="FootnoteText"/>
      </w:pPr>
      <w:r>
        <w:rPr>
          <w:rStyle w:val="FootnoteReference"/>
        </w:rPr>
        <w:footnoteRef/>
      </w:r>
      <w:r>
        <w:t xml:space="preserve">   </w:t>
      </w:r>
      <w:r w:rsidRPr="00315A21">
        <w:t xml:space="preserve">CEG, </w:t>
      </w:r>
      <w:r w:rsidRPr="00950EA8">
        <w:rPr>
          <w:rStyle w:val="AERtextitalic"/>
        </w:rPr>
        <w:t>The AER’s current interpretation of the ARORO</w:t>
      </w:r>
      <w:r w:rsidRPr="00315A21">
        <w:t>, September 2016</w:t>
      </w:r>
      <w:r w:rsidRPr="00315A21">
        <w:tab/>
      </w:r>
    </w:p>
  </w:footnote>
  <w:footnote w:id="1223">
    <w:p w:rsidR="002D334E" w:rsidRDefault="002D334E" w:rsidP="00CE5DD5">
      <w:pPr>
        <w:pStyle w:val="FootnoteText"/>
        <w:tabs>
          <w:tab w:val="clear" w:pos="340"/>
          <w:tab w:val="left" w:pos="1232"/>
        </w:tabs>
      </w:pPr>
      <w:r>
        <w:rPr>
          <w:rStyle w:val="FootnoteReference"/>
        </w:rPr>
        <w:footnoteRef/>
      </w:r>
      <w:r>
        <w:t xml:space="preserve"> </w:t>
      </w:r>
      <w:r>
        <w:tab/>
      </w:r>
      <w:r w:rsidRPr="00315A21">
        <w:t>The AER, Final decision ActewAGL distribution access arrangement 2016 t</w:t>
      </w:r>
      <w:r>
        <w:t>o</w:t>
      </w:r>
      <w:r w:rsidRPr="00315A21">
        <w:t xml:space="preserve"> 2021, attachment 3- Rate of return, May 2016</w:t>
      </w:r>
      <w:r>
        <w:t>.</w:t>
      </w:r>
    </w:p>
  </w:footnote>
  <w:footnote w:id="1224">
    <w:p w:rsidR="002D334E" w:rsidRDefault="002D334E" w:rsidP="00CE5DD5">
      <w:pPr>
        <w:pStyle w:val="FootnoteText"/>
      </w:pPr>
      <w:r>
        <w:rPr>
          <w:rStyle w:val="FootnoteReference"/>
        </w:rPr>
        <w:footnoteRef/>
      </w:r>
      <w:r>
        <w:t xml:space="preserve"> </w:t>
      </w:r>
      <w:r>
        <w:tab/>
        <w:t>NGR, r. 87(3). Similar wording is found in NER, cl.  6.5.2(c) and NER, cl. 6A.6.2(c).</w:t>
      </w:r>
    </w:p>
  </w:footnote>
  <w:footnote w:id="1225">
    <w:p w:rsidR="002D334E" w:rsidRDefault="002D334E" w:rsidP="00CE5DD5">
      <w:pPr>
        <w:pStyle w:val="FootnoteText"/>
      </w:pPr>
      <w:r>
        <w:rPr>
          <w:rStyle w:val="FootnoteReference"/>
        </w:rPr>
        <w:footnoteRef/>
      </w:r>
      <w:r>
        <w:t xml:space="preserve"> </w:t>
      </w:r>
      <w:r>
        <w:tab/>
        <w:t>NER, cl. 6.5.2(c); NER, cl. 6A.6.2(c); NGR, r. 87(3).</w:t>
      </w:r>
    </w:p>
  </w:footnote>
  <w:footnote w:id="1226">
    <w:p w:rsidR="002D334E" w:rsidRDefault="002D334E" w:rsidP="00CE5DD5">
      <w:pPr>
        <w:pStyle w:val="FootnoteText"/>
      </w:pPr>
      <w:r w:rsidRPr="000F26DE">
        <w:rPr>
          <w:rStyle w:val="FootnoteReference"/>
          <w:sz w:val="20"/>
        </w:rPr>
        <w:footnoteRef/>
      </w:r>
      <w:r w:rsidRPr="000F26DE">
        <w:rPr>
          <w:sz w:val="20"/>
        </w:rPr>
        <w:t xml:space="preserve"> </w:t>
      </w:r>
      <w:r>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227">
    <w:p w:rsidR="002D334E" w:rsidRDefault="002D334E" w:rsidP="00CE5DD5">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228">
    <w:p w:rsidR="002D334E" w:rsidRPr="00602829" w:rsidRDefault="002D334E" w:rsidP="00CE5DD5">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229">
    <w:p w:rsidR="002D334E" w:rsidRDefault="002D334E" w:rsidP="00CE5DD5">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230">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31">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32">
    <w:p w:rsidR="002D334E" w:rsidRDefault="002D334E" w:rsidP="00CE5DD5">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233">
    <w:p w:rsidR="002D334E" w:rsidRDefault="002D334E" w:rsidP="00CE5DD5">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234">
    <w:p w:rsidR="002D334E" w:rsidRDefault="002D334E"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235">
    <w:p w:rsidR="002D334E" w:rsidRDefault="002D334E" w:rsidP="00CE5DD5">
      <w:pPr>
        <w:pStyle w:val="FootnoteText"/>
      </w:pPr>
      <w:r>
        <w:rPr>
          <w:rStyle w:val="FootnoteReference"/>
        </w:rPr>
        <w:footnoteRef/>
      </w:r>
      <w:r>
        <w:t xml:space="preserve">   </w:t>
      </w:r>
      <w:r w:rsidRPr="00E52A84">
        <w:t xml:space="preserve">Partington, G., Satchell, S., Report to the AER: Issues in relation to the </w:t>
      </w:r>
      <w:r>
        <w:t>cost of debt,9 April 2017, p.16</w:t>
      </w:r>
      <w:r w:rsidRPr="00E52A84">
        <w:t>.</w:t>
      </w:r>
    </w:p>
  </w:footnote>
  <w:footnote w:id="1236">
    <w:p w:rsidR="002D334E" w:rsidRDefault="002D334E" w:rsidP="00CE5DD5">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237">
    <w:p w:rsidR="002D334E" w:rsidRDefault="002D334E" w:rsidP="00CE5DD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238">
    <w:p w:rsidR="002D334E" w:rsidRDefault="002D334E" w:rsidP="00CE5DD5">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239">
    <w:p w:rsidR="002D334E" w:rsidRDefault="002D334E" w:rsidP="00CE5DD5">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240">
    <w:p w:rsidR="002D334E" w:rsidRDefault="002D334E"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241">
    <w:p w:rsidR="002D334E" w:rsidRDefault="002D334E" w:rsidP="00CE5DD5">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p w:rsidR="002D334E" w:rsidRDefault="002D334E" w:rsidP="007E1962">
      <w:pPr>
        <w:pStyle w:val="FootnoteText"/>
      </w:pPr>
      <w:r>
        <w:t xml:space="preserve">       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Pr>
          <w:rStyle w:val="AERtextitalic"/>
        </w:rPr>
        <w:t xml:space="preserve">, </w:t>
      </w:r>
      <w:r w:rsidRPr="005A4B75">
        <w:rPr>
          <w:rStyle w:val="AERtextitalic"/>
          <w:i w:val="0"/>
        </w:rPr>
        <w:t>p.</w:t>
      </w:r>
      <w:r w:rsidRPr="007E1962">
        <w:rPr>
          <w:rStyle w:val="AERtextitalic"/>
          <w:i w:val="0"/>
        </w:rPr>
        <w:t>2</w:t>
      </w:r>
      <w:r w:rsidRPr="00BE50B0">
        <w:rPr>
          <w:rStyle w:val="AERtextitalic"/>
          <w:i w:val="0"/>
        </w:rPr>
        <w:t>6</w:t>
      </w:r>
    </w:p>
  </w:footnote>
  <w:footnote w:id="1242">
    <w:p w:rsidR="002D334E" w:rsidRDefault="002D334E" w:rsidP="00CE5DD5">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243">
    <w:p w:rsidR="002D334E" w:rsidRDefault="002D334E" w:rsidP="00CE5DD5">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1244">
    <w:p w:rsidR="002D334E" w:rsidRDefault="002D334E"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245">
    <w:p w:rsidR="002D334E" w:rsidRDefault="002D334E" w:rsidP="00CE5DD5">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246">
    <w:p w:rsidR="002D334E" w:rsidRDefault="002D334E" w:rsidP="00CE5DD5">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247">
    <w:p w:rsidR="002D334E" w:rsidRDefault="002D334E" w:rsidP="00CE5DD5">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248">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249">
    <w:p w:rsidR="002D334E" w:rsidRDefault="002D334E"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sidRPr="0051093A">
        <w:rPr>
          <w:rStyle w:val="AERtextitalic"/>
        </w:rPr>
        <w:t>,</w:t>
      </w:r>
      <w:r w:rsidRPr="0051093A">
        <w:t xml:space="preserve"> </w:t>
      </w:r>
      <w:r>
        <w:t>p.26</w:t>
      </w:r>
      <w:r w:rsidRPr="0051093A">
        <w:t>.</w:t>
      </w:r>
    </w:p>
  </w:footnote>
  <w:footnote w:id="1250">
    <w:p w:rsidR="002D334E" w:rsidRDefault="002D334E"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251">
    <w:p w:rsidR="002D334E" w:rsidRDefault="002D334E" w:rsidP="00CE5DD5">
      <w:pPr>
        <w:pStyle w:val="FootnoteText"/>
      </w:pPr>
      <w:r>
        <w:rPr>
          <w:rStyle w:val="FootnoteReference"/>
        </w:rPr>
        <w:footnoteRef/>
      </w:r>
      <w:r>
        <w:t xml:space="preserve"> </w:t>
      </w:r>
      <w:r>
        <w:tab/>
        <w:t>NEL, s. 7A(3); NGL, s. (24)(3).</w:t>
      </w:r>
    </w:p>
  </w:footnote>
  <w:footnote w:id="1252">
    <w:p w:rsidR="002D334E" w:rsidRPr="00612B7B" w:rsidRDefault="002D334E" w:rsidP="00CE5DD5">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253">
    <w:p w:rsidR="002D334E" w:rsidRDefault="002D334E" w:rsidP="00CE5DD5">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254">
    <w:p w:rsidR="002D334E" w:rsidRDefault="002D334E" w:rsidP="00CE5DD5">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255">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56">
    <w:p w:rsidR="002D334E" w:rsidRPr="00B57A7C" w:rsidRDefault="002D334E" w:rsidP="00CE5DD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257">
    <w:p w:rsidR="002D334E" w:rsidRDefault="002D334E" w:rsidP="00CE5DD5">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258">
    <w:p w:rsidR="002D334E" w:rsidRPr="007E1962" w:rsidRDefault="002D334E"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 p.26.</w:t>
      </w:r>
    </w:p>
  </w:footnote>
  <w:footnote w:id="1259">
    <w:p w:rsidR="002D334E" w:rsidRDefault="002D334E" w:rsidP="00CE5DD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260">
    <w:p w:rsidR="002D334E" w:rsidRDefault="002D334E" w:rsidP="00CE5DD5">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61">
    <w:p w:rsidR="002D334E" w:rsidRDefault="002D334E" w:rsidP="007E196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w:t>
      </w:r>
      <w:r w:rsidRPr="007E1962">
        <w:rPr>
          <w:rStyle w:val="AERtextitalic"/>
          <w:i w:val="0"/>
        </w:rPr>
        <w:t>, p.2</w:t>
      </w:r>
      <w:r w:rsidRPr="00BE50B0">
        <w:rPr>
          <w:rStyle w:val="AERtextitalic"/>
          <w:i w:val="0"/>
        </w:rPr>
        <w:t>8</w:t>
      </w:r>
      <w:r w:rsidRPr="00C6428D">
        <w:rPr>
          <w:rStyle w:val="AERtextitalic"/>
          <w:i w:val="0"/>
        </w:rPr>
        <w:t>.</w:t>
      </w:r>
    </w:p>
  </w:footnote>
  <w:footnote w:id="1262">
    <w:p w:rsidR="002D334E" w:rsidRDefault="002D334E" w:rsidP="007E196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sidRPr="00C6428D" w:rsidDel="009F5F73">
        <w:rPr>
          <w:rStyle w:val="AERtextitalic"/>
          <w:i w:val="0"/>
        </w:rPr>
        <w:t xml:space="preserve"> </w:t>
      </w:r>
      <w:r w:rsidRPr="00BE50B0">
        <w:rPr>
          <w:rStyle w:val="AERtextitalic"/>
          <w:i w:val="0"/>
        </w:rPr>
        <w:t>9 April 2017</w:t>
      </w:r>
      <w:r w:rsidRPr="007E1962">
        <w:rPr>
          <w:rStyle w:val="AERtextitalic"/>
          <w:i w:val="0"/>
        </w:rPr>
        <w:t>, p.2</w:t>
      </w:r>
      <w:r w:rsidRPr="00BE50B0">
        <w:rPr>
          <w:rStyle w:val="AERtextitalic"/>
          <w:i w:val="0"/>
        </w:rPr>
        <w:t>7</w:t>
      </w:r>
      <w:r w:rsidRPr="00C6428D">
        <w:rPr>
          <w:rStyle w:val="AERtextitalic"/>
          <w:i w:val="0"/>
        </w:rPr>
        <w:t>.</w:t>
      </w:r>
    </w:p>
  </w:footnote>
  <w:footnote w:id="1263">
    <w:p w:rsidR="002D334E" w:rsidRDefault="002D334E" w:rsidP="00CE5DD5">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264">
    <w:p w:rsidR="002D334E" w:rsidRDefault="002D334E"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265">
    <w:p w:rsidR="002D334E" w:rsidRDefault="002D334E"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266">
    <w:p w:rsidR="002D334E" w:rsidRDefault="002D334E" w:rsidP="00CE5DD5">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267">
    <w:p w:rsidR="002D334E" w:rsidRDefault="002D334E" w:rsidP="00CE5DD5">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268">
    <w:p w:rsidR="002D334E" w:rsidRDefault="002D334E" w:rsidP="00CE5DD5">
      <w:pPr>
        <w:pStyle w:val="FootnoteText"/>
      </w:pPr>
      <w:r>
        <w:rPr>
          <w:rStyle w:val="FootnoteReference"/>
        </w:rPr>
        <w:footnoteRef/>
      </w:r>
      <w:r>
        <w:t xml:space="preserve"> </w:t>
      </w:r>
      <w:r>
        <w:tab/>
        <w:t>NEL, s. 7A(3)(b); NGL, s. 24(3)(b).</w:t>
      </w:r>
    </w:p>
  </w:footnote>
  <w:footnote w:id="1269">
    <w:p w:rsidR="002D334E" w:rsidRDefault="002D334E"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p w:rsidR="002D334E" w:rsidRDefault="002D334E" w:rsidP="00CE5DD5">
      <w:pPr>
        <w:pStyle w:val="FootnoteText"/>
      </w:pP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17</w:t>
      </w:r>
      <w:r w:rsidRPr="00C6428D">
        <w:rPr>
          <w:rStyle w:val="AERtextitalic"/>
          <w:i w:val="0"/>
        </w:rPr>
        <w:t>.</w:t>
      </w:r>
    </w:p>
  </w:footnote>
  <w:footnote w:id="1270">
    <w:p w:rsidR="002D334E" w:rsidRDefault="002D334E">
      <w:pPr>
        <w:pStyle w:val="FootnoteText"/>
      </w:pPr>
      <w:r>
        <w:rPr>
          <w:rStyle w:val="FootnoteReference"/>
        </w:rPr>
        <w:footnoteRef/>
      </w:r>
      <w:r>
        <w:t xml:space="preserve"> </w:t>
      </w:r>
      <w:r>
        <w:tab/>
      </w:r>
      <w:r w:rsidRPr="00F77F90">
        <w:t xml:space="preserve">Partington, G., Satchell, S., </w:t>
      </w:r>
      <w:r w:rsidRPr="00950EA8">
        <w:rPr>
          <w:rStyle w:val="AERtextitalic"/>
        </w:rPr>
        <w:t>Report to the AER: Issues in relation to the cost of debt</w:t>
      </w:r>
      <w:r w:rsidRPr="00F77F90">
        <w:t>,</w:t>
      </w:r>
      <w:r>
        <w:t xml:space="preserve"> </w:t>
      </w:r>
      <w:r w:rsidRPr="00F77F90">
        <w:t xml:space="preserve">9 April 2017, p. </w:t>
      </w:r>
      <w:r>
        <w:t>29.</w:t>
      </w:r>
    </w:p>
  </w:footnote>
  <w:footnote w:id="1271">
    <w:p w:rsidR="002D334E" w:rsidRDefault="002D334E" w:rsidP="003E420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2</w:t>
      </w:r>
      <w:r w:rsidRPr="00BE50B0">
        <w:rPr>
          <w:rStyle w:val="AERtextitalic"/>
          <w:i w:val="0"/>
        </w:rPr>
        <w:t>9</w:t>
      </w:r>
      <w:r w:rsidRPr="00C6428D">
        <w:rPr>
          <w:rStyle w:val="AERtextitalic"/>
          <w:i w:val="0"/>
        </w:rPr>
        <w:t>.</w:t>
      </w:r>
    </w:p>
  </w:footnote>
  <w:footnote w:id="1272">
    <w:p w:rsidR="002D334E" w:rsidRDefault="002D334E" w:rsidP="00CE5DD5">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273">
    <w:p w:rsidR="002D334E" w:rsidRDefault="002D334E" w:rsidP="00CE5DD5">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274">
    <w:p w:rsidR="002D334E" w:rsidRDefault="002D334E" w:rsidP="00CE5DD5">
      <w:pPr>
        <w:pStyle w:val="FootnoteText"/>
      </w:pPr>
      <w:r>
        <w:rPr>
          <w:rStyle w:val="FootnoteReference"/>
        </w:rPr>
        <w:footnoteRef/>
      </w:r>
      <w:r>
        <w:t xml:space="preserve"> </w:t>
      </w:r>
      <w:r>
        <w:tab/>
        <w:t>See NER, cl. 6.5.2(j)(1); NER, cl. 6A.6.2(j)(1); NGR, r. 87(10)(a).</w:t>
      </w:r>
    </w:p>
  </w:footnote>
  <w:footnote w:id="1275">
    <w:p w:rsidR="002D334E" w:rsidRDefault="002D334E" w:rsidP="00CE5DD5">
      <w:pPr>
        <w:pStyle w:val="FootnoteText"/>
      </w:pPr>
      <w:r>
        <w:rPr>
          <w:rStyle w:val="FootnoteReference"/>
        </w:rPr>
        <w:footnoteRef/>
      </w:r>
      <w:r>
        <w:t xml:space="preserve"> </w:t>
      </w:r>
      <w:r>
        <w:tab/>
        <w:t>NER, cl. 6.5.2(g); NER, cl. 6A.6.2(g); NGR, r. 87(7).</w:t>
      </w:r>
    </w:p>
  </w:footnote>
  <w:footnote w:id="1276">
    <w:p w:rsidR="002D334E" w:rsidRDefault="002D334E" w:rsidP="00CE5DD5">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277">
    <w:p w:rsidR="002D334E" w:rsidRDefault="002D334E" w:rsidP="00CE5DD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278">
    <w:p w:rsidR="002D334E" w:rsidRDefault="002D334E" w:rsidP="00CE5DD5">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279">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80">
    <w:p w:rsidR="002D334E" w:rsidRDefault="002D334E" w:rsidP="003E420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sidRPr="00BE50B0">
        <w:rPr>
          <w:rStyle w:val="AERtextitalic"/>
          <w:i w:val="0"/>
        </w:rPr>
        <w:t>29</w:t>
      </w:r>
      <w:r w:rsidRPr="00C6428D">
        <w:rPr>
          <w:rStyle w:val="AERtextitalic"/>
          <w:i w:val="0"/>
        </w:rPr>
        <w:t>.</w:t>
      </w:r>
    </w:p>
  </w:footnote>
  <w:footnote w:id="1281">
    <w:p w:rsidR="002D334E" w:rsidRDefault="002D334E" w:rsidP="00CE5DD5">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282">
    <w:p w:rsidR="002D334E" w:rsidRDefault="002D334E" w:rsidP="00CE5DD5">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283">
    <w:p w:rsidR="002D334E" w:rsidRDefault="002D334E" w:rsidP="00CE5DD5">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284">
    <w:p w:rsidR="002D334E" w:rsidRDefault="002D334E" w:rsidP="00CE5DD5">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285">
    <w:p w:rsidR="002D334E" w:rsidRDefault="002D334E" w:rsidP="00CE5DD5">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286">
    <w:p w:rsidR="002D334E" w:rsidRDefault="002D334E" w:rsidP="00CE5DD5">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287">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288">
    <w:p w:rsidR="002D334E" w:rsidRDefault="002D334E" w:rsidP="00CE5DD5">
      <w:pPr>
        <w:pStyle w:val="FootnoteText"/>
      </w:pPr>
      <w:r>
        <w:rPr>
          <w:rStyle w:val="FootnoteReference"/>
        </w:rPr>
        <w:footnoteRef/>
      </w:r>
      <w:r>
        <w:t xml:space="preserve"> </w:t>
      </w:r>
      <w:r>
        <w:tab/>
        <w:t>See NER, cl. 6.5.2(j)(2); NER, cl. 6A.6.2(j)(2); NGR, r. 87(10)(b).</w:t>
      </w:r>
    </w:p>
  </w:footnote>
  <w:footnote w:id="1289">
    <w:p w:rsidR="002D334E" w:rsidRDefault="002D334E" w:rsidP="00CE5DD5">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290">
    <w:p w:rsidR="002D334E" w:rsidRDefault="002D334E" w:rsidP="00CE5DD5">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291">
    <w:p w:rsidR="002D334E" w:rsidRDefault="002D334E" w:rsidP="00CE5DD5">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292">
    <w:p w:rsidR="002D334E" w:rsidRDefault="002D334E" w:rsidP="00CE5DD5">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293">
    <w:p w:rsidR="002D334E" w:rsidRDefault="002D334E" w:rsidP="00744C5A">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w:t>
      </w:r>
      <w:r w:rsidRPr="00BE50B0">
        <w:rPr>
          <w:rStyle w:val="AERtextitalic"/>
          <w:i w:val="0"/>
        </w:rPr>
        <w:t>7</w:t>
      </w:r>
      <w:r w:rsidRPr="00C6428D">
        <w:rPr>
          <w:rStyle w:val="AERtextitalic"/>
          <w:i w:val="0"/>
        </w:rPr>
        <w:t>.</w:t>
      </w:r>
    </w:p>
  </w:footnote>
  <w:footnote w:id="1294">
    <w:p w:rsidR="002D334E" w:rsidRDefault="002D334E" w:rsidP="00CE5DD5">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295">
    <w:p w:rsidR="002D334E" w:rsidRDefault="002D334E" w:rsidP="00CE5DD5">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296">
    <w:p w:rsidR="002D334E" w:rsidRDefault="002D334E" w:rsidP="00CE5DD5">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297">
    <w:p w:rsidR="002D334E" w:rsidRDefault="002D334E" w:rsidP="00CE5DD5">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298">
    <w:p w:rsidR="002D334E" w:rsidRDefault="002D334E" w:rsidP="00CE5DD5">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299">
    <w:p w:rsidR="002D334E" w:rsidRDefault="002D334E" w:rsidP="00CE5DD5">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300">
    <w:p w:rsidR="002D334E" w:rsidRDefault="002D334E" w:rsidP="00CE5DD5">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301">
    <w:p w:rsidR="002D334E" w:rsidRDefault="002D334E" w:rsidP="00CE5DD5">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302">
    <w:p w:rsidR="002D334E" w:rsidRDefault="002D334E" w:rsidP="00CE5DD5">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303">
    <w:p w:rsidR="002D334E" w:rsidRDefault="002D334E" w:rsidP="00CE5DD5">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304">
    <w:p w:rsidR="002D334E" w:rsidRDefault="002D334E" w:rsidP="00CE5DD5">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305">
    <w:p w:rsidR="002D334E" w:rsidRDefault="002D334E" w:rsidP="00CE5DD5">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306">
    <w:p w:rsidR="002D334E" w:rsidRDefault="002D334E" w:rsidP="00CE5DD5">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307">
    <w:p w:rsidR="002D334E" w:rsidRDefault="002D334E" w:rsidP="00CE5DD5">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308">
    <w:p w:rsidR="002D334E" w:rsidRDefault="002D334E" w:rsidP="00CE5DD5">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309">
    <w:p w:rsidR="002D334E" w:rsidRDefault="002D334E"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p w:rsidR="002D334E" w:rsidRDefault="002D334E" w:rsidP="00563C02">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16</w:t>
      </w:r>
      <w:r w:rsidRPr="00C6428D">
        <w:rPr>
          <w:rStyle w:val="AERtextitalic"/>
          <w:i w:val="0"/>
        </w:rPr>
        <w:t>.</w:t>
      </w:r>
    </w:p>
  </w:footnote>
  <w:footnote w:id="1310">
    <w:p w:rsidR="002D334E" w:rsidRDefault="002D334E" w:rsidP="00CE5DD5">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311">
    <w:p w:rsidR="002D334E" w:rsidRDefault="002D334E" w:rsidP="00CE5DD5">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312">
    <w:p w:rsidR="002D334E" w:rsidRDefault="002D334E" w:rsidP="00CE5DD5">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313">
    <w:p w:rsidR="002D334E" w:rsidRDefault="002D334E" w:rsidP="00CE5DD5">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p w:rsidR="002D334E" w:rsidRDefault="002D334E" w:rsidP="00CE5DD5">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21</w:t>
      </w:r>
      <w:r w:rsidRPr="00C6428D">
        <w:rPr>
          <w:rStyle w:val="AERtextitalic"/>
          <w:i w:val="0"/>
        </w:rPr>
        <w:t>.</w:t>
      </w:r>
    </w:p>
  </w:footnote>
  <w:footnote w:id="1314">
    <w:p w:rsidR="002D334E" w:rsidRDefault="002D334E" w:rsidP="00CE5DD5">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315">
    <w:p w:rsidR="002D334E" w:rsidRDefault="002D334E" w:rsidP="00CE5DD5">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316">
    <w:p w:rsidR="002D334E" w:rsidRDefault="002D334E" w:rsidP="00CE5DD5">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317">
    <w:p w:rsidR="002D334E" w:rsidRDefault="002D334E" w:rsidP="00CE5DD5">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318">
    <w:p w:rsidR="002D334E" w:rsidRDefault="002D334E" w:rsidP="00CE5DD5">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319">
    <w:p w:rsidR="002D334E" w:rsidRDefault="002D334E" w:rsidP="00CE5DD5">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320">
    <w:p w:rsidR="002D334E" w:rsidRDefault="002D334E" w:rsidP="00CE5DD5">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321">
    <w:p w:rsidR="002D334E" w:rsidRDefault="002D334E" w:rsidP="00CE5DD5">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322">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323">
    <w:p w:rsidR="002D334E" w:rsidRDefault="002D334E" w:rsidP="00CE5DD5">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324">
    <w:p w:rsidR="002D334E" w:rsidRDefault="002D334E" w:rsidP="00CE5DD5">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325">
    <w:p w:rsidR="002D334E" w:rsidRDefault="002D334E" w:rsidP="00CE5DD5">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326">
    <w:p w:rsidR="002D334E" w:rsidRDefault="002D334E" w:rsidP="00CE5DD5">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327">
    <w:p w:rsidR="002D334E" w:rsidRDefault="002D334E" w:rsidP="00744C5A">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3</w:t>
      </w:r>
      <w:r w:rsidRPr="00BE50B0">
        <w:rPr>
          <w:rStyle w:val="AERtextitalic"/>
          <w:i w:val="0"/>
        </w:rPr>
        <w:t>0</w:t>
      </w:r>
      <w:r w:rsidRPr="00C6428D">
        <w:rPr>
          <w:rStyle w:val="AERtextitalic"/>
          <w:i w:val="0"/>
        </w:rPr>
        <w:t>.</w:t>
      </w:r>
    </w:p>
  </w:footnote>
  <w:footnote w:id="1328">
    <w:p w:rsidR="002D334E" w:rsidRDefault="002D334E" w:rsidP="00EF3F7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27</w:t>
      </w:r>
      <w:r w:rsidRPr="00C6428D">
        <w:rPr>
          <w:rStyle w:val="AERtextitalic"/>
          <w:i w:val="0"/>
        </w:rPr>
        <w:t>.</w:t>
      </w:r>
    </w:p>
  </w:footnote>
  <w:footnote w:id="1329">
    <w:p w:rsidR="002D334E" w:rsidRDefault="002D334E" w:rsidP="00CE5DD5">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330">
    <w:p w:rsidR="002D334E" w:rsidRDefault="002D334E" w:rsidP="00CE5DD5">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331">
    <w:p w:rsidR="002D334E" w:rsidRDefault="002D334E" w:rsidP="00CE5DD5">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332">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p w:rsidR="002D334E" w:rsidRPr="009B5A2D" w:rsidRDefault="002D334E" w:rsidP="00CE5DD5">
      <w:pPr>
        <w:pStyle w:val="FootnoteText"/>
      </w:pPr>
      <w:r>
        <w:t xml:space="preserve">        </w:t>
      </w:r>
      <w:r w:rsidRPr="009B5A2D">
        <w:t xml:space="preserve">Partington, G., Satchell, S., </w:t>
      </w:r>
      <w:r w:rsidRPr="009B5A2D">
        <w:rPr>
          <w:i/>
        </w:rPr>
        <w:t>Report to the AER: Issues in relation to the cost of debt,</w:t>
      </w:r>
      <w:r>
        <w:rPr>
          <w:i/>
        </w:rPr>
        <w:t xml:space="preserve"> </w:t>
      </w:r>
      <w:r>
        <w:t>9 April 2017</w:t>
      </w:r>
      <w:r w:rsidRPr="00584EB7">
        <w:t>, p.</w:t>
      </w:r>
      <w:r w:rsidRPr="009B5A2D">
        <w:t>2</w:t>
      </w:r>
      <w:r>
        <w:t>8</w:t>
      </w:r>
      <w:r w:rsidRPr="00584EB7">
        <w:t>.</w:t>
      </w:r>
    </w:p>
  </w:footnote>
  <w:footnote w:id="1333">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334">
    <w:p w:rsidR="002D334E" w:rsidRDefault="002D334E" w:rsidP="00CE5DD5">
      <w:pPr>
        <w:pStyle w:val="FootnoteText"/>
      </w:pPr>
      <w:r>
        <w:rPr>
          <w:rStyle w:val="FootnoteReference"/>
        </w:rPr>
        <w:footnoteRef/>
      </w:r>
      <w:r>
        <w:t xml:space="preserve"> </w:t>
      </w:r>
      <w:r>
        <w:tab/>
        <w:t>A discussed earlier, while it did propose an immediate trailing average in its revise proposal, AusNet Services is no longer maintaining the position that an immediate historical (backward looking) trailing average should be applied.</w:t>
      </w:r>
    </w:p>
  </w:footnote>
  <w:footnote w:id="1335">
    <w:p w:rsidR="002D334E" w:rsidRDefault="002D334E" w:rsidP="00CE5DD5">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336">
    <w:p w:rsidR="002D334E" w:rsidRDefault="002D334E" w:rsidP="00CE5DD5">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337">
    <w:p w:rsidR="002D334E" w:rsidRDefault="002D334E" w:rsidP="00CE5DD5">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338">
    <w:p w:rsidR="002D334E" w:rsidRDefault="002D334E" w:rsidP="00CE5DD5">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339">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340">
    <w:p w:rsidR="002D334E" w:rsidRDefault="002D334E" w:rsidP="00950EA8">
      <w:pPr>
        <w:pStyle w:val="FootnoteText"/>
      </w:pPr>
      <w:r>
        <w:rPr>
          <w:rStyle w:val="FootnoteReference"/>
        </w:rPr>
        <w:footnoteRef/>
      </w:r>
      <w:r>
        <w:t xml:space="preserve">   </w:t>
      </w:r>
      <w:r w:rsidRPr="009E6AEC">
        <w:t xml:space="preserve">Partington, G., Satchell, S., </w:t>
      </w:r>
      <w:r w:rsidRPr="00950EA8">
        <w:rPr>
          <w:rStyle w:val="AERtextitalic"/>
        </w:rPr>
        <w:t>Report to the AER: Issues in relation to the cost of debt</w:t>
      </w:r>
      <w:r w:rsidRPr="009E6AEC">
        <w:t>,</w:t>
      </w:r>
      <w:r>
        <w:t xml:space="preserve"> 9 </w:t>
      </w:r>
      <w:r w:rsidRPr="00950EA8">
        <w:t>April 2017</w:t>
      </w:r>
      <w:r>
        <w:t>, p.27</w:t>
      </w:r>
      <w:r w:rsidRPr="009E6AEC">
        <w:t>.</w:t>
      </w:r>
      <w:r>
        <w:tab/>
      </w:r>
    </w:p>
  </w:footnote>
  <w:footnote w:id="1341">
    <w:p w:rsidR="002D334E" w:rsidRDefault="002D334E" w:rsidP="00CE5DD5">
      <w:pPr>
        <w:pStyle w:val="FootnoteText"/>
      </w:pPr>
      <w:r>
        <w:rPr>
          <w:rStyle w:val="FootnoteReference"/>
        </w:rPr>
        <w:footnoteRef/>
      </w:r>
      <w:r>
        <w:t xml:space="preserve">   AusNet, </w:t>
      </w:r>
      <w:r w:rsidRPr="00D81671">
        <w:rPr>
          <w:i/>
        </w:rPr>
        <w:t>Transmission revenue review 2017-2022</w:t>
      </w:r>
      <w:r>
        <w:t>, 30 October 2015, p. 269.</w:t>
      </w:r>
    </w:p>
  </w:footnote>
  <w:footnote w:id="1342">
    <w:p w:rsidR="002D334E" w:rsidRPr="0046674C" w:rsidRDefault="002D334E" w:rsidP="00FC43C9">
      <w:pPr>
        <w:pStyle w:val="FootnoteText"/>
        <w:ind w:left="0" w:firstLine="0"/>
      </w:pPr>
      <w:r>
        <w:rPr>
          <w:rStyle w:val="FootnoteReference"/>
        </w:rPr>
        <w:footnoteRef/>
      </w:r>
      <w:r>
        <w:t xml:space="preserve">   </w:t>
      </w:r>
      <w:r w:rsidRPr="0046674C">
        <w:t xml:space="preserve">AusNet, </w:t>
      </w:r>
      <w:r w:rsidRPr="0046674C">
        <w:rPr>
          <w:i/>
        </w:rPr>
        <w:t>Transmission revised revenue proposal</w:t>
      </w:r>
      <w:r w:rsidRPr="0046674C">
        <w:t>, 21 September 2016, p.165.</w:t>
      </w:r>
    </w:p>
    <w:p w:rsidR="002D334E" w:rsidRDefault="002D334E" w:rsidP="00CE5DD5">
      <w:pPr>
        <w:pStyle w:val="FootnoteText"/>
      </w:pPr>
    </w:p>
  </w:footnote>
  <w:footnote w:id="1343">
    <w:p w:rsidR="002D334E" w:rsidRDefault="002D334E" w:rsidP="00CE5DD5">
      <w:pPr>
        <w:pStyle w:val="FootnoteText"/>
      </w:pPr>
      <w:r>
        <w:rPr>
          <w:rStyle w:val="FootnoteReference"/>
        </w:rPr>
        <w:footnoteRef/>
      </w:r>
      <w:r>
        <w:t xml:space="preserve"> </w:t>
      </w:r>
      <w:r>
        <w:tab/>
        <w:t>The majority of service providers chose to not appeal our May 2016 decisions which applied a full transition. The service providers that had proposed an immediate trailing average and chose to not appeal their regulatory determination on this point were: Powerlink, CitiPower, AusNet Services (distribution), United Energy, Australian Gas Networks (SA), and APTNT. The service providers that chose to appeal out debt transition decisions to apply a full transition were Jemena Electricity and ActewAGL Gas.</w:t>
      </w:r>
    </w:p>
  </w:footnote>
  <w:footnote w:id="1344">
    <w:p w:rsidR="002D334E" w:rsidRDefault="002D334E" w:rsidP="00CE5DD5">
      <w:pPr>
        <w:pStyle w:val="FootnoteText"/>
      </w:pPr>
      <w:r>
        <w:rPr>
          <w:rStyle w:val="FootnoteReference"/>
        </w:rPr>
        <w:footnoteRef/>
      </w:r>
      <w:r>
        <w:t xml:space="preserve"> </w:t>
      </w:r>
      <w:r>
        <w:tab/>
        <w:t>CCP3 submitted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w:t>
      </w:r>
      <w:r>
        <w:rPr>
          <w:rStyle w:val="AERtextitalic"/>
        </w:rPr>
        <w:t>-</w:t>
      </w:r>
      <w:r w:rsidRPr="006C2193">
        <w:rPr>
          <w:rStyle w:val="AERtextitalic"/>
        </w:rPr>
        <w:t>2020 regulatory period</w:t>
      </w:r>
      <w:r w:rsidRPr="00564427">
        <w:t xml:space="preserve"> </w:t>
      </w:r>
      <w:r>
        <w:t>, 22 February 2016, p. 34.</w:t>
      </w:r>
    </w:p>
  </w:footnote>
  <w:footnote w:id="1345">
    <w:p w:rsidR="002D334E" w:rsidRDefault="002D334E" w:rsidP="00CE5DD5">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346">
    <w:p w:rsidR="002D334E" w:rsidRDefault="002D334E" w:rsidP="00CE5DD5">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347">
    <w:p w:rsidR="002D334E" w:rsidRDefault="002D334E"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r>
        <w:t xml:space="preserve">;. AusNet Services, </w:t>
      </w:r>
      <w:r w:rsidRPr="00FC43C9">
        <w:rPr>
          <w:i/>
        </w:rPr>
        <w:t>Transmission revised revenue proposal</w:t>
      </w:r>
      <w:r>
        <w:t>, 21 September, p.138.</w:t>
      </w:r>
    </w:p>
  </w:footnote>
  <w:footnote w:id="1348">
    <w:p w:rsidR="002D334E" w:rsidRDefault="002D334E" w:rsidP="00CE5DD5">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349">
    <w:p w:rsidR="002D334E" w:rsidRDefault="002D334E" w:rsidP="00CE5DD5">
      <w:pPr>
        <w:pStyle w:val="FootnoteText"/>
      </w:pPr>
      <w:r>
        <w:rPr>
          <w:rStyle w:val="FootnoteReference"/>
        </w:rPr>
        <w:footnoteRef/>
      </w:r>
      <w:r>
        <w:t xml:space="preserve"> </w:t>
      </w:r>
      <w:r>
        <w:tab/>
        <w:t>NER, cl. 6.5.2(k)(1);  NER, cl. 6A.6.2(k)(1); NGR, r. 87(11)(a).</w:t>
      </w:r>
    </w:p>
  </w:footnote>
  <w:footnote w:id="1350">
    <w:p w:rsidR="002D334E" w:rsidRDefault="002D334E" w:rsidP="00CE5DD5">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351">
    <w:p w:rsidR="002D334E" w:rsidRDefault="002D334E" w:rsidP="00CE5DD5">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352">
    <w:p w:rsidR="002D334E" w:rsidRDefault="002D334E"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pp. 258</w:t>
      </w:r>
      <w:r w:rsidRPr="007D612D">
        <w:t>–</w:t>
      </w:r>
      <w:r>
        <w:t xml:space="preserve">259; United Energy, </w:t>
      </w:r>
      <w:r w:rsidRPr="00DA2177">
        <w:rPr>
          <w:rStyle w:val="AERtextitalic"/>
        </w:rPr>
        <w:t>2016 to 2020 revised regulatory proposal</w:t>
      </w:r>
      <w:r>
        <w:t>, January 2016, p. 76</w:t>
      </w:r>
      <w:r w:rsidRPr="007D612D">
        <w:t>–</w:t>
      </w:r>
      <w:r>
        <w:t>8.</w:t>
      </w:r>
    </w:p>
  </w:footnote>
  <w:footnote w:id="1353">
    <w:p w:rsidR="002D334E" w:rsidRDefault="002D334E" w:rsidP="00CE5DD5">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354">
    <w:p w:rsidR="002D334E" w:rsidRDefault="002D334E"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xml:space="preserve">, January 2016, p. 22; </w:t>
      </w:r>
      <w:r w:rsidRPr="00FC43C9">
        <w:rPr>
          <w:i/>
        </w:rPr>
        <w:t>AusNet Services, Transmission revised revenue proposal</w:t>
      </w:r>
      <w:r>
        <w:t>, 21 September 2016, p. 155.</w:t>
      </w:r>
    </w:p>
  </w:footnote>
  <w:footnote w:id="1355">
    <w:p w:rsidR="002D334E" w:rsidRDefault="002D334E" w:rsidP="00CE5DD5">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356">
    <w:p w:rsidR="002D334E" w:rsidRDefault="002D334E"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357">
    <w:p w:rsidR="002D334E" w:rsidRDefault="002D334E"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358">
    <w:p w:rsidR="002D334E" w:rsidRDefault="002D334E" w:rsidP="00CE5DD5">
      <w:pPr>
        <w:pStyle w:val="FootnoteText"/>
      </w:pPr>
      <w:r>
        <w:rPr>
          <w:rStyle w:val="FootnoteReference"/>
        </w:rPr>
        <w:footnoteRef/>
      </w:r>
      <w:r>
        <w:t xml:space="preserve">   CEG, </w:t>
      </w:r>
      <w:r w:rsidRPr="009A0AF1">
        <w:rPr>
          <w:i/>
        </w:rPr>
        <w:t>The AER’s current interpretation of the ARORO</w:t>
      </w:r>
      <w:r>
        <w:t xml:space="preserve">, September 2016 </w:t>
      </w:r>
    </w:p>
  </w:footnote>
  <w:footnote w:id="1359">
    <w:p w:rsidR="002D334E" w:rsidRDefault="002D334E" w:rsidP="00CE5DD5">
      <w:pPr>
        <w:pStyle w:val="FootnoteText"/>
      </w:pPr>
      <w:r>
        <w:rPr>
          <w:rStyle w:val="FootnoteReference"/>
        </w:rPr>
        <w:footnoteRef/>
      </w:r>
      <w:r>
        <w:t xml:space="preserve"> </w:t>
      </w:r>
      <w:r>
        <w:tab/>
        <w:t xml:space="preserve">AusNet Services, letter to the AER: </w:t>
      </w:r>
      <w:r w:rsidRPr="0027518D">
        <w:rPr>
          <w:i/>
        </w:rPr>
        <w:t>Removing uncertainty of the Cost of Debt transition</w:t>
      </w:r>
      <w:r>
        <w:rPr>
          <w:i/>
        </w:rPr>
        <w:t xml:space="preserve">, </w:t>
      </w:r>
      <w:r w:rsidRPr="0027518D">
        <w:t>9 December 2016</w:t>
      </w:r>
    </w:p>
    <w:p w:rsidR="002D334E" w:rsidRDefault="002D334E" w:rsidP="00CE5DD5">
      <w:pPr>
        <w:pStyle w:val="FootnoteText"/>
      </w:pPr>
      <w:r>
        <w:tab/>
        <w:t>AusNet Services, letter to the AER:</w:t>
      </w:r>
      <w:r>
        <w:rPr>
          <w:i/>
        </w:rPr>
        <w:t xml:space="preserve"> AusNet Services’ Transmission- Revised Revenue Proposal, </w:t>
      </w:r>
      <w:r>
        <w:t>20</w:t>
      </w:r>
      <w:r w:rsidRPr="0027518D">
        <w:t xml:space="preserve"> December 2016</w:t>
      </w:r>
    </w:p>
  </w:footnote>
  <w:footnote w:id="1360">
    <w:p w:rsidR="002D334E" w:rsidRDefault="002D334E" w:rsidP="00CE5DD5">
      <w:pPr>
        <w:pStyle w:val="FootnoteText"/>
      </w:pPr>
      <w:r>
        <w:rPr>
          <w:rStyle w:val="FootnoteReference"/>
        </w:rPr>
        <w:footnoteRef/>
      </w:r>
      <w:r>
        <w:t xml:space="preserve">   CEG, </w:t>
      </w:r>
      <w:r w:rsidRPr="009A0AF1">
        <w:rPr>
          <w:i/>
        </w:rPr>
        <w:t>The AER’s current interpretation of the ARORO</w:t>
      </w:r>
      <w:r>
        <w:t>, September 2016, p. 3.</w:t>
      </w:r>
    </w:p>
  </w:footnote>
  <w:footnote w:id="1361">
    <w:p w:rsidR="002D334E" w:rsidRDefault="002D334E">
      <w:pPr>
        <w:pStyle w:val="FootnoteText"/>
      </w:pPr>
      <w:r>
        <w:rPr>
          <w:rStyle w:val="FootnoteReference"/>
        </w:rPr>
        <w:footnoteRef/>
      </w:r>
      <w:r>
        <w:t xml:space="preserve"> </w:t>
      </w:r>
      <w:r>
        <w:tab/>
      </w:r>
      <w:r w:rsidRPr="000F18DA">
        <w:t>See SFG, Preliminary analysis of rule change proposals: Report for AEMC, February 2012, p. 41; Brennan, Depreciation, investor compensation and, welfare under rate-of-return regulation, Review of industrial organisation, 1991, 6, p. 75. In his article, Brennan stated, 'With regard to investor compensation, the basic goal of regulation is to give investors an income stream just sufficient to cover the costs of their assets, and no more'.</w:t>
      </w:r>
    </w:p>
  </w:footnote>
  <w:footnote w:id="1362">
    <w:p w:rsidR="002D334E" w:rsidRDefault="002D334E">
      <w:pPr>
        <w:pStyle w:val="FootnoteText"/>
      </w:pPr>
      <w:r>
        <w:rPr>
          <w:rStyle w:val="FootnoteReference"/>
        </w:rPr>
        <w:footnoteRef/>
      </w:r>
      <w:r>
        <w:t xml:space="preserve"> </w:t>
      </w:r>
      <w:r>
        <w:tab/>
        <w:t>More detailed responses with relevant supporting references are contained in text below the table.</w:t>
      </w:r>
    </w:p>
  </w:footnote>
  <w:footnote w:id="1363">
    <w:p w:rsidR="002D334E" w:rsidRDefault="002D334E" w:rsidP="00CE5DD5">
      <w:pPr>
        <w:pStyle w:val="FootnoteText"/>
      </w:pPr>
      <w:r>
        <w:rPr>
          <w:rStyle w:val="FootnoteReference"/>
        </w:rPr>
        <w:footnoteRef/>
      </w:r>
      <w:r>
        <w:t xml:space="preserve">   CEG, </w:t>
      </w:r>
      <w:r w:rsidRPr="00950EA8">
        <w:rPr>
          <w:rStyle w:val="AERtextitalic"/>
        </w:rPr>
        <w:t>the AER’s current interpretation of the ARORO</w:t>
      </w:r>
      <w:r>
        <w:t>, September 2016,p. 36.</w:t>
      </w:r>
    </w:p>
  </w:footnote>
  <w:footnote w:id="1364">
    <w:p w:rsidR="002D334E" w:rsidRDefault="002D334E">
      <w:pPr>
        <w:pStyle w:val="FootnoteText"/>
      </w:pPr>
      <w:r>
        <w:rPr>
          <w:rStyle w:val="FootnoteReference"/>
        </w:rPr>
        <w:footnoteRef/>
      </w:r>
      <w:r>
        <w:t xml:space="preserve">   </w:t>
      </w:r>
      <w:r w:rsidRPr="00FF6705">
        <w:t xml:space="preserve">CEG, </w:t>
      </w:r>
      <w:r w:rsidRPr="00950EA8">
        <w:rPr>
          <w:rStyle w:val="AERtextitalic"/>
        </w:rPr>
        <w:t>the AER’s current interpretation of the ARORO</w:t>
      </w:r>
      <w:r w:rsidRPr="00FF6705">
        <w:t>, September 2016,</w:t>
      </w:r>
      <w:r>
        <w:t xml:space="preserve"> p. 48.</w:t>
      </w:r>
    </w:p>
  </w:footnote>
  <w:footnote w:id="1365">
    <w:p w:rsidR="002D334E" w:rsidRDefault="002D334E">
      <w:pPr>
        <w:pStyle w:val="FootnoteText"/>
      </w:pPr>
      <w:r>
        <w:rPr>
          <w:rStyle w:val="FootnoteReference"/>
        </w:rPr>
        <w:footnoteRef/>
      </w:r>
      <w:r>
        <w:t xml:space="preserve"> </w:t>
      </w:r>
      <w:r>
        <w:tab/>
      </w:r>
      <w:r w:rsidRPr="00FF6705">
        <w:t xml:space="preserve">Graham Partington and Stephen Satchell, </w:t>
      </w:r>
      <w:r w:rsidRPr="00950EA8">
        <w:rPr>
          <w:rStyle w:val="AERtextitalic"/>
        </w:rPr>
        <w:t>Report to the AER: Issues in Relation to the Cost of Debt</w:t>
      </w:r>
      <w:r w:rsidRPr="00FF6705">
        <w:t xml:space="preserve">, </w:t>
      </w:r>
      <w:r>
        <w:t>9 April 2017</w:t>
      </w:r>
      <w:r w:rsidRPr="00FF6705">
        <w:t>, p</w:t>
      </w:r>
      <w:r>
        <w:t xml:space="preserve">. </w:t>
      </w:r>
      <w:r w:rsidRPr="00FF6705">
        <w:t>2</w:t>
      </w:r>
      <w:r>
        <w:t>5.</w:t>
      </w:r>
    </w:p>
  </w:footnote>
  <w:footnote w:id="1366">
    <w:p w:rsidR="002D334E" w:rsidRDefault="002D334E" w:rsidP="00692233">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 26.</w:t>
      </w:r>
    </w:p>
  </w:footnote>
  <w:footnote w:id="1367">
    <w:p w:rsidR="002D334E" w:rsidRDefault="002D334E" w:rsidP="00692233">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 26.</w:t>
      </w:r>
    </w:p>
  </w:footnote>
  <w:footnote w:id="1368">
    <w:p w:rsidR="002D334E" w:rsidRDefault="002D334E" w:rsidP="00CE5DD5">
      <w:pPr>
        <w:pStyle w:val="FootnoteText"/>
      </w:pPr>
      <w:r>
        <w:rPr>
          <w:rStyle w:val="FootnoteReference"/>
        </w:rPr>
        <w:footnoteRef/>
      </w:r>
      <w:r>
        <w:t xml:space="preserve">   CEG, </w:t>
      </w:r>
      <w:r w:rsidRPr="00584EB7">
        <w:rPr>
          <w:i/>
        </w:rPr>
        <w:t>the AER’s current interpretation of the ARORO</w:t>
      </w:r>
      <w:r>
        <w:t>, September 2016, p. 32.</w:t>
      </w:r>
    </w:p>
  </w:footnote>
  <w:footnote w:id="1369">
    <w:p w:rsidR="002D334E" w:rsidRDefault="002D334E" w:rsidP="00CE5DD5">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 16.</w:t>
      </w:r>
    </w:p>
  </w:footnote>
  <w:footnote w:id="1370">
    <w:p w:rsidR="002D334E" w:rsidRDefault="002D334E" w:rsidP="00CE5DD5">
      <w:pPr>
        <w:pStyle w:val="FootnoteText"/>
      </w:pPr>
      <w:r>
        <w:rPr>
          <w:rStyle w:val="FootnoteReference"/>
        </w:rPr>
        <w:footnoteRef/>
      </w:r>
      <w:r>
        <w:t xml:space="preserve">   CEG, </w:t>
      </w:r>
      <w:r w:rsidRPr="00584EB7">
        <w:rPr>
          <w:i/>
        </w:rPr>
        <w:t>the AER’s current interpretation of the ARORO</w:t>
      </w:r>
      <w:r>
        <w:t>, September 2016, pp. 27-28.</w:t>
      </w:r>
    </w:p>
  </w:footnote>
  <w:footnote w:id="1371">
    <w:p w:rsidR="002D334E" w:rsidRDefault="002D334E">
      <w:pPr>
        <w:pStyle w:val="FootnoteText"/>
      </w:pPr>
      <w:r>
        <w:rPr>
          <w:rStyle w:val="FootnoteReference"/>
        </w:rPr>
        <w:footnoteRef/>
      </w:r>
      <w:r>
        <w:t xml:space="preserve"> </w:t>
      </w:r>
      <w:r>
        <w:tab/>
      </w:r>
      <w:r w:rsidRPr="00FF6705">
        <w:t>CEG, the AER’s current interpretation of the ARORO, September 2016,</w:t>
      </w:r>
      <w:r>
        <w:t xml:space="preserve"> p. 27.</w:t>
      </w:r>
    </w:p>
  </w:footnote>
  <w:footnote w:id="1372">
    <w:p w:rsidR="002D334E" w:rsidRPr="00EF48B3" w:rsidRDefault="002D334E" w:rsidP="00EF48B3">
      <w:pPr>
        <w:pStyle w:val="FootnoteText"/>
      </w:pPr>
      <w:r>
        <w:rPr>
          <w:rStyle w:val="FootnoteReference"/>
        </w:rPr>
        <w:footnoteRef/>
      </w:r>
      <w:r>
        <w:t xml:space="preserve"> </w:t>
      </w:r>
      <w:r>
        <w:tab/>
      </w:r>
      <w:r w:rsidRPr="00711A00">
        <w:t xml:space="preserve">Partington, G., Satchell, S., </w:t>
      </w:r>
      <w:r w:rsidRPr="00711A00">
        <w:rPr>
          <w:i/>
        </w:rPr>
        <w:t>Report to the AER: Issues in relation to the cost of debt,</w:t>
      </w:r>
      <w:r>
        <w:rPr>
          <w:i/>
        </w:rPr>
        <w:t xml:space="preserve"> </w:t>
      </w:r>
      <w:r w:rsidRPr="00950EA8">
        <w:t>9 April 2017</w:t>
      </w:r>
      <w:r w:rsidRPr="00EF48B3">
        <w:t>, p.</w:t>
      </w:r>
      <w:r w:rsidR="00E819C4">
        <w:t xml:space="preserve"> </w:t>
      </w:r>
      <w:r w:rsidRPr="00EF48B3">
        <w:t xml:space="preserve">11. </w:t>
      </w:r>
    </w:p>
  </w:footnote>
  <w:footnote w:id="1373">
    <w:p w:rsidR="002D334E" w:rsidRDefault="002D334E" w:rsidP="00CE5DD5">
      <w:pPr>
        <w:pStyle w:val="FootnoteText"/>
      </w:pPr>
      <w:r>
        <w:rPr>
          <w:rStyle w:val="FootnoteReference"/>
        </w:rPr>
        <w:footnoteRef/>
      </w:r>
      <w:r>
        <w:t xml:space="preserve">   CEG, </w:t>
      </w:r>
      <w:r w:rsidRPr="00584EB7">
        <w:rPr>
          <w:i/>
        </w:rPr>
        <w:t>the AER’s current interpretation of the ARORO</w:t>
      </w:r>
      <w:r w:rsidR="00E819C4">
        <w:t>, September 2016, p. 40.</w:t>
      </w:r>
    </w:p>
  </w:footnote>
  <w:footnote w:id="1374">
    <w:p w:rsidR="002D334E" w:rsidRPr="00EF48B3" w:rsidRDefault="002D334E" w:rsidP="00EF48B3">
      <w:pPr>
        <w:pStyle w:val="FootnoteText"/>
      </w:pPr>
      <w:r>
        <w:rPr>
          <w:rStyle w:val="FootnoteReference"/>
        </w:rPr>
        <w:footnoteRef/>
      </w:r>
      <w:r>
        <w:t xml:space="preserve">   </w:t>
      </w:r>
      <w:r w:rsidRPr="00E3217F">
        <w:t xml:space="preserve">Partington, G., Satchell, S., </w:t>
      </w:r>
      <w:r w:rsidRPr="00950EA8">
        <w:rPr>
          <w:rStyle w:val="AERtextitalic"/>
        </w:rPr>
        <w:t>Report to the AER: Issues in relation to the cost of debt</w:t>
      </w:r>
      <w:r w:rsidRPr="00E3217F">
        <w:t>,</w:t>
      </w:r>
      <w:r>
        <w:t xml:space="preserve"> </w:t>
      </w:r>
      <w:r w:rsidRPr="00950EA8">
        <w:t>9 April 2017</w:t>
      </w:r>
      <w:r w:rsidRPr="00EF48B3">
        <w:t>, p.</w:t>
      </w:r>
      <w:r w:rsidR="00E819C4">
        <w:t xml:space="preserve"> </w:t>
      </w:r>
      <w:r>
        <w:t>19.</w:t>
      </w:r>
    </w:p>
  </w:footnote>
  <w:footnote w:id="1375">
    <w:p w:rsidR="002D334E" w:rsidRPr="00EF48B3" w:rsidRDefault="002D334E" w:rsidP="00950EA8">
      <w:pPr>
        <w:pStyle w:val="FootnoteText"/>
      </w:pPr>
      <w:r>
        <w:rPr>
          <w:rStyle w:val="FootnoteReference"/>
        </w:rPr>
        <w:footnoteRef/>
      </w:r>
      <w:r>
        <w:t xml:space="preserve">   </w:t>
      </w:r>
      <w:r w:rsidRPr="00403DAD">
        <w:t xml:space="preserve">Partington, G., Satchell, S., </w:t>
      </w:r>
      <w:r w:rsidRPr="00950EA8">
        <w:rPr>
          <w:rStyle w:val="AERtextitalic"/>
        </w:rPr>
        <w:t>Report to the AER: Issues in relation to the cost of debt</w:t>
      </w:r>
      <w:r w:rsidRPr="00403DAD">
        <w:t>,</w:t>
      </w:r>
      <w:r>
        <w:t xml:space="preserve"> </w:t>
      </w:r>
      <w:r w:rsidRPr="00950EA8">
        <w:t>9 April 2017</w:t>
      </w:r>
      <w:r w:rsidRPr="00EF48B3">
        <w:t>, p.</w:t>
      </w:r>
      <w:r w:rsidR="00E819C4">
        <w:t xml:space="preserve"> </w:t>
      </w:r>
      <w:r>
        <w:t>19</w:t>
      </w:r>
      <w:r w:rsidRPr="00EF48B3">
        <w:t>.</w:t>
      </w:r>
    </w:p>
  </w:footnote>
  <w:footnote w:id="1376">
    <w:p w:rsidR="002D334E" w:rsidRPr="00EF48B3" w:rsidRDefault="002D334E" w:rsidP="00EF48B3">
      <w:pPr>
        <w:pStyle w:val="FootnoteText"/>
      </w:pPr>
      <w:r>
        <w:rPr>
          <w:rStyle w:val="FootnoteReference"/>
        </w:rPr>
        <w:footnoteRef/>
      </w:r>
      <w:r>
        <w:t xml:space="preserve">   </w:t>
      </w:r>
      <w:r w:rsidRPr="00403DAD">
        <w:t xml:space="preserve">Partington, G., Satchell, S., </w:t>
      </w:r>
      <w:r w:rsidRPr="00950EA8">
        <w:rPr>
          <w:rStyle w:val="AERtextitalic"/>
        </w:rPr>
        <w:t>Report to the AER: Issues in relation to the cost of debt</w:t>
      </w:r>
      <w:r w:rsidRPr="00403DAD">
        <w:t xml:space="preserve">, </w:t>
      </w:r>
      <w:r w:rsidRPr="00950EA8">
        <w:t>9 April 2017</w:t>
      </w:r>
      <w:r w:rsidRPr="00EF48B3">
        <w:t>, p.</w:t>
      </w:r>
      <w:r>
        <w:t xml:space="preserve"> </w:t>
      </w:r>
      <w:r w:rsidRPr="00EF48B3">
        <w:t>2</w:t>
      </w:r>
      <w:r>
        <w:t>0</w:t>
      </w:r>
      <w:r w:rsidRPr="00EF48B3">
        <w:t>.</w:t>
      </w:r>
    </w:p>
  </w:footnote>
  <w:footnote w:id="1377">
    <w:p w:rsidR="002D334E" w:rsidRDefault="002D334E" w:rsidP="00CE5DD5">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p11.</w:t>
      </w:r>
    </w:p>
  </w:footnote>
  <w:footnote w:id="1378">
    <w:p w:rsidR="002D334E" w:rsidRDefault="002D334E" w:rsidP="00CE5DD5">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p12.</w:t>
      </w:r>
    </w:p>
  </w:footnote>
  <w:footnote w:id="1379">
    <w:p w:rsidR="002D334E" w:rsidRDefault="002D334E" w:rsidP="00CE5DD5">
      <w:pPr>
        <w:pStyle w:val="FootnoteText"/>
      </w:pPr>
      <w:r>
        <w:rPr>
          <w:rStyle w:val="FootnoteReference"/>
        </w:rPr>
        <w:footnoteRef/>
      </w:r>
      <w:r>
        <w:t xml:space="preserve">   CEG</w:t>
      </w:r>
      <w:r w:rsidRPr="00584EB7">
        <w:rPr>
          <w:i/>
        </w:rPr>
        <w:t>, the AER’s current interpretation of the ARORO</w:t>
      </w:r>
      <w:r>
        <w:t>, September 2016, p. 14.</w:t>
      </w:r>
    </w:p>
  </w:footnote>
  <w:footnote w:id="1380">
    <w:p w:rsidR="002D334E" w:rsidRDefault="002D334E" w:rsidP="00CE5DD5">
      <w:pPr>
        <w:pStyle w:val="FootnoteText"/>
      </w:pPr>
      <w:r>
        <w:rPr>
          <w:rStyle w:val="FootnoteReference"/>
        </w:rPr>
        <w:footnoteRef/>
      </w:r>
      <w:r>
        <w:t xml:space="preserve">   CEG</w:t>
      </w:r>
      <w:r w:rsidRPr="00D81671">
        <w:rPr>
          <w:i/>
        </w:rPr>
        <w:t>, the AER’s current interpretation of the ARORO</w:t>
      </w:r>
      <w:r>
        <w:t>, September 2016, pp.15-16.</w:t>
      </w:r>
    </w:p>
  </w:footnote>
  <w:footnote w:id="1381">
    <w:p w:rsidR="002D334E" w:rsidRDefault="002D334E" w:rsidP="00CE5DD5">
      <w:pPr>
        <w:pStyle w:val="FootnoteText"/>
      </w:pPr>
      <w:r>
        <w:rPr>
          <w:rStyle w:val="FootnoteReference"/>
        </w:rPr>
        <w:footnoteRef/>
      </w:r>
      <w:r>
        <w:t xml:space="preserve">   </w:t>
      </w:r>
      <w:r w:rsidRPr="001B06CD">
        <w:t xml:space="preserve">Graham Partington and Stephen Satchell, </w:t>
      </w:r>
      <w:r w:rsidRPr="001B06CD">
        <w:rPr>
          <w:i/>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382">
    <w:p w:rsidR="002D334E" w:rsidRDefault="002D334E" w:rsidP="00CE5DD5">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t>, 9 April 2017, p. 16</w:t>
      </w:r>
      <w:r w:rsidRPr="000B7A93">
        <w:t>.</w:t>
      </w:r>
    </w:p>
  </w:footnote>
  <w:footnote w:id="1383">
    <w:p w:rsidR="002D334E" w:rsidRDefault="002D334E" w:rsidP="00CE5DD5">
      <w:pPr>
        <w:pStyle w:val="FootnoteText"/>
      </w:pPr>
      <w:r>
        <w:rPr>
          <w:rStyle w:val="FootnoteReference"/>
        </w:rPr>
        <w:footnoteRef/>
      </w:r>
      <w:r>
        <w:t xml:space="preserve">   </w:t>
      </w:r>
      <w:r w:rsidRPr="00F96C0E">
        <w:t>Graham Partington and Stephen Satchell, Report to the AER: Issues in Relation to the Cost of Debt</w:t>
      </w:r>
      <w:r>
        <w:t>, 9 April 2017, p. 13.</w:t>
      </w:r>
    </w:p>
  </w:footnote>
  <w:footnote w:id="1384">
    <w:p w:rsidR="002D334E" w:rsidRDefault="002D334E">
      <w:pPr>
        <w:pStyle w:val="FootnoteText"/>
      </w:pPr>
      <w:r>
        <w:rPr>
          <w:rStyle w:val="FootnoteReference"/>
        </w:rPr>
        <w:footnoteRef/>
      </w:r>
      <w:r>
        <w:t xml:space="preserve"> </w:t>
      </w:r>
      <w:r>
        <w:tab/>
      </w:r>
      <w:r w:rsidRPr="001B06CD">
        <w:t xml:space="preserve">Graham Partington and Stephen Satchell, </w:t>
      </w:r>
      <w:r w:rsidRPr="00950EA8">
        <w:rPr>
          <w:rStyle w:val="AERtextitalic"/>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385">
    <w:p w:rsidR="002D334E" w:rsidRDefault="002D334E" w:rsidP="00CE5DD5">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13</w:t>
      </w:r>
      <w:r w:rsidRPr="000B7A93">
        <w:t>.</w:t>
      </w:r>
    </w:p>
  </w:footnote>
  <w:footnote w:id="1386">
    <w:p w:rsidR="002D334E" w:rsidRDefault="002D334E">
      <w:pPr>
        <w:pStyle w:val="FootnoteText"/>
      </w:pPr>
      <w:r>
        <w:rPr>
          <w:rStyle w:val="FootnoteReference"/>
        </w:rPr>
        <w:footnoteRef/>
      </w:r>
      <w:r>
        <w:t xml:space="preserve"> </w:t>
      </w:r>
      <w:r>
        <w:tab/>
        <w:t xml:space="preserve">CEG, </w:t>
      </w:r>
      <w:r w:rsidRPr="00950EA8">
        <w:rPr>
          <w:rStyle w:val="AERtextitalic"/>
        </w:rPr>
        <w:t>the AER’s current interpretation of the ARORO</w:t>
      </w:r>
      <w:r>
        <w:t>, September 2016, p. 40.</w:t>
      </w:r>
    </w:p>
  </w:footnote>
  <w:footnote w:id="1387">
    <w:p w:rsidR="002D334E" w:rsidRDefault="002D334E">
      <w:pPr>
        <w:pStyle w:val="FootnoteText"/>
      </w:pPr>
      <w:r>
        <w:rPr>
          <w:rStyle w:val="FootnoteReference"/>
        </w:rPr>
        <w:footnoteRef/>
      </w:r>
      <w:r>
        <w:t xml:space="preserve"> </w:t>
      </w:r>
      <w:r>
        <w:tab/>
        <w:t xml:space="preserve">Graham Partington and Stephen Satchell, </w:t>
      </w:r>
      <w:r w:rsidRPr="00950EA8">
        <w:rPr>
          <w:rStyle w:val="AERtextitalic"/>
        </w:rPr>
        <w:t>Report to the AER: Issues in Relation to the Cost of Debt</w:t>
      </w:r>
      <w:r>
        <w:t>, 9 April 2017, p. 22.</w:t>
      </w:r>
    </w:p>
  </w:footnote>
  <w:footnote w:id="1388">
    <w:p w:rsidR="002D334E" w:rsidRDefault="002D334E" w:rsidP="00EC002B">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 p. 276.</w:t>
      </w:r>
    </w:p>
  </w:footnote>
  <w:footnote w:id="1389">
    <w:p w:rsidR="002D334E" w:rsidRDefault="002D334E" w:rsidP="00EC002B">
      <w:pPr>
        <w:pStyle w:val="FootnoteText"/>
      </w:pPr>
      <w:r>
        <w:rPr>
          <w:rStyle w:val="FootnoteReference"/>
        </w:rPr>
        <w:footnoteRef/>
      </w:r>
      <w:r>
        <w:t xml:space="preserve"> </w:t>
      </w:r>
      <w:r>
        <w:tab/>
      </w:r>
      <w:r w:rsidRPr="000B7A93">
        <w:t xml:space="preserve">Graham Partington and Stephen Satchell, </w:t>
      </w:r>
      <w:r w:rsidRPr="002C1D43">
        <w:t>Report to the AER: Issues in Relation to the Cost of Debt</w:t>
      </w:r>
      <w:r>
        <w:t>, 9 April 2017, p. 22</w:t>
      </w:r>
      <w:r w:rsidRPr="000B7A93">
        <w:t>.</w:t>
      </w:r>
    </w:p>
  </w:footnote>
  <w:footnote w:id="1390">
    <w:p w:rsidR="002D334E" w:rsidRDefault="002D334E"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391">
    <w:p w:rsidR="002D334E" w:rsidRDefault="002D334E" w:rsidP="00CE5DD5">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392">
    <w:p w:rsidR="002D334E" w:rsidRDefault="002D334E" w:rsidP="00CE5DD5">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393">
    <w:p w:rsidR="002D334E" w:rsidRDefault="002D334E" w:rsidP="00CE5DD5">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394">
    <w:p w:rsidR="002D334E" w:rsidRDefault="002D334E" w:rsidP="00CE5DD5">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395">
    <w:p w:rsidR="002D334E" w:rsidRDefault="002D334E" w:rsidP="00CE5DD5">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396">
    <w:p w:rsidR="002D334E" w:rsidRDefault="002D334E" w:rsidP="00CE5DD5">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397">
    <w:p w:rsidR="002D334E" w:rsidRDefault="002D334E" w:rsidP="00CE5DD5">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pp. 343–345.</w:t>
      </w:r>
    </w:p>
  </w:footnote>
  <w:footnote w:id="1398">
    <w:p w:rsidR="002D334E" w:rsidRDefault="002D334E" w:rsidP="00CE5DD5">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399">
    <w:p w:rsidR="002D334E" w:rsidRDefault="002D334E" w:rsidP="00CE5DD5">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400">
    <w:p w:rsidR="002D334E" w:rsidRDefault="002D334E" w:rsidP="00CE5DD5">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401">
    <w:p w:rsidR="002D334E" w:rsidRDefault="002D334E" w:rsidP="00CE5DD5">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402">
    <w:p w:rsidR="002D334E" w:rsidRDefault="002D334E"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403">
    <w:p w:rsidR="002D334E" w:rsidRDefault="002D334E" w:rsidP="00CE5DD5">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404">
    <w:p w:rsidR="002D334E" w:rsidRDefault="002D334E" w:rsidP="00A933BB">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p>
  </w:footnote>
  <w:footnote w:id="1405">
    <w:p w:rsidR="002D334E" w:rsidRDefault="002D334E" w:rsidP="00A933BB">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406">
    <w:p w:rsidR="002D334E" w:rsidRDefault="002D334E" w:rsidP="00A933BB">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407">
    <w:p w:rsidR="002D334E" w:rsidRDefault="002D334E" w:rsidP="00A933BB">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408">
    <w:p w:rsidR="002D334E" w:rsidRDefault="002D334E" w:rsidP="00A933BB">
      <w:pPr>
        <w:pStyle w:val="FootnoteText"/>
      </w:pPr>
      <w:r>
        <w:rPr>
          <w:rStyle w:val="FootnoteReference"/>
        </w:rPr>
        <w:footnoteRef/>
      </w:r>
      <w:r>
        <w:t xml:space="preserve"> </w:t>
      </w:r>
      <w:r>
        <w:tab/>
      </w:r>
      <w:r w:rsidRPr="005379ED">
        <w:t xml:space="preserve">AusNet </w:t>
      </w:r>
      <w:r>
        <w:t>Transmission</w:t>
      </w:r>
      <w:r w:rsidRPr="005379ED">
        <w:t xml:space="preserve">, </w:t>
      </w:r>
      <w:r w:rsidRPr="005379ED">
        <w:rPr>
          <w:rStyle w:val="AERtextitalic"/>
        </w:rPr>
        <w:t>Revised regulatory proposal</w:t>
      </w:r>
      <w:r w:rsidRPr="005379ED">
        <w:t xml:space="preserve">, </w:t>
      </w:r>
      <w:r>
        <w:t>September</w:t>
      </w:r>
      <w:r w:rsidRPr="005379ED">
        <w:t xml:space="preserve"> 2016, p. </w:t>
      </w:r>
      <w:r>
        <w:t>171.</w:t>
      </w:r>
    </w:p>
  </w:footnote>
  <w:footnote w:id="1409">
    <w:p w:rsidR="002D334E" w:rsidRDefault="002D334E" w:rsidP="00A933BB">
      <w:pPr>
        <w:pStyle w:val="FootnoteText"/>
      </w:pPr>
      <w:r>
        <w:rPr>
          <w:rStyle w:val="FootnoteReference"/>
        </w:rPr>
        <w:footnoteRef/>
      </w:r>
      <w:r>
        <w:t xml:space="preserve"> </w:t>
      </w:r>
      <w:r>
        <w:tab/>
        <w:t xml:space="preserve">Lally, </w:t>
      </w:r>
      <w:r w:rsidRPr="00950EA8">
        <w:rPr>
          <w:rStyle w:val="AERtextitalic"/>
        </w:rPr>
        <w:t>Implementation Issues for the Cost of debt</w:t>
      </w:r>
      <w:r>
        <w:t xml:space="preserve">, November 2014, Lally, </w:t>
      </w:r>
      <w:r w:rsidRPr="00950EA8">
        <w:rPr>
          <w:rStyle w:val="AERtextitalic"/>
        </w:rPr>
        <w:t>Review of Submissions on Implementation Issues for the Cost of Debt</w:t>
      </w:r>
      <w:r>
        <w:t>, October 2015, and ACCC REU</w:t>
      </w:r>
      <w:r w:rsidRPr="00950EA8">
        <w:rPr>
          <w:rStyle w:val="AERtextitalic"/>
        </w:rPr>
        <w:t>, Return on debt estimation: a review of the alternative third party data series</w:t>
      </w:r>
      <w:r>
        <w:t>, August 2014.</w:t>
      </w:r>
    </w:p>
  </w:footnote>
  <w:footnote w:id="1410">
    <w:p w:rsidR="002D334E" w:rsidRDefault="002D334E" w:rsidP="00A933BB">
      <w:pPr>
        <w:pStyle w:val="FootnoteText"/>
      </w:pPr>
      <w:r>
        <w:rPr>
          <w:rStyle w:val="FootnoteReference"/>
        </w:rPr>
        <w:footnoteRef/>
      </w:r>
      <w:r>
        <w:t xml:space="preserve"> </w:t>
      </w:r>
      <w:r>
        <w:tab/>
        <w:t xml:space="preserve">Lally, </w:t>
      </w:r>
      <w:r w:rsidRPr="00644C14">
        <w:rPr>
          <w:i/>
        </w:rPr>
        <w:t>Implementation Issues for the Cost of debt</w:t>
      </w:r>
      <w:r>
        <w:t xml:space="preserve">, November 2014, p. 12. </w:t>
      </w:r>
    </w:p>
  </w:footnote>
  <w:footnote w:id="1411">
    <w:p w:rsidR="002D334E" w:rsidRDefault="002D334E" w:rsidP="00A933BB">
      <w:pPr>
        <w:pStyle w:val="FootnoteText"/>
      </w:pPr>
      <w:r>
        <w:rPr>
          <w:rStyle w:val="FootnoteReference"/>
        </w:rPr>
        <w:footnoteRef/>
      </w:r>
      <w:r>
        <w:t xml:space="preserve"> </w:t>
      </w:r>
      <w:r>
        <w:tab/>
      </w:r>
      <w:hyperlink r:id="rId25" w:history="1">
        <w:r w:rsidRPr="002E3F4B">
          <w:rPr>
            <w:rStyle w:val="Hyperlink"/>
            <w:sz w:val="16"/>
          </w:rPr>
          <w:t>https://www.bbhub.io/solutions/sites/8/2015/10/BVAL-Score-fact-sheet.pdf</w:t>
        </w:r>
      </w:hyperlink>
      <w:r>
        <w:t xml:space="preserve"> </w:t>
      </w:r>
    </w:p>
  </w:footnote>
  <w:footnote w:id="1412">
    <w:p w:rsidR="002D334E" w:rsidRDefault="002D334E" w:rsidP="00A933BB">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p. 8.</w:t>
      </w:r>
    </w:p>
  </w:footnote>
  <w:footnote w:id="1413">
    <w:p w:rsidR="002D334E" w:rsidRDefault="002D334E" w:rsidP="00A933BB">
      <w:pPr>
        <w:pStyle w:val="FootnoteText"/>
      </w:pPr>
      <w:r>
        <w:rPr>
          <w:rStyle w:val="FootnoteReference"/>
        </w:rPr>
        <w:footnoteRef/>
      </w:r>
      <w:r>
        <w:t xml:space="preserve"> </w:t>
      </w:r>
      <w:r>
        <w:tab/>
        <w:t>See for example, AusNet distribution final decision, p. 3-323</w:t>
      </w:r>
    </w:p>
  </w:footnote>
  <w:footnote w:id="1414">
    <w:p w:rsidR="002D334E" w:rsidRDefault="002D334E" w:rsidP="00A933BB">
      <w:pPr>
        <w:pStyle w:val="FootnoteText"/>
      </w:pPr>
      <w:r>
        <w:rPr>
          <w:rStyle w:val="FootnoteReference"/>
        </w:rPr>
        <w:footnoteRef/>
      </w:r>
      <w:r>
        <w:t xml:space="preserve"> </w:t>
      </w:r>
      <w:r>
        <w:tab/>
        <w:t>See for example, AusNet distribution final decision, p. 3-323</w:t>
      </w:r>
    </w:p>
  </w:footnote>
  <w:footnote w:id="1415">
    <w:p w:rsidR="002D334E" w:rsidRDefault="002D334E" w:rsidP="00A933BB">
      <w:pPr>
        <w:pStyle w:val="FootnoteText"/>
      </w:pPr>
      <w:r>
        <w:rPr>
          <w:rStyle w:val="FootnoteReference"/>
        </w:rPr>
        <w:footnoteRef/>
      </w:r>
      <w:r>
        <w:t xml:space="preserve"> </w:t>
      </w:r>
      <w:r>
        <w:tab/>
        <w:t xml:space="preserve">Lally, </w:t>
      </w:r>
      <w:r w:rsidRPr="00950EA8">
        <w:rPr>
          <w:rStyle w:val="AERtextitalic"/>
        </w:rPr>
        <w:t>Implementation Issues for the Cost of debt</w:t>
      </w:r>
      <w:r>
        <w:t>, November 2014, p. 13</w:t>
      </w:r>
    </w:p>
  </w:footnote>
  <w:footnote w:id="1416">
    <w:p w:rsidR="002D334E" w:rsidRDefault="002D334E" w:rsidP="00A933BB">
      <w:pPr>
        <w:pStyle w:val="FootnoteText"/>
      </w:pPr>
      <w:r>
        <w:rPr>
          <w:rStyle w:val="FootnoteReference"/>
        </w:rPr>
        <w:footnoteRef/>
      </w:r>
      <w:r>
        <w:t xml:space="preserve"> </w:t>
      </w:r>
      <w:r>
        <w:tab/>
        <w:t xml:space="preserve">Bank of Japan (2016), </w:t>
      </w:r>
      <w:r w:rsidRPr="000D1A79">
        <w:rPr>
          <w:i/>
        </w:rPr>
        <w:t>Recent Trends in Cross-currency Basis</w:t>
      </w:r>
      <w:r>
        <w:t xml:space="preserve">, Bank of Japan Review.  </w:t>
      </w:r>
    </w:p>
  </w:footnote>
  <w:footnote w:id="1417">
    <w:p w:rsidR="002D334E" w:rsidRDefault="002D334E" w:rsidP="00A933BB">
      <w:pPr>
        <w:pStyle w:val="FootnoteText"/>
      </w:pPr>
      <w:r>
        <w:rPr>
          <w:rStyle w:val="FootnoteReference"/>
        </w:rPr>
        <w:footnoteRef/>
      </w:r>
      <w:r>
        <w:t xml:space="preserve"> </w:t>
      </w:r>
      <w:r>
        <w:tab/>
        <w:t>Wenxin Du et. al., Deviations from Covered Interest Rate Parity, 2016.</w:t>
      </w:r>
    </w:p>
  </w:footnote>
  <w:footnote w:id="1418">
    <w:p w:rsidR="002D334E" w:rsidRDefault="002D334E" w:rsidP="00A933BB">
      <w:pPr>
        <w:pStyle w:val="FootnoteText"/>
      </w:pPr>
      <w:r>
        <w:rPr>
          <w:rStyle w:val="FootnoteReference"/>
        </w:rPr>
        <w:footnoteRef/>
      </w:r>
      <w:r>
        <w:t xml:space="preserve"> </w:t>
      </w:r>
      <w:r>
        <w:tab/>
        <w:t xml:space="preserve">Issuing into the cheapest market appears to be in agreeance with CEG’s view. CEG, </w:t>
      </w:r>
      <w:r w:rsidRPr="00950EA8">
        <w:rPr>
          <w:rStyle w:val="AERtextitalic"/>
        </w:rPr>
        <w:t>Criteria for assessing fair value curves</w:t>
      </w:r>
      <w:r>
        <w:t xml:space="preserve">, January 2016, p. 20. </w:t>
      </w:r>
    </w:p>
  </w:footnote>
  <w:footnote w:id="1419">
    <w:p w:rsidR="002D334E" w:rsidRDefault="002D334E" w:rsidP="00A933BB">
      <w:pPr>
        <w:pStyle w:val="FootnoteText"/>
      </w:pPr>
      <w:r>
        <w:rPr>
          <w:rStyle w:val="FootnoteReference"/>
        </w:rPr>
        <w:footnoteRef/>
      </w:r>
      <w:r>
        <w:t xml:space="preserve"> </w:t>
      </w:r>
      <w:r>
        <w:tab/>
        <w:t>To illustrate this, Bloomberg published data on 252 days in 2015, where the RBA published data on 12 days.</w:t>
      </w:r>
    </w:p>
  </w:footnote>
  <w:footnote w:id="1420">
    <w:p w:rsidR="002D334E" w:rsidRDefault="002D334E" w:rsidP="00A933BB">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xml:space="preserve">, p. 8. </w:t>
      </w:r>
    </w:p>
  </w:footnote>
  <w:footnote w:id="1421">
    <w:p w:rsidR="002D334E" w:rsidRPr="00635BCF" w:rsidRDefault="002D334E" w:rsidP="00A933BB">
      <w:pPr>
        <w:pStyle w:val="FootnoteText"/>
        <w:rPr>
          <w:i/>
        </w:rPr>
      </w:pPr>
      <w:r w:rsidRPr="00635BCF">
        <w:rPr>
          <w:rStyle w:val="AERtextitalic"/>
          <w:vertAlign w:val="superscript"/>
        </w:rPr>
        <w:footnoteRef/>
      </w:r>
      <w:r w:rsidRPr="00635BCF">
        <w:rPr>
          <w:rStyle w:val="AERtextitalic"/>
        </w:rPr>
        <w:t xml:space="preserve"> </w:t>
      </w:r>
      <w:r w:rsidRPr="00635BCF">
        <w:rPr>
          <w:rStyle w:val="AERtextitalic"/>
        </w:rPr>
        <w:tab/>
      </w:r>
      <w:r>
        <w:rPr>
          <w:rStyle w:val="AERtextitalic"/>
          <w:bCs/>
        </w:rPr>
        <w:t xml:space="preserve">RBA, New Measures of Australian Corporate Spreads, December 2013, footnote 13. </w:t>
      </w:r>
    </w:p>
  </w:footnote>
  <w:footnote w:id="1422">
    <w:p w:rsidR="002D334E" w:rsidRPr="00431C4F" w:rsidRDefault="002D334E" w:rsidP="00950EA8">
      <w:pPr>
        <w:pStyle w:val="FootnoteText"/>
        <w:rPr>
          <w:rFonts w:ascii="Times New Roman" w:hAnsi="Times New Roman"/>
          <w:sz w:val="24"/>
          <w:szCs w:val="24"/>
        </w:rPr>
      </w:pPr>
      <w:r>
        <w:rPr>
          <w:rStyle w:val="FootnoteReference"/>
        </w:rPr>
        <w:footnoteRef/>
      </w:r>
      <w:r>
        <w:t xml:space="preserve"> </w:t>
      </w:r>
      <w:r>
        <w:tab/>
      </w:r>
      <w:r w:rsidRPr="00431C4F">
        <w:t xml:space="preserve">The interest rate on make-whole options, according to Lally (2014), should not be affected by the presence of the option and therefore no adjustment should be required. Note that bonds with a make-whole call option are included </w:t>
      </w:r>
      <w:r>
        <w:t xml:space="preserve">in the BVAL curve </w:t>
      </w:r>
      <w:r w:rsidRPr="00431C4F">
        <w:t xml:space="preserve">– even when they also have other type of embedded options. For example, a bond that has a call option and a make-whole option would be included in the sample. As of 24th March 2017, one of the current constituents of the AUD Corporate BBB BVAL Curve has both call and make whole call option.  </w:t>
      </w:r>
    </w:p>
  </w:footnote>
  <w:footnote w:id="1423">
    <w:p w:rsidR="002D334E" w:rsidRDefault="002D334E" w:rsidP="00A933BB">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424">
    <w:p w:rsidR="002D334E" w:rsidRDefault="002D334E" w:rsidP="00A933BB">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425">
    <w:p w:rsidR="002D334E" w:rsidRDefault="002D334E" w:rsidP="00A933BB">
      <w:pPr>
        <w:pStyle w:val="FootnoteText"/>
      </w:pPr>
      <w:r>
        <w:rPr>
          <w:rStyle w:val="FootnoteReference"/>
        </w:rPr>
        <w:footnoteRef/>
      </w:r>
      <w:r>
        <w:t xml:space="preserve"> </w:t>
      </w:r>
      <w:r>
        <w:tab/>
        <w:t xml:space="preserve">AusNet Services, </w:t>
      </w:r>
      <w:r w:rsidRPr="00950EA8">
        <w:rPr>
          <w:rStyle w:val="AERtextitalic"/>
        </w:rPr>
        <w:t>Revised transmission revenue proposal</w:t>
      </w:r>
      <w:r>
        <w:t>, September 2016, p. 170.</w:t>
      </w:r>
    </w:p>
  </w:footnote>
  <w:footnote w:id="1426">
    <w:p w:rsidR="002D334E" w:rsidRDefault="002D334E" w:rsidP="00A933BB">
      <w:pPr>
        <w:pStyle w:val="FootnoteText"/>
      </w:pPr>
      <w:r>
        <w:rPr>
          <w:rStyle w:val="FootnoteReference"/>
        </w:rPr>
        <w:footnoteRef/>
      </w:r>
      <w:r>
        <w:t xml:space="preserve"> </w:t>
      </w:r>
      <w:r>
        <w:tab/>
        <w:t xml:space="preserve">AusNet Services, </w:t>
      </w:r>
      <w:r w:rsidRPr="00950EA8">
        <w:rPr>
          <w:rStyle w:val="AERtextitalic"/>
        </w:rPr>
        <w:t>Revised transmission revenue proposal</w:t>
      </w:r>
      <w:r>
        <w:t>, September 2016, p. 170.</w:t>
      </w:r>
    </w:p>
  </w:footnote>
  <w:footnote w:id="1427">
    <w:p w:rsidR="002D334E" w:rsidRDefault="002D334E" w:rsidP="00A933BB">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226–227.</w:t>
      </w:r>
    </w:p>
  </w:footnote>
  <w:footnote w:id="1428">
    <w:p w:rsidR="002D334E" w:rsidRDefault="002D334E" w:rsidP="00A933BB">
      <w:pPr>
        <w:pStyle w:val="FootnoteText"/>
      </w:pPr>
      <w:r>
        <w:rPr>
          <w:rStyle w:val="FootnoteReference"/>
        </w:rPr>
        <w:footnoteRef/>
      </w:r>
      <w:r>
        <w:t xml:space="preserve"> </w:t>
      </w:r>
      <w:r>
        <w:tab/>
        <w:t>See section I.1.</w:t>
      </w:r>
    </w:p>
  </w:footnote>
  <w:footnote w:id="1429">
    <w:p w:rsidR="002D334E" w:rsidRDefault="002D334E" w:rsidP="00A933BB">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430">
    <w:p w:rsidR="002D334E" w:rsidRDefault="002D334E" w:rsidP="00A933BB">
      <w:pPr>
        <w:pStyle w:val="FootnoteText"/>
      </w:pPr>
      <w:r>
        <w:rPr>
          <w:rStyle w:val="FootnoteReference"/>
        </w:rPr>
        <w:footnoteRef/>
      </w:r>
      <w:r>
        <w:t xml:space="preserve"> </w:t>
      </w:r>
      <w:r>
        <w:tab/>
      </w:r>
      <w:hyperlink r:id="rId26" w:history="1">
        <w:r w:rsidRPr="00A526EA">
          <w:t>https://www.moodys.com/research/Moodys-downgrades-Asciano-to-Baa3-following-acquisition-approvals-outlook-stable--PR_352423</w:t>
        </w:r>
      </w:hyperlink>
    </w:p>
  </w:footnote>
  <w:footnote w:id="1431">
    <w:p w:rsidR="002D334E" w:rsidRPr="00534955" w:rsidRDefault="002D334E" w:rsidP="00A933BB">
      <w:pPr>
        <w:pStyle w:val="FootnoteText"/>
      </w:pPr>
      <w:r>
        <w:rPr>
          <w:rStyle w:val="FootnoteReference"/>
        </w:rPr>
        <w:footnoteRef/>
      </w:r>
      <w:r>
        <w:t xml:space="preserve"> </w:t>
      </w:r>
      <w:r>
        <w:tab/>
        <w:t xml:space="preserve">Lally, </w:t>
      </w:r>
      <w:r>
        <w:rPr>
          <w:i/>
        </w:rPr>
        <w:t>Review of Submissions on implementation issues for the cost of debt,</w:t>
      </w:r>
      <w:r>
        <w:t xml:space="preserve"> October 2015, pp. 14.</w:t>
      </w:r>
    </w:p>
  </w:footnote>
  <w:footnote w:id="1432">
    <w:p w:rsidR="002D334E" w:rsidRDefault="002D334E" w:rsidP="00A933BB">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433">
    <w:p w:rsidR="002D334E" w:rsidRDefault="002D334E" w:rsidP="00A933BB">
      <w:pPr>
        <w:pStyle w:val="FootnoteText"/>
      </w:pPr>
      <w:r>
        <w:rPr>
          <w:rStyle w:val="FootnoteReference"/>
        </w:rPr>
        <w:footnoteRef/>
      </w:r>
      <w:r>
        <w:t xml:space="preserve"> </w:t>
      </w:r>
      <w:r>
        <w:tab/>
        <w:t>Specifically, AER staff met with RBA staff on 8 April 2016.</w:t>
      </w:r>
    </w:p>
  </w:footnote>
  <w:footnote w:id="1434">
    <w:p w:rsidR="002D334E" w:rsidRDefault="002D334E" w:rsidP="00A933BB">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9 &amp; 19.</w:t>
      </w:r>
    </w:p>
  </w:footnote>
  <w:footnote w:id="1435">
    <w:p w:rsidR="002D334E" w:rsidRDefault="002D334E" w:rsidP="00A933BB">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20.</w:t>
      </w:r>
    </w:p>
  </w:footnote>
  <w:footnote w:id="1436">
    <w:p w:rsidR="002D334E" w:rsidRDefault="002D334E" w:rsidP="00A933BB">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p. 142.</w:t>
      </w:r>
    </w:p>
  </w:footnote>
  <w:footnote w:id="1437">
    <w:p w:rsidR="002D334E" w:rsidRDefault="002D334E" w:rsidP="00A933BB">
      <w:pPr>
        <w:pStyle w:val="FootnoteText"/>
      </w:pPr>
      <w:r>
        <w:rPr>
          <w:rStyle w:val="FootnoteReference"/>
        </w:rPr>
        <w:footnoteRef/>
      </w:r>
      <w:r>
        <w:t xml:space="preserve"> </w:t>
      </w:r>
      <w:r>
        <w:tab/>
        <w:t xml:space="preserve">AusNet Transmission Group, </w:t>
      </w:r>
      <w:r w:rsidRPr="00950EA8">
        <w:rPr>
          <w:rStyle w:val="AERtextitalic"/>
        </w:rPr>
        <w:t>Transmission Revenue Review 2017-2022</w:t>
      </w:r>
      <w:r>
        <w:t xml:space="preserve">, October 2015. TasNetworks, </w:t>
      </w:r>
      <w:r w:rsidRPr="00414A87">
        <w:rPr>
          <w:i/>
        </w:rPr>
        <w:t>Tasmanian Distribution Regulatory Proposal</w:t>
      </w:r>
      <w:r>
        <w:t xml:space="preserve">, January 2016. and Powerlink, </w:t>
      </w:r>
      <w:r w:rsidRPr="00985A2D">
        <w:rPr>
          <w:i/>
        </w:rPr>
        <w:t>Queensland revenue proposal</w:t>
      </w:r>
      <w:r>
        <w:t xml:space="preserve">, January 2016. </w:t>
      </w:r>
    </w:p>
  </w:footnote>
  <w:footnote w:id="1438">
    <w:p w:rsidR="002D334E" w:rsidRDefault="002D334E" w:rsidP="00A933BB">
      <w:pPr>
        <w:pStyle w:val="FootnoteText"/>
      </w:pPr>
      <w:r>
        <w:rPr>
          <w:rStyle w:val="FootnoteReference"/>
        </w:rPr>
        <w:footnoteRef/>
      </w:r>
      <w:r>
        <w:t xml:space="preserve"> </w:t>
      </w:r>
      <w:r>
        <w:tab/>
        <w:t xml:space="preserve">AER, </w:t>
      </w:r>
      <w:r w:rsidRPr="00950EA8">
        <w:rPr>
          <w:rStyle w:val="AERtextitalic"/>
        </w:rPr>
        <w:t>Draft decision for AusNet Services AusNet Services transmission determination 2017–18 to 2021–22</w:t>
      </w:r>
      <w:r>
        <w:t>, p.3-117.</w:t>
      </w:r>
    </w:p>
  </w:footnote>
  <w:footnote w:id="1439">
    <w:p w:rsidR="002D334E" w:rsidRDefault="002D334E" w:rsidP="00A933BB">
      <w:pPr>
        <w:pStyle w:val="FootnoteText"/>
      </w:pPr>
      <w:r>
        <w:rPr>
          <w:rStyle w:val="FootnoteReference"/>
        </w:rPr>
        <w:footnoteRef/>
      </w:r>
      <w:r>
        <w:t xml:space="preserve"> </w:t>
      </w:r>
      <w:r>
        <w:tab/>
        <w:t xml:space="preserve">AusNet Services, </w:t>
      </w:r>
      <w:r w:rsidRPr="00950EA8">
        <w:rPr>
          <w:rStyle w:val="AERtextitalic"/>
        </w:rPr>
        <w:t>Revised transmission revenue proposal</w:t>
      </w:r>
      <w:r>
        <w:t xml:space="preserve">, September 2016, p. 177. </w:t>
      </w:r>
    </w:p>
  </w:footnote>
  <w:footnote w:id="1440">
    <w:p w:rsidR="002D334E" w:rsidRDefault="002D334E" w:rsidP="00A933BB">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7–46.</w:t>
      </w:r>
    </w:p>
  </w:footnote>
  <w:footnote w:id="1441">
    <w:p w:rsidR="002D334E" w:rsidRDefault="002D334E" w:rsidP="00A933BB">
      <w:pPr>
        <w:pStyle w:val="FootnoteText"/>
      </w:pPr>
      <w:r>
        <w:rPr>
          <w:rStyle w:val="FootnoteReference"/>
        </w:rPr>
        <w:footnoteRef/>
      </w:r>
      <w:r>
        <w:t xml:space="preserve"> </w:t>
      </w:r>
      <w:r>
        <w:tab/>
        <w:t>Thomson Reuters publishes two versions of its AUD corporate yield curve; blended and domestic. The blended curve includes a larger sample as an outcome of including debt issued in AUD by issuers with a country of risk that is not Australia. That is a materially different selection criterion that either the BVAL or RBA curves in which all issuers have Australia as their country of risk.</w:t>
      </w:r>
    </w:p>
  </w:footnote>
  <w:footnote w:id="1442">
    <w:p w:rsidR="002D334E" w:rsidRDefault="002D334E" w:rsidP="00A933BB">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7–21.</w:t>
      </w:r>
    </w:p>
  </w:footnote>
  <w:footnote w:id="1443">
    <w:p w:rsidR="002D334E" w:rsidRDefault="002D334E" w:rsidP="00A933BB">
      <w:pPr>
        <w:pStyle w:val="FootnoteText"/>
      </w:pPr>
      <w:r>
        <w:rPr>
          <w:rStyle w:val="FootnoteReference"/>
        </w:rPr>
        <w:footnoteRef/>
      </w:r>
      <w:r>
        <w:t xml:space="preserve"> </w:t>
      </w:r>
      <w:r>
        <w:tab/>
        <w:t>We note that for 105 days of the 427 day sample period, we relied on extrapolation of the curve from 9 years.</w:t>
      </w:r>
    </w:p>
  </w:footnote>
  <w:footnote w:id="1444">
    <w:p w:rsidR="002D334E" w:rsidRDefault="002D334E" w:rsidP="00A933BB">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25.</w:t>
      </w:r>
    </w:p>
  </w:footnote>
  <w:footnote w:id="1445">
    <w:p w:rsidR="002D334E" w:rsidRDefault="002D334E" w:rsidP="00A933BB">
      <w:pPr>
        <w:pStyle w:val="FootnoteText"/>
      </w:pPr>
      <w:r>
        <w:rPr>
          <w:rStyle w:val="FootnoteReference"/>
        </w:rPr>
        <w:footnoteRef/>
      </w:r>
      <w:r>
        <w:t xml:space="preserve"> </w:t>
      </w:r>
      <w:r>
        <w:tab/>
        <w:t xml:space="preserve">AER, </w:t>
      </w:r>
      <w:r w:rsidRPr="00950EA8">
        <w:rPr>
          <w:rStyle w:val="AERtextitalic"/>
        </w:rPr>
        <w:t>Preliminary Decision SA Power Networks distribution determination – Attachment 3</w:t>
      </w:r>
      <w:r>
        <w:t>, April 2015, pp. 200-201.</w:t>
      </w:r>
    </w:p>
  </w:footnote>
  <w:footnote w:id="1446">
    <w:p w:rsidR="002D334E" w:rsidRDefault="002D334E" w:rsidP="00AD2086">
      <w:pPr>
        <w:pStyle w:val="FootnoteText"/>
      </w:pPr>
      <w:r>
        <w:rPr>
          <w:rStyle w:val="FootnoteReference"/>
        </w:rPr>
        <w:footnoteRef/>
      </w:r>
      <w:r>
        <w:t xml:space="preserve"> </w:t>
      </w:r>
      <w:r>
        <w:tab/>
        <w:t xml:space="preserve">That is Ergon Energy Corp Ltd. </w:t>
      </w:r>
    </w:p>
  </w:footnote>
  <w:footnote w:id="1447">
    <w:p w:rsidR="002D334E" w:rsidRDefault="002D334E" w:rsidP="00AD2086">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1448">
    <w:p w:rsidR="002D334E" w:rsidRDefault="002D334E" w:rsidP="00AD2086">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270.</w:t>
      </w:r>
    </w:p>
  </w:footnote>
  <w:footnote w:id="1449">
    <w:p w:rsidR="002D334E" w:rsidRDefault="002D334E" w:rsidP="00AD2086">
      <w:pPr>
        <w:pStyle w:val="FootnoteText"/>
      </w:pPr>
      <w:r>
        <w:rPr>
          <w:rStyle w:val="FootnoteReference"/>
        </w:rPr>
        <w:footnoteRef/>
      </w:r>
      <w:r>
        <w:t xml:space="preserve"> </w:t>
      </w:r>
      <w:r>
        <w:tab/>
        <w:t xml:space="preserve">This was in response to </w:t>
      </w:r>
      <w:r w:rsidRPr="00930291">
        <w:t xml:space="preserve">CEG, </w:t>
      </w:r>
      <w:r w:rsidRPr="00E3172F">
        <w:rPr>
          <w:rStyle w:val="AERtextitalic"/>
        </w:rPr>
        <w:t>Attachment 7.01: WACC estimates, a report for the NSW DNSPs</w:t>
      </w:r>
      <w:r w:rsidRPr="00930291">
        <w:t>, May 2014, p. 65</w:t>
      </w:r>
      <w:r>
        <w:t xml:space="preserve">. See AER, </w:t>
      </w:r>
      <w:r w:rsidRPr="00AC04F4">
        <w:rPr>
          <w:i/>
        </w:rPr>
        <w:t xml:space="preserve">Final decision: SA Power Networks determination 2015-16 to 2019-20, Attachment 3 </w:t>
      </w:r>
      <w:r w:rsidRPr="00AC04F4">
        <w:rPr>
          <w:rFonts w:cs="Arial"/>
          <w:i/>
        </w:rPr>
        <w:t>–</w:t>
      </w:r>
      <w:r w:rsidRPr="00AC04F4">
        <w:rPr>
          <w:i/>
        </w:rPr>
        <w:t xml:space="preserve"> Rate of return</w:t>
      </w:r>
      <w:r>
        <w:t>, October 2015.</w:t>
      </w:r>
    </w:p>
  </w:footnote>
  <w:footnote w:id="1450">
    <w:p w:rsidR="002D334E" w:rsidRDefault="002D334E" w:rsidP="00AD2086">
      <w:pPr>
        <w:pStyle w:val="FootnoteText"/>
      </w:pPr>
      <w:r>
        <w:rPr>
          <w:rStyle w:val="FootnoteReference"/>
        </w:rPr>
        <w:footnoteRef/>
      </w:r>
      <w:r>
        <w:t xml:space="preserve"> </w:t>
      </w:r>
      <w:r>
        <w:tab/>
      </w:r>
      <w:r w:rsidRPr="009020CE">
        <w:t>This is supported by Standard and Poor's who have stated that they consider the importance of the entities role to government and whether it could be considered a core investment when undertaking credit ratings assessments</w:t>
      </w:r>
    </w:p>
  </w:footnote>
  <w:footnote w:id="1451">
    <w:p w:rsidR="002D334E" w:rsidRDefault="002D334E" w:rsidP="00AD2086">
      <w:pPr>
        <w:pStyle w:val="FootnoteText"/>
      </w:pPr>
      <w:r>
        <w:rPr>
          <w:rStyle w:val="FootnoteReference"/>
        </w:rPr>
        <w:footnoteRef/>
      </w:r>
      <w:r>
        <w:t xml:space="preserve"> </w:t>
      </w:r>
      <w:r>
        <w:tab/>
        <w:t xml:space="preserve">ECCSA, </w:t>
      </w:r>
      <w:r w:rsidRPr="005C528A">
        <w:rPr>
          <w:rStyle w:val="AERtextitalic"/>
        </w:rPr>
        <w:t>AER review of SAPN application 2014: ECCSA response to AER's preliminary decision</w:t>
      </w:r>
      <w:r>
        <w:t>, June 2015</w:t>
      </w:r>
    </w:p>
  </w:footnote>
  <w:footnote w:id="1452">
    <w:p w:rsidR="002D334E" w:rsidRDefault="002D334E" w:rsidP="00AD2086">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1453">
    <w:p w:rsidR="002D334E" w:rsidRDefault="002D334E"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2022 regulatory proposal</w:t>
      </w:r>
      <w:r>
        <w:t>, 30 October 2015, p. 270.</w:t>
      </w:r>
    </w:p>
  </w:footnote>
  <w:footnote w:id="1454">
    <w:p w:rsidR="002D334E" w:rsidRDefault="002D334E" w:rsidP="00AD2086">
      <w:pPr>
        <w:pStyle w:val="FootnoteText"/>
      </w:pPr>
      <w:r>
        <w:rPr>
          <w:rStyle w:val="FootnoteReference"/>
        </w:rPr>
        <w:footnoteRef/>
      </w:r>
      <w:r>
        <w:t xml:space="preserve"> </w:t>
      </w:r>
      <w:r>
        <w:tab/>
      </w:r>
      <w:r w:rsidRPr="00EE4324">
        <w:t>AER, AusNet Services Draft Decision, July 2016: Attach</w:t>
      </w:r>
      <w:r>
        <w:t xml:space="preserve">ment 3 – Rate of Return, p. 312. </w:t>
      </w:r>
      <w:r w:rsidRPr="00EE4324">
        <w:t xml:space="preserve"> </w:t>
      </w:r>
      <w:r>
        <w:t xml:space="preserve"> </w:t>
      </w:r>
    </w:p>
  </w:footnote>
  <w:footnote w:id="1455">
    <w:p w:rsidR="002D334E" w:rsidRDefault="002D334E" w:rsidP="00AD2086">
      <w:pPr>
        <w:pStyle w:val="FootnoteText"/>
      </w:pPr>
      <w:r>
        <w:rPr>
          <w:rStyle w:val="FootnoteReference"/>
        </w:rPr>
        <w:footnoteRef/>
      </w:r>
      <w:r>
        <w:t xml:space="preserve"> </w:t>
      </w:r>
      <w:r>
        <w:tab/>
      </w:r>
      <w:r w:rsidRPr="00EE4324">
        <w:t xml:space="preserve">AusNet Transmission Group Pty Ltd, </w:t>
      </w:r>
      <w:r w:rsidRPr="00950EA8">
        <w:rPr>
          <w:rStyle w:val="AERtextitalic"/>
        </w:rPr>
        <w:t>Transmission Revenue Review 2017–2022 regulatory proposal</w:t>
      </w:r>
      <w:r>
        <w:t>, 30 October 2015, p. 167</w:t>
      </w:r>
      <w:r w:rsidRPr="00EE4324">
        <w:t xml:space="preserve">. </w:t>
      </w:r>
      <w:r>
        <w:t xml:space="preserve"> </w:t>
      </w:r>
    </w:p>
  </w:footnote>
  <w:footnote w:id="1456">
    <w:p w:rsidR="002D334E" w:rsidRDefault="002D334E" w:rsidP="00AD2086">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1457">
    <w:p w:rsidR="002D334E" w:rsidRDefault="002D334E"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 xml:space="preserve">2022 </w:t>
      </w:r>
      <w:r>
        <w:t xml:space="preserve">revised </w:t>
      </w:r>
      <w:r w:rsidRPr="0047386D">
        <w:rPr>
          <w:i/>
        </w:rPr>
        <w:t>regulatory proposal</w:t>
      </w:r>
      <w:r>
        <w:t>, 21 September 2016, pp. 167-8.</w:t>
      </w:r>
    </w:p>
  </w:footnote>
  <w:footnote w:id="1458">
    <w:p w:rsidR="002D334E" w:rsidRDefault="002D334E" w:rsidP="00AD2086">
      <w:pPr>
        <w:pStyle w:val="FootnoteText"/>
      </w:pPr>
      <w:r>
        <w:rPr>
          <w:rStyle w:val="FootnoteReference"/>
        </w:rPr>
        <w:footnoteRef/>
      </w:r>
      <w:r>
        <w:t xml:space="preserve"> </w:t>
      </w:r>
      <w:r>
        <w:tab/>
        <w:t xml:space="preserve">AER, </w:t>
      </w:r>
      <w:r w:rsidRPr="00950EA8">
        <w:rPr>
          <w:rStyle w:val="AERtextitalic"/>
        </w:rPr>
        <w:t>Draft decision: AusNet Services transmission determination</w:t>
      </w:r>
      <w:r>
        <w:t>, July 2016, pp. 313</w:t>
      </w:r>
      <w:r>
        <w:rPr>
          <w:rFonts w:cs="Arial"/>
        </w:rPr>
        <w:t xml:space="preserve">̶ </w:t>
      </w:r>
      <w:r>
        <w:t>314.</w:t>
      </w:r>
    </w:p>
  </w:footnote>
  <w:footnote w:id="1459">
    <w:p w:rsidR="002D334E" w:rsidRDefault="002D334E" w:rsidP="00A933BB">
      <w:pPr>
        <w:pStyle w:val="FootnoteText"/>
      </w:pPr>
      <w:r>
        <w:rPr>
          <w:rStyle w:val="FootnoteReference"/>
        </w:rPr>
        <w:footnoteRef/>
      </w:r>
      <w:r>
        <w:t xml:space="preserve"> </w:t>
      </w:r>
      <w:r>
        <w:tab/>
        <w:t>This draft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460">
    <w:p w:rsidR="002D334E" w:rsidRDefault="002D334E" w:rsidP="00A933BB">
      <w:pPr>
        <w:pStyle w:val="FootnoteText"/>
      </w:pPr>
      <w:r>
        <w:rPr>
          <w:rStyle w:val="FootnoteReference"/>
        </w:rPr>
        <w:footnoteRef/>
      </w:r>
      <w:r>
        <w:t xml:space="preserve"> </w:t>
      </w:r>
      <w:r>
        <w:tab/>
        <w:t>NER, cl. 6A.6.2(i).</w:t>
      </w:r>
    </w:p>
  </w:footnote>
  <w:footnote w:id="1461">
    <w:p w:rsidR="002D334E" w:rsidRDefault="002D334E" w:rsidP="00A933BB">
      <w:pPr>
        <w:pStyle w:val="FootnoteText"/>
      </w:pPr>
      <w:r>
        <w:rPr>
          <w:rStyle w:val="FootnoteReference"/>
        </w:rPr>
        <w:footnoteRef/>
      </w:r>
      <w:r>
        <w:t xml:space="preserve"> </w:t>
      </w:r>
      <w:r>
        <w:tab/>
        <w:t>NER, cl. 6A.6.2(l).</w:t>
      </w:r>
    </w:p>
  </w:footnote>
  <w:footnote w:id="1462">
    <w:p w:rsidR="002D334E" w:rsidRDefault="002D334E" w:rsidP="00A933BB">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1463">
    <w:p w:rsidR="002D334E" w:rsidRDefault="002D334E" w:rsidP="00A933BB">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464">
    <w:p w:rsidR="002D334E" w:rsidRDefault="002D334E" w:rsidP="00A933BB">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465">
    <w:p w:rsidR="002D334E" w:rsidRDefault="002D334E" w:rsidP="00A933BB">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466">
    <w:p w:rsidR="002D334E" w:rsidRDefault="002D334E" w:rsidP="00A933BB">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467">
    <w:p w:rsidR="002D334E" w:rsidRDefault="002D334E" w:rsidP="00A933BB">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468">
    <w:p w:rsidR="002D334E" w:rsidRDefault="002D334E" w:rsidP="00A933BB">
      <w:pPr>
        <w:pStyle w:val="FootnoteText"/>
      </w:pPr>
      <w:r>
        <w:rPr>
          <w:rStyle w:val="FootnoteReference"/>
        </w:rPr>
        <w:footnoteRef/>
      </w:r>
      <w:r>
        <w:t xml:space="preserve"> </w:t>
      </w:r>
      <w:r>
        <w:tab/>
        <w:t>Specifically, from 15 September 2014 to 3 November 2014.</w:t>
      </w:r>
    </w:p>
  </w:footnote>
  <w:footnote w:id="1469">
    <w:p w:rsidR="002D334E" w:rsidRDefault="002D334E" w:rsidP="00A933BB">
      <w:pPr>
        <w:pStyle w:val="FootnoteText"/>
      </w:pPr>
      <w:r>
        <w:rPr>
          <w:rStyle w:val="FootnoteReference"/>
        </w:rPr>
        <w:footnoteRef/>
      </w:r>
      <w:r>
        <w:t xml:space="preserve"> </w:t>
      </w:r>
      <w:r>
        <w:tab/>
        <w:t>Specifically, 14 April 2015.</w:t>
      </w:r>
    </w:p>
  </w:footnote>
  <w:footnote w:id="1470">
    <w:p w:rsidR="002D334E" w:rsidRDefault="002D334E" w:rsidP="00A933BB">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471">
    <w:p w:rsidR="002D334E" w:rsidRDefault="002D334E" w:rsidP="00A933BB">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472">
    <w:p w:rsidR="002D334E" w:rsidRDefault="002D334E" w:rsidP="00A933BB">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473">
    <w:p w:rsidR="002D334E" w:rsidRDefault="002D334E" w:rsidP="00A933BB">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474">
    <w:p w:rsidR="002D334E" w:rsidRDefault="002D334E"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75">
    <w:p w:rsidR="002D334E" w:rsidRDefault="002D334E"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76">
    <w:p w:rsidR="002D334E" w:rsidRDefault="002D334E" w:rsidP="00A933BB">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477">
    <w:p w:rsidR="002D334E" w:rsidRDefault="002D334E" w:rsidP="00A933BB">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478">
    <w:p w:rsidR="002D334E" w:rsidRDefault="002D334E" w:rsidP="00A933BB">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1479">
    <w:p w:rsidR="002D334E" w:rsidRDefault="002D334E" w:rsidP="00A870A6">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1480">
    <w:p w:rsidR="002D334E" w:rsidRDefault="002D334E" w:rsidP="00A870A6">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1481">
    <w:p w:rsidR="002D334E" w:rsidRDefault="002D334E" w:rsidP="00A870A6">
      <w:pPr>
        <w:pStyle w:val="FootnoteText"/>
      </w:pPr>
      <w:r>
        <w:rPr>
          <w:rStyle w:val="FootnoteReference"/>
        </w:rPr>
        <w:footnoteRef/>
      </w:r>
      <w:r>
        <w:t xml:space="preserve"> </w:t>
      </w:r>
      <w:r>
        <w:tab/>
        <w:t>NER, cl. 6.5.2(l) and cl. 6A.6.2(l).</w:t>
      </w:r>
    </w:p>
  </w:footnote>
  <w:footnote w:id="1482">
    <w:p w:rsidR="002D334E" w:rsidRDefault="002D334E" w:rsidP="00A870A6">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483">
    <w:p w:rsidR="002D334E" w:rsidRDefault="002D334E" w:rsidP="00A870A6">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484">
    <w:p w:rsidR="002D334E" w:rsidRDefault="002D334E" w:rsidP="00A870A6">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1485">
    <w:p w:rsidR="002D334E" w:rsidRDefault="002D334E" w:rsidP="00A870A6">
      <w:pPr>
        <w:pStyle w:val="FootnoteText"/>
      </w:pPr>
      <w:r>
        <w:rPr>
          <w:rStyle w:val="FootnoteReference"/>
        </w:rPr>
        <w:footnoteRef/>
      </w:r>
      <w:r>
        <w:t xml:space="preserve"> </w:t>
      </w:r>
      <w:r>
        <w:tab/>
        <w:t>Specifically, the spread to CGS.</w:t>
      </w:r>
    </w:p>
  </w:footnote>
  <w:footnote w:id="1486">
    <w:p w:rsidR="002D334E" w:rsidRDefault="002D334E" w:rsidP="00A870A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487">
    <w:p w:rsidR="002D334E" w:rsidRDefault="002D334E" w:rsidP="00A870A6">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276.</w:t>
      </w:r>
    </w:p>
  </w:footnote>
  <w:footnote w:id="1488">
    <w:p w:rsidR="002D334E" w:rsidRDefault="002D334E" w:rsidP="00A870A6">
      <w:pPr>
        <w:pStyle w:val="FootnoteText"/>
      </w:pPr>
      <w:r>
        <w:rPr>
          <w:rStyle w:val="FootnoteReference"/>
        </w:rPr>
        <w:footnoteRef/>
      </w:r>
      <w:r>
        <w:t xml:space="preserve"> </w:t>
      </w:r>
      <w:r>
        <w:tab/>
        <w:t>AusNet Services characterises</w:t>
      </w:r>
      <w:r w:rsidRPr="0018148E">
        <w:t xml:space="preserve"> </w:t>
      </w:r>
      <w:r>
        <w:t>a new issue premium as ‘t</w:t>
      </w:r>
      <w:r w:rsidRPr="000062C0">
        <w:t xml:space="preserve">he difference between the costs facing a business issuing bonds into the primary debt market </w:t>
      </w:r>
      <w:r>
        <w:t xml:space="preserve">[which would determine their effective cost of debt] </w:t>
      </w:r>
      <w:r w:rsidRPr="000062C0">
        <w:t>and trading in the secondary debt market</w:t>
      </w:r>
      <w:r>
        <w:t xml:space="preserve"> [which we use to estimate the debt allowance]’</w:t>
      </w:r>
      <w:r w:rsidDel="000062C0">
        <w:t xml:space="preserve"> </w:t>
      </w:r>
      <w:r>
        <w:t xml:space="preserve">. See AusNet Transmission Group Pty Ltd, </w:t>
      </w:r>
      <w:r w:rsidRPr="0047386D">
        <w:rPr>
          <w:i/>
        </w:rPr>
        <w:t>Transmission Revenue Review 2017</w:t>
      </w:r>
      <w:r w:rsidRPr="0047386D">
        <w:rPr>
          <w:rFonts w:cs="Arial"/>
          <w:i/>
        </w:rPr>
        <w:t>–</w:t>
      </w:r>
      <w:r w:rsidRPr="0047386D">
        <w:rPr>
          <w:i/>
        </w:rPr>
        <w:t>2022 regulatory proposal</w:t>
      </w:r>
      <w:r>
        <w:t>, 30 October 2015, p. 275.</w:t>
      </w:r>
    </w:p>
  </w:footnote>
  <w:footnote w:id="1489">
    <w:p w:rsidR="002D334E" w:rsidRDefault="002D334E" w:rsidP="00A870A6">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1490">
    <w:p w:rsidR="002D334E" w:rsidRDefault="002D334E" w:rsidP="00A870A6">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1491">
    <w:p w:rsidR="002D334E" w:rsidRDefault="002D334E" w:rsidP="00A870A6">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1492">
    <w:p w:rsidR="002D334E" w:rsidRDefault="002D334E" w:rsidP="00A870A6">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1493">
    <w:p w:rsidR="002D334E" w:rsidRDefault="002D334E" w:rsidP="00A870A6">
      <w:pPr>
        <w:pStyle w:val="FootnoteText"/>
      </w:pPr>
      <w:r>
        <w:rPr>
          <w:rStyle w:val="FootnoteReference"/>
        </w:rPr>
        <w:footnoteRef/>
      </w:r>
      <w:r>
        <w:t xml:space="preserve"> </w:t>
      </w:r>
      <w:r>
        <w:tab/>
        <w:t xml:space="preserve">AusNet Services, </w:t>
      </w:r>
      <w:r>
        <w:rPr>
          <w:rStyle w:val="Emphasis"/>
        </w:rPr>
        <w:t>Nominated debt averaging periods for AusNet Services’ 2017</w:t>
      </w:r>
      <w:r>
        <w:rPr>
          <w:rStyle w:val="Emphasis"/>
          <w:rFonts w:cs="Arial"/>
        </w:rPr>
        <w:t>–</w:t>
      </w:r>
      <w:r>
        <w:rPr>
          <w:rStyle w:val="Emphasis"/>
        </w:rPr>
        <w:t xml:space="preserve">22 transmission revenue reset, </w:t>
      </w:r>
      <w:r>
        <w:t xml:space="preserve">, 2 June 2016; AusNet Services, </w:t>
      </w:r>
      <w:r w:rsidRPr="00AC04F4">
        <w:rPr>
          <w:i/>
        </w:rPr>
        <w:t>Transmission revenue review, Appendix 10I: Averaging period letter (Confidential)</w:t>
      </w:r>
      <w:r>
        <w:t xml:space="preserve">, 30 October 2015. </w:t>
      </w:r>
    </w:p>
  </w:footnote>
  <w:footnote w:id="1494">
    <w:p w:rsidR="002D334E" w:rsidRDefault="002D334E" w:rsidP="00A870A6">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1495">
    <w:p w:rsidR="002D334E" w:rsidRDefault="002D334E" w:rsidP="00A870A6">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1496">
    <w:p w:rsidR="002D334E" w:rsidRDefault="002D334E" w:rsidP="00A870A6">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1497">
    <w:p w:rsidR="002D334E" w:rsidRDefault="002D334E" w:rsidP="00A870A6">
      <w:pPr>
        <w:pStyle w:val="FootnoteText"/>
      </w:pPr>
      <w:r>
        <w:rPr>
          <w:rStyle w:val="FootnoteReference"/>
        </w:rPr>
        <w:footnoteRef/>
      </w:r>
      <w:r>
        <w:t xml:space="preserve"> </w:t>
      </w:r>
      <w:r>
        <w:tab/>
        <w:t>A further possible constraint on the start date is that</w:t>
      </w:r>
      <w:r w:rsidRPr="00D76D56">
        <w:t>, as set out in the previous section, one of our conditions is at the time it is nominated all dates in the averaging period must take place in the future.</w:t>
      </w:r>
    </w:p>
  </w:footnote>
  <w:footnote w:id="1498">
    <w:p w:rsidR="002D334E" w:rsidRDefault="002D334E" w:rsidP="00A870A6">
      <w:pPr>
        <w:pStyle w:val="FootnoteText"/>
      </w:pPr>
      <w:r>
        <w:rPr>
          <w:rStyle w:val="FootnoteReference"/>
        </w:rPr>
        <w:footnoteRef/>
      </w:r>
      <w:r>
        <w:t xml:space="preserve"> </w:t>
      </w:r>
      <w:r>
        <w:tab/>
        <w:t xml:space="preserve">The RBA publishes its month end data on the third day of the following month. We consider the 6th business day of February will allow us to finalise our required calculations to inform AusNet of their debt allowance outcomes.  </w:t>
      </w:r>
    </w:p>
  </w:footnote>
  <w:footnote w:id="1499">
    <w:p w:rsidR="002D334E" w:rsidRDefault="002D334E" w:rsidP="00A870A6">
      <w:pPr>
        <w:pStyle w:val="FootnoteText"/>
      </w:pPr>
      <w:r>
        <w:rPr>
          <w:rStyle w:val="FootnoteReference"/>
        </w:rPr>
        <w:footnoteRef/>
      </w:r>
      <w:r>
        <w:t xml:space="preserve"> </w:t>
      </w:r>
      <w:r>
        <w:tab/>
      </w:r>
      <w:r w:rsidRPr="00AB7FB7">
        <w:t xml:space="preserve">See for example AER, </w:t>
      </w:r>
      <w:r w:rsidRPr="00AB7FB7">
        <w:rPr>
          <w:rStyle w:val="AERtextitalic"/>
        </w:rPr>
        <w:t>Final decision, TransGrid transmission determination, Attachment 3</w:t>
      </w:r>
      <w:r w:rsidRPr="00AB7FB7">
        <w:t>, April 2015.</w:t>
      </w:r>
    </w:p>
  </w:footnote>
  <w:footnote w:id="1500">
    <w:p w:rsidR="002D334E" w:rsidRDefault="002D334E" w:rsidP="00A870A6">
      <w:pPr>
        <w:pStyle w:val="FootnoteText"/>
      </w:pPr>
      <w:r>
        <w:rPr>
          <w:rStyle w:val="FootnoteReference"/>
        </w:rPr>
        <w:footnoteRef/>
      </w:r>
      <w:r>
        <w:t xml:space="preserve"> </w:t>
      </w:r>
      <w:r w:rsidRPr="00A3151D">
        <w:tab/>
        <w:t>Cl. 6A.24.2(b) and (c) of the NER.</w:t>
      </w:r>
    </w:p>
  </w:footnote>
  <w:footnote w:id="1501">
    <w:p w:rsidR="002D334E" w:rsidRDefault="002D334E" w:rsidP="00A870A6">
      <w:pPr>
        <w:pStyle w:val="FootnoteText"/>
      </w:pPr>
      <w:r>
        <w:rPr>
          <w:rStyle w:val="FootnoteReference"/>
        </w:rPr>
        <w:footnoteRef/>
      </w:r>
      <w:r>
        <w:t xml:space="preserve"> </w:t>
      </w:r>
      <w:r>
        <w:tab/>
        <w:t>AusNet Services, email to the Australian Energy Regulator, received 16:30 on 17 June 2016.</w:t>
      </w:r>
    </w:p>
  </w:footnote>
  <w:footnote w:id="1502">
    <w:p w:rsidR="002D334E" w:rsidRDefault="002D334E" w:rsidP="00A870A6">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503">
    <w:p w:rsidR="002D334E" w:rsidRDefault="002D334E">
      <w:pPr>
        <w:pStyle w:val="FootnoteText"/>
      </w:pPr>
      <w:r>
        <w:rPr>
          <w:rStyle w:val="FootnoteReference"/>
        </w:rPr>
        <w:footnoteRef/>
      </w:r>
      <w:r>
        <w:t xml:space="preserve"> </w:t>
      </w:r>
      <w:r>
        <w:tab/>
        <w:t>With a similar degree of risk as that which applies to the service provider in the provsion of regulated energy network services.</w:t>
      </w:r>
    </w:p>
  </w:footnote>
  <w:footnote w:id="1504">
    <w:p w:rsidR="002D334E" w:rsidRDefault="002D334E" w:rsidP="00C93468">
      <w:pPr>
        <w:pStyle w:val="FootnoteText"/>
      </w:pPr>
      <w:r>
        <w:rPr>
          <w:rStyle w:val="FootnoteReference"/>
        </w:rPr>
        <w:footnoteRef/>
      </w:r>
      <w:r>
        <w:t xml:space="preserve"> </w:t>
      </w:r>
      <w:r>
        <w:tab/>
      </w:r>
      <w:r w:rsidRPr="00844BA4">
        <w:t>Peter Tulip and Stephanie Wallace (2012), ‘Estimates of Uncertainty around the RBA’s Forecasts’, RBA Research Discussion Paper – November 2012, RDP2012-07, p. 2</w:t>
      </w:r>
      <w:r>
        <w:t>.</w:t>
      </w:r>
    </w:p>
  </w:footnote>
  <w:footnote w:id="1505">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506">
    <w:p w:rsidR="002D334E" w:rsidRDefault="002D334E" w:rsidP="00C93468">
      <w:pPr>
        <w:pStyle w:val="FootnoteText"/>
      </w:pPr>
      <w:r>
        <w:rPr>
          <w:rStyle w:val="FootnoteReference"/>
        </w:rPr>
        <w:footnoteRef/>
      </w:r>
      <w:r>
        <w:t xml:space="preserve"> </w:t>
      </w:r>
      <w:r>
        <w:tab/>
      </w:r>
      <w:r w:rsidRPr="00844BA4">
        <w:t>George Tawadros (2013), ‘The information content of the Reserve Bank of Australia’s inflation forecasts’, Applied Economics, 45, pp. 623-628</w:t>
      </w:r>
      <w:r>
        <w:t>.</w:t>
      </w:r>
    </w:p>
  </w:footnote>
  <w:footnote w:id="1507">
    <w:p w:rsidR="002D334E" w:rsidRDefault="002D334E" w:rsidP="00C93468">
      <w:pPr>
        <w:pStyle w:val="FootnoteText"/>
      </w:pPr>
      <w:r>
        <w:rPr>
          <w:rStyle w:val="FootnoteReference"/>
        </w:rPr>
        <w:footnoteRef/>
      </w:r>
      <w:r>
        <w:t xml:space="preserve"> </w:t>
      </w:r>
      <w:r>
        <w:tab/>
        <w:t>A</w:t>
      </w:r>
      <w:r w:rsidRPr="007E2BD9">
        <w:t>t the 10 year horizon or any other horizon</w:t>
      </w:r>
      <w:r>
        <w:t>.</w:t>
      </w:r>
    </w:p>
  </w:footnote>
  <w:footnote w:id="1508">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509">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 181.</w:t>
      </w:r>
    </w:p>
  </w:footnote>
  <w:footnote w:id="1510">
    <w:p w:rsidR="002D334E" w:rsidRPr="004570A2" w:rsidRDefault="002D334E" w:rsidP="00C93468">
      <w:pPr>
        <w:pStyle w:val="FootnoteText"/>
      </w:pPr>
      <w:r w:rsidRPr="004570A2">
        <w:rPr>
          <w:rStyle w:val="FootnoteReference"/>
          <w:sz w:val="17"/>
          <w:szCs w:val="17"/>
        </w:rPr>
        <w:footnoteRef/>
      </w:r>
      <w:r w:rsidRPr="004570A2">
        <w:t xml:space="preserve"> </w:t>
      </w:r>
      <w:r>
        <w:tab/>
      </w:r>
      <w:r w:rsidRPr="00144E03">
        <w:t>Richard Finlay and Sebastian Wende (2011), ‘Estimating Inflation Expectations with a Limited Number of Inflation-indexed Bonds’, Research Discussion Paper, Reserve Bank of Australia, RDP 2011-01, March, pp. 1-35</w:t>
      </w:r>
    </w:p>
  </w:footnote>
  <w:footnote w:id="1511">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215774">
        <w:t xml:space="preserve"> September 2016, p</w:t>
      </w:r>
      <w:r>
        <w:t>p. 12–14, 22–26.</w:t>
      </w:r>
    </w:p>
  </w:footnote>
  <w:footnote w:id="1512">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13–14, 22–26.</w:t>
      </w:r>
    </w:p>
  </w:footnote>
  <w:footnote w:id="1513">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514">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26–27.</w:t>
      </w:r>
    </w:p>
  </w:footnote>
  <w:footnote w:id="1515">
    <w:p w:rsidR="002D334E" w:rsidRDefault="002D334E" w:rsidP="00C93468">
      <w:pPr>
        <w:pStyle w:val="FootnoteText"/>
      </w:pPr>
      <w:r>
        <w:rPr>
          <w:rStyle w:val="FootnoteReference"/>
        </w:rPr>
        <w:footnoteRef/>
      </w:r>
      <w:r>
        <w:t xml:space="preserve"> </w:t>
      </w:r>
      <w:r>
        <w:tab/>
        <w:t xml:space="preserve">For example, see: RBA, </w:t>
      </w:r>
      <w:r w:rsidRPr="002C766C">
        <w:rPr>
          <w:rStyle w:val="AERtextitalic"/>
        </w:rPr>
        <w:t>Statement on Monetary Policy</w:t>
      </w:r>
      <w:r>
        <w:t>, February 2017, pp. 56-62.</w:t>
      </w:r>
    </w:p>
  </w:footnote>
  <w:footnote w:id="1516">
    <w:p w:rsidR="002D334E" w:rsidRDefault="002D334E" w:rsidP="00C93468">
      <w:pPr>
        <w:pStyle w:val="FootnoteText"/>
      </w:pPr>
      <w:r>
        <w:rPr>
          <w:rStyle w:val="FootnoteReference"/>
        </w:rPr>
        <w:footnoteRef/>
      </w:r>
      <w:r>
        <w:t xml:space="preserve"> </w:t>
      </w:r>
      <w:r>
        <w:tab/>
        <w:t xml:space="preserve">CEG’s cites RBA statements and statements made by mainstream media </w:t>
      </w:r>
      <w:r w:rsidRPr="00DB16EC">
        <w:t>as evidence of an asymmetric distribution – neither which make reference to a skewed distribution of market-anticipated inflation outcomes</w:t>
      </w:r>
      <w:r>
        <w:t xml:space="preserve"> [CEG, </w:t>
      </w:r>
      <w:r w:rsidRPr="00A51CD5">
        <w:rPr>
          <w:rStyle w:val="AERtextitalic"/>
        </w:rPr>
        <w:t>Best Estimate of Expected Inflation</w:t>
      </w:r>
      <w:r>
        <w:t>,</w:t>
      </w:r>
      <w:r w:rsidRPr="00215774">
        <w:t xml:space="preserve"> September 2016</w:t>
      </w:r>
      <w:r>
        <w:t>, pp. 23-26]</w:t>
      </w:r>
      <w:r w:rsidRPr="00DB16EC">
        <w:t>. CEG cites the IMF which makes reference to the higher likelihood of weaker downside outcomes for world economic growth but in the passages cited no reference is made to anticipated inflation outcomes for Australia</w:t>
      </w:r>
      <w:r>
        <w:t xml:space="preserve"> [CEG, </w:t>
      </w:r>
      <w:r w:rsidRPr="00A51CD5">
        <w:rPr>
          <w:rStyle w:val="AERtextitalic"/>
        </w:rPr>
        <w:t>Best Estimate of Expected Inflation</w:t>
      </w:r>
      <w:r>
        <w:t>,</w:t>
      </w:r>
      <w:r w:rsidRPr="00215774">
        <w:t xml:space="preserve"> September 2016</w:t>
      </w:r>
      <w:r>
        <w:t>, p. 25]</w:t>
      </w:r>
      <w:r w:rsidRPr="00DB16EC">
        <w:t>.</w:t>
      </w:r>
    </w:p>
  </w:footnote>
  <w:footnote w:id="1517">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12.</w:t>
      </w:r>
    </w:p>
  </w:footnote>
  <w:footnote w:id="1518">
    <w:p w:rsidR="002D334E" w:rsidRDefault="002D334E" w:rsidP="00C93468">
      <w:pPr>
        <w:pStyle w:val="FootnoteText"/>
      </w:pPr>
      <w:r>
        <w:rPr>
          <w:rStyle w:val="FootnoteReference"/>
        </w:rPr>
        <w:footnoteRef/>
      </w:r>
      <w:r>
        <w:t xml:space="preserve"> </w:t>
      </w:r>
      <w:r>
        <w:tab/>
      </w:r>
      <w:r w:rsidRPr="00144E03">
        <w:t>Matthias Fleckenstein, Francis Longstaff and Hanno Lustig (2014), ‘The TIPS-Treasury Bonds Puzzle’, The Journal of Finance, 69(5), October, pp. 2168-2171.</w:t>
      </w:r>
    </w:p>
  </w:footnote>
  <w:footnote w:id="1519">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520">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 September 2016,</w:t>
      </w:r>
      <w:r w:rsidRPr="00215774">
        <w:t xml:space="preserve"> p</w:t>
      </w:r>
      <w:r>
        <w:t>p. 13–17.</w:t>
      </w:r>
    </w:p>
  </w:footnote>
  <w:footnote w:id="1521">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17.</w:t>
      </w:r>
    </w:p>
  </w:footnote>
  <w:footnote w:id="1522">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22–23.</w:t>
      </w:r>
    </w:p>
  </w:footnote>
  <w:footnote w:id="1523">
    <w:p w:rsidR="002D334E" w:rsidRDefault="002D334E" w:rsidP="00C93468">
      <w:pPr>
        <w:pStyle w:val="FootnoteText"/>
      </w:pPr>
      <w:r>
        <w:rPr>
          <w:rStyle w:val="FootnoteReference"/>
        </w:rPr>
        <w:footnoteRef/>
      </w:r>
      <w:r>
        <w:t xml:space="preserve"> </w:t>
      </w:r>
      <w:r>
        <w:tab/>
        <w:t xml:space="preserve">See: </w:t>
      </w:r>
      <w:r w:rsidRPr="00EC25CF">
        <w:t>http://www.rba.gov.au/statistics/cash-rate/</w:t>
      </w:r>
    </w:p>
  </w:footnote>
  <w:footnote w:id="1524">
    <w:p w:rsidR="002D334E" w:rsidRDefault="002D334E" w:rsidP="00C93468">
      <w:pPr>
        <w:pStyle w:val="FootnoteText"/>
      </w:pPr>
      <w:r>
        <w:rPr>
          <w:rStyle w:val="FootnoteReference"/>
        </w:rPr>
        <w:footnoteRef/>
      </w:r>
      <w:r>
        <w:t xml:space="preserve"> </w:t>
      </w:r>
      <w:r>
        <w:tab/>
        <w:t xml:space="preserve">See: </w:t>
      </w:r>
      <w:hyperlink r:id="rId28" w:history="1">
        <w:r w:rsidRPr="00722CCC">
          <w:rPr>
            <w:rStyle w:val="Hyperlink"/>
            <w:sz w:val="16"/>
          </w:rPr>
          <w:t>http://www.ecb.europa.eu/stats/policy_and_exchange_rates/key_ecb_interest_rates/html/index.en.html</w:t>
        </w:r>
      </w:hyperlink>
      <w:r>
        <w:t xml:space="preserve">; </w:t>
      </w:r>
      <w:r w:rsidRPr="00CA4110">
        <w:t>Bloomberg Markets</w:t>
      </w:r>
      <w:r>
        <w:t>,</w:t>
      </w:r>
      <w:r w:rsidRPr="00CA4110">
        <w:t xml:space="preserve"> </w:t>
      </w:r>
      <w:r w:rsidRPr="00CA4110">
        <w:rPr>
          <w:rStyle w:val="AERtextitalic"/>
        </w:rPr>
        <w:t>BOJ Maintains Policy Rate at -0.1 Percent</w:t>
      </w:r>
      <w:r>
        <w:t xml:space="preserve">, 15 March 2017; </w:t>
      </w:r>
      <w:hyperlink r:id="rId29" w:history="1">
        <w:r w:rsidRPr="00722CCC">
          <w:rPr>
            <w:rStyle w:val="Hyperlink"/>
            <w:sz w:val="16"/>
          </w:rPr>
          <w:t>https://www.snb.ch/en/iabout/stat/statpub/zidea/id/current_interest_exchange_rates</w:t>
        </w:r>
      </w:hyperlink>
      <w:r>
        <w:t xml:space="preserve">; Wienberg, </w:t>
      </w:r>
      <w:r w:rsidRPr="00CA4110">
        <w:rPr>
          <w:rStyle w:val="AERtextitalic"/>
        </w:rPr>
        <w:t>Speculators Seen Driving Denmark to Test World’s Lowest Rate</w:t>
      </w:r>
      <w:r>
        <w:t>, Bloomberg News 12 February 2015.</w:t>
      </w:r>
    </w:p>
  </w:footnote>
  <w:footnote w:id="1525">
    <w:p w:rsidR="002D334E" w:rsidRDefault="002D334E" w:rsidP="00C93468">
      <w:pPr>
        <w:pStyle w:val="FootnoteText"/>
      </w:pPr>
      <w:r>
        <w:rPr>
          <w:rStyle w:val="FootnoteReference"/>
        </w:rPr>
        <w:footnoteRef/>
      </w:r>
      <w:r>
        <w:t xml:space="preserve"> </w:t>
      </w:r>
      <w:r>
        <w:tab/>
        <w:t>This was also noted by the CCP. The CCP also submitted that, with regards to quantitative easing, "that would make the use of bond yields to forecast inflation somewhat circular - bonds would be the measure as well as the tool wielded by Government to affect the measure" [CCP, Response to AusNet Services Revised Revenue Proposal for 2017-2022, October 2016, p.18].</w:t>
      </w:r>
    </w:p>
  </w:footnote>
  <w:footnote w:id="1526">
    <w:p w:rsidR="002D334E" w:rsidRDefault="002D334E" w:rsidP="00C93468">
      <w:pPr>
        <w:pStyle w:val="FootnoteText"/>
      </w:pPr>
      <w:r>
        <w:rPr>
          <w:rStyle w:val="FootnoteReference"/>
        </w:rPr>
        <w:footnoteRef/>
      </w:r>
      <w:r>
        <w:t xml:space="preserve"> </w:t>
      </w:r>
      <w:r>
        <w:tab/>
        <w:t>RBA Bulletin, Measures of Inflation Expectations in Australia, December 2016.</w:t>
      </w:r>
    </w:p>
  </w:footnote>
  <w:footnote w:id="1527">
    <w:p w:rsidR="002D334E" w:rsidRDefault="002D334E" w:rsidP="00C93468">
      <w:pPr>
        <w:pStyle w:val="FootnoteText"/>
      </w:pPr>
      <w:r>
        <w:rPr>
          <w:rStyle w:val="FootnoteReference"/>
        </w:rPr>
        <w:footnoteRef/>
      </w:r>
      <w:r>
        <w:t xml:space="preserve"> </w:t>
      </w:r>
      <w:r>
        <w:tab/>
        <w:t xml:space="preserve">Australia began inflation rate targeting in 1993. See: Bernie Fraser, </w:t>
      </w:r>
      <w:r w:rsidRPr="00202883">
        <w:rPr>
          <w:rStyle w:val="AERtextitalic"/>
        </w:rPr>
        <w:t>Two Perspectives on Monetary Policy</w:t>
      </w:r>
      <w:r>
        <w:t xml:space="preserve">, Talk to a conference in honour of Don Sanders, Sydney, 17 August 1992; and Bernie Fraser, </w:t>
      </w:r>
      <w:r w:rsidRPr="00202883">
        <w:rPr>
          <w:rStyle w:val="AERtextitalic"/>
        </w:rPr>
        <w:t>Some Aspects of Monetary Policy</w:t>
      </w:r>
      <w:r>
        <w:t>, Talk to Australian Business Economists, Sydney, 31 March 1993.</w:t>
      </w:r>
    </w:p>
  </w:footnote>
  <w:footnote w:id="1528">
    <w:p w:rsidR="002D334E" w:rsidRDefault="002D334E" w:rsidP="00C93468">
      <w:pPr>
        <w:pStyle w:val="FootnoteText"/>
      </w:pPr>
      <w:r>
        <w:rPr>
          <w:rStyle w:val="FootnoteReference"/>
        </w:rPr>
        <w:footnoteRef/>
      </w:r>
      <w:r>
        <w:t xml:space="preserve"> </w:t>
      </w:r>
      <w:r>
        <w:tab/>
        <w:t xml:space="preserve">RBA, </w:t>
      </w:r>
      <w:r w:rsidRPr="00086267">
        <w:rPr>
          <w:i/>
        </w:rPr>
        <w:t>Inflation and Monetary Policy</w:t>
      </w:r>
      <w:r>
        <w:t>, speech by Philip Lowe, 18 October 2016.</w:t>
      </w:r>
    </w:p>
  </w:footnote>
  <w:footnote w:id="1529">
    <w:p w:rsidR="002D334E" w:rsidRPr="00984B33" w:rsidRDefault="002D334E" w:rsidP="00C93468">
      <w:pPr>
        <w:pStyle w:val="FootnoteText"/>
      </w:pPr>
      <w:r>
        <w:rPr>
          <w:rStyle w:val="FootnoteReference"/>
        </w:rPr>
        <w:footnoteRef/>
      </w:r>
      <w:r>
        <w:t xml:space="preserve"> </w:t>
      </w:r>
      <w:r>
        <w:tab/>
        <w:t xml:space="preserve">See </w:t>
      </w:r>
      <w:hyperlink r:id="rId30" w:history="1">
        <w:r w:rsidRPr="00984B33">
          <w:rPr>
            <w:rStyle w:val="Hyperlink"/>
            <w:color w:val="auto"/>
            <w:sz w:val="16"/>
            <w:u w:val="none"/>
          </w:rPr>
          <w:t>https://www.ft.com/content/2bd40fd7-6c27-3f79-9759-d109425cab6d</w:t>
        </w:r>
      </w:hyperlink>
      <w:r w:rsidRPr="00202883">
        <w:rPr>
          <w:rStyle w:val="Hyperlink"/>
          <w:color w:val="auto"/>
          <w:sz w:val="16"/>
          <w:u w:val="none"/>
        </w:rPr>
        <w:t>; and</w:t>
      </w:r>
      <w:r w:rsidRPr="00984B33">
        <w:t xml:space="preserve"> </w:t>
      </w:r>
      <w:hyperlink r:id="rId31" w:history="1">
        <w:r w:rsidRPr="00984B33">
          <w:rPr>
            <w:rStyle w:val="Hyperlink"/>
            <w:color w:val="auto"/>
            <w:sz w:val="16"/>
            <w:u w:val="none"/>
          </w:rPr>
          <w:t>https://www.bloomberg.com/news/articles/2016-08-10/norway-inflation-surge-casts-doubt-over-more-interest-rate-cuts</w:t>
        </w:r>
      </w:hyperlink>
      <w:r w:rsidRPr="00984B33">
        <w:rPr>
          <w:rStyle w:val="Hyperlink"/>
          <w:color w:val="auto"/>
          <w:sz w:val="16"/>
          <w:u w:val="none"/>
        </w:rPr>
        <w:t xml:space="preserve"> as </w:t>
      </w:r>
    </w:p>
  </w:footnote>
  <w:footnote w:id="1530">
    <w:p w:rsidR="002D334E" w:rsidRDefault="002D334E" w:rsidP="00C93468">
      <w:pPr>
        <w:pStyle w:val="FootnoteText"/>
      </w:pPr>
      <w:r>
        <w:rPr>
          <w:rStyle w:val="FootnoteReference"/>
        </w:rPr>
        <w:footnoteRef/>
      </w:r>
      <w:r>
        <w:t xml:space="preserve"> </w:t>
      </w:r>
      <w:r>
        <w:tab/>
        <w:t xml:space="preserve">Bureau of Labor Statistics, </w:t>
      </w:r>
      <w:r w:rsidRPr="00B0612B">
        <w:rPr>
          <w:rStyle w:val="AERtextitalic"/>
        </w:rPr>
        <w:t>CPI Detailed Report - Data for February 2017</w:t>
      </w:r>
      <w:r>
        <w:t xml:space="preserve">; US Federal Reserve, </w:t>
      </w:r>
      <w:r w:rsidRPr="00B0612B">
        <w:rPr>
          <w:rStyle w:val="AERtextitalic"/>
        </w:rPr>
        <w:t>Why does the Federal Reserve aim for 2 percent inflation over time?</w:t>
      </w:r>
      <w:r>
        <w:t>, 26 January 2015.</w:t>
      </w:r>
    </w:p>
  </w:footnote>
  <w:footnote w:id="1531">
    <w:p w:rsidR="002D334E" w:rsidRDefault="002D334E" w:rsidP="00C93468">
      <w:pPr>
        <w:pStyle w:val="FootnoteText"/>
      </w:pPr>
      <w:r>
        <w:rPr>
          <w:rStyle w:val="FootnoteReference"/>
        </w:rPr>
        <w:footnoteRef/>
      </w:r>
      <w:r>
        <w:t xml:space="preserve"> </w:t>
      </w:r>
      <w:r>
        <w:tab/>
        <w:t xml:space="preserve">Office of National Statistics, </w:t>
      </w:r>
      <w:r w:rsidRPr="00C12163">
        <w:rPr>
          <w:rStyle w:val="AERtextitalic"/>
        </w:rPr>
        <w:t>CPIH: % change over 12 months</w:t>
      </w:r>
      <w:r>
        <w:t>, 21 March 2017; Phillip Hammond (</w:t>
      </w:r>
      <w:hyperlink r:id="rId32" w:history="1">
        <w:r w:rsidRPr="00C12163">
          <w:t>Chancellor of the Exchequer</w:t>
        </w:r>
      </w:hyperlink>
      <w:r>
        <w:t xml:space="preserve">), </w:t>
      </w:r>
      <w:r w:rsidRPr="00C12163">
        <w:rPr>
          <w:rStyle w:val="AERtextitalic"/>
        </w:rPr>
        <w:t>Remit for the monetary policy committee</w:t>
      </w:r>
      <w:r>
        <w:t>, 8 March 2017.</w:t>
      </w:r>
    </w:p>
  </w:footnote>
  <w:footnote w:id="1532">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 xml:space="preserve">5; AusNet Transmission Group Pty Ltd, </w:t>
      </w:r>
      <w:r w:rsidRPr="00A51CD5">
        <w:rPr>
          <w:rStyle w:val="AERtextitalic"/>
        </w:rPr>
        <w:t>Transmission Revenue Review 2017-2022 Revised Revenue Proposal</w:t>
      </w:r>
      <w:r>
        <w:t>, 21 September 2016, pp. 179, 188–191.</w:t>
      </w:r>
    </w:p>
  </w:footnote>
  <w:footnote w:id="1533">
    <w:p w:rsidR="002D334E" w:rsidRDefault="002D334E" w:rsidP="00C93468">
      <w:pPr>
        <w:pStyle w:val="FootnoteText"/>
      </w:pPr>
      <w:r>
        <w:rPr>
          <w:rStyle w:val="FootnoteReference"/>
        </w:rPr>
        <w:footnoteRef/>
      </w:r>
      <w:r>
        <w:t xml:space="preserve"> </w:t>
      </w:r>
      <w:r>
        <w:tab/>
        <w:t xml:space="preserve">AusNet Services, </w:t>
      </w:r>
      <w:r w:rsidRPr="004E26A9">
        <w:rPr>
          <w:rStyle w:val="AERtextitalic"/>
        </w:rPr>
        <w:t>Submission on Revised Proposal</w:t>
      </w:r>
      <w:r>
        <w:t>, 19 October 2016, p. 4.</w:t>
      </w:r>
    </w:p>
  </w:footnote>
  <w:footnote w:id="1534">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5.</w:t>
      </w:r>
    </w:p>
  </w:footnote>
  <w:footnote w:id="1535">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536">
    <w:p w:rsidR="002D334E" w:rsidRDefault="002D334E" w:rsidP="00C93468">
      <w:pPr>
        <w:pStyle w:val="FootnoteText"/>
      </w:pPr>
      <w:r>
        <w:rPr>
          <w:rStyle w:val="FootnoteReference"/>
        </w:rPr>
        <w:footnoteRef/>
      </w:r>
      <w:r>
        <w:t xml:space="preserve"> </w:t>
      </w:r>
      <w:r>
        <w:tab/>
        <w:t>In the draft decision, our nominal risk free rate estimate was 2.57 per cent and our inflation estimate was 2.44 per cent, implying a positive real risk free rate of 0.13 per cent. In this final decision, our nominal risk free rate estimate is 2.52 per cent and our inflation estimate is 2.40 per cent, implying real risk free rate estimate of 0.12 per cent.</w:t>
      </w:r>
    </w:p>
  </w:footnote>
  <w:footnote w:id="1537">
    <w:p w:rsidR="002D334E" w:rsidRDefault="002D334E" w:rsidP="00C93468">
      <w:pPr>
        <w:pStyle w:val="FootnoteText"/>
      </w:pPr>
      <w:r>
        <w:rPr>
          <w:rStyle w:val="FootnoteReference"/>
        </w:rPr>
        <w:footnoteRef/>
      </w:r>
      <w:r>
        <w:t xml:space="preserve"> </w:t>
      </w:r>
      <w:r>
        <w:tab/>
        <w:t xml:space="preserve">See Table 3 in Mathysen, </w:t>
      </w:r>
      <w:r w:rsidRPr="009B20F9">
        <w:rPr>
          <w:rStyle w:val="AERtextitalic"/>
        </w:rPr>
        <w:t>Best estimates of expected inflation: a comparative assessment of four methods</w:t>
      </w:r>
      <w:r>
        <w:t>, ACCC Working Paper # 11, April 2017.. D'Amico, Kim, and Wei (2016) found liquidity premia in the US of up to 300 basis points during the GFC. Liu et al (2015) found liquidity premium in the UK between 2009 and 2013 averaged -30 basis points.</w:t>
      </w:r>
    </w:p>
  </w:footnote>
  <w:footnote w:id="1538">
    <w:p w:rsidR="002D334E" w:rsidRDefault="002D334E" w:rsidP="00C93468">
      <w:pPr>
        <w:pStyle w:val="FootnoteText"/>
      </w:pPr>
      <w:r>
        <w:rPr>
          <w:rStyle w:val="FootnoteReference"/>
        </w:rPr>
        <w:footnoteRef/>
      </w:r>
      <w:r>
        <w:t xml:space="preserve"> </w:t>
      </w:r>
      <w:r>
        <w:tab/>
        <w:t>Based on a 20 day average of the yield on indexed CGS with a 10-year term to maturity, and using our return on equity risk free rate averaging period.</w:t>
      </w:r>
    </w:p>
  </w:footnote>
  <w:footnote w:id="1539">
    <w:p w:rsidR="002D334E" w:rsidRDefault="002D334E" w:rsidP="00C93468">
      <w:pPr>
        <w:pStyle w:val="FootnoteText"/>
      </w:pPr>
      <w:r>
        <w:rPr>
          <w:rStyle w:val="FootnoteReference"/>
        </w:rPr>
        <w:footnoteRef/>
      </w:r>
      <w:r>
        <w:t xml:space="preserve"> </w:t>
      </w:r>
      <w:r>
        <w:tab/>
        <w:t>We acknowledge that, while investors have the option of investing in cash, large negative rates may not be likely without deflation.</w:t>
      </w:r>
    </w:p>
  </w:footnote>
  <w:footnote w:id="1540">
    <w:p w:rsidR="002D334E" w:rsidRDefault="002D334E" w:rsidP="00C93468">
      <w:pPr>
        <w:pStyle w:val="FootnoteText"/>
      </w:pPr>
      <w:r>
        <w:rPr>
          <w:rStyle w:val="FootnoteReference"/>
        </w:rPr>
        <w:footnoteRef/>
      </w:r>
      <w:r>
        <w:t xml:space="preserve"> </w:t>
      </w:r>
      <w:r>
        <w:tab/>
        <w:t xml:space="preserve">CCP, </w:t>
      </w:r>
      <w:r w:rsidRPr="002656D9">
        <w:rPr>
          <w:rStyle w:val="Emphasis"/>
        </w:rPr>
        <w:t>Response to AusNet Services Revised Revenue Proposal for 2017-2022</w:t>
      </w:r>
      <w:r>
        <w:t>, October 2016, p.17.</w:t>
      </w:r>
    </w:p>
  </w:footnote>
  <w:footnote w:id="1541">
    <w:p w:rsidR="002D334E" w:rsidRDefault="002D334E" w:rsidP="00C93468">
      <w:pPr>
        <w:pStyle w:val="FootnoteText"/>
      </w:pPr>
      <w:r>
        <w:rPr>
          <w:rStyle w:val="FootnoteReference"/>
        </w:rPr>
        <w:footnoteRef/>
      </w:r>
      <w:r>
        <w:t xml:space="preserve"> </w:t>
      </w:r>
      <w:r>
        <w:tab/>
        <w:t>Less a spread above the CPI rate that may be set by market markers in the swap market. The presence of this spread in the swap rate may result in swap-implied real risk free rate under-estimating the true real risk free rate. However, the yield on nominal CGS would likely include an inflation risk premium, and this premium would likely result in the swap-implied real risk free rate over-estimating the true real risk free rate (all else equal). Therefore, the net effect is unclear.</w:t>
      </w:r>
    </w:p>
  </w:footnote>
  <w:footnote w:id="1542">
    <w:p w:rsidR="002D334E" w:rsidRDefault="002D334E" w:rsidP="00C93468">
      <w:pPr>
        <w:pStyle w:val="FootnoteText"/>
      </w:pPr>
      <w:r>
        <w:rPr>
          <w:rStyle w:val="FootnoteReference"/>
        </w:rPr>
        <w:footnoteRef/>
      </w:r>
      <w:r>
        <w:t xml:space="preserve"> </w:t>
      </w:r>
      <w:r>
        <w:tab/>
        <w:t>Based on Australian 10 year inflation swaps data from the Bloomberg Professional Service (AUSWIT10).</w:t>
      </w:r>
    </w:p>
  </w:footnote>
  <w:footnote w:id="1543">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192-195.</w:t>
      </w:r>
    </w:p>
  </w:footnote>
  <w:footnote w:id="1544">
    <w:p w:rsidR="002D334E" w:rsidRDefault="002D334E" w:rsidP="00C93468">
      <w:pPr>
        <w:pStyle w:val="FootnoteText"/>
      </w:pPr>
      <w:r>
        <w:rPr>
          <w:rStyle w:val="FootnoteReference"/>
        </w:rPr>
        <w:footnoteRef/>
      </w:r>
      <w:r>
        <w:t xml:space="preserve"> </w:t>
      </w:r>
      <w:r>
        <w:tab/>
        <w:t>Rounded to one decimal place.</w:t>
      </w:r>
    </w:p>
  </w:footnote>
  <w:footnote w:id="1545">
    <w:p w:rsidR="002D334E" w:rsidRDefault="002D334E" w:rsidP="00C93468">
      <w:pPr>
        <w:pStyle w:val="FootnoteText"/>
      </w:pPr>
      <w:r>
        <w:rPr>
          <w:rStyle w:val="FootnoteReference"/>
        </w:rPr>
        <w:footnoteRef/>
      </w:r>
      <w:r>
        <w:t xml:space="preserve"> </w:t>
      </w:r>
      <w:r>
        <w:tab/>
        <w:t>Using the same estimation method and averaging periods as that used for our nominal risk free rate estimate.</w:t>
      </w:r>
    </w:p>
  </w:footnote>
  <w:footnote w:id="1546">
    <w:p w:rsidR="002D334E" w:rsidRDefault="002D334E" w:rsidP="00C93468">
      <w:pPr>
        <w:pStyle w:val="FootnoteText"/>
      </w:pPr>
      <w:r>
        <w:rPr>
          <w:rStyle w:val="FootnoteReference"/>
        </w:rPr>
        <w:footnoteRef/>
      </w:r>
      <w:r>
        <w:t xml:space="preserve"> </w:t>
      </w:r>
      <w:r>
        <w:tab/>
        <w:t>Specifically, via the Fisher equation, 3.06 = ( ( 1 + 0.0064 ) * ( 1 + 0.024 ) - 1 ) * 100.</w:t>
      </w:r>
    </w:p>
  </w:footnote>
  <w:footnote w:id="1547">
    <w:p w:rsidR="002D334E" w:rsidRDefault="002D334E" w:rsidP="00C93468">
      <w:pPr>
        <w:pStyle w:val="FootnoteText"/>
      </w:pPr>
      <w:r>
        <w:rPr>
          <w:rStyle w:val="FootnoteReference"/>
        </w:rPr>
        <w:footnoteRef/>
      </w:r>
      <w:r>
        <w:t xml:space="preserve"> </w:t>
      </w:r>
      <w:r>
        <w:tab/>
        <w:t>Specifically, 7.06 = 3.06 + 0.7 * 6.5 [this is the Sharpe-Lintner CAPM equation].</w:t>
      </w:r>
    </w:p>
  </w:footnote>
  <w:footnote w:id="1548">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549">
    <w:p w:rsidR="002D334E" w:rsidRDefault="002D334E" w:rsidP="00C93468">
      <w:pPr>
        <w:pStyle w:val="FootnoteText"/>
      </w:pPr>
      <w:r>
        <w:rPr>
          <w:rStyle w:val="FootnoteReference"/>
        </w:rPr>
        <w:footnoteRef/>
      </w:r>
      <w:r>
        <w:t xml:space="preserve"> </w:t>
      </w:r>
      <w:r>
        <w:tab/>
        <w:t xml:space="preserve">See, e.g., </w:t>
      </w:r>
      <w:r w:rsidRPr="00B22FAC">
        <w:t>Angus Moore (2016), ‘Measures of Inflation Expectations in Australia,</w:t>
      </w:r>
      <w:r w:rsidRPr="00EE45FC">
        <w:rPr>
          <w:rStyle w:val="Emphasis"/>
        </w:rPr>
        <w:t xml:space="preserve"> Reserve Bank of Australia Bulletin</w:t>
      </w:r>
      <w:r w:rsidRPr="00B22FAC">
        <w:t>, December Quarter, pp. 23</w:t>
      </w:r>
      <w:r>
        <w:t>–</w:t>
      </w:r>
      <w:r w:rsidRPr="00B22FAC">
        <w:t>31</w:t>
      </w:r>
      <w:r>
        <w:t xml:space="preserve">; </w:t>
      </w:r>
      <w:r w:rsidRPr="00AE0B65">
        <w:t>Will Devlin and Deepika Patwardhan (2012), ‘Measuring market inflation expectations’, Treasury Roundup Series, Issue 2, pp. 5</w:t>
      </w:r>
      <w:r>
        <w:t>–</w:t>
      </w:r>
      <w:r w:rsidRPr="00AE0B65">
        <w:t>17</w:t>
      </w:r>
      <w:r>
        <w:t>.</w:t>
      </w:r>
    </w:p>
  </w:footnote>
  <w:footnote w:id="1550">
    <w:p w:rsidR="002D334E" w:rsidRDefault="002D334E" w:rsidP="00C93468">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xml:space="preserve">, ACCC Working Paper # 11, April 2017, paragraph 59. </w:t>
      </w:r>
    </w:p>
  </w:footnote>
  <w:footnote w:id="1551">
    <w:p w:rsidR="002D334E" w:rsidRDefault="002D334E" w:rsidP="00C93468">
      <w:pPr>
        <w:pStyle w:val="FootnoteText"/>
      </w:pPr>
      <w:r>
        <w:rPr>
          <w:rStyle w:val="FootnoteReference"/>
        </w:rPr>
        <w:footnoteRef/>
      </w:r>
      <w:r>
        <w:t xml:space="preserve"> </w:t>
      </w:r>
      <w:r>
        <w:tab/>
        <w:t xml:space="preserve">As argued by </w:t>
      </w:r>
      <w:r w:rsidRPr="00B22FAC">
        <w:t>Carlos Zarazaga (2010), ‘The Difficult Art of Eliciting Long-Run Inflation Expectations from Government Bond Prices’, Staff Papers, Federal Reserve Bank of Dallas, No. 9, March, pp. 1</w:t>
      </w:r>
      <w:r>
        <w:t>–</w:t>
      </w:r>
      <w:r w:rsidRPr="00B22FAC">
        <w:t>53</w:t>
      </w:r>
      <w:r>
        <w:t xml:space="preserve">. </w:t>
      </w:r>
    </w:p>
  </w:footnote>
  <w:footnote w:id="1552">
    <w:p w:rsidR="002D334E" w:rsidRDefault="002D334E" w:rsidP="00C93468">
      <w:pPr>
        <w:pStyle w:val="FootnoteText"/>
      </w:pPr>
      <w:r>
        <w:rPr>
          <w:rStyle w:val="FootnoteReference"/>
        </w:rPr>
        <w:footnoteRef/>
      </w:r>
      <w:r>
        <w:t xml:space="preserve"> </w:t>
      </w:r>
      <w:r>
        <w:tab/>
      </w:r>
      <w:r w:rsidRPr="00B22FAC">
        <w:t xml:space="preserve">Mark Deacon and Andrew Derry (1994), ‘Deriving Estimates of Inflation Expectations from the Prices of UK Government Bonds’, </w:t>
      </w:r>
      <w:r w:rsidRPr="00EE45FC">
        <w:rPr>
          <w:rStyle w:val="Emphasis"/>
        </w:rPr>
        <w:t>Bank of England Working Paper</w:t>
      </w:r>
      <w:r w:rsidRPr="00B22FAC">
        <w:t>, No. 23, pp. 1</w:t>
      </w:r>
      <w:r>
        <w:t>–</w:t>
      </w:r>
      <w:r w:rsidRPr="00B22FAC">
        <w:t>52</w:t>
      </w:r>
      <w:r>
        <w:t xml:space="preserve">. </w:t>
      </w:r>
    </w:p>
  </w:footnote>
  <w:footnote w:id="1553">
    <w:p w:rsidR="002D334E" w:rsidRDefault="002D334E" w:rsidP="00C93468">
      <w:pPr>
        <w:pStyle w:val="FootnoteText"/>
      </w:pPr>
      <w:r>
        <w:rPr>
          <w:rStyle w:val="FootnoteReference"/>
        </w:rPr>
        <w:footnoteRef/>
      </w:r>
      <w:r>
        <w:t xml:space="preserve"> </w:t>
      </w:r>
      <w:r>
        <w:tab/>
        <w:t xml:space="preserve">See section </w:t>
      </w:r>
      <w:r>
        <w:fldChar w:fldCharType="begin"/>
      </w:r>
      <w:r>
        <w:instrText xml:space="preserve"> REF _Ref478559903 \r \h </w:instrText>
      </w:r>
      <w:r>
        <w:fldChar w:fldCharType="separate"/>
      </w:r>
      <w:r>
        <w:t>3.4.4.1</w:t>
      </w:r>
      <w:r>
        <w:fldChar w:fldCharType="end"/>
      </w:r>
      <w:r>
        <w:t>.</w:t>
      </w:r>
    </w:p>
  </w:footnote>
  <w:footnote w:id="1554">
    <w:p w:rsidR="002D334E" w:rsidRDefault="002D334E" w:rsidP="00C93468">
      <w:pPr>
        <w:pStyle w:val="FootnoteText"/>
      </w:pPr>
      <w:r>
        <w:rPr>
          <w:rStyle w:val="FootnoteReference"/>
        </w:rPr>
        <w:footnoteRef/>
      </w:r>
      <w:r>
        <w:t xml:space="preserve"> </w:t>
      </w:r>
      <w:r>
        <w:tab/>
        <w:t xml:space="preserve">As pointed out in Mathysen, </w:t>
      </w:r>
      <w:r w:rsidRPr="009B20F9">
        <w:rPr>
          <w:rStyle w:val="AERtextitalic"/>
        </w:rPr>
        <w:t>Best estimates of expected inflation: a comparative assessment of four methods</w:t>
      </w:r>
      <w:r>
        <w:t>, ACCC Working Paper # 11, April 2017, paragraph 212.</w:t>
      </w:r>
    </w:p>
  </w:footnote>
  <w:footnote w:id="1555">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189-190; CEG, </w:t>
      </w:r>
      <w:r w:rsidRPr="00A51CD5">
        <w:rPr>
          <w:rStyle w:val="AERtextitalic"/>
        </w:rPr>
        <w:t>Best Estimate of Expected Inflation</w:t>
      </w:r>
      <w:r>
        <w:t>,</w:t>
      </w:r>
      <w:r w:rsidRPr="00215774">
        <w:t xml:space="preserve"> September 2016</w:t>
      </w:r>
      <w:r>
        <w:t>, p. 35.</w:t>
      </w:r>
    </w:p>
  </w:footnote>
  <w:footnote w:id="1556">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41-44.</w:t>
      </w:r>
    </w:p>
  </w:footnote>
  <w:footnote w:id="1557">
    <w:p w:rsidR="002D334E" w:rsidRDefault="002D334E" w:rsidP="00C93468">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558">
    <w:p w:rsidR="002D334E" w:rsidRDefault="002D334E" w:rsidP="00C93468">
      <w:pPr>
        <w:pStyle w:val="FootnoteText"/>
      </w:pPr>
      <w:r>
        <w:rPr>
          <w:rStyle w:val="FootnoteReference"/>
        </w:rPr>
        <w:footnoteRef/>
      </w:r>
      <w:r>
        <w:t xml:space="preserve"> </w:t>
      </w:r>
      <w:r>
        <w:tab/>
      </w:r>
      <w:r>
        <w:rPr>
          <w:rFonts w:asciiTheme="minorHAnsi" w:eastAsiaTheme="minorEastAsia" w:hAnsiTheme="minorHAnsi" w:cstheme="minorHAnsi"/>
          <w:sz w:val="17"/>
          <w:szCs w:val="17"/>
        </w:rPr>
        <w:t>Olesya Grishchenko and Jing-z</w:t>
      </w:r>
      <w:r w:rsidRPr="00EE5409">
        <w:rPr>
          <w:rFonts w:asciiTheme="minorHAnsi" w:eastAsiaTheme="minorEastAsia" w:hAnsiTheme="minorHAnsi" w:cstheme="minorHAnsi"/>
          <w:sz w:val="17"/>
          <w:szCs w:val="17"/>
        </w:rPr>
        <w:t xml:space="preserve">hi Huang (2012), </w:t>
      </w:r>
      <w:r w:rsidRPr="006A4EB6">
        <w:rPr>
          <w:rStyle w:val="AERtextitalic"/>
        </w:rPr>
        <w:t>Inflation Risk Premium: Evidence from the TIPS market</w:t>
      </w:r>
      <w:r w:rsidRPr="00EE5409">
        <w:rPr>
          <w:rFonts w:asciiTheme="minorHAnsi" w:eastAsiaTheme="minorEastAsia" w:hAnsiTheme="minorHAnsi" w:cstheme="minorHAnsi"/>
          <w:sz w:val="17"/>
          <w:szCs w:val="17"/>
        </w:rPr>
        <w:t xml:space="preserve">, </w:t>
      </w:r>
      <w:r w:rsidRPr="00EE5409">
        <w:rPr>
          <w:rFonts w:asciiTheme="minorHAnsi" w:eastAsiaTheme="minorEastAsia" w:hAnsiTheme="minorHAnsi" w:cstheme="minorHAnsi"/>
          <w:i/>
          <w:sz w:val="17"/>
          <w:szCs w:val="17"/>
        </w:rPr>
        <w:t xml:space="preserve">Finance and Economics Discussion Series Divisions of Research and Statistics and Monetary Affairs, Federal Reserve Board, Washington, D.C. </w:t>
      </w:r>
      <w:r w:rsidRPr="00EE5409">
        <w:rPr>
          <w:rFonts w:asciiTheme="minorHAnsi" w:eastAsiaTheme="minorEastAsia" w:hAnsiTheme="minorHAnsi" w:cstheme="minorHAnsi"/>
          <w:sz w:val="17"/>
          <w:szCs w:val="17"/>
        </w:rPr>
        <w:t>2012-06</w:t>
      </w:r>
    </w:p>
  </w:footnote>
  <w:footnote w:id="1559">
    <w:p w:rsidR="002D334E" w:rsidRDefault="002D334E" w:rsidP="00C93468">
      <w:pPr>
        <w:pStyle w:val="FootnoteText"/>
      </w:pPr>
      <w:r>
        <w:rPr>
          <w:rStyle w:val="FootnoteReference"/>
        </w:rPr>
        <w:footnoteRef/>
      </w:r>
      <w:r>
        <w:t xml:space="preserve"> </w:t>
      </w:r>
      <w:r>
        <w:tab/>
      </w:r>
      <w:r>
        <w:rPr>
          <w:sz w:val="17"/>
          <w:szCs w:val="17"/>
        </w:rPr>
        <w:t xml:space="preserve">Andrew Ang, Geert Bekaert and Min Wei (2008), ‘The Term Structure of Real Rates and Expected Inflation’, </w:t>
      </w:r>
      <w:r w:rsidRPr="00B27352">
        <w:rPr>
          <w:i/>
          <w:sz w:val="17"/>
          <w:szCs w:val="17"/>
        </w:rPr>
        <w:t>The</w:t>
      </w:r>
      <w:r>
        <w:rPr>
          <w:sz w:val="17"/>
          <w:szCs w:val="17"/>
        </w:rPr>
        <w:t xml:space="preserve"> </w:t>
      </w:r>
      <w:r w:rsidRPr="00F869F1">
        <w:rPr>
          <w:i/>
          <w:sz w:val="17"/>
          <w:szCs w:val="17"/>
        </w:rPr>
        <w:t>Journal of Finance</w:t>
      </w:r>
      <w:r>
        <w:rPr>
          <w:sz w:val="17"/>
          <w:szCs w:val="17"/>
        </w:rPr>
        <w:t>, 63(2).</w:t>
      </w:r>
    </w:p>
  </w:footnote>
  <w:footnote w:id="1560">
    <w:p w:rsidR="002D334E" w:rsidRDefault="002D334E" w:rsidP="00C93468">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pp. 46-47.</w:t>
      </w:r>
    </w:p>
  </w:footnote>
  <w:footnote w:id="1561">
    <w:p w:rsidR="002D334E" w:rsidRDefault="002D334E" w:rsidP="00C93468">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Paras 100, 113, 118, 135, 136.</w:t>
      </w:r>
    </w:p>
  </w:footnote>
  <w:footnote w:id="1562">
    <w:p w:rsidR="002D334E" w:rsidRDefault="002D334E" w:rsidP="00C93468">
      <w:pPr>
        <w:pStyle w:val="FootnoteText"/>
      </w:pPr>
      <w:r>
        <w:rPr>
          <w:rStyle w:val="FootnoteReference"/>
        </w:rPr>
        <w:footnoteRef/>
      </w:r>
      <w:r>
        <w:t xml:space="preserve"> </w:t>
      </w:r>
      <w:r>
        <w:tab/>
      </w:r>
      <w:r w:rsidRPr="008F304E">
        <w:t>Carlos Zarazaga (2010), ‘The Difficult Art of Eliciting Long-Run Inflation Expectations from Government Bond Prices’, Staff Papers, Federal Reserve Bank of Dallas, No. 9, March, p. 38.</w:t>
      </w:r>
    </w:p>
  </w:footnote>
  <w:footnote w:id="1563">
    <w:p w:rsidR="002D334E" w:rsidRDefault="002D334E" w:rsidP="00C93468">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208(d).</w:t>
      </w:r>
    </w:p>
  </w:footnote>
  <w:footnote w:id="1564">
    <w:p w:rsidR="002D334E" w:rsidRDefault="002D334E" w:rsidP="00C93468">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212.</w:t>
      </w:r>
    </w:p>
  </w:footnote>
  <w:footnote w:id="1565">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p. 39.</w:t>
      </w:r>
    </w:p>
  </w:footnote>
  <w:footnote w:id="1566">
    <w:p w:rsidR="002D334E" w:rsidRDefault="002D334E" w:rsidP="00C93468">
      <w:pPr>
        <w:pStyle w:val="FootnoteText"/>
      </w:pPr>
      <w:r>
        <w:rPr>
          <w:rStyle w:val="FootnoteReference"/>
        </w:rPr>
        <w:footnoteRef/>
      </w:r>
      <w:r>
        <w:t xml:space="preserve"> </w:t>
      </w:r>
      <w:r>
        <w:tab/>
        <w:t>CCP, Response to AusNet Services Revised Revenue Proposal for 2017-2022, October 2016, p.16.</w:t>
      </w:r>
    </w:p>
  </w:footnote>
  <w:footnote w:id="1567">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 189; CEG, </w:t>
      </w:r>
      <w:r w:rsidRPr="00A51CD5">
        <w:rPr>
          <w:rStyle w:val="AERtextitalic"/>
        </w:rPr>
        <w:t>Best Estimate of Expected Inflation</w:t>
      </w:r>
      <w:r>
        <w:t>,</w:t>
      </w:r>
      <w:r w:rsidRPr="00215774">
        <w:t xml:space="preserve"> September 2016</w:t>
      </w:r>
      <w:r>
        <w:t>, pp. 36-37.</w:t>
      </w:r>
    </w:p>
  </w:footnote>
  <w:footnote w:id="1568">
    <w:p w:rsidR="002D334E" w:rsidRDefault="002D334E" w:rsidP="00C93468">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569">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38-39.</w:t>
      </w:r>
    </w:p>
  </w:footnote>
  <w:footnote w:id="1570">
    <w:p w:rsidR="002D334E" w:rsidRDefault="002D334E" w:rsidP="00C93468">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571">
    <w:p w:rsidR="002D334E" w:rsidRDefault="002D334E" w:rsidP="00C93468">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section  5.3.3.</w:t>
      </w:r>
    </w:p>
  </w:footnote>
  <w:footnote w:id="1572">
    <w:p w:rsidR="002D334E" w:rsidRDefault="002D334E" w:rsidP="00C93468">
      <w:pPr>
        <w:pStyle w:val="FootnoteText"/>
      </w:pPr>
      <w:r>
        <w:rPr>
          <w:rStyle w:val="FootnoteReference"/>
        </w:rPr>
        <w:footnoteRef/>
      </w:r>
      <w:r>
        <w:t xml:space="preserve"> </w:t>
      </w:r>
      <w:r>
        <w:tab/>
        <w:t xml:space="preserve">CEG, </w:t>
      </w:r>
      <w:r w:rsidRPr="00112BDF">
        <w:rPr>
          <w:rStyle w:val="AERtextitalic"/>
        </w:rPr>
        <w:t>Best estimate of expected inflation</w:t>
      </w:r>
      <w:r>
        <w:t>, September 2016, pp. 46-47.</w:t>
      </w:r>
    </w:p>
  </w:footnote>
  <w:footnote w:id="1573">
    <w:p w:rsidR="002D334E" w:rsidRDefault="002D334E" w:rsidP="00C93468">
      <w:pPr>
        <w:pStyle w:val="FootnoteText"/>
      </w:pPr>
      <w:r>
        <w:rPr>
          <w:rStyle w:val="FootnoteReference"/>
        </w:rPr>
        <w:footnoteRef/>
      </w:r>
      <w:r>
        <w:t xml:space="preserve"> </w:t>
      </w:r>
      <w:r>
        <w:tab/>
      </w:r>
      <w:r>
        <w:rPr>
          <w:rFonts w:asciiTheme="minorHAnsi" w:hAnsiTheme="minorHAnsi" w:cstheme="minorHAnsi"/>
        </w:rPr>
        <w:t>Hayden 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rPr>
          <w:rFonts w:asciiTheme="minorHAnsi" w:hAnsiTheme="minorHAnsi" w:cstheme="minorHAnsi"/>
        </w:rPr>
        <w:t xml:space="preserve"> </w:t>
      </w:r>
      <w:r>
        <w:t xml:space="preserve">ACCC Working Paper #11, 2017, </w:t>
      </w:r>
      <w:r>
        <w:rPr>
          <w:rFonts w:asciiTheme="minorHAnsi" w:hAnsiTheme="minorHAnsi" w:cstheme="minorHAnsi"/>
        </w:rPr>
        <w:t>p</w:t>
      </w:r>
      <w:r>
        <w:t>aragraph</w:t>
      </w:r>
      <w:r>
        <w:rPr>
          <w:rFonts w:asciiTheme="minorHAnsi" w:hAnsiTheme="minorHAnsi" w:cstheme="minorHAnsi"/>
        </w:rPr>
        <w:t xml:space="preserve"> </w:t>
      </w:r>
      <w:r>
        <w:t>137</w:t>
      </w:r>
      <w:r>
        <w:rPr>
          <w:rFonts w:asciiTheme="minorHAnsi" w:hAnsiTheme="minorHAnsi" w:cstheme="minorHAnsi"/>
        </w:rPr>
        <w:t>.</w:t>
      </w:r>
    </w:p>
  </w:footnote>
  <w:footnote w:id="1574">
    <w:p w:rsidR="002D334E" w:rsidRDefault="002D334E" w:rsidP="00C93468">
      <w:pPr>
        <w:pStyle w:val="FootnoteText"/>
      </w:pPr>
      <w:r>
        <w:rPr>
          <w:rStyle w:val="FootnoteReference"/>
        </w:rPr>
        <w:footnoteRef/>
      </w:r>
      <w:r>
        <w:t xml:space="preserve"> </w:t>
      </w:r>
      <w:r>
        <w:tab/>
        <w:t xml:space="preserve">Andrew Ang, Geert Bekaert, and Min Wei, </w:t>
      </w:r>
      <w:r w:rsidRPr="006A4EB6">
        <w:rPr>
          <w:rStyle w:val="AERtextitalic"/>
        </w:rPr>
        <w:t>The Term Structure of Real Rates and Expected Inflation</w:t>
      </w:r>
      <w:r>
        <w:t>, The Journal of Finance, 63(2), April 2008, pp. 797-849.</w:t>
      </w:r>
    </w:p>
  </w:footnote>
  <w:footnote w:id="1575">
    <w:p w:rsidR="002D334E" w:rsidRPr="00302409" w:rsidRDefault="002D334E" w:rsidP="00C93468">
      <w:pPr>
        <w:pStyle w:val="FootnoteText"/>
      </w:pPr>
      <w:r>
        <w:rPr>
          <w:rStyle w:val="FootnoteReference"/>
        </w:rPr>
        <w:footnoteRef/>
      </w:r>
      <w:r>
        <w:t xml:space="preserve"> </w:t>
      </w:r>
      <w:r>
        <w:tab/>
      </w:r>
      <w:r w:rsidRPr="00302409">
        <w:t>Coroneo, L, (2016) “TIPS Liquidity Premium and Quantitative Easing”, Working paper (draft version April</w:t>
      </w:r>
      <w:r>
        <w:t xml:space="preserve"> </w:t>
      </w:r>
      <w:r w:rsidRPr="00302409">
        <w:t>2nd 2016)</w:t>
      </w:r>
      <w:r>
        <w:t>.</w:t>
      </w:r>
    </w:p>
  </w:footnote>
  <w:footnote w:id="1576">
    <w:p w:rsidR="002D334E" w:rsidRDefault="002D334E" w:rsidP="00C93468">
      <w:pPr>
        <w:pStyle w:val="FootnoteText"/>
      </w:pPr>
      <w:r>
        <w:rPr>
          <w:rStyle w:val="FootnoteReference"/>
        </w:rPr>
        <w:footnoteRef/>
      </w:r>
      <w:r>
        <w:t xml:space="preserve"> </w:t>
      </w:r>
      <w:r>
        <w:tab/>
        <w:t xml:space="preserve">CEG, </w:t>
      </w:r>
      <w:r w:rsidRPr="007F03DF">
        <w:rPr>
          <w:i/>
        </w:rPr>
        <w:t>Best estimate of expected inflation</w:t>
      </w:r>
      <w:r>
        <w:rPr>
          <w:i/>
        </w:rPr>
        <w:t xml:space="preserve">, </w:t>
      </w:r>
      <w:r>
        <w:t>September 2016, p. 50.</w:t>
      </w:r>
    </w:p>
  </w:footnote>
  <w:footnote w:id="1577">
    <w:p w:rsidR="002D334E" w:rsidRDefault="002D334E" w:rsidP="00C93468">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11.</w:t>
      </w:r>
    </w:p>
  </w:footnote>
  <w:footnote w:id="1578">
    <w:p w:rsidR="002D334E" w:rsidRDefault="002D334E" w:rsidP="00C93468">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26.</w:t>
      </w:r>
    </w:p>
  </w:footnote>
  <w:footnote w:id="1579">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41-44.</w:t>
      </w:r>
    </w:p>
  </w:footnote>
  <w:footnote w:id="1580">
    <w:p w:rsidR="002D334E" w:rsidRDefault="002D334E" w:rsidP="00C93468">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581">
    <w:p w:rsidR="002D334E" w:rsidRDefault="002D334E" w:rsidP="00C93468">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582">
    <w:p w:rsidR="002D334E" w:rsidRDefault="002D334E" w:rsidP="00C93468">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583">
    <w:p w:rsidR="002D334E" w:rsidRDefault="002D334E" w:rsidP="00C93468">
      <w:pPr>
        <w:pStyle w:val="FootnoteText"/>
      </w:pPr>
      <w:r>
        <w:rPr>
          <w:rStyle w:val="FootnoteReference"/>
        </w:rPr>
        <w:footnoteRef/>
      </w:r>
      <w:r>
        <w:t xml:space="preserve"> </w:t>
      </w:r>
      <w:r>
        <w:tab/>
        <w:t>Estimated by removing estimated biases and risk premia from the break-even inflation rate.</w:t>
      </w:r>
    </w:p>
  </w:footnote>
  <w:footnote w:id="1584">
    <w:p w:rsidR="002D334E" w:rsidRDefault="002D334E" w:rsidP="00C93468">
      <w:pPr>
        <w:pStyle w:val="FootnoteText"/>
      </w:pPr>
      <w:r>
        <w:rPr>
          <w:rStyle w:val="FootnoteReference"/>
        </w:rPr>
        <w:footnoteRef/>
      </w:r>
      <w:r>
        <w:t xml:space="preserve"> </w:t>
      </w:r>
      <w:r>
        <w:tab/>
      </w:r>
      <w:r>
        <w:rPr>
          <w:rFonts w:asciiTheme="minorHAnsi" w:hAnsiTheme="minorHAnsi" w:cstheme="minorHAnsi"/>
        </w:rPr>
        <w:t>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t xml:space="preserve"> ACCC Working Paper #11, April 2017,</w:t>
      </w:r>
      <w:r>
        <w:rPr>
          <w:rFonts w:asciiTheme="minorHAnsi" w:hAnsiTheme="minorHAnsi" w:cstheme="minorHAnsi"/>
        </w:rPr>
        <w:t xml:space="preserve"> p</w:t>
      </w:r>
      <w:r>
        <w:t>aragraphs</w:t>
      </w:r>
      <w:r>
        <w:rPr>
          <w:rFonts w:asciiTheme="minorHAnsi" w:hAnsiTheme="minorHAnsi" w:cstheme="minorHAnsi"/>
        </w:rPr>
        <w:t xml:space="preserve"> </w:t>
      </w:r>
      <w:r>
        <w:t>36</w:t>
      </w:r>
      <w:r>
        <w:rPr>
          <w:rFonts w:asciiTheme="minorHAnsi" w:hAnsiTheme="minorHAnsi" w:cstheme="minorHAnsi"/>
        </w:rPr>
        <w:t>-</w:t>
      </w:r>
      <w:r>
        <w:t>38</w:t>
      </w:r>
      <w:r>
        <w:rPr>
          <w:rFonts w:asciiTheme="minorHAnsi" w:hAnsiTheme="minorHAnsi" w:cstheme="minorHAnsi"/>
        </w:rPr>
        <w:t>.</w:t>
      </w:r>
    </w:p>
  </w:footnote>
  <w:footnote w:id="1585">
    <w:p w:rsidR="002D334E" w:rsidRDefault="002D334E" w:rsidP="00C93468">
      <w:pPr>
        <w:pStyle w:val="FootnoteText"/>
      </w:pPr>
      <w:r>
        <w:rPr>
          <w:rStyle w:val="FootnoteReference"/>
        </w:rPr>
        <w:footnoteRef/>
      </w:r>
      <w:r>
        <w:t xml:space="preserve"> </w:t>
      </w:r>
      <w:r>
        <w:tab/>
        <w:t xml:space="preserve">CEG, </w:t>
      </w:r>
      <w:r w:rsidRPr="007F03DF">
        <w:rPr>
          <w:i/>
        </w:rPr>
        <w:t>Best estimate of expected inflation</w:t>
      </w:r>
      <w:r>
        <w:t xml:space="preserve"> pp. 42-43.</w:t>
      </w:r>
    </w:p>
  </w:footnote>
  <w:footnote w:id="1586">
    <w:p w:rsidR="002D334E" w:rsidRPr="00D059DA" w:rsidRDefault="002D334E" w:rsidP="00C93468">
      <w:pPr>
        <w:pStyle w:val="FootnoteText"/>
        <w:rPr>
          <w:szCs w:val="16"/>
        </w:rPr>
      </w:pPr>
      <w:r w:rsidRPr="00D059DA">
        <w:rPr>
          <w:rStyle w:val="FootnoteReference"/>
          <w:szCs w:val="16"/>
        </w:rPr>
        <w:footnoteRef/>
      </w:r>
      <w:r w:rsidRPr="00D059DA">
        <w:rPr>
          <w:szCs w:val="16"/>
        </w:rPr>
        <w:t xml:space="preserve"> </w:t>
      </w:r>
      <w:r w:rsidRPr="00D059DA">
        <w:rPr>
          <w:szCs w:val="16"/>
        </w:rPr>
        <w:tab/>
      </w:r>
      <w:r>
        <w:t xml:space="preserve">That is, as a proportion of total (nominal and indexed) government securities. Source for </w:t>
      </w:r>
      <w:r w:rsidRPr="00D059DA">
        <w:rPr>
          <w:szCs w:val="16"/>
        </w:rPr>
        <w:t xml:space="preserve">UK values: </w:t>
      </w:r>
      <w:hyperlink r:id="rId33" w:history="1">
        <w:r w:rsidRPr="00D059DA">
          <w:rPr>
            <w:rStyle w:val="Hyperlink"/>
            <w:rFonts w:asciiTheme="minorHAnsi" w:hAnsiTheme="minorHAnsi" w:cstheme="minorHAnsi"/>
            <w:sz w:val="16"/>
            <w:szCs w:val="16"/>
          </w:rPr>
          <w:t>http://www.dmo.gov.uk/index.aspx?page=gilts/about_gilts</w:t>
        </w:r>
      </w:hyperlink>
      <w:r w:rsidRPr="00D059DA">
        <w:rPr>
          <w:szCs w:val="16"/>
        </w:rPr>
        <w:t xml:space="preserve">. </w:t>
      </w:r>
      <w:r>
        <w:t xml:space="preserve">Source for </w:t>
      </w:r>
      <w:r w:rsidRPr="00D059DA">
        <w:rPr>
          <w:szCs w:val="16"/>
        </w:rPr>
        <w:t xml:space="preserve">US values: </w:t>
      </w:r>
      <w:hyperlink r:id="rId34" w:history="1">
        <w:r w:rsidRPr="00D059DA">
          <w:rPr>
            <w:rStyle w:val="Hyperlink"/>
            <w:rFonts w:asciiTheme="minorHAnsi" w:hAnsiTheme="minorHAnsi" w:cstheme="minorHAnsi"/>
            <w:sz w:val="16"/>
            <w:szCs w:val="16"/>
          </w:rPr>
          <w:t>https://www.treasurydirect.gov/govt/charts/principal/principal_debt.htm</w:t>
        </w:r>
      </w:hyperlink>
    </w:p>
  </w:footnote>
  <w:footnote w:id="1587">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48.</w:t>
      </w:r>
    </w:p>
  </w:footnote>
  <w:footnote w:id="1588">
    <w:p w:rsidR="002D334E" w:rsidRDefault="002D334E" w:rsidP="00C93468">
      <w:pPr>
        <w:pStyle w:val="FootnoteText"/>
      </w:pPr>
      <w:r>
        <w:rPr>
          <w:rStyle w:val="FootnoteReference"/>
        </w:rPr>
        <w:footnoteRef/>
      </w:r>
      <w:r>
        <w:t xml:space="preserve"> </w:t>
      </w:r>
      <w:r>
        <w:tab/>
      </w:r>
      <w:r w:rsidRPr="00526E22">
        <w:t>Mathysen, Consideration of best estimates of expected inflation: comparing and ranking approaches,</w:t>
      </w:r>
      <w:r>
        <w:t xml:space="preserve"> ACCC Working Paper #11, 2017, para 71.</w:t>
      </w:r>
    </w:p>
  </w:footnote>
  <w:footnote w:id="1589">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AusNet Transmission Group Pty Ltd, </w:t>
      </w:r>
      <w:r w:rsidRPr="00A51CD5">
        <w:rPr>
          <w:rStyle w:val="AERtextitalic"/>
        </w:rPr>
        <w:t>Transmission Revenue Review 2017-2022 Revised Revenue Proposal</w:t>
      </w:r>
      <w:r>
        <w:t>, 21 September 2016, pp. 189-190.</w:t>
      </w:r>
    </w:p>
  </w:footnote>
  <w:footnote w:id="1590">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46.</w:t>
      </w:r>
    </w:p>
  </w:footnote>
  <w:footnote w:id="1591">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42.</w:t>
      </w:r>
    </w:p>
  </w:footnote>
  <w:footnote w:id="1592">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49.</w:t>
      </w:r>
    </w:p>
  </w:footnote>
  <w:footnote w:id="1593">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50.</w:t>
      </w:r>
    </w:p>
  </w:footnote>
  <w:footnote w:id="1594">
    <w:p w:rsidR="002D334E" w:rsidRDefault="002D334E" w:rsidP="00C93468">
      <w:pPr>
        <w:pStyle w:val="FootnoteText"/>
      </w:pPr>
      <w:r>
        <w:rPr>
          <w:rStyle w:val="FootnoteReference"/>
        </w:rPr>
        <w:footnoteRef/>
      </w:r>
      <w:r>
        <w:t xml:space="preserve"> </w:t>
      </w:r>
      <w:r>
        <w:tab/>
        <w:t xml:space="preserve">Based on simple difference. See: </w:t>
      </w:r>
      <w:r w:rsidRPr="007072D2">
        <w:t>Kodjo Apedjinou, Priya Misra and Anshul Pradhan (2006), A TIPS Valuation Framework, Fixed Income Research, U.S. Interest Rate Strategy, Lehmann Brothers</w:t>
      </w:r>
      <w:r>
        <w:t>, p. 8.</w:t>
      </w:r>
    </w:p>
  </w:footnote>
  <w:footnote w:id="1595">
    <w:p w:rsidR="002D334E" w:rsidRDefault="002D334E" w:rsidP="00C93468">
      <w:pPr>
        <w:pStyle w:val="FootnoteText"/>
      </w:pPr>
      <w:r>
        <w:rPr>
          <w:rStyle w:val="FootnoteReference"/>
        </w:rPr>
        <w:footnoteRef/>
      </w:r>
      <w:r>
        <w:t xml:space="preserve"> </w:t>
      </w:r>
      <w:r>
        <w:tab/>
        <w:t xml:space="preserve">See: John Hull, </w:t>
      </w:r>
      <w:r w:rsidRPr="007072D2">
        <w:rPr>
          <w:rStyle w:val="AERtextitalic"/>
        </w:rPr>
        <w:t>Options, Futures and Other Derivatives, Seventh Edition</w:t>
      </w:r>
      <w:r>
        <w:t>, Pearson Prentice Hall, New Jersey, 2009, p. 672.</w:t>
      </w:r>
    </w:p>
  </w:footnote>
  <w:footnote w:id="1596">
    <w:p w:rsidR="002D334E" w:rsidRDefault="002D334E" w:rsidP="00C93468">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140.</w:t>
      </w:r>
    </w:p>
  </w:footnote>
  <w:footnote w:id="1597">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pp. 66-67.</w:t>
      </w:r>
    </w:p>
  </w:footnote>
  <w:footnote w:id="1598">
    <w:p w:rsidR="002D334E" w:rsidRPr="00FB2D7C" w:rsidRDefault="002D334E" w:rsidP="00C93468">
      <w:pPr>
        <w:pStyle w:val="FootnoteText"/>
      </w:pPr>
      <w:r>
        <w:rPr>
          <w:rStyle w:val="FootnoteReference"/>
        </w:rPr>
        <w:footnoteRef/>
      </w:r>
      <w:r>
        <w:t xml:space="preserve"> </w:t>
      </w:r>
      <w:r>
        <w:tab/>
      </w:r>
      <w:r w:rsidRPr="00FB2D7C">
        <w:t>John Campbell, Robert Shiller and Luis Viceira (2009), ‘Understanding Inflation-Indexed Bond Markets’, Brookings Papers on Economic Activity, Spring 2009, pp. 108-109.</w:t>
      </w:r>
    </w:p>
  </w:footnote>
  <w:footnote w:id="1599">
    <w:p w:rsidR="002D334E" w:rsidRDefault="002D334E" w:rsidP="00C93468">
      <w:pPr>
        <w:pStyle w:val="FootnoteText"/>
      </w:pPr>
      <w:r>
        <w:rPr>
          <w:rStyle w:val="FootnoteReference"/>
        </w:rPr>
        <w:footnoteRef/>
      </w:r>
      <w:r>
        <w:t xml:space="preserve"> </w:t>
      </w:r>
      <w:r>
        <w:tab/>
      </w:r>
      <w:r w:rsidRPr="00E46428">
        <w:t>Richard Finlay and David Olivan (2012), ‘Extracting Information from Financial Market Instruments’, RBA Bulletin, March Quarter, pp. 45-46</w:t>
      </w:r>
      <w:r>
        <w:t>.</w:t>
      </w:r>
    </w:p>
  </w:footnote>
  <w:footnote w:id="1600">
    <w:p w:rsidR="002D334E" w:rsidRDefault="002D334E" w:rsidP="00C93468">
      <w:pPr>
        <w:pStyle w:val="FootnoteText"/>
      </w:pPr>
      <w:r>
        <w:rPr>
          <w:rStyle w:val="FootnoteReference"/>
        </w:rPr>
        <w:footnoteRef/>
      </w:r>
      <w:r>
        <w:t xml:space="preserve"> </w:t>
      </w:r>
      <w:r>
        <w:tab/>
      </w:r>
      <w:r w:rsidRPr="00FB2D7C">
        <w:t>Reserve Bank of Australia, Statement on Monetary Policy, February</w:t>
      </w:r>
      <w:r>
        <w:t xml:space="preserve"> 2015</w:t>
      </w:r>
      <w:r w:rsidRPr="00FB2D7C">
        <w:t>, p. 50</w:t>
      </w:r>
      <w:r>
        <w:t>.</w:t>
      </w:r>
    </w:p>
  </w:footnote>
  <w:footnote w:id="1601">
    <w:p w:rsidR="002D334E" w:rsidRDefault="002D334E" w:rsidP="00C93468">
      <w:pPr>
        <w:pStyle w:val="FootnoteText"/>
      </w:pPr>
      <w:r>
        <w:rPr>
          <w:rStyle w:val="FootnoteReference"/>
        </w:rPr>
        <w:footnoteRef/>
      </w:r>
      <w:r>
        <w:t xml:space="preserve"> </w:t>
      </w:r>
      <w:r>
        <w:tab/>
      </w:r>
      <w:r w:rsidRPr="00FB2D7C">
        <w:t>Matthias Fleckenstein, Francis Longstaff and Hanno Lustig (2014), ‘The TIPS-Treasury Bonds Puzzle’, The Journal of Finance, 69(5), October, pp. 2151-2197</w:t>
      </w:r>
      <w:r>
        <w:t>.</w:t>
      </w:r>
    </w:p>
  </w:footnote>
  <w:footnote w:id="1602">
    <w:p w:rsidR="002D334E" w:rsidRDefault="002D334E" w:rsidP="00C93468">
      <w:pPr>
        <w:pStyle w:val="FootnoteText"/>
      </w:pPr>
      <w:r>
        <w:rPr>
          <w:rStyle w:val="FootnoteReference"/>
        </w:rPr>
        <w:footnoteRef/>
      </w:r>
      <w:r>
        <w:t xml:space="preserve"> </w:t>
      </w:r>
      <w:r>
        <w:tab/>
      </w:r>
      <w:r w:rsidRPr="00FB2D7C">
        <w:t>Joseph Haubrich, George Pennachi and Peter Ritchken (2012), ‘Inflation Expectations, Real Rates, and Risk Premia: Evidence from Inflation Swaps’, The Review of Financial Studies, 25(2), p. 1590</w:t>
      </w:r>
      <w:r>
        <w:t>.</w:t>
      </w:r>
    </w:p>
  </w:footnote>
  <w:footnote w:id="1603">
    <w:p w:rsidR="002D334E" w:rsidRDefault="002D334E" w:rsidP="00C93468">
      <w:pPr>
        <w:pStyle w:val="FootnoteText"/>
      </w:pPr>
      <w:r>
        <w:rPr>
          <w:rStyle w:val="FootnoteReference"/>
        </w:rPr>
        <w:footnoteRef/>
      </w:r>
      <w:r>
        <w:t xml:space="preserve"> </w:t>
      </w:r>
      <w:r>
        <w:tab/>
      </w:r>
      <w:r w:rsidRPr="00FB2D7C">
        <w:t>Carolin Pflueger and Luis Viceira (2015), ‘Return Predictability in the Treasury Market: Real Rates, Inflation, and Liquidity’, Working Paper, p</w:t>
      </w:r>
      <w:r>
        <w:t>p. 12,</w:t>
      </w:r>
      <w:r w:rsidRPr="00FB2D7C">
        <w:t xml:space="preserve"> 16</w:t>
      </w:r>
      <w:r>
        <w:t>.</w:t>
      </w:r>
    </w:p>
  </w:footnote>
  <w:footnote w:id="1604">
    <w:p w:rsidR="002D334E" w:rsidRDefault="002D334E" w:rsidP="00C93468">
      <w:pPr>
        <w:pStyle w:val="FootnoteText"/>
      </w:pPr>
      <w:r>
        <w:rPr>
          <w:rStyle w:val="FootnoteReference"/>
        </w:rPr>
        <w:footnoteRef/>
      </w:r>
      <w:r>
        <w:t xml:space="preserve"> </w:t>
      </w:r>
      <w:r>
        <w:tab/>
      </w:r>
      <w:r w:rsidRPr="00FB2D7C">
        <w:t>Zhuoshi Liu, Elisabeth Vangelista, Iryna Kaminski and Jon Relleen (2015), ‘The informational content of market-based measures of inflation expectations derived from government bonds and inflation swaps in the United Kingdom’, Staff Working Paper No. 551, Bank of England, p. 2</w:t>
      </w:r>
      <w:r>
        <w:t>.</w:t>
      </w:r>
    </w:p>
  </w:footnote>
  <w:footnote w:id="1605">
    <w:p w:rsidR="002D334E" w:rsidRDefault="002D334E" w:rsidP="00C93468">
      <w:pPr>
        <w:pStyle w:val="FootnoteText"/>
      </w:pPr>
      <w:r>
        <w:rPr>
          <w:rStyle w:val="FootnoteReference"/>
        </w:rPr>
        <w:footnoteRef/>
      </w:r>
      <w:r>
        <w:t xml:space="preserve"> </w:t>
      </w:r>
      <w:r>
        <w:tab/>
      </w:r>
      <w:r w:rsidRPr="00FB2D7C">
        <w:t>Jens Christensen and James Gillan (2012), ‘Could the US Treasury Benefit from Issuing More TIPS?’, Federal Reserve Bank of San Francisco, Working Paper Series, pp. 1-37</w:t>
      </w:r>
      <w:r>
        <w:t>.</w:t>
      </w:r>
    </w:p>
  </w:footnote>
  <w:footnote w:id="1606">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 28.</w:t>
      </w:r>
    </w:p>
  </w:footnote>
  <w:footnote w:id="1607">
    <w:p w:rsidR="002D334E" w:rsidRDefault="002D334E" w:rsidP="00C93468">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w:t>
      </w:r>
      <w:r w:rsidRPr="00116A00">
        <w:t xml:space="preserve"> 18-21</w:t>
      </w:r>
      <w:r>
        <w:t xml:space="preserve">; AusNet Transmission Group Pty Ltd, </w:t>
      </w:r>
      <w:r w:rsidRPr="00A51CD5">
        <w:rPr>
          <w:rStyle w:val="AERtextitalic"/>
        </w:rPr>
        <w:t>Transmission Revenue Review 2017-2022 Revised Revenue Proposal</w:t>
      </w:r>
      <w:r>
        <w:t>, 21 September 2016,</w:t>
      </w:r>
      <w:r w:rsidRPr="00116A00">
        <w:t xml:space="preserve"> pp. 188, 190-191</w:t>
      </w:r>
      <w:r>
        <w:t>.</w:t>
      </w:r>
    </w:p>
  </w:footnote>
  <w:footnote w:id="1608">
    <w:p w:rsidR="002D334E" w:rsidRDefault="002D334E" w:rsidP="00C93468">
      <w:pPr>
        <w:pStyle w:val="FootnoteText"/>
      </w:pPr>
      <w:r>
        <w:rPr>
          <w:rStyle w:val="FootnoteReference"/>
        </w:rPr>
        <w:footnoteRef/>
      </w:r>
      <w:r>
        <w:t xml:space="preserve"> </w:t>
      </w:r>
      <w:r>
        <w:tab/>
        <w:t xml:space="preserve">See Figures 2, 3, 5, 6, 7, and 8 in CEG, </w:t>
      </w:r>
      <w:r w:rsidRPr="00A51CD5">
        <w:rPr>
          <w:rStyle w:val="AERtextitalic"/>
        </w:rPr>
        <w:t>Best Estimate of Expected Inflation</w:t>
      </w:r>
      <w:r>
        <w:t>,</w:t>
      </w:r>
      <w:r w:rsidRPr="00ED7C40">
        <w:t xml:space="preserve"> </w:t>
      </w:r>
      <w:r>
        <w:t>September 2016.</w:t>
      </w:r>
    </w:p>
  </w:footnote>
  <w:footnote w:id="1609">
    <w:p w:rsidR="002D334E" w:rsidRDefault="002D334E" w:rsidP="00C93468">
      <w:pPr>
        <w:pStyle w:val="FootnoteText"/>
      </w:pPr>
      <w:r>
        <w:rPr>
          <w:rStyle w:val="FootnoteReference"/>
        </w:rPr>
        <w:footnoteRef/>
      </w:r>
      <w:r>
        <w:t xml:space="preserve"> </w:t>
      </w:r>
      <w:r>
        <w:tab/>
        <w:t xml:space="preserve">See, e.g., </w:t>
      </w:r>
      <w:r w:rsidRPr="00B22FAC">
        <w:t>Christian Gillitzer and John Simon (2015), ‘Inflation Targeting: A Victim of Its Own Success?’, RDP 2015</w:t>
      </w:r>
      <w:r>
        <w:t>–</w:t>
      </w:r>
      <w:r w:rsidRPr="00B22FAC">
        <w:t xml:space="preserve">09, August, </w:t>
      </w:r>
      <w:r w:rsidRPr="00EE45FC">
        <w:rPr>
          <w:rStyle w:val="Emphasis"/>
        </w:rPr>
        <w:t>Reserve Bank of Australia Discussion Paper</w:t>
      </w:r>
      <w:r w:rsidRPr="00B22FAC">
        <w:t>, pp. 1</w:t>
      </w:r>
      <w:r>
        <w:t>–</w:t>
      </w:r>
      <w:r w:rsidRPr="00B22FAC">
        <w:t>37</w:t>
      </w:r>
      <w:r>
        <w:rPr>
          <w:rFonts w:cs="Arial"/>
        </w:rPr>
        <w:t xml:space="preserve">; </w:t>
      </w:r>
      <w:r w:rsidRPr="00B22FAC">
        <w:t xml:space="preserve">Richard Finlay and Sebastian Wende (2011), ‘Estimating Inflation Expectations with a Limited Number of Inflation-indexed Bonds’, </w:t>
      </w:r>
      <w:r w:rsidRPr="00EE45FC">
        <w:rPr>
          <w:rStyle w:val="Emphasis"/>
        </w:rPr>
        <w:t>Research Discussion Paper, Reserve Bank of Australia</w:t>
      </w:r>
      <w:r w:rsidRPr="00B22FAC">
        <w:t>, RDP 2011</w:t>
      </w:r>
      <w:r>
        <w:t>–</w:t>
      </w:r>
      <w:r w:rsidRPr="00B22FAC">
        <w:t>01, March, pp. 1</w:t>
      </w:r>
      <w:r>
        <w:t>–</w:t>
      </w:r>
      <w:r w:rsidRPr="00B22FAC">
        <w:t>35</w:t>
      </w:r>
      <w:r>
        <w:rPr>
          <w:rFonts w:eastAsia="Times New Roman" w:cs="Arial"/>
          <w:lang w:eastAsia="en-AU"/>
        </w:rPr>
        <w:t xml:space="preserve">; </w:t>
      </w:r>
      <w:r w:rsidRPr="00B22FAC">
        <w:t xml:space="preserve">Shawn Chen-Yu Leu and Jeffery Sheen (2006), ‘Asymmetric Monetary Policy in Australia’, </w:t>
      </w:r>
      <w:r w:rsidRPr="00EE45FC">
        <w:rPr>
          <w:rStyle w:val="Emphasis"/>
        </w:rPr>
        <w:t>The Economic Record</w:t>
      </w:r>
      <w:r w:rsidRPr="00B22FAC">
        <w:t>, 82, Special Issue, September, pp. S85</w:t>
      </w:r>
      <w:r>
        <w:t>–</w:t>
      </w:r>
      <w:r w:rsidRPr="00B22FAC">
        <w:t>S96</w:t>
      </w:r>
      <w:r>
        <w:rPr>
          <w:rFonts w:eastAsia="Times New Roman" w:cs="Arial"/>
          <w:lang w:eastAsia="en-AU"/>
        </w:rPr>
        <w:t xml:space="preserve">; and </w:t>
      </w:r>
      <w:r w:rsidRPr="00B22FAC">
        <w:t>Jarkko Jaaskela and Rebecca McKibbin (2010), ‘Learning in an Estimated Small Open Economy Model’, RDP 2010</w:t>
      </w:r>
      <w:r>
        <w:t>–</w:t>
      </w:r>
      <w:r w:rsidRPr="00B22FAC">
        <w:t xml:space="preserve">02, March, </w:t>
      </w:r>
      <w:r w:rsidRPr="00EE45FC">
        <w:rPr>
          <w:rStyle w:val="Emphasis"/>
        </w:rPr>
        <w:t xml:space="preserve">Reserve Bank of Australia Discussion Paper, </w:t>
      </w:r>
      <w:r w:rsidRPr="00B22FAC">
        <w:t>pp. 1</w:t>
      </w:r>
      <w:r>
        <w:t>–</w:t>
      </w:r>
      <w:r w:rsidRPr="00B22FAC">
        <w:t>45</w:t>
      </w:r>
      <w:r>
        <w:t xml:space="preserve">. </w:t>
      </w:r>
      <w:r w:rsidRPr="007B7961">
        <w:t>These studies consider a much longer time frame than the limited selection examined by CEG</w:t>
      </w:r>
      <w:r>
        <w:t>.</w:t>
      </w:r>
    </w:p>
  </w:footnote>
  <w:footnote w:id="1610">
    <w:p w:rsidR="002D334E" w:rsidRDefault="002D334E" w:rsidP="00C93468">
      <w:pPr>
        <w:pStyle w:val="FootnoteText"/>
      </w:pPr>
      <w:r>
        <w:rPr>
          <w:rStyle w:val="FootnoteReference"/>
        </w:rPr>
        <w:footnoteRef/>
      </w:r>
      <w:r>
        <w:t xml:space="preserve"> </w:t>
      </w:r>
      <w:r>
        <w:tab/>
      </w:r>
      <w:r w:rsidRPr="00CC351D">
        <w:t xml:space="preserve">Christian Gillitzer and John Simon (2015), ‘Inflation Targeting: A Victim of Its Own Success?’, RDP 2015-09, August, Reserve Bank of Australia Discussion Paper, pp. 1-37; Shawn Chen-Yu Leu and Jeffery Sheen (2006), ‘Asymmetric Monetary Policy in Australia’, The Economic Record, 82, Special Issue, September, pp. S85-S86. Richard Finlay and Sebastian Wende (2011), ‘Estimating Inflation Expectations with a Limited Number of Inflation-indexed Bonds’, Research Discussion Paper, Reserve Bank of Australia, </w:t>
      </w:r>
      <w:r>
        <w:t>RDP 2011-01, March, pp. 3-4, 13-15,</w:t>
      </w:r>
      <w:r w:rsidRPr="00CC351D">
        <w:t xml:space="preserve"> 22</w:t>
      </w:r>
      <w:r>
        <w:t xml:space="preserve">; </w:t>
      </w:r>
      <w:r w:rsidRPr="00CC351D">
        <w:t>Jarkko Jaaskela and Rebecca McKibbin (2010), ‘Learning in an Estimated Small Open Economy Model’, RDP 2010-02, March, Reserve Bank of Australia Discussion Paper, pp. 1-45</w:t>
      </w:r>
      <w:r>
        <w:t>.</w:t>
      </w:r>
    </w:p>
  </w:footnote>
  <w:footnote w:id="1611">
    <w:p w:rsidR="002D334E" w:rsidRDefault="002D334E" w:rsidP="00C93468">
      <w:pPr>
        <w:pStyle w:val="FootnoteText"/>
      </w:pPr>
      <w:r>
        <w:rPr>
          <w:rStyle w:val="FootnoteReference"/>
        </w:rPr>
        <w:footnoteRef/>
      </w:r>
      <w:r>
        <w:t xml:space="preserve"> </w:t>
      </w:r>
      <w:r>
        <w:tab/>
      </w:r>
      <w:r w:rsidRPr="00CC351D">
        <w:t>Brian Sack (2000), ‘Deriving Inflation Expectations from Nominal and Inflation-Indexed Treasury Yields’, Division of Monetary Affairs, Board of Governors of the Federal Reserve System, Washington DC,16 May, pp. 1-24</w:t>
      </w:r>
      <w:r>
        <w:t xml:space="preserve">; </w:t>
      </w:r>
      <w:r w:rsidRPr="006149CD">
        <w:t>Ian Christensen, Frederic Dion and Christopher Reid (2004), ‘Real Return Bonds, Inflation Expectations, and the Break-Even Inflation Rate’, Bank of Canada Working Paper 2004-43, November</w:t>
      </w:r>
      <w:r>
        <w:t xml:space="preserve">, p. 5, </w:t>
      </w:r>
      <w:r w:rsidRPr="006149CD">
        <w:t>39-4</w:t>
      </w:r>
      <w:r>
        <w:t>0.</w:t>
      </w:r>
    </w:p>
  </w:footnote>
  <w:footnote w:id="1612">
    <w:p w:rsidR="002D334E" w:rsidRDefault="002D334E" w:rsidP="00C93468">
      <w:pPr>
        <w:pStyle w:val="FootnoteText"/>
      </w:pPr>
      <w:r>
        <w:rPr>
          <w:rStyle w:val="FootnoteReference"/>
        </w:rPr>
        <w:footnoteRef/>
      </w:r>
      <w:r>
        <w:t xml:space="preserve"> </w:t>
      </w:r>
      <w:r>
        <w:tab/>
      </w:r>
      <w:r w:rsidRPr="006149CD">
        <w:t>Ian Christensen, Frederic Dion and Christopher Reid (2004), ‘Real Return Bonds, Inflation Expectations, and the Break-Even Inflation Rate’, Bank of Canada Working Paper 2004-43, November</w:t>
      </w:r>
      <w:r>
        <w:t xml:space="preserve">, p. 5, </w:t>
      </w:r>
      <w:r w:rsidRPr="006149CD">
        <w:t>39-40</w:t>
      </w:r>
      <w:r>
        <w:t>.</w:t>
      </w:r>
    </w:p>
  </w:footnote>
  <w:footnote w:id="1613">
    <w:p w:rsidR="002D334E" w:rsidRDefault="002D334E" w:rsidP="00C93468">
      <w:pPr>
        <w:pStyle w:val="FootnoteText"/>
      </w:pPr>
      <w:r>
        <w:rPr>
          <w:rStyle w:val="FootnoteReference"/>
        </w:rPr>
        <w:footnoteRef/>
      </w:r>
      <w:r>
        <w:t xml:space="preserve"> </w:t>
      </w:r>
      <w:r>
        <w:tab/>
      </w:r>
      <w:r w:rsidRPr="008B2A3E">
        <w:t xml:space="preserve">See, e.g., Carolin Pflueger and Luis Viceira (2015), ‘Return Predictability in the Treasury Market: Real Rates, Inflation, and Liquidity’, Working Paper, </w:t>
      </w:r>
      <w:r w:rsidRPr="0042498F">
        <w:t>pp. 27-28.</w:t>
      </w:r>
    </w:p>
  </w:footnote>
  <w:footnote w:id="1614">
    <w:p w:rsidR="002D334E" w:rsidRDefault="002D334E" w:rsidP="00C93468">
      <w:pPr>
        <w:pStyle w:val="FootnoteText"/>
      </w:pPr>
      <w:r>
        <w:rPr>
          <w:rStyle w:val="FootnoteReference"/>
        </w:rPr>
        <w:footnoteRef/>
      </w:r>
      <w:r>
        <w:t xml:space="preserve"> </w:t>
      </w:r>
      <w:r>
        <w:tab/>
        <w:t>22 quarterly data points from September 2011 to December 2016.</w:t>
      </w:r>
    </w:p>
  </w:footnote>
  <w:footnote w:id="1615">
    <w:p w:rsidR="002D334E" w:rsidRDefault="002D334E" w:rsidP="00C93468">
      <w:pPr>
        <w:pStyle w:val="FootnoteText"/>
      </w:pPr>
      <w:r>
        <w:rPr>
          <w:rStyle w:val="FootnoteReference"/>
        </w:rPr>
        <w:footnoteRef/>
      </w:r>
      <w:r>
        <w:t xml:space="preserve"> </w:t>
      </w:r>
      <w:r>
        <w:tab/>
      </w:r>
      <w:r w:rsidRPr="00E30D9D">
        <w:t xml:space="preserve">Christian Gillitzer </w:t>
      </w:r>
      <w:r w:rsidRPr="00EE5409">
        <w:t xml:space="preserve">and John Simon (2015), ‘Inflation Targeting: A Victim of Its Own Success?’, RDP 2015-09, August, </w:t>
      </w:r>
      <w:r w:rsidRPr="00B51F28">
        <w:t>Reserve Bank of Australia Discussion Paper</w:t>
      </w:r>
      <w:r>
        <w:t>, pp. 1-2</w:t>
      </w:r>
      <w:r w:rsidRPr="00EE5409">
        <w:t>7</w:t>
      </w:r>
      <w:r>
        <w:t xml:space="preserve">; </w:t>
      </w:r>
      <w:r w:rsidRPr="00FA294D">
        <w:t xml:space="preserve">Richard Finlay and Sebastian Wende (2011), ‘Estimating Inflation Expectations with a Limited Number of Inflation-indexed Bonds’, </w:t>
      </w:r>
      <w:r w:rsidRPr="00B51F28">
        <w:t>Research Discussion Paper, Reserve Bank of Australia</w:t>
      </w:r>
      <w:r w:rsidRPr="00FA294D">
        <w:t>, RDP 2011-01, March</w:t>
      </w:r>
      <w:r>
        <w:t xml:space="preserve">, pp. 1-35; </w:t>
      </w:r>
      <w:r w:rsidRPr="00EE5409">
        <w:t xml:space="preserve">Shawn Chen-Yu Leu and Jeffery Sheen (2006), ‘Asymmetric Monetary Policy in Australia’, </w:t>
      </w:r>
      <w:r w:rsidRPr="00B51F28">
        <w:t>The Economic Record</w:t>
      </w:r>
      <w:r w:rsidRPr="00EE5409">
        <w:t>, 82, Spec</w:t>
      </w:r>
      <w:r>
        <w:t>ial Issue, September, pp. S85-S9</w:t>
      </w:r>
      <w:r w:rsidRPr="00EE5409">
        <w:t>6</w:t>
      </w:r>
      <w:r>
        <w:t xml:space="preserve">; </w:t>
      </w:r>
      <w:r w:rsidRPr="00EE5409">
        <w:t xml:space="preserve">Jarkko Jaaskela and Rebecca McKibbin (2010), ‘Learning in an Estimated Small Open Economy Model’, RDP 2010-02, March, </w:t>
      </w:r>
      <w:r w:rsidRPr="00B51F28">
        <w:t xml:space="preserve">Reserve Bank of Australia Discussion Paper, </w:t>
      </w:r>
      <w:r w:rsidRPr="00EE5409">
        <w:t>pp. 1-45</w:t>
      </w:r>
      <w:r>
        <w:t xml:space="preserve">; Ken Kuttner and Tim Robinson (2010), ‘Understanding the flattening of the Phillips Curve’, </w:t>
      </w:r>
      <w:r w:rsidRPr="00B51F28">
        <w:t>North American Journal of Economics and Finance</w:t>
      </w:r>
      <w:r>
        <w:t xml:space="preserve">, 21(2), pp. 110-125; Antonio Paradiso and Bhaskara Rao (2012), ‘Flattening of the Phillips curve and the role of the oil price: An unobserved component model for the USA and Australia’, </w:t>
      </w:r>
      <w:r w:rsidRPr="00B51F28">
        <w:t>Economics Letters</w:t>
      </w:r>
      <w:r>
        <w:t>, 117(1), pp. 259-262; Debdulal Mallick (2015), ‘A Spectral Representation of the Phillips Curve in Australia’, Faculty of Business and Law, School Working Paper, Economic Series, SWP 2015/7, pp. 1-48.</w:t>
      </w:r>
    </w:p>
  </w:footnote>
  <w:footnote w:id="1616">
    <w:p w:rsidR="002D334E" w:rsidRDefault="002D334E" w:rsidP="00C93468">
      <w:pPr>
        <w:pStyle w:val="FootnoteText"/>
      </w:pPr>
      <w:r>
        <w:rPr>
          <w:rStyle w:val="FootnoteReference"/>
        </w:rPr>
        <w:footnoteRef/>
      </w:r>
      <w:r>
        <w:t xml:space="preserve"> </w:t>
      </w:r>
      <w:r>
        <w:tab/>
      </w:r>
      <w:r>
        <w:fldChar w:fldCharType="begin"/>
      </w:r>
      <w:r>
        <w:instrText xml:space="preserve"> REF _Ref477792559 \h </w:instrText>
      </w:r>
      <w:r>
        <w:fldChar w:fldCharType="separate"/>
      </w:r>
      <w:r>
        <w:t xml:space="preserve">Figure </w:t>
      </w:r>
      <w:r>
        <w:rPr>
          <w:noProof/>
        </w:rPr>
        <w:t>3</w:t>
      </w:r>
      <w:r>
        <w:noBreakHyphen/>
      </w:r>
      <w:r>
        <w:rPr>
          <w:noProof/>
        </w:rPr>
        <w:t>27</w:t>
      </w:r>
      <w:r>
        <w:fldChar w:fldCharType="end"/>
      </w:r>
      <w:r>
        <w:t xml:space="preserve"> shows daily bond break-even estimates, while RBA forecasts and CPI outcomes are quarterly. Nonetheless, a quarterly series of bond break-even estimates also appears more volatile than estimates from the RBA forecasts and target band approach.</w:t>
      </w:r>
    </w:p>
  </w:footnote>
  <w:footnote w:id="1617">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ED7C40">
        <w:t xml:space="preserve"> </w:t>
      </w:r>
      <w:r>
        <w:t>September 2016, pp. 13-14.</w:t>
      </w:r>
    </w:p>
  </w:footnote>
  <w:footnote w:id="1618">
    <w:p w:rsidR="002D334E" w:rsidRDefault="002D334E" w:rsidP="00C93468">
      <w:pPr>
        <w:pStyle w:val="FootnoteText"/>
      </w:pPr>
      <w:r>
        <w:rPr>
          <w:rStyle w:val="FootnoteReference"/>
        </w:rPr>
        <w:footnoteRef/>
      </w:r>
      <w:r>
        <w:t xml:space="preserve"> </w:t>
      </w:r>
      <w:r>
        <w:tab/>
        <w:t>It should be noted that CEG has not supplied us with the regression specification, however the lack of detail provided by CEG in their report would imply that other variables were not considered in the regression.</w:t>
      </w:r>
    </w:p>
  </w:footnote>
  <w:footnote w:id="1619">
    <w:p w:rsidR="002D334E" w:rsidRDefault="002D334E" w:rsidP="00C93468">
      <w:pPr>
        <w:pStyle w:val="FootnoteText"/>
      </w:pPr>
      <w:r>
        <w:rPr>
          <w:rStyle w:val="FootnoteReference"/>
        </w:rPr>
        <w:footnoteRef/>
      </w:r>
      <w:r>
        <w:t xml:space="preserve"> </w:t>
      </w:r>
      <w:r>
        <w:tab/>
        <w:t>Refer to the discussion undertaken in Hayden’s working paper at pp 27-31.</w:t>
      </w:r>
    </w:p>
  </w:footnote>
  <w:footnote w:id="1620">
    <w:p w:rsidR="002D334E" w:rsidRDefault="002D334E" w:rsidP="00C93468">
      <w:pPr>
        <w:pStyle w:val="FootnoteText"/>
        <w:tabs>
          <w:tab w:val="clear" w:pos="340"/>
          <w:tab w:val="left" w:pos="284"/>
        </w:tabs>
        <w:ind w:left="284" w:hanging="284"/>
      </w:pPr>
      <w:r>
        <w:rPr>
          <w:rStyle w:val="FootnoteReference"/>
        </w:rPr>
        <w:footnoteRef/>
      </w:r>
      <w:r>
        <w:t xml:space="preserve"> </w:t>
      </w:r>
      <w:r>
        <w:tab/>
      </w:r>
      <w:r>
        <w:tab/>
        <w:t xml:space="preserve">Mark Deacon and Andrew Derry, ‘Estimating market interest rate and inflation expectations from the prices of UK government bonds’ [1994](3) </w:t>
      </w:r>
      <w:r w:rsidRPr="00045583">
        <w:rPr>
          <w:i/>
        </w:rPr>
        <w:t>Bank of England Quarterly Bulletin</w:t>
      </w:r>
      <w:r>
        <w:t xml:space="preserve"> 232, 236-37.</w:t>
      </w:r>
    </w:p>
  </w:footnote>
  <w:footnote w:id="1621">
    <w:p w:rsidR="002D334E" w:rsidRPr="0087220A" w:rsidRDefault="002D334E" w:rsidP="00C93468">
      <w:pPr>
        <w:pStyle w:val="FootnoteText"/>
        <w:tabs>
          <w:tab w:val="clear" w:pos="340"/>
          <w:tab w:val="left" w:pos="0"/>
        </w:tabs>
        <w:ind w:left="0" w:firstLine="0"/>
      </w:pPr>
      <w:r>
        <w:rPr>
          <w:rStyle w:val="FootnoteReference"/>
        </w:rPr>
        <w:footnoteRef/>
      </w:r>
      <w:r>
        <w:t xml:space="preserve"> </w:t>
      </w:r>
      <w:r>
        <w:tab/>
      </w:r>
      <w:r w:rsidRPr="0087220A">
        <w:t>This can be shown by the following equation:</w:t>
      </w:r>
    </w:p>
    <w:p w:rsidR="002D334E" w:rsidRPr="0087220A" w:rsidRDefault="002D334E" w:rsidP="00C93468">
      <w:pPr>
        <w:pStyle w:val="AERbodytextnospace"/>
      </w:pPr>
      <m:oMathPara>
        <m:oMath>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π+</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oMath>
      </m:oMathPara>
    </w:p>
    <w:p w:rsidR="002D334E" w:rsidRPr="0087220A" w:rsidRDefault="002D334E" w:rsidP="00C93468">
      <w:pPr>
        <w:pStyle w:val="FootnoteText"/>
        <w:tabs>
          <w:tab w:val="clear" w:pos="340"/>
          <w:tab w:val="left" w:pos="0"/>
        </w:tabs>
        <w:ind w:left="0" w:firstLine="0"/>
      </w:pPr>
      <w:r>
        <w:tab/>
      </w:r>
      <w:r w:rsidRPr="0087220A">
        <w:t xml:space="preserve">By OLS estimation, </w:t>
      </w:r>
    </w:p>
    <w:p w:rsidR="002D334E" w:rsidRPr="0087220A" w:rsidRDefault="00334917" w:rsidP="00C93468">
      <w:pPr>
        <w:pStyle w:val="AERbodytextnospace"/>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f>
            <m:fPr>
              <m:ctrlPr>
                <w:rPr>
                  <w:rFonts w:ascii="Cambria Math" w:hAnsi="Cambria Math"/>
                </w:rPr>
              </m:ctrlPr>
            </m:fPr>
            <m:num>
              <m:r>
                <m:rPr>
                  <m:sty m:val="p"/>
                </m:rPr>
                <w:rPr>
                  <w:rFonts w:ascii="Cambria Math" w:hAnsi="Cambria Math"/>
                </w:rPr>
                <m:t>cov</m:t>
              </m:r>
              <m:d>
                <m:dPr>
                  <m:ctrlPr>
                    <w:rPr>
                      <w:rFonts w:ascii="Cambria Math" w:hAnsi="Cambria Math"/>
                    </w:rPr>
                  </m:ctrlPr>
                </m:dPr>
                <m:e>
                  <m:r>
                    <w:rPr>
                      <w:rFonts w:ascii="Cambria Math" w:hAnsi="Cambria Math"/>
                    </w:rPr>
                    <m:t>i</m:t>
                  </m:r>
                  <m:r>
                    <m:rPr>
                      <m:sty m:val="p"/>
                    </m:rPr>
                    <w:rPr>
                      <w:rFonts w:ascii="Cambria Math" w:hAnsi="Cambria Math"/>
                    </w:rPr>
                    <m:t xml:space="preserve"> ,π</m:t>
                  </m:r>
                </m:e>
              </m:d>
            </m:num>
            <m:den>
              <m:r>
                <m:rPr>
                  <m:sty m:val="p"/>
                </m:rPr>
                <w:rPr>
                  <w:rFonts w:ascii="Cambria Math" w:hAnsi="Cambria Math"/>
                </w:rPr>
                <m:t>var</m:t>
              </m:r>
              <m:d>
                <m:dPr>
                  <m:ctrlPr>
                    <w:rPr>
                      <w:rFonts w:ascii="Cambria Math" w:hAnsi="Cambria Math"/>
                    </w:rPr>
                  </m:ctrlPr>
                </m:dPr>
                <m:e>
                  <m:r>
                    <m:rPr>
                      <m:sty m:val="p"/>
                    </m:rPr>
                    <w:rPr>
                      <w:rFonts w:ascii="Cambria Math" w:hAnsi="Cambria Math"/>
                    </w:rPr>
                    <m:t>π</m:t>
                  </m:r>
                </m:e>
              </m:d>
            </m:den>
          </m:f>
        </m:oMath>
      </m:oMathPara>
    </w:p>
    <w:p w:rsidR="002D334E" w:rsidRDefault="002D334E" w:rsidP="00C93468">
      <w:pPr>
        <w:pStyle w:val="FootnoteText"/>
        <w:tabs>
          <w:tab w:val="clear" w:pos="340"/>
          <w:tab w:val="left" w:pos="0"/>
        </w:tabs>
        <w:ind w:left="426" w:hanging="426"/>
      </w:pPr>
      <w:r>
        <w:tab/>
      </w:r>
      <w:r w:rsidRPr="0087220A">
        <w:t xml:space="preserve">If the indexed yield and breakeven rate were uncorrelated, their covariance would be zero, leading the original slope coefficient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one. If they are positively correlated, the RHS would be positive, leading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greater than one. </w:t>
      </w:r>
    </w:p>
  </w:footnote>
  <w:footnote w:id="1622">
    <w:p w:rsidR="002D334E" w:rsidRDefault="002D334E" w:rsidP="00C93468">
      <w:pPr>
        <w:pStyle w:val="FootnoteText"/>
      </w:pPr>
      <w:r>
        <w:rPr>
          <w:rStyle w:val="FootnoteReference"/>
        </w:rPr>
        <w:footnoteRef/>
      </w:r>
      <w:r>
        <w:t xml:space="preserve"> </w:t>
      </w:r>
      <w:r>
        <w:tab/>
        <w:t xml:space="preserve">See, e.g. </w:t>
      </w:r>
      <w:r w:rsidRPr="00B22FAC">
        <w:t>Ian Christensen, Frederic Dion and Christopher Reid (2004), ‘Real Return Bonds, Inflation Expectations, and the Break</w:t>
      </w:r>
      <w:r>
        <w:t>-</w:t>
      </w:r>
      <w:r w:rsidRPr="00B22FAC">
        <w:t xml:space="preserve">Even Inflation Rate’, </w:t>
      </w:r>
      <w:r w:rsidRPr="00EE45FC">
        <w:rPr>
          <w:rStyle w:val="Emphasis"/>
        </w:rPr>
        <w:t>Bank of Canada Working Paper 2004</w:t>
      </w:r>
      <w:r>
        <w:rPr>
          <w:rStyle w:val="Emphasis"/>
        </w:rPr>
        <w:t>–</w:t>
      </w:r>
      <w:r w:rsidRPr="00EE45FC">
        <w:rPr>
          <w:rStyle w:val="Emphasis"/>
        </w:rPr>
        <w:t>43</w:t>
      </w:r>
      <w:r>
        <w:t xml:space="preserve">, November, </w:t>
      </w:r>
      <w:r>
        <w:rPr>
          <w:rFonts w:asciiTheme="minorHAnsi" w:hAnsiTheme="minorHAnsi" w:cstheme="minorHAnsi"/>
          <w:sz w:val="17"/>
          <w:szCs w:val="17"/>
        </w:rPr>
        <w:t xml:space="preserve">pp 39-40. </w:t>
      </w:r>
    </w:p>
  </w:footnote>
  <w:footnote w:id="1623">
    <w:p w:rsidR="002D334E" w:rsidRDefault="002D334E" w:rsidP="00C93468">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191-192.</w:t>
      </w:r>
    </w:p>
  </w:footnote>
  <w:footnote w:id="1624">
    <w:p w:rsidR="002D334E" w:rsidRDefault="002D334E" w:rsidP="00C93468">
      <w:pPr>
        <w:pStyle w:val="FootnoteText"/>
      </w:pPr>
      <w:r>
        <w:rPr>
          <w:rStyle w:val="FootnoteReference"/>
        </w:rPr>
        <w:footnoteRef/>
      </w:r>
      <w:r>
        <w:t xml:space="preserve"> </w:t>
      </w:r>
      <w:r>
        <w:tab/>
        <w:t>NER cll. 6.4.1(a) and 6A.5.2(a).</w:t>
      </w:r>
    </w:p>
  </w:footnote>
  <w:footnote w:id="1625">
    <w:p w:rsidR="002D334E" w:rsidRDefault="002D334E" w:rsidP="00C93468">
      <w:pPr>
        <w:pStyle w:val="FootnoteText"/>
      </w:pPr>
      <w:r>
        <w:rPr>
          <w:rStyle w:val="FootnoteReference"/>
        </w:rPr>
        <w:footnoteRef/>
      </w:r>
      <w:r>
        <w:t xml:space="preserve"> </w:t>
      </w:r>
      <w:r>
        <w:tab/>
        <w:t xml:space="preserve">NER cll. </w:t>
      </w:r>
      <w:r w:rsidRPr="00F4557F">
        <w:t>6.4.2(b)(1)</w:t>
      </w:r>
      <w:r>
        <w:t xml:space="preserve"> and 6A.5.3(b)(1).</w:t>
      </w:r>
    </w:p>
  </w:footnote>
  <w:footnote w:id="1626">
    <w:p w:rsidR="002D334E" w:rsidRDefault="002D334E" w:rsidP="00C93468">
      <w:pPr>
        <w:pStyle w:val="FootnoteText"/>
      </w:pPr>
      <w:r>
        <w:rPr>
          <w:rStyle w:val="FootnoteReference"/>
        </w:rPr>
        <w:footnoteRef/>
      </w:r>
      <w:r>
        <w:t xml:space="preserve"> </w:t>
      </w:r>
      <w:r>
        <w:tab/>
        <w:t>NER cll. 6.8.2(c)(2), 6.3.1(c)(1)</w:t>
      </w:r>
      <w:r w:rsidRPr="00CA2298">
        <w:t xml:space="preserve"> </w:t>
      </w:r>
      <w:r>
        <w:t>, 6A.4.1(a), 6A.5.1(a), 6A.10.1(a), and 6A.4.1(b).</w:t>
      </w:r>
    </w:p>
  </w:footnote>
  <w:footnote w:id="1627">
    <w:p w:rsidR="002D334E" w:rsidRDefault="002D334E" w:rsidP="00C93468">
      <w:pPr>
        <w:pStyle w:val="FootnoteText"/>
      </w:pPr>
      <w:r>
        <w:rPr>
          <w:rStyle w:val="FootnoteReference"/>
        </w:rPr>
        <w:footnoteRef/>
      </w:r>
      <w:r>
        <w:t xml:space="preserve"> </w:t>
      </w:r>
      <w:r>
        <w:tab/>
        <w:t>NER cll. 6.4.1(c) and 6A.5.2(c).</w:t>
      </w:r>
    </w:p>
  </w:footnote>
  <w:footnote w:id="1628">
    <w:p w:rsidR="002D334E" w:rsidRDefault="002D334E" w:rsidP="00C93468">
      <w:pPr>
        <w:pStyle w:val="FootnoteText"/>
      </w:pPr>
      <w:r>
        <w:rPr>
          <w:rStyle w:val="FootnoteReference"/>
        </w:rPr>
        <w:footnoteRef/>
      </w:r>
      <w:r>
        <w:t xml:space="preserve"> </w:t>
      </w:r>
      <w:r>
        <w:tab/>
        <w:t>NER cll. 6.12.3(d) and 6A.14.3(b)(3).</w:t>
      </w:r>
    </w:p>
  </w:footnote>
  <w:footnote w:id="1629">
    <w:p w:rsidR="002D334E" w:rsidRDefault="002D334E" w:rsidP="00C93468">
      <w:pPr>
        <w:pStyle w:val="FootnoteText"/>
      </w:pPr>
      <w:r>
        <w:rPr>
          <w:rStyle w:val="FootnoteReference"/>
        </w:rPr>
        <w:footnoteRef/>
      </w:r>
      <w:r>
        <w:t xml:space="preserve"> </w:t>
      </w:r>
      <w:r>
        <w:tab/>
        <w:t>Application by SA Power Networks [2016] ACompT 11, para 614.</w:t>
      </w:r>
    </w:p>
  </w:footnote>
  <w:footnote w:id="1630">
    <w:p w:rsidR="002D334E" w:rsidRDefault="002D334E" w:rsidP="00C93468">
      <w:pPr>
        <w:pStyle w:val="FootnoteText"/>
      </w:pPr>
      <w:r>
        <w:rPr>
          <w:rStyle w:val="FootnoteReference"/>
        </w:rPr>
        <w:footnoteRef/>
      </w:r>
      <w:r>
        <w:t xml:space="preserve"> </w:t>
      </w:r>
      <w:r>
        <w:tab/>
      </w:r>
      <w:bookmarkStart w:id="636" w:name="MNC"/>
      <w:r>
        <w:t>Application by SA Power Networks [2016] ACompT 11</w:t>
      </w:r>
      <w:bookmarkEnd w:id="636"/>
      <w:r>
        <w:t>, para 603.</w:t>
      </w:r>
    </w:p>
  </w:footnote>
  <w:footnote w:id="1631">
    <w:p w:rsidR="002D334E" w:rsidRDefault="002D334E" w:rsidP="00C93468">
      <w:pPr>
        <w:pStyle w:val="FootnoteText"/>
      </w:pPr>
      <w:r>
        <w:rPr>
          <w:rStyle w:val="FootnoteReference"/>
        </w:rPr>
        <w:footnoteRef/>
      </w:r>
      <w:r>
        <w:t xml:space="preserve"> </w:t>
      </w:r>
      <w:r>
        <w:tab/>
        <w:t>NER cll. 6.5.1(b) and (c)</w:t>
      </w:r>
      <w:r w:rsidRPr="00CA2298">
        <w:t xml:space="preserve"> </w:t>
      </w:r>
      <w:r>
        <w:t>, and 6A.20.</w:t>
      </w:r>
    </w:p>
  </w:footnote>
  <w:footnote w:id="1632">
    <w:p w:rsidR="002D334E" w:rsidRDefault="002D334E" w:rsidP="00C93468">
      <w:pPr>
        <w:pStyle w:val="FootnoteText"/>
      </w:pPr>
      <w:r>
        <w:rPr>
          <w:rStyle w:val="FootnoteReference"/>
        </w:rPr>
        <w:footnoteRef/>
      </w:r>
      <w:r>
        <w:t xml:space="preserve"> </w:t>
      </w:r>
      <w:r>
        <w:tab/>
        <w:t>CCP, Response to AusNet Services Revised Revenue Proposal for 2017-2022, October 2016, p.17.</w:t>
      </w:r>
    </w:p>
  </w:footnote>
  <w:footnote w:id="1633">
    <w:p w:rsidR="002D334E" w:rsidRDefault="002D334E" w:rsidP="00C93468">
      <w:pPr>
        <w:pStyle w:val="FootnoteText"/>
      </w:pPr>
      <w:r>
        <w:rPr>
          <w:rStyle w:val="FootnoteReference"/>
        </w:rPr>
        <w:footnoteRef/>
      </w:r>
      <w:r>
        <w:t xml:space="preserve"> </w:t>
      </w:r>
      <w:r>
        <w:tab/>
        <w:t>AusNet Services, Submission on AusNet Services' Transmission Revised Revenue Proposal, 20 December 2016, p. 2.</w:t>
      </w:r>
    </w:p>
  </w:footnote>
  <w:footnote w:id="1634">
    <w:p w:rsidR="002D334E" w:rsidRDefault="002D334E" w:rsidP="00392FFF">
      <w:pPr>
        <w:pStyle w:val="FootnoteText"/>
      </w:pPr>
      <w:r>
        <w:rPr>
          <w:rStyle w:val="FootnoteReference"/>
        </w:rPr>
        <w:footnoteRef/>
      </w:r>
      <w:r>
        <w:t xml:space="preserve"> </w:t>
      </w:r>
      <w:r>
        <w:tab/>
        <w:t xml:space="preserve">AusNet Services, AST Transmission 2017–22 PTRM Model, October 2015; AusNet Services, AST Transmission 2017–22 PTRM Model, 25 January 2017. </w:t>
      </w:r>
    </w:p>
  </w:footnote>
  <w:footnote w:id="1635">
    <w:p w:rsidR="002D334E" w:rsidRDefault="002D334E" w:rsidP="00392FFF">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636">
    <w:p w:rsidR="002D334E" w:rsidRDefault="002D334E" w:rsidP="00392FFF">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637">
    <w:p w:rsidR="002D334E" w:rsidRDefault="002D334E" w:rsidP="00392FFF">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638">
    <w:p w:rsidR="002D334E" w:rsidRDefault="002D334E" w:rsidP="00392FFF">
      <w:pPr>
        <w:pStyle w:val="FootnoteText"/>
      </w:pPr>
      <w:r>
        <w:rPr>
          <w:rStyle w:val="FootnoteReference"/>
        </w:rPr>
        <w:footnoteRef/>
      </w:r>
      <w:r>
        <w:t xml:space="preserve"> </w:t>
      </w:r>
      <w:r>
        <w:tab/>
        <w:t xml:space="preserve">AusNet Services, </w:t>
      </w:r>
      <w:r w:rsidRPr="00FC0372">
        <w:rPr>
          <w:i/>
        </w:rPr>
        <w:t>Revised revenue proposal 2017-22</w:t>
      </w:r>
      <w:r>
        <w:t>, 21 September, 2016, p. 86.</w:t>
      </w:r>
    </w:p>
  </w:footnote>
  <w:footnote w:id="1639">
    <w:p w:rsidR="002D334E" w:rsidRDefault="002D334E" w:rsidP="00392FFF">
      <w:pPr>
        <w:pStyle w:val="FootnoteText"/>
      </w:pPr>
      <w:r>
        <w:rPr>
          <w:rStyle w:val="FootnoteReference"/>
        </w:rPr>
        <w:footnoteRef/>
      </w:r>
      <w:r>
        <w:t xml:space="preserve"> </w:t>
      </w:r>
      <w:r>
        <w:tab/>
        <w:t xml:space="preserve">AER, </w:t>
      </w:r>
      <w:r w:rsidRPr="002A032E">
        <w:rPr>
          <w:rStyle w:val="AERtextitalic"/>
        </w:rPr>
        <w:t>Final decision AusNet Services determination 2016–20 - Attachment 3 - Rate of return</w:t>
      </w:r>
      <w:r w:rsidRPr="00157C26">
        <w:t xml:space="preserve"> - </w:t>
      </w:r>
      <w:r>
        <w:t xml:space="preserve">May </w:t>
      </w:r>
      <w:r w:rsidRPr="00157C26">
        <w:t>201</w:t>
      </w:r>
      <w:r>
        <w:t>6</w:t>
      </w:r>
      <w:r w:rsidRPr="00157C26">
        <w:t xml:space="preserve">, </w:t>
      </w:r>
      <w:r>
        <w:t>Appendix K.</w:t>
      </w:r>
    </w:p>
  </w:footnote>
  <w:footnote w:id="1640">
    <w:p w:rsidR="002D334E" w:rsidRDefault="002D334E" w:rsidP="00392FFF">
      <w:pPr>
        <w:pStyle w:val="FootnoteText"/>
      </w:pPr>
      <w:r>
        <w:rPr>
          <w:rStyle w:val="FootnoteReference"/>
        </w:rPr>
        <w:footnoteRef/>
      </w:r>
      <w:r>
        <w:t xml:space="preserve"> </w:t>
      </w:r>
      <w:r>
        <w:tab/>
      </w:r>
      <w:r w:rsidRPr="00E64828">
        <w:t xml:space="preserve">The Allen Consulting Group, </w:t>
      </w:r>
      <w:r w:rsidRPr="004B7B8C">
        <w:rPr>
          <w:rStyle w:val="AERtextitalic"/>
        </w:rPr>
        <w:t>Debt and equity raising transaction costs: Final report</w:t>
      </w:r>
      <w:r w:rsidRPr="00E64828">
        <w:t>, December 2004</w:t>
      </w:r>
      <w:r>
        <w:t>.</w:t>
      </w:r>
    </w:p>
  </w:footnote>
  <w:footnote w:id="1641">
    <w:p w:rsidR="002D334E" w:rsidRDefault="002D334E" w:rsidP="00392FFF">
      <w:pPr>
        <w:pStyle w:val="FootnoteText"/>
      </w:pPr>
      <w:r>
        <w:rPr>
          <w:rStyle w:val="FootnoteReference"/>
        </w:rPr>
        <w:footnoteRef/>
      </w:r>
      <w:r>
        <w:t xml:space="preserve"> </w:t>
      </w:r>
      <w:r>
        <w:tab/>
      </w:r>
      <w:r w:rsidRPr="00E64828">
        <w:t xml:space="preserve">PricewaterhouseCoopers, </w:t>
      </w:r>
      <w:r w:rsidRPr="004B7B8C">
        <w:rPr>
          <w:rStyle w:val="AERtextitalic"/>
        </w:rPr>
        <w:t>Energy Networks Association: Debt financing costs</w:t>
      </w:r>
      <w:r w:rsidRPr="00E64828">
        <w:t xml:space="preserve">, June 2013, p. i.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17" w:rsidRDefault="003349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17" w:rsidRDefault="003349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17" w:rsidRDefault="003349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48C2A6F4"/>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D24C37"/>
    <w:multiLevelType w:val="hybridMultilevel"/>
    <w:tmpl w:val="4992F6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26AA0DA7"/>
    <w:multiLevelType w:val="multilevel"/>
    <w:tmpl w:val="2A2C2556"/>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305"/>
        </w:tabs>
        <w:ind w:left="1305" w:hanging="102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9"/>
      <w:lvlText w:val="%1.%2.%3"/>
      <w:lvlJc w:val="left"/>
      <w:pPr>
        <w:ind w:left="582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6">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7">
    <w:nsid w:val="325401B9"/>
    <w:multiLevelType w:val="hybridMultilevel"/>
    <w:tmpl w:val="0F6AC8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F640E4"/>
    <w:multiLevelType w:val="hybridMultilevel"/>
    <w:tmpl w:val="94E81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6A3DDE"/>
    <w:multiLevelType w:val="hybridMultilevel"/>
    <w:tmpl w:val="F51A789C"/>
    <w:lvl w:ilvl="0" w:tplc="92E84616">
      <w:start w:val="1"/>
      <w:numFmt w:val="bullet"/>
      <w:pStyle w:val="AERquot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5ECE4384"/>
    <w:multiLevelType w:val="multilevel"/>
    <w:tmpl w:val="2A1E44A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5497802"/>
    <w:multiLevelType w:val="hybridMultilevel"/>
    <w:tmpl w:val="8FAE9C50"/>
    <w:lvl w:ilvl="0" w:tplc="18D86C0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6DC52CE"/>
    <w:multiLevelType w:val="hybridMultilevel"/>
    <w:tmpl w:val="05ACFE50"/>
    <w:lvl w:ilvl="0" w:tplc="5CD829E8">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0"/>
  </w:num>
  <w:num w:numId="14">
    <w:abstractNumId w:val="10"/>
  </w:num>
  <w:num w:numId="15">
    <w:abstractNumId w:val="13"/>
  </w:num>
  <w:num w:numId="16">
    <w:abstractNumId w:val="22"/>
  </w:num>
  <w:num w:numId="17">
    <w:abstractNumId w:val="9"/>
  </w:num>
  <w:num w:numId="18">
    <w:abstractNumId w:val="15"/>
  </w:num>
  <w:num w:numId="19">
    <w:abstractNumId w:val="23"/>
  </w:num>
  <w:num w:numId="20">
    <w:abstractNumId w:val="31"/>
  </w:num>
  <w:num w:numId="21">
    <w:abstractNumId w:val="26"/>
  </w:num>
  <w:num w:numId="22">
    <w:abstractNumId w:val="24"/>
  </w:num>
  <w:num w:numId="23">
    <w:abstractNumId w:val="16"/>
  </w:num>
  <w:num w:numId="24">
    <w:abstractNumId w:val="25"/>
  </w:num>
  <w:num w:numId="25">
    <w:abstractNumId w:val="27"/>
  </w:num>
  <w:num w:numId="26">
    <w:abstractNumId w:val="18"/>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28"/>
  </w:num>
  <w:num w:numId="39">
    <w:abstractNumId w:val="21"/>
  </w:num>
  <w:num w:numId="40">
    <w:abstractNumId w:val="12"/>
  </w:num>
  <w:num w:numId="41">
    <w:abstractNumId w:val="29"/>
  </w:num>
  <w:num w:numId="42">
    <w:abstractNumId w:val="19"/>
  </w:num>
  <w:num w:numId="43">
    <w:abstractNumId w:val="8"/>
    <w:lvlOverride w:ilvl="0">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PZasnH8jLvs+kv2cKIARumtOpeX6SCSpz3a6Y3BdW8g=" w:saltValue="U2OhQM6Y3AAhsLTuZJsSEA==" w:algorithmName="SHA-256"/>
  <w:defaultTabStop w:val="340"/>
  <w:characterSpacingControl w:val="doNotCompress"/>
  <w:hdrShapeDefaults>
    <o:shapedefaults v:ext="edit" spidmax="347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972\D17 42467  AER - WACC - final decision - AusNet transmission final decision Attachment 3 rate of return (no RBP).DOCX"/>
  </w:docVars>
  <w:rsids>
    <w:rsidRoot w:val="00961A4A"/>
    <w:rsid w:val="000019A6"/>
    <w:rsid w:val="00001DD2"/>
    <w:rsid w:val="000035FC"/>
    <w:rsid w:val="00003643"/>
    <w:rsid w:val="00003A32"/>
    <w:rsid w:val="00005540"/>
    <w:rsid w:val="00007C77"/>
    <w:rsid w:val="00010955"/>
    <w:rsid w:val="00014C58"/>
    <w:rsid w:val="00021202"/>
    <w:rsid w:val="00021C2B"/>
    <w:rsid w:val="000225F4"/>
    <w:rsid w:val="0002321D"/>
    <w:rsid w:val="0002517F"/>
    <w:rsid w:val="00027872"/>
    <w:rsid w:val="00027EFA"/>
    <w:rsid w:val="0003100F"/>
    <w:rsid w:val="00031C17"/>
    <w:rsid w:val="00033F56"/>
    <w:rsid w:val="000343B1"/>
    <w:rsid w:val="0003578C"/>
    <w:rsid w:val="00036687"/>
    <w:rsid w:val="00040EBF"/>
    <w:rsid w:val="000457EA"/>
    <w:rsid w:val="000470A3"/>
    <w:rsid w:val="00050028"/>
    <w:rsid w:val="00053564"/>
    <w:rsid w:val="00053BB0"/>
    <w:rsid w:val="00053CED"/>
    <w:rsid w:val="00057463"/>
    <w:rsid w:val="0006305F"/>
    <w:rsid w:val="00063247"/>
    <w:rsid w:val="00063EEC"/>
    <w:rsid w:val="00064FA9"/>
    <w:rsid w:val="00066857"/>
    <w:rsid w:val="00066E1D"/>
    <w:rsid w:val="00067708"/>
    <w:rsid w:val="00070F9F"/>
    <w:rsid w:val="0007137B"/>
    <w:rsid w:val="00071636"/>
    <w:rsid w:val="00073092"/>
    <w:rsid w:val="0007424B"/>
    <w:rsid w:val="000745F9"/>
    <w:rsid w:val="00076F97"/>
    <w:rsid w:val="00077389"/>
    <w:rsid w:val="00081507"/>
    <w:rsid w:val="00081BA4"/>
    <w:rsid w:val="0008304F"/>
    <w:rsid w:val="00085663"/>
    <w:rsid w:val="00085EBF"/>
    <w:rsid w:val="000866E3"/>
    <w:rsid w:val="00086871"/>
    <w:rsid w:val="00087EB6"/>
    <w:rsid w:val="000917F2"/>
    <w:rsid w:val="00092F0E"/>
    <w:rsid w:val="000A0378"/>
    <w:rsid w:val="000A077B"/>
    <w:rsid w:val="000A1E5B"/>
    <w:rsid w:val="000A3020"/>
    <w:rsid w:val="000A3B74"/>
    <w:rsid w:val="000A6C7B"/>
    <w:rsid w:val="000B3020"/>
    <w:rsid w:val="000B321F"/>
    <w:rsid w:val="000B3F7D"/>
    <w:rsid w:val="000B5500"/>
    <w:rsid w:val="000C2B40"/>
    <w:rsid w:val="000D122C"/>
    <w:rsid w:val="000D24A6"/>
    <w:rsid w:val="000D34B6"/>
    <w:rsid w:val="000D40F2"/>
    <w:rsid w:val="000D56E0"/>
    <w:rsid w:val="000D5DA8"/>
    <w:rsid w:val="000E16EB"/>
    <w:rsid w:val="000E1819"/>
    <w:rsid w:val="000E42B2"/>
    <w:rsid w:val="000E4821"/>
    <w:rsid w:val="000E57E3"/>
    <w:rsid w:val="000E594D"/>
    <w:rsid w:val="000E5964"/>
    <w:rsid w:val="000E6C72"/>
    <w:rsid w:val="000F18DA"/>
    <w:rsid w:val="000F5221"/>
    <w:rsid w:val="001003E9"/>
    <w:rsid w:val="0010101E"/>
    <w:rsid w:val="00101608"/>
    <w:rsid w:val="001043A2"/>
    <w:rsid w:val="00110816"/>
    <w:rsid w:val="00113EAF"/>
    <w:rsid w:val="001160B7"/>
    <w:rsid w:val="00116EB2"/>
    <w:rsid w:val="001203C4"/>
    <w:rsid w:val="00122F86"/>
    <w:rsid w:val="00123E0C"/>
    <w:rsid w:val="00124609"/>
    <w:rsid w:val="00125A18"/>
    <w:rsid w:val="00125D20"/>
    <w:rsid w:val="00126A4C"/>
    <w:rsid w:val="00130F99"/>
    <w:rsid w:val="00132A6D"/>
    <w:rsid w:val="0013636F"/>
    <w:rsid w:val="001430EC"/>
    <w:rsid w:val="00143FA4"/>
    <w:rsid w:val="0014573B"/>
    <w:rsid w:val="00145971"/>
    <w:rsid w:val="00145D24"/>
    <w:rsid w:val="00146063"/>
    <w:rsid w:val="00146770"/>
    <w:rsid w:val="001502BF"/>
    <w:rsid w:val="001516D1"/>
    <w:rsid w:val="0015508E"/>
    <w:rsid w:val="00156301"/>
    <w:rsid w:val="001573E4"/>
    <w:rsid w:val="00160756"/>
    <w:rsid w:val="00162BD4"/>
    <w:rsid w:val="0016738D"/>
    <w:rsid w:val="001722C0"/>
    <w:rsid w:val="0017232E"/>
    <w:rsid w:val="00173350"/>
    <w:rsid w:val="00174102"/>
    <w:rsid w:val="001754EE"/>
    <w:rsid w:val="00176860"/>
    <w:rsid w:val="001769A2"/>
    <w:rsid w:val="00176FB0"/>
    <w:rsid w:val="00180157"/>
    <w:rsid w:val="00180347"/>
    <w:rsid w:val="00183887"/>
    <w:rsid w:val="00183CCF"/>
    <w:rsid w:val="00185424"/>
    <w:rsid w:val="00185C55"/>
    <w:rsid w:val="00185CB9"/>
    <w:rsid w:val="00185FF8"/>
    <w:rsid w:val="00186DBF"/>
    <w:rsid w:val="00186F77"/>
    <w:rsid w:val="001921F2"/>
    <w:rsid w:val="001926A4"/>
    <w:rsid w:val="00192AD5"/>
    <w:rsid w:val="00196CC7"/>
    <w:rsid w:val="001A1C41"/>
    <w:rsid w:val="001A63AF"/>
    <w:rsid w:val="001A7089"/>
    <w:rsid w:val="001B2529"/>
    <w:rsid w:val="001B45A0"/>
    <w:rsid w:val="001B566E"/>
    <w:rsid w:val="001B5D4D"/>
    <w:rsid w:val="001B65C8"/>
    <w:rsid w:val="001D055E"/>
    <w:rsid w:val="001D0DFC"/>
    <w:rsid w:val="001D12C1"/>
    <w:rsid w:val="001D35A1"/>
    <w:rsid w:val="001D3C09"/>
    <w:rsid w:val="001D4715"/>
    <w:rsid w:val="001D56B0"/>
    <w:rsid w:val="001D685F"/>
    <w:rsid w:val="001E2BC8"/>
    <w:rsid w:val="001E4057"/>
    <w:rsid w:val="001E4D2A"/>
    <w:rsid w:val="001E5F8E"/>
    <w:rsid w:val="001E6CAD"/>
    <w:rsid w:val="001F3118"/>
    <w:rsid w:val="001F492E"/>
    <w:rsid w:val="001F54F6"/>
    <w:rsid w:val="001F6DA3"/>
    <w:rsid w:val="002010BC"/>
    <w:rsid w:val="002016E7"/>
    <w:rsid w:val="002025D4"/>
    <w:rsid w:val="00202E03"/>
    <w:rsid w:val="00203359"/>
    <w:rsid w:val="00203DFA"/>
    <w:rsid w:val="0020492C"/>
    <w:rsid w:val="00206151"/>
    <w:rsid w:val="00206193"/>
    <w:rsid w:val="002068DC"/>
    <w:rsid w:val="00206A59"/>
    <w:rsid w:val="0021305D"/>
    <w:rsid w:val="0021761B"/>
    <w:rsid w:val="00217DF8"/>
    <w:rsid w:val="00220907"/>
    <w:rsid w:val="00222E5F"/>
    <w:rsid w:val="00224657"/>
    <w:rsid w:val="00224819"/>
    <w:rsid w:val="00224DB9"/>
    <w:rsid w:val="00226E14"/>
    <w:rsid w:val="00231C4B"/>
    <w:rsid w:val="00231E45"/>
    <w:rsid w:val="00233775"/>
    <w:rsid w:val="002435F7"/>
    <w:rsid w:val="00245D0E"/>
    <w:rsid w:val="002479C8"/>
    <w:rsid w:val="0025059A"/>
    <w:rsid w:val="00251745"/>
    <w:rsid w:val="002520D1"/>
    <w:rsid w:val="00263A15"/>
    <w:rsid w:val="00263AC0"/>
    <w:rsid w:val="00264264"/>
    <w:rsid w:val="002656D9"/>
    <w:rsid w:val="00266238"/>
    <w:rsid w:val="00266C03"/>
    <w:rsid w:val="0026772D"/>
    <w:rsid w:val="00270218"/>
    <w:rsid w:val="00276267"/>
    <w:rsid w:val="002813FD"/>
    <w:rsid w:val="002837FC"/>
    <w:rsid w:val="00284118"/>
    <w:rsid w:val="00286874"/>
    <w:rsid w:val="002876B3"/>
    <w:rsid w:val="00290C63"/>
    <w:rsid w:val="00290EAC"/>
    <w:rsid w:val="00291828"/>
    <w:rsid w:val="0029294F"/>
    <w:rsid w:val="00296B65"/>
    <w:rsid w:val="00297B6A"/>
    <w:rsid w:val="00297C2E"/>
    <w:rsid w:val="002A0C23"/>
    <w:rsid w:val="002A118C"/>
    <w:rsid w:val="002A27CF"/>
    <w:rsid w:val="002A433D"/>
    <w:rsid w:val="002A4528"/>
    <w:rsid w:val="002A5F3D"/>
    <w:rsid w:val="002A64B4"/>
    <w:rsid w:val="002A7DEF"/>
    <w:rsid w:val="002B2285"/>
    <w:rsid w:val="002B33C7"/>
    <w:rsid w:val="002C045A"/>
    <w:rsid w:val="002C0FE6"/>
    <w:rsid w:val="002C233C"/>
    <w:rsid w:val="002C441B"/>
    <w:rsid w:val="002C6917"/>
    <w:rsid w:val="002D2333"/>
    <w:rsid w:val="002D334E"/>
    <w:rsid w:val="002D4DAA"/>
    <w:rsid w:val="002D701C"/>
    <w:rsid w:val="002D72E8"/>
    <w:rsid w:val="002E1F4A"/>
    <w:rsid w:val="002E20F1"/>
    <w:rsid w:val="002E61A7"/>
    <w:rsid w:val="002E790A"/>
    <w:rsid w:val="002E7B22"/>
    <w:rsid w:val="002F0E35"/>
    <w:rsid w:val="002F5AB4"/>
    <w:rsid w:val="002F6361"/>
    <w:rsid w:val="002F7986"/>
    <w:rsid w:val="0030019B"/>
    <w:rsid w:val="00301B40"/>
    <w:rsid w:val="003029EE"/>
    <w:rsid w:val="00304D51"/>
    <w:rsid w:val="003053D4"/>
    <w:rsid w:val="00305CC8"/>
    <w:rsid w:val="00307F6D"/>
    <w:rsid w:val="0031017A"/>
    <w:rsid w:val="0031021A"/>
    <w:rsid w:val="00310F69"/>
    <w:rsid w:val="0031162C"/>
    <w:rsid w:val="0031707B"/>
    <w:rsid w:val="0031715E"/>
    <w:rsid w:val="003172FB"/>
    <w:rsid w:val="003177A2"/>
    <w:rsid w:val="00320EBF"/>
    <w:rsid w:val="003271B5"/>
    <w:rsid w:val="00327929"/>
    <w:rsid w:val="00327A1E"/>
    <w:rsid w:val="00330965"/>
    <w:rsid w:val="00331264"/>
    <w:rsid w:val="00334917"/>
    <w:rsid w:val="00334C8D"/>
    <w:rsid w:val="003357F0"/>
    <w:rsid w:val="003379AF"/>
    <w:rsid w:val="0034234A"/>
    <w:rsid w:val="0034344E"/>
    <w:rsid w:val="00343A18"/>
    <w:rsid w:val="00345EDF"/>
    <w:rsid w:val="00346F38"/>
    <w:rsid w:val="003479F6"/>
    <w:rsid w:val="00351528"/>
    <w:rsid w:val="00351675"/>
    <w:rsid w:val="003518B3"/>
    <w:rsid w:val="00351AEB"/>
    <w:rsid w:val="00352220"/>
    <w:rsid w:val="0036117F"/>
    <w:rsid w:val="0036289C"/>
    <w:rsid w:val="00362C11"/>
    <w:rsid w:val="00364C53"/>
    <w:rsid w:val="0036545E"/>
    <w:rsid w:val="003707F4"/>
    <w:rsid w:val="003712BF"/>
    <w:rsid w:val="00375C6E"/>
    <w:rsid w:val="00376F04"/>
    <w:rsid w:val="003846F1"/>
    <w:rsid w:val="00385F4D"/>
    <w:rsid w:val="0038658A"/>
    <w:rsid w:val="003903F6"/>
    <w:rsid w:val="00390756"/>
    <w:rsid w:val="003917E7"/>
    <w:rsid w:val="00392FFF"/>
    <w:rsid w:val="00393010"/>
    <w:rsid w:val="00395B78"/>
    <w:rsid w:val="003A0850"/>
    <w:rsid w:val="003A25C1"/>
    <w:rsid w:val="003A52B7"/>
    <w:rsid w:val="003A7D32"/>
    <w:rsid w:val="003B1D5C"/>
    <w:rsid w:val="003B484F"/>
    <w:rsid w:val="003B7FBA"/>
    <w:rsid w:val="003C272E"/>
    <w:rsid w:val="003C303F"/>
    <w:rsid w:val="003C3081"/>
    <w:rsid w:val="003C3A9C"/>
    <w:rsid w:val="003C4BDD"/>
    <w:rsid w:val="003C5C21"/>
    <w:rsid w:val="003D0930"/>
    <w:rsid w:val="003D1D59"/>
    <w:rsid w:val="003E0046"/>
    <w:rsid w:val="003E0A44"/>
    <w:rsid w:val="003E3DC3"/>
    <w:rsid w:val="003E4202"/>
    <w:rsid w:val="003E5F9E"/>
    <w:rsid w:val="003E6448"/>
    <w:rsid w:val="003E6694"/>
    <w:rsid w:val="003F025A"/>
    <w:rsid w:val="003F174D"/>
    <w:rsid w:val="003F26EA"/>
    <w:rsid w:val="00400514"/>
    <w:rsid w:val="00400B32"/>
    <w:rsid w:val="004046B2"/>
    <w:rsid w:val="00405AF1"/>
    <w:rsid w:val="004062E0"/>
    <w:rsid w:val="00407455"/>
    <w:rsid w:val="00410AB6"/>
    <w:rsid w:val="00415F31"/>
    <w:rsid w:val="00421AC1"/>
    <w:rsid w:val="00421CDD"/>
    <w:rsid w:val="004220C7"/>
    <w:rsid w:val="00423A77"/>
    <w:rsid w:val="00430FD3"/>
    <w:rsid w:val="004325E9"/>
    <w:rsid w:val="004358A8"/>
    <w:rsid w:val="00442B70"/>
    <w:rsid w:val="00442E6A"/>
    <w:rsid w:val="00442F6B"/>
    <w:rsid w:val="0044338D"/>
    <w:rsid w:val="0044491B"/>
    <w:rsid w:val="00451C27"/>
    <w:rsid w:val="00452704"/>
    <w:rsid w:val="00455E57"/>
    <w:rsid w:val="004574AD"/>
    <w:rsid w:val="0045777E"/>
    <w:rsid w:val="00457A06"/>
    <w:rsid w:val="004625E2"/>
    <w:rsid w:val="0046271E"/>
    <w:rsid w:val="00462CE9"/>
    <w:rsid w:val="00464682"/>
    <w:rsid w:val="00464C22"/>
    <w:rsid w:val="00475461"/>
    <w:rsid w:val="00475EF7"/>
    <w:rsid w:val="00480B4B"/>
    <w:rsid w:val="0048197D"/>
    <w:rsid w:val="00481BBE"/>
    <w:rsid w:val="0048274C"/>
    <w:rsid w:val="0048292C"/>
    <w:rsid w:val="004830D0"/>
    <w:rsid w:val="00485DC4"/>
    <w:rsid w:val="00486EA0"/>
    <w:rsid w:val="00491349"/>
    <w:rsid w:val="00492389"/>
    <w:rsid w:val="004930DE"/>
    <w:rsid w:val="00495310"/>
    <w:rsid w:val="0049598C"/>
    <w:rsid w:val="00496561"/>
    <w:rsid w:val="004972C2"/>
    <w:rsid w:val="004A214E"/>
    <w:rsid w:val="004A3FF1"/>
    <w:rsid w:val="004A411C"/>
    <w:rsid w:val="004A43D1"/>
    <w:rsid w:val="004A4FC3"/>
    <w:rsid w:val="004A74E5"/>
    <w:rsid w:val="004B005B"/>
    <w:rsid w:val="004B4412"/>
    <w:rsid w:val="004C348C"/>
    <w:rsid w:val="004C5BB1"/>
    <w:rsid w:val="004C69BA"/>
    <w:rsid w:val="004C739E"/>
    <w:rsid w:val="004D4888"/>
    <w:rsid w:val="004D55BA"/>
    <w:rsid w:val="004D6A10"/>
    <w:rsid w:val="004E1D72"/>
    <w:rsid w:val="004E22EC"/>
    <w:rsid w:val="004E42FF"/>
    <w:rsid w:val="004E4E6D"/>
    <w:rsid w:val="004F088A"/>
    <w:rsid w:val="004F223F"/>
    <w:rsid w:val="004F6A0E"/>
    <w:rsid w:val="004F6D1E"/>
    <w:rsid w:val="00500FB8"/>
    <w:rsid w:val="00501F99"/>
    <w:rsid w:val="00506611"/>
    <w:rsid w:val="0051093A"/>
    <w:rsid w:val="00513224"/>
    <w:rsid w:val="00515C0C"/>
    <w:rsid w:val="005178E6"/>
    <w:rsid w:val="0052093D"/>
    <w:rsid w:val="0052170E"/>
    <w:rsid w:val="00522EA2"/>
    <w:rsid w:val="00523509"/>
    <w:rsid w:val="00523854"/>
    <w:rsid w:val="00525368"/>
    <w:rsid w:val="00526EAA"/>
    <w:rsid w:val="00530128"/>
    <w:rsid w:val="00532467"/>
    <w:rsid w:val="00532FEF"/>
    <w:rsid w:val="00537545"/>
    <w:rsid w:val="00540418"/>
    <w:rsid w:val="005414F9"/>
    <w:rsid w:val="005422DC"/>
    <w:rsid w:val="00543A5B"/>
    <w:rsid w:val="00544C12"/>
    <w:rsid w:val="00551D58"/>
    <w:rsid w:val="00553342"/>
    <w:rsid w:val="0055669A"/>
    <w:rsid w:val="00561DD2"/>
    <w:rsid w:val="00562786"/>
    <w:rsid w:val="00563C02"/>
    <w:rsid w:val="00564A4D"/>
    <w:rsid w:val="00566163"/>
    <w:rsid w:val="00566A90"/>
    <w:rsid w:val="00567BA5"/>
    <w:rsid w:val="00570C9B"/>
    <w:rsid w:val="00571B35"/>
    <w:rsid w:val="00571D57"/>
    <w:rsid w:val="0057502F"/>
    <w:rsid w:val="00577A09"/>
    <w:rsid w:val="00577B98"/>
    <w:rsid w:val="005829C2"/>
    <w:rsid w:val="00584D8F"/>
    <w:rsid w:val="00585225"/>
    <w:rsid w:val="00585EC9"/>
    <w:rsid w:val="00586239"/>
    <w:rsid w:val="0059002D"/>
    <w:rsid w:val="00594C61"/>
    <w:rsid w:val="00594D19"/>
    <w:rsid w:val="00596021"/>
    <w:rsid w:val="00597801"/>
    <w:rsid w:val="005A10AA"/>
    <w:rsid w:val="005A28D5"/>
    <w:rsid w:val="005A404D"/>
    <w:rsid w:val="005A6140"/>
    <w:rsid w:val="005A61F0"/>
    <w:rsid w:val="005B0820"/>
    <w:rsid w:val="005B1E3C"/>
    <w:rsid w:val="005B24D0"/>
    <w:rsid w:val="005B313B"/>
    <w:rsid w:val="005B3C75"/>
    <w:rsid w:val="005B5A47"/>
    <w:rsid w:val="005B704A"/>
    <w:rsid w:val="005C106B"/>
    <w:rsid w:val="005C20C3"/>
    <w:rsid w:val="005C26CC"/>
    <w:rsid w:val="005C2998"/>
    <w:rsid w:val="005C7F05"/>
    <w:rsid w:val="005D13D4"/>
    <w:rsid w:val="005D2377"/>
    <w:rsid w:val="005D653A"/>
    <w:rsid w:val="005D7BA2"/>
    <w:rsid w:val="005D7D02"/>
    <w:rsid w:val="005E0CBF"/>
    <w:rsid w:val="005E1C36"/>
    <w:rsid w:val="005E2D1E"/>
    <w:rsid w:val="005E36C2"/>
    <w:rsid w:val="005E3878"/>
    <w:rsid w:val="005E3C01"/>
    <w:rsid w:val="005E5104"/>
    <w:rsid w:val="005E629E"/>
    <w:rsid w:val="005E6E22"/>
    <w:rsid w:val="005F17A2"/>
    <w:rsid w:val="005F2BC3"/>
    <w:rsid w:val="005F2F84"/>
    <w:rsid w:val="005F3BAD"/>
    <w:rsid w:val="005F3CA6"/>
    <w:rsid w:val="005F42EC"/>
    <w:rsid w:val="005F7600"/>
    <w:rsid w:val="006009F1"/>
    <w:rsid w:val="00603D2C"/>
    <w:rsid w:val="00604AA9"/>
    <w:rsid w:val="006051BD"/>
    <w:rsid w:val="00607138"/>
    <w:rsid w:val="00612F4F"/>
    <w:rsid w:val="00615485"/>
    <w:rsid w:val="00615C6B"/>
    <w:rsid w:val="00615DA8"/>
    <w:rsid w:val="00621601"/>
    <w:rsid w:val="00621BB0"/>
    <w:rsid w:val="00621CD6"/>
    <w:rsid w:val="00621DCE"/>
    <w:rsid w:val="00631982"/>
    <w:rsid w:val="00632D6D"/>
    <w:rsid w:val="00635D29"/>
    <w:rsid w:val="00636ED5"/>
    <w:rsid w:val="0063759E"/>
    <w:rsid w:val="00640296"/>
    <w:rsid w:val="00640B09"/>
    <w:rsid w:val="0064130D"/>
    <w:rsid w:val="00642C3E"/>
    <w:rsid w:val="00643825"/>
    <w:rsid w:val="006527D1"/>
    <w:rsid w:val="0065306C"/>
    <w:rsid w:val="006537AA"/>
    <w:rsid w:val="00654111"/>
    <w:rsid w:val="00654881"/>
    <w:rsid w:val="0065573A"/>
    <w:rsid w:val="006560A1"/>
    <w:rsid w:val="006566E4"/>
    <w:rsid w:val="006605BD"/>
    <w:rsid w:val="0066104A"/>
    <w:rsid w:val="00663DAD"/>
    <w:rsid w:val="00664172"/>
    <w:rsid w:val="00664F75"/>
    <w:rsid w:val="00665696"/>
    <w:rsid w:val="00666644"/>
    <w:rsid w:val="00670389"/>
    <w:rsid w:val="00675E20"/>
    <w:rsid w:val="00676679"/>
    <w:rsid w:val="00680BC2"/>
    <w:rsid w:val="00683C89"/>
    <w:rsid w:val="006840C4"/>
    <w:rsid w:val="00690F3B"/>
    <w:rsid w:val="006912FE"/>
    <w:rsid w:val="006914B3"/>
    <w:rsid w:val="00692233"/>
    <w:rsid w:val="006A07DE"/>
    <w:rsid w:val="006A08A8"/>
    <w:rsid w:val="006A3314"/>
    <w:rsid w:val="006A416A"/>
    <w:rsid w:val="006A6FF1"/>
    <w:rsid w:val="006B0F74"/>
    <w:rsid w:val="006B1751"/>
    <w:rsid w:val="006B2395"/>
    <w:rsid w:val="006B240A"/>
    <w:rsid w:val="006B4A74"/>
    <w:rsid w:val="006B4CF9"/>
    <w:rsid w:val="006B6535"/>
    <w:rsid w:val="006B701F"/>
    <w:rsid w:val="006B7AC8"/>
    <w:rsid w:val="006C1736"/>
    <w:rsid w:val="006C364F"/>
    <w:rsid w:val="006C4D48"/>
    <w:rsid w:val="006C50C0"/>
    <w:rsid w:val="006D0F60"/>
    <w:rsid w:val="006D5008"/>
    <w:rsid w:val="006D550F"/>
    <w:rsid w:val="006D5A42"/>
    <w:rsid w:val="006E04B7"/>
    <w:rsid w:val="006E27DA"/>
    <w:rsid w:val="006E3B1E"/>
    <w:rsid w:val="006E4ADB"/>
    <w:rsid w:val="006E7560"/>
    <w:rsid w:val="006F0977"/>
    <w:rsid w:val="006F789C"/>
    <w:rsid w:val="006F79E0"/>
    <w:rsid w:val="006F7DD8"/>
    <w:rsid w:val="007004E9"/>
    <w:rsid w:val="00701CAB"/>
    <w:rsid w:val="0070354B"/>
    <w:rsid w:val="00703D76"/>
    <w:rsid w:val="007065E8"/>
    <w:rsid w:val="00707563"/>
    <w:rsid w:val="00713956"/>
    <w:rsid w:val="007139C9"/>
    <w:rsid w:val="00714899"/>
    <w:rsid w:val="007151C3"/>
    <w:rsid w:val="00720341"/>
    <w:rsid w:val="0072348C"/>
    <w:rsid w:val="00724A37"/>
    <w:rsid w:val="0072561F"/>
    <w:rsid w:val="007303C3"/>
    <w:rsid w:val="00731756"/>
    <w:rsid w:val="00732CA0"/>
    <w:rsid w:val="00733A68"/>
    <w:rsid w:val="00734BA4"/>
    <w:rsid w:val="00735D0E"/>
    <w:rsid w:val="00736065"/>
    <w:rsid w:val="007370F1"/>
    <w:rsid w:val="00740003"/>
    <w:rsid w:val="0074257E"/>
    <w:rsid w:val="007429BE"/>
    <w:rsid w:val="00742E6B"/>
    <w:rsid w:val="00743223"/>
    <w:rsid w:val="007447DC"/>
    <w:rsid w:val="00744C5A"/>
    <w:rsid w:val="00746513"/>
    <w:rsid w:val="00746E01"/>
    <w:rsid w:val="00747A2C"/>
    <w:rsid w:val="007508A3"/>
    <w:rsid w:val="00757364"/>
    <w:rsid w:val="00757BDF"/>
    <w:rsid w:val="007609D0"/>
    <w:rsid w:val="007614DD"/>
    <w:rsid w:val="00763E2F"/>
    <w:rsid w:val="00763E5D"/>
    <w:rsid w:val="00765078"/>
    <w:rsid w:val="00767740"/>
    <w:rsid w:val="007725F2"/>
    <w:rsid w:val="00772B77"/>
    <w:rsid w:val="00777EE6"/>
    <w:rsid w:val="00781C71"/>
    <w:rsid w:val="00782EEA"/>
    <w:rsid w:val="00783A3A"/>
    <w:rsid w:val="007858BF"/>
    <w:rsid w:val="0078790F"/>
    <w:rsid w:val="00790265"/>
    <w:rsid w:val="007902A4"/>
    <w:rsid w:val="007927B0"/>
    <w:rsid w:val="00792C6E"/>
    <w:rsid w:val="00796270"/>
    <w:rsid w:val="007967C0"/>
    <w:rsid w:val="00796D18"/>
    <w:rsid w:val="00797315"/>
    <w:rsid w:val="007A3121"/>
    <w:rsid w:val="007A3664"/>
    <w:rsid w:val="007B186E"/>
    <w:rsid w:val="007B2C72"/>
    <w:rsid w:val="007B74B0"/>
    <w:rsid w:val="007C1C53"/>
    <w:rsid w:val="007C3536"/>
    <w:rsid w:val="007C3A1D"/>
    <w:rsid w:val="007C4678"/>
    <w:rsid w:val="007C4A3C"/>
    <w:rsid w:val="007C6250"/>
    <w:rsid w:val="007C74BB"/>
    <w:rsid w:val="007C7B20"/>
    <w:rsid w:val="007D1C3D"/>
    <w:rsid w:val="007D2A5D"/>
    <w:rsid w:val="007D456E"/>
    <w:rsid w:val="007D555B"/>
    <w:rsid w:val="007D7D01"/>
    <w:rsid w:val="007E1962"/>
    <w:rsid w:val="007E1FD6"/>
    <w:rsid w:val="007E21A1"/>
    <w:rsid w:val="007E23EF"/>
    <w:rsid w:val="007E4904"/>
    <w:rsid w:val="007E4CB5"/>
    <w:rsid w:val="007E5FF4"/>
    <w:rsid w:val="007F066B"/>
    <w:rsid w:val="007F2F06"/>
    <w:rsid w:val="007F3E07"/>
    <w:rsid w:val="007F4229"/>
    <w:rsid w:val="00800A30"/>
    <w:rsid w:val="008033C4"/>
    <w:rsid w:val="0080518E"/>
    <w:rsid w:val="00805A83"/>
    <w:rsid w:val="00806C88"/>
    <w:rsid w:val="0081034E"/>
    <w:rsid w:val="00813238"/>
    <w:rsid w:val="008170C4"/>
    <w:rsid w:val="00817EEF"/>
    <w:rsid w:val="0082114E"/>
    <w:rsid w:val="00821AEE"/>
    <w:rsid w:val="00826060"/>
    <w:rsid w:val="00827E36"/>
    <w:rsid w:val="008344F6"/>
    <w:rsid w:val="00834500"/>
    <w:rsid w:val="0083510F"/>
    <w:rsid w:val="0084079E"/>
    <w:rsid w:val="008423B5"/>
    <w:rsid w:val="00842AFA"/>
    <w:rsid w:val="00842D08"/>
    <w:rsid w:val="00842E66"/>
    <w:rsid w:val="008433AB"/>
    <w:rsid w:val="008472F7"/>
    <w:rsid w:val="00847513"/>
    <w:rsid w:val="00851209"/>
    <w:rsid w:val="008520A5"/>
    <w:rsid w:val="008520D1"/>
    <w:rsid w:val="008525C4"/>
    <w:rsid w:val="0085280E"/>
    <w:rsid w:val="00853443"/>
    <w:rsid w:val="008556CC"/>
    <w:rsid w:val="0086018D"/>
    <w:rsid w:val="0086418D"/>
    <w:rsid w:val="00866B7A"/>
    <w:rsid w:val="00867D79"/>
    <w:rsid w:val="008729A6"/>
    <w:rsid w:val="0087365A"/>
    <w:rsid w:val="008748BA"/>
    <w:rsid w:val="008748DA"/>
    <w:rsid w:val="008764CF"/>
    <w:rsid w:val="0087675F"/>
    <w:rsid w:val="0087773E"/>
    <w:rsid w:val="00880CE2"/>
    <w:rsid w:val="008837AC"/>
    <w:rsid w:val="00884E51"/>
    <w:rsid w:val="0089007A"/>
    <w:rsid w:val="008908AB"/>
    <w:rsid w:val="00891CF4"/>
    <w:rsid w:val="00892BC8"/>
    <w:rsid w:val="0089473C"/>
    <w:rsid w:val="00894A39"/>
    <w:rsid w:val="00895145"/>
    <w:rsid w:val="00895FED"/>
    <w:rsid w:val="008A0A6F"/>
    <w:rsid w:val="008A12C8"/>
    <w:rsid w:val="008A2B2B"/>
    <w:rsid w:val="008A3182"/>
    <w:rsid w:val="008A451E"/>
    <w:rsid w:val="008A587D"/>
    <w:rsid w:val="008B13F0"/>
    <w:rsid w:val="008B2351"/>
    <w:rsid w:val="008B265F"/>
    <w:rsid w:val="008B35CD"/>
    <w:rsid w:val="008B3640"/>
    <w:rsid w:val="008B41F6"/>
    <w:rsid w:val="008B5FCC"/>
    <w:rsid w:val="008B721C"/>
    <w:rsid w:val="008C4977"/>
    <w:rsid w:val="008C53C2"/>
    <w:rsid w:val="008C5486"/>
    <w:rsid w:val="008D113E"/>
    <w:rsid w:val="008D161E"/>
    <w:rsid w:val="008D1661"/>
    <w:rsid w:val="008D170F"/>
    <w:rsid w:val="008D18DD"/>
    <w:rsid w:val="008D2F88"/>
    <w:rsid w:val="008D52B7"/>
    <w:rsid w:val="008D75FD"/>
    <w:rsid w:val="008D7916"/>
    <w:rsid w:val="008E7031"/>
    <w:rsid w:val="008E77DE"/>
    <w:rsid w:val="008F07A3"/>
    <w:rsid w:val="008F29C8"/>
    <w:rsid w:val="008F49AA"/>
    <w:rsid w:val="009001B6"/>
    <w:rsid w:val="00900E1B"/>
    <w:rsid w:val="00901E2A"/>
    <w:rsid w:val="0090431C"/>
    <w:rsid w:val="00904E21"/>
    <w:rsid w:val="00905FEC"/>
    <w:rsid w:val="00906349"/>
    <w:rsid w:val="00906737"/>
    <w:rsid w:val="00907506"/>
    <w:rsid w:val="00907B76"/>
    <w:rsid w:val="00907E8E"/>
    <w:rsid w:val="0091128B"/>
    <w:rsid w:val="00913086"/>
    <w:rsid w:val="009211CA"/>
    <w:rsid w:val="009233EE"/>
    <w:rsid w:val="00925AAC"/>
    <w:rsid w:val="00927F59"/>
    <w:rsid w:val="009377B4"/>
    <w:rsid w:val="00945C0A"/>
    <w:rsid w:val="00945D68"/>
    <w:rsid w:val="009460AA"/>
    <w:rsid w:val="00950A65"/>
    <w:rsid w:val="00950EA8"/>
    <w:rsid w:val="00951978"/>
    <w:rsid w:val="00954A0B"/>
    <w:rsid w:val="00955B8B"/>
    <w:rsid w:val="00956D15"/>
    <w:rsid w:val="0095716E"/>
    <w:rsid w:val="00961A4A"/>
    <w:rsid w:val="00965F4A"/>
    <w:rsid w:val="009661DE"/>
    <w:rsid w:val="00967B19"/>
    <w:rsid w:val="00982130"/>
    <w:rsid w:val="00983C25"/>
    <w:rsid w:val="009856B7"/>
    <w:rsid w:val="00985C86"/>
    <w:rsid w:val="00995478"/>
    <w:rsid w:val="00996349"/>
    <w:rsid w:val="00996A8E"/>
    <w:rsid w:val="00996F81"/>
    <w:rsid w:val="009A03CB"/>
    <w:rsid w:val="009A1A4E"/>
    <w:rsid w:val="009A33A2"/>
    <w:rsid w:val="009A5FC3"/>
    <w:rsid w:val="009A792A"/>
    <w:rsid w:val="009A7D9D"/>
    <w:rsid w:val="009B090B"/>
    <w:rsid w:val="009B515A"/>
    <w:rsid w:val="009B74B0"/>
    <w:rsid w:val="009C0D47"/>
    <w:rsid w:val="009C2886"/>
    <w:rsid w:val="009D0037"/>
    <w:rsid w:val="009D1AA8"/>
    <w:rsid w:val="009D1E8B"/>
    <w:rsid w:val="009D232F"/>
    <w:rsid w:val="009D35A0"/>
    <w:rsid w:val="009D3906"/>
    <w:rsid w:val="009D3A48"/>
    <w:rsid w:val="009D5C18"/>
    <w:rsid w:val="009D6B46"/>
    <w:rsid w:val="009D6D71"/>
    <w:rsid w:val="009E039B"/>
    <w:rsid w:val="009E2AB3"/>
    <w:rsid w:val="009E2CDF"/>
    <w:rsid w:val="009E6455"/>
    <w:rsid w:val="009F0858"/>
    <w:rsid w:val="009F4940"/>
    <w:rsid w:val="009F580A"/>
    <w:rsid w:val="009F5BA1"/>
    <w:rsid w:val="009F5F73"/>
    <w:rsid w:val="00A00681"/>
    <w:rsid w:val="00A0245F"/>
    <w:rsid w:val="00A02A88"/>
    <w:rsid w:val="00A04813"/>
    <w:rsid w:val="00A0562E"/>
    <w:rsid w:val="00A06940"/>
    <w:rsid w:val="00A0726D"/>
    <w:rsid w:val="00A10224"/>
    <w:rsid w:val="00A13D81"/>
    <w:rsid w:val="00A146A3"/>
    <w:rsid w:val="00A14E1D"/>
    <w:rsid w:val="00A164C0"/>
    <w:rsid w:val="00A176EC"/>
    <w:rsid w:val="00A210B3"/>
    <w:rsid w:val="00A2305F"/>
    <w:rsid w:val="00A24DED"/>
    <w:rsid w:val="00A32FBB"/>
    <w:rsid w:val="00A34043"/>
    <w:rsid w:val="00A344D3"/>
    <w:rsid w:val="00A3486A"/>
    <w:rsid w:val="00A4070F"/>
    <w:rsid w:val="00A40DE9"/>
    <w:rsid w:val="00A428EE"/>
    <w:rsid w:val="00A4295D"/>
    <w:rsid w:val="00A42F74"/>
    <w:rsid w:val="00A445F5"/>
    <w:rsid w:val="00A4478A"/>
    <w:rsid w:val="00A44852"/>
    <w:rsid w:val="00A5535D"/>
    <w:rsid w:val="00A55C4E"/>
    <w:rsid w:val="00A570A2"/>
    <w:rsid w:val="00A57694"/>
    <w:rsid w:val="00A57D04"/>
    <w:rsid w:val="00A608C9"/>
    <w:rsid w:val="00A6098D"/>
    <w:rsid w:val="00A60A26"/>
    <w:rsid w:val="00A61598"/>
    <w:rsid w:val="00A637C3"/>
    <w:rsid w:val="00A63EDD"/>
    <w:rsid w:val="00A6401F"/>
    <w:rsid w:val="00A64A73"/>
    <w:rsid w:val="00A704B2"/>
    <w:rsid w:val="00A72AF9"/>
    <w:rsid w:val="00A74F31"/>
    <w:rsid w:val="00A75594"/>
    <w:rsid w:val="00A84532"/>
    <w:rsid w:val="00A846B5"/>
    <w:rsid w:val="00A847F7"/>
    <w:rsid w:val="00A84A99"/>
    <w:rsid w:val="00A84B1B"/>
    <w:rsid w:val="00A84F46"/>
    <w:rsid w:val="00A85093"/>
    <w:rsid w:val="00A870A6"/>
    <w:rsid w:val="00A871F4"/>
    <w:rsid w:val="00A90B8C"/>
    <w:rsid w:val="00A914F3"/>
    <w:rsid w:val="00A933BB"/>
    <w:rsid w:val="00A944AD"/>
    <w:rsid w:val="00AA15E7"/>
    <w:rsid w:val="00AA3B8E"/>
    <w:rsid w:val="00AA53A3"/>
    <w:rsid w:val="00AA5660"/>
    <w:rsid w:val="00AA6C75"/>
    <w:rsid w:val="00AB32EC"/>
    <w:rsid w:val="00AB4D90"/>
    <w:rsid w:val="00AB5AB7"/>
    <w:rsid w:val="00AB6832"/>
    <w:rsid w:val="00AC0C43"/>
    <w:rsid w:val="00AC1A83"/>
    <w:rsid w:val="00AC1B2C"/>
    <w:rsid w:val="00AC26B1"/>
    <w:rsid w:val="00AC3264"/>
    <w:rsid w:val="00AC4546"/>
    <w:rsid w:val="00AC4B4A"/>
    <w:rsid w:val="00AC50EE"/>
    <w:rsid w:val="00AD0CE0"/>
    <w:rsid w:val="00AD2086"/>
    <w:rsid w:val="00AD4C94"/>
    <w:rsid w:val="00AD60DC"/>
    <w:rsid w:val="00AD6C5E"/>
    <w:rsid w:val="00AE05A6"/>
    <w:rsid w:val="00AE1BF1"/>
    <w:rsid w:val="00AE2141"/>
    <w:rsid w:val="00AE38E6"/>
    <w:rsid w:val="00AE6EA9"/>
    <w:rsid w:val="00AE7649"/>
    <w:rsid w:val="00AF026A"/>
    <w:rsid w:val="00AF0DD2"/>
    <w:rsid w:val="00AF3F7F"/>
    <w:rsid w:val="00AF564E"/>
    <w:rsid w:val="00AF6F4F"/>
    <w:rsid w:val="00B00051"/>
    <w:rsid w:val="00B03016"/>
    <w:rsid w:val="00B047E3"/>
    <w:rsid w:val="00B06C2F"/>
    <w:rsid w:val="00B06E71"/>
    <w:rsid w:val="00B075AF"/>
    <w:rsid w:val="00B12C7A"/>
    <w:rsid w:val="00B13048"/>
    <w:rsid w:val="00B1716D"/>
    <w:rsid w:val="00B17A1D"/>
    <w:rsid w:val="00B207A0"/>
    <w:rsid w:val="00B21346"/>
    <w:rsid w:val="00B217BD"/>
    <w:rsid w:val="00B2303F"/>
    <w:rsid w:val="00B235DA"/>
    <w:rsid w:val="00B240E7"/>
    <w:rsid w:val="00B252D3"/>
    <w:rsid w:val="00B31C39"/>
    <w:rsid w:val="00B31FB8"/>
    <w:rsid w:val="00B37345"/>
    <w:rsid w:val="00B37A84"/>
    <w:rsid w:val="00B44F23"/>
    <w:rsid w:val="00B50654"/>
    <w:rsid w:val="00B514DD"/>
    <w:rsid w:val="00B52AF0"/>
    <w:rsid w:val="00B546C3"/>
    <w:rsid w:val="00B556DC"/>
    <w:rsid w:val="00B561BD"/>
    <w:rsid w:val="00B56E03"/>
    <w:rsid w:val="00B60505"/>
    <w:rsid w:val="00B608D8"/>
    <w:rsid w:val="00B62985"/>
    <w:rsid w:val="00B656A7"/>
    <w:rsid w:val="00B67FA4"/>
    <w:rsid w:val="00B70020"/>
    <w:rsid w:val="00B71FAE"/>
    <w:rsid w:val="00B761EF"/>
    <w:rsid w:val="00B80121"/>
    <w:rsid w:val="00B8080B"/>
    <w:rsid w:val="00B82223"/>
    <w:rsid w:val="00B82EC0"/>
    <w:rsid w:val="00B83A31"/>
    <w:rsid w:val="00B87BA5"/>
    <w:rsid w:val="00B87C39"/>
    <w:rsid w:val="00B951BB"/>
    <w:rsid w:val="00B9562D"/>
    <w:rsid w:val="00B9733D"/>
    <w:rsid w:val="00BA1218"/>
    <w:rsid w:val="00BA1869"/>
    <w:rsid w:val="00BA300D"/>
    <w:rsid w:val="00BA3460"/>
    <w:rsid w:val="00BA392B"/>
    <w:rsid w:val="00BA42B2"/>
    <w:rsid w:val="00BA4665"/>
    <w:rsid w:val="00BA467B"/>
    <w:rsid w:val="00BB13B7"/>
    <w:rsid w:val="00BB18D4"/>
    <w:rsid w:val="00BB2FB2"/>
    <w:rsid w:val="00BB3304"/>
    <w:rsid w:val="00BB4C3C"/>
    <w:rsid w:val="00BB711D"/>
    <w:rsid w:val="00BC2F8E"/>
    <w:rsid w:val="00BC5F49"/>
    <w:rsid w:val="00BC64D5"/>
    <w:rsid w:val="00BC7472"/>
    <w:rsid w:val="00BD192F"/>
    <w:rsid w:val="00BD3446"/>
    <w:rsid w:val="00BD353A"/>
    <w:rsid w:val="00BD37A7"/>
    <w:rsid w:val="00BD5331"/>
    <w:rsid w:val="00BD5D87"/>
    <w:rsid w:val="00BE1F1B"/>
    <w:rsid w:val="00BE47B5"/>
    <w:rsid w:val="00BE50A6"/>
    <w:rsid w:val="00BE50B0"/>
    <w:rsid w:val="00BE5A59"/>
    <w:rsid w:val="00BE7E8C"/>
    <w:rsid w:val="00BE7ED0"/>
    <w:rsid w:val="00BF052C"/>
    <w:rsid w:val="00BF0C3E"/>
    <w:rsid w:val="00BF1DC0"/>
    <w:rsid w:val="00BF2F91"/>
    <w:rsid w:val="00BF5906"/>
    <w:rsid w:val="00BF76DE"/>
    <w:rsid w:val="00C04867"/>
    <w:rsid w:val="00C04C58"/>
    <w:rsid w:val="00C0601D"/>
    <w:rsid w:val="00C10D7D"/>
    <w:rsid w:val="00C175D3"/>
    <w:rsid w:val="00C22C38"/>
    <w:rsid w:val="00C23EDE"/>
    <w:rsid w:val="00C25320"/>
    <w:rsid w:val="00C25FA6"/>
    <w:rsid w:val="00C26737"/>
    <w:rsid w:val="00C30906"/>
    <w:rsid w:val="00C33F1F"/>
    <w:rsid w:val="00C420BC"/>
    <w:rsid w:val="00C42763"/>
    <w:rsid w:val="00C450E3"/>
    <w:rsid w:val="00C517BC"/>
    <w:rsid w:val="00C538A9"/>
    <w:rsid w:val="00C53B5A"/>
    <w:rsid w:val="00C54F5A"/>
    <w:rsid w:val="00C557AE"/>
    <w:rsid w:val="00C566E8"/>
    <w:rsid w:val="00C569B4"/>
    <w:rsid w:val="00C61926"/>
    <w:rsid w:val="00C65A66"/>
    <w:rsid w:val="00C663E7"/>
    <w:rsid w:val="00C67A92"/>
    <w:rsid w:val="00C71054"/>
    <w:rsid w:val="00C7183C"/>
    <w:rsid w:val="00C71E6B"/>
    <w:rsid w:val="00C73ADA"/>
    <w:rsid w:val="00C755C4"/>
    <w:rsid w:val="00C75E74"/>
    <w:rsid w:val="00C76317"/>
    <w:rsid w:val="00C77169"/>
    <w:rsid w:val="00C81758"/>
    <w:rsid w:val="00C834E7"/>
    <w:rsid w:val="00C84560"/>
    <w:rsid w:val="00C853FE"/>
    <w:rsid w:val="00C86679"/>
    <w:rsid w:val="00C8739E"/>
    <w:rsid w:val="00C87587"/>
    <w:rsid w:val="00C87AC7"/>
    <w:rsid w:val="00C91BAB"/>
    <w:rsid w:val="00C93468"/>
    <w:rsid w:val="00C9373C"/>
    <w:rsid w:val="00C95384"/>
    <w:rsid w:val="00C96CB8"/>
    <w:rsid w:val="00C979C0"/>
    <w:rsid w:val="00CA489E"/>
    <w:rsid w:val="00CA4F7F"/>
    <w:rsid w:val="00CA67ED"/>
    <w:rsid w:val="00CB0279"/>
    <w:rsid w:val="00CB0BDE"/>
    <w:rsid w:val="00CB4590"/>
    <w:rsid w:val="00CB4919"/>
    <w:rsid w:val="00CB491E"/>
    <w:rsid w:val="00CB666B"/>
    <w:rsid w:val="00CC4A6D"/>
    <w:rsid w:val="00CC4C4C"/>
    <w:rsid w:val="00CC7A1C"/>
    <w:rsid w:val="00CC7F1D"/>
    <w:rsid w:val="00CD2633"/>
    <w:rsid w:val="00CE1A2A"/>
    <w:rsid w:val="00CE2A08"/>
    <w:rsid w:val="00CE484B"/>
    <w:rsid w:val="00CE50CC"/>
    <w:rsid w:val="00CE5DD5"/>
    <w:rsid w:val="00CE7579"/>
    <w:rsid w:val="00CF13CB"/>
    <w:rsid w:val="00CF5A2B"/>
    <w:rsid w:val="00CF6177"/>
    <w:rsid w:val="00CF7597"/>
    <w:rsid w:val="00D006AE"/>
    <w:rsid w:val="00D01CF0"/>
    <w:rsid w:val="00D043CC"/>
    <w:rsid w:val="00D0442A"/>
    <w:rsid w:val="00D0561F"/>
    <w:rsid w:val="00D05C8F"/>
    <w:rsid w:val="00D11ADD"/>
    <w:rsid w:val="00D13260"/>
    <w:rsid w:val="00D1563D"/>
    <w:rsid w:val="00D17061"/>
    <w:rsid w:val="00D2042E"/>
    <w:rsid w:val="00D21595"/>
    <w:rsid w:val="00D21B43"/>
    <w:rsid w:val="00D22444"/>
    <w:rsid w:val="00D24089"/>
    <w:rsid w:val="00D24E42"/>
    <w:rsid w:val="00D256AE"/>
    <w:rsid w:val="00D27530"/>
    <w:rsid w:val="00D31428"/>
    <w:rsid w:val="00D31967"/>
    <w:rsid w:val="00D325B8"/>
    <w:rsid w:val="00D33977"/>
    <w:rsid w:val="00D3402F"/>
    <w:rsid w:val="00D369E5"/>
    <w:rsid w:val="00D36C21"/>
    <w:rsid w:val="00D375C4"/>
    <w:rsid w:val="00D40AFA"/>
    <w:rsid w:val="00D46BE3"/>
    <w:rsid w:val="00D52EA8"/>
    <w:rsid w:val="00D5642A"/>
    <w:rsid w:val="00D600FB"/>
    <w:rsid w:val="00D60AEA"/>
    <w:rsid w:val="00D61388"/>
    <w:rsid w:val="00D61A54"/>
    <w:rsid w:val="00D64AB4"/>
    <w:rsid w:val="00D64DEA"/>
    <w:rsid w:val="00D661A5"/>
    <w:rsid w:val="00D6679E"/>
    <w:rsid w:val="00D7168E"/>
    <w:rsid w:val="00D71E57"/>
    <w:rsid w:val="00D73DF5"/>
    <w:rsid w:val="00D76F53"/>
    <w:rsid w:val="00D806E7"/>
    <w:rsid w:val="00D80893"/>
    <w:rsid w:val="00D84854"/>
    <w:rsid w:val="00D871FE"/>
    <w:rsid w:val="00D92CF1"/>
    <w:rsid w:val="00D92D38"/>
    <w:rsid w:val="00D94CDE"/>
    <w:rsid w:val="00D950F5"/>
    <w:rsid w:val="00D97063"/>
    <w:rsid w:val="00D9712E"/>
    <w:rsid w:val="00DA0733"/>
    <w:rsid w:val="00DA1CF9"/>
    <w:rsid w:val="00DA21E0"/>
    <w:rsid w:val="00DA3023"/>
    <w:rsid w:val="00DA4752"/>
    <w:rsid w:val="00DA5904"/>
    <w:rsid w:val="00DA61F3"/>
    <w:rsid w:val="00DA6A65"/>
    <w:rsid w:val="00DA77DF"/>
    <w:rsid w:val="00DB0F93"/>
    <w:rsid w:val="00DB15A8"/>
    <w:rsid w:val="00DB1A67"/>
    <w:rsid w:val="00DB3099"/>
    <w:rsid w:val="00DB34F9"/>
    <w:rsid w:val="00DB36E1"/>
    <w:rsid w:val="00DB48C6"/>
    <w:rsid w:val="00DB5074"/>
    <w:rsid w:val="00DB5658"/>
    <w:rsid w:val="00DB6648"/>
    <w:rsid w:val="00DB6E44"/>
    <w:rsid w:val="00DB7A28"/>
    <w:rsid w:val="00DB7AA8"/>
    <w:rsid w:val="00DC27D1"/>
    <w:rsid w:val="00DC3494"/>
    <w:rsid w:val="00DC42C4"/>
    <w:rsid w:val="00DC5D3C"/>
    <w:rsid w:val="00DC6AF0"/>
    <w:rsid w:val="00DC72C0"/>
    <w:rsid w:val="00DC7981"/>
    <w:rsid w:val="00DD2C3C"/>
    <w:rsid w:val="00DE0524"/>
    <w:rsid w:val="00DE1093"/>
    <w:rsid w:val="00DE109F"/>
    <w:rsid w:val="00DE3695"/>
    <w:rsid w:val="00DE4EFA"/>
    <w:rsid w:val="00DE5520"/>
    <w:rsid w:val="00DE563D"/>
    <w:rsid w:val="00DF362A"/>
    <w:rsid w:val="00DF65C9"/>
    <w:rsid w:val="00E01744"/>
    <w:rsid w:val="00E01CAB"/>
    <w:rsid w:val="00E02715"/>
    <w:rsid w:val="00E04818"/>
    <w:rsid w:val="00E0492A"/>
    <w:rsid w:val="00E06308"/>
    <w:rsid w:val="00E063FF"/>
    <w:rsid w:val="00E06442"/>
    <w:rsid w:val="00E07BD7"/>
    <w:rsid w:val="00E10E75"/>
    <w:rsid w:val="00E13934"/>
    <w:rsid w:val="00E147BE"/>
    <w:rsid w:val="00E20018"/>
    <w:rsid w:val="00E21837"/>
    <w:rsid w:val="00E230BC"/>
    <w:rsid w:val="00E23993"/>
    <w:rsid w:val="00E23B86"/>
    <w:rsid w:val="00E25B8C"/>
    <w:rsid w:val="00E27625"/>
    <w:rsid w:val="00E31230"/>
    <w:rsid w:val="00E31239"/>
    <w:rsid w:val="00E33EED"/>
    <w:rsid w:val="00E358C3"/>
    <w:rsid w:val="00E43C30"/>
    <w:rsid w:val="00E5152F"/>
    <w:rsid w:val="00E53744"/>
    <w:rsid w:val="00E574A3"/>
    <w:rsid w:val="00E57FA4"/>
    <w:rsid w:val="00E60AE4"/>
    <w:rsid w:val="00E60D07"/>
    <w:rsid w:val="00E6371D"/>
    <w:rsid w:val="00E64C45"/>
    <w:rsid w:val="00E654D7"/>
    <w:rsid w:val="00E65C85"/>
    <w:rsid w:val="00E66199"/>
    <w:rsid w:val="00E716F3"/>
    <w:rsid w:val="00E71E69"/>
    <w:rsid w:val="00E72090"/>
    <w:rsid w:val="00E72DD2"/>
    <w:rsid w:val="00E755EC"/>
    <w:rsid w:val="00E75959"/>
    <w:rsid w:val="00E7624D"/>
    <w:rsid w:val="00E765EB"/>
    <w:rsid w:val="00E7682C"/>
    <w:rsid w:val="00E80735"/>
    <w:rsid w:val="00E81300"/>
    <w:rsid w:val="00E819C4"/>
    <w:rsid w:val="00E8310D"/>
    <w:rsid w:val="00E85C2D"/>
    <w:rsid w:val="00E939FE"/>
    <w:rsid w:val="00E93F98"/>
    <w:rsid w:val="00E94930"/>
    <w:rsid w:val="00E97452"/>
    <w:rsid w:val="00E97F07"/>
    <w:rsid w:val="00EA00A9"/>
    <w:rsid w:val="00EA01D4"/>
    <w:rsid w:val="00EA20CE"/>
    <w:rsid w:val="00EA3B4F"/>
    <w:rsid w:val="00EA3D42"/>
    <w:rsid w:val="00EA632F"/>
    <w:rsid w:val="00EA649B"/>
    <w:rsid w:val="00EA6960"/>
    <w:rsid w:val="00EA6B1B"/>
    <w:rsid w:val="00EB2C6B"/>
    <w:rsid w:val="00EB57C7"/>
    <w:rsid w:val="00EB663F"/>
    <w:rsid w:val="00EB6EAE"/>
    <w:rsid w:val="00EC002B"/>
    <w:rsid w:val="00EC03D8"/>
    <w:rsid w:val="00EC04F1"/>
    <w:rsid w:val="00EC10FD"/>
    <w:rsid w:val="00EC5833"/>
    <w:rsid w:val="00EC7203"/>
    <w:rsid w:val="00ED2889"/>
    <w:rsid w:val="00ED2A57"/>
    <w:rsid w:val="00ED4D93"/>
    <w:rsid w:val="00ED7323"/>
    <w:rsid w:val="00EE15B9"/>
    <w:rsid w:val="00EE28F3"/>
    <w:rsid w:val="00EE506C"/>
    <w:rsid w:val="00EE50D1"/>
    <w:rsid w:val="00EE5661"/>
    <w:rsid w:val="00EE68FA"/>
    <w:rsid w:val="00EE70B8"/>
    <w:rsid w:val="00EF00C5"/>
    <w:rsid w:val="00EF131F"/>
    <w:rsid w:val="00EF3F74"/>
    <w:rsid w:val="00EF48B3"/>
    <w:rsid w:val="00EF5110"/>
    <w:rsid w:val="00EF6D51"/>
    <w:rsid w:val="00EF6D75"/>
    <w:rsid w:val="00EF7CE3"/>
    <w:rsid w:val="00F01ED2"/>
    <w:rsid w:val="00F04214"/>
    <w:rsid w:val="00F06031"/>
    <w:rsid w:val="00F0689C"/>
    <w:rsid w:val="00F07C14"/>
    <w:rsid w:val="00F07D7C"/>
    <w:rsid w:val="00F07F63"/>
    <w:rsid w:val="00F10411"/>
    <w:rsid w:val="00F11B54"/>
    <w:rsid w:val="00F12D2C"/>
    <w:rsid w:val="00F1397D"/>
    <w:rsid w:val="00F14C09"/>
    <w:rsid w:val="00F14D46"/>
    <w:rsid w:val="00F15882"/>
    <w:rsid w:val="00F171E0"/>
    <w:rsid w:val="00F179B9"/>
    <w:rsid w:val="00F17EB3"/>
    <w:rsid w:val="00F20BD3"/>
    <w:rsid w:val="00F2260D"/>
    <w:rsid w:val="00F26CC4"/>
    <w:rsid w:val="00F3278A"/>
    <w:rsid w:val="00F32E65"/>
    <w:rsid w:val="00F33D1C"/>
    <w:rsid w:val="00F34E7E"/>
    <w:rsid w:val="00F35251"/>
    <w:rsid w:val="00F3702A"/>
    <w:rsid w:val="00F373A5"/>
    <w:rsid w:val="00F40227"/>
    <w:rsid w:val="00F426D8"/>
    <w:rsid w:val="00F47559"/>
    <w:rsid w:val="00F54369"/>
    <w:rsid w:val="00F549C5"/>
    <w:rsid w:val="00F56847"/>
    <w:rsid w:val="00F62A38"/>
    <w:rsid w:val="00F62D7A"/>
    <w:rsid w:val="00F64C7B"/>
    <w:rsid w:val="00F65A1C"/>
    <w:rsid w:val="00F676DD"/>
    <w:rsid w:val="00F67D55"/>
    <w:rsid w:val="00F7227B"/>
    <w:rsid w:val="00F73143"/>
    <w:rsid w:val="00F75512"/>
    <w:rsid w:val="00F75A26"/>
    <w:rsid w:val="00F76706"/>
    <w:rsid w:val="00F7725E"/>
    <w:rsid w:val="00F77F90"/>
    <w:rsid w:val="00F80FAB"/>
    <w:rsid w:val="00F8112C"/>
    <w:rsid w:val="00F8112D"/>
    <w:rsid w:val="00F82096"/>
    <w:rsid w:val="00F83FAD"/>
    <w:rsid w:val="00F84447"/>
    <w:rsid w:val="00F8561A"/>
    <w:rsid w:val="00F877A4"/>
    <w:rsid w:val="00F90257"/>
    <w:rsid w:val="00F90E59"/>
    <w:rsid w:val="00F92F4E"/>
    <w:rsid w:val="00F952A0"/>
    <w:rsid w:val="00F96C0E"/>
    <w:rsid w:val="00F976F1"/>
    <w:rsid w:val="00FA0354"/>
    <w:rsid w:val="00FA22CC"/>
    <w:rsid w:val="00FA3C7F"/>
    <w:rsid w:val="00FA503E"/>
    <w:rsid w:val="00FA6320"/>
    <w:rsid w:val="00FB3200"/>
    <w:rsid w:val="00FB571B"/>
    <w:rsid w:val="00FB57E3"/>
    <w:rsid w:val="00FB5D41"/>
    <w:rsid w:val="00FB60FE"/>
    <w:rsid w:val="00FB71AB"/>
    <w:rsid w:val="00FB74E2"/>
    <w:rsid w:val="00FC0B7B"/>
    <w:rsid w:val="00FC27E4"/>
    <w:rsid w:val="00FC2BB8"/>
    <w:rsid w:val="00FC43C9"/>
    <w:rsid w:val="00FD1050"/>
    <w:rsid w:val="00FD1633"/>
    <w:rsid w:val="00FD4060"/>
    <w:rsid w:val="00FD5614"/>
    <w:rsid w:val="00FD5DFE"/>
    <w:rsid w:val="00FD5E78"/>
    <w:rsid w:val="00FD655D"/>
    <w:rsid w:val="00FE0BE1"/>
    <w:rsid w:val="00FE1DE9"/>
    <w:rsid w:val="00FE36AF"/>
    <w:rsid w:val="00FE39C2"/>
    <w:rsid w:val="00FE3C32"/>
    <w:rsid w:val="00FE435C"/>
    <w:rsid w:val="00FE51DA"/>
    <w:rsid w:val="00FE55BF"/>
    <w:rsid w:val="00FE64AE"/>
    <w:rsid w:val="00FE6698"/>
    <w:rsid w:val="00FE7811"/>
    <w:rsid w:val="00FE7973"/>
    <w:rsid w:val="00FF03E7"/>
    <w:rsid w:val="00FF0D73"/>
    <w:rsid w:val="00FF1756"/>
    <w:rsid w:val="00FF2A3A"/>
    <w:rsid w:val="00FF2C4A"/>
    <w:rsid w:val="00FF6705"/>
    <w:rsid w:val="00FF7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7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F67D55"/>
    <w:pPr>
      <w:numPr>
        <w:numId w:val="27"/>
      </w:numPr>
      <w:tabs>
        <w:tab w:val="clear" w:pos="680"/>
        <w:tab w:val="left" w:pos="1021"/>
      </w:tabs>
      <w:ind w:left="1021"/>
      <w:outlineLvl w:val="7"/>
    </w:pPr>
  </w:style>
  <w:style w:type="paragraph" w:styleId="Heading9">
    <w:name w:val="heading 9"/>
    <w:aliases w:val="Numbered Table"/>
    <w:basedOn w:val="Heading3"/>
    <w:next w:val="Normal"/>
    <w:link w:val="Heading9Char"/>
    <w:uiPriority w:val="2"/>
    <w:qFormat/>
    <w:rsid w:val="004A214E"/>
    <w:pPr>
      <w:numPr>
        <w:numId w:val="27"/>
      </w:numPr>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F67D55"/>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4A214E"/>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customStyle="1" w:styleId="Style1">
    <w:name w:val="Style1"/>
    <w:basedOn w:val="Heading9"/>
    <w:qFormat/>
    <w:rsid w:val="00AD6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F67D55"/>
    <w:pPr>
      <w:numPr>
        <w:numId w:val="27"/>
      </w:numPr>
      <w:tabs>
        <w:tab w:val="clear" w:pos="680"/>
        <w:tab w:val="left" w:pos="1021"/>
      </w:tabs>
      <w:ind w:left="1021"/>
      <w:outlineLvl w:val="7"/>
    </w:pPr>
  </w:style>
  <w:style w:type="paragraph" w:styleId="Heading9">
    <w:name w:val="heading 9"/>
    <w:aliases w:val="Numbered Table"/>
    <w:basedOn w:val="Heading3"/>
    <w:next w:val="Normal"/>
    <w:link w:val="Heading9Char"/>
    <w:uiPriority w:val="2"/>
    <w:qFormat/>
    <w:rsid w:val="004A214E"/>
    <w:pPr>
      <w:numPr>
        <w:numId w:val="27"/>
      </w:numPr>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F67D55"/>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4A214E"/>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customStyle="1" w:styleId="Style1">
    <w:name w:val="Style1"/>
    <w:basedOn w:val="Heading9"/>
    <w:qFormat/>
    <w:rsid w:val="00AD6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467551681">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81629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gi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www.rba.gov.au/chart-pack/interest-rates.html#13" TargetMode="External"/><Relationship Id="rId33" Type="http://schemas.openxmlformats.org/officeDocument/2006/relationships/image" Target="media/image17.png"/><Relationship Id="rId38" Type="http://schemas.openxmlformats.org/officeDocument/2006/relationships/image" Target="media/image22.gif"/><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gif"/><Relationship Id="rId40" Type="http://schemas.openxmlformats.org/officeDocument/2006/relationships/image" Target="media/image24.jpeg"/><Relationship Id="rId45" Type="http://schemas.openxmlformats.org/officeDocument/2006/relationships/image" Target="media/image29.gi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mailto:AERInquiry@aer.gov.au"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aofm.gov.au/ags/" TargetMode="External"/><Relationship Id="rId18" Type="http://schemas.openxmlformats.org/officeDocument/2006/relationships/hyperlink" Target="http://www.rba.gov.au/statistics/tables/xls/f03hist.xls" TargetMode="External"/><Relationship Id="rId26" Type="http://schemas.openxmlformats.org/officeDocument/2006/relationships/hyperlink" Target="https://www.moodys.com/research/Moodys-downgrades-Asciano-to-Baa3-following-acquisition-approvals-outlook-stable--PR_352423" TargetMode="External"/><Relationship Id="rId3" Type="http://schemas.openxmlformats.org/officeDocument/2006/relationships/hyperlink" Target="http://www.aer.gov.au/node/18859" TargetMode="External"/><Relationship Id="rId21" Type="http://schemas.openxmlformats.org/officeDocument/2006/relationships/hyperlink" Target="http://www.aemc.gov.au/Energy-Rules/National-gas-rules/Gas-scheme-register/WA-Pilbara-Pipeline-System" TargetMode="External"/><Relationship Id="rId34" Type="http://schemas.openxmlformats.org/officeDocument/2006/relationships/hyperlink" Target="https://www.treasurydirect.gov/govt/charts/principal/principal_debt.htm" TargetMode="External"/><Relationship Id="rId7" Type="http://schemas.openxmlformats.org/officeDocument/2006/relationships/hyperlink" Target="http://www.aer.gov.au/node/27616" TargetMode="External"/><Relationship Id="rId12" Type="http://schemas.openxmlformats.org/officeDocument/2006/relationships/hyperlink" Target="http://www.fitchratings.com/gws/en/esp/issr/80442187" TargetMode="External"/><Relationship Id="rId17" Type="http://schemas.openxmlformats.org/officeDocument/2006/relationships/hyperlink" Target="http://www.rba.gov.au/statistics/tables/index.html" TargetMode="External"/><Relationship Id="rId25" Type="http://schemas.openxmlformats.org/officeDocument/2006/relationships/hyperlink" Target="https://www.bbhub.io/solutions/sites/8/2015/10/BVAL-Score-fact-sheet.pdf" TargetMode="External"/><Relationship Id="rId33" Type="http://schemas.openxmlformats.org/officeDocument/2006/relationships/hyperlink" Target="http://www.dmo.gov.uk/index.aspx?page=gilts/about_gilts" TargetMode="External"/><Relationship Id="rId2" Type="http://schemas.openxmlformats.org/officeDocument/2006/relationships/hyperlink" Target="http://www.competitiontribunal.gov.au/current-matters/tribunal-documents/act-6-2016" TargetMode="External"/><Relationship Id="rId16" Type="http://schemas.openxmlformats.org/officeDocument/2006/relationships/hyperlink" Target="http://www.rba.gov.au/statistics/tables/" TargetMode="External"/><Relationship Id="rId20" Type="http://schemas.openxmlformats.org/officeDocument/2006/relationships/hyperlink" Target="http://www.asx.com.au/asx/statistics/announcements.do?by=asxCode&amp;asxCode=ENV&amp;timeframe=Y&amp;year=2014" TargetMode="External"/><Relationship Id="rId29" Type="http://schemas.openxmlformats.org/officeDocument/2006/relationships/hyperlink" Target="https://www.snb.ch/en/iabout/stat/statpub/zidea/id/current_interest_exchange_rates" TargetMode="External"/><Relationship Id="rId1" Type="http://schemas.openxmlformats.org/officeDocument/2006/relationships/hyperlink" Target="http://www.competitiontribunal.gov.au/current-matters/tribunal-documents/act-8-2016" TargetMode="External"/><Relationship Id="rId6" Type="http://schemas.openxmlformats.org/officeDocument/2006/relationships/hyperlink" Target="http://www.aer.gov.au/node/18859" TargetMode="External"/><Relationship Id="rId11" Type="http://schemas.openxmlformats.org/officeDocument/2006/relationships/hyperlink" Target="http://www.standardandpoors.com/prot/ratings/entityratings/" TargetMode="External"/><Relationship Id="rId24" Type="http://schemas.openxmlformats.org/officeDocument/2006/relationships/hyperlink" Target="https://infrastructure.gov.au/aviation/airport/airport_economic_regulation/economic_regulation.aspx" TargetMode="External"/><Relationship Id="rId32" Type="http://schemas.openxmlformats.org/officeDocument/2006/relationships/hyperlink" Target="https://en.wikipedia.org/wiki/Chancellor_of_the_Exchequer" TargetMode="External"/><Relationship Id="rId5" Type="http://schemas.openxmlformats.org/officeDocument/2006/relationships/hyperlink" Target="http://www.aer.gov.au/node/18859" TargetMode="External"/><Relationship Id="rId15"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23" Type="http://schemas.openxmlformats.org/officeDocument/2006/relationships/hyperlink" Target="http://www.aer.gov.au/node/5219" TargetMode="External"/><Relationship Id="rId28" Type="http://schemas.openxmlformats.org/officeDocument/2006/relationships/hyperlink" Target="http://www.ecb.europa.eu/stats/policy_and_exchange_rates/key_ecb_interest_rates/html/index.en.html" TargetMode="External"/><Relationship Id="rId10" Type="http://schemas.openxmlformats.org/officeDocument/2006/relationships/hyperlink" Target="http://www.competitiontribunal.gov.au/current-matters/tribunal-documents/act-7-2016" TargetMode="External"/><Relationship Id="rId19" Type="http://schemas.openxmlformats.org/officeDocument/2006/relationships/hyperlink" Target="http://pages.stern.nyu.edu/~adamodar/New_Home_Page/lectures/pe.html" TargetMode="External"/><Relationship Id="rId31" Type="http://schemas.openxmlformats.org/officeDocument/2006/relationships/hyperlink" Target="https://www.bloomberg.com/news/articles/2016-08-10/norway-inflation-surge-casts-doubt-over-more-interest-rate-cuts"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s://www.apa.com.au/about-apa/our-history/" TargetMode="External"/><Relationship Id="rId22" Type="http://schemas.openxmlformats.org/officeDocument/2006/relationships/hyperlink" Target="http://www.aer.gov.au/node/5453" TargetMode="External"/><Relationship Id="rId27" Type="http://schemas.openxmlformats.org/officeDocument/2006/relationships/hyperlink" Target="http://www.rba.gov.au/statistics/tables/xls/f03hist.xls" TargetMode="External"/><Relationship Id="rId30" Type="http://schemas.openxmlformats.org/officeDocument/2006/relationships/hyperlink" Target="https://www.ft.com/content/2bd40fd7-6c27-3f79-9759-d109425cab6d"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5B3E7CFD</Template>
  <TotalTime>0</TotalTime>
  <Pages>405</Pages>
  <Words>122596</Words>
  <Characters>698800</Characters>
  <Application>Microsoft Office Word</Application>
  <DocSecurity>0</DocSecurity>
  <Lines>5823</Lines>
  <Paragraphs>1639</Paragraphs>
  <ScaleCrop>false</ScaleCrop>
  <Company/>
  <LinksUpToDate>false</LinksUpToDate>
  <CharactersWithSpaces>819757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2017-04-27T22:21:00Z</dcterms:created>
  <dcterms:modified xsi:type="dcterms:W3CDTF">2017-04-27T22:21:00Z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