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5B0" w:rsidRDefault="00B8744C" w:rsidP="00290C63">
      <w:pPr>
        <w:rPr>
          <w:rFonts w:eastAsiaTheme="majorEastAsia" w:cstheme="majorBidi"/>
          <w:noProof/>
          <w:sz w:val="36"/>
          <w:szCs w:val="36"/>
          <w:lang w:eastAsia="en-AU"/>
        </w:rPr>
      </w:pPr>
      <w:r w:rsidRPr="00290C63">
        <w:rPr>
          <w:noProof/>
          <w:lang w:eastAsia="en-AU"/>
        </w:rPr>
        <w:drawing>
          <wp:anchor distT="0" distB="0" distL="114300" distR="114300" simplePos="0" relativeHeight="251659264" behindDoc="1" locked="0" layoutInCell="1" allowOverlap="1" wp14:anchorId="26974D88" wp14:editId="1586196D">
            <wp:simplePos x="0" y="0"/>
            <wp:positionH relativeFrom="column">
              <wp:posOffset>-1101725</wp:posOffset>
            </wp:positionH>
            <wp:positionV relativeFrom="paragraph">
              <wp:posOffset>-927100</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r w:rsidR="00C125B0">
        <w:t xml:space="preserve"> </w:t>
      </w:r>
    </w:p>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EA40EC">
            <w:t>FINAL</w:t>
          </w:r>
          <w:r w:rsidR="00DA4752">
            <w:t xml:space="preserve"> DECISION</w:t>
          </w:r>
        </w:p>
        <w:p w:rsidR="00415F31" w:rsidRDefault="00B9733D" w:rsidP="008F07A3">
          <w:pPr>
            <w:pStyle w:val="ReportSubtitle"/>
          </w:pPr>
          <w:r>
            <w:t>AusNet Services</w:t>
          </w:r>
          <w:r w:rsidR="00415F31">
            <w:t xml:space="preserve"> transmission </w:t>
          </w:r>
          <w:r w:rsidR="00DA4752">
            <w:t>determination</w:t>
          </w:r>
        </w:p>
        <w:p w:rsidR="00285E9E" w:rsidRDefault="00285E9E" w:rsidP="008F07A3">
          <w:pPr>
            <w:pStyle w:val="ReportSubtitle"/>
          </w:pPr>
          <w:r>
            <w:t>2017</w:t>
          </w:r>
          <w:r>
            <w:softHyphen/>
            <w:t>–</w:t>
          </w:r>
          <w:r w:rsidR="00EA40EC">
            <w:t>20</w:t>
          </w:r>
          <w:r>
            <w:t>22</w:t>
          </w:r>
        </w:p>
        <w:p w:rsidR="008F07A3" w:rsidRPr="000A6C7B" w:rsidRDefault="008F07A3" w:rsidP="008F07A3">
          <w:pPr>
            <w:pStyle w:val="ReportSubtitle"/>
          </w:pPr>
        </w:p>
        <w:p w:rsidR="000A6C7B" w:rsidRPr="000A6C7B" w:rsidRDefault="007B7166" w:rsidP="008F07A3">
          <w:pPr>
            <w:pStyle w:val="ReportSubtitle"/>
          </w:pPr>
          <w:r>
            <w:t>Attachment 5</w:t>
          </w:r>
          <w:r w:rsidR="00DA4752">
            <w:t xml:space="preserve"> </w:t>
          </w:r>
          <w:r w:rsidR="00415F31">
            <w:rPr>
              <w:rFonts w:cs="Arial"/>
            </w:rPr>
            <w:t>–</w:t>
          </w:r>
          <w:r w:rsidR="00DA4752">
            <w:t xml:space="preserve"> </w:t>
          </w:r>
          <w:r>
            <w:t>Regulatory depreciation</w:t>
          </w:r>
        </w:p>
        <w:p w:rsidR="00B9733D" w:rsidRDefault="00B9733D" w:rsidP="00327A1E">
          <w:pPr>
            <w:pStyle w:val="ReportDate"/>
          </w:pPr>
        </w:p>
        <w:p w:rsidR="000A6C7B" w:rsidRPr="00327A1E" w:rsidRDefault="00EA40EC" w:rsidP="00327A1E">
          <w:pPr>
            <w:pStyle w:val="ReportDate"/>
          </w:pPr>
          <w:r>
            <w:t>April 2017</w:t>
          </w:r>
        </w:p>
      </w:sdtContent>
    </w:sdt>
    <w:p w:rsidR="00327A1E" w:rsidRPr="00290C63" w:rsidRDefault="00327A1E" w:rsidP="00290C63">
      <w:r>
        <w:br w:type="page"/>
      </w:r>
    </w:p>
    <w:p w:rsidR="000A6C7B" w:rsidRDefault="008F07A3" w:rsidP="00961A4A">
      <w:pPr>
        <w:pStyle w:val="Copyright"/>
      </w:pPr>
      <w:r>
        <w:lastRenderedPageBreak/>
        <w:t>© Commonwealth of Australia 201</w:t>
      </w:r>
      <w:r w:rsidR="00B8744C">
        <w:t>7</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 xml:space="preserve">Tel: </w:t>
      </w:r>
      <w:r w:rsidR="004F5F97">
        <w:tab/>
        <w:t>1300 585 165</w:t>
      </w:r>
    </w:p>
    <w:p w:rsidR="00B9562D" w:rsidRDefault="000A6C7B" w:rsidP="00B9562D">
      <w:pPr>
        <w:pStyle w:val="Copyright"/>
      </w:pPr>
      <w:r>
        <w:t>Email:</w:t>
      </w:r>
      <w:r w:rsidR="004F5F97">
        <w:tab/>
      </w:r>
      <w:hyperlink r:id="rId11" w:history="1">
        <w:r w:rsidRPr="003C6CEA">
          <w:rPr>
            <w:rStyle w:val="Hyperlink"/>
            <w:sz w:val="20"/>
          </w:rPr>
          <w:t>AERInquiry@aer.gov.au</w:t>
        </w:r>
      </w:hyperlink>
      <w:r w:rsidR="00951978">
        <w:rPr>
          <w:rStyle w:val="Hyperlink"/>
        </w:rPr>
        <w:br/>
      </w:r>
    </w:p>
    <w:p w:rsidR="008F07A3" w:rsidRPr="009D3906" w:rsidRDefault="00415F31" w:rsidP="00B9562D">
      <w:pPr>
        <w:pStyle w:val="Copyright"/>
      </w:pPr>
      <w:r w:rsidRPr="009D3906">
        <w:t>AER reference:</w:t>
      </w:r>
      <w:r w:rsidRPr="009D3906">
        <w:tab/>
        <w:t>5</w:t>
      </w:r>
      <w:r w:rsidR="00B8744C">
        <w:t>6417</w:t>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80809280"/>
      <w:r>
        <w:lastRenderedPageBreak/>
        <w:t>N</w:t>
      </w:r>
      <w:r w:rsidR="008F07A3">
        <w:t>ote</w:t>
      </w:r>
      <w:bookmarkEnd w:id="0"/>
      <w:bookmarkEnd w:id="1"/>
      <w:bookmarkEnd w:id="2"/>
      <w:bookmarkEnd w:id="3"/>
      <w:bookmarkEnd w:id="4"/>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w:t>
      </w:r>
      <w:r w:rsidR="00EA40EC">
        <w:t>final</w:t>
      </w:r>
      <w:r w:rsidR="00415F31">
        <w:t xml:space="preserve"> decision on </w:t>
      </w:r>
      <w:r w:rsidR="000B321F">
        <w:t>AusNet Services’</w:t>
      </w:r>
      <w:r w:rsidR="00415F31">
        <w:t xml:space="preserve"> revenue proposal 201</w:t>
      </w:r>
      <w:r w:rsidR="000B321F">
        <w:t>7</w:t>
      </w:r>
      <w:r w:rsidR="00415F31" w:rsidRPr="00D904FA">
        <w:t>–</w:t>
      </w:r>
      <w:r w:rsidR="000B321F">
        <w:t>22</w:t>
      </w:r>
      <w:r w:rsidR="00415F31">
        <w:t xml:space="preserve">. It should be read with other parts of the </w:t>
      </w:r>
      <w:r w:rsidR="00EA40EC">
        <w:t>final</w:t>
      </w:r>
      <w:r w:rsidR="00415F31">
        <w:t xml:space="preserve"> decision.</w:t>
      </w:r>
    </w:p>
    <w:p w:rsidR="00415F31" w:rsidRDefault="00415F31" w:rsidP="00415F31">
      <w:pPr>
        <w:numPr>
          <w:ilvl w:val="0"/>
          <w:numId w:val="25"/>
        </w:numPr>
        <w:spacing w:before="0" w:after="240" w:line="288" w:lineRule="auto"/>
        <w:jc w:val="both"/>
      </w:pPr>
      <w:r>
        <w:t xml:space="preserve">The </w:t>
      </w:r>
      <w:r w:rsidR="00EA40EC">
        <w:t>final</w:t>
      </w:r>
      <w:r>
        <w:t xml:space="preserve"> decision includes the following documents:</w:t>
      </w:r>
    </w:p>
    <w:p w:rsidR="00415F31" w:rsidRDefault="00415F31" w:rsidP="00415F31">
      <w:pPr>
        <w:numPr>
          <w:ilvl w:val="0"/>
          <w:numId w:val="25"/>
        </w:numPr>
        <w:spacing w:before="0" w:after="240" w:line="288" w:lineRule="auto"/>
        <w:jc w:val="both"/>
      </w:pPr>
      <w:r>
        <w:t>Overview</w:t>
      </w:r>
    </w:p>
    <w:p w:rsidR="00415F31" w:rsidRDefault="00415F31" w:rsidP="00415F31">
      <w:pPr>
        <w:numPr>
          <w:ilvl w:val="0"/>
          <w:numId w:val="25"/>
        </w:numPr>
        <w:spacing w:before="0" w:after="240" w:line="288" w:lineRule="auto"/>
        <w:jc w:val="both"/>
      </w:pPr>
      <w:r>
        <w:t>Attachment 1 – maximum allowed revenue</w:t>
      </w:r>
    </w:p>
    <w:p w:rsidR="00415F31" w:rsidRDefault="00415F31" w:rsidP="00415F31">
      <w:pPr>
        <w:numPr>
          <w:ilvl w:val="0"/>
          <w:numId w:val="25"/>
        </w:numPr>
        <w:spacing w:before="0" w:after="240" w:line="288" w:lineRule="auto"/>
        <w:jc w:val="both"/>
      </w:pPr>
      <w:r>
        <w:t>Attachment 2 – regulatory asset base</w:t>
      </w:r>
    </w:p>
    <w:p w:rsidR="00415F31" w:rsidRDefault="00415F31" w:rsidP="00415F31">
      <w:pPr>
        <w:numPr>
          <w:ilvl w:val="0"/>
          <w:numId w:val="25"/>
        </w:numPr>
        <w:spacing w:before="0" w:after="240" w:line="288" w:lineRule="auto"/>
        <w:jc w:val="both"/>
      </w:pPr>
      <w:r>
        <w:t>Attachment 3 – rate of return</w:t>
      </w:r>
    </w:p>
    <w:p w:rsidR="00415F31" w:rsidRDefault="00415F31" w:rsidP="00415F31">
      <w:pPr>
        <w:numPr>
          <w:ilvl w:val="0"/>
          <w:numId w:val="25"/>
        </w:numPr>
        <w:spacing w:before="0" w:after="240" w:line="288" w:lineRule="auto"/>
        <w:jc w:val="both"/>
      </w:pPr>
      <w:r>
        <w:t>Attachment 4 – value of imputation credits</w:t>
      </w:r>
    </w:p>
    <w:p w:rsidR="00415F31" w:rsidRDefault="00415F31" w:rsidP="00415F31">
      <w:pPr>
        <w:numPr>
          <w:ilvl w:val="0"/>
          <w:numId w:val="25"/>
        </w:numPr>
        <w:spacing w:before="0" w:after="240" w:line="288" w:lineRule="auto"/>
        <w:jc w:val="both"/>
      </w:pPr>
      <w:r>
        <w:t>Attachment 5 – regulatory depreciation</w:t>
      </w:r>
    </w:p>
    <w:p w:rsidR="00415F31" w:rsidRDefault="00415F31" w:rsidP="00415F31">
      <w:pPr>
        <w:numPr>
          <w:ilvl w:val="0"/>
          <w:numId w:val="25"/>
        </w:numPr>
        <w:spacing w:before="0" w:after="240" w:line="288" w:lineRule="auto"/>
        <w:jc w:val="both"/>
      </w:pPr>
      <w:r>
        <w:t xml:space="preserve">Attachment 6 – capital expenditure </w:t>
      </w:r>
    </w:p>
    <w:p w:rsidR="00415F31" w:rsidRDefault="00415F31" w:rsidP="00415F31">
      <w:pPr>
        <w:numPr>
          <w:ilvl w:val="0"/>
          <w:numId w:val="25"/>
        </w:numPr>
        <w:spacing w:before="0" w:after="240" w:line="288" w:lineRule="auto"/>
        <w:jc w:val="both"/>
      </w:pPr>
      <w:r>
        <w:t>Attachment 7 – operating expenditure</w:t>
      </w:r>
    </w:p>
    <w:p w:rsidR="00415F31" w:rsidRDefault="00415F31" w:rsidP="00415F31">
      <w:pPr>
        <w:numPr>
          <w:ilvl w:val="0"/>
          <w:numId w:val="25"/>
        </w:numPr>
        <w:spacing w:before="0" w:after="240" w:line="288" w:lineRule="auto"/>
        <w:jc w:val="both"/>
      </w:pPr>
      <w:r>
        <w:t>Attachment 8 – corporate income tax</w:t>
      </w:r>
    </w:p>
    <w:p w:rsidR="00415F31" w:rsidRDefault="00415F31" w:rsidP="00415F31">
      <w:pPr>
        <w:numPr>
          <w:ilvl w:val="0"/>
          <w:numId w:val="25"/>
        </w:numPr>
        <w:spacing w:before="0" w:after="240" w:line="288" w:lineRule="auto"/>
        <w:jc w:val="both"/>
      </w:pPr>
      <w:r>
        <w:t>Attachment 9 – efficiency benefit sharing scheme</w:t>
      </w:r>
    </w:p>
    <w:p w:rsidR="00415F31" w:rsidRDefault="00415F31" w:rsidP="00415F31">
      <w:pPr>
        <w:numPr>
          <w:ilvl w:val="0"/>
          <w:numId w:val="25"/>
        </w:numPr>
        <w:spacing w:before="0" w:after="240" w:line="288" w:lineRule="auto"/>
        <w:jc w:val="both"/>
      </w:pPr>
      <w:r>
        <w:t>Attachment 10 – capital expenditure sharing scheme</w:t>
      </w:r>
    </w:p>
    <w:p w:rsidR="00415F31" w:rsidRDefault="00415F31" w:rsidP="00415F31">
      <w:pPr>
        <w:numPr>
          <w:ilvl w:val="0"/>
          <w:numId w:val="25"/>
        </w:numPr>
        <w:spacing w:before="0" w:after="240" w:line="288" w:lineRule="auto"/>
        <w:jc w:val="both"/>
      </w:pPr>
      <w:r>
        <w:t>Attachment 11 – service target performance incentive scheme</w:t>
      </w:r>
    </w:p>
    <w:p w:rsidR="00415F31" w:rsidRPr="00D904FA" w:rsidRDefault="00415F31" w:rsidP="00415F31">
      <w:pPr>
        <w:numPr>
          <w:ilvl w:val="0"/>
          <w:numId w:val="25"/>
        </w:numPr>
        <w:spacing w:before="0" w:after="240" w:line="288" w:lineRule="auto"/>
        <w:jc w:val="both"/>
      </w:pPr>
      <w:r>
        <w:t xml:space="preserve">Attachment 12 – </w:t>
      </w:r>
      <w:r w:rsidRPr="00D904FA">
        <w:t>pricing methodology</w:t>
      </w:r>
    </w:p>
    <w:p w:rsidR="00415F31" w:rsidRPr="00D904FA" w:rsidRDefault="00415F31" w:rsidP="00415F31">
      <w:pPr>
        <w:numPr>
          <w:ilvl w:val="0"/>
          <w:numId w:val="25"/>
        </w:numPr>
        <w:spacing w:before="0" w:after="240" w:line="288" w:lineRule="auto"/>
        <w:jc w:val="both"/>
      </w:pPr>
      <w:r>
        <w:t xml:space="preserve">Attachment 13 </w:t>
      </w:r>
      <w:r w:rsidRPr="00D904FA">
        <w:t>– pass through events</w:t>
      </w:r>
    </w:p>
    <w:p w:rsidR="00415F31" w:rsidRDefault="00415F31" w:rsidP="00415F31">
      <w:r w:rsidRPr="00D904FA">
        <w:t>Attachment 14 – negotiated services</w:t>
      </w:r>
    </w:p>
    <w:p w:rsidR="008F07A3" w:rsidRPr="008F07A3" w:rsidRDefault="008F07A3" w:rsidP="00415F31">
      <w:pPr>
        <w:numPr>
          <w:ilvl w:val="0"/>
          <w:numId w:val="25"/>
        </w:numPr>
        <w:sectPr w:rsidR="008F07A3" w:rsidRPr="008F07A3" w:rsidSect="001754EE">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5" w:name="_Toc403144133"/>
      <w:bookmarkStart w:id="6" w:name="_Toc480809281"/>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bookmarkStart w:id="7" w:name="_GoBack" w:displacedByCustomXml="prev"/>
        <w:bookmarkEnd w:id="7" w:displacedByCustomXml="prev"/>
        <w:p w:rsidR="003C6CEA" w:rsidRDefault="004F5F97">
          <w:pPr>
            <w:pStyle w:val="TOC1"/>
            <w:rPr>
              <w:rFonts w:asciiTheme="minorHAnsi" w:eastAsiaTheme="minorEastAsia" w:hAnsiTheme="minorHAnsi"/>
              <w:b w:val="0"/>
              <w:color w:val="auto"/>
              <w:sz w:val="22"/>
              <w:lang w:val="en-AU" w:eastAsia="en-AU"/>
            </w:rPr>
          </w:pPr>
          <w:r>
            <w:fldChar w:fldCharType="begin"/>
          </w:r>
          <w:r>
            <w:instrText xml:space="preserve"> TOC \o "1-2" \h \z \t "Heading 3,3" </w:instrText>
          </w:r>
          <w:r>
            <w:fldChar w:fldCharType="separate"/>
          </w:r>
          <w:hyperlink w:anchor="_Toc480809280" w:history="1">
            <w:r w:rsidR="003C6CEA" w:rsidRPr="007C6B14">
              <w:rPr>
                <w:rStyle w:val="Hyperlink"/>
              </w:rPr>
              <w:t>Note</w:t>
            </w:r>
            <w:r w:rsidR="003C6CEA">
              <w:rPr>
                <w:webHidden/>
              </w:rPr>
              <w:tab/>
            </w:r>
            <w:r w:rsidR="003C6CEA">
              <w:rPr>
                <w:webHidden/>
              </w:rPr>
              <w:fldChar w:fldCharType="begin"/>
            </w:r>
            <w:r w:rsidR="003C6CEA">
              <w:rPr>
                <w:webHidden/>
              </w:rPr>
              <w:instrText xml:space="preserve"> PAGEREF _Toc480809280 \h </w:instrText>
            </w:r>
            <w:r w:rsidR="003C6CEA">
              <w:rPr>
                <w:webHidden/>
              </w:rPr>
            </w:r>
            <w:r w:rsidR="003C6CEA">
              <w:rPr>
                <w:webHidden/>
              </w:rPr>
              <w:fldChar w:fldCharType="separate"/>
            </w:r>
            <w:r w:rsidR="003C6CEA">
              <w:rPr>
                <w:webHidden/>
              </w:rPr>
              <w:t>5-2</w:t>
            </w:r>
            <w:r w:rsidR="003C6CEA">
              <w:rPr>
                <w:webHidden/>
              </w:rPr>
              <w:fldChar w:fldCharType="end"/>
            </w:r>
          </w:hyperlink>
        </w:p>
        <w:p w:rsidR="003C6CEA" w:rsidRDefault="003C6CEA">
          <w:pPr>
            <w:pStyle w:val="TOC1"/>
            <w:rPr>
              <w:rFonts w:asciiTheme="minorHAnsi" w:eastAsiaTheme="minorEastAsia" w:hAnsiTheme="minorHAnsi"/>
              <w:b w:val="0"/>
              <w:color w:val="auto"/>
              <w:sz w:val="22"/>
              <w:lang w:val="en-AU" w:eastAsia="en-AU"/>
            </w:rPr>
          </w:pPr>
          <w:hyperlink w:anchor="_Toc480809281" w:history="1">
            <w:r w:rsidRPr="007C6B14">
              <w:rPr>
                <w:rStyle w:val="Hyperlink"/>
              </w:rPr>
              <w:t>Contents</w:t>
            </w:r>
            <w:r>
              <w:rPr>
                <w:webHidden/>
              </w:rPr>
              <w:tab/>
            </w:r>
            <w:r>
              <w:rPr>
                <w:webHidden/>
              </w:rPr>
              <w:fldChar w:fldCharType="begin"/>
            </w:r>
            <w:r>
              <w:rPr>
                <w:webHidden/>
              </w:rPr>
              <w:instrText xml:space="preserve"> PAGEREF _Toc480809281 \h </w:instrText>
            </w:r>
            <w:r>
              <w:rPr>
                <w:webHidden/>
              </w:rPr>
            </w:r>
            <w:r>
              <w:rPr>
                <w:webHidden/>
              </w:rPr>
              <w:fldChar w:fldCharType="separate"/>
            </w:r>
            <w:r>
              <w:rPr>
                <w:webHidden/>
              </w:rPr>
              <w:t>5-3</w:t>
            </w:r>
            <w:r>
              <w:rPr>
                <w:webHidden/>
              </w:rPr>
              <w:fldChar w:fldCharType="end"/>
            </w:r>
          </w:hyperlink>
        </w:p>
        <w:p w:rsidR="003C6CEA" w:rsidRDefault="003C6CEA">
          <w:pPr>
            <w:pStyle w:val="TOC1"/>
            <w:rPr>
              <w:rFonts w:asciiTheme="minorHAnsi" w:eastAsiaTheme="minorEastAsia" w:hAnsiTheme="minorHAnsi"/>
              <w:b w:val="0"/>
              <w:color w:val="auto"/>
              <w:sz w:val="22"/>
              <w:lang w:val="en-AU" w:eastAsia="en-AU"/>
            </w:rPr>
          </w:pPr>
          <w:hyperlink w:anchor="_Toc480809282" w:history="1">
            <w:r w:rsidRPr="007C6B14">
              <w:rPr>
                <w:rStyle w:val="Hyperlink"/>
              </w:rPr>
              <w:t>Shortened forms</w:t>
            </w:r>
            <w:r>
              <w:rPr>
                <w:webHidden/>
              </w:rPr>
              <w:tab/>
            </w:r>
            <w:r>
              <w:rPr>
                <w:webHidden/>
              </w:rPr>
              <w:fldChar w:fldCharType="begin"/>
            </w:r>
            <w:r>
              <w:rPr>
                <w:webHidden/>
              </w:rPr>
              <w:instrText xml:space="preserve"> PAGEREF _Toc480809282 \h </w:instrText>
            </w:r>
            <w:r>
              <w:rPr>
                <w:webHidden/>
              </w:rPr>
            </w:r>
            <w:r>
              <w:rPr>
                <w:webHidden/>
              </w:rPr>
              <w:fldChar w:fldCharType="separate"/>
            </w:r>
            <w:r>
              <w:rPr>
                <w:webHidden/>
              </w:rPr>
              <w:t>5-4</w:t>
            </w:r>
            <w:r>
              <w:rPr>
                <w:webHidden/>
              </w:rPr>
              <w:fldChar w:fldCharType="end"/>
            </w:r>
          </w:hyperlink>
        </w:p>
        <w:p w:rsidR="003C6CEA" w:rsidRDefault="003C6CEA">
          <w:pPr>
            <w:pStyle w:val="TOC1"/>
            <w:rPr>
              <w:rFonts w:asciiTheme="minorHAnsi" w:eastAsiaTheme="minorEastAsia" w:hAnsiTheme="minorHAnsi"/>
              <w:b w:val="0"/>
              <w:color w:val="auto"/>
              <w:sz w:val="22"/>
              <w:lang w:val="en-AU" w:eastAsia="en-AU"/>
            </w:rPr>
          </w:pPr>
          <w:hyperlink w:anchor="_Toc480809283" w:history="1">
            <w:r w:rsidRPr="007C6B14">
              <w:rPr>
                <w:rStyle w:val="Hyperlink"/>
              </w:rPr>
              <w:t>5</w:t>
            </w:r>
            <w:r>
              <w:rPr>
                <w:rFonts w:asciiTheme="minorHAnsi" w:eastAsiaTheme="minorEastAsia" w:hAnsiTheme="minorHAnsi"/>
                <w:b w:val="0"/>
                <w:color w:val="auto"/>
                <w:sz w:val="22"/>
                <w:lang w:val="en-AU" w:eastAsia="en-AU"/>
              </w:rPr>
              <w:tab/>
            </w:r>
            <w:r w:rsidRPr="007C6B14">
              <w:rPr>
                <w:rStyle w:val="Hyperlink"/>
              </w:rPr>
              <w:t>Regulatory depreciation</w:t>
            </w:r>
            <w:r>
              <w:rPr>
                <w:webHidden/>
              </w:rPr>
              <w:tab/>
            </w:r>
            <w:r>
              <w:rPr>
                <w:webHidden/>
              </w:rPr>
              <w:fldChar w:fldCharType="begin"/>
            </w:r>
            <w:r>
              <w:rPr>
                <w:webHidden/>
              </w:rPr>
              <w:instrText xml:space="preserve"> PAGEREF _Toc480809283 \h </w:instrText>
            </w:r>
            <w:r>
              <w:rPr>
                <w:webHidden/>
              </w:rPr>
            </w:r>
            <w:r>
              <w:rPr>
                <w:webHidden/>
              </w:rPr>
              <w:fldChar w:fldCharType="separate"/>
            </w:r>
            <w:r>
              <w:rPr>
                <w:webHidden/>
              </w:rPr>
              <w:t>5-6</w:t>
            </w:r>
            <w:r>
              <w:rPr>
                <w:webHidden/>
              </w:rPr>
              <w:fldChar w:fldCharType="end"/>
            </w:r>
          </w:hyperlink>
        </w:p>
        <w:p w:rsidR="003C6CEA" w:rsidRDefault="003C6CEA">
          <w:pPr>
            <w:pStyle w:val="TOC2"/>
            <w:rPr>
              <w:rFonts w:asciiTheme="minorHAnsi" w:eastAsiaTheme="minorEastAsia" w:hAnsiTheme="minorHAnsi"/>
              <w:b w:val="0"/>
              <w:color w:val="auto"/>
              <w:sz w:val="22"/>
              <w:lang w:eastAsia="en-AU"/>
            </w:rPr>
          </w:pPr>
          <w:hyperlink w:anchor="_Toc480809284" w:history="1">
            <w:r w:rsidRPr="007C6B14">
              <w:rPr>
                <w:rStyle w:val="Hyperlink"/>
              </w:rPr>
              <w:t>5.1</w:t>
            </w:r>
            <w:r>
              <w:rPr>
                <w:rFonts w:asciiTheme="minorHAnsi" w:eastAsiaTheme="minorEastAsia" w:hAnsiTheme="minorHAnsi"/>
                <w:b w:val="0"/>
                <w:color w:val="auto"/>
                <w:sz w:val="22"/>
                <w:lang w:eastAsia="en-AU"/>
              </w:rPr>
              <w:tab/>
            </w:r>
            <w:r w:rsidRPr="007C6B14">
              <w:rPr>
                <w:rStyle w:val="Hyperlink"/>
              </w:rPr>
              <w:t>Final decision</w:t>
            </w:r>
            <w:r>
              <w:rPr>
                <w:webHidden/>
              </w:rPr>
              <w:tab/>
            </w:r>
            <w:r>
              <w:rPr>
                <w:webHidden/>
              </w:rPr>
              <w:fldChar w:fldCharType="begin"/>
            </w:r>
            <w:r>
              <w:rPr>
                <w:webHidden/>
              </w:rPr>
              <w:instrText xml:space="preserve"> PAGEREF _Toc480809284 \h </w:instrText>
            </w:r>
            <w:r>
              <w:rPr>
                <w:webHidden/>
              </w:rPr>
            </w:r>
            <w:r>
              <w:rPr>
                <w:webHidden/>
              </w:rPr>
              <w:fldChar w:fldCharType="separate"/>
            </w:r>
            <w:r>
              <w:rPr>
                <w:webHidden/>
              </w:rPr>
              <w:t>5-6</w:t>
            </w:r>
            <w:r>
              <w:rPr>
                <w:webHidden/>
              </w:rPr>
              <w:fldChar w:fldCharType="end"/>
            </w:r>
          </w:hyperlink>
        </w:p>
        <w:p w:rsidR="003C6CEA" w:rsidRDefault="003C6CEA">
          <w:pPr>
            <w:pStyle w:val="TOC2"/>
            <w:rPr>
              <w:rFonts w:asciiTheme="minorHAnsi" w:eastAsiaTheme="minorEastAsia" w:hAnsiTheme="minorHAnsi"/>
              <w:b w:val="0"/>
              <w:color w:val="auto"/>
              <w:sz w:val="22"/>
              <w:lang w:eastAsia="en-AU"/>
            </w:rPr>
          </w:pPr>
          <w:hyperlink w:anchor="_Toc480809285" w:history="1">
            <w:r w:rsidRPr="007C6B14">
              <w:rPr>
                <w:rStyle w:val="Hyperlink"/>
              </w:rPr>
              <w:t>5.2</w:t>
            </w:r>
            <w:r>
              <w:rPr>
                <w:rFonts w:asciiTheme="minorHAnsi" w:eastAsiaTheme="minorEastAsia" w:hAnsiTheme="minorHAnsi"/>
                <w:b w:val="0"/>
                <w:color w:val="auto"/>
                <w:sz w:val="22"/>
                <w:lang w:eastAsia="en-AU"/>
              </w:rPr>
              <w:tab/>
            </w:r>
            <w:r w:rsidRPr="007C6B14">
              <w:rPr>
                <w:rStyle w:val="Hyperlink"/>
              </w:rPr>
              <w:t>AusNet Services’ revised proposal</w:t>
            </w:r>
            <w:r>
              <w:rPr>
                <w:webHidden/>
              </w:rPr>
              <w:tab/>
            </w:r>
            <w:r>
              <w:rPr>
                <w:webHidden/>
              </w:rPr>
              <w:fldChar w:fldCharType="begin"/>
            </w:r>
            <w:r>
              <w:rPr>
                <w:webHidden/>
              </w:rPr>
              <w:instrText xml:space="preserve"> PAGEREF _Toc480809285 \h </w:instrText>
            </w:r>
            <w:r>
              <w:rPr>
                <w:webHidden/>
              </w:rPr>
            </w:r>
            <w:r>
              <w:rPr>
                <w:webHidden/>
              </w:rPr>
              <w:fldChar w:fldCharType="separate"/>
            </w:r>
            <w:r>
              <w:rPr>
                <w:webHidden/>
              </w:rPr>
              <w:t>5-7</w:t>
            </w:r>
            <w:r>
              <w:rPr>
                <w:webHidden/>
              </w:rPr>
              <w:fldChar w:fldCharType="end"/>
            </w:r>
          </w:hyperlink>
        </w:p>
        <w:p w:rsidR="003C6CEA" w:rsidRDefault="003C6CEA">
          <w:pPr>
            <w:pStyle w:val="TOC2"/>
            <w:rPr>
              <w:rFonts w:asciiTheme="minorHAnsi" w:eastAsiaTheme="minorEastAsia" w:hAnsiTheme="minorHAnsi"/>
              <w:b w:val="0"/>
              <w:color w:val="auto"/>
              <w:sz w:val="22"/>
              <w:lang w:eastAsia="en-AU"/>
            </w:rPr>
          </w:pPr>
          <w:hyperlink w:anchor="_Toc480809286" w:history="1">
            <w:r w:rsidRPr="007C6B14">
              <w:rPr>
                <w:rStyle w:val="Hyperlink"/>
              </w:rPr>
              <w:t>5.3</w:t>
            </w:r>
            <w:r>
              <w:rPr>
                <w:rFonts w:asciiTheme="minorHAnsi" w:eastAsiaTheme="minorEastAsia" w:hAnsiTheme="minorHAnsi"/>
                <w:b w:val="0"/>
                <w:color w:val="auto"/>
                <w:sz w:val="22"/>
                <w:lang w:eastAsia="en-AU"/>
              </w:rPr>
              <w:tab/>
            </w:r>
            <w:r w:rsidRPr="007C6B14">
              <w:rPr>
                <w:rStyle w:val="Hyperlink"/>
              </w:rPr>
              <w:t>AER’s assessment approach</w:t>
            </w:r>
            <w:r>
              <w:rPr>
                <w:webHidden/>
              </w:rPr>
              <w:tab/>
            </w:r>
            <w:r>
              <w:rPr>
                <w:webHidden/>
              </w:rPr>
              <w:fldChar w:fldCharType="begin"/>
            </w:r>
            <w:r>
              <w:rPr>
                <w:webHidden/>
              </w:rPr>
              <w:instrText xml:space="preserve"> PAGEREF _Toc480809286 \h </w:instrText>
            </w:r>
            <w:r>
              <w:rPr>
                <w:webHidden/>
              </w:rPr>
            </w:r>
            <w:r>
              <w:rPr>
                <w:webHidden/>
              </w:rPr>
              <w:fldChar w:fldCharType="separate"/>
            </w:r>
            <w:r>
              <w:rPr>
                <w:webHidden/>
              </w:rPr>
              <w:t>5-8</w:t>
            </w:r>
            <w:r>
              <w:rPr>
                <w:webHidden/>
              </w:rPr>
              <w:fldChar w:fldCharType="end"/>
            </w:r>
          </w:hyperlink>
        </w:p>
        <w:p w:rsidR="003C6CEA" w:rsidRDefault="003C6CEA">
          <w:pPr>
            <w:pStyle w:val="TOC2"/>
            <w:rPr>
              <w:rFonts w:asciiTheme="minorHAnsi" w:eastAsiaTheme="minorEastAsia" w:hAnsiTheme="minorHAnsi"/>
              <w:b w:val="0"/>
              <w:color w:val="auto"/>
              <w:sz w:val="22"/>
              <w:lang w:eastAsia="en-AU"/>
            </w:rPr>
          </w:pPr>
          <w:hyperlink w:anchor="_Toc480809287" w:history="1">
            <w:r w:rsidRPr="007C6B14">
              <w:rPr>
                <w:rStyle w:val="Hyperlink"/>
              </w:rPr>
              <w:t>5.4</w:t>
            </w:r>
            <w:r>
              <w:rPr>
                <w:rFonts w:asciiTheme="minorHAnsi" w:eastAsiaTheme="minorEastAsia" w:hAnsiTheme="minorHAnsi"/>
                <w:b w:val="0"/>
                <w:color w:val="auto"/>
                <w:sz w:val="22"/>
                <w:lang w:eastAsia="en-AU"/>
              </w:rPr>
              <w:tab/>
            </w:r>
            <w:r w:rsidRPr="007C6B14">
              <w:rPr>
                <w:rStyle w:val="Hyperlink"/>
              </w:rPr>
              <w:t>Reasons for final decision</w:t>
            </w:r>
            <w:r>
              <w:rPr>
                <w:webHidden/>
              </w:rPr>
              <w:tab/>
            </w:r>
            <w:r>
              <w:rPr>
                <w:webHidden/>
              </w:rPr>
              <w:fldChar w:fldCharType="begin"/>
            </w:r>
            <w:r>
              <w:rPr>
                <w:webHidden/>
              </w:rPr>
              <w:instrText xml:space="preserve"> PAGEREF _Toc480809287 \h </w:instrText>
            </w:r>
            <w:r>
              <w:rPr>
                <w:webHidden/>
              </w:rPr>
            </w:r>
            <w:r>
              <w:rPr>
                <w:webHidden/>
              </w:rPr>
              <w:fldChar w:fldCharType="separate"/>
            </w:r>
            <w:r>
              <w:rPr>
                <w:webHidden/>
              </w:rPr>
              <w:t>5-8</w:t>
            </w:r>
            <w:r>
              <w:rPr>
                <w:webHidden/>
              </w:rPr>
              <w:fldChar w:fldCharType="end"/>
            </w:r>
          </w:hyperlink>
        </w:p>
        <w:p w:rsidR="003C6CEA" w:rsidRDefault="003C6CEA">
          <w:pPr>
            <w:pStyle w:val="TOC3"/>
            <w:rPr>
              <w:rFonts w:asciiTheme="minorHAnsi" w:eastAsiaTheme="minorEastAsia" w:hAnsiTheme="minorHAnsi"/>
              <w:lang w:eastAsia="en-AU"/>
            </w:rPr>
          </w:pPr>
          <w:hyperlink w:anchor="_Toc480809288" w:history="1">
            <w:r w:rsidRPr="007C6B14">
              <w:rPr>
                <w:rStyle w:val="Hyperlink"/>
              </w:rPr>
              <w:t>5.4.1</w:t>
            </w:r>
            <w:r>
              <w:rPr>
                <w:rFonts w:asciiTheme="minorHAnsi" w:eastAsiaTheme="minorEastAsia" w:hAnsiTheme="minorHAnsi"/>
                <w:lang w:eastAsia="en-AU"/>
              </w:rPr>
              <w:tab/>
            </w:r>
            <w:r w:rsidRPr="007C6B14">
              <w:rPr>
                <w:rStyle w:val="Hyperlink"/>
              </w:rPr>
              <w:t>Remaining asset lives</w:t>
            </w:r>
            <w:r>
              <w:rPr>
                <w:webHidden/>
              </w:rPr>
              <w:tab/>
            </w:r>
            <w:r>
              <w:rPr>
                <w:webHidden/>
              </w:rPr>
              <w:fldChar w:fldCharType="begin"/>
            </w:r>
            <w:r>
              <w:rPr>
                <w:webHidden/>
              </w:rPr>
              <w:instrText xml:space="preserve"> PAGEREF _Toc480809288 \h </w:instrText>
            </w:r>
            <w:r>
              <w:rPr>
                <w:webHidden/>
              </w:rPr>
            </w:r>
            <w:r>
              <w:rPr>
                <w:webHidden/>
              </w:rPr>
              <w:fldChar w:fldCharType="separate"/>
            </w:r>
            <w:r>
              <w:rPr>
                <w:webHidden/>
              </w:rPr>
              <w:t>5-8</w:t>
            </w:r>
            <w:r>
              <w:rPr>
                <w:webHidden/>
              </w:rPr>
              <w:fldChar w:fldCharType="end"/>
            </w:r>
          </w:hyperlink>
        </w:p>
        <w:p w:rsidR="003C6CEA" w:rsidRDefault="003C6CEA">
          <w:pPr>
            <w:pStyle w:val="TOC3"/>
            <w:rPr>
              <w:rFonts w:asciiTheme="minorHAnsi" w:eastAsiaTheme="minorEastAsia" w:hAnsiTheme="minorHAnsi"/>
              <w:lang w:eastAsia="en-AU"/>
            </w:rPr>
          </w:pPr>
          <w:hyperlink w:anchor="_Toc480809289" w:history="1">
            <w:r w:rsidRPr="007C6B14">
              <w:rPr>
                <w:rStyle w:val="Hyperlink"/>
                <w:iCs/>
              </w:rPr>
              <w:t>5.4.2</w:t>
            </w:r>
            <w:r>
              <w:rPr>
                <w:rFonts w:asciiTheme="minorHAnsi" w:eastAsiaTheme="minorEastAsia" w:hAnsiTheme="minorHAnsi"/>
                <w:lang w:eastAsia="en-AU"/>
              </w:rPr>
              <w:tab/>
            </w:r>
            <w:r w:rsidRPr="007C6B14">
              <w:rPr>
                <w:rStyle w:val="Hyperlink"/>
              </w:rPr>
              <w:t>Diminishing value method</w:t>
            </w:r>
            <w:r>
              <w:rPr>
                <w:webHidden/>
              </w:rPr>
              <w:tab/>
            </w:r>
            <w:r>
              <w:rPr>
                <w:webHidden/>
              </w:rPr>
              <w:fldChar w:fldCharType="begin"/>
            </w:r>
            <w:r>
              <w:rPr>
                <w:webHidden/>
              </w:rPr>
              <w:instrText xml:space="preserve"> PAGEREF _Toc480809289 \h </w:instrText>
            </w:r>
            <w:r>
              <w:rPr>
                <w:webHidden/>
              </w:rPr>
            </w:r>
            <w:r>
              <w:rPr>
                <w:webHidden/>
              </w:rPr>
              <w:fldChar w:fldCharType="separate"/>
            </w:r>
            <w:r>
              <w:rPr>
                <w:webHidden/>
              </w:rPr>
              <w:t>5-12</w:t>
            </w:r>
            <w:r>
              <w:rPr>
                <w:webHidden/>
              </w:rPr>
              <w:fldChar w:fldCharType="end"/>
            </w:r>
          </w:hyperlink>
        </w:p>
        <w:p w:rsidR="003C6CEA" w:rsidRDefault="003C6CEA">
          <w:pPr>
            <w:pStyle w:val="TOC3"/>
            <w:rPr>
              <w:rFonts w:asciiTheme="minorHAnsi" w:eastAsiaTheme="minorEastAsia" w:hAnsiTheme="minorHAnsi"/>
              <w:lang w:eastAsia="en-AU"/>
            </w:rPr>
          </w:pPr>
          <w:hyperlink w:anchor="_Toc480809290" w:history="1">
            <w:r w:rsidRPr="007C6B14">
              <w:rPr>
                <w:rStyle w:val="Hyperlink"/>
              </w:rPr>
              <w:t>5.4.3</w:t>
            </w:r>
            <w:r>
              <w:rPr>
                <w:rFonts w:asciiTheme="minorHAnsi" w:eastAsiaTheme="minorEastAsia" w:hAnsiTheme="minorHAnsi"/>
                <w:lang w:eastAsia="en-AU"/>
              </w:rPr>
              <w:tab/>
            </w:r>
            <w:r w:rsidRPr="007C6B14">
              <w:rPr>
                <w:rStyle w:val="Hyperlink"/>
              </w:rPr>
              <w:t>Standard asset lives</w:t>
            </w:r>
            <w:r>
              <w:rPr>
                <w:webHidden/>
              </w:rPr>
              <w:tab/>
            </w:r>
            <w:r>
              <w:rPr>
                <w:webHidden/>
              </w:rPr>
              <w:fldChar w:fldCharType="begin"/>
            </w:r>
            <w:r>
              <w:rPr>
                <w:webHidden/>
              </w:rPr>
              <w:instrText xml:space="preserve"> PAGEREF _Toc480809290 \h </w:instrText>
            </w:r>
            <w:r>
              <w:rPr>
                <w:webHidden/>
              </w:rPr>
            </w:r>
            <w:r>
              <w:rPr>
                <w:webHidden/>
              </w:rPr>
              <w:fldChar w:fldCharType="separate"/>
            </w:r>
            <w:r>
              <w:rPr>
                <w:webHidden/>
              </w:rPr>
              <w:t>5-13</w:t>
            </w:r>
            <w:r>
              <w:rPr>
                <w:webHidden/>
              </w:rPr>
              <w:fldChar w:fldCharType="end"/>
            </w:r>
          </w:hyperlink>
        </w:p>
        <w:p w:rsidR="00DE563D" w:rsidRDefault="004F5F97" w:rsidP="003C6CEA">
          <w:pPr>
            <w:pStyle w:val="TOC1"/>
          </w:pPr>
          <w:r>
            <w:fldChar w:fldCharType="end"/>
          </w:r>
        </w:p>
      </w:sdtContent>
    </w:sdt>
    <w:p w:rsidR="00DE563D" w:rsidRDefault="00C84560">
      <w:pPr>
        <w:spacing w:line="240" w:lineRule="auto"/>
      </w:pPr>
      <w:r>
        <w:t xml:space="preserve"> </w:t>
      </w:r>
    </w:p>
    <w:p w:rsidR="00DE563D" w:rsidRDefault="00DE563D" w:rsidP="00DE563D">
      <w:pPr>
        <w:pStyle w:val="UnnumberedHeading"/>
        <w:numPr>
          <w:ilvl w:val="0"/>
          <w:numId w:val="24"/>
        </w:numPr>
      </w:pPr>
      <w:bookmarkStart w:id="8" w:name="_Toc404700925"/>
      <w:bookmarkStart w:id="9" w:name="_Toc480809282"/>
      <w:r>
        <w:lastRenderedPageBreak/>
        <w:t>Shortened forms</w:t>
      </w:r>
      <w:bookmarkEnd w:id="8"/>
      <w:bookmarkEnd w:id="9"/>
    </w:p>
    <w:tbl>
      <w:tblPr>
        <w:tblStyle w:val="AERtable-text0"/>
        <w:tblW w:w="0" w:type="auto"/>
        <w:tblLook w:val="04A0" w:firstRow="1" w:lastRow="0" w:firstColumn="1" w:lastColumn="0" w:noHBand="0" w:noVBand="1"/>
      </w:tblPr>
      <w:tblGrid>
        <w:gridCol w:w="4340"/>
        <w:gridCol w:w="4353"/>
      </w:tblGrid>
      <w:tr w:rsidR="00415F31" w:rsidTr="003C6CEA">
        <w:trPr>
          <w:cnfStyle w:val="100000000000" w:firstRow="1" w:lastRow="0" w:firstColumn="0" w:lastColumn="0" w:oddVBand="0" w:evenVBand="0" w:oddHBand="0" w:evenHBand="0" w:firstRowFirstColumn="0" w:firstRowLastColumn="0" w:lastRowFirstColumn="0" w:lastRowLastColumn="0"/>
          <w:tblHeader/>
        </w:trPr>
        <w:tc>
          <w:tcPr>
            <w:tcW w:w="4621" w:type="dxa"/>
          </w:tcPr>
          <w:p w:rsidR="00415F31" w:rsidRDefault="00415F31" w:rsidP="00415F31">
            <w:pPr>
              <w:numPr>
                <w:ilvl w:val="0"/>
                <w:numId w:val="25"/>
              </w:numPr>
              <w:spacing w:after="240" w:line="288" w:lineRule="auto"/>
              <w:jc w:val="both"/>
            </w:pPr>
            <w:r>
              <w:t>Shortened form</w:t>
            </w:r>
          </w:p>
        </w:tc>
        <w:tc>
          <w:tcPr>
            <w:tcW w:w="4621" w:type="dxa"/>
          </w:tcPr>
          <w:p w:rsidR="00415F31" w:rsidRDefault="00415F31" w:rsidP="00415F31">
            <w:pPr>
              <w:numPr>
                <w:ilvl w:val="0"/>
                <w:numId w:val="25"/>
              </w:numPr>
              <w:spacing w:after="240" w:line="288" w:lineRule="auto"/>
              <w:jc w:val="both"/>
            </w:pPr>
            <w:r>
              <w:t>Extended form</w:t>
            </w:r>
          </w:p>
        </w:tc>
      </w:tr>
      <w:tr w:rsidR="00415F31" w:rsidTr="003C6CEA">
        <w:tc>
          <w:tcPr>
            <w:tcW w:w="4621" w:type="dxa"/>
          </w:tcPr>
          <w:p w:rsidR="00415F31" w:rsidRDefault="00415F31" w:rsidP="00415F31">
            <w:pPr>
              <w:numPr>
                <w:ilvl w:val="0"/>
                <w:numId w:val="25"/>
              </w:numPr>
              <w:spacing w:after="240" w:line="288" w:lineRule="auto"/>
              <w:jc w:val="both"/>
            </w:pPr>
            <w:r>
              <w:t>AARR</w:t>
            </w:r>
          </w:p>
        </w:tc>
        <w:tc>
          <w:tcPr>
            <w:tcW w:w="4621" w:type="dxa"/>
          </w:tcPr>
          <w:p w:rsidR="00415F31" w:rsidRDefault="00415F31" w:rsidP="00415F31">
            <w:pPr>
              <w:numPr>
                <w:ilvl w:val="0"/>
                <w:numId w:val="25"/>
              </w:numPr>
              <w:spacing w:after="240" w:line="288" w:lineRule="auto"/>
              <w:jc w:val="both"/>
            </w:pPr>
            <w:r>
              <w:t>aggregate annual revenue requirement</w:t>
            </w:r>
          </w:p>
        </w:tc>
      </w:tr>
      <w:tr w:rsidR="00415F31" w:rsidTr="003C6CEA">
        <w:trPr>
          <w:cnfStyle w:val="000000010000" w:firstRow="0" w:lastRow="0" w:firstColumn="0" w:lastColumn="0" w:oddVBand="0" w:evenVBand="0" w:oddHBand="0" w:evenHBand="1" w:firstRowFirstColumn="0" w:firstRowLastColumn="0" w:lastRowFirstColumn="0" w:lastRowLastColumn="0"/>
        </w:trPr>
        <w:tc>
          <w:tcPr>
            <w:tcW w:w="4621" w:type="dxa"/>
          </w:tcPr>
          <w:p w:rsidR="00415F31" w:rsidRDefault="00415F31" w:rsidP="00415F31">
            <w:pPr>
              <w:numPr>
                <w:ilvl w:val="0"/>
                <w:numId w:val="25"/>
              </w:numPr>
              <w:spacing w:after="240" w:line="288" w:lineRule="auto"/>
              <w:jc w:val="both"/>
            </w:pPr>
            <w:r>
              <w:t>AEMC</w:t>
            </w:r>
          </w:p>
        </w:tc>
        <w:tc>
          <w:tcPr>
            <w:tcW w:w="4621" w:type="dxa"/>
          </w:tcPr>
          <w:p w:rsidR="00415F31" w:rsidRDefault="00415F31" w:rsidP="00415F31">
            <w:pPr>
              <w:numPr>
                <w:ilvl w:val="0"/>
                <w:numId w:val="25"/>
              </w:numPr>
              <w:spacing w:after="240" w:line="288" w:lineRule="auto"/>
              <w:jc w:val="both"/>
            </w:pPr>
            <w:r>
              <w:t>Australian Energy Market Commission</w:t>
            </w:r>
          </w:p>
        </w:tc>
      </w:tr>
      <w:tr w:rsidR="00415F31" w:rsidTr="003C6CEA">
        <w:tc>
          <w:tcPr>
            <w:tcW w:w="4621" w:type="dxa"/>
          </w:tcPr>
          <w:p w:rsidR="00415F31" w:rsidRDefault="00415F31" w:rsidP="00415F31">
            <w:pPr>
              <w:numPr>
                <w:ilvl w:val="0"/>
                <w:numId w:val="25"/>
              </w:numPr>
              <w:spacing w:after="240" w:line="288" w:lineRule="auto"/>
              <w:jc w:val="both"/>
            </w:pPr>
            <w:r>
              <w:t>AEMO</w:t>
            </w:r>
          </w:p>
        </w:tc>
        <w:tc>
          <w:tcPr>
            <w:tcW w:w="4621" w:type="dxa"/>
          </w:tcPr>
          <w:p w:rsidR="00415F31" w:rsidRDefault="00415F31" w:rsidP="00415F31">
            <w:pPr>
              <w:numPr>
                <w:ilvl w:val="0"/>
                <w:numId w:val="25"/>
              </w:numPr>
              <w:spacing w:after="240" w:line="288" w:lineRule="auto"/>
              <w:jc w:val="both"/>
            </w:pPr>
            <w:r>
              <w:t>Australian Energy Market Operator</w:t>
            </w:r>
          </w:p>
        </w:tc>
      </w:tr>
      <w:tr w:rsidR="00415F31" w:rsidTr="003C6CEA">
        <w:trPr>
          <w:cnfStyle w:val="000000010000" w:firstRow="0" w:lastRow="0" w:firstColumn="0" w:lastColumn="0" w:oddVBand="0" w:evenVBand="0" w:oddHBand="0" w:evenHBand="1" w:firstRowFirstColumn="0" w:firstRowLastColumn="0" w:lastRowFirstColumn="0" w:lastRowLastColumn="0"/>
        </w:trPr>
        <w:tc>
          <w:tcPr>
            <w:tcW w:w="4621" w:type="dxa"/>
          </w:tcPr>
          <w:p w:rsidR="00415F31" w:rsidRDefault="00415F31" w:rsidP="00415F31">
            <w:pPr>
              <w:numPr>
                <w:ilvl w:val="0"/>
                <w:numId w:val="25"/>
              </w:numPr>
              <w:spacing w:after="240" w:line="288" w:lineRule="auto"/>
              <w:jc w:val="both"/>
            </w:pPr>
            <w:r>
              <w:t>AER</w:t>
            </w:r>
          </w:p>
        </w:tc>
        <w:tc>
          <w:tcPr>
            <w:tcW w:w="4621" w:type="dxa"/>
          </w:tcPr>
          <w:p w:rsidR="00415F31" w:rsidRDefault="00415F31" w:rsidP="00415F31">
            <w:pPr>
              <w:numPr>
                <w:ilvl w:val="0"/>
                <w:numId w:val="25"/>
              </w:numPr>
              <w:spacing w:after="240" w:line="288" w:lineRule="auto"/>
              <w:jc w:val="both"/>
            </w:pPr>
            <w:r>
              <w:t>Australian Energy Regulator</w:t>
            </w:r>
          </w:p>
        </w:tc>
      </w:tr>
      <w:tr w:rsidR="00415F31" w:rsidTr="003C6CEA">
        <w:tc>
          <w:tcPr>
            <w:tcW w:w="4621" w:type="dxa"/>
          </w:tcPr>
          <w:p w:rsidR="00415F31" w:rsidRDefault="00415F31" w:rsidP="00415F31">
            <w:pPr>
              <w:numPr>
                <w:ilvl w:val="0"/>
                <w:numId w:val="25"/>
              </w:numPr>
              <w:spacing w:after="240" w:line="288" w:lineRule="auto"/>
              <w:jc w:val="both"/>
            </w:pPr>
            <w:r>
              <w:t>ASRR</w:t>
            </w:r>
          </w:p>
        </w:tc>
        <w:tc>
          <w:tcPr>
            <w:tcW w:w="4621" w:type="dxa"/>
          </w:tcPr>
          <w:p w:rsidR="00415F31" w:rsidRDefault="009D3906" w:rsidP="00415F31">
            <w:pPr>
              <w:numPr>
                <w:ilvl w:val="0"/>
                <w:numId w:val="25"/>
              </w:numPr>
              <w:spacing w:after="240" w:line="288" w:lineRule="auto"/>
              <w:jc w:val="both"/>
            </w:pPr>
            <w:r>
              <w:t>annual</w:t>
            </w:r>
            <w:r w:rsidR="00415F31">
              <w:t xml:space="preserve"> service revenue requirement</w:t>
            </w:r>
          </w:p>
        </w:tc>
      </w:tr>
      <w:tr w:rsidR="00415F31" w:rsidTr="003C6CEA">
        <w:trPr>
          <w:cnfStyle w:val="000000010000" w:firstRow="0" w:lastRow="0" w:firstColumn="0" w:lastColumn="0" w:oddVBand="0" w:evenVBand="0" w:oddHBand="0" w:evenHBand="1" w:firstRowFirstColumn="0" w:firstRowLastColumn="0" w:lastRowFirstColumn="0" w:lastRowLastColumn="0"/>
        </w:trPr>
        <w:tc>
          <w:tcPr>
            <w:tcW w:w="4621" w:type="dxa"/>
          </w:tcPr>
          <w:p w:rsidR="00415F31" w:rsidRDefault="00415F31" w:rsidP="00415F31">
            <w:pPr>
              <w:numPr>
                <w:ilvl w:val="0"/>
                <w:numId w:val="25"/>
              </w:numPr>
              <w:spacing w:after="240" w:line="288" w:lineRule="auto"/>
              <w:jc w:val="both"/>
            </w:pPr>
            <w:r>
              <w:t>augex</w:t>
            </w:r>
          </w:p>
        </w:tc>
        <w:tc>
          <w:tcPr>
            <w:tcW w:w="4621" w:type="dxa"/>
          </w:tcPr>
          <w:p w:rsidR="00415F31" w:rsidRDefault="00415F31" w:rsidP="00415F31">
            <w:pPr>
              <w:numPr>
                <w:ilvl w:val="0"/>
                <w:numId w:val="25"/>
              </w:numPr>
              <w:spacing w:after="240" w:line="288" w:lineRule="auto"/>
              <w:jc w:val="both"/>
            </w:pPr>
            <w:r>
              <w:t>augmentation expenditure</w:t>
            </w:r>
          </w:p>
        </w:tc>
      </w:tr>
      <w:tr w:rsidR="00415F31" w:rsidTr="003C6CEA">
        <w:tc>
          <w:tcPr>
            <w:tcW w:w="4621" w:type="dxa"/>
          </w:tcPr>
          <w:p w:rsidR="00415F31" w:rsidRDefault="00415F31" w:rsidP="00415F31">
            <w:pPr>
              <w:numPr>
                <w:ilvl w:val="0"/>
                <w:numId w:val="25"/>
              </w:numPr>
              <w:spacing w:after="240" w:line="288" w:lineRule="auto"/>
              <w:jc w:val="both"/>
            </w:pPr>
            <w:r>
              <w:t>capex</w:t>
            </w:r>
          </w:p>
        </w:tc>
        <w:tc>
          <w:tcPr>
            <w:tcW w:w="4621" w:type="dxa"/>
          </w:tcPr>
          <w:p w:rsidR="00415F31" w:rsidRDefault="00415F31" w:rsidP="00415F31">
            <w:pPr>
              <w:numPr>
                <w:ilvl w:val="0"/>
                <w:numId w:val="25"/>
              </w:numPr>
              <w:spacing w:after="240" w:line="288" w:lineRule="auto"/>
              <w:jc w:val="both"/>
            </w:pPr>
            <w:r>
              <w:t>capital expenditure</w:t>
            </w:r>
          </w:p>
        </w:tc>
      </w:tr>
      <w:tr w:rsidR="00415F31" w:rsidTr="003C6CEA">
        <w:trPr>
          <w:cnfStyle w:val="000000010000" w:firstRow="0" w:lastRow="0" w:firstColumn="0" w:lastColumn="0" w:oddVBand="0" w:evenVBand="0" w:oddHBand="0" w:evenHBand="1" w:firstRowFirstColumn="0" w:firstRowLastColumn="0" w:lastRowFirstColumn="0" w:lastRowLastColumn="0"/>
        </w:trPr>
        <w:tc>
          <w:tcPr>
            <w:tcW w:w="4621" w:type="dxa"/>
          </w:tcPr>
          <w:p w:rsidR="00415F31" w:rsidRDefault="00415F31" w:rsidP="00415F31">
            <w:pPr>
              <w:numPr>
                <w:ilvl w:val="0"/>
                <w:numId w:val="25"/>
              </w:numPr>
              <w:spacing w:after="240" w:line="288" w:lineRule="auto"/>
              <w:jc w:val="both"/>
            </w:pPr>
            <w:r>
              <w:t>CCP</w:t>
            </w:r>
          </w:p>
        </w:tc>
        <w:tc>
          <w:tcPr>
            <w:tcW w:w="4621" w:type="dxa"/>
          </w:tcPr>
          <w:p w:rsidR="00415F31" w:rsidRDefault="00415F31" w:rsidP="00415F31">
            <w:pPr>
              <w:numPr>
                <w:ilvl w:val="0"/>
                <w:numId w:val="25"/>
              </w:numPr>
              <w:spacing w:after="240" w:line="288" w:lineRule="auto"/>
              <w:jc w:val="both"/>
            </w:pPr>
            <w:r>
              <w:t>Consumer Challenge Panel</w:t>
            </w:r>
          </w:p>
        </w:tc>
      </w:tr>
      <w:tr w:rsidR="00415F31" w:rsidTr="003C6CEA">
        <w:tc>
          <w:tcPr>
            <w:tcW w:w="4621" w:type="dxa"/>
          </w:tcPr>
          <w:p w:rsidR="00415F31" w:rsidRDefault="00415F31" w:rsidP="00415F31">
            <w:pPr>
              <w:numPr>
                <w:ilvl w:val="0"/>
                <w:numId w:val="25"/>
              </w:numPr>
              <w:spacing w:after="240" w:line="288" w:lineRule="auto"/>
              <w:jc w:val="both"/>
            </w:pPr>
            <w:r>
              <w:t>CESS</w:t>
            </w:r>
          </w:p>
        </w:tc>
        <w:tc>
          <w:tcPr>
            <w:tcW w:w="4621" w:type="dxa"/>
          </w:tcPr>
          <w:p w:rsidR="00415F31" w:rsidRDefault="00415F31" w:rsidP="00415F31">
            <w:pPr>
              <w:numPr>
                <w:ilvl w:val="0"/>
                <w:numId w:val="25"/>
              </w:numPr>
              <w:spacing w:after="240" w:line="288" w:lineRule="auto"/>
              <w:jc w:val="both"/>
            </w:pPr>
            <w:r>
              <w:t>capital expenditure sharing scheme</w:t>
            </w:r>
          </w:p>
        </w:tc>
      </w:tr>
      <w:tr w:rsidR="00415F31" w:rsidTr="003C6CEA">
        <w:trPr>
          <w:cnfStyle w:val="000000010000" w:firstRow="0" w:lastRow="0" w:firstColumn="0" w:lastColumn="0" w:oddVBand="0" w:evenVBand="0" w:oddHBand="0" w:evenHBand="1" w:firstRowFirstColumn="0" w:firstRowLastColumn="0" w:lastRowFirstColumn="0" w:lastRowLastColumn="0"/>
        </w:trPr>
        <w:tc>
          <w:tcPr>
            <w:tcW w:w="4621" w:type="dxa"/>
          </w:tcPr>
          <w:p w:rsidR="00415F31" w:rsidRDefault="00415F31" w:rsidP="00415F31">
            <w:pPr>
              <w:numPr>
                <w:ilvl w:val="0"/>
                <w:numId w:val="25"/>
              </w:numPr>
              <w:spacing w:after="240" w:line="288" w:lineRule="auto"/>
              <w:jc w:val="both"/>
            </w:pPr>
            <w:r>
              <w:t>CPI</w:t>
            </w:r>
          </w:p>
        </w:tc>
        <w:tc>
          <w:tcPr>
            <w:tcW w:w="4621" w:type="dxa"/>
          </w:tcPr>
          <w:p w:rsidR="00415F31" w:rsidRDefault="00415F31" w:rsidP="00415F31">
            <w:pPr>
              <w:numPr>
                <w:ilvl w:val="0"/>
                <w:numId w:val="25"/>
              </w:numPr>
              <w:spacing w:after="240" w:line="288" w:lineRule="auto"/>
              <w:jc w:val="both"/>
            </w:pPr>
            <w:r>
              <w:t>consumer price index</w:t>
            </w:r>
          </w:p>
        </w:tc>
      </w:tr>
      <w:tr w:rsidR="00415F31" w:rsidTr="003C6CEA">
        <w:tc>
          <w:tcPr>
            <w:tcW w:w="4621" w:type="dxa"/>
          </w:tcPr>
          <w:p w:rsidR="00415F31" w:rsidRDefault="00415F31" w:rsidP="00415F31">
            <w:pPr>
              <w:numPr>
                <w:ilvl w:val="0"/>
                <w:numId w:val="25"/>
              </w:numPr>
              <w:spacing w:after="240" w:line="288" w:lineRule="auto"/>
              <w:jc w:val="both"/>
            </w:pPr>
            <w:r>
              <w:t>DRP</w:t>
            </w:r>
          </w:p>
        </w:tc>
        <w:tc>
          <w:tcPr>
            <w:tcW w:w="4621" w:type="dxa"/>
          </w:tcPr>
          <w:p w:rsidR="00415F31" w:rsidRDefault="00415F31" w:rsidP="00415F31">
            <w:pPr>
              <w:numPr>
                <w:ilvl w:val="0"/>
                <w:numId w:val="25"/>
              </w:numPr>
              <w:spacing w:after="240" w:line="288" w:lineRule="auto"/>
              <w:jc w:val="both"/>
            </w:pPr>
            <w:r>
              <w:t>debt risk premium</w:t>
            </w:r>
          </w:p>
        </w:tc>
      </w:tr>
      <w:tr w:rsidR="00415F31" w:rsidTr="003C6CEA">
        <w:trPr>
          <w:cnfStyle w:val="000000010000" w:firstRow="0" w:lastRow="0" w:firstColumn="0" w:lastColumn="0" w:oddVBand="0" w:evenVBand="0" w:oddHBand="0" w:evenHBand="1" w:firstRowFirstColumn="0" w:firstRowLastColumn="0" w:lastRowFirstColumn="0" w:lastRowLastColumn="0"/>
        </w:trPr>
        <w:tc>
          <w:tcPr>
            <w:tcW w:w="4621" w:type="dxa"/>
          </w:tcPr>
          <w:p w:rsidR="00415F31" w:rsidRDefault="00415F31" w:rsidP="00415F31">
            <w:pPr>
              <w:numPr>
                <w:ilvl w:val="0"/>
                <w:numId w:val="25"/>
              </w:numPr>
              <w:spacing w:after="240" w:line="288" w:lineRule="auto"/>
              <w:jc w:val="both"/>
            </w:pPr>
            <w:r>
              <w:t>EBSS</w:t>
            </w:r>
          </w:p>
        </w:tc>
        <w:tc>
          <w:tcPr>
            <w:tcW w:w="4621" w:type="dxa"/>
          </w:tcPr>
          <w:p w:rsidR="00415F31" w:rsidRDefault="00415F31" w:rsidP="00415F31">
            <w:pPr>
              <w:numPr>
                <w:ilvl w:val="0"/>
                <w:numId w:val="25"/>
              </w:numPr>
              <w:spacing w:after="240" w:line="288" w:lineRule="auto"/>
              <w:jc w:val="both"/>
            </w:pPr>
            <w:r>
              <w:t>efficiency benefit sharing scheme</w:t>
            </w:r>
          </w:p>
        </w:tc>
      </w:tr>
      <w:tr w:rsidR="00415F31" w:rsidTr="003C6CEA">
        <w:tc>
          <w:tcPr>
            <w:tcW w:w="4621" w:type="dxa"/>
          </w:tcPr>
          <w:p w:rsidR="00415F31" w:rsidRDefault="00415F31" w:rsidP="00415F31">
            <w:pPr>
              <w:numPr>
                <w:ilvl w:val="0"/>
                <w:numId w:val="25"/>
              </w:numPr>
              <w:spacing w:after="240" w:line="288" w:lineRule="auto"/>
              <w:jc w:val="both"/>
            </w:pPr>
            <w:r>
              <w:t>ERP</w:t>
            </w:r>
          </w:p>
        </w:tc>
        <w:tc>
          <w:tcPr>
            <w:tcW w:w="4621" w:type="dxa"/>
          </w:tcPr>
          <w:p w:rsidR="00415F31" w:rsidRDefault="00415F31" w:rsidP="00415F31">
            <w:pPr>
              <w:numPr>
                <w:ilvl w:val="0"/>
                <w:numId w:val="25"/>
              </w:numPr>
              <w:spacing w:after="240" w:line="288" w:lineRule="auto"/>
              <w:jc w:val="both"/>
            </w:pPr>
            <w:r>
              <w:t>equity risk premium</w:t>
            </w:r>
          </w:p>
        </w:tc>
      </w:tr>
      <w:tr w:rsidR="00415F31" w:rsidTr="003C6CEA">
        <w:trPr>
          <w:cnfStyle w:val="000000010000" w:firstRow="0" w:lastRow="0" w:firstColumn="0" w:lastColumn="0" w:oddVBand="0" w:evenVBand="0" w:oddHBand="0" w:evenHBand="1" w:firstRowFirstColumn="0" w:firstRowLastColumn="0" w:lastRowFirstColumn="0" w:lastRowLastColumn="0"/>
        </w:trPr>
        <w:tc>
          <w:tcPr>
            <w:tcW w:w="4621" w:type="dxa"/>
          </w:tcPr>
          <w:p w:rsidR="00415F31" w:rsidRDefault="00415F31" w:rsidP="00415F31">
            <w:pPr>
              <w:numPr>
                <w:ilvl w:val="0"/>
                <w:numId w:val="25"/>
              </w:numPr>
              <w:spacing w:after="240" w:line="288" w:lineRule="auto"/>
              <w:jc w:val="both"/>
            </w:pPr>
            <w:r>
              <w:t>MAR</w:t>
            </w:r>
          </w:p>
        </w:tc>
        <w:tc>
          <w:tcPr>
            <w:tcW w:w="4621" w:type="dxa"/>
          </w:tcPr>
          <w:p w:rsidR="00415F31" w:rsidRDefault="00415F31" w:rsidP="00415F31">
            <w:pPr>
              <w:numPr>
                <w:ilvl w:val="0"/>
                <w:numId w:val="25"/>
              </w:numPr>
              <w:spacing w:after="240" w:line="288" w:lineRule="auto"/>
              <w:jc w:val="both"/>
            </w:pPr>
            <w:r>
              <w:t>maximum allowed revenue</w:t>
            </w:r>
          </w:p>
        </w:tc>
      </w:tr>
      <w:tr w:rsidR="00415F31" w:rsidTr="003C6CEA">
        <w:tc>
          <w:tcPr>
            <w:tcW w:w="4621" w:type="dxa"/>
          </w:tcPr>
          <w:p w:rsidR="00415F31" w:rsidRDefault="00415F31" w:rsidP="00415F31">
            <w:pPr>
              <w:numPr>
                <w:ilvl w:val="0"/>
                <w:numId w:val="25"/>
              </w:numPr>
              <w:spacing w:after="240" w:line="288" w:lineRule="auto"/>
              <w:jc w:val="both"/>
            </w:pPr>
            <w:r>
              <w:t>MRP</w:t>
            </w:r>
          </w:p>
        </w:tc>
        <w:tc>
          <w:tcPr>
            <w:tcW w:w="4621" w:type="dxa"/>
          </w:tcPr>
          <w:p w:rsidR="00415F31" w:rsidRDefault="00415F31" w:rsidP="00415F31">
            <w:pPr>
              <w:numPr>
                <w:ilvl w:val="0"/>
                <w:numId w:val="25"/>
              </w:numPr>
              <w:spacing w:after="240" w:line="288" w:lineRule="auto"/>
              <w:jc w:val="both"/>
            </w:pPr>
            <w:r>
              <w:t>market risk premium</w:t>
            </w:r>
          </w:p>
        </w:tc>
      </w:tr>
      <w:tr w:rsidR="00415F31" w:rsidTr="003C6CEA">
        <w:trPr>
          <w:cnfStyle w:val="000000010000" w:firstRow="0" w:lastRow="0" w:firstColumn="0" w:lastColumn="0" w:oddVBand="0" w:evenVBand="0" w:oddHBand="0" w:evenHBand="1" w:firstRowFirstColumn="0" w:firstRowLastColumn="0" w:lastRowFirstColumn="0" w:lastRowLastColumn="0"/>
        </w:trPr>
        <w:tc>
          <w:tcPr>
            <w:tcW w:w="4621" w:type="dxa"/>
          </w:tcPr>
          <w:p w:rsidR="00415F31" w:rsidRDefault="00415F31" w:rsidP="00415F31">
            <w:pPr>
              <w:numPr>
                <w:ilvl w:val="0"/>
                <w:numId w:val="25"/>
              </w:numPr>
              <w:spacing w:after="240" w:line="288" w:lineRule="auto"/>
              <w:jc w:val="both"/>
            </w:pPr>
            <w:r>
              <w:t>NEL</w:t>
            </w:r>
          </w:p>
        </w:tc>
        <w:tc>
          <w:tcPr>
            <w:tcW w:w="4621" w:type="dxa"/>
          </w:tcPr>
          <w:p w:rsidR="00415F31" w:rsidRDefault="00415F31" w:rsidP="00415F31">
            <w:pPr>
              <w:numPr>
                <w:ilvl w:val="0"/>
                <w:numId w:val="25"/>
              </w:numPr>
              <w:spacing w:after="240" w:line="288" w:lineRule="auto"/>
              <w:jc w:val="both"/>
            </w:pPr>
            <w:r>
              <w:t>national electricity law</w:t>
            </w:r>
          </w:p>
        </w:tc>
      </w:tr>
      <w:tr w:rsidR="00415F31" w:rsidTr="003C6CEA">
        <w:tc>
          <w:tcPr>
            <w:tcW w:w="4621" w:type="dxa"/>
          </w:tcPr>
          <w:p w:rsidR="00415F31" w:rsidRDefault="00415F31" w:rsidP="00415F31">
            <w:pPr>
              <w:numPr>
                <w:ilvl w:val="0"/>
                <w:numId w:val="25"/>
              </w:numPr>
              <w:spacing w:after="240" w:line="288" w:lineRule="auto"/>
              <w:jc w:val="both"/>
            </w:pPr>
            <w:r>
              <w:t>NEM</w:t>
            </w:r>
          </w:p>
        </w:tc>
        <w:tc>
          <w:tcPr>
            <w:tcW w:w="4621" w:type="dxa"/>
          </w:tcPr>
          <w:p w:rsidR="00415F31" w:rsidRDefault="00415F31" w:rsidP="00415F31">
            <w:pPr>
              <w:numPr>
                <w:ilvl w:val="0"/>
                <w:numId w:val="25"/>
              </w:numPr>
              <w:spacing w:after="240" w:line="288" w:lineRule="auto"/>
              <w:jc w:val="both"/>
            </w:pPr>
            <w:r>
              <w:t>national electricity market</w:t>
            </w:r>
          </w:p>
        </w:tc>
      </w:tr>
      <w:tr w:rsidR="00415F31" w:rsidTr="003C6CEA">
        <w:trPr>
          <w:cnfStyle w:val="000000010000" w:firstRow="0" w:lastRow="0" w:firstColumn="0" w:lastColumn="0" w:oddVBand="0" w:evenVBand="0" w:oddHBand="0" w:evenHBand="1" w:firstRowFirstColumn="0" w:firstRowLastColumn="0" w:lastRowFirstColumn="0" w:lastRowLastColumn="0"/>
        </w:trPr>
        <w:tc>
          <w:tcPr>
            <w:tcW w:w="4621" w:type="dxa"/>
          </w:tcPr>
          <w:p w:rsidR="00415F31" w:rsidRDefault="00415F31" w:rsidP="00415F31">
            <w:pPr>
              <w:numPr>
                <w:ilvl w:val="0"/>
                <w:numId w:val="25"/>
              </w:numPr>
              <w:spacing w:after="240" w:line="288" w:lineRule="auto"/>
              <w:jc w:val="both"/>
            </w:pPr>
            <w:r>
              <w:t>NEO</w:t>
            </w:r>
          </w:p>
        </w:tc>
        <w:tc>
          <w:tcPr>
            <w:tcW w:w="4621" w:type="dxa"/>
          </w:tcPr>
          <w:p w:rsidR="00415F31" w:rsidRDefault="00415F31" w:rsidP="00415F31">
            <w:pPr>
              <w:numPr>
                <w:ilvl w:val="0"/>
                <w:numId w:val="25"/>
              </w:numPr>
              <w:spacing w:after="240" w:line="288" w:lineRule="auto"/>
              <w:jc w:val="both"/>
            </w:pPr>
            <w:r>
              <w:t>national electricity objective</w:t>
            </w:r>
          </w:p>
        </w:tc>
      </w:tr>
      <w:tr w:rsidR="00415F31" w:rsidTr="003C6CEA">
        <w:tc>
          <w:tcPr>
            <w:tcW w:w="4621" w:type="dxa"/>
          </w:tcPr>
          <w:p w:rsidR="00415F31" w:rsidRDefault="00415F31" w:rsidP="00415F31">
            <w:pPr>
              <w:numPr>
                <w:ilvl w:val="0"/>
                <w:numId w:val="25"/>
              </w:numPr>
              <w:spacing w:after="240" w:line="288" w:lineRule="auto"/>
              <w:jc w:val="both"/>
            </w:pPr>
            <w:r>
              <w:t>NER</w:t>
            </w:r>
          </w:p>
        </w:tc>
        <w:tc>
          <w:tcPr>
            <w:tcW w:w="4621" w:type="dxa"/>
          </w:tcPr>
          <w:p w:rsidR="00415F31" w:rsidRDefault="00415F31" w:rsidP="00415F31">
            <w:pPr>
              <w:numPr>
                <w:ilvl w:val="0"/>
                <w:numId w:val="25"/>
              </w:numPr>
              <w:spacing w:after="240" w:line="288" w:lineRule="auto"/>
              <w:jc w:val="both"/>
            </w:pPr>
            <w:r>
              <w:t>national electricity rules</w:t>
            </w:r>
          </w:p>
        </w:tc>
      </w:tr>
      <w:tr w:rsidR="00415F31" w:rsidTr="003C6CEA">
        <w:trPr>
          <w:cnfStyle w:val="000000010000" w:firstRow="0" w:lastRow="0" w:firstColumn="0" w:lastColumn="0" w:oddVBand="0" w:evenVBand="0" w:oddHBand="0" w:evenHBand="1" w:firstRowFirstColumn="0" w:firstRowLastColumn="0" w:lastRowFirstColumn="0" w:lastRowLastColumn="0"/>
        </w:trPr>
        <w:tc>
          <w:tcPr>
            <w:tcW w:w="4621" w:type="dxa"/>
          </w:tcPr>
          <w:p w:rsidR="00415F31" w:rsidRDefault="00415F31" w:rsidP="00415F31">
            <w:pPr>
              <w:numPr>
                <w:ilvl w:val="0"/>
                <w:numId w:val="25"/>
              </w:numPr>
              <w:spacing w:after="240" w:line="288" w:lineRule="auto"/>
              <w:jc w:val="both"/>
            </w:pPr>
            <w:r>
              <w:t>NSP</w:t>
            </w:r>
          </w:p>
        </w:tc>
        <w:tc>
          <w:tcPr>
            <w:tcW w:w="4621" w:type="dxa"/>
          </w:tcPr>
          <w:p w:rsidR="00415F31" w:rsidRDefault="00415F31" w:rsidP="00415F31">
            <w:pPr>
              <w:numPr>
                <w:ilvl w:val="0"/>
                <w:numId w:val="25"/>
              </w:numPr>
              <w:spacing w:after="240" w:line="288" w:lineRule="auto"/>
              <w:jc w:val="both"/>
            </w:pPr>
            <w:r>
              <w:t>network service provider</w:t>
            </w:r>
          </w:p>
        </w:tc>
      </w:tr>
      <w:tr w:rsidR="00415F31" w:rsidTr="003C6CEA">
        <w:tc>
          <w:tcPr>
            <w:tcW w:w="4621" w:type="dxa"/>
          </w:tcPr>
          <w:p w:rsidR="00415F31" w:rsidRDefault="00415F31" w:rsidP="00415F31">
            <w:pPr>
              <w:numPr>
                <w:ilvl w:val="0"/>
                <w:numId w:val="25"/>
              </w:numPr>
              <w:spacing w:after="240" w:line="288" w:lineRule="auto"/>
              <w:jc w:val="both"/>
            </w:pPr>
            <w:r>
              <w:t>NTSC</w:t>
            </w:r>
          </w:p>
        </w:tc>
        <w:tc>
          <w:tcPr>
            <w:tcW w:w="4621" w:type="dxa"/>
          </w:tcPr>
          <w:p w:rsidR="00415F31" w:rsidRDefault="00415F31" w:rsidP="00415F31">
            <w:pPr>
              <w:numPr>
                <w:ilvl w:val="0"/>
                <w:numId w:val="25"/>
              </w:numPr>
              <w:spacing w:after="240" w:line="288" w:lineRule="auto"/>
              <w:jc w:val="both"/>
            </w:pPr>
            <w:r>
              <w:t>negotiated transmission service criteria</w:t>
            </w:r>
          </w:p>
        </w:tc>
      </w:tr>
      <w:tr w:rsidR="00415F31" w:rsidTr="003C6CEA">
        <w:trPr>
          <w:cnfStyle w:val="000000010000" w:firstRow="0" w:lastRow="0" w:firstColumn="0" w:lastColumn="0" w:oddVBand="0" w:evenVBand="0" w:oddHBand="0" w:evenHBand="1" w:firstRowFirstColumn="0" w:firstRowLastColumn="0" w:lastRowFirstColumn="0" w:lastRowLastColumn="0"/>
        </w:trPr>
        <w:tc>
          <w:tcPr>
            <w:tcW w:w="4621" w:type="dxa"/>
          </w:tcPr>
          <w:p w:rsidR="00415F31" w:rsidRDefault="00415F31" w:rsidP="00415F31">
            <w:pPr>
              <w:numPr>
                <w:ilvl w:val="0"/>
                <w:numId w:val="25"/>
              </w:numPr>
              <w:spacing w:after="240" w:line="288" w:lineRule="auto"/>
              <w:jc w:val="both"/>
            </w:pPr>
            <w:r>
              <w:lastRenderedPageBreak/>
              <w:t>opex</w:t>
            </w:r>
          </w:p>
        </w:tc>
        <w:tc>
          <w:tcPr>
            <w:tcW w:w="4621" w:type="dxa"/>
          </w:tcPr>
          <w:p w:rsidR="00415F31" w:rsidRDefault="00415F31" w:rsidP="00415F31">
            <w:pPr>
              <w:numPr>
                <w:ilvl w:val="0"/>
                <w:numId w:val="25"/>
              </w:numPr>
              <w:spacing w:after="240" w:line="288" w:lineRule="auto"/>
              <w:jc w:val="both"/>
            </w:pPr>
            <w:r>
              <w:t>operating expenditure</w:t>
            </w:r>
          </w:p>
        </w:tc>
      </w:tr>
      <w:tr w:rsidR="00415F31" w:rsidTr="003C6CEA">
        <w:tc>
          <w:tcPr>
            <w:tcW w:w="4621" w:type="dxa"/>
          </w:tcPr>
          <w:p w:rsidR="00415F31" w:rsidRDefault="00415F31" w:rsidP="00415F31">
            <w:pPr>
              <w:numPr>
                <w:ilvl w:val="0"/>
                <w:numId w:val="25"/>
              </w:numPr>
              <w:spacing w:after="240" w:line="288" w:lineRule="auto"/>
              <w:jc w:val="both"/>
            </w:pPr>
            <w:r>
              <w:t>PPI</w:t>
            </w:r>
          </w:p>
        </w:tc>
        <w:tc>
          <w:tcPr>
            <w:tcW w:w="4621" w:type="dxa"/>
          </w:tcPr>
          <w:p w:rsidR="00415F31" w:rsidRDefault="00415F31" w:rsidP="00415F31">
            <w:pPr>
              <w:numPr>
                <w:ilvl w:val="0"/>
                <w:numId w:val="25"/>
              </w:numPr>
              <w:spacing w:after="240" w:line="288" w:lineRule="auto"/>
              <w:jc w:val="both"/>
            </w:pPr>
            <w:r>
              <w:t>partial performance indicators</w:t>
            </w:r>
          </w:p>
        </w:tc>
      </w:tr>
      <w:tr w:rsidR="00415F31" w:rsidTr="003C6CEA">
        <w:trPr>
          <w:cnfStyle w:val="000000010000" w:firstRow="0" w:lastRow="0" w:firstColumn="0" w:lastColumn="0" w:oddVBand="0" w:evenVBand="0" w:oddHBand="0" w:evenHBand="1" w:firstRowFirstColumn="0" w:firstRowLastColumn="0" w:lastRowFirstColumn="0" w:lastRowLastColumn="0"/>
        </w:trPr>
        <w:tc>
          <w:tcPr>
            <w:tcW w:w="4621" w:type="dxa"/>
          </w:tcPr>
          <w:p w:rsidR="00415F31" w:rsidRDefault="00415F31" w:rsidP="00415F31">
            <w:pPr>
              <w:numPr>
                <w:ilvl w:val="0"/>
                <w:numId w:val="25"/>
              </w:numPr>
              <w:spacing w:after="240" w:line="288" w:lineRule="auto"/>
              <w:jc w:val="both"/>
            </w:pPr>
            <w:r>
              <w:t>PTRM</w:t>
            </w:r>
          </w:p>
        </w:tc>
        <w:tc>
          <w:tcPr>
            <w:tcW w:w="4621" w:type="dxa"/>
          </w:tcPr>
          <w:p w:rsidR="00415F31" w:rsidRDefault="00415F31" w:rsidP="00415F31">
            <w:pPr>
              <w:numPr>
                <w:ilvl w:val="0"/>
                <w:numId w:val="25"/>
              </w:numPr>
              <w:spacing w:after="240" w:line="288" w:lineRule="auto"/>
              <w:jc w:val="both"/>
            </w:pPr>
            <w:r>
              <w:t>post-tax revenue model</w:t>
            </w:r>
          </w:p>
        </w:tc>
      </w:tr>
      <w:tr w:rsidR="00415F31" w:rsidTr="003C6CEA">
        <w:tc>
          <w:tcPr>
            <w:tcW w:w="4621" w:type="dxa"/>
          </w:tcPr>
          <w:p w:rsidR="00415F31" w:rsidRDefault="00415F31" w:rsidP="00415F31">
            <w:pPr>
              <w:numPr>
                <w:ilvl w:val="0"/>
                <w:numId w:val="25"/>
              </w:numPr>
              <w:spacing w:after="240" w:line="288" w:lineRule="auto"/>
              <w:jc w:val="both"/>
            </w:pPr>
            <w:r>
              <w:t>RAB</w:t>
            </w:r>
          </w:p>
        </w:tc>
        <w:tc>
          <w:tcPr>
            <w:tcW w:w="4621" w:type="dxa"/>
          </w:tcPr>
          <w:p w:rsidR="00415F31" w:rsidRDefault="00415F31" w:rsidP="00415F31">
            <w:pPr>
              <w:numPr>
                <w:ilvl w:val="0"/>
                <w:numId w:val="25"/>
              </w:numPr>
              <w:spacing w:after="240" w:line="288" w:lineRule="auto"/>
              <w:jc w:val="both"/>
            </w:pPr>
            <w:r>
              <w:t>regulatory asset base</w:t>
            </w:r>
          </w:p>
        </w:tc>
      </w:tr>
      <w:tr w:rsidR="00415F31" w:rsidTr="003C6CEA">
        <w:trPr>
          <w:cnfStyle w:val="000000010000" w:firstRow="0" w:lastRow="0" w:firstColumn="0" w:lastColumn="0" w:oddVBand="0" w:evenVBand="0" w:oddHBand="0" w:evenHBand="1" w:firstRowFirstColumn="0" w:firstRowLastColumn="0" w:lastRowFirstColumn="0" w:lastRowLastColumn="0"/>
        </w:trPr>
        <w:tc>
          <w:tcPr>
            <w:tcW w:w="4621" w:type="dxa"/>
          </w:tcPr>
          <w:p w:rsidR="00415F31" w:rsidRDefault="00415F31" w:rsidP="00415F31">
            <w:pPr>
              <w:numPr>
                <w:ilvl w:val="0"/>
                <w:numId w:val="25"/>
              </w:numPr>
              <w:spacing w:after="240" w:line="288" w:lineRule="auto"/>
              <w:jc w:val="both"/>
            </w:pPr>
            <w:r>
              <w:t>RBA</w:t>
            </w:r>
          </w:p>
        </w:tc>
        <w:tc>
          <w:tcPr>
            <w:tcW w:w="4621" w:type="dxa"/>
          </w:tcPr>
          <w:p w:rsidR="00415F31" w:rsidRDefault="00415F31" w:rsidP="00415F31">
            <w:pPr>
              <w:numPr>
                <w:ilvl w:val="0"/>
                <w:numId w:val="25"/>
              </w:numPr>
              <w:spacing w:after="240" w:line="288" w:lineRule="auto"/>
              <w:jc w:val="both"/>
            </w:pPr>
            <w:r>
              <w:t>Reserve Bank of Australia</w:t>
            </w:r>
          </w:p>
        </w:tc>
      </w:tr>
      <w:tr w:rsidR="00415F31" w:rsidTr="003C6CEA">
        <w:tc>
          <w:tcPr>
            <w:tcW w:w="4621" w:type="dxa"/>
          </w:tcPr>
          <w:p w:rsidR="00415F31" w:rsidRDefault="00415F31" w:rsidP="00415F31">
            <w:pPr>
              <w:numPr>
                <w:ilvl w:val="0"/>
                <w:numId w:val="25"/>
              </w:numPr>
              <w:spacing w:after="240" w:line="288" w:lineRule="auto"/>
              <w:jc w:val="both"/>
            </w:pPr>
            <w:r>
              <w:t>repex</w:t>
            </w:r>
          </w:p>
        </w:tc>
        <w:tc>
          <w:tcPr>
            <w:tcW w:w="4621" w:type="dxa"/>
          </w:tcPr>
          <w:p w:rsidR="00415F31" w:rsidRDefault="00415F31" w:rsidP="00415F31">
            <w:pPr>
              <w:numPr>
                <w:ilvl w:val="0"/>
                <w:numId w:val="25"/>
              </w:numPr>
              <w:spacing w:after="240" w:line="288" w:lineRule="auto"/>
              <w:jc w:val="both"/>
            </w:pPr>
            <w:r>
              <w:t>replacement expenditure</w:t>
            </w:r>
          </w:p>
        </w:tc>
      </w:tr>
      <w:tr w:rsidR="00415F31" w:rsidTr="003C6CEA">
        <w:trPr>
          <w:cnfStyle w:val="000000010000" w:firstRow="0" w:lastRow="0" w:firstColumn="0" w:lastColumn="0" w:oddVBand="0" w:evenVBand="0" w:oddHBand="0" w:evenHBand="1" w:firstRowFirstColumn="0" w:firstRowLastColumn="0" w:lastRowFirstColumn="0" w:lastRowLastColumn="0"/>
        </w:trPr>
        <w:tc>
          <w:tcPr>
            <w:tcW w:w="4621" w:type="dxa"/>
          </w:tcPr>
          <w:p w:rsidR="00415F31" w:rsidRDefault="00415F31" w:rsidP="00415F31">
            <w:pPr>
              <w:numPr>
                <w:ilvl w:val="0"/>
                <w:numId w:val="25"/>
              </w:numPr>
              <w:spacing w:after="240" w:line="288" w:lineRule="auto"/>
              <w:jc w:val="both"/>
            </w:pPr>
            <w:r>
              <w:t>RFM</w:t>
            </w:r>
          </w:p>
        </w:tc>
        <w:tc>
          <w:tcPr>
            <w:tcW w:w="4621" w:type="dxa"/>
          </w:tcPr>
          <w:p w:rsidR="00415F31" w:rsidRDefault="00415F31" w:rsidP="00415F31">
            <w:pPr>
              <w:numPr>
                <w:ilvl w:val="0"/>
                <w:numId w:val="25"/>
              </w:numPr>
              <w:spacing w:after="240" w:line="288" w:lineRule="auto"/>
              <w:jc w:val="both"/>
            </w:pPr>
            <w:r>
              <w:t>roll forward model</w:t>
            </w:r>
          </w:p>
        </w:tc>
      </w:tr>
      <w:tr w:rsidR="00415F31" w:rsidTr="003C6CEA">
        <w:tc>
          <w:tcPr>
            <w:tcW w:w="4621" w:type="dxa"/>
          </w:tcPr>
          <w:p w:rsidR="00415F31" w:rsidRDefault="00415F31" w:rsidP="00415F31">
            <w:pPr>
              <w:numPr>
                <w:ilvl w:val="0"/>
                <w:numId w:val="25"/>
              </w:numPr>
              <w:spacing w:after="240" w:line="288" w:lineRule="auto"/>
              <w:jc w:val="both"/>
            </w:pPr>
            <w:r>
              <w:t>RIN</w:t>
            </w:r>
          </w:p>
        </w:tc>
        <w:tc>
          <w:tcPr>
            <w:tcW w:w="4621" w:type="dxa"/>
          </w:tcPr>
          <w:p w:rsidR="00415F31" w:rsidRDefault="00415F31" w:rsidP="00415F31">
            <w:pPr>
              <w:numPr>
                <w:ilvl w:val="0"/>
                <w:numId w:val="25"/>
              </w:numPr>
              <w:spacing w:after="240" w:line="288" w:lineRule="auto"/>
              <w:jc w:val="both"/>
            </w:pPr>
            <w:r>
              <w:t>regulatory information notice</w:t>
            </w:r>
          </w:p>
        </w:tc>
      </w:tr>
      <w:tr w:rsidR="00415F31" w:rsidTr="003C6CEA">
        <w:trPr>
          <w:cnfStyle w:val="000000010000" w:firstRow="0" w:lastRow="0" w:firstColumn="0" w:lastColumn="0" w:oddVBand="0" w:evenVBand="0" w:oddHBand="0" w:evenHBand="1" w:firstRowFirstColumn="0" w:firstRowLastColumn="0" w:lastRowFirstColumn="0" w:lastRowLastColumn="0"/>
        </w:trPr>
        <w:tc>
          <w:tcPr>
            <w:tcW w:w="4621" w:type="dxa"/>
          </w:tcPr>
          <w:p w:rsidR="00415F31" w:rsidRDefault="00415F31" w:rsidP="00415F31">
            <w:pPr>
              <w:numPr>
                <w:ilvl w:val="0"/>
                <w:numId w:val="25"/>
              </w:numPr>
              <w:spacing w:after="240" w:line="288" w:lineRule="auto"/>
              <w:jc w:val="both"/>
            </w:pPr>
            <w:r>
              <w:t>RPP</w:t>
            </w:r>
          </w:p>
        </w:tc>
        <w:tc>
          <w:tcPr>
            <w:tcW w:w="4621" w:type="dxa"/>
          </w:tcPr>
          <w:p w:rsidR="00415F31" w:rsidRDefault="00415F31" w:rsidP="00415F31">
            <w:pPr>
              <w:numPr>
                <w:ilvl w:val="0"/>
                <w:numId w:val="25"/>
              </w:numPr>
              <w:spacing w:after="240" w:line="288" w:lineRule="auto"/>
              <w:jc w:val="both"/>
            </w:pPr>
            <w:r>
              <w:t xml:space="preserve">revenue </w:t>
            </w:r>
            <w:r w:rsidR="002D72E8">
              <w:t xml:space="preserve">and </w:t>
            </w:r>
            <w:r>
              <w:t>pricing principles</w:t>
            </w:r>
          </w:p>
        </w:tc>
      </w:tr>
      <w:tr w:rsidR="00415F31" w:rsidTr="003C6CEA">
        <w:tc>
          <w:tcPr>
            <w:tcW w:w="4621" w:type="dxa"/>
          </w:tcPr>
          <w:p w:rsidR="00415F31" w:rsidRDefault="00415F31" w:rsidP="00415F31">
            <w:pPr>
              <w:numPr>
                <w:ilvl w:val="0"/>
                <w:numId w:val="25"/>
              </w:numPr>
              <w:spacing w:after="240" w:line="288" w:lineRule="auto"/>
              <w:jc w:val="both"/>
            </w:pPr>
            <w:r>
              <w:t>SLCAPM</w:t>
            </w:r>
          </w:p>
        </w:tc>
        <w:tc>
          <w:tcPr>
            <w:tcW w:w="4621" w:type="dxa"/>
          </w:tcPr>
          <w:p w:rsidR="00415F31" w:rsidRDefault="00415F31" w:rsidP="00415F31">
            <w:pPr>
              <w:numPr>
                <w:ilvl w:val="0"/>
                <w:numId w:val="25"/>
              </w:numPr>
              <w:spacing w:after="240" w:line="288" w:lineRule="auto"/>
              <w:jc w:val="both"/>
            </w:pPr>
            <w:r>
              <w:t>Sharpe-Lintner capital asset pricing model</w:t>
            </w:r>
          </w:p>
        </w:tc>
      </w:tr>
      <w:tr w:rsidR="00415F31" w:rsidTr="003C6CEA">
        <w:trPr>
          <w:cnfStyle w:val="000000010000" w:firstRow="0" w:lastRow="0" w:firstColumn="0" w:lastColumn="0" w:oddVBand="0" w:evenVBand="0" w:oddHBand="0" w:evenHBand="1" w:firstRowFirstColumn="0" w:firstRowLastColumn="0" w:lastRowFirstColumn="0" w:lastRowLastColumn="0"/>
        </w:trPr>
        <w:tc>
          <w:tcPr>
            <w:tcW w:w="4621" w:type="dxa"/>
          </w:tcPr>
          <w:p w:rsidR="00415F31" w:rsidRDefault="00415F31" w:rsidP="00415F31">
            <w:pPr>
              <w:numPr>
                <w:ilvl w:val="0"/>
                <w:numId w:val="25"/>
              </w:numPr>
              <w:spacing w:after="240" w:line="288" w:lineRule="auto"/>
              <w:jc w:val="both"/>
            </w:pPr>
            <w:r>
              <w:t>STPIS</w:t>
            </w:r>
          </w:p>
        </w:tc>
        <w:tc>
          <w:tcPr>
            <w:tcW w:w="4621" w:type="dxa"/>
          </w:tcPr>
          <w:p w:rsidR="00415F31" w:rsidRDefault="00415F31" w:rsidP="00415F31">
            <w:pPr>
              <w:numPr>
                <w:ilvl w:val="0"/>
                <w:numId w:val="25"/>
              </w:numPr>
              <w:spacing w:after="240" w:line="288" w:lineRule="auto"/>
              <w:jc w:val="both"/>
            </w:pPr>
            <w:r>
              <w:t>service target performance incentive scheme</w:t>
            </w:r>
          </w:p>
        </w:tc>
      </w:tr>
      <w:tr w:rsidR="00415F31" w:rsidTr="003C6CEA">
        <w:tc>
          <w:tcPr>
            <w:tcW w:w="4621" w:type="dxa"/>
          </w:tcPr>
          <w:p w:rsidR="00415F31" w:rsidRDefault="00415F31" w:rsidP="00415F31">
            <w:pPr>
              <w:numPr>
                <w:ilvl w:val="0"/>
                <w:numId w:val="25"/>
              </w:numPr>
              <w:spacing w:after="240" w:line="288" w:lineRule="auto"/>
              <w:jc w:val="both"/>
            </w:pPr>
            <w:r>
              <w:t>TNSP</w:t>
            </w:r>
          </w:p>
        </w:tc>
        <w:tc>
          <w:tcPr>
            <w:tcW w:w="4621" w:type="dxa"/>
          </w:tcPr>
          <w:p w:rsidR="00415F31" w:rsidRDefault="00415F31" w:rsidP="00415F31">
            <w:pPr>
              <w:numPr>
                <w:ilvl w:val="0"/>
                <w:numId w:val="25"/>
              </w:numPr>
              <w:spacing w:after="240" w:line="288" w:lineRule="auto"/>
              <w:jc w:val="both"/>
            </w:pPr>
            <w:r>
              <w:t>transmission network service provider</w:t>
            </w:r>
          </w:p>
        </w:tc>
      </w:tr>
      <w:tr w:rsidR="00415F31" w:rsidTr="003C6CEA">
        <w:trPr>
          <w:cnfStyle w:val="000000010000" w:firstRow="0" w:lastRow="0" w:firstColumn="0" w:lastColumn="0" w:oddVBand="0" w:evenVBand="0" w:oddHBand="0" w:evenHBand="1" w:firstRowFirstColumn="0" w:firstRowLastColumn="0" w:lastRowFirstColumn="0" w:lastRowLastColumn="0"/>
        </w:trPr>
        <w:tc>
          <w:tcPr>
            <w:tcW w:w="4621" w:type="dxa"/>
          </w:tcPr>
          <w:p w:rsidR="00415F31" w:rsidRDefault="00415F31" w:rsidP="00415F31">
            <w:pPr>
              <w:numPr>
                <w:ilvl w:val="0"/>
                <w:numId w:val="25"/>
              </w:numPr>
              <w:spacing w:after="240" w:line="288" w:lineRule="auto"/>
              <w:jc w:val="both"/>
            </w:pPr>
            <w:r>
              <w:t>TUoS</w:t>
            </w:r>
          </w:p>
        </w:tc>
        <w:tc>
          <w:tcPr>
            <w:tcW w:w="4621" w:type="dxa"/>
          </w:tcPr>
          <w:p w:rsidR="00415F31" w:rsidRDefault="00415F31" w:rsidP="00415F31">
            <w:pPr>
              <w:numPr>
                <w:ilvl w:val="0"/>
                <w:numId w:val="25"/>
              </w:numPr>
              <w:spacing w:after="240" w:line="288" w:lineRule="auto"/>
              <w:jc w:val="both"/>
            </w:pPr>
            <w:r>
              <w:t>transmission use of system</w:t>
            </w:r>
          </w:p>
        </w:tc>
      </w:tr>
      <w:tr w:rsidR="00415F31" w:rsidTr="003C6CEA">
        <w:tc>
          <w:tcPr>
            <w:tcW w:w="4621" w:type="dxa"/>
          </w:tcPr>
          <w:p w:rsidR="00415F31" w:rsidRDefault="00415F31" w:rsidP="00415F31">
            <w:pPr>
              <w:numPr>
                <w:ilvl w:val="0"/>
                <w:numId w:val="25"/>
              </w:numPr>
              <w:spacing w:after="240" w:line="288" w:lineRule="auto"/>
              <w:jc w:val="both"/>
            </w:pPr>
            <w:r>
              <w:t>WACC</w:t>
            </w:r>
          </w:p>
        </w:tc>
        <w:tc>
          <w:tcPr>
            <w:tcW w:w="4621" w:type="dxa"/>
          </w:tcPr>
          <w:p w:rsidR="00415F31" w:rsidRDefault="00415F31" w:rsidP="00415F31">
            <w:pPr>
              <w:numPr>
                <w:ilvl w:val="0"/>
                <w:numId w:val="25"/>
              </w:numPr>
              <w:spacing w:after="240" w:line="288" w:lineRule="auto"/>
              <w:jc w:val="both"/>
            </w:pPr>
            <w:r>
              <w:t>weighted average cost of capital</w:t>
            </w:r>
          </w:p>
        </w:tc>
      </w:tr>
    </w:tbl>
    <w:p w:rsidR="00415F31" w:rsidRPr="00271F7C" w:rsidRDefault="00415F31" w:rsidP="00415F31"/>
    <w:p w:rsidR="00DE563D" w:rsidRPr="00436A39" w:rsidRDefault="00DE563D" w:rsidP="00DE563D">
      <w:pPr>
        <w:numPr>
          <w:ilvl w:val="0"/>
          <w:numId w:val="25"/>
        </w:numPr>
      </w:pPr>
    </w:p>
    <w:p w:rsidR="00DE563D" w:rsidRDefault="00DE563D" w:rsidP="00DE563D"/>
    <w:p w:rsidR="00DE563D" w:rsidRDefault="007B7166" w:rsidP="007B7166">
      <w:pPr>
        <w:pStyle w:val="Heading1"/>
      </w:pPr>
      <w:bookmarkStart w:id="10" w:name="_Toc480809283"/>
      <w:r>
        <w:lastRenderedPageBreak/>
        <w:t>Regulatory depreciation</w:t>
      </w:r>
      <w:bookmarkEnd w:id="10"/>
    </w:p>
    <w:p w:rsidR="00B518A1" w:rsidRPr="00B518A1" w:rsidRDefault="00B518A1" w:rsidP="00B518A1">
      <w:r w:rsidRPr="00B518A1">
        <w:t xml:space="preserve">Depreciation is the allowance provided so capital investors recover their investment over the economic life of the asset (return of capital). In deciding whether to approve the depreciation schedules submitted by </w:t>
      </w:r>
      <w:r>
        <w:t>AusNet Services</w:t>
      </w:r>
      <w:r w:rsidRPr="00B518A1">
        <w:t>, we make determinations on the indexation of the regulatory asset base (RAB) and depreciation</w:t>
      </w:r>
      <w:r>
        <w:t xml:space="preserve"> </w:t>
      </w:r>
      <w:r w:rsidRPr="00B518A1">
        <w:t xml:space="preserve">building blocks for </w:t>
      </w:r>
      <w:r>
        <w:t>AusNet Services'</w:t>
      </w:r>
      <w:r w:rsidRPr="00B518A1">
        <w:t xml:space="preserve"> 201</w:t>
      </w:r>
      <w:r>
        <w:t>7</w:t>
      </w:r>
      <w:r w:rsidRPr="00B518A1">
        <w:t>–</w:t>
      </w:r>
      <w:r>
        <w:t>22</w:t>
      </w:r>
      <w:r w:rsidRPr="00B518A1">
        <w:t xml:space="preserve"> </w:t>
      </w:r>
      <w:r>
        <w:t xml:space="preserve">regulatory control </w:t>
      </w:r>
      <w:r w:rsidRPr="00B518A1">
        <w:t>period.</w:t>
      </w:r>
      <w:r>
        <w:rPr>
          <w:rStyle w:val="FootnoteReference"/>
        </w:rPr>
        <w:footnoteReference w:id="1"/>
      </w:r>
      <w:r w:rsidRPr="00B518A1">
        <w:t xml:space="preserve"> The regulatory depreciation allowance (or return of</w:t>
      </w:r>
      <w:r>
        <w:t xml:space="preserve"> </w:t>
      </w:r>
      <w:r w:rsidRPr="00B518A1">
        <w:t xml:space="preserve">capital) is the net total of the </w:t>
      </w:r>
      <w:r w:rsidR="001D2425">
        <w:t>straight-line</w:t>
      </w:r>
      <w:r w:rsidR="001D2425" w:rsidRPr="00B518A1">
        <w:t xml:space="preserve"> </w:t>
      </w:r>
      <w:r w:rsidRPr="00B518A1">
        <w:t xml:space="preserve">depreciation </w:t>
      </w:r>
      <w:r w:rsidR="007318B8">
        <w:t>less</w:t>
      </w:r>
      <w:r w:rsidRPr="00B518A1">
        <w:t xml:space="preserve"> the indexation of the RAB.</w:t>
      </w:r>
    </w:p>
    <w:p w:rsidR="00B518A1" w:rsidRPr="00B518A1" w:rsidRDefault="00B518A1" w:rsidP="00B518A1">
      <w:r w:rsidRPr="00B518A1">
        <w:t xml:space="preserve">This attachment sets out our </w:t>
      </w:r>
      <w:r w:rsidR="00EA40EC">
        <w:t>final</w:t>
      </w:r>
      <w:r w:rsidRPr="00B518A1">
        <w:t xml:space="preserve"> decision on </w:t>
      </w:r>
      <w:r>
        <w:t>AusNet Services'</w:t>
      </w:r>
      <w:r w:rsidRPr="00B518A1">
        <w:t xml:space="preserve"> regulatory depreciation allowance. It also</w:t>
      </w:r>
      <w:r>
        <w:t xml:space="preserve"> </w:t>
      </w:r>
      <w:r w:rsidRPr="00B518A1">
        <w:t xml:space="preserve">presents our </w:t>
      </w:r>
      <w:r w:rsidR="00EA40EC">
        <w:t>final</w:t>
      </w:r>
      <w:r w:rsidRPr="00B518A1">
        <w:t xml:space="preserve"> decision on the </w:t>
      </w:r>
      <w:r w:rsidR="00B8744C">
        <w:t xml:space="preserve">revised </w:t>
      </w:r>
      <w:r w:rsidRPr="00B518A1">
        <w:t>proposed depreciation schedules, including an assessment of the</w:t>
      </w:r>
      <w:r>
        <w:t xml:space="preserve"> </w:t>
      </w:r>
      <w:r w:rsidR="00B8744C">
        <w:t xml:space="preserve">revised </w:t>
      </w:r>
      <w:r w:rsidRPr="00B518A1">
        <w:t>proposed asset lives to be used for forecasting depreciation.</w:t>
      </w:r>
    </w:p>
    <w:p w:rsidR="00DE563D" w:rsidRPr="001754EE" w:rsidRDefault="00EA40EC" w:rsidP="001754EE">
      <w:pPr>
        <w:pStyle w:val="Heading2"/>
      </w:pPr>
      <w:bookmarkStart w:id="11" w:name="_Toc403144136"/>
      <w:bookmarkStart w:id="12" w:name="_Toc480809284"/>
      <w:r>
        <w:t>Final</w:t>
      </w:r>
      <w:r w:rsidR="00DE563D" w:rsidRPr="001754EE">
        <w:t xml:space="preserve"> decision</w:t>
      </w:r>
      <w:bookmarkEnd w:id="11"/>
      <w:bookmarkEnd w:id="12"/>
    </w:p>
    <w:p w:rsidR="00492389" w:rsidRDefault="00B518A1" w:rsidP="00B518A1">
      <w:bookmarkStart w:id="13" w:name="_Toc403144137"/>
      <w:r w:rsidRPr="00B518A1">
        <w:t xml:space="preserve">We do not accept </w:t>
      </w:r>
      <w:r>
        <w:t>AusNet Services'</w:t>
      </w:r>
      <w:r w:rsidRPr="00B518A1">
        <w:t xml:space="preserve"> </w:t>
      </w:r>
      <w:r w:rsidR="00A83761">
        <w:t xml:space="preserve">revised </w:t>
      </w:r>
      <w:r w:rsidRPr="00B518A1">
        <w:t>proposed regulatory depreciation allowance of $</w:t>
      </w:r>
      <w:r w:rsidR="00A83761">
        <w:t>624.2</w:t>
      </w:r>
      <w:r>
        <w:t> </w:t>
      </w:r>
      <w:r w:rsidRPr="00B518A1">
        <w:t>million</w:t>
      </w:r>
      <w:r>
        <w:t xml:space="preserve"> </w:t>
      </w:r>
      <w:r w:rsidRPr="00B518A1">
        <w:t>($</w:t>
      </w:r>
      <w:r>
        <w:t> </w:t>
      </w:r>
      <w:r w:rsidRPr="00B518A1">
        <w:t>nominal) for the 201</w:t>
      </w:r>
      <w:r>
        <w:t>7</w:t>
      </w:r>
      <w:r w:rsidRPr="00B518A1">
        <w:t>–</w:t>
      </w:r>
      <w:r>
        <w:t>22</w:t>
      </w:r>
      <w:r w:rsidRPr="00B518A1">
        <w:t xml:space="preserve"> </w:t>
      </w:r>
      <w:r>
        <w:t xml:space="preserve">regulatory control </w:t>
      </w:r>
      <w:r w:rsidRPr="00B518A1">
        <w:t>period.</w:t>
      </w:r>
      <w:r w:rsidR="001D2425">
        <w:rPr>
          <w:rStyle w:val="FootnoteReference"/>
        </w:rPr>
        <w:footnoteReference w:id="2"/>
      </w:r>
      <w:r w:rsidRPr="00B518A1">
        <w:t xml:space="preserve"> Instead, we determine a regulatory depreciation allowance of</w:t>
      </w:r>
      <w:r>
        <w:t xml:space="preserve"> </w:t>
      </w:r>
      <w:r w:rsidRPr="00B518A1">
        <w:t>$</w:t>
      </w:r>
      <w:r w:rsidR="00E5290E">
        <w:t>505.</w:t>
      </w:r>
      <w:r w:rsidR="003D15C0">
        <w:t>9</w:t>
      </w:r>
      <w:r>
        <w:t> </w:t>
      </w:r>
      <w:r w:rsidRPr="00B518A1">
        <w:t>million ($</w:t>
      </w:r>
      <w:r>
        <w:t> </w:t>
      </w:r>
      <w:r w:rsidRPr="00B518A1">
        <w:t xml:space="preserve">nominal) for </w:t>
      </w:r>
      <w:r>
        <w:t xml:space="preserve">AusNet Services. This </w:t>
      </w:r>
      <w:r w:rsidR="00B8744C">
        <w:t xml:space="preserve">amount </w:t>
      </w:r>
      <w:r>
        <w:t>represents a</w:t>
      </w:r>
      <w:r w:rsidRPr="00B518A1">
        <w:t xml:space="preserve"> </w:t>
      </w:r>
      <w:r>
        <w:t>decrease</w:t>
      </w:r>
      <w:r w:rsidRPr="00B518A1">
        <w:t xml:space="preserve"> of $</w:t>
      </w:r>
      <w:r w:rsidR="00E5290E">
        <w:t>118.</w:t>
      </w:r>
      <w:r w:rsidR="003D15C0">
        <w:t>3</w:t>
      </w:r>
      <w:r w:rsidRPr="00B518A1">
        <w:t xml:space="preserve"> (or </w:t>
      </w:r>
      <w:r w:rsidR="00E5290E">
        <w:t>19.0 </w:t>
      </w:r>
      <w:r w:rsidRPr="00B518A1">
        <w:t xml:space="preserve">per cent) from the </w:t>
      </w:r>
      <w:r w:rsidR="001D2425">
        <w:t xml:space="preserve">revised </w:t>
      </w:r>
      <w:r w:rsidRPr="00B518A1">
        <w:t>proposal</w:t>
      </w:r>
      <w:r w:rsidR="001D2425">
        <w:t>. In coming to this decision we</w:t>
      </w:r>
      <w:r w:rsidRPr="00B518A1">
        <w:t>:</w:t>
      </w:r>
    </w:p>
    <w:p w:rsidR="00A83761" w:rsidRDefault="00E3771C" w:rsidP="00A83761">
      <w:pPr>
        <w:pStyle w:val="AERbulletlistfirststyle"/>
      </w:pPr>
      <w:r>
        <w:t>reject AusNet Services</w:t>
      </w:r>
      <w:r w:rsidR="00B8744C">
        <w:t>'</w:t>
      </w:r>
      <w:r>
        <w:t xml:space="preserve"> </w:t>
      </w:r>
      <w:r w:rsidR="00B8744C">
        <w:t xml:space="preserve">revised </w:t>
      </w:r>
      <w:r>
        <w:t>proposal for accelerated depreciation</w:t>
      </w:r>
      <w:r w:rsidR="00E529DC">
        <w:t xml:space="preserve"> over the next eight years</w:t>
      </w:r>
      <w:r>
        <w:t xml:space="preserve"> of assets associated with the Yallourn Power Station (YPS)</w:t>
      </w:r>
    </w:p>
    <w:p w:rsidR="00B518A1" w:rsidRDefault="001D2425" w:rsidP="001D2425">
      <w:pPr>
        <w:pStyle w:val="AERbulletlistfirststyle"/>
      </w:pPr>
      <w:r>
        <w:t>made</w:t>
      </w:r>
      <w:r w:rsidRPr="00B518A1">
        <w:t xml:space="preserve"> </w:t>
      </w:r>
      <w:r w:rsidR="00B518A1" w:rsidRPr="00B518A1">
        <w:t xml:space="preserve">determinations on other components of </w:t>
      </w:r>
      <w:r w:rsidR="00B518A1">
        <w:t>AusNet Services'</w:t>
      </w:r>
      <w:r w:rsidR="00B518A1" w:rsidRPr="00B518A1">
        <w:t xml:space="preserve"> </w:t>
      </w:r>
      <w:r>
        <w:t xml:space="preserve">revised </w:t>
      </w:r>
      <w:r w:rsidR="00B518A1" w:rsidRPr="00B518A1">
        <w:t xml:space="preserve">proposal </w:t>
      </w:r>
      <w:r>
        <w:t xml:space="preserve">which </w:t>
      </w:r>
      <w:r w:rsidR="00B518A1" w:rsidRPr="00B518A1">
        <w:t>affect the forecast</w:t>
      </w:r>
      <w:r w:rsidR="00B518A1">
        <w:t xml:space="preserve"> </w:t>
      </w:r>
      <w:r w:rsidR="00B518A1" w:rsidRPr="00B518A1">
        <w:t xml:space="preserve">regulatory depreciation allowance—for example, the </w:t>
      </w:r>
      <w:r>
        <w:t xml:space="preserve">opening RAB value </w:t>
      </w:r>
      <w:r w:rsidR="00B8744C">
        <w:t xml:space="preserve">at 1 April 2017 </w:t>
      </w:r>
      <w:r>
        <w:t>(attachment 2), expected</w:t>
      </w:r>
      <w:r w:rsidRPr="00B518A1">
        <w:t xml:space="preserve"> </w:t>
      </w:r>
      <w:r w:rsidR="00B518A1" w:rsidRPr="00B518A1">
        <w:t>inflation rate (attachment 3) and</w:t>
      </w:r>
      <w:r w:rsidR="00B518A1">
        <w:t xml:space="preserve"> </w:t>
      </w:r>
      <w:r w:rsidR="00B518A1" w:rsidRPr="00B518A1">
        <w:t>forecast capital expenditure (attachment 6).</w:t>
      </w:r>
      <w:r w:rsidR="00E3771C">
        <w:t xml:space="preserve"> The revision to the </w:t>
      </w:r>
      <w:r w:rsidR="007A37B8">
        <w:t>expected</w:t>
      </w:r>
      <w:r w:rsidR="00E3771C">
        <w:t xml:space="preserve"> inflation rate is the largest driver of the reduction in the regulatory depreciation allowance </w:t>
      </w:r>
      <w:r w:rsidRPr="001D2425">
        <w:t xml:space="preserve">(which </w:t>
      </w:r>
      <w:r w:rsidR="00A61D44">
        <w:t xml:space="preserve">is </w:t>
      </w:r>
      <w:r w:rsidRPr="001D2425">
        <w:t>net</w:t>
      </w:r>
      <w:r w:rsidR="00A61D44">
        <w:t xml:space="preserve"> of</w:t>
      </w:r>
      <w:r w:rsidRPr="001D2425">
        <w:t xml:space="preserve"> the inflation indexation on the opening RAB)</w:t>
      </w:r>
      <w:r w:rsidR="00B735EC">
        <w:t xml:space="preserve"> from that proposed</w:t>
      </w:r>
      <w:r w:rsidRPr="001D2425">
        <w:t>.</w:t>
      </w:r>
    </w:p>
    <w:p w:rsidR="00263FC5" w:rsidRDefault="00263FC5" w:rsidP="00B518A1">
      <w:r>
        <w:t>AusNet Services a</w:t>
      </w:r>
      <w:r w:rsidR="00B77AD1">
        <w:t>dopted</w:t>
      </w:r>
      <w:r>
        <w:t xml:space="preserve"> the AER's draft decision to reject </w:t>
      </w:r>
      <w:r w:rsidR="00B24607">
        <w:t>the</w:t>
      </w:r>
      <w:r>
        <w:t xml:space="preserve"> proposed diminishing value </w:t>
      </w:r>
      <w:r w:rsidR="00B77AD1">
        <w:t>method</w:t>
      </w:r>
      <w:r w:rsidR="00BF36B2">
        <w:t xml:space="preserve"> to depreciate</w:t>
      </w:r>
      <w:r>
        <w:t xml:space="preserve"> new assets. Some final comments on the </w:t>
      </w:r>
      <w:r w:rsidR="006330EF">
        <w:t>method</w:t>
      </w:r>
      <w:r>
        <w:t xml:space="preserve"> are presented below. We have also presented a response to a question from the CCP regarding the circumstances in which the AER may approve proposals for accelerated depreciation. </w:t>
      </w:r>
    </w:p>
    <w:p w:rsidR="00B518A1" w:rsidRDefault="00B518A1" w:rsidP="00B518A1">
      <w:r>
        <w:fldChar w:fldCharType="begin"/>
      </w:r>
      <w:r>
        <w:instrText xml:space="preserve"> REF _Ref437596377 \h </w:instrText>
      </w:r>
      <w:r>
        <w:fldChar w:fldCharType="separate"/>
      </w:r>
      <w:r w:rsidR="004F5F97">
        <w:t xml:space="preserve">Table </w:t>
      </w:r>
      <w:r w:rsidR="004F5F97">
        <w:rPr>
          <w:noProof/>
        </w:rPr>
        <w:t>5</w:t>
      </w:r>
      <w:r w:rsidR="004F5F97">
        <w:t>.</w:t>
      </w:r>
      <w:r w:rsidR="004F5F97">
        <w:rPr>
          <w:noProof/>
        </w:rPr>
        <w:t>1</w:t>
      </w:r>
      <w:r>
        <w:fldChar w:fldCharType="end"/>
      </w:r>
      <w:r>
        <w:t xml:space="preserve"> </w:t>
      </w:r>
      <w:r w:rsidRPr="00B518A1">
        <w:t xml:space="preserve">sets out our </w:t>
      </w:r>
      <w:r w:rsidR="00EA40EC">
        <w:t>final</w:t>
      </w:r>
      <w:r w:rsidRPr="00B518A1">
        <w:t xml:space="preserve"> decision on the annual regulatory depreciation allowance for </w:t>
      </w:r>
      <w:r>
        <w:t>AusNet Services' 2017</w:t>
      </w:r>
      <w:r w:rsidRPr="00B518A1">
        <w:t>–</w:t>
      </w:r>
      <w:r>
        <w:t>22</w:t>
      </w:r>
      <w:r w:rsidRPr="00B518A1">
        <w:t xml:space="preserve"> </w:t>
      </w:r>
      <w:r>
        <w:t xml:space="preserve">regulatory control </w:t>
      </w:r>
      <w:proofErr w:type="gramStart"/>
      <w:r w:rsidRPr="00B518A1">
        <w:t>period</w:t>
      </w:r>
      <w:proofErr w:type="gramEnd"/>
      <w:r w:rsidRPr="00B518A1">
        <w:t>.</w:t>
      </w:r>
    </w:p>
    <w:p w:rsidR="00B518A1" w:rsidRDefault="00B518A1" w:rsidP="00B518A1">
      <w:pPr>
        <w:pStyle w:val="Caption"/>
      </w:pPr>
      <w:bookmarkStart w:id="14" w:name="_Ref437596377"/>
      <w:proofErr w:type="gramStart"/>
      <w:r>
        <w:lastRenderedPageBreak/>
        <w:t xml:space="preserve">Table </w:t>
      </w:r>
      <w:r w:rsidR="00815410">
        <w:fldChar w:fldCharType="begin"/>
      </w:r>
      <w:r w:rsidR="00815410">
        <w:instrText xml:space="preserve"> STYLEREF 1 \s </w:instrText>
      </w:r>
      <w:r w:rsidR="00815410">
        <w:fldChar w:fldCharType="separate"/>
      </w:r>
      <w:r w:rsidR="004F5F97">
        <w:rPr>
          <w:noProof/>
        </w:rPr>
        <w:t>5</w:t>
      </w:r>
      <w:r w:rsidR="00815410">
        <w:rPr>
          <w:noProof/>
        </w:rPr>
        <w:fldChar w:fldCharType="end"/>
      </w:r>
      <w:r w:rsidR="00272161">
        <w:t>.</w:t>
      </w:r>
      <w:proofErr w:type="gramEnd"/>
      <w:r w:rsidR="00815410">
        <w:fldChar w:fldCharType="begin"/>
      </w:r>
      <w:r w:rsidR="00815410">
        <w:instrText xml:space="preserve"> SEQ Table \* ARABIC \s 1 </w:instrText>
      </w:r>
      <w:r w:rsidR="00815410">
        <w:fldChar w:fldCharType="separate"/>
      </w:r>
      <w:r w:rsidR="004F5F97">
        <w:rPr>
          <w:noProof/>
        </w:rPr>
        <w:t>1</w:t>
      </w:r>
      <w:r w:rsidR="00815410">
        <w:rPr>
          <w:noProof/>
        </w:rPr>
        <w:fldChar w:fldCharType="end"/>
      </w:r>
      <w:bookmarkEnd w:id="14"/>
      <w:r>
        <w:tab/>
      </w:r>
      <w:r w:rsidRPr="00B518A1">
        <w:t xml:space="preserve">AER's </w:t>
      </w:r>
      <w:r w:rsidR="00EA40EC">
        <w:t>final</w:t>
      </w:r>
      <w:r w:rsidRPr="00B518A1">
        <w:t xml:space="preserve"> decision on </w:t>
      </w:r>
      <w:r>
        <w:t>AusNet Services'</w:t>
      </w:r>
      <w:r w:rsidRPr="00B518A1">
        <w:t xml:space="preserve"> depreciation allowance for the 20</w:t>
      </w:r>
      <w:r>
        <w:t>17</w:t>
      </w:r>
      <w:r w:rsidRPr="00B518A1">
        <w:t>–</w:t>
      </w:r>
      <w:r>
        <w:t xml:space="preserve">22 regulatory control </w:t>
      </w:r>
      <w:r w:rsidRPr="00B518A1">
        <w:t>period ($ million, nominal)</w:t>
      </w:r>
      <w:r>
        <w:tab/>
      </w:r>
    </w:p>
    <w:tbl>
      <w:tblPr>
        <w:tblStyle w:val="AERtable-numbers"/>
        <w:tblW w:w="8755" w:type="dxa"/>
        <w:tblLayout w:type="fixed"/>
        <w:tblLook w:val="04A0" w:firstRow="1" w:lastRow="0" w:firstColumn="1" w:lastColumn="0" w:noHBand="0" w:noVBand="1"/>
      </w:tblPr>
      <w:tblGrid>
        <w:gridCol w:w="3227"/>
        <w:gridCol w:w="921"/>
        <w:gridCol w:w="921"/>
        <w:gridCol w:w="922"/>
        <w:gridCol w:w="921"/>
        <w:gridCol w:w="921"/>
        <w:gridCol w:w="922"/>
      </w:tblGrid>
      <w:tr w:rsidR="00B518A1" w:rsidRPr="00B518A1" w:rsidTr="00E31C00">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227" w:type="dxa"/>
            <w:noWrap/>
            <w:hideMark/>
          </w:tcPr>
          <w:p w:rsidR="00B518A1" w:rsidRPr="00B518A1" w:rsidRDefault="00B518A1" w:rsidP="00B518A1">
            <w:r w:rsidRPr="00B518A1">
              <w:t> </w:t>
            </w:r>
          </w:p>
        </w:tc>
        <w:tc>
          <w:tcPr>
            <w:tcW w:w="921" w:type="dxa"/>
            <w:noWrap/>
            <w:hideMark/>
          </w:tcPr>
          <w:p w:rsidR="00B518A1" w:rsidRPr="00B518A1" w:rsidRDefault="00B518A1" w:rsidP="00B518A1">
            <w:pPr>
              <w:cnfStyle w:val="100000000000" w:firstRow="1" w:lastRow="0" w:firstColumn="0" w:lastColumn="0" w:oddVBand="0" w:evenVBand="0" w:oddHBand="0" w:evenHBand="0" w:firstRowFirstColumn="0" w:firstRowLastColumn="0" w:lastRowFirstColumn="0" w:lastRowLastColumn="0"/>
            </w:pPr>
            <w:r w:rsidRPr="00B518A1">
              <w:t>2017–18</w:t>
            </w:r>
          </w:p>
        </w:tc>
        <w:tc>
          <w:tcPr>
            <w:tcW w:w="921" w:type="dxa"/>
            <w:noWrap/>
            <w:hideMark/>
          </w:tcPr>
          <w:p w:rsidR="00B518A1" w:rsidRPr="00B518A1" w:rsidRDefault="00B518A1" w:rsidP="00B518A1">
            <w:pPr>
              <w:cnfStyle w:val="100000000000" w:firstRow="1" w:lastRow="0" w:firstColumn="0" w:lastColumn="0" w:oddVBand="0" w:evenVBand="0" w:oddHBand="0" w:evenHBand="0" w:firstRowFirstColumn="0" w:firstRowLastColumn="0" w:lastRowFirstColumn="0" w:lastRowLastColumn="0"/>
            </w:pPr>
            <w:r w:rsidRPr="00B518A1">
              <w:t>2018–19</w:t>
            </w:r>
          </w:p>
        </w:tc>
        <w:tc>
          <w:tcPr>
            <w:tcW w:w="922" w:type="dxa"/>
            <w:noWrap/>
            <w:hideMark/>
          </w:tcPr>
          <w:p w:rsidR="00B518A1" w:rsidRPr="00B518A1" w:rsidRDefault="00B518A1" w:rsidP="00B518A1">
            <w:pPr>
              <w:cnfStyle w:val="100000000000" w:firstRow="1" w:lastRow="0" w:firstColumn="0" w:lastColumn="0" w:oddVBand="0" w:evenVBand="0" w:oddHBand="0" w:evenHBand="0" w:firstRowFirstColumn="0" w:firstRowLastColumn="0" w:lastRowFirstColumn="0" w:lastRowLastColumn="0"/>
            </w:pPr>
            <w:r w:rsidRPr="00B518A1">
              <w:t>2019–20</w:t>
            </w:r>
          </w:p>
        </w:tc>
        <w:tc>
          <w:tcPr>
            <w:tcW w:w="921" w:type="dxa"/>
            <w:noWrap/>
            <w:hideMark/>
          </w:tcPr>
          <w:p w:rsidR="00B518A1" w:rsidRPr="00B518A1" w:rsidRDefault="00B518A1" w:rsidP="00B518A1">
            <w:pPr>
              <w:cnfStyle w:val="100000000000" w:firstRow="1" w:lastRow="0" w:firstColumn="0" w:lastColumn="0" w:oddVBand="0" w:evenVBand="0" w:oddHBand="0" w:evenHBand="0" w:firstRowFirstColumn="0" w:firstRowLastColumn="0" w:lastRowFirstColumn="0" w:lastRowLastColumn="0"/>
            </w:pPr>
            <w:r w:rsidRPr="00B518A1">
              <w:t>2020–21</w:t>
            </w:r>
          </w:p>
        </w:tc>
        <w:tc>
          <w:tcPr>
            <w:tcW w:w="921" w:type="dxa"/>
            <w:noWrap/>
            <w:hideMark/>
          </w:tcPr>
          <w:p w:rsidR="00B518A1" w:rsidRPr="00B518A1" w:rsidRDefault="00B518A1" w:rsidP="00B518A1">
            <w:pPr>
              <w:cnfStyle w:val="100000000000" w:firstRow="1" w:lastRow="0" w:firstColumn="0" w:lastColumn="0" w:oddVBand="0" w:evenVBand="0" w:oddHBand="0" w:evenHBand="0" w:firstRowFirstColumn="0" w:firstRowLastColumn="0" w:lastRowFirstColumn="0" w:lastRowLastColumn="0"/>
            </w:pPr>
            <w:r w:rsidRPr="00B518A1">
              <w:t>2021–22</w:t>
            </w:r>
          </w:p>
        </w:tc>
        <w:tc>
          <w:tcPr>
            <w:tcW w:w="922" w:type="dxa"/>
            <w:noWrap/>
            <w:hideMark/>
          </w:tcPr>
          <w:p w:rsidR="00B518A1" w:rsidRPr="00B518A1" w:rsidRDefault="00B518A1" w:rsidP="00B518A1">
            <w:pPr>
              <w:cnfStyle w:val="100000000000" w:firstRow="1" w:lastRow="0" w:firstColumn="0" w:lastColumn="0" w:oddVBand="0" w:evenVBand="0" w:oddHBand="0" w:evenHBand="0" w:firstRowFirstColumn="0" w:firstRowLastColumn="0" w:lastRowFirstColumn="0" w:lastRowLastColumn="0"/>
            </w:pPr>
            <w:r w:rsidRPr="00B518A1">
              <w:t>Total</w:t>
            </w:r>
          </w:p>
        </w:tc>
      </w:tr>
      <w:tr w:rsidR="003D15C0" w:rsidRPr="00B518A1" w:rsidTr="004F5F97">
        <w:trPr>
          <w:trHeight w:val="277"/>
        </w:trPr>
        <w:tc>
          <w:tcPr>
            <w:cnfStyle w:val="001000000000" w:firstRow="0" w:lastRow="0" w:firstColumn="1" w:lastColumn="0" w:oddVBand="0" w:evenVBand="0" w:oddHBand="0" w:evenHBand="0" w:firstRowFirstColumn="0" w:firstRowLastColumn="0" w:lastRowFirstColumn="0" w:lastRowLastColumn="0"/>
            <w:tcW w:w="3227" w:type="dxa"/>
            <w:noWrap/>
            <w:hideMark/>
          </w:tcPr>
          <w:p w:rsidR="003D15C0" w:rsidRPr="003D15C0" w:rsidRDefault="003D15C0" w:rsidP="003D15C0">
            <w:r w:rsidRPr="003D15C0">
              <w:t>Straight-line depreciation</w:t>
            </w:r>
          </w:p>
        </w:tc>
        <w:tc>
          <w:tcPr>
            <w:tcW w:w="921" w:type="dxa"/>
            <w:noWrap/>
            <w:vAlign w:val="bottom"/>
          </w:tcPr>
          <w:p w:rsidR="003D15C0" w:rsidRPr="003D15C0" w:rsidRDefault="003D15C0" w:rsidP="003D15C0">
            <w:pPr>
              <w:cnfStyle w:val="000000000000" w:firstRow="0" w:lastRow="0" w:firstColumn="0" w:lastColumn="0" w:oddVBand="0" w:evenVBand="0" w:oddHBand="0" w:evenHBand="0" w:firstRowFirstColumn="0" w:firstRowLastColumn="0" w:lastRowFirstColumn="0" w:lastRowLastColumn="0"/>
            </w:pPr>
            <w:r w:rsidRPr="003D15C0">
              <w:t>172.8</w:t>
            </w:r>
          </w:p>
        </w:tc>
        <w:tc>
          <w:tcPr>
            <w:tcW w:w="921" w:type="dxa"/>
            <w:noWrap/>
            <w:vAlign w:val="bottom"/>
          </w:tcPr>
          <w:p w:rsidR="003D15C0" w:rsidRPr="003D15C0" w:rsidRDefault="003D15C0" w:rsidP="003D15C0">
            <w:pPr>
              <w:cnfStyle w:val="000000000000" w:firstRow="0" w:lastRow="0" w:firstColumn="0" w:lastColumn="0" w:oddVBand="0" w:evenVBand="0" w:oddHBand="0" w:evenHBand="0" w:firstRowFirstColumn="0" w:firstRowLastColumn="0" w:lastRowFirstColumn="0" w:lastRowLastColumn="0"/>
            </w:pPr>
            <w:r w:rsidRPr="003D15C0">
              <w:t>177.2</w:t>
            </w:r>
          </w:p>
        </w:tc>
        <w:tc>
          <w:tcPr>
            <w:tcW w:w="922" w:type="dxa"/>
            <w:noWrap/>
            <w:vAlign w:val="bottom"/>
          </w:tcPr>
          <w:p w:rsidR="003D15C0" w:rsidRPr="003D15C0" w:rsidRDefault="003D15C0" w:rsidP="003D15C0">
            <w:pPr>
              <w:cnfStyle w:val="000000000000" w:firstRow="0" w:lastRow="0" w:firstColumn="0" w:lastColumn="0" w:oddVBand="0" w:evenVBand="0" w:oddHBand="0" w:evenHBand="0" w:firstRowFirstColumn="0" w:firstRowLastColumn="0" w:lastRowFirstColumn="0" w:lastRowLastColumn="0"/>
            </w:pPr>
            <w:r w:rsidRPr="003D15C0">
              <w:t>186.6</w:t>
            </w:r>
          </w:p>
        </w:tc>
        <w:tc>
          <w:tcPr>
            <w:tcW w:w="921" w:type="dxa"/>
            <w:noWrap/>
            <w:vAlign w:val="bottom"/>
          </w:tcPr>
          <w:p w:rsidR="003D15C0" w:rsidRPr="003D15C0" w:rsidRDefault="003D15C0" w:rsidP="003D15C0">
            <w:pPr>
              <w:cnfStyle w:val="000000000000" w:firstRow="0" w:lastRow="0" w:firstColumn="0" w:lastColumn="0" w:oddVBand="0" w:evenVBand="0" w:oddHBand="0" w:evenHBand="0" w:firstRowFirstColumn="0" w:firstRowLastColumn="0" w:lastRowFirstColumn="0" w:lastRowLastColumn="0"/>
            </w:pPr>
            <w:r w:rsidRPr="003D15C0">
              <w:t>191.4</w:t>
            </w:r>
          </w:p>
        </w:tc>
        <w:tc>
          <w:tcPr>
            <w:tcW w:w="921" w:type="dxa"/>
            <w:noWrap/>
            <w:vAlign w:val="bottom"/>
          </w:tcPr>
          <w:p w:rsidR="003D15C0" w:rsidRPr="003D15C0" w:rsidRDefault="003D15C0" w:rsidP="003D15C0">
            <w:pPr>
              <w:cnfStyle w:val="000000000000" w:firstRow="0" w:lastRow="0" w:firstColumn="0" w:lastColumn="0" w:oddVBand="0" w:evenVBand="0" w:oddHBand="0" w:evenHBand="0" w:firstRowFirstColumn="0" w:firstRowLastColumn="0" w:lastRowFirstColumn="0" w:lastRowLastColumn="0"/>
            </w:pPr>
            <w:r w:rsidRPr="003D15C0">
              <w:t>175.2</w:t>
            </w:r>
          </w:p>
        </w:tc>
        <w:tc>
          <w:tcPr>
            <w:tcW w:w="922" w:type="dxa"/>
            <w:noWrap/>
            <w:vAlign w:val="bottom"/>
          </w:tcPr>
          <w:p w:rsidR="003D15C0" w:rsidRPr="003D15C0" w:rsidRDefault="003D15C0" w:rsidP="003D15C0">
            <w:pPr>
              <w:cnfStyle w:val="000000000000" w:firstRow="0" w:lastRow="0" w:firstColumn="0" w:lastColumn="0" w:oddVBand="0" w:evenVBand="0" w:oddHBand="0" w:evenHBand="0" w:firstRowFirstColumn="0" w:firstRowLastColumn="0" w:lastRowFirstColumn="0" w:lastRowLastColumn="0"/>
            </w:pPr>
            <w:r w:rsidRPr="003D15C0">
              <w:t>903.3</w:t>
            </w:r>
          </w:p>
        </w:tc>
      </w:tr>
      <w:tr w:rsidR="003D15C0" w:rsidRPr="00B518A1" w:rsidTr="004F5F97">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227" w:type="dxa"/>
            <w:noWrap/>
            <w:hideMark/>
          </w:tcPr>
          <w:p w:rsidR="003D15C0" w:rsidRPr="003D15C0" w:rsidRDefault="003D15C0" w:rsidP="003D15C0">
            <w:r w:rsidRPr="003D15C0">
              <w:rPr>
                <w:rStyle w:val="AERtextitalic"/>
              </w:rPr>
              <w:t>Less:</w:t>
            </w:r>
            <w:r w:rsidRPr="003D15C0">
              <w:t xml:space="preserve"> inflation indexation on opening RAB</w:t>
            </w:r>
          </w:p>
        </w:tc>
        <w:tc>
          <w:tcPr>
            <w:tcW w:w="921" w:type="dxa"/>
            <w:noWrap/>
            <w:vAlign w:val="bottom"/>
          </w:tcPr>
          <w:p w:rsidR="003D15C0" w:rsidRPr="003D15C0" w:rsidRDefault="003D15C0" w:rsidP="003D15C0">
            <w:pPr>
              <w:cnfStyle w:val="000000010000" w:firstRow="0" w:lastRow="0" w:firstColumn="0" w:lastColumn="0" w:oddVBand="0" w:evenVBand="0" w:oddHBand="0" w:evenHBand="1" w:firstRowFirstColumn="0" w:firstRowLastColumn="0" w:lastRowFirstColumn="0" w:lastRowLastColumn="0"/>
            </w:pPr>
            <w:r w:rsidRPr="003D15C0">
              <w:t>76.1</w:t>
            </w:r>
          </w:p>
        </w:tc>
        <w:tc>
          <w:tcPr>
            <w:tcW w:w="921" w:type="dxa"/>
            <w:noWrap/>
            <w:vAlign w:val="bottom"/>
          </w:tcPr>
          <w:p w:rsidR="003D15C0" w:rsidRPr="003D15C0" w:rsidRDefault="003D15C0" w:rsidP="003D15C0">
            <w:pPr>
              <w:cnfStyle w:val="000000010000" w:firstRow="0" w:lastRow="0" w:firstColumn="0" w:lastColumn="0" w:oddVBand="0" w:evenVBand="0" w:oddHBand="0" w:evenHBand="1" w:firstRowFirstColumn="0" w:firstRowLastColumn="0" w:lastRowFirstColumn="0" w:lastRowLastColumn="0"/>
            </w:pPr>
            <w:r w:rsidRPr="003D15C0">
              <w:t>78.3</w:t>
            </w:r>
          </w:p>
        </w:tc>
        <w:tc>
          <w:tcPr>
            <w:tcW w:w="922" w:type="dxa"/>
            <w:noWrap/>
            <w:vAlign w:val="bottom"/>
          </w:tcPr>
          <w:p w:rsidR="003D15C0" w:rsidRPr="003D15C0" w:rsidRDefault="003D15C0" w:rsidP="003D15C0">
            <w:pPr>
              <w:cnfStyle w:val="000000010000" w:firstRow="0" w:lastRow="0" w:firstColumn="0" w:lastColumn="0" w:oddVBand="0" w:evenVBand="0" w:oddHBand="0" w:evenHBand="1" w:firstRowFirstColumn="0" w:firstRowLastColumn="0" w:lastRowFirstColumn="0" w:lastRowLastColumn="0"/>
            </w:pPr>
            <w:r w:rsidRPr="003D15C0">
              <w:t>79.9</w:t>
            </w:r>
          </w:p>
        </w:tc>
        <w:tc>
          <w:tcPr>
            <w:tcW w:w="921" w:type="dxa"/>
            <w:noWrap/>
            <w:vAlign w:val="bottom"/>
          </w:tcPr>
          <w:p w:rsidR="003D15C0" w:rsidRPr="003D15C0" w:rsidRDefault="003D15C0" w:rsidP="003D15C0">
            <w:pPr>
              <w:cnfStyle w:val="000000010000" w:firstRow="0" w:lastRow="0" w:firstColumn="0" w:lastColumn="0" w:oddVBand="0" w:evenVBand="0" w:oddHBand="0" w:evenHBand="1" w:firstRowFirstColumn="0" w:firstRowLastColumn="0" w:lastRowFirstColumn="0" w:lastRowLastColumn="0"/>
            </w:pPr>
            <w:r w:rsidRPr="003D15C0">
              <w:t>81.2</w:t>
            </w:r>
          </w:p>
        </w:tc>
        <w:tc>
          <w:tcPr>
            <w:tcW w:w="921" w:type="dxa"/>
            <w:noWrap/>
            <w:vAlign w:val="bottom"/>
          </w:tcPr>
          <w:p w:rsidR="003D15C0" w:rsidRPr="003D15C0" w:rsidRDefault="003D15C0" w:rsidP="003D15C0">
            <w:pPr>
              <w:cnfStyle w:val="000000010000" w:firstRow="0" w:lastRow="0" w:firstColumn="0" w:lastColumn="0" w:oddVBand="0" w:evenVBand="0" w:oddHBand="0" w:evenHBand="1" w:firstRowFirstColumn="0" w:firstRowLastColumn="0" w:lastRowFirstColumn="0" w:lastRowLastColumn="0"/>
            </w:pPr>
            <w:r w:rsidRPr="003D15C0">
              <w:t>81.9</w:t>
            </w:r>
          </w:p>
        </w:tc>
        <w:tc>
          <w:tcPr>
            <w:tcW w:w="922" w:type="dxa"/>
            <w:noWrap/>
            <w:vAlign w:val="bottom"/>
          </w:tcPr>
          <w:p w:rsidR="003D15C0" w:rsidRPr="003D15C0" w:rsidRDefault="003D15C0" w:rsidP="003D15C0">
            <w:pPr>
              <w:cnfStyle w:val="000000010000" w:firstRow="0" w:lastRow="0" w:firstColumn="0" w:lastColumn="0" w:oddVBand="0" w:evenVBand="0" w:oddHBand="0" w:evenHBand="1" w:firstRowFirstColumn="0" w:firstRowLastColumn="0" w:lastRowFirstColumn="0" w:lastRowLastColumn="0"/>
            </w:pPr>
            <w:r w:rsidRPr="003D15C0">
              <w:t>397.4</w:t>
            </w:r>
          </w:p>
        </w:tc>
      </w:tr>
      <w:tr w:rsidR="003D15C0" w:rsidRPr="003D15C0" w:rsidTr="004F5F97">
        <w:trPr>
          <w:trHeight w:val="277"/>
        </w:trPr>
        <w:tc>
          <w:tcPr>
            <w:cnfStyle w:val="001000000000" w:firstRow="0" w:lastRow="0" w:firstColumn="1" w:lastColumn="0" w:oddVBand="0" w:evenVBand="0" w:oddHBand="0" w:evenHBand="0" w:firstRowFirstColumn="0" w:firstRowLastColumn="0" w:lastRowFirstColumn="0" w:lastRowLastColumn="0"/>
            <w:tcW w:w="3227" w:type="dxa"/>
            <w:noWrap/>
            <w:hideMark/>
          </w:tcPr>
          <w:p w:rsidR="003D15C0" w:rsidRPr="003D15C0" w:rsidRDefault="003D15C0" w:rsidP="003D15C0">
            <w:pPr>
              <w:rPr>
                <w:rStyle w:val="Strong"/>
              </w:rPr>
            </w:pPr>
            <w:r w:rsidRPr="003D15C0">
              <w:rPr>
                <w:rStyle w:val="Strong"/>
              </w:rPr>
              <w:t>Regulatory depreciation</w:t>
            </w:r>
          </w:p>
        </w:tc>
        <w:tc>
          <w:tcPr>
            <w:tcW w:w="921" w:type="dxa"/>
            <w:noWrap/>
            <w:vAlign w:val="bottom"/>
          </w:tcPr>
          <w:p w:rsidR="003D15C0" w:rsidRPr="003D15C0" w:rsidRDefault="003D15C0" w:rsidP="003D15C0">
            <w:pPr>
              <w:cnfStyle w:val="000000000000" w:firstRow="0" w:lastRow="0" w:firstColumn="0" w:lastColumn="0" w:oddVBand="0" w:evenVBand="0" w:oddHBand="0" w:evenHBand="0" w:firstRowFirstColumn="0" w:firstRowLastColumn="0" w:lastRowFirstColumn="0" w:lastRowLastColumn="0"/>
              <w:rPr>
                <w:rStyle w:val="Strong"/>
              </w:rPr>
            </w:pPr>
            <w:r w:rsidRPr="003D15C0">
              <w:rPr>
                <w:rStyle w:val="Strong"/>
              </w:rPr>
              <w:t>96.7</w:t>
            </w:r>
          </w:p>
        </w:tc>
        <w:tc>
          <w:tcPr>
            <w:tcW w:w="921" w:type="dxa"/>
            <w:noWrap/>
            <w:vAlign w:val="bottom"/>
          </w:tcPr>
          <w:p w:rsidR="003D15C0" w:rsidRPr="003D15C0" w:rsidRDefault="003D15C0" w:rsidP="003D15C0">
            <w:pPr>
              <w:cnfStyle w:val="000000000000" w:firstRow="0" w:lastRow="0" w:firstColumn="0" w:lastColumn="0" w:oddVBand="0" w:evenVBand="0" w:oddHBand="0" w:evenHBand="0" w:firstRowFirstColumn="0" w:firstRowLastColumn="0" w:lastRowFirstColumn="0" w:lastRowLastColumn="0"/>
              <w:rPr>
                <w:rStyle w:val="Strong"/>
              </w:rPr>
            </w:pPr>
            <w:r w:rsidRPr="003D15C0">
              <w:rPr>
                <w:rStyle w:val="Strong"/>
              </w:rPr>
              <w:t>99.0</w:t>
            </w:r>
          </w:p>
        </w:tc>
        <w:tc>
          <w:tcPr>
            <w:tcW w:w="922" w:type="dxa"/>
            <w:noWrap/>
            <w:vAlign w:val="bottom"/>
          </w:tcPr>
          <w:p w:rsidR="003D15C0" w:rsidRPr="003D15C0" w:rsidRDefault="003D15C0" w:rsidP="003D15C0">
            <w:pPr>
              <w:cnfStyle w:val="000000000000" w:firstRow="0" w:lastRow="0" w:firstColumn="0" w:lastColumn="0" w:oddVBand="0" w:evenVBand="0" w:oddHBand="0" w:evenHBand="0" w:firstRowFirstColumn="0" w:firstRowLastColumn="0" w:lastRowFirstColumn="0" w:lastRowLastColumn="0"/>
              <w:rPr>
                <w:rStyle w:val="Strong"/>
              </w:rPr>
            </w:pPr>
            <w:r w:rsidRPr="003D15C0">
              <w:rPr>
                <w:rStyle w:val="Strong"/>
              </w:rPr>
              <w:t>106.7</w:t>
            </w:r>
          </w:p>
        </w:tc>
        <w:tc>
          <w:tcPr>
            <w:tcW w:w="921" w:type="dxa"/>
            <w:noWrap/>
            <w:vAlign w:val="bottom"/>
          </w:tcPr>
          <w:p w:rsidR="003D15C0" w:rsidRPr="003D15C0" w:rsidRDefault="003D15C0" w:rsidP="003D15C0">
            <w:pPr>
              <w:cnfStyle w:val="000000000000" w:firstRow="0" w:lastRow="0" w:firstColumn="0" w:lastColumn="0" w:oddVBand="0" w:evenVBand="0" w:oddHBand="0" w:evenHBand="0" w:firstRowFirstColumn="0" w:firstRowLastColumn="0" w:lastRowFirstColumn="0" w:lastRowLastColumn="0"/>
              <w:rPr>
                <w:rStyle w:val="Strong"/>
              </w:rPr>
            </w:pPr>
            <w:r w:rsidRPr="003D15C0">
              <w:rPr>
                <w:rStyle w:val="Strong"/>
              </w:rPr>
              <w:t>110.2</w:t>
            </w:r>
          </w:p>
        </w:tc>
        <w:tc>
          <w:tcPr>
            <w:tcW w:w="921" w:type="dxa"/>
            <w:noWrap/>
            <w:vAlign w:val="bottom"/>
          </w:tcPr>
          <w:p w:rsidR="003D15C0" w:rsidRPr="003D15C0" w:rsidRDefault="003D15C0" w:rsidP="003D15C0">
            <w:pPr>
              <w:cnfStyle w:val="000000000000" w:firstRow="0" w:lastRow="0" w:firstColumn="0" w:lastColumn="0" w:oddVBand="0" w:evenVBand="0" w:oddHBand="0" w:evenHBand="0" w:firstRowFirstColumn="0" w:firstRowLastColumn="0" w:lastRowFirstColumn="0" w:lastRowLastColumn="0"/>
              <w:rPr>
                <w:rStyle w:val="Strong"/>
              </w:rPr>
            </w:pPr>
            <w:r w:rsidRPr="003D15C0">
              <w:rPr>
                <w:rStyle w:val="Strong"/>
              </w:rPr>
              <w:t>93.3</w:t>
            </w:r>
          </w:p>
        </w:tc>
        <w:tc>
          <w:tcPr>
            <w:tcW w:w="922" w:type="dxa"/>
            <w:noWrap/>
            <w:vAlign w:val="bottom"/>
          </w:tcPr>
          <w:p w:rsidR="003D15C0" w:rsidRPr="003D15C0" w:rsidRDefault="003D15C0" w:rsidP="003D15C0">
            <w:pPr>
              <w:cnfStyle w:val="000000000000" w:firstRow="0" w:lastRow="0" w:firstColumn="0" w:lastColumn="0" w:oddVBand="0" w:evenVBand="0" w:oddHBand="0" w:evenHBand="0" w:firstRowFirstColumn="0" w:firstRowLastColumn="0" w:lastRowFirstColumn="0" w:lastRowLastColumn="0"/>
              <w:rPr>
                <w:rStyle w:val="Strong"/>
              </w:rPr>
            </w:pPr>
            <w:r w:rsidRPr="003D15C0">
              <w:rPr>
                <w:rStyle w:val="Strong"/>
              </w:rPr>
              <w:t>505.9</w:t>
            </w:r>
          </w:p>
        </w:tc>
      </w:tr>
    </w:tbl>
    <w:p w:rsidR="0080047D" w:rsidRPr="0080047D" w:rsidRDefault="00B518A1" w:rsidP="00FF5A73">
      <w:pPr>
        <w:pStyle w:val="AERtablesource"/>
      </w:pPr>
      <w:r>
        <w:t>Source:</w:t>
      </w:r>
      <w:r>
        <w:tab/>
        <w:t>AER analysis.</w:t>
      </w:r>
    </w:p>
    <w:p w:rsidR="00DE563D" w:rsidRPr="001754EE" w:rsidRDefault="000B321F" w:rsidP="001754EE">
      <w:pPr>
        <w:pStyle w:val="Heading2"/>
      </w:pPr>
      <w:bookmarkStart w:id="15" w:name="_Toc480809285"/>
      <w:r>
        <w:t>AusNet Services</w:t>
      </w:r>
      <w:r w:rsidR="00415F31" w:rsidRPr="001754EE">
        <w:t>’</w:t>
      </w:r>
      <w:r w:rsidR="00DE563D" w:rsidRPr="001754EE">
        <w:t xml:space="preserve"> </w:t>
      </w:r>
      <w:r w:rsidR="00EA40EC">
        <w:t xml:space="preserve">revised </w:t>
      </w:r>
      <w:r w:rsidR="00DE563D" w:rsidRPr="001754EE">
        <w:t>proposal</w:t>
      </w:r>
      <w:bookmarkEnd w:id="13"/>
      <w:bookmarkEnd w:id="15"/>
    </w:p>
    <w:p w:rsidR="000B321F" w:rsidRDefault="00A21BE4" w:rsidP="00A21BE4">
      <w:r>
        <w:t>AusNet Services</w:t>
      </w:r>
      <w:r w:rsidR="007A37B8">
        <w:t>'</w:t>
      </w:r>
      <w:r w:rsidRPr="00A21BE4">
        <w:t xml:space="preserve"> </w:t>
      </w:r>
      <w:r w:rsidR="0068774A">
        <w:t xml:space="preserve">revised </w:t>
      </w:r>
      <w:r w:rsidRPr="00A21BE4">
        <w:t>propos</w:t>
      </w:r>
      <w:r w:rsidR="0068774A">
        <w:t>al</w:t>
      </w:r>
      <w:r w:rsidRPr="00A21BE4">
        <w:t xml:space="preserve"> </w:t>
      </w:r>
      <w:r w:rsidR="0068774A">
        <w:t xml:space="preserve">submitted </w:t>
      </w:r>
      <w:r w:rsidRPr="00A21BE4">
        <w:t>a forecast regulatory depreciation allowance of $</w:t>
      </w:r>
      <w:r w:rsidR="00CF2C82">
        <w:t>624.2</w:t>
      </w:r>
      <w:r>
        <w:t> </w:t>
      </w:r>
      <w:r w:rsidRPr="00A21BE4">
        <w:t>million ($</w:t>
      </w:r>
      <w:r>
        <w:t> </w:t>
      </w:r>
      <w:r w:rsidRPr="00A21BE4">
        <w:t>nominal) over</w:t>
      </w:r>
      <w:r>
        <w:t xml:space="preserve"> the 2017</w:t>
      </w:r>
      <w:r w:rsidRPr="00A21BE4">
        <w:t>–</w:t>
      </w:r>
      <w:r>
        <w:t>22 regulatory control</w:t>
      </w:r>
      <w:r w:rsidRPr="00A21BE4">
        <w:t xml:space="preserve"> period. To calculate the depreciation allowance, </w:t>
      </w:r>
      <w:r>
        <w:t>AusNet Services</w:t>
      </w:r>
      <w:r w:rsidR="007A37B8">
        <w:t>' revised</w:t>
      </w:r>
      <w:r>
        <w:t xml:space="preserve"> </w:t>
      </w:r>
      <w:r w:rsidRPr="00A21BE4">
        <w:t>propos</w:t>
      </w:r>
      <w:r w:rsidR="007A37B8">
        <w:t>al</w:t>
      </w:r>
      <w:r w:rsidRPr="00A21BE4">
        <w:t xml:space="preserve"> use</w:t>
      </w:r>
      <w:r w:rsidR="007A37B8">
        <w:t>d</w:t>
      </w:r>
      <w:r w:rsidRPr="00A21BE4">
        <w:t>:</w:t>
      </w:r>
      <w:r>
        <w:rPr>
          <w:rStyle w:val="FootnoteReference"/>
        </w:rPr>
        <w:footnoteReference w:id="3"/>
      </w:r>
    </w:p>
    <w:p w:rsidR="00A21BE4" w:rsidRDefault="00CF2C82" w:rsidP="00A21BE4">
      <w:pPr>
        <w:pStyle w:val="AERbulletlistfirststyle"/>
      </w:pPr>
      <w:r>
        <w:t>Straight-line depreciation for all assets</w:t>
      </w:r>
      <w:r w:rsidR="00671026">
        <w:t>, consistent with the method employed in the AER's post-tax revenue model (PTRM)</w:t>
      </w:r>
      <w:r>
        <w:t xml:space="preserve">. AusNet Services no longer proposed the use of a diminishing value (DV) depreciation method for new assets as it had in its </w:t>
      </w:r>
      <w:r w:rsidR="00F50B2E">
        <w:t xml:space="preserve">initial </w:t>
      </w:r>
      <w:r>
        <w:t>proposal.</w:t>
      </w:r>
    </w:p>
    <w:p w:rsidR="00671026" w:rsidRDefault="00671026" w:rsidP="00A21BE4">
      <w:pPr>
        <w:pStyle w:val="AERbulletlistfirststyle"/>
      </w:pPr>
      <w:r>
        <w:t>A revised closing RAB value at 31 March 2017 derived from the revised proposal roll forward model (RFM).</w:t>
      </w:r>
    </w:p>
    <w:p w:rsidR="00671026" w:rsidRDefault="00671026" w:rsidP="00A21BE4">
      <w:pPr>
        <w:pStyle w:val="AERbulletlistfirststyle"/>
      </w:pPr>
      <w:r>
        <w:t>The year-by-year tracking approach approved in the draft decision to calculate depreciation on the opening RAB.</w:t>
      </w:r>
    </w:p>
    <w:p w:rsidR="00671026" w:rsidRDefault="00671026" w:rsidP="00A21BE4">
      <w:pPr>
        <w:pStyle w:val="AERbulletlistfirststyle"/>
      </w:pPr>
      <w:r>
        <w:t>Standard asset lives for depreciating new assets, consistent with those approved in the draft decision.</w:t>
      </w:r>
    </w:p>
    <w:p w:rsidR="00A21BE4" w:rsidRDefault="00CF2C82" w:rsidP="00A21BE4">
      <w:pPr>
        <w:pStyle w:val="AERbulletlistfirststyle"/>
      </w:pPr>
      <w:r>
        <w:t>Accelerated depreciation for certain assets</w:t>
      </w:r>
      <w:r w:rsidR="00C070EF">
        <w:t xml:space="preserve"> associated with the YPS</w:t>
      </w:r>
      <w:r>
        <w:t xml:space="preserve">. These assets were in addition to those assets identified in the </w:t>
      </w:r>
      <w:r w:rsidR="005E62BA">
        <w:t>initial</w:t>
      </w:r>
      <w:r>
        <w:t xml:space="preserve"> proposal</w:t>
      </w:r>
      <w:r w:rsidR="0068774A">
        <w:t>, and accepted in the draft decision</w:t>
      </w:r>
      <w:r>
        <w:t>.</w:t>
      </w:r>
      <w:r w:rsidR="007A37B8">
        <w:t xml:space="preserve"> AusNet Services' revised proposal submitted that the additional assets should be fully depreciated over eight years.</w:t>
      </w:r>
    </w:p>
    <w:p w:rsidR="00671026" w:rsidRDefault="00671026" w:rsidP="00A21BE4">
      <w:pPr>
        <w:pStyle w:val="AERbulletlistfirststyle"/>
      </w:pPr>
      <w:r>
        <w:t>A revised expected inflation rate.</w:t>
      </w:r>
    </w:p>
    <w:p w:rsidR="00671026" w:rsidRDefault="00671026" w:rsidP="00A21BE4">
      <w:pPr>
        <w:pStyle w:val="AERbulletlistfirststyle"/>
      </w:pPr>
      <w:r>
        <w:t>The revised proposed forecast capex for the 2017–22 regulatory control period.</w:t>
      </w:r>
    </w:p>
    <w:p w:rsidR="00A21BE4" w:rsidRDefault="00A21BE4" w:rsidP="00A21BE4">
      <w:r>
        <w:fldChar w:fldCharType="begin"/>
      </w:r>
      <w:r>
        <w:instrText xml:space="preserve"> REF _Ref437596620 \h </w:instrText>
      </w:r>
      <w:r>
        <w:fldChar w:fldCharType="separate"/>
      </w:r>
      <w:r w:rsidR="004F5F97">
        <w:t xml:space="preserve">Table </w:t>
      </w:r>
      <w:r w:rsidR="004F5F97">
        <w:rPr>
          <w:noProof/>
        </w:rPr>
        <w:t>5</w:t>
      </w:r>
      <w:r w:rsidR="004F5F97">
        <w:t>.</w:t>
      </w:r>
      <w:r w:rsidR="004F5F97">
        <w:rPr>
          <w:noProof/>
        </w:rPr>
        <w:t>2</w:t>
      </w:r>
      <w:r>
        <w:fldChar w:fldCharType="end"/>
      </w:r>
      <w:r>
        <w:t xml:space="preserve"> </w:t>
      </w:r>
      <w:r w:rsidRPr="00A21BE4">
        <w:t xml:space="preserve">sets out </w:t>
      </w:r>
      <w:r>
        <w:t>AusNet Services'</w:t>
      </w:r>
      <w:r w:rsidRPr="00A21BE4">
        <w:t xml:space="preserve"> </w:t>
      </w:r>
      <w:r w:rsidR="00671026">
        <w:t xml:space="preserve">revised </w:t>
      </w:r>
      <w:r w:rsidRPr="00A21BE4">
        <w:t>proposed depreciation allowance for the 201</w:t>
      </w:r>
      <w:r>
        <w:t>7</w:t>
      </w:r>
      <w:r w:rsidRPr="00A21BE4">
        <w:t>–</w:t>
      </w:r>
      <w:r>
        <w:t>22 regulatory control</w:t>
      </w:r>
      <w:r w:rsidRPr="00A21BE4">
        <w:t xml:space="preserve"> </w:t>
      </w:r>
      <w:proofErr w:type="gramStart"/>
      <w:r w:rsidRPr="00A21BE4">
        <w:t>period</w:t>
      </w:r>
      <w:proofErr w:type="gramEnd"/>
      <w:r w:rsidRPr="00A21BE4">
        <w:t>.</w:t>
      </w:r>
    </w:p>
    <w:p w:rsidR="00A21BE4" w:rsidRDefault="00A21BE4" w:rsidP="004F5F97">
      <w:pPr>
        <w:pStyle w:val="Caption"/>
      </w:pPr>
      <w:bookmarkStart w:id="16" w:name="_Ref437596620"/>
      <w:r>
        <w:lastRenderedPageBreak/>
        <w:t xml:space="preserve">Table </w:t>
      </w:r>
      <w:r w:rsidR="00815410">
        <w:fldChar w:fldCharType="begin"/>
      </w:r>
      <w:r w:rsidR="00815410">
        <w:instrText xml:space="preserve"> STYLEREF 1 \s </w:instrText>
      </w:r>
      <w:r w:rsidR="00815410">
        <w:fldChar w:fldCharType="separate"/>
      </w:r>
      <w:r w:rsidR="004F5F97">
        <w:rPr>
          <w:noProof/>
        </w:rPr>
        <w:t>5</w:t>
      </w:r>
      <w:r w:rsidR="00815410">
        <w:rPr>
          <w:noProof/>
        </w:rPr>
        <w:fldChar w:fldCharType="end"/>
      </w:r>
      <w:r w:rsidR="00272161">
        <w:t>.</w:t>
      </w:r>
      <w:r w:rsidR="00815410">
        <w:fldChar w:fldCharType="begin"/>
      </w:r>
      <w:r w:rsidR="00815410">
        <w:instrText xml:space="preserve"> SEQ Table \* ARABIC \s </w:instrText>
      </w:r>
      <w:r w:rsidR="00815410">
        <w:instrText xml:space="preserve">1 </w:instrText>
      </w:r>
      <w:r w:rsidR="00815410">
        <w:fldChar w:fldCharType="separate"/>
      </w:r>
      <w:r w:rsidR="004F5F97">
        <w:rPr>
          <w:noProof/>
        </w:rPr>
        <w:t>2</w:t>
      </w:r>
      <w:r w:rsidR="00815410">
        <w:rPr>
          <w:noProof/>
        </w:rPr>
        <w:fldChar w:fldCharType="end"/>
      </w:r>
      <w:bookmarkEnd w:id="16"/>
      <w:r>
        <w:tab/>
        <w:t>AusNet Services'</w:t>
      </w:r>
      <w:r w:rsidRPr="00B518A1">
        <w:t xml:space="preserve"> </w:t>
      </w:r>
      <w:r w:rsidR="00671026">
        <w:t xml:space="preserve">revised </w:t>
      </w:r>
      <w:r>
        <w:t xml:space="preserve">proposed </w:t>
      </w:r>
      <w:r w:rsidRPr="00B518A1">
        <w:t>depreciation allowance for the 20</w:t>
      </w:r>
      <w:r>
        <w:t>17</w:t>
      </w:r>
      <w:r w:rsidRPr="00B518A1">
        <w:t>–</w:t>
      </w:r>
      <w:r>
        <w:t xml:space="preserve">22 regulatory control </w:t>
      </w:r>
      <w:r w:rsidRPr="00B518A1">
        <w:t>period ($ million, nominal)</w:t>
      </w:r>
      <w:r>
        <w:tab/>
      </w:r>
    </w:p>
    <w:tbl>
      <w:tblPr>
        <w:tblStyle w:val="AERtable-numbers"/>
        <w:tblW w:w="8755" w:type="dxa"/>
        <w:tblLayout w:type="fixed"/>
        <w:tblLook w:val="04A0" w:firstRow="1" w:lastRow="0" w:firstColumn="1" w:lastColumn="0" w:noHBand="0" w:noVBand="1"/>
      </w:tblPr>
      <w:tblGrid>
        <w:gridCol w:w="3227"/>
        <w:gridCol w:w="921"/>
        <w:gridCol w:w="921"/>
        <w:gridCol w:w="922"/>
        <w:gridCol w:w="921"/>
        <w:gridCol w:w="921"/>
        <w:gridCol w:w="922"/>
      </w:tblGrid>
      <w:tr w:rsidR="00A21BE4" w:rsidRPr="00B518A1" w:rsidTr="00E31C00">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227" w:type="dxa"/>
            <w:noWrap/>
            <w:hideMark/>
          </w:tcPr>
          <w:p w:rsidR="00A21BE4" w:rsidRPr="00A21BE4" w:rsidRDefault="00A21BE4" w:rsidP="003C6CEA">
            <w:pPr>
              <w:keepNext/>
              <w:rPr>
                <w:rFonts w:eastAsiaTheme="minorHAnsi" w:cstheme="minorBidi"/>
                <w:b w:val="0"/>
                <w:color w:val="auto"/>
                <w:sz w:val="22"/>
                <w:szCs w:val="22"/>
                <w:lang w:eastAsia="en-US"/>
              </w:rPr>
            </w:pPr>
            <w:r w:rsidRPr="00B518A1">
              <w:t> </w:t>
            </w:r>
          </w:p>
        </w:tc>
        <w:tc>
          <w:tcPr>
            <w:tcW w:w="921" w:type="dxa"/>
            <w:noWrap/>
            <w:hideMark/>
          </w:tcPr>
          <w:p w:rsidR="00A21BE4" w:rsidRPr="00A21BE4" w:rsidRDefault="00A21BE4" w:rsidP="003C6CEA">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B518A1">
              <w:t>2017–18</w:t>
            </w:r>
          </w:p>
        </w:tc>
        <w:tc>
          <w:tcPr>
            <w:tcW w:w="921" w:type="dxa"/>
            <w:noWrap/>
            <w:hideMark/>
          </w:tcPr>
          <w:p w:rsidR="00A21BE4" w:rsidRPr="00A21BE4" w:rsidRDefault="00A21BE4" w:rsidP="003C6CEA">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B518A1">
              <w:t>2018–19</w:t>
            </w:r>
          </w:p>
        </w:tc>
        <w:tc>
          <w:tcPr>
            <w:tcW w:w="922" w:type="dxa"/>
            <w:noWrap/>
            <w:hideMark/>
          </w:tcPr>
          <w:p w:rsidR="00A21BE4" w:rsidRPr="00A21BE4" w:rsidRDefault="00A21BE4" w:rsidP="003C6CEA">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B518A1">
              <w:t>2019–20</w:t>
            </w:r>
          </w:p>
        </w:tc>
        <w:tc>
          <w:tcPr>
            <w:tcW w:w="921" w:type="dxa"/>
            <w:noWrap/>
            <w:hideMark/>
          </w:tcPr>
          <w:p w:rsidR="00A21BE4" w:rsidRPr="00A21BE4" w:rsidRDefault="00A21BE4" w:rsidP="003C6CEA">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B518A1">
              <w:t>2020–21</w:t>
            </w:r>
          </w:p>
        </w:tc>
        <w:tc>
          <w:tcPr>
            <w:tcW w:w="921" w:type="dxa"/>
            <w:noWrap/>
            <w:hideMark/>
          </w:tcPr>
          <w:p w:rsidR="00A21BE4" w:rsidRPr="00A21BE4" w:rsidRDefault="00A21BE4" w:rsidP="003C6CEA">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B518A1">
              <w:t>2021–22</w:t>
            </w:r>
          </w:p>
        </w:tc>
        <w:tc>
          <w:tcPr>
            <w:tcW w:w="922" w:type="dxa"/>
            <w:noWrap/>
            <w:hideMark/>
          </w:tcPr>
          <w:p w:rsidR="00A21BE4" w:rsidRPr="00A21BE4" w:rsidRDefault="00A21BE4" w:rsidP="003C6CEA">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B518A1">
              <w:t>Total</w:t>
            </w:r>
          </w:p>
        </w:tc>
      </w:tr>
      <w:tr w:rsidR="00B63EE6" w:rsidRPr="00B518A1" w:rsidTr="00E31C00">
        <w:trPr>
          <w:trHeight w:val="277"/>
        </w:trPr>
        <w:tc>
          <w:tcPr>
            <w:cnfStyle w:val="001000000000" w:firstRow="0" w:lastRow="0" w:firstColumn="1" w:lastColumn="0" w:oddVBand="0" w:evenVBand="0" w:oddHBand="0" w:evenHBand="0" w:firstRowFirstColumn="0" w:firstRowLastColumn="0" w:lastRowFirstColumn="0" w:lastRowLastColumn="0"/>
            <w:tcW w:w="3227" w:type="dxa"/>
            <w:noWrap/>
            <w:hideMark/>
          </w:tcPr>
          <w:p w:rsidR="00B63EE6" w:rsidRPr="00B63EE6" w:rsidRDefault="00B63EE6" w:rsidP="003C6CEA">
            <w:pPr>
              <w:keepNext/>
              <w:rPr>
                <w:rFonts w:eastAsiaTheme="minorHAnsi" w:cstheme="minorBidi"/>
                <w:sz w:val="22"/>
                <w:szCs w:val="22"/>
                <w:lang w:eastAsia="en-US"/>
              </w:rPr>
            </w:pPr>
            <w:r w:rsidRPr="00B63EE6">
              <w:t>Straight-line depreciation</w:t>
            </w:r>
          </w:p>
        </w:tc>
        <w:tc>
          <w:tcPr>
            <w:tcW w:w="921" w:type="dxa"/>
            <w:noWrap/>
            <w:vAlign w:val="top"/>
          </w:tcPr>
          <w:p w:rsidR="00B63EE6" w:rsidRPr="00B63EE6" w:rsidRDefault="00B63EE6" w:rsidP="003C6CEA">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63EE6">
              <w:t xml:space="preserve"> 173.2 </w:t>
            </w:r>
          </w:p>
        </w:tc>
        <w:tc>
          <w:tcPr>
            <w:tcW w:w="921" w:type="dxa"/>
            <w:noWrap/>
            <w:vAlign w:val="top"/>
          </w:tcPr>
          <w:p w:rsidR="00B63EE6" w:rsidRPr="00B63EE6" w:rsidRDefault="00B63EE6" w:rsidP="003C6CEA">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63EE6">
              <w:t xml:space="preserve"> 176.6 </w:t>
            </w:r>
          </w:p>
        </w:tc>
        <w:tc>
          <w:tcPr>
            <w:tcW w:w="922" w:type="dxa"/>
            <w:noWrap/>
            <w:vAlign w:val="top"/>
          </w:tcPr>
          <w:p w:rsidR="00B63EE6" w:rsidRPr="00B63EE6" w:rsidRDefault="00B63EE6" w:rsidP="003C6CEA">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63EE6">
              <w:t xml:space="preserve"> 184.7 </w:t>
            </w:r>
          </w:p>
        </w:tc>
        <w:tc>
          <w:tcPr>
            <w:tcW w:w="921" w:type="dxa"/>
            <w:noWrap/>
            <w:vAlign w:val="top"/>
          </w:tcPr>
          <w:p w:rsidR="00B63EE6" w:rsidRPr="00B63EE6" w:rsidRDefault="00B63EE6" w:rsidP="003C6CEA">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63EE6">
              <w:t xml:space="preserve"> 188.5 </w:t>
            </w:r>
          </w:p>
        </w:tc>
        <w:tc>
          <w:tcPr>
            <w:tcW w:w="921" w:type="dxa"/>
            <w:noWrap/>
            <w:vAlign w:val="top"/>
          </w:tcPr>
          <w:p w:rsidR="00B63EE6" w:rsidRPr="00B63EE6" w:rsidRDefault="00B63EE6" w:rsidP="003C6CEA">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63EE6">
              <w:t xml:space="preserve"> 172.0 </w:t>
            </w:r>
          </w:p>
        </w:tc>
        <w:tc>
          <w:tcPr>
            <w:tcW w:w="922" w:type="dxa"/>
            <w:noWrap/>
            <w:vAlign w:val="bottom"/>
          </w:tcPr>
          <w:p w:rsidR="00B63EE6" w:rsidRPr="00B63EE6" w:rsidRDefault="00B63EE6" w:rsidP="003C6CEA">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895.0</w:t>
            </w:r>
          </w:p>
        </w:tc>
      </w:tr>
      <w:tr w:rsidR="00671026" w:rsidRPr="00B518A1" w:rsidTr="00AC75D8">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227" w:type="dxa"/>
            <w:noWrap/>
            <w:hideMark/>
          </w:tcPr>
          <w:p w:rsidR="00671026" w:rsidRPr="00671026" w:rsidRDefault="00671026" w:rsidP="003C6CEA">
            <w:pPr>
              <w:keepNext/>
              <w:rPr>
                <w:rFonts w:eastAsiaTheme="minorHAnsi" w:cstheme="minorBidi"/>
                <w:b/>
                <w:bCs/>
                <w:sz w:val="22"/>
                <w:szCs w:val="22"/>
                <w:lang w:eastAsia="en-US"/>
              </w:rPr>
            </w:pPr>
            <w:r w:rsidRPr="00B518A1">
              <w:rPr>
                <w:rStyle w:val="AERtextitalic"/>
              </w:rPr>
              <w:t>Less:</w:t>
            </w:r>
            <w:r w:rsidRPr="00671026">
              <w:t xml:space="preserve"> inflation indexation on opening RAB</w:t>
            </w:r>
          </w:p>
        </w:tc>
        <w:tc>
          <w:tcPr>
            <w:tcW w:w="921" w:type="dxa"/>
            <w:noWrap/>
          </w:tcPr>
          <w:p w:rsidR="00671026" w:rsidRPr="00B518A1" w:rsidRDefault="00671026" w:rsidP="003C6CEA">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52.5</w:t>
            </w:r>
          </w:p>
        </w:tc>
        <w:tc>
          <w:tcPr>
            <w:tcW w:w="921" w:type="dxa"/>
            <w:noWrap/>
          </w:tcPr>
          <w:p w:rsidR="00671026" w:rsidRPr="00B518A1" w:rsidRDefault="00671026" w:rsidP="003C6CEA">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53.6</w:t>
            </w:r>
          </w:p>
        </w:tc>
        <w:tc>
          <w:tcPr>
            <w:tcW w:w="922" w:type="dxa"/>
            <w:noWrap/>
          </w:tcPr>
          <w:p w:rsidR="00671026" w:rsidRPr="00B518A1" w:rsidRDefault="00671026" w:rsidP="003C6CEA">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54.4</w:t>
            </w:r>
          </w:p>
        </w:tc>
        <w:tc>
          <w:tcPr>
            <w:tcW w:w="921" w:type="dxa"/>
            <w:noWrap/>
          </w:tcPr>
          <w:p w:rsidR="00671026" w:rsidRPr="00B518A1" w:rsidRDefault="00671026" w:rsidP="003C6CEA">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55.0</w:t>
            </w:r>
          </w:p>
        </w:tc>
        <w:tc>
          <w:tcPr>
            <w:tcW w:w="921" w:type="dxa"/>
            <w:noWrap/>
          </w:tcPr>
          <w:p w:rsidR="00671026" w:rsidRPr="00B518A1" w:rsidRDefault="00671026" w:rsidP="003C6CEA">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55.3</w:t>
            </w:r>
          </w:p>
        </w:tc>
        <w:tc>
          <w:tcPr>
            <w:tcW w:w="922" w:type="dxa"/>
            <w:noWrap/>
          </w:tcPr>
          <w:p w:rsidR="00671026" w:rsidRPr="00B518A1" w:rsidRDefault="00671026" w:rsidP="003C6CEA">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270.8</w:t>
            </w:r>
          </w:p>
        </w:tc>
      </w:tr>
      <w:tr w:rsidR="00B63EE6" w:rsidRPr="00A21BE4" w:rsidTr="00E31C00">
        <w:trPr>
          <w:trHeight w:val="277"/>
        </w:trPr>
        <w:tc>
          <w:tcPr>
            <w:cnfStyle w:val="001000000000" w:firstRow="0" w:lastRow="0" w:firstColumn="1" w:lastColumn="0" w:oddVBand="0" w:evenVBand="0" w:oddHBand="0" w:evenHBand="0" w:firstRowFirstColumn="0" w:firstRowLastColumn="0" w:lastRowFirstColumn="0" w:lastRowLastColumn="0"/>
            <w:tcW w:w="3227" w:type="dxa"/>
            <w:noWrap/>
            <w:hideMark/>
          </w:tcPr>
          <w:p w:rsidR="00B63EE6" w:rsidRPr="00B63EE6" w:rsidRDefault="00B63EE6" w:rsidP="003C6CEA">
            <w:pPr>
              <w:keepNext/>
              <w:rPr>
                <w:rStyle w:val="Strong"/>
              </w:rPr>
            </w:pPr>
            <w:r w:rsidRPr="00B63EE6">
              <w:rPr>
                <w:rStyle w:val="Strong"/>
              </w:rPr>
              <w:t>Regulatory depreciation</w:t>
            </w:r>
          </w:p>
        </w:tc>
        <w:tc>
          <w:tcPr>
            <w:tcW w:w="921" w:type="dxa"/>
            <w:noWrap/>
            <w:vAlign w:val="top"/>
          </w:tcPr>
          <w:p w:rsidR="00B63EE6" w:rsidRPr="00B63EE6" w:rsidRDefault="00B63EE6" w:rsidP="003C6CEA">
            <w:pPr>
              <w:pStyle w:val="HeadingOrange"/>
              <w:keepNext/>
              <w:cnfStyle w:val="000000000000" w:firstRow="0" w:lastRow="0" w:firstColumn="0" w:lastColumn="0" w:oddVBand="0" w:evenVBand="0" w:oddHBand="0" w:evenHBand="0" w:firstRowFirstColumn="0" w:firstRowLastColumn="0" w:lastRowFirstColumn="0" w:lastRowLastColumn="0"/>
              <w:rPr>
                <w:sz w:val="22"/>
                <w:szCs w:val="22"/>
                <w:lang w:eastAsia="en-US"/>
              </w:rPr>
            </w:pPr>
            <w:r w:rsidRPr="00B63EE6">
              <w:t xml:space="preserve"> 120.8 </w:t>
            </w:r>
          </w:p>
        </w:tc>
        <w:tc>
          <w:tcPr>
            <w:tcW w:w="921" w:type="dxa"/>
            <w:noWrap/>
            <w:vAlign w:val="top"/>
          </w:tcPr>
          <w:p w:rsidR="00B63EE6" w:rsidRPr="00B63EE6" w:rsidRDefault="00B63EE6" w:rsidP="003C6CEA">
            <w:pPr>
              <w:pStyle w:val="HeadingOrange"/>
              <w:keepNext/>
              <w:cnfStyle w:val="000000000000" w:firstRow="0" w:lastRow="0" w:firstColumn="0" w:lastColumn="0" w:oddVBand="0" w:evenVBand="0" w:oddHBand="0" w:evenHBand="0" w:firstRowFirstColumn="0" w:firstRowLastColumn="0" w:lastRowFirstColumn="0" w:lastRowLastColumn="0"/>
              <w:rPr>
                <w:sz w:val="22"/>
                <w:szCs w:val="22"/>
                <w:lang w:eastAsia="en-US"/>
              </w:rPr>
            </w:pPr>
            <w:r w:rsidRPr="00B63EE6">
              <w:t xml:space="preserve"> 123.0 </w:t>
            </w:r>
          </w:p>
        </w:tc>
        <w:tc>
          <w:tcPr>
            <w:tcW w:w="922" w:type="dxa"/>
            <w:noWrap/>
            <w:vAlign w:val="top"/>
          </w:tcPr>
          <w:p w:rsidR="00B63EE6" w:rsidRPr="00B63EE6" w:rsidRDefault="00B63EE6" w:rsidP="003C6CEA">
            <w:pPr>
              <w:pStyle w:val="HeadingOrange"/>
              <w:keepNext/>
              <w:cnfStyle w:val="000000000000" w:firstRow="0" w:lastRow="0" w:firstColumn="0" w:lastColumn="0" w:oddVBand="0" w:evenVBand="0" w:oddHBand="0" w:evenHBand="0" w:firstRowFirstColumn="0" w:firstRowLastColumn="0" w:lastRowFirstColumn="0" w:lastRowLastColumn="0"/>
              <w:rPr>
                <w:sz w:val="22"/>
                <w:szCs w:val="22"/>
                <w:lang w:eastAsia="en-US"/>
              </w:rPr>
            </w:pPr>
            <w:r w:rsidRPr="00B63EE6">
              <w:t xml:space="preserve"> 130.3 </w:t>
            </w:r>
          </w:p>
        </w:tc>
        <w:tc>
          <w:tcPr>
            <w:tcW w:w="921" w:type="dxa"/>
            <w:noWrap/>
            <w:vAlign w:val="top"/>
          </w:tcPr>
          <w:p w:rsidR="00B63EE6" w:rsidRPr="00B63EE6" w:rsidRDefault="00B63EE6" w:rsidP="003C6CEA">
            <w:pPr>
              <w:pStyle w:val="HeadingOrange"/>
              <w:keepNext/>
              <w:cnfStyle w:val="000000000000" w:firstRow="0" w:lastRow="0" w:firstColumn="0" w:lastColumn="0" w:oddVBand="0" w:evenVBand="0" w:oddHBand="0" w:evenHBand="0" w:firstRowFirstColumn="0" w:firstRowLastColumn="0" w:lastRowFirstColumn="0" w:lastRowLastColumn="0"/>
              <w:rPr>
                <w:sz w:val="22"/>
                <w:szCs w:val="22"/>
                <w:lang w:eastAsia="en-US"/>
              </w:rPr>
            </w:pPr>
            <w:r w:rsidRPr="00B63EE6">
              <w:t xml:space="preserve"> 133.5 </w:t>
            </w:r>
          </w:p>
        </w:tc>
        <w:tc>
          <w:tcPr>
            <w:tcW w:w="921" w:type="dxa"/>
            <w:noWrap/>
            <w:vAlign w:val="top"/>
          </w:tcPr>
          <w:p w:rsidR="00B63EE6" w:rsidRPr="00B63EE6" w:rsidRDefault="00B63EE6" w:rsidP="003C6CEA">
            <w:pPr>
              <w:pStyle w:val="HeadingOrange"/>
              <w:keepNext/>
              <w:cnfStyle w:val="000000000000" w:firstRow="0" w:lastRow="0" w:firstColumn="0" w:lastColumn="0" w:oddVBand="0" w:evenVBand="0" w:oddHBand="0" w:evenHBand="0" w:firstRowFirstColumn="0" w:firstRowLastColumn="0" w:lastRowFirstColumn="0" w:lastRowLastColumn="0"/>
              <w:rPr>
                <w:sz w:val="22"/>
                <w:szCs w:val="22"/>
                <w:lang w:eastAsia="en-US"/>
              </w:rPr>
            </w:pPr>
            <w:r w:rsidRPr="00B63EE6">
              <w:t xml:space="preserve"> 116.7 </w:t>
            </w:r>
          </w:p>
        </w:tc>
        <w:tc>
          <w:tcPr>
            <w:tcW w:w="922" w:type="dxa"/>
            <w:noWrap/>
            <w:vAlign w:val="top"/>
          </w:tcPr>
          <w:p w:rsidR="00B63EE6" w:rsidRPr="00B63EE6" w:rsidRDefault="00B63EE6" w:rsidP="003C6CEA">
            <w:pPr>
              <w:pStyle w:val="HeadingOrange"/>
              <w:keepNext/>
              <w:cnfStyle w:val="000000000000" w:firstRow="0" w:lastRow="0" w:firstColumn="0" w:lastColumn="0" w:oddVBand="0" w:evenVBand="0" w:oddHBand="0" w:evenHBand="0" w:firstRowFirstColumn="0" w:firstRowLastColumn="0" w:lastRowFirstColumn="0" w:lastRowLastColumn="0"/>
              <w:rPr>
                <w:sz w:val="22"/>
                <w:szCs w:val="22"/>
                <w:lang w:eastAsia="en-US"/>
              </w:rPr>
            </w:pPr>
            <w:r w:rsidRPr="00B63EE6">
              <w:t xml:space="preserve"> 624.2 </w:t>
            </w:r>
          </w:p>
        </w:tc>
      </w:tr>
    </w:tbl>
    <w:p w:rsidR="00A21BE4" w:rsidRDefault="00FA2A33" w:rsidP="003C6CEA">
      <w:pPr>
        <w:pStyle w:val="AERtablesource"/>
        <w:keepNext/>
      </w:pPr>
      <w:r>
        <w:t>Source:</w:t>
      </w:r>
      <w:r>
        <w:tab/>
        <w:t xml:space="preserve">AusNet Services, </w:t>
      </w:r>
      <w:r w:rsidRPr="00E31C00">
        <w:rPr>
          <w:rStyle w:val="AERtextitalic"/>
        </w:rPr>
        <w:t>Revised proposal</w:t>
      </w:r>
      <w:r w:rsidR="00453DDF">
        <w:rPr>
          <w:rStyle w:val="AERtextitalic"/>
        </w:rPr>
        <w:t xml:space="preserve"> PTRM</w:t>
      </w:r>
      <w:r w:rsidR="00F93231">
        <w:t xml:space="preserve">, </w:t>
      </w:r>
      <w:r w:rsidR="00453DDF">
        <w:t>September 2016</w:t>
      </w:r>
      <w:r>
        <w:t>.</w:t>
      </w:r>
    </w:p>
    <w:p w:rsidR="00DE563D" w:rsidRDefault="00DE563D" w:rsidP="001754EE">
      <w:pPr>
        <w:pStyle w:val="Heading2"/>
      </w:pPr>
      <w:bookmarkStart w:id="17" w:name="_Toc403144138"/>
      <w:bookmarkStart w:id="18" w:name="_Toc480809286"/>
      <w:r w:rsidRPr="001754EE">
        <w:t>AER’s</w:t>
      </w:r>
      <w:r>
        <w:t xml:space="preserve"> assessment approach</w:t>
      </w:r>
      <w:bookmarkEnd w:id="17"/>
      <w:bookmarkEnd w:id="18"/>
    </w:p>
    <w:p w:rsidR="007318B8" w:rsidRPr="007318B8" w:rsidRDefault="007318B8" w:rsidP="007318B8">
      <w:r w:rsidRPr="007318B8">
        <w:t xml:space="preserve">We did not change our assessment approach for the regulatory depreciation allowance from our draft decision. Section 5.3 </w:t>
      </w:r>
      <w:r w:rsidR="007704B9">
        <w:t>and the appendices of attachment 5</w:t>
      </w:r>
      <w:r w:rsidR="00453DDF">
        <w:t xml:space="preserve"> </w:t>
      </w:r>
      <w:r w:rsidRPr="007318B8">
        <w:t>of our draft decision detail that approach.</w:t>
      </w:r>
      <w:r w:rsidR="000F5207">
        <w:rPr>
          <w:rStyle w:val="FootnoteReference"/>
        </w:rPr>
        <w:footnoteReference w:id="4"/>
      </w:r>
    </w:p>
    <w:p w:rsidR="00DE563D" w:rsidRDefault="00DE563D" w:rsidP="001754EE">
      <w:pPr>
        <w:pStyle w:val="Heading2"/>
      </w:pPr>
      <w:bookmarkStart w:id="19" w:name="_Toc403144140"/>
      <w:bookmarkStart w:id="20" w:name="_Toc480809287"/>
      <w:r w:rsidRPr="001754EE">
        <w:t>Reasons</w:t>
      </w:r>
      <w:r>
        <w:t xml:space="preserve"> for </w:t>
      </w:r>
      <w:r w:rsidR="00EA40EC">
        <w:t>final</w:t>
      </w:r>
      <w:r>
        <w:t xml:space="preserve"> decision</w:t>
      </w:r>
      <w:bookmarkEnd w:id="19"/>
      <w:bookmarkEnd w:id="20"/>
      <w:r>
        <w:t xml:space="preserve"> </w:t>
      </w:r>
    </w:p>
    <w:p w:rsidR="0097325C" w:rsidRDefault="0068774A" w:rsidP="00F850F4">
      <w:r w:rsidRPr="0068774A">
        <w:t>We determine a regulatory depreciation allowance of $</w:t>
      </w:r>
      <w:r w:rsidR="00E5290E">
        <w:t>505.</w:t>
      </w:r>
      <w:r w:rsidR="003D15C0">
        <w:t>9</w:t>
      </w:r>
      <w:r w:rsidRPr="0068774A">
        <w:t xml:space="preserve"> million ($ nominal) for AusNet Services over the 201</w:t>
      </w:r>
      <w:r>
        <w:t>7</w:t>
      </w:r>
      <w:r w:rsidRPr="0068774A">
        <w:t>–2</w:t>
      </w:r>
      <w:r>
        <w:t>2</w:t>
      </w:r>
      <w:r w:rsidRPr="0068774A">
        <w:t xml:space="preserve"> regulatory control period</w:t>
      </w:r>
      <w:r>
        <w:t xml:space="preserve">. This represents a reduction of </w:t>
      </w:r>
      <w:r w:rsidR="00FA2A33" w:rsidRPr="00FA2A33">
        <w:t>$</w:t>
      </w:r>
      <w:r w:rsidR="00C037F5">
        <w:t>118.</w:t>
      </w:r>
      <w:r w:rsidR="003D15C0">
        <w:t>3</w:t>
      </w:r>
      <w:r w:rsidR="00FA2A33" w:rsidRPr="00FA2A33">
        <w:t xml:space="preserve"> million (or </w:t>
      </w:r>
      <w:r w:rsidR="00C037F5">
        <w:t>19.0</w:t>
      </w:r>
      <w:r w:rsidR="00FA2A33" w:rsidRPr="00FA2A33">
        <w:t xml:space="preserve"> per cent) </w:t>
      </w:r>
      <w:r>
        <w:t>from AusNet Services' revised proposal</w:t>
      </w:r>
      <w:r w:rsidR="00FA2A33" w:rsidRPr="00FA2A33">
        <w:t>. This amendment reflects our</w:t>
      </w:r>
      <w:r w:rsidR="0097325C">
        <w:t>:</w:t>
      </w:r>
    </w:p>
    <w:p w:rsidR="0097325C" w:rsidRDefault="00AD4284" w:rsidP="00AD4284">
      <w:pPr>
        <w:pStyle w:val="AERbulletlistfirststyle"/>
      </w:pPr>
      <w:r>
        <w:t xml:space="preserve">decision to </w:t>
      </w:r>
      <w:r w:rsidRPr="00AD4284">
        <w:t xml:space="preserve">reject AusNet Services' revised proposal </w:t>
      </w:r>
      <w:r>
        <w:t>to accelerate</w:t>
      </w:r>
      <w:r w:rsidRPr="00AD4284">
        <w:t xml:space="preserve"> depreciation of assets associated with the Yallourn Power Station (YPS) </w:t>
      </w:r>
      <w:r w:rsidR="0078629B">
        <w:t xml:space="preserve">(section </w:t>
      </w:r>
      <w:r w:rsidR="0078629B">
        <w:fldChar w:fldCharType="begin"/>
      </w:r>
      <w:r w:rsidR="0078629B">
        <w:instrText xml:space="preserve"> REF _Ref471814845 \r \h </w:instrText>
      </w:r>
      <w:r w:rsidR="0078629B">
        <w:fldChar w:fldCharType="separate"/>
      </w:r>
      <w:r w:rsidR="004F5F97">
        <w:t>5.4.1</w:t>
      </w:r>
      <w:r w:rsidR="0078629B">
        <w:fldChar w:fldCharType="end"/>
      </w:r>
      <w:r w:rsidR="0078629B">
        <w:t>)</w:t>
      </w:r>
    </w:p>
    <w:p w:rsidR="00F850F4" w:rsidRDefault="00FA2A33" w:rsidP="00E31C00">
      <w:pPr>
        <w:pStyle w:val="AERbulletlistfirststyle"/>
      </w:pPr>
      <w:r w:rsidRPr="00FA2A33">
        <w:t>determinations regarding</w:t>
      </w:r>
      <w:r>
        <w:t xml:space="preserve"> </w:t>
      </w:r>
      <w:r w:rsidRPr="00FA2A33">
        <w:t xml:space="preserve">other components of </w:t>
      </w:r>
      <w:r>
        <w:t>AusNet Services' revised</w:t>
      </w:r>
      <w:r w:rsidRPr="00FA2A33">
        <w:t xml:space="preserve"> proposal that affect the forecast regulatory depreciation allowance—</w:t>
      </w:r>
      <w:r w:rsidR="0078629B">
        <w:t>for example,</w:t>
      </w:r>
      <w:r w:rsidR="00E360BC" w:rsidRPr="00E360BC">
        <w:t xml:space="preserve"> </w:t>
      </w:r>
      <w:r w:rsidR="0078629B" w:rsidRPr="00FA2A33">
        <w:t xml:space="preserve">the opening RAB as at </w:t>
      </w:r>
      <w:r w:rsidR="0078629B" w:rsidRPr="0078629B">
        <w:t>1 April 2017 (attachment 2)</w:t>
      </w:r>
      <w:r w:rsidR="0078629B">
        <w:t xml:space="preserve">, </w:t>
      </w:r>
      <w:r w:rsidR="00E360BC" w:rsidRPr="00FA2A33">
        <w:t xml:space="preserve">expected inflation rate (attachment 3) </w:t>
      </w:r>
      <w:r w:rsidRPr="00FA2A33">
        <w:t>and forecast capital expenditure (attachment 6).</w:t>
      </w:r>
    </w:p>
    <w:p w:rsidR="0043635F" w:rsidRDefault="0043635F" w:rsidP="00E31C00">
      <w:pPr>
        <w:pStyle w:val="Heading3"/>
      </w:pPr>
      <w:bookmarkStart w:id="21" w:name="_Ref471814845"/>
      <w:bookmarkStart w:id="22" w:name="_Toc480809288"/>
      <w:r>
        <w:t>Remaining asset lives</w:t>
      </w:r>
      <w:bookmarkEnd w:id="21"/>
      <w:bookmarkEnd w:id="22"/>
    </w:p>
    <w:p w:rsidR="00E243A2" w:rsidRPr="00E243A2" w:rsidRDefault="00E243A2">
      <w:r>
        <w:t xml:space="preserve">The remaining asset lives of AusNet Services' assets are individually tracked </w:t>
      </w:r>
      <w:r w:rsidR="00E306C7">
        <w:t xml:space="preserve">based on the </w:t>
      </w:r>
      <w:r>
        <w:t>year-by-year</w:t>
      </w:r>
      <w:r w:rsidR="00E306C7">
        <w:t xml:space="preserve"> approach</w:t>
      </w:r>
      <w:r>
        <w:t>.</w:t>
      </w:r>
      <w:r w:rsidR="00F0437C">
        <w:rPr>
          <w:rStyle w:val="FootnoteReference"/>
        </w:rPr>
        <w:footnoteReference w:id="5"/>
      </w:r>
      <w:r>
        <w:t xml:space="preserve"> </w:t>
      </w:r>
      <w:r w:rsidR="00E306C7">
        <w:t xml:space="preserve">In </w:t>
      </w:r>
      <w:r w:rsidR="00634CCE">
        <w:t xml:space="preserve">the </w:t>
      </w:r>
      <w:r w:rsidR="00E306C7">
        <w:t>draft decision we accepted AusNet Services</w:t>
      </w:r>
      <w:r w:rsidR="00634CCE">
        <w:t>'</w:t>
      </w:r>
      <w:r w:rsidR="00E306C7">
        <w:t xml:space="preserve"> proposal to continue using the year-by-year tracking approach to calculate the straight-line depreciation of</w:t>
      </w:r>
      <w:r w:rsidR="00634CCE">
        <w:t xml:space="preserve"> its</w:t>
      </w:r>
      <w:r w:rsidR="00E306C7">
        <w:t xml:space="preserve"> existing assets</w:t>
      </w:r>
      <w:r w:rsidR="00711696">
        <w:t xml:space="preserve">, subject to a calculation adjustment to ensure the profiles meet the requirements of the NER. </w:t>
      </w:r>
      <w:r w:rsidR="00E306C7">
        <w:t xml:space="preserve">In its revised proposal, </w:t>
      </w:r>
      <w:r>
        <w:t>AusNet Service</w:t>
      </w:r>
      <w:r w:rsidR="00C02EC1">
        <w:t>s</w:t>
      </w:r>
      <w:r>
        <w:t xml:space="preserve"> </w:t>
      </w:r>
      <w:r w:rsidR="00E306C7">
        <w:t>adopted this adjustment in the draft decision.</w:t>
      </w:r>
      <w:r w:rsidR="00711696">
        <w:rPr>
          <w:rStyle w:val="FootnoteReference"/>
        </w:rPr>
        <w:footnoteReference w:id="6"/>
      </w:r>
      <w:r w:rsidR="00E306C7">
        <w:t xml:space="preserve"> It also </w:t>
      </w:r>
      <w:r>
        <w:t>proposed</w:t>
      </w:r>
      <w:r w:rsidR="00F0437C">
        <w:t xml:space="preserve"> to</w:t>
      </w:r>
      <w:r>
        <w:t xml:space="preserve"> change the </w:t>
      </w:r>
      <w:r>
        <w:lastRenderedPageBreak/>
        <w:t xml:space="preserve">remaining asset lives </w:t>
      </w:r>
      <w:r w:rsidR="00C02EC1">
        <w:t>of some</w:t>
      </w:r>
      <w:r w:rsidR="00F0437C">
        <w:t xml:space="preserve"> specific </w:t>
      </w:r>
      <w:r w:rsidR="00C02EC1">
        <w:t>assets compared to those approved in the draft decision</w:t>
      </w:r>
      <w:r>
        <w:t>.</w:t>
      </w:r>
      <w:r w:rsidR="00F0437C">
        <w:t xml:space="preserve"> These </w:t>
      </w:r>
      <w:r w:rsidR="00C02EC1">
        <w:t>proposed changes</w:t>
      </w:r>
      <w:r w:rsidR="00F0437C">
        <w:t xml:space="preserve"> are discussed below.</w:t>
      </w:r>
    </w:p>
    <w:p w:rsidR="00F850F4" w:rsidRPr="004F5F97" w:rsidRDefault="00F850F4" w:rsidP="004F5F97">
      <w:pPr>
        <w:pStyle w:val="Heading4"/>
      </w:pPr>
      <w:r w:rsidRPr="004F5F97">
        <w:t xml:space="preserve">Accelerated depreciation </w:t>
      </w:r>
      <w:r w:rsidR="004712CD" w:rsidRPr="004F5F97">
        <w:t xml:space="preserve">of </w:t>
      </w:r>
      <w:r w:rsidRPr="004F5F97">
        <w:t>assets</w:t>
      </w:r>
    </w:p>
    <w:p w:rsidR="00F850F4" w:rsidRDefault="00583E9C" w:rsidP="00F850F4">
      <w:r>
        <w:t xml:space="preserve">In the draft decision, we accepted </w:t>
      </w:r>
      <w:r w:rsidR="00F850F4" w:rsidRPr="00F850F4">
        <w:t>A</w:t>
      </w:r>
      <w:r>
        <w:t>usNet Services</w:t>
      </w:r>
      <w:r w:rsidR="00634CCE">
        <w:t>'</w:t>
      </w:r>
      <w:r>
        <w:t xml:space="preserve"> proposal</w:t>
      </w:r>
      <w:r w:rsidR="00F850F4" w:rsidRPr="00F850F4">
        <w:t xml:space="preserve"> that a new asset class be created for </w:t>
      </w:r>
      <w:r w:rsidR="0090311F">
        <w:t>assets</w:t>
      </w:r>
      <w:r w:rsidR="00D327DC">
        <w:t xml:space="preserve"> removed, or </w:t>
      </w:r>
      <w:r w:rsidR="0090311F">
        <w:t>expected to be removed</w:t>
      </w:r>
      <w:r w:rsidR="00D327DC">
        <w:t xml:space="preserve">, from service over the </w:t>
      </w:r>
      <w:r w:rsidR="00D327DC" w:rsidRPr="00F850F4">
        <w:t>20</w:t>
      </w:r>
      <w:r w:rsidR="00D327DC">
        <w:t>17–22 regulatory control period</w:t>
      </w:r>
      <w:r w:rsidR="00BD5376">
        <w:t>. These asset</w:t>
      </w:r>
      <w:r w:rsidR="00C716FE">
        <w:t>s</w:t>
      </w:r>
      <w:r w:rsidR="00BD5376">
        <w:t xml:space="preserve"> would be</w:t>
      </w:r>
      <w:r w:rsidR="00F850F4" w:rsidRPr="00F850F4">
        <w:t xml:space="preserve"> subject to accelerated depreci</w:t>
      </w:r>
      <w:r w:rsidR="00BD5376">
        <w:t>ation and fully depreciated in five</w:t>
      </w:r>
      <w:r w:rsidR="00F850F4" w:rsidRPr="00F850F4">
        <w:t xml:space="preserve"> years.</w:t>
      </w:r>
      <w:r w:rsidR="00F850F4">
        <w:rPr>
          <w:rStyle w:val="FootnoteReference"/>
        </w:rPr>
        <w:footnoteReference w:id="7"/>
      </w:r>
      <w:r w:rsidR="00F850F4" w:rsidRPr="00F850F4">
        <w:t xml:space="preserve"> </w:t>
      </w:r>
      <w:r w:rsidR="00D327DC">
        <w:t xml:space="preserve">These assets have </w:t>
      </w:r>
      <w:r w:rsidR="00634CCE">
        <w:t>a remaining value of $11.6 million</w:t>
      </w:r>
      <w:r w:rsidR="00F850F4" w:rsidRPr="00F850F4">
        <w:t>.</w:t>
      </w:r>
      <w:r w:rsidR="00F850F4">
        <w:rPr>
          <w:rStyle w:val="FootnoteReference"/>
        </w:rPr>
        <w:footnoteReference w:id="8"/>
      </w:r>
    </w:p>
    <w:p w:rsidR="00C716FE" w:rsidRDefault="00583E9C" w:rsidP="00F850F4">
      <w:r>
        <w:t>In its revised proposal, AusNet Services has proposed a</w:t>
      </w:r>
      <w:r w:rsidR="00634CCE">
        <w:t>nother set of</w:t>
      </w:r>
      <w:r>
        <w:t xml:space="preserve"> asset class</w:t>
      </w:r>
      <w:r w:rsidR="00287D5B">
        <w:t>es</w:t>
      </w:r>
      <w:r>
        <w:t xml:space="preserve"> for </w:t>
      </w:r>
      <w:r w:rsidR="00634CCE">
        <w:t xml:space="preserve">the purposes of accelerated depreciation of </w:t>
      </w:r>
      <w:r w:rsidR="00BD5376">
        <w:t xml:space="preserve">certain assets </w:t>
      </w:r>
      <w:r>
        <w:t xml:space="preserve">over eight years. </w:t>
      </w:r>
      <w:r w:rsidR="000D53ED">
        <w:t xml:space="preserve">AusNet Services abandoned its </w:t>
      </w:r>
      <w:r w:rsidR="005E62BA">
        <w:t>initial</w:t>
      </w:r>
      <w:r w:rsidR="000D53ED">
        <w:t xml:space="preserve"> proposal to use </w:t>
      </w:r>
      <w:r w:rsidR="00634CCE">
        <w:t>the</w:t>
      </w:r>
      <w:r w:rsidR="000D53ED">
        <w:t xml:space="preserve"> DV method to depreciate all new assets (discussed below). Instead, it undertook further targeting of assets for accelerated depreciation</w:t>
      </w:r>
      <w:r w:rsidR="00E5740F">
        <w:t xml:space="preserve"> in its revised proposal</w:t>
      </w:r>
      <w:r w:rsidR="000D53ED">
        <w:t xml:space="preserve">. The additional $12.8 million of assets identified for accelerated depreciation relate to the </w:t>
      </w:r>
      <w:r w:rsidR="00295E34">
        <w:t>YPS</w:t>
      </w:r>
      <w:r w:rsidR="000D53ED">
        <w:t>.</w:t>
      </w:r>
      <w:r w:rsidR="004F7B9F">
        <w:rPr>
          <w:rStyle w:val="FootnoteReference"/>
        </w:rPr>
        <w:footnoteReference w:id="9"/>
      </w:r>
      <w:r w:rsidR="000D53ED" w:rsidRPr="000D53ED">
        <w:t xml:space="preserve"> </w:t>
      </w:r>
    </w:p>
    <w:p w:rsidR="00615C68" w:rsidRDefault="00E5740F" w:rsidP="00E31C00">
      <w:r>
        <w:t xml:space="preserve">The main reason made in </w:t>
      </w:r>
      <w:r w:rsidR="000D53ED" w:rsidRPr="000D53ED">
        <w:t xml:space="preserve">AusNet </w:t>
      </w:r>
      <w:r w:rsidR="007A33BB" w:rsidRPr="000D53ED">
        <w:t>Service</w:t>
      </w:r>
      <w:r w:rsidR="007A33BB">
        <w:t xml:space="preserve">s' </w:t>
      </w:r>
      <w:r>
        <w:t>revised</w:t>
      </w:r>
      <w:r w:rsidR="000D53ED" w:rsidRPr="000D53ED">
        <w:t xml:space="preserve"> proposal </w:t>
      </w:r>
      <w:r>
        <w:t>for the accelerated depreciation is</w:t>
      </w:r>
      <w:r w:rsidR="000D53ED" w:rsidRPr="000D53ED">
        <w:t xml:space="preserve"> </w:t>
      </w:r>
      <w:r w:rsidR="00A875FA">
        <w:t xml:space="preserve">that </w:t>
      </w:r>
      <w:r w:rsidR="004F5F97">
        <w:t xml:space="preserve">the </w:t>
      </w:r>
      <w:r w:rsidR="00A875FA" w:rsidRPr="000D53ED">
        <w:t>YPS will need to close by 2025</w:t>
      </w:r>
      <w:r w:rsidR="000D53ED" w:rsidRPr="000D53ED">
        <w:t xml:space="preserve"> due to </w:t>
      </w:r>
      <w:r w:rsidR="00A875FA">
        <w:t>renewable energy targets</w:t>
      </w:r>
      <w:r>
        <w:t xml:space="preserve"> proposed by the Victorian government</w:t>
      </w:r>
      <w:r w:rsidR="000D53ED" w:rsidRPr="000D53ED">
        <w:t>.</w:t>
      </w:r>
      <w:r w:rsidR="000D53ED">
        <w:rPr>
          <w:rStyle w:val="FootnoteReference"/>
        </w:rPr>
        <w:footnoteReference w:id="10"/>
      </w:r>
      <w:r w:rsidR="00615C68">
        <w:t xml:space="preserve"> </w:t>
      </w:r>
    </w:p>
    <w:p w:rsidR="001F1427" w:rsidRDefault="000D53ED" w:rsidP="00F850F4">
      <w:r>
        <w:t>We accept in principle the targeted approach adopted by AusNet Services. However, we consider that there is significant uncertainty as to</w:t>
      </w:r>
      <w:r w:rsidR="00E5740F">
        <w:t xml:space="preserve"> the</w:t>
      </w:r>
      <w:r>
        <w:t xml:space="preserve"> need and timing for any closure of the YPS. </w:t>
      </w:r>
      <w:r w:rsidR="00E5740F">
        <w:t>Based on the information before us, w</w:t>
      </w:r>
      <w:r>
        <w:t xml:space="preserve">e do not accept </w:t>
      </w:r>
      <w:r w:rsidR="00E5740F">
        <w:t>AusNet Services</w:t>
      </w:r>
      <w:r w:rsidR="00281447">
        <w:t>'</w:t>
      </w:r>
      <w:r w:rsidR="00E5740F">
        <w:t xml:space="preserve"> revised proposal for</w:t>
      </w:r>
      <w:r>
        <w:t xml:space="preserve"> creatin</w:t>
      </w:r>
      <w:r w:rsidR="00E5740F">
        <w:t>g</w:t>
      </w:r>
      <w:r>
        <w:t xml:space="preserve"> this additional asset class</w:t>
      </w:r>
      <w:r w:rsidR="00BD5376">
        <w:t xml:space="preserve"> </w:t>
      </w:r>
      <w:r w:rsidR="00E5740F">
        <w:t>for accelerated depreciation of assets associated with the YPS</w:t>
      </w:r>
      <w:r>
        <w:t>.</w:t>
      </w:r>
      <w:r w:rsidR="00BD5376">
        <w:t xml:space="preserve"> </w:t>
      </w:r>
    </w:p>
    <w:p w:rsidR="00B17E20" w:rsidRDefault="008B4922" w:rsidP="00F850F4">
      <w:r>
        <w:t xml:space="preserve">In its revised proposal, </w:t>
      </w:r>
      <w:r w:rsidR="00B17E20">
        <w:t xml:space="preserve">AusNet Services </w:t>
      </w:r>
      <w:r w:rsidR="00D95B43">
        <w:t xml:space="preserve">presented only one </w:t>
      </w:r>
      <w:r>
        <w:t>of several</w:t>
      </w:r>
      <w:r w:rsidR="00D95B43">
        <w:t xml:space="preserve"> scenario</w:t>
      </w:r>
      <w:r>
        <w:t>s</w:t>
      </w:r>
      <w:r w:rsidR="00D95B43">
        <w:t xml:space="preserve"> </w:t>
      </w:r>
      <w:r>
        <w:t xml:space="preserve">contemplated by </w:t>
      </w:r>
      <w:r w:rsidR="009E21A6">
        <w:t>the Australian Energy Market Operator (</w:t>
      </w:r>
      <w:r>
        <w:t>AEMO</w:t>
      </w:r>
      <w:r w:rsidR="009E21A6">
        <w:t>)</w:t>
      </w:r>
      <w:r>
        <w:t xml:space="preserve"> in its August 2016 </w:t>
      </w:r>
      <w:r w:rsidR="00C941DE" w:rsidRPr="00E31C00">
        <w:rPr>
          <w:rStyle w:val="AERtextitalic"/>
        </w:rPr>
        <w:t xml:space="preserve">Electricity </w:t>
      </w:r>
      <w:r w:rsidRPr="00E31C00">
        <w:rPr>
          <w:rStyle w:val="AERtextitalic"/>
        </w:rPr>
        <w:t>Statement of Opportunities</w:t>
      </w:r>
      <w:r>
        <w:t xml:space="preserve"> </w:t>
      </w:r>
      <w:r w:rsidR="0022751A" w:rsidRPr="00453DDF">
        <w:rPr>
          <w:rStyle w:val="AERtextitalic"/>
        </w:rPr>
        <w:t>for the National Electricity Market</w:t>
      </w:r>
      <w:r w:rsidR="0022751A" w:rsidRPr="0022751A">
        <w:t xml:space="preserve"> </w:t>
      </w:r>
      <w:r>
        <w:t>(ESOO)</w:t>
      </w:r>
      <w:r w:rsidR="00B17E20">
        <w:t>.</w:t>
      </w:r>
      <w:r w:rsidR="00D95B43">
        <w:t xml:space="preserve"> The scenario presented was also not considered by AEMO the most likely.</w:t>
      </w:r>
      <w:r w:rsidR="006D7C7F">
        <w:rPr>
          <w:rStyle w:val="FootnoteReference"/>
        </w:rPr>
        <w:footnoteReference w:id="11"/>
      </w:r>
      <w:r w:rsidR="00B17E20">
        <w:t xml:space="preserve"> We therefore do not agree with AusNet Services that the scenario </w:t>
      </w:r>
      <w:r w:rsidR="00C941DE">
        <w:t xml:space="preserve">it </w:t>
      </w:r>
      <w:r w:rsidR="00B17E20">
        <w:t>present</w:t>
      </w:r>
      <w:r w:rsidR="00C941DE">
        <w:t>ed</w:t>
      </w:r>
      <w:r w:rsidR="00B17E20">
        <w:t xml:space="preserve"> is </w:t>
      </w:r>
      <w:r w:rsidR="00C941DE">
        <w:t>likely</w:t>
      </w:r>
      <w:r w:rsidR="00B17E20">
        <w:t>. A neutral scenario run by AEMO in the same report suggest</w:t>
      </w:r>
      <w:r w:rsidR="00C941DE">
        <w:t>ed</w:t>
      </w:r>
      <w:r w:rsidR="00B17E20">
        <w:t xml:space="preserve"> only 800MW of coal fired generation needs to be closed by 2021</w:t>
      </w:r>
      <w:r w:rsidR="00C941DE">
        <w:t>–</w:t>
      </w:r>
      <w:r w:rsidR="00B17E20">
        <w:t>22.</w:t>
      </w:r>
      <w:r w:rsidR="00D95B43">
        <w:t xml:space="preserve"> A strong</w:t>
      </w:r>
      <w:r w:rsidR="00956F25">
        <w:t>er</w:t>
      </w:r>
      <w:r w:rsidR="00D95B43">
        <w:t xml:space="preserve"> growth scenario suggested only 400MW</w:t>
      </w:r>
      <w:r w:rsidR="00B17E20">
        <w:t xml:space="preserve"> </w:t>
      </w:r>
      <w:r w:rsidR="00D95B43" w:rsidRPr="00D95B43">
        <w:t>of coal fired generation needs to be closed by 2021-22.</w:t>
      </w:r>
      <w:r w:rsidR="00D95B43">
        <w:t xml:space="preserve"> The ESOO</w:t>
      </w:r>
      <w:r w:rsidR="00C716FE">
        <w:t xml:space="preserve"> does not say which generators</w:t>
      </w:r>
      <w:r w:rsidR="00D95B43">
        <w:t xml:space="preserve"> </w:t>
      </w:r>
      <w:r w:rsidR="00B17E20">
        <w:t>would need to close.</w:t>
      </w:r>
      <w:r w:rsidR="003C1231" w:rsidDel="003C1231">
        <w:rPr>
          <w:rStyle w:val="FootnoteReference"/>
        </w:rPr>
        <w:t xml:space="preserve"> </w:t>
      </w:r>
    </w:p>
    <w:p w:rsidR="00D95B43" w:rsidRDefault="00E5740F" w:rsidP="00F850F4">
      <w:r>
        <w:t>As part of our assessment of the revised proposal, w</w:t>
      </w:r>
      <w:r w:rsidR="00A875FA">
        <w:t>e</w:t>
      </w:r>
      <w:r w:rsidR="00A875FA" w:rsidRPr="00A875FA">
        <w:t xml:space="preserve"> </w:t>
      </w:r>
      <w:r w:rsidR="00A875FA">
        <w:t xml:space="preserve">contacted AEMO and </w:t>
      </w:r>
      <w:r w:rsidR="007944CC">
        <w:t xml:space="preserve">the </w:t>
      </w:r>
      <w:r w:rsidR="00A875FA">
        <w:t xml:space="preserve">Victorian </w:t>
      </w:r>
      <w:r w:rsidR="00A875FA" w:rsidRPr="00A875FA">
        <w:t>Department of Environment, Land, Water and Planning</w:t>
      </w:r>
      <w:r w:rsidR="007944CC">
        <w:t xml:space="preserve"> to </w:t>
      </w:r>
      <w:r>
        <w:t>obtain</w:t>
      </w:r>
      <w:r w:rsidR="007944CC">
        <w:t xml:space="preserve"> their views </w:t>
      </w:r>
      <w:r w:rsidR="007944CC">
        <w:lastRenderedPageBreak/>
        <w:t xml:space="preserve">on the potential closure of YPS by 2025 as AusNet Services </w:t>
      </w:r>
      <w:r w:rsidR="00282FF8">
        <w:t>submitted</w:t>
      </w:r>
      <w:r w:rsidR="007944CC">
        <w:t>.</w:t>
      </w:r>
      <w:r w:rsidR="00D95B43">
        <w:t xml:space="preserve"> </w:t>
      </w:r>
      <w:r w:rsidR="00C51627">
        <w:t>Both these organisations con</w:t>
      </w:r>
      <w:r w:rsidR="00A61D44">
        <w:t>sider</w:t>
      </w:r>
      <w:r w:rsidR="00C51627">
        <w:t>ed such an outcome very unlikely.</w:t>
      </w:r>
      <w:r w:rsidR="00E83D79">
        <w:rPr>
          <w:rStyle w:val="FootnoteReference"/>
        </w:rPr>
        <w:footnoteReference w:id="12"/>
      </w:r>
      <w:r w:rsidR="00C51627">
        <w:t xml:space="preserve"> </w:t>
      </w:r>
      <w:r w:rsidR="00D95B43">
        <w:t>T</w:t>
      </w:r>
      <w:r w:rsidR="00C51627">
        <w:t>he detail</w:t>
      </w:r>
      <w:r w:rsidR="00A61D44">
        <w:t>s</w:t>
      </w:r>
      <w:r w:rsidR="00C51627">
        <w:t xml:space="preserve"> of </w:t>
      </w:r>
      <w:r w:rsidR="000B7084">
        <w:t xml:space="preserve">AEMO's and the </w:t>
      </w:r>
      <w:r w:rsidR="009E21A6">
        <w:t>D</w:t>
      </w:r>
      <w:r w:rsidR="000B7084">
        <w:t>epartment's</w:t>
      </w:r>
      <w:r w:rsidR="00D95B43">
        <w:t xml:space="preserve"> </w:t>
      </w:r>
      <w:r w:rsidR="009E21A6">
        <w:t>views</w:t>
      </w:r>
      <w:r w:rsidR="00D95B43">
        <w:t xml:space="preserve"> </w:t>
      </w:r>
      <w:r w:rsidR="009E21A6">
        <w:t>were provided to us</w:t>
      </w:r>
      <w:r w:rsidR="00D95B43">
        <w:t xml:space="preserve"> confidential</w:t>
      </w:r>
      <w:r w:rsidR="009E21A6">
        <w:t>ly</w:t>
      </w:r>
      <w:r w:rsidR="00D95B43">
        <w:t xml:space="preserve">. AusNet Services </w:t>
      </w:r>
      <w:r w:rsidR="00C51627">
        <w:t xml:space="preserve">was </w:t>
      </w:r>
      <w:r w:rsidR="00D95B43">
        <w:t>advised as to the substance of the</w:t>
      </w:r>
      <w:r w:rsidR="00C51627">
        <w:t>se</w:t>
      </w:r>
      <w:r w:rsidR="00D95B43">
        <w:t xml:space="preserve"> </w:t>
      </w:r>
      <w:r w:rsidR="009E21A6">
        <w:t>views</w:t>
      </w:r>
      <w:r w:rsidR="00C51627">
        <w:t xml:space="preserve"> and given an opportunity to respon</w:t>
      </w:r>
      <w:r w:rsidR="00C941DE">
        <w:t>d</w:t>
      </w:r>
      <w:r w:rsidR="00D95B43">
        <w:t>.</w:t>
      </w:r>
      <w:r w:rsidR="00C51627">
        <w:t xml:space="preserve"> AusNet Services</w:t>
      </w:r>
      <w:r w:rsidR="00345CE9">
        <w:t xml:space="preserve"> </w:t>
      </w:r>
      <w:r w:rsidR="00C941DE">
        <w:t>submitted</w:t>
      </w:r>
      <w:r w:rsidR="00345CE9">
        <w:t xml:space="preserve"> that </w:t>
      </w:r>
      <w:r w:rsidR="00C941DE">
        <w:t>it</w:t>
      </w:r>
      <w:r w:rsidR="00345CE9">
        <w:t xml:space="preserve"> accept</w:t>
      </w:r>
      <w:r w:rsidR="00C941DE">
        <w:t>s</w:t>
      </w:r>
      <w:r w:rsidR="00345CE9">
        <w:t xml:space="preserve"> the advice of AEMO and </w:t>
      </w:r>
      <w:r w:rsidR="00C941DE">
        <w:t xml:space="preserve">the </w:t>
      </w:r>
      <w:r w:rsidR="00345CE9">
        <w:t>Victorian Department</w:t>
      </w:r>
      <w:r w:rsidR="00CF479B">
        <w:t>,</w:t>
      </w:r>
      <w:r w:rsidR="00345CE9">
        <w:t xml:space="preserve"> noting that </w:t>
      </w:r>
      <w:r w:rsidR="00C941DE">
        <w:t xml:space="preserve">the </w:t>
      </w:r>
      <w:r w:rsidR="00345CE9">
        <w:t>H</w:t>
      </w:r>
      <w:r w:rsidR="00C941DE">
        <w:t xml:space="preserve">azelwood </w:t>
      </w:r>
      <w:r w:rsidR="00345CE9">
        <w:t>P</w:t>
      </w:r>
      <w:r w:rsidR="00C941DE">
        <w:t xml:space="preserve">ower </w:t>
      </w:r>
      <w:r w:rsidR="00345CE9">
        <w:t>S</w:t>
      </w:r>
      <w:r w:rsidR="00C941DE">
        <w:t>tation closure</w:t>
      </w:r>
      <w:r w:rsidR="00345CE9">
        <w:t xml:space="preserve"> had not </w:t>
      </w:r>
      <w:r w:rsidR="00C941DE">
        <w:t>been announced</w:t>
      </w:r>
      <w:r w:rsidR="00345CE9">
        <w:t xml:space="preserve"> at the time </w:t>
      </w:r>
      <w:r w:rsidR="00B43FE2">
        <w:t>it</w:t>
      </w:r>
      <w:r w:rsidR="00345CE9">
        <w:t xml:space="preserve"> submitted </w:t>
      </w:r>
      <w:r w:rsidR="00B43FE2">
        <w:t>the</w:t>
      </w:r>
      <w:r w:rsidR="00345CE9">
        <w:t xml:space="preserve"> revised proposal</w:t>
      </w:r>
      <w:r w:rsidR="00C51627">
        <w:t>.</w:t>
      </w:r>
      <w:r w:rsidR="00345CE9">
        <w:rPr>
          <w:rStyle w:val="FootnoteReference"/>
        </w:rPr>
        <w:footnoteReference w:id="13"/>
      </w:r>
      <w:r w:rsidR="006147D0">
        <w:t xml:space="preserve"> </w:t>
      </w:r>
      <w:r w:rsidR="00C941DE">
        <w:t>AusNet Services</w:t>
      </w:r>
      <w:r w:rsidR="00B07C40">
        <w:t xml:space="preserve"> subsequently</w:t>
      </w:r>
      <w:r w:rsidR="006147D0">
        <w:t xml:space="preserve"> advised that </w:t>
      </w:r>
      <w:r w:rsidR="00C941DE">
        <w:t>it</w:t>
      </w:r>
      <w:r w:rsidR="00B07C40">
        <w:t xml:space="preserve"> was</w:t>
      </w:r>
      <w:r w:rsidR="006147D0">
        <w:t xml:space="preserve"> withdraw</w:t>
      </w:r>
      <w:r w:rsidR="00B07C40">
        <w:t>ing</w:t>
      </w:r>
      <w:r w:rsidR="006147D0">
        <w:t xml:space="preserve"> the accelerated depreciation of YPS assets in a submission to its revised proposal.</w:t>
      </w:r>
      <w:r w:rsidR="006147D0">
        <w:rPr>
          <w:rStyle w:val="FootnoteReference"/>
        </w:rPr>
        <w:footnoteReference w:id="14"/>
      </w:r>
      <w:r w:rsidR="006147D0">
        <w:t xml:space="preserve">  </w:t>
      </w:r>
    </w:p>
    <w:p w:rsidR="00BE767D" w:rsidRDefault="00136C99" w:rsidP="00F850F4">
      <w:r w:rsidRPr="00136C99">
        <w:t xml:space="preserve">The CCP submission on AusNet Services’ revised proposal did not support accelerated depreciation of the YPS connection assets. It </w:t>
      </w:r>
      <w:r w:rsidR="00D95B43">
        <w:t>stated that AusNet Services had</w:t>
      </w:r>
      <w:r w:rsidRPr="00136C99">
        <w:t xml:space="preserve"> not established that the assets are or will become unused during the </w:t>
      </w:r>
      <w:r w:rsidR="00B07C40">
        <w:t>2017–22</w:t>
      </w:r>
      <w:r w:rsidR="00B07C40" w:rsidRPr="00136C99">
        <w:t xml:space="preserve"> </w:t>
      </w:r>
      <w:r w:rsidRPr="00136C99">
        <w:t xml:space="preserve">regulatory control period. It also </w:t>
      </w:r>
      <w:r w:rsidR="004F7AD5">
        <w:t>stat</w:t>
      </w:r>
      <w:r w:rsidRPr="00136C99">
        <w:t>ed that insufficient consultation has taken place on the proposal to accelerate these assets.</w:t>
      </w:r>
      <w:r w:rsidR="005C3643">
        <w:rPr>
          <w:rStyle w:val="FootnoteReference"/>
        </w:rPr>
        <w:footnoteReference w:id="15"/>
      </w:r>
      <w:r w:rsidR="00BE767D">
        <w:t xml:space="preserve"> </w:t>
      </w:r>
      <w:r w:rsidR="00D327DC">
        <w:t xml:space="preserve">We </w:t>
      </w:r>
      <w:r w:rsidR="00287D5B">
        <w:t>provide some comments in response to the CCP's questions below</w:t>
      </w:r>
      <w:r w:rsidR="00D327DC">
        <w:t>.</w:t>
      </w:r>
    </w:p>
    <w:p w:rsidR="006D146A" w:rsidRDefault="006D146A" w:rsidP="00E44457">
      <w:pPr>
        <w:pStyle w:val="Heading4"/>
      </w:pPr>
      <w:r>
        <w:t>Assessing accelerated depreciation proposals</w:t>
      </w:r>
    </w:p>
    <w:p w:rsidR="007809E7" w:rsidRDefault="00BE767D" w:rsidP="00F850F4">
      <w:r>
        <w:t xml:space="preserve">In its submission, the CCP asked the AER for </w:t>
      </w:r>
      <w:r w:rsidR="00EA493E">
        <w:t>further</w:t>
      </w:r>
      <w:r w:rsidRPr="00BE767D">
        <w:t xml:space="preserve"> guida</w:t>
      </w:r>
      <w:r>
        <w:t>nce</w:t>
      </w:r>
      <w:r w:rsidRPr="00BE767D">
        <w:t xml:space="preserve"> about the circumstances in which</w:t>
      </w:r>
      <w:r>
        <w:t xml:space="preserve"> accelerated</w:t>
      </w:r>
      <w:r w:rsidRPr="00BE767D">
        <w:t xml:space="preserve"> depreciation </w:t>
      </w:r>
      <w:r w:rsidR="00026784">
        <w:t>c</w:t>
      </w:r>
      <w:r>
        <w:t>ould apply</w:t>
      </w:r>
      <w:r w:rsidRPr="00BE767D">
        <w:t>.</w:t>
      </w:r>
      <w:r w:rsidR="00684865">
        <w:rPr>
          <w:rStyle w:val="FootnoteReference"/>
        </w:rPr>
        <w:footnoteReference w:id="16"/>
      </w:r>
      <w:r w:rsidR="003459DC">
        <w:t xml:space="preserve"> </w:t>
      </w:r>
      <w:r w:rsidR="00287D5B">
        <w:t xml:space="preserve">We outlined the economic principles underpinning depreciation in some detail in </w:t>
      </w:r>
      <w:r w:rsidR="00C070EF">
        <w:t>a</w:t>
      </w:r>
      <w:r w:rsidR="00287D5B">
        <w:t xml:space="preserve">ttachment </w:t>
      </w:r>
      <w:r w:rsidR="00E529DC">
        <w:t>5</w:t>
      </w:r>
      <w:r w:rsidR="00287D5B">
        <w:t xml:space="preserve"> to our draft decision. We do not propose to expand on that discussion, especially as AusNet </w:t>
      </w:r>
      <w:r w:rsidR="00C070EF">
        <w:t xml:space="preserve">Services </w:t>
      </w:r>
      <w:r w:rsidR="00287D5B">
        <w:t xml:space="preserve">has withdrawn its </w:t>
      </w:r>
      <w:r w:rsidR="00C070EF">
        <w:t>initial</w:t>
      </w:r>
      <w:r w:rsidR="00287D5B">
        <w:t xml:space="preserve"> proposal for accelerated depreciation</w:t>
      </w:r>
      <w:r w:rsidR="00C070EF">
        <w:t xml:space="preserve"> in respect of the DV method</w:t>
      </w:r>
      <w:r w:rsidR="00287D5B">
        <w:t xml:space="preserve">. In </w:t>
      </w:r>
      <w:r w:rsidR="00C070EF">
        <w:t>assessing</w:t>
      </w:r>
      <w:r w:rsidR="00287D5B">
        <w:t xml:space="preserve"> proposals for accelerated depreciation it is important to consider the specific circumstances and facts of each situation, which limits the usefulness of general discussions. Nevertheless</w:t>
      </w:r>
      <w:r w:rsidR="00C070EF">
        <w:t>,</w:t>
      </w:r>
      <w:r w:rsidR="00287D5B">
        <w:t xml:space="preserve"> we offer the following observations in response to the CCP's questions.</w:t>
      </w:r>
    </w:p>
    <w:p w:rsidR="00D9285C" w:rsidRDefault="003459DC" w:rsidP="00F850F4">
      <w:r>
        <w:t>In considering accelerated depreciation</w:t>
      </w:r>
      <w:r w:rsidR="008712A6">
        <w:t xml:space="preserve">, </w:t>
      </w:r>
      <w:r w:rsidR="00452DA1">
        <w:t xml:space="preserve">we </w:t>
      </w:r>
      <w:r w:rsidR="00287D5B">
        <w:t>note</w:t>
      </w:r>
      <w:r>
        <w:t xml:space="preserve"> that under the current regulatory regime the service providers are not subject to stranding risk</w:t>
      </w:r>
      <w:r w:rsidR="00AC75D8">
        <w:t>.</w:t>
      </w:r>
      <w:r>
        <w:t xml:space="preserve"> </w:t>
      </w:r>
      <w:r w:rsidR="00B000CD">
        <w:t>This means a</w:t>
      </w:r>
      <w:r>
        <w:t>ccelerat</w:t>
      </w:r>
      <w:r w:rsidR="00AC75D8">
        <w:t>ed</w:t>
      </w:r>
      <w:r>
        <w:t xml:space="preserve"> depreciation</w:t>
      </w:r>
      <w:r w:rsidR="00AC75D8">
        <w:t xml:space="preserve"> </w:t>
      </w:r>
      <w:r w:rsidR="00B000CD">
        <w:t>has no justification in terms of assisting</w:t>
      </w:r>
      <w:r>
        <w:t xml:space="preserve"> a service provider </w:t>
      </w:r>
      <w:r w:rsidR="00B000CD">
        <w:t xml:space="preserve">to </w:t>
      </w:r>
      <w:r w:rsidR="007809E7">
        <w:t xml:space="preserve">recover its </w:t>
      </w:r>
      <w:r w:rsidR="00281447">
        <w:t xml:space="preserve">asset </w:t>
      </w:r>
      <w:r w:rsidR="00B000CD">
        <w:t>costs before a customer leaves</w:t>
      </w:r>
      <w:r w:rsidR="00AC75D8">
        <w:t xml:space="preserve"> the network</w:t>
      </w:r>
      <w:r w:rsidR="00B000CD">
        <w:t>,</w:t>
      </w:r>
      <w:r w:rsidR="00AC75D8">
        <w:t xml:space="preserve"> as these </w:t>
      </w:r>
      <w:r w:rsidR="00B000CD">
        <w:t>costs</w:t>
      </w:r>
      <w:r w:rsidR="00AC75D8">
        <w:t xml:space="preserve"> </w:t>
      </w:r>
      <w:r w:rsidR="00E44457">
        <w:t xml:space="preserve">can be </w:t>
      </w:r>
      <w:r w:rsidR="00AC75D8">
        <w:t>recovered from the remaining customers</w:t>
      </w:r>
      <w:r>
        <w:t>.</w:t>
      </w:r>
      <w:r w:rsidR="00B000CD">
        <w:rPr>
          <w:rStyle w:val="FootnoteReference"/>
        </w:rPr>
        <w:footnoteReference w:id="17"/>
      </w:r>
      <w:r>
        <w:t xml:space="preserve"> The </w:t>
      </w:r>
      <w:r w:rsidR="004F7AD5">
        <w:t>key</w:t>
      </w:r>
      <w:r>
        <w:t xml:space="preserve"> issue is the timeframe for recovery of capex, which under the NER must be over the asset's economic life.</w:t>
      </w:r>
      <w:r w:rsidR="005458EE">
        <w:rPr>
          <w:rStyle w:val="FootnoteReference"/>
        </w:rPr>
        <w:footnoteReference w:id="18"/>
      </w:r>
      <w:r w:rsidR="00BE767D">
        <w:t xml:space="preserve"> In the draft decision, we explained that we </w:t>
      </w:r>
      <w:r w:rsidR="00D9285C">
        <w:t>a</w:t>
      </w:r>
      <w:r w:rsidR="00BE767D">
        <w:t xml:space="preserve">re </w:t>
      </w:r>
      <w:r w:rsidR="008C72AB">
        <w:t>cautious</w:t>
      </w:r>
      <w:r w:rsidR="00BE767D">
        <w:t xml:space="preserve"> in applying accelerated depreciation, particularly when </w:t>
      </w:r>
      <w:r w:rsidR="00BE767D">
        <w:lastRenderedPageBreak/>
        <w:t>the approach proposed</w:t>
      </w:r>
      <w:r w:rsidR="00684865">
        <w:t xml:space="preserve"> to implement it</w:t>
      </w:r>
      <w:r w:rsidR="00BE767D">
        <w:t xml:space="preserve"> </w:t>
      </w:r>
      <w:r w:rsidR="00D9285C">
        <w:t>i</w:t>
      </w:r>
      <w:r w:rsidR="00BE767D">
        <w:t xml:space="preserve">s a general </w:t>
      </w:r>
      <w:r w:rsidR="006B31AD">
        <w:t>one that</w:t>
      </w:r>
      <w:r w:rsidR="00BE767D">
        <w:t xml:space="preserve"> affect</w:t>
      </w:r>
      <w:r w:rsidR="00D9285C">
        <w:t>s</w:t>
      </w:r>
      <w:r w:rsidR="00BE767D">
        <w:t xml:space="preserve"> various assets</w:t>
      </w:r>
      <w:r w:rsidR="00D9285C">
        <w:t xml:space="preserve"> (of different ages</w:t>
      </w:r>
      <w:r w:rsidR="004F7AD5">
        <w:t xml:space="preserve"> and purpose</w:t>
      </w:r>
      <w:r w:rsidR="00D9285C">
        <w:t>)</w:t>
      </w:r>
      <w:r w:rsidR="00BE767D">
        <w:t xml:space="preserve"> </w:t>
      </w:r>
      <w:r w:rsidR="00EC28C6">
        <w:t xml:space="preserve">in a broad based manner </w:t>
      </w:r>
      <w:r w:rsidR="00BE767D">
        <w:t>and regions in the same way.</w:t>
      </w:r>
      <w:r w:rsidR="008C2E79">
        <w:rPr>
          <w:rStyle w:val="FootnoteReference"/>
        </w:rPr>
        <w:footnoteReference w:id="19"/>
      </w:r>
      <w:r w:rsidR="00BE767D">
        <w:t xml:space="preserve"> </w:t>
      </w:r>
      <w:r w:rsidR="003B5200">
        <w:t>I</w:t>
      </w:r>
      <w:r w:rsidR="008C72AB">
        <w:t>n the draft decision</w:t>
      </w:r>
      <w:r w:rsidR="006B31AD">
        <w:t>,</w:t>
      </w:r>
      <w:r w:rsidR="008C72AB">
        <w:t xml:space="preserve"> </w:t>
      </w:r>
      <w:r w:rsidR="006B31AD">
        <w:t xml:space="preserve">we </w:t>
      </w:r>
      <w:r w:rsidR="00684865">
        <w:t>consider</w:t>
      </w:r>
      <w:r w:rsidR="00C070EF">
        <w:t>ed</w:t>
      </w:r>
      <w:r w:rsidR="008C72AB">
        <w:t xml:space="preserve"> a targeted approach </w:t>
      </w:r>
      <w:r w:rsidR="006B31AD">
        <w:t xml:space="preserve">to accelerated depreciation </w:t>
      </w:r>
      <w:r w:rsidR="000F638E">
        <w:t>w</w:t>
      </w:r>
      <w:r w:rsidR="00684865">
        <w:t>as preferable.</w:t>
      </w:r>
      <w:r w:rsidR="008C2E79" w:rsidRPr="008C2E79">
        <w:rPr>
          <w:rStyle w:val="FootnoteReference"/>
        </w:rPr>
        <w:t xml:space="preserve"> </w:t>
      </w:r>
      <w:r w:rsidR="00684865">
        <w:t>A targeted approach</w:t>
      </w:r>
      <w:r w:rsidR="008C72AB">
        <w:t xml:space="preserve"> looks at particular assets </w:t>
      </w:r>
      <w:r>
        <w:t xml:space="preserve">and the circumstances that </w:t>
      </w:r>
      <w:r w:rsidR="005458EE">
        <w:t>affect their economic lives</w:t>
      </w:r>
      <w:r w:rsidR="008C72AB">
        <w:t xml:space="preserve">. </w:t>
      </w:r>
    </w:p>
    <w:p w:rsidR="00A664E6" w:rsidRDefault="00FB0AD1" w:rsidP="00F850F4">
      <w:r>
        <w:t>However</w:t>
      </w:r>
      <w:r w:rsidR="007E218F">
        <w:t>,</w:t>
      </w:r>
      <w:r w:rsidR="008C72AB">
        <w:t xml:space="preserve"> </w:t>
      </w:r>
      <w:r w:rsidR="000C7F61">
        <w:t xml:space="preserve">even </w:t>
      </w:r>
      <w:r w:rsidR="008C72AB">
        <w:t>asset specific analysis can be difficult</w:t>
      </w:r>
      <w:r w:rsidR="007E218F">
        <w:t>,</w:t>
      </w:r>
      <w:r w:rsidR="008C72AB">
        <w:t xml:space="preserve"> </w:t>
      </w:r>
      <w:r>
        <w:t xml:space="preserve">particularly </w:t>
      </w:r>
      <w:r w:rsidR="007E218F">
        <w:t>where</w:t>
      </w:r>
      <w:r w:rsidR="008C72AB">
        <w:t xml:space="preserve"> it involves making judgements on future demand.</w:t>
      </w:r>
      <w:r w:rsidR="002651A9">
        <w:t xml:space="preserve"> Assessments of changes in</w:t>
      </w:r>
      <w:r w:rsidR="00A664E6">
        <w:t xml:space="preserve"> the</w:t>
      </w:r>
      <w:r w:rsidR="002651A9">
        <w:t xml:space="preserve"> technical lives </w:t>
      </w:r>
      <w:r w:rsidR="00A664E6">
        <w:t xml:space="preserve">of assets </w:t>
      </w:r>
      <w:r w:rsidR="002651A9">
        <w:t>are relatively straight forward. We have allowed accelerated depreciation</w:t>
      </w:r>
      <w:r w:rsidR="00A664E6">
        <w:t>, for example,</w:t>
      </w:r>
      <w:r w:rsidR="002651A9">
        <w:t xml:space="preserve"> when assets were destroyed </w:t>
      </w:r>
      <w:r w:rsidR="00A664E6">
        <w:t xml:space="preserve">(due to cyclones or bushfires) on the basis that their technical </w:t>
      </w:r>
      <w:r w:rsidR="00EC28C6">
        <w:t xml:space="preserve">(and therefore economic) </w:t>
      </w:r>
      <w:r w:rsidR="00A664E6">
        <w:t>lives have ended.</w:t>
      </w:r>
      <w:r w:rsidR="008C72AB">
        <w:t xml:space="preserve"> </w:t>
      </w:r>
      <w:r w:rsidR="00707794">
        <w:t>However, a</w:t>
      </w:r>
      <w:r w:rsidR="008C72AB">
        <w:t>ssessments</w:t>
      </w:r>
      <w:r w:rsidR="00A664E6">
        <w:t xml:space="preserve"> that rely on changes in demand</w:t>
      </w:r>
      <w:r w:rsidR="008C72AB">
        <w:t xml:space="preserve"> are typically more complex than supply side issues such as the technical life of the assets. Th</w:t>
      </w:r>
      <w:r w:rsidR="00707794">
        <w:t>is is because</w:t>
      </w:r>
      <w:r w:rsidR="008C72AB">
        <w:t xml:space="preserve"> it is relatively easier for </w:t>
      </w:r>
      <w:r w:rsidR="006B31AD">
        <w:t>a</w:t>
      </w:r>
      <w:r w:rsidR="008C72AB">
        <w:t xml:space="preserve"> service provider to assess that a</w:t>
      </w:r>
      <w:r w:rsidR="006B31AD">
        <w:t>n</w:t>
      </w:r>
      <w:r w:rsidR="008C72AB">
        <w:t xml:space="preserve"> asset has a technical life of thirty years</w:t>
      </w:r>
      <w:r w:rsidR="006B31AD">
        <w:t>, for example</w:t>
      </w:r>
      <w:r w:rsidR="008C72AB">
        <w:t xml:space="preserve">, </w:t>
      </w:r>
      <w:r w:rsidR="006B31AD">
        <w:t>than to say how demand may fluctuate (or even stop) for that asset over the thirty years</w:t>
      </w:r>
      <w:r w:rsidR="007E218F">
        <w:t xml:space="preserve"> or beyond</w:t>
      </w:r>
      <w:r w:rsidR="006B31AD">
        <w:t>. We</w:t>
      </w:r>
      <w:r w:rsidR="0022751A">
        <w:t xml:space="preserve"> </w:t>
      </w:r>
      <w:r w:rsidR="00707794">
        <w:t>observe</w:t>
      </w:r>
      <w:r w:rsidR="006B31AD">
        <w:t xml:space="preserve"> that demand may indeed fluctuate over an asset</w:t>
      </w:r>
      <w:r w:rsidR="000C7F61">
        <w:t>'</w:t>
      </w:r>
      <w:r w:rsidR="006B31AD">
        <w:t xml:space="preserve">s </w:t>
      </w:r>
      <w:r w:rsidR="007E218F">
        <w:t xml:space="preserve">technical </w:t>
      </w:r>
      <w:r w:rsidR="006B31AD">
        <w:t>life but we do no</w:t>
      </w:r>
      <w:r w:rsidR="001905F9">
        <w:t>t</w:t>
      </w:r>
      <w:r w:rsidR="00D9285C">
        <w:t xml:space="preserve"> generally</w:t>
      </w:r>
      <w:r w:rsidR="006B31AD">
        <w:t xml:space="preserve"> try to smooth out these fluctuations</w:t>
      </w:r>
      <w:r w:rsidR="00A94E60">
        <w:t xml:space="preserve"> through the depreciation approach</w:t>
      </w:r>
      <w:r w:rsidR="006B31AD">
        <w:t>.</w:t>
      </w:r>
      <w:r w:rsidR="0024253E">
        <w:rPr>
          <w:rStyle w:val="FootnoteReference"/>
        </w:rPr>
        <w:footnoteReference w:id="20"/>
      </w:r>
      <w:r w:rsidR="006B31AD">
        <w:t xml:space="preserve"> </w:t>
      </w:r>
      <w:r w:rsidR="003B5200">
        <w:t>We consider t</w:t>
      </w:r>
      <w:r w:rsidR="006B31AD">
        <w:t>he administrative costs</w:t>
      </w:r>
      <w:r w:rsidR="003B5200">
        <w:t xml:space="preserve">, </w:t>
      </w:r>
      <w:r w:rsidR="006B31AD">
        <w:t xml:space="preserve">analysis complexity </w:t>
      </w:r>
      <w:r w:rsidR="003B5200">
        <w:t xml:space="preserve">and imprecision in forecasting are </w:t>
      </w:r>
      <w:r w:rsidR="005458EE">
        <w:t>too great</w:t>
      </w:r>
      <w:r w:rsidR="003B5200">
        <w:t xml:space="preserve"> to support such an approach</w:t>
      </w:r>
      <w:r w:rsidR="006B31AD">
        <w:t>.</w:t>
      </w:r>
      <w:r w:rsidR="00A664E6">
        <w:t xml:space="preserve"> </w:t>
      </w:r>
      <w:r w:rsidR="007359AE">
        <w:t>D</w:t>
      </w:r>
      <w:r w:rsidR="00A664E6">
        <w:t xml:space="preserve">emand factors </w:t>
      </w:r>
      <w:r w:rsidR="007359AE">
        <w:t xml:space="preserve">therefore </w:t>
      </w:r>
      <w:r w:rsidR="00A664E6">
        <w:t xml:space="preserve">typically </w:t>
      </w:r>
      <w:r w:rsidR="00EC28C6">
        <w:t>'</w:t>
      </w:r>
      <w:r w:rsidR="00AF2413">
        <w:t xml:space="preserve">sit </w:t>
      </w:r>
      <w:r w:rsidR="00A664E6">
        <w:t>in the background</w:t>
      </w:r>
      <w:r w:rsidR="00EC28C6">
        <w:t>'</w:t>
      </w:r>
      <w:r w:rsidR="00A664E6">
        <w:t xml:space="preserve"> in determining the economic lives of assets, with supp</w:t>
      </w:r>
      <w:r w:rsidR="007359AE">
        <w:t xml:space="preserve">ly factors dominating the </w:t>
      </w:r>
      <w:r w:rsidR="00EC28C6">
        <w:t xml:space="preserve">consideration of the </w:t>
      </w:r>
      <w:r w:rsidR="007359AE">
        <w:t>asset</w:t>
      </w:r>
      <w:r w:rsidR="00A664E6">
        <w:t>s</w:t>
      </w:r>
      <w:r w:rsidR="007359AE">
        <w:t>' remaining economic lives</w:t>
      </w:r>
      <w:r w:rsidR="00A664E6">
        <w:t xml:space="preserve">. </w:t>
      </w:r>
      <w:r w:rsidR="007359AE">
        <w:t>A</w:t>
      </w:r>
      <w:r w:rsidR="00A664E6">
        <w:t>ssets are typically built to meet a particular level of demand. This demand is presume</w:t>
      </w:r>
      <w:r w:rsidR="00A8428C">
        <w:t>d</w:t>
      </w:r>
      <w:r w:rsidR="00A664E6">
        <w:t xml:space="preserve"> to persist over </w:t>
      </w:r>
      <w:r w:rsidR="007359AE">
        <w:t>an</w:t>
      </w:r>
      <w:r w:rsidR="00A664E6">
        <w:t xml:space="preserve"> asset's technical life even if demand fluctuates (or build</w:t>
      </w:r>
      <w:r w:rsidR="007359AE">
        <w:t>s</w:t>
      </w:r>
      <w:r w:rsidR="00A664E6">
        <w:t xml:space="preserve"> up to capacity) over time.</w:t>
      </w:r>
      <w:r w:rsidR="00863F61">
        <w:rPr>
          <w:rStyle w:val="FootnoteReference"/>
        </w:rPr>
        <w:footnoteReference w:id="21"/>
      </w:r>
      <w:r w:rsidR="00A664E6">
        <w:t xml:space="preserve"> </w:t>
      </w:r>
    </w:p>
    <w:p w:rsidR="001B5ACF" w:rsidRDefault="00101973" w:rsidP="00F850F4">
      <w:r>
        <w:t>Nonetheless</w:t>
      </w:r>
      <w:r w:rsidR="008C2E79">
        <w:t>,</w:t>
      </w:r>
      <w:r>
        <w:t xml:space="preserve"> we have approved accelerated depreciation for assets where a judgement of future use can be reasonably formed. </w:t>
      </w:r>
      <w:r w:rsidR="00C52BFB">
        <w:t xml:space="preserve">There </w:t>
      </w:r>
      <w:r>
        <w:t>are</w:t>
      </w:r>
      <w:r w:rsidR="00C52BFB">
        <w:t xml:space="preserve"> specific</w:t>
      </w:r>
      <w:r w:rsidR="005458EE">
        <w:t xml:space="preserve"> </w:t>
      </w:r>
      <w:r w:rsidR="00FB0AD1">
        <w:t xml:space="preserve">situations where it is </w:t>
      </w:r>
      <w:r w:rsidR="006B31AD">
        <w:t>reasonably certain that assets will no longer be used bef</w:t>
      </w:r>
      <w:r w:rsidR="001B5ACF">
        <w:t xml:space="preserve">ore their technical </w:t>
      </w:r>
      <w:r w:rsidR="00C52BFB">
        <w:t>lives expire</w:t>
      </w:r>
      <w:r w:rsidR="00FB0AD1">
        <w:t>. Such situations c</w:t>
      </w:r>
      <w:r w:rsidR="007E218F">
        <w:t>ould include</w:t>
      </w:r>
      <w:r w:rsidR="00EC28C6">
        <w:t>:</w:t>
      </w:r>
      <w:r w:rsidR="007E218F">
        <w:t xml:space="preserve"> where replacement of the assets has already been approved </w:t>
      </w:r>
      <w:r w:rsidR="00FB0AD1">
        <w:t>over the next regulatory control period</w:t>
      </w:r>
      <w:r w:rsidR="00EC28C6">
        <w:t>,</w:t>
      </w:r>
      <w:r w:rsidR="003459DC">
        <w:rPr>
          <w:rStyle w:val="FootnoteReference"/>
        </w:rPr>
        <w:footnoteReference w:id="22"/>
      </w:r>
      <w:r w:rsidR="007E218F">
        <w:t xml:space="preserve"> or the assets are already no longer being used</w:t>
      </w:r>
      <w:r w:rsidR="00C52BFB">
        <w:t xml:space="preserve"> (and the prospect of an alternative customer using the assets is low)</w:t>
      </w:r>
      <w:r w:rsidR="007E218F">
        <w:t>.</w:t>
      </w:r>
      <w:r>
        <w:t xml:space="preserve"> </w:t>
      </w:r>
      <w:r w:rsidR="00863F61">
        <w:t>In such circumstances it is consistent with the NER that an asset's remaining economic life be changed to reflect these demand considerations.</w:t>
      </w:r>
      <w:r w:rsidR="00863F61" w:rsidRPr="0024253E">
        <w:t xml:space="preserve"> </w:t>
      </w:r>
      <w:r>
        <w:t xml:space="preserve">We have also allowed for </w:t>
      </w:r>
      <w:r w:rsidR="006D146A">
        <w:t xml:space="preserve">accelerated depreciation on </w:t>
      </w:r>
      <w:r>
        <w:t xml:space="preserve">assets that are likely to become unused over </w:t>
      </w:r>
      <w:r w:rsidR="007809E7">
        <w:t>the</w:t>
      </w:r>
      <w:r>
        <w:t xml:space="preserve"> next regulatory control period.</w:t>
      </w:r>
      <w:r w:rsidR="00163834">
        <w:t xml:space="preserve"> </w:t>
      </w:r>
      <w:r w:rsidR="00863F61">
        <w:t>We have no firm view on how far into</w:t>
      </w:r>
      <w:r w:rsidR="00937975">
        <w:t xml:space="preserve"> </w:t>
      </w:r>
      <w:r w:rsidR="00863F61">
        <w:t xml:space="preserve">the future such assessments could occur. However, we note that the more </w:t>
      </w:r>
      <w:r w:rsidR="008712A6">
        <w:t xml:space="preserve">immediate </w:t>
      </w:r>
      <w:r w:rsidR="00863F61" w:rsidRPr="00163834">
        <w:t xml:space="preserve">the timeframe </w:t>
      </w:r>
      <w:r w:rsidR="00863F61" w:rsidRPr="00163834">
        <w:lastRenderedPageBreak/>
        <w:t xml:space="preserve">for </w:t>
      </w:r>
      <w:r w:rsidR="00863F61">
        <w:t xml:space="preserve">such </w:t>
      </w:r>
      <w:r w:rsidR="00863F61" w:rsidRPr="00163834">
        <w:t>assessment</w:t>
      </w:r>
      <w:r w:rsidR="00863F61">
        <w:t xml:space="preserve">s, the more confidence we can have in the expected </w:t>
      </w:r>
      <w:r w:rsidR="00863F61" w:rsidRPr="00163834">
        <w:t xml:space="preserve">outcomes of any change </w:t>
      </w:r>
      <w:r w:rsidR="00EC28C6">
        <w:t>t</w:t>
      </w:r>
      <w:r w:rsidR="00863F61" w:rsidRPr="00163834">
        <w:t xml:space="preserve">o </w:t>
      </w:r>
      <w:r w:rsidR="003E137E">
        <w:t xml:space="preserve">the </w:t>
      </w:r>
      <w:r w:rsidR="00863F61">
        <w:t>asset</w:t>
      </w:r>
      <w:r w:rsidR="003E137E">
        <w:t xml:space="preserve">'s </w:t>
      </w:r>
      <w:r w:rsidR="00D06059">
        <w:t xml:space="preserve">economic </w:t>
      </w:r>
      <w:r w:rsidR="00863F61">
        <w:t>life</w:t>
      </w:r>
      <w:r w:rsidR="00863F61" w:rsidRPr="00163834">
        <w:t>.</w:t>
      </w:r>
      <w:r w:rsidR="004E4190">
        <w:rPr>
          <w:rStyle w:val="FootnoteReference"/>
        </w:rPr>
        <w:footnoteReference w:id="23"/>
      </w:r>
    </w:p>
    <w:p w:rsidR="00B1393D" w:rsidRDefault="00B1393D" w:rsidP="00B1393D">
      <w:pPr>
        <w:pStyle w:val="Heading4"/>
      </w:pPr>
      <w:r>
        <w:t>Inventory depreciation adjustment</w:t>
      </w:r>
    </w:p>
    <w:p w:rsidR="00B1393D" w:rsidRDefault="00B1393D" w:rsidP="00F850F4">
      <w:r>
        <w:t>AusNet Services' revised proposal included an adjustment to return the value of depreciation it had incorrectly recovered due to an issue with the historical allocation of its as-commissioned inventory movements (see attachment 2).</w:t>
      </w:r>
      <w:r>
        <w:rPr>
          <w:rStyle w:val="FootnoteReference"/>
        </w:rPr>
        <w:footnoteReference w:id="24"/>
      </w:r>
      <w:r>
        <w:t xml:space="preserve"> The proposed adjustment is made through a new asset class in the PTRM with a negative asset value (–$1.7 million) and assigning a one year remaining asset life.</w:t>
      </w:r>
      <w:r>
        <w:rPr>
          <w:rStyle w:val="FootnoteReference"/>
        </w:rPr>
        <w:footnoteReference w:id="25"/>
      </w:r>
      <w:r>
        <w:t xml:space="preserve"> This</w:t>
      </w:r>
      <w:r w:rsidR="00453DDF">
        <w:t xml:space="preserve"> approach</w:t>
      </w:r>
      <w:r>
        <w:t xml:space="preserve"> </w:t>
      </w:r>
      <w:r w:rsidR="00453DDF">
        <w:t xml:space="preserve">returns the value of </w:t>
      </w:r>
      <w:r>
        <w:t>depreciation that should not have been recov</w:t>
      </w:r>
      <w:r w:rsidR="00453DDF">
        <w:t xml:space="preserve">ered back into the RAB, leading to </w:t>
      </w:r>
      <w:r>
        <w:t>a lower depreciation allowance than otherwise. We have reviewed AusNet Services’ proposed approach and the calculations underlying the proposed values. We agree with the calculations, and consider it a reasonable approach to correct the error identified.</w:t>
      </w:r>
    </w:p>
    <w:p w:rsidR="00C0394A" w:rsidRPr="00E44457" w:rsidRDefault="00C0394A" w:rsidP="00E44457">
      <w:pPr>
        <w:pStyle w:val="Heading3"/>
        <w:rPr>
          <w:rStyle w:val="AERbody"/>
          <w:iCs/>
          <w:color w:val="70635A" w:themeColor="text2"/>
          <w:sz w:val="28"/>
        </w:rPr>
      </w:pPr>
      <w:bookmarkStart w:id="23" w:name="_Toc480809289"/>
      <w:r w:rsidRPr="00E44457">
        <w:rPr>
          <w:rStyle w:val="AERbody"/>
          <w:color w:val="70635A" w:themeColor="text2"/>
          <w:sz w:val="28"/>
        </w:rPr>
        <w:t>D</w:t>
      </w:r>
      <w:r w:rsidR="00F93231" w:rsidRPr="00A43FF5">
        <w:rPr>
          <w:rStyle w:val="AERbody"/>
          <w:color w:val="70635A" w:themeColor="text2"/>
          <w:sz w:val="28"/>
        </w:rPr>
        <w:t>iminishing</w:t>
      </w:r>
      <w:r w:rsidRPr="00E44457">
        <w:rPr>
          <w:rStyle w:val="AERbody"/>
          <w:color w:val="70635A" w:themeColor="text2"/>
          <w:sz w:val="28"/>
        </w:rPr>
        <w:t xml:space="preserve"> </w:t>
      </w:r>
      <w:r w:rsidR="00F92C09" w:rsidRPr="00E44457">
        <w:rPr>
          <w:rStyle w:val="AERbody"/>
          <w:color w:val="70635A" w:themeColor="text2"/>
          <w:sz w:val="28"/>
        </w:rPr>
        <w:t xml:space="preserve">value </w:t>
      </w:r>
      <w:r w:rsidR="00F93231" w:rsidRPr="00A43FF5">
        <w:rPr>
          <w:rStyle w:val="AERbody"/>
          <w:color w:val="70635A" w:themeColor="text2"/>
          <w:sz w:val="28"/>
        </w:rPr>
        <w:t>method</w:t>
      </w:r>
      <w:bookmarkEnd w:id="23"/>
    </w:p>
    <w:p w:rsidR="00F92C09" w:rsidRDefault="00F92C09" w:rsidP="00540418">
      <w:r w:rsidRPr="00F92C09">
        <w:rPr>
          <w:rStyle w:val="AERbody"/>
        </w:rPr>
        <w:t>AusNet Services</w:t>
      </w:r>
      <w:r w:rsidR="00E64F7F">
        <w:rPr>
          <w:rStyle w:val="AERbody"/>
        </w:rPr>
        <w:t xml:space="preserve"> </w:t>
      </w:r>
      <w:r w:rsidR="005E62BA">
        <w:rPr>
          <w:rStyle w:val="AERbody"/>
        </w:rPr>
        <w:t>initial</w:t>
      </w:r>
      <w:r w:rsidR="00E64F7F">
        <w:rPr>
          <w:rStyle w:val="AERbody"/>
        </w:rPr>
        <w:t>ly</w:t>
      </w:r>
      <w:r w:rsidRPr="00F92C09">
        <w:rPr>
          <w:rStyle w:val="AERbody"/>
        </w:rPr>
        <w:t xml:space="preserve"> proposed</w:t>
      </w:r>
      <w:r w:rsidR="000D53ED">
        <w:rPr>
          <w:rStyle w:val="AERbody"/>
        </w:rPr>
        <w:t xml:space="preserve"> to use </w:t>
      </w:r>
      <w:r w:rsidR="00E26679">
        <w:rPr>
          <w:rStyle w:val="AERbody"/>
        </w:rPr>
        <w:t>the</w:t>
      </w:r>
      <w:r w:rsidR="000D53ED">
        <w:rPr>
          <w:rStyle w:val="AERbody"/>
        </w:rPr>
        <w:t xml:space="preserve"> DV</w:t>
      </w:r>
      <w:r>
        <w:rPr>
          <w:rStyle w:val="AERbody"/>
        </w:rPr>
        <w:t xml:space="preserve"> </w:t>
      </w:r>
      <w:r w:rsidR="000D53ED">
        <w:rPr>
          <w:rStyle w:val="AERbody"/>
        </w:rPr>
        <w:t>method</w:t>
      </w:r>
      <w:r>
        <w:rPr>
          <w:rStyle w:val="AERbody"/>
        </w:rPr>
        <w:t xml:space="preserve"> to determining depreciation for new assets. It proposed that the straight-line depreciation </w:t>
      </w:r>
      <w:r w:rsidR="00E26679">
        <w:rPr>
          <w:rStyle w:val="AERbody"/>
        </w:rPr>
        <w:t xml:space="preserve">method </w:t>
      </w:r>
      <w:r>
        <w:rPr>
          <w:rStyle w:val="AERbody"/>
        </w:rPr>
        <w:t>be retained for existing assets.</w:t>
      </w:r>
      <w:r w:rsidR="00E64F7F">
        <w:rPr>
          <w:rStyle w:val="AERbody"/>
        </w:rPr>
        <w:t xml:space="preserve"> I</w:t>
      </w:r>
      <w:r w:rsidR="00295E34">
        <w:rPr>
          <w:rStyle w:val="AERbody"/>
        </w:rPr>
        <w:t xml:space="preserve">n its revised proposal AusNet Services proposed using </w:t>
      </w:r>
      <w:r w:rsidR="008261BD">
        <w:rPr>
          <w:rStyle w:val="AERbody"/>
        </w:rPr>
        <w:t>straight-line</w:t>
      </w:r>
      <w:r w:rsidR="00295E34">
        <w:rPr>
          <w:rStyle w:val="AERbody"/>
        </w:rPr>
        <w:t xml:space="preserve"> depreciation for all assets. We accept this proposal that is consistent with our draft decision.</w:t>
      </w:r>
    </w:p>
    <w:p w:rsidR="00E64F7F" w:rsidRDefault="00295E34" w:rsidP="00E64F7F">
      <w:r>
        <w:t>Despite a</w:t>
      </w:r>
      <w:r w:rsidR="008261BD">
        <w:t>dopting</w:t>
      </w:r>
      <w:r>
        <w:t xml:space="preserve"> the AER's draft decision on this matter, AusNet Services still raised some concerns with </w:t>
      </w:r>
      <w:r w:rsidR="008261BD">
        <w:t>our</w:t>
      </w:r>
      <w:r>
        <w:t xml:space="preserve"> position. </w:t>
      </w:r>
      <w:r w:rsidR="00E64F7F" w:rsidRPr="00E64F7F">
        <w:t xml:space="preserve">AusNet Services stated </w:t>
      </w:r>
      <w:r w:rsidR="008261BD">
        <w:t xml:space="preserve">that </w:t>
      </w:r>
      <w:r w:rsidR="00E64F7F" w:rsidRPr="00E64F7F">
        <w:t>the AER had set a high threshold for the evidence it requires before approving accelerated depreciation based on declining future utilisation.</w:t>
      </w:r>
      <w:r>
        <w:rPr>
          <w:rStyle w:val="FootnoteReference"/>
        </w:rPr>
        <w:footnoteReference w:id="26"/>
      </w:r>
      <w:r>
        <w:t xml:space="preserve"> </w:t>
      </w:r>
      <w:r w:rsidR="008261BD">
        <w:t>It</w:t>
      </w:r>
      <w:r w:rsidR="00E64F7F" w:rsidRPr="00E64F7F">
        <w:t xml:space="preserve"> also referred to a piece of research</w:t>
      </w:r>
      <w:r>
        <w:t xml:space="preserve"> published</w:t>
      </w:r>
      <w:r w:rsidR="00E64F7F" w:rsidRPr="00E64F7F">
        <w:t xml:space="preserve"> </w:t>
      </w:r>
      <w:r>
        <w:t xml:space="preserve">in 1992 </w:t>
      </w:r>
      <w:r w:rsidR="00E64F7F" w:rsidRPr="00E64F7F">
        <w:t>that it stated found that regulators are averse to taking early action to potential technology change and that this is inappropriate given the nature and rate of technological change.</w:t>
      </w:r>
      <w:r>
        <w:rPr>
          <w:rStyle w:val="FootnoteReference"/>
        </w:rPr>
        <w:footnoteReference w:id="27"/>
      </w:r>
      <w:r w:rsidR="00F60229" w:rsidRPr="00E31C00">
        <w:rPr>
          <w:rStyle w:val="AERsuperscript"/>
        </w:rPr>
        <w:t>,</w:t>
      </w:r>
      <w:r w:rsidR="00F60229" w:rsidRPr="00F60229">
        <w:rPr>
          <w:rStyle w:val="FootnoteReference"/>
        </w:rPr>
        <w:t xml:space="preserve"> </w:t>
      </w:r>
      <w:r w:rsidR="00F60229">
        <w:rPr>
          <w:rStyle w:val="FootnoteReference"/>
        </w:rPr>
        <w:footnoteReference w:id="28"/>
      </w:r>
      <w:r>
        <w:t xml:space="preserve"> </w:t>
      </w:r>
    </w:p>
    <w:p w:rsidR="00E243A2" w:rsidRDefault="00E64F7F" w:rsidP="00E64F7F">
      <w:r w:rsidRPr="00E64F7F">
        <w:lastRenderedPageBreak/>
        <w:t xml:space="preserve">We disagree that we have </w:t>
      </w:r>
      <w:r w:rsidR="000171D1">
        <w:t>not</w:t>
      </w:r>
      <w:r w:rsidRPr="00E64F7F">
        <w:t xml:space="preserve"> tak</w:t>
      </w:r>
      <w:r w:rsidR="000171D1">
        <w:t>en</w:t>
      </w:r>
      <w:r w:rsidRPr="00E64F7F">
        <w:t xml:space="preserve"> action in the face of expected </w:t>
      </w:r>
      <w:r w:rsidR="0099052E">
        <w:t>changes in utilisation</w:t>
      </w:r>
      <w:r w:rsidRPr="00E64F7F">
        <w:t>. In the draft decision</w:t>
      </w:r>
      <w:r w:rsidR="00295E34">
        <w:t>,</w:t>
      </w:r>
      <w:r w:rsidRPr="00E64F7F">
        <w:t xml:space="preserve"> we approved the accelerated depreciation of certain assets that were no longer expected to be used in the </w:t>
      </w:r>
      <w:r w:rsidR="00816AD7">
        <w:t>2017–22</w:t>
      </w:r>
      <w:r w:rsidR="00816AD7" w:rsidRPr="00E64F7F">
        <w:t xml:space="preserve"> </w:t>
      </w:r>
      <w:r w:rsidRPr="00E64F7F">
        <w:t xml:space="preserve">regulatory control period. </w:t>
      </w:r>
      <w:r w:rsidR="00295E34">
        <w:t xml:space="preserve">This </w:t>
      </w:r>
      <w:r w:rsidR="00816AD7">
        <w:t xml:space="preserve">approach </w:t>
      </w:r>
      <w:r w:rsidR="00295E34" w:rsidRPr="00E64F7F">
        <w:t>pre-empt</w:t>
      </w:r>
      <w:r w:rsidR="00684865">
        <w:t>s</w:t>
      </w:r>
      <w:r w:rsidR="00295E34" w:rsidRPr="00E64F7F">
        <w:t xml:space="preserve"> t</w:t>
      </w:r>
      <w:r w:rsidR="003D33D2">
        <w:t xml:space="preserve">hese </w:t>
      </w:r>
      <w:r w:rsidR="00295E34" w:rsidRPr="00E64F7F">
        <w:t>asset</w:t>
      </w:r>
      <w:r w:rsidR="00295E34">
        <w:t>s</w:t>
      </w:r>
      <w:r w:rsidR="00295E34" w:rsidRPr="00E64F7F">
        <w:t xml:space="preserve"> no longer being used</w:t>
      </w:r>
      <w:r w:rsidR="00295E34">
        <w:t xml:space="preserve">. </w:t>
      </w:r>
    </w:p>
    <w:p w:rsidR="00E64F7F" w:rsidRPr="00E64F7F" w:rsidRDefault="00E44764" w:rsidP="00E64F7F">
      <w:r>
        <w:t xml:space="preserve">However, we </w:t>
      </w:r>
      <w:r w:rsidR="00E64F7F" w:rsidRPr="00E64F7F">
        <w:t xml:space="preserve">do need to be confident in the </w:t>
      </w:r>
      <w:r w:rsidR="00816AD7">
        <w:t>available evidence</w:t>
      </w:r>
      <w:r w:rsidR="00816AD7" w:rsidRPr="00E64F7F">
        <w:t xml:space="preserve"> </w:t>
      </w:r>
      <w:r w:rsidR="00E64F7F" w:rsidRPr="00E64F7F">
        <w:t>upon which we make our decisions</w:t>
      </w:r>
      <w:r w:rsidR="0099052E" w:rsidRPr="0099052E">
        <w:t xml:space="preserve"> </w:t>
      </w:r>
      <w:r w:rsidR="0099052E">
        <w:t>and that</w:t>
      </w:r>
      <w:r w:rsidR="000171D1">
        <w:t xml:space="preserve"> the</w:t>
      </w:r>
      <w:r w:rsidR="0099052E">
        <w:t xml:space="preserve"> </w:t>
      </w:r>
      <w:r w:rsidR="00816AD7">
        <w:t>evidence</w:t>
      </w:r>
      <w:r w:rsidR="0099052E">
        <w:t xml:space="preserve"> has been interpreted</w:t>
      </w:r>
      <w:r w:rsidR="0099052E" w:rsidRPr="00E64F7F">
        <w:t xml:space="preserve"> appropriate</w:t>
      </w:r>
      <w:r w:rsidR="0099052E">
        <w:t>ly</w:t>
      </w:r>
      <w:r w:rsidR="00E64F7F" w:rsidRPr="00E64F7F">
        <w:t>. AusNet Services</w:t>
      </w:r>
      <w:r w:rsidR="000171D1">
        <w:t>'</w:t>
      </w:r>
      <w:r w:rsidR="00E64F7F" w:rsidRPr="00E64F7F">
        <w:t xml:space="preserve"> </w:t>
      </w:r>
      <w:r w:rsidR="000171D1">
        <w:t xml:space="preserve">initial </w:t>
      </w:r>
      <w:r w:rsidR="00E64F7F" w:rsidRPr="00E64F7F">
        <w:t xml:space="preserve">proposal offered little supporting evidence of </w:t>
      </w:r>
      <w:r w:rsidR="00684865">
        <w:t>expected</w:t>
      </w:r>
      <w:r w:rsidR="00E64F7F" w:rsidRPr="00E64F7F">
        <w:t xml:space="preserve"> broad based, significant and sustained decline</w:t>
      </w:r>
      <w:r w:rsidR="00684865">
        <w:t>s</w:t>
      </w:r>
      <w:r w:rsidR="00E64F7F" w:rsidRPr="00E64F7F">
        <w:t xml:space="preserve"> in </w:t>
      </w:r>
      <w:r w:rsidR="006D146A" w:rsidRPr="00E64F7F">
        <w:t>utilisation</w:t>
      </w:r>
      <w:r w:rsidR="00E64F7F" w:rsidRPr="00E64F7F">
        <w:t xml:space="preserve"> </w:t>
      </w:r>
      <w:r w:rsidR="0099052E">
        <w:t>of</w:t>
      </w:r>
      <w:r w:rsidR="00E64F7F" w:rsidRPr="00E64F7F">
        <w:t xml:space="preserve"> its network</w:t>
      </w:r>
      <w:r w:rsidR="00B1393D">
        <w:t>, a</w:t>
      </w:r>
      <w:r w:rsidR="00E64F7F" w:rsidRPr="00E64F7F">
        <w:t xml:space="preserve">n expectation upon which its </w:t>
      </w:r>
      <w:r w:rsidR="0099052E">
        <w:t>DV method</w:t>
      </w:r>
      <w:r w:rsidR="00E64F7F" w:rsidRPr="00E64F7F">
        <w:t xml:space="preserve"> was predicated. In terms of the AEMO </w:t>
      </w:r>
      <w:r w:rsidR="00816AD7">
        <w:t>material</w:t>
      </w:r>
      <w:r w:rsidR="00816AD7" w:rsidRPr="00E64F7F">
        <w:t xml:space="preserve"> </w:t>
      </w:r>
      <w:r w:rsidR="0099052E">
        <w:t xml:space="preserve">referred to in the </w:t>
      </w:r>
      <w:r w:rsidR="005E62BA">
        <w:t>initial</w:t>
      </w:r>
      <w:r w:rsidR="0099052E">
        <w:t xml:space="preserve"> proposal,</w:t>
      </w:r>
      <w:r w:rsidR="00E64F7F" w:rsidRPr="00E64F7F">
        <w:t xml:space="preserve"> the explanation offered by AusNet S</w:t>
      </w:r>
      <w:r w:rsidR="0099052E">
        <w:t>ervices was contradictory to that</w:t>
      </w:r>
      <w:r w:rsidR="00E64F7F" w:rsidRPr="00E64F7F">
        <w:t xml:space="preserve"> data.</w:t>
      </w:r>
      <w:r w:rsidR="0099052E">
        <w:rPr>
          <w:rStyle w:val="FootnoteReference"/>
        </w:rPr>
        <w:footnoteReference w:id="29"/>
      </w:r>
      <w:r w:rsidR="00E64F7F" w:rsidRPr="00E64F7F">
        <w:t xml:space="preserve"> We also explained in the draft decision that changing the depreciation approach affects many more aspects of the regulatory regime than a targeted approach (</w:t>
      </w:r>
      <w:r w:rsidR="00816AD7">
        <w:t>c</w:t>
      </w:r>
      <w:r w:rsidR="00E64F7F" w:rsidRPr="00E64F7F">
        <w:t xml:space="preserve">hanging the depreciation approach </w:t>
      </w:r>
      <w:r w:rsidR="00816AD7">
        <w:t xml:space="preserve">in the manner proposed by AusNet Services </w:t>
      </w:r>
      <w:r w:rsidR="00E64F7F" w:rsidRPr="00E64F7F">
        <w:t>was therefore described as a blunt instrument in the draft decision).</w:t>
      </w:r>
      <w:r w:rsidR="007E0251">
        <w:rPr>
          <w:rStyle w:val="FootnoteReference"/>
        </w:rPr>
        <w:footnoteReference w:id="30"/>
      </w:r>
      <w:r w:rsidR="00E64F7F" w:rsidRPr="00E64F7F">
        <w:t xml:space="preserve"> The unintended consequences of using such a blunt instrument </w:t>
      </w:r>
      <w:r w:rsidR="00816AD7">
        <w:t xml:space="preserve">to deal with particular issues </w:t>
      </w:r>
      <w:r w:rsidR="00E64F7F" w:rsidRPr="00E64F7F">
        <w:t xml:space="preserve">can be significant. A higher level of caution is therefore warranted in using such approaches to achieve specific outcomes. </w:t>
      </w:r>
      <w:r w:rsidR="0099052E">
        <w:t>W</w:t>
      </w:r>
      <w:r w:rsidR="00E64F7F" w:rsidRPr="00E64F7F">
        <w:t>e agree with AusNet Services’ revised proposal that the Victorian transmission network will remain relevant long into the future.</w:t>
      </w:r>
      <w:r w:rsidR="0099052E">
        <w:rPr>
          <w:rStyle w:val="FootnoteReference"/>
        </w:rPr>
        <w:footnoteReference w:id="31"/>
      </w:r>
      <w:r w:rsidR="00E64F7F" w:rsidRPr="00E64F7F">
        <w:t xml:space="preserve"> </w:t>
      </w:r>
      <w:r w:rsidR="002F6922">
        <w:t xml:space="preserve">A recent AEMO report highlighted </w:t>
      </w:r>
      <w:r w:rsidR="002F6922" w:rsidRPr="002F6922">
        <w:t>the prospect of gas fired generation relocating to the Latrobe valley and the possibility of industrial sized battery storage in that area</w:t>
      </w:r>
      <w:r w:rsidR="002F6922">
        <w:t xml:space="preserve"> too, to take advantage of any excess transmission capacity.</w:t>
      </w:r>
      <w:r w:rsidR="002F6922">
        <w:rPr>
          <w:rStyle w:val="FootnoteReference"/>
        </w:rPr>
        <w:footnoteReference w:id="32"/>
      </w:r>
      <w:r w:rsidR="002F6922">
        <w:t xml:space="preserve"> </w:t>
      </w:r>
      <w:r w:rsidR="00E64F7F" w:rsidRPr="00E64F7F">
        <w:t>We consider new technologies offer both challenges and opportunities to network</w:t>
      </w:r>
      <w:r w:rsidR="0099052E">
        <w:t xml:space="preserve"> service</w:t>
      </w:r>
      <w:r w:rsidR="00E64F7F" w:rsidRPr="00E64F7F">
        <w:t xml:space="preserve"> providers</w:t>
      </w:r>
      <w:r w:rsidR="0099052E">
        <w:t xml:space="preserve"> and should not be assumed to cause broad based declining utilisation of networks</w:t>
      </w:r>
      <w:r w:rsidR="003D33D2">
        <w:t xml:space="preserve"> into the future</w:t>
      </w:r>
      <w:r w:rsidR="00E64F7F" w:rsidRPr="00E64F7F">
        <w:t>.</w:t>
      </w:r>
    </w:p>
    <w:p w:rsidR="00E64F7F" w:rsidRDefault="00E64F7F" w:rsidP="00E64F7F">
      <w:r w:rsidRPr="00E64F7F">
        <w:t xml:space="preserve">The CCP stated it was </w:t>
      </w:r>
      <w:r w:rsidR="00816AD7">
        <w:t>'</w:t>
      </w:r>
      <w:r w:rsidRPr="00E64F7F">
        <w:t>pleased</w:t>
      </w:r>
      <w:r w:rsidR="00816AD7">
        <w:t>' that</w:t>
      </w:r>
      <w:r w:rsidRPr="00E64F7F">
        <w:t xml:space="preserve"> AusNet Services had changed its proposal and abandoned the diminishing value method.</w:t>
      </w:r>
      <w:r w:rsidR="0099052E">
        <w:rPr>
          <w:rStyle w:val="FootnoteReference"/>
        </w:rPr>
        <w:footnoteReference w:id="33"/>
      </w:r>
      <w:r w:rsidRPr="00E64F7F">
        <w:t xml:space="preserve"> It reiterated its concerns regarding AusNet Services</w:t>
      </w:r>
      <w:r w:rsidR="00816AD7">
        <w:t>'</w:t>
      </w:r>
      <w:r w:rsidRPr="00E64F7F">
        <w:t xml:space="preserve"> </w:t>
      </w:r>
      <w:r w:rsidR="005E62BA">
        <w:t>initial</w:t>
      </w:r>
      <w:r w:rsidRPr="00E64F7F">
        <w:t xml:space="preserve"> proposal regarding the expected impacts of </w:t>
      </w:r>
      <w:r w:rsidR="00931A51">
        <w:t>new</w:t>
      </w:r>
      <w:r w:rsidRPr="00E64F7F">
        <w:t xml:space="preserve"> technologies. It also stated that using intergenerational equity as a reason for accelerated depreciation did not </w:t>
      </w:r>
      <w:r w:rsidR="00816AD7">
        <w:t>'</w:t>
      </w:r>
      <w:r w:rsidRPr="00E64F7F">
        <w:t>sit well with many advocates</w:t>
      </w:r>
      <w:r w:rsidR="00816AD7">
        <w:t>'</w:t>
      </w:r>
      <w:r w:rsidRPr="00E64F7F">
        <w:t>.</w:t>
      </w:r>
    </w:p>
    <w:p w:rsidR="00E64F7F" w:rsidRPr="00033260" w:rsidRDefault="00033260" w:rsidP="00E31C00">
      <w:pPr>
        <w:pStyle w:val="Heading3"/>
        <w:rPr>
          <w:rStyle w:val="AERbody"/>
          <w:color w:val="70635A" w:themeColor="text2"/>
          <w:sz w:val="28"/>
        </w:rPr>
      </w:pPr>
      <w:bookmarkStart w:id="24" w:name="_Toc480809290"/>
      <w:r w:rsidRPr="00033260">
        <w:rPr>
          <w:rStyle w:val="AERbody"/>
          <w:color w:val="70635A" w:themeColor="text2"/>
          <w:sz w:val="28"/>
        </w:rPr>
        <w:t>Standard asset lives</w:t>
      </w:r>
      <w:bookmarkEnd w:id="24"/>
    </w:p>
    <w:p w:rsidR="00F92C09" w:rsidRDefault="00033260" w:rsidP="00540418">
      <w:pPr>
        <w:rPr>
          <w:rStyle w:val="AERbody"/>
        </w:rPr>
      </w:pPr>
      <w:r w:rsidRPr="00033260">
        <w:rPr>
          <w:rStyle w:val="AERbody"/>
        </w:rPr>
        <w:t xml:space="preserve">Consistent with our draft decision, we accept </w:t>
      </w:r>
      <w:r>
        <w:rPr>
          <w:rStyle w:val="AERbody"/>
        </w:rPr>
        <w:t>AusNet Services'</w:t>
      </w:r>
      <w:r w:rsidRPr="00033260">
        <w:rPr>
          <w:rStyle w:val="AERbody"/>
        </w:rPr>
        <w:t xml:space="preserve"> proposed standard asset lives</w:t>
      </w:r>
      <w:r w:rsidR="00272161">
        <w:rPr>
          <w:rStyle w:val="AERbody"/>
        </w:rPr>
        <w:t xml:space="preserve"> for </w:t>
      </w:r>
      <w:r w:rsidR="00272161" w:rsidRPr="00272161">
        <w:rPr>
          <w:rStyle w:val="AERbody"/>
        </w:rPr>
        <w:t>its existing asset classes because they are:</w:t>
      </w:r>
    </w:p>
    <w:p w:rsidR="00272161" w:rsidRDefault="00272161" w:rsidP="00E31C00">
      <w:pPr>
        <w:pStyle w:val="AERbulletlistfirststyle"/>
        <w:rPr>
          <w:rStyle w:val="AERbody"/>
          <w:rFonts w:eastAsiaTheme="majorEastAsia" w:cstheme="majorBidi"/>
          <w:b/>
          <w:bCs/>
        </w:rPr>
      </w:pPr>
      <w:r w:rsidRPr="00272161">
        <w:rPr>
          <w:rStyle w:val="AERbody"/>
        </w:rPr>
        <w:t>consistent with the approved standard asset lives in the determination for AusNet Services' 2014–17 regulatory control period</w:t>
      </w:r>
    </w:p>
    <w:p w:rsidR="00272161" w:rsidRPr="004C69CA" w:rsidRDefault="00272161" w:rsidP="00E31C00">
      <w:pPr>
        <w:pStyle w:val="AERbulletlistfirststyle"/>
        <w:rPr>
          <w:rStyle w:val="AERbody"/>
          <w:rFonts w:eastAsiaTheme="majorEastAsia" w:cstheme="majorBidi"/>
          <w:b/>
          <w:bCs/>
        </w:rPr>
      </w:pPr>
      <w:r w:rsidRPr="00272161">
        <w:rPr>
          <w:rStyle w:val="AERbody"/>
        </w:rPr>
        <w:lastRenderedPageBreak/>
        <w:t>comparable with the standard asset lives approved in our recent transmission determinations for other TNSPs.</w:t>
      </w:r>
      <w:r>
        <w:rPr>
          <w:rStyle w:val="FootnoteReference"/>
        </w:rPr>
        <w:footnoteReference w:id="34"/>
      </w:r>
    </w:p>
    <w:p w:rsidR="00272161" w:rsidRDefault="00272161">
      <w:pPr>
        <w:rPr>
          <w:rStyle w:val="AERbody"/>
        </w:rPr>
      </w:pPr>
      <w:r>
        <w:rPr>
          <w:rStyle w:val="AERbody"/>
        </w:rPr>
        <w:fldChar w:fldCharType="begin"/>
      </w:r>
      <w:r>
        <w:rPr>
          <w:rStyle w:val="AERbody"/>
        </w:rPr>
        <w:instrText xml:space="preserve"> REF _Ref466017855 \h </w:instrText>
      </w:r>
      <w:r>
        <w:rPr>
          <w:rStyle w:val="AERbody"/>
        </w:rPr>
      </w:r>
      <w:r>
        <w:rPr>
          <w:rStyle w:val="AERbody"/>
        </w:rPr>
        <w:fldChar w:fldCharType="separate"/>
      </w:r>
      <w:r w:rsidR="004F5F97" w:rsidRPr="00272161">
        <w:t xml:space="preserve">Table </w:t>
      </w:r>
      <w:r w:rsidR="004F5F97">
        <w:rPr>
          <w:noProof/>
        </w:rPr>
        <w:t>5</w:t>
      </w:r>
      <w:r w:rsidR="004F5F97" w:rsidRPr="00272161">
        <w:t>.</w:t>
      </w:r>
      <w:r w:rsidR="004F5F97">
        <w:rPr>
          <w:noProof/>
        </w:rPr>
        <w:t>3</w:t>
      </w:r>
      <w:r>
        <w:rPr>
          <w:rStyle w:val="AERbody"/>
        </w:rPr>
        <w:fldChar w:fldCharType="end"/>
      </w:r>
      <w:r>
        <w:rPr>
          <w:rStyle w:val="AERbody"/>
        </w:rPr>
        <w:t xml:space="preserve"> </w:t>
      </w:r>
      <w:r w:rsidRPr="00272161">
        <w:rPr>
          <w:rStyle w:val="AERbody"/>
        </w:rPr>
        <w:t xml:space="preserve">sets out our </w:t>
      </w:r>
      <w:r w:rsidR="00B84A1C">
        <w:rPr>
          <w:rStyle w:val="AERbody"/>
        </w:rPr>
        <w:t>final</w:t>
      </w:r>
      <w:r w:rsidRPr="00272161">
        <w:rPr>
          <w:rStyle w:val="AERbody"/>
        </w:rPr>
        <w:t xml:space="preserve"> decision on AusNet Services' standard asset lives for the 2017–22 regulatory control </w:t>
      </w:r>
      <w:proofErr w:type="gramStart"/>
      <w:r w:rsidRPr="00272161">
        <w:rPr>
          <w:rStyle w:val="AERbody"/>
        </w:rPr>
        <w:t>period</w:t>
      </w:r>
      <w:proofErr w:type="gramEnd"/>
      <w:r w:rsidRPr="00272161">
        <w:rPr>
          <w:rStyle w:val="AERbody"/>
        </w:rPr>
        <w:t>.</w:t>
      </w:r>
      <w:r w:rsidR="00B84A1C">
        <w:rPr>
          <w:rStyle w:val="AERbody"/>
        </w:rPr>
        <w:t xml:space="preserve"> </w:t>
      </w:r>
      <w:r w:rsidR="00B84A1C" w:rsidRPr="00C722FA">
        <w:t xml:space="preserve">We are satisfied the proposed standard asset lives </w:t>
      </w:r>
      <w:r w:rsidR="00B84A1C">
        <w:t xml:space="preserve">lead to a depreciation schedule that </w:t>
      </w:r>
      <w:r w:rsidR="00B84A1C" w:rsidRPr="00C722FA">
        <w:t>reflect</w:t>
      </w:r>
      <w:r w:rsidR="00B84A1C">
        <w:t>s</w:t>
      </w:r>
      <w:r w:rsidR="00B84A1C" w:rsidRPr="00C722FA">
        <w:t xml:space="preserve"> the nature of the assets over the economic lives of the asset classes.</w:t>
      </w:r>
      <w:r w:rsidR="00B84A1C">
        <w:rPr>
          <w:rStyle w:val="FootnoteReference"/>
        </w:rPr>
        <w:footnoteReference w:id="35"/>
      </w:r>
    </w:p>
    <w:p w:rsidR="00272161" w:rsidRPr="00272161" w:rsidRDefault="00272161" w:rsidP="00272161">
      <w:pPr>
        <w:pStyle w:val="Caption"/>
        <w:rPr>
          <w:rStyle w:val="AERbody"/>
          <w:color w:val="076A92" w:themeColor="text1"/>
          <w:sz w:val="24"/>
        </w:rPr>
      </w:pPr>
      <w:bookmarkStart w:id="25" w:name="_Ref466017855"/>
      <w:r w:rsidRPr="00272161">
        <w:t xml:space="preserve">Table </w:t>
      </w:r>
      <w:r w:rsidR="00815410">
        <w:fldChar w:fldCharType="begin"/>
      </w:r>
      <w:r w:rsidR="00815410">
        <w:instrText xml:space="preserve"> STYLEREF 1 \s </w:instrText>
      </w:r>
      <w:r w:rsidR="00815410">
        <w:fldChar w:fldCharType="separate"/>
      </w:r>
      <w:r w:rsidR="004F5F97">
        <w:rPr>
          <w:noProof/>
        </w:rPr>
        <w:t>5</w:t>
      </w:r>
      <w:r w:rsidR="00815410">
        <w:rPr>
          <w:noProof/>
        </w:rPr>
        <w:fldChar w:fldCharType="end"/>
      </w:r>
      <w:r w:rsidRPr="00272161">
        <w:t>.</w:t>
      </w:r>
      <w:r w:rsidR="00815410">
        <w:fldChar w:fldCharType="begin"/>
      </w:r>
      <w:r w:rsidR="00815410">
        <w:instrText xml:space="preserve"> SEQ Table \* ARABIC \s 1 </w:instrText>
      </w:r>
      <w:r w:rsidR="00815410">
        <w:fldChar w:fldCharType="separate"/>
      </w:r>
      <w:r w:rsidR="004F5F97">
        <w:rPr>
          <w:noProof/>
        </w:rPr>
        <w:t>3</w:t>
      </w:r>
      <w:r w:rsidR="00815410">
        <w:rPr>
          <w:noProof/>
        </w:rPr>
        <w:fldChar w:fldCharType="end"/>
      </w:r>
      <w:bookmarkEnd w:id="25"/>
      <w:r w:rsidRPr="00272161">
        <w:tab/>
      </w:r>
      <w:r w:rsidRPr="00272161">
        <w:rPr>
          <w:rStyle w:val="AERbody"/>
          <w:color w:val="076A92" w:themeColor="text1"/>
          <w:sz w:val="24"/>
        </w:rPr>
        <w:t>AER's final decision on AusNet Services' standard asset lives (years)</w:t>
      </w:r>
    </w:p>
    <w:tbl>
      <w:tblPr>
        <w:tblStyle w:val="AERtable-numbers"/>
        <w:tblW w:w="0" w:type="auto"/>
        <w:tblLook w:val="04A0" w:firstRow="1" w:lastRow="0" w:firstColumn="1" w:lastColumn="0" w:noHBand="0" w:noVBand="1"/>
      </w:tblPr>
      <w:tblGrid>
        <w:gridCol w:w="4346"/>
        <w:gridCol w:w="4347"/>
      </w:tblGrid>
      <w:tr w:rsidR="00272161" w:rsidRPr="00272161" w:rsidTr="002721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272161" w:rsidRPr="00272161" w:rsidRDefault="00272161" w:rsidP="00272161">
            <w:r w:rsidRPr="00272161">
              <w:t>Asset class</w:t>
            </w:r>
          </w:p>
        </w:tc>
        <w:tc>
          <w:tcPr>
            <w:tcW w:w="4347" w:type="dxa"/>
          </w:tcPr>
          <w:p w:rsidR="00272161" w:rsidRPr="00272161" w:rsidRDefault="00272161" w:rsidP="00272161">
            <w:pPr>
              <w:cnfStyle w:val="100000000000" w:firstRow="1" w:lastRow="0" w:firstColumn="0" w:lastColumn="0" w:oddVBand="0" w:evenVBand="0" w:oddHBand="0" w:evenHBand="0" w:firstRowFirstColumn="0" w:firstRowLastColumn="0" w:lastRowFirstColumn="0" w:lastRowLastColumn="0"/>
            </w:pPr>
            <w:r w:rsidRPr="00272161">
              <w:t>Standard asset life</w:t>
            </w:r>
          </w:p>
        </w:tc>
      </w:tr>
      <w:tr w:rsidR="002F6922" w:rsidRPr="00272161" w:rsidTr="00E31C00">
        <w:tc>
          <w:tcPr>
            <w:cnfStyle w:val="001000000000" w:firstRow="0" w:lastRow="0" w:firstColumn="1" w:lastColumn="0" w:oddVBand="0" w:evenVBand="0" w:oddHBand="0" w:evenHBand="0" w:firstRowFirstColumn="0" w:firstRowLastColumn="0" w:lastRowFirstColumn="0" w:lastRowLastColumn="0"/>
            <w:tcW w:w="4346" w:type="dxa"/>
            <w:vAlign w:val="top"/>
          </w:tcPr>
          <w:p w:rsidR="002F6922" w:rsidRPr="002F6922" w:rsidRDefault="002F6922" w:rsidP="002F6922">
            <w:r w:rsidRPr="002F6922">
              <w:t>Secondary</w:t>
            </w:r>
          </w:p>
        </w:tc>
        <w:tc>
          <w:tcPr>
            <w:tcW w:w="4347" w:type="dxa"/>
            <w:vAlign w:val="top"/>
          </w:tcPr>
          <w:p w:rsidR="002F6922" w:rsidRPr="002F6922" w:rsidRDefault="002F6922" w:rsidP="002F6922">
            <w:pPr>
              <w:cnfStyle w:val="000000000000" w:firstRow="0" w:lastRow="0" w:firstColumn="0" w:lastColumn="0" w:oddVBand="0" w:evenVBand="0" w:oddHBand="0" w:evenHBand="0" w:firstRowFirstColumn="0" w:firstRowLastColumn="0" w:lastRowFirstColumn="0" w:lastRowLastColumn="0"/>
            </w:pPr>
            <w:r w:rsidRPr="002F6922">
              <w:t>15.0</w:t>
            </w:r>
          </w:p>
        </w:tc>
      </w:tr>
      <w:tr w:rsidR="002F6922" w:rsidRPr="00272161" w:rsidTr="00E31C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vAlign w:val="top"/>
          </w:tcPr>
          <w:p w:rsidR="002F6922" w:rsidRPr="002F6922" w:rsidRDefault="002F6922" w:rsidP="002F6922">
            <w:r w:rsidRPr="002F6922">
              <w:t>Switchgear</w:t>
            </w:r>
          </w:p>
        </w:tc>
        <w:tc>
          <w:tcPr>
            <w:tcW w:w="4347" w:type="dxa"/>
            <w:vAlign w:val="top"/>
          </w:tcPr>
          <w:p w:rsidR="002F6922" w:rsidRPr="002F6922" w:rsidRDefault="002F6922" w:rsidP="002F6922">
            <w:pPr>
              <w:cnfStyle w:val="000000010000" w:firstRow="0" w:lastRow="0" w:firstColumn="0" w:lastColumn="0" w:oddVBand="0" w:evenVBand="0" w:oddHBand="0" w:evenHBand="1" w:firstRowFirstColumn="0" w:firstRowLastColumn="0" w:lastRowFirstColumn="0" w:lastRowLastColumn="0"/>
            </w:pPr>
            <w:r w:rsidRPr="002F6922">
              <w:t>45.0</w:t>
            </w:r>
          </w:p>
        </w:tc>
      </w:tr>
      <w:tr w:rsidR="002F6922" w:rsidRPr="00272161" w:rsidTr="00E31C00">
        <w:tc>
          <w:tcPr>
            <w:cnfStyle w:val="001000000000" w:firstRow="0" w:lastRow="0" w:firstColumn="1" w:lastColumn="0" w:oddVBand="0" w:evenVBand="0" w:oddHBand="0" w:evenHBand="0" w:firstRowFirstColumn="0" w:firstRowLastColumn="0" w:lastRowFirstColumn="0" w:lastRowLastColumn="0"/>
            <w:tcW w:w="4346" w:type="dxa"/>
            <w:vAlign w:val="top"/>
          </w:tcPr>
          <w:p w:rsidR="002F6922" w:rsidRPr="002F6922" w:rsidRDefault="002F6922" w:rsidP="002F6922">
            <w:r w:rsidRPr="002F6922">
              <w:t>Transformers</w:t>
            </w:r>
          </w:p>
        </w:tc>
        <w:tc>
          <w:tcPr>
            <w:tcW w:w="4347" w:type="dxa"/>
            <w:vAlign w:val="top"/>
          </w:tcPr>
          <w:p w:rsidR="002F6922" w:rsidRPr="002F6922" w:rsidRDefault="002F6922" w:rsidP="002F6922">
            <w:pPr>
              <w:cnfStyle w:val="000000000000" w:firstRow="0" w:lastRow="0" w:firstColumn="0" w:lastColumn="0" w:oddVBand="0" w:evenVBand="0" w:oddHBand="0" w:evenHBand="0" w:firstRowFirstColumn="0" w:firstRowLastColumn="0" w:lastRowFirstColumn="0" w:lastRowLastColumn="0"/>
            </w:pPr>
            <w:r w:rsidRPr="002F6922">
              <w:t>45.0</w:t>
            </w:r>
          </w:p>
        </w:tc>
      </w:tr>
      <w:tr w:rsidR="002F6922" w:rsidRPr="00272161" w:rsidTr="00E31C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vAlign w:val="top"/>
          </w:tcPr>
          <w:p w:rsidR="002F6922" w:rsidRPr="002F6922" w:rsidRDefault="002F6922" w:rsidP="002F6922">
            <w:r w:rsidRPr="002F6922">
              <w:t>Reactive</w:t>
            </w:r>
          </w:p>
        </w:tc>
        <w:tc>
          <w:tcPr>
            <w:tcW w:w="4347" w:type="dxa"/>
            <w:vAlign w:val="top"/>
          </w:tcPr>
          <w:p w:rsidR="002F6922" w:rsidRPr="002F6922" w:rsidRDefault="002F6922" w:rsidP="002F6922">
            <w:pPr>
              <w:cnfStyle w:val="000000010000" w:firstRow="0" w:lastRow="0" w:firstColumn="0" w:lastColumn="0" w:oddVBand="0" w:evenVBand="0" w:oddHBand="0" w:evenHBand="1" w:firstRowFirstColumn="0" w:firstRowLastColumn="0" w:lastRowFirstColumn="0" w:lastRowLastColumn="0"/>
            </w:pPr>
            <w:r w:rsidRPr="002F6922">
              <w:t>40.0</w:t>
            </w:r>
          </w:p>
        </w:tc>
      </w:tr>
      <w:tr w:rsidR="002F6922" w:rsidRPr="00272161" w:rsidTr="00E31C00">
        <w:tc>
          <w:tcPr>
            <w:cnfStyle w:val="001000000000" w:firstRow="0" w:lastRow="0" w:firstColumn="1" w:lastColumn="0" w:oddVBand="0" w:evenVBand="0" w:oddHBand="0" w:evenHBand="0" w:firstRowFirstColumn="0" w:firstRowLastColumn="0" w:lastRowFirstColumn="0" w:lastRowLastColumn="0"/>
            <w:tcW w:w="4346" w:type="dxa"/>
            <w:vAlign w:val="top"/>
          </w:tcPr>
          <w:p w:rsidR="002F6922" w:rsidRPr="002F6922" w:rsidRDefault="002F6922" w:rsidP="002F6922">
            <w:r w:rsidRPr="002F6922">
              <w:t>Towers and conductor</w:t>
            </w:r>
          </w:p>
        </w:tc>
        <w:tc>
          <w:tcPr>
            <w:tcW w:w="4347" w:type="dxa"/>
            <w:vAlign w:val="top"/>
          </w:tcPr>
          <w:p w:rsidR="002F6922" w:rsidRPr="002F6922" w:rsidRDefault="002F6922" w:rsidP="002F6922">
            <w:pPr>
              <w:cnfStyle w:val="000000000000" w:firstRow="0" w:lastRow="0" w:firstColumn="0" w:lastColumn="0" w:oddVBand="0" w:evenVBand="0" w:oddHBand="0" w:evenHBand="0" w:firstRowFirstColumn="0" w:firstRowLastColumn="0" w:lastRowFirstColumn="0" w:lastRowLastColumn="0"/>
            </w:pPr>
            <w:r w:rsidRPr="002F6922">
              <w:t>60.0</w:t>
            </w:r>
          </w:p>
        </w:tc>
      </w:tr>
      <w:tr w:rsidR="002F6922" w:rsidRPr="00272161" w:rsidTr="00E31C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vAlign w:val="top"/>
          </w:tcPr>
          <w:p w:rsidR="002F6922" w:rsidRPr="002F6922" w:rsidRDefault="002F6922" w:rsidP="002F6922">
            <w:r w:rsidRPr="002F6922">
              <w:t>Establishment</w:t>
            </w:r>
          </w:p>
        </w:tc>
        <w:tc>
          <w:tcPr>
            <w:tcW w:w="4347" w:type="dxa"/>
            <w:vAlign w:val="top"/>
          </w:tcPr>
          <w:p w:rsidR="002F6922" w:rsidRPr="002F6922" w:rsidRDefault="002F6922" w:rsidP="002F6922">
            <w:pPr>
              <w:cnfStyle w:val="000000010000" w:firstRow="0" w:lastRow="0" w:firstColumn="0" w:lastColumn="0" w:oddVBand="0" w:evenVBand="0" w:oddHBand="0" w:evenHBand="1" w:firstRowFirstColumn="0" w:firstRowLastColumn="0" w:lastRowFirstColumn="0" w:lastRowLastColumn="0"/>
            </w:pPr>
            <w:r w:rsidRPr="002F6922">
              <w:t>45.0</w:t>
            </w:r>
          </w:p>
        </w:tc>
      </w:tr>
      <w:tr w:rsidR="002F6922" w:rsidRPr="00272161" w:rsidTr="00E31C00">
        <w:tc>
          <w:tcPr>
            <w:cnfStyle w:val="001000000000" w:firstRow="0" w:lastRow="0" w:firstColumn="1" w:lastColumn="0" w:oddVBand="0" w:evenVBand="0" w:oddHBand="0" w:evenHBand="0" w:firstRowFirstColumn="0" w:firstRowLastColumn="0" w:lastRowFirstColumn="0" w:lastRowLastColumn="0"/>
            <w:tcW w:w="4346" w:type="dxa"/>
            <w:vAlign w:val="top"/>
          </w:tcPr>
          <w:p w:rsidR="002F6922" w:rsidRPr="002F6922" w:rsidRDefault="002F6922" w:rsidP="002F6922">
            <w:r w:rsidRPr="002F6922">
              <w:t>Communications</w:t>
            </w:r>
          </w:p>
        </w:tc>
        <w:tc>
          <w:tcPr>
            <w:tcW w:w="4347" w:type="dxa"/>
            <w:vAlign w:val="top"/>
          </w:tcPr>
          <w:p w:rsidR="002F6922" w:rsidRPr="002F6922" w:rsidRDefault="002F6922" w:rsidP="002F6922">
            <w:pPr>
              <w:cnfStyle w:val="000000000000" w:firstRow="0" w:lastRow="0" w:firstColumn="0" w:lastColumn="0" w:oddVBand="0" w:evenVBand="0" w:oddHBand="0" w:evenHBand="0" w:firstRowFirstColumn="0" w:firstRowLastColumn="0" w:lastRowFirstColumn="0" w:lastRowLastColumn="0"/>
            </w:pPr>
            <w:r w:rsidRPr="002F6922">
              <w:t>15.0</w:t>
            </w:r>
          </w:p>
        </w:tc>
      </w:tr>
      <w:tr w:rsidR="002F6922" w:rsidRPr="00272161" w:rsidTr="00E31C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vAlign w:val="top"/>
          </w:tcPr>
          <w:p w:rsidR="002F6922" w:rsidRPr="002F6922" w:rsidRDefault="002F6922" w:rsidP="002F6922">
            <w:r w:rsidRPr="002F6922">
              <w:t>Inventory</w:t>
            </w:r>
          </w:p>
        </w:tc>
        <w:tc>
          <w:tcPr>
            <w:tcW w:w="4347" w:type="dxa"/>
            <w:vAlign w:val="top"/>
          </w:tcPr>
          <w:p w:rsidR="002F6922" w:rsidRPr="002F6922" w:rsidRDefault="002F6922" w:rsidP="002F6922">
            <w:pPr>
              <w:cnfStyle w:val="000000010000" w:firstRow="0" w:lastRow="0" w:firstColumn="0" w:lastColumn="0" w:oddVBand="0" w:evenVBand="0" w:oddHBand="0" w:evenHBand="1" w:firstRowFirstColumn="0" w:firstRowLastColumn="0" w:lastRowFirstColumn="0" w:lastRowLastColumn="0"/>
            </w:pPr>
            <w:r w:rsidRPr="002F6922">
              <w:t>n/a</w:t>
            </w:r>
          </w:p>
        </w:tc>
      </w:tr>
      <w:tr w:rsidR="002F6922" w:rsidRPr="00272161" w:rsidTr="00E31C00">
        <w:tc>
          <w:tcPr>
            <w:cnfStyle w:val="001000000000" w:firstRow="0" w:lastRow="0" w:firstColumn="1" w:lastColumn="0" w:oddVBand="0" w:evenVBand="0" w:oddHBand="0" w:evenHBand="0" w:firstRowFirstColumn="0" w:firstRowLastColumn="0" w:lastRowFirstColumn="0" w:lastRowLastColumn="0"/>
            <w:tcW w:w="4346" w:type="dxa"/>
            <w:vAlign w:val="top"/>
          </w:tcPr>
          <w:p w:rsidR="002F6922" w:rsidRPr="002F6922" w:rsidRDefault="002F6922" w:rsidP="002F6922">
            <w:r w:rsidRPr="002F6922">
              <w:t>IT</w:t>
            </w:r>
          </w:p>
        </w:tc>
        <w:tc>
          <w:tcPr>
            <w:tcW w:w="4347" w:type="dxa"/>
            <w:vAlign w:val="top"/>
          </w:tcPr>
          <w:p w:rsidR="002F6922" w:rsidRPr="002F6922" w:rsidRDefault="002F6922" w:rsidP="002F6922">
            <w:pPr>
              <w:cnfStyle w:val="000000000000" w:firstRow="0" w:lastRow="0" w:firstColumn="0" w:lastColumn="0" w:oddVBand="0" w:evenVBand="0" w:oddHBand="0" w:evenHBand="0" w:firstRowFirstColumn="0" w:firstRowLastColumn="0" w:lastRowFirstColumn="0" w:lastRowLastColumn="0"/>
            </w:pPr>
            <w:r w:rsidRPr="002F6922">
              <w:t>5.0</w:t>
            </w:r>
          </w:p>
        </w:tc>
      </w:tr>
      <w:tr w:rsidR="002F6922" w:rsidRPr="00272161" w:rsidTr="00E31C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vAlign w:val="top"/>
          </w:tcPr>
          <w:p w:rsidR="002F6922" w:rsidRPr="002F6922" w:rsidRDefault="002F6922" w:rsidP="002F6922">
            <w:r w:rsidRPr="002F6922">
              <w:t>Vehicles</w:t>
            </w:r>
          </w:p>
        </w:tc>
        <w:tc>
          <w:tcPr>
            <w:tcW w:w="4347" w:type="dxa"/>
            <w:vAlign w:val="top"/>
          </w:tcPr>
          <w:p w:rsidR="002F6922" w:rsidRPr="002F6922" w:rsidRDefault="002F6922" w:rsidP="002F6922">
            <w:pPr>
              <w:cnfStyle w:val="000000010000" w:firstRow="0" w:lastRow="0" w:firstColumn="0" w:lastColumn="0" w:oddVBand="0" w:evenVBand="0" w:oddHBand="0" w:evenHBand="1" w:firstRowFirstColumn="0" w:firstRowLastColumn="0" w:lastRowFirstColumn="0" w:lastRowLastColumn="0"/>
            </w:pPr>
            <w:r w:rsidRPr="002F6922">
              <w:t>7.0</w:t>
            </w:r>
          </w:p>
        </w:tc>
      </w:tr>
      <w:tr w:rsidR="002F6922" w:rsidRPr="00272161" w:rsidTr="00E31C00">
        <w:tc>
          <w:tcPr>
            <w:cnfStyle w:val="001000000000" w:firstRow="0" w:lastRow="0" w:firstColumn="1" w:lastColumn="0" w:oddVBand="0" w:evenVBand="0" w:oddHBand="0" w:evenHBand="0" w:firstRowFirstColumn="0" w:firstRowLastColumn="0" w:lastRowFirstColumn="0" w:lastRowLastColumn="0"/>
            <w:tcW w:w="4346" w:type="dxa"/>
            <w:vAlign w:val="top"/>
          </w:tcPr>
          <w:p w:rsidR="002F6922" w:rsidRPr="002F6922" w:rsidRDefault="002F6922" w:rsidP="002F6922">
            <w:r w:rsidRPr="002F6922">
              <w:t>Other (non-network)</w:t>
            </w:r>
          </w:p>
        </w:tc>
        <w:tc>
          <w:tcPr>
            <w:tcW w:w="4347" w:type="dxa"/>
            <w:vAlign w:val="top"/>
          </w:tcPr>
          <w:p w:rsidR="002F6922" w:rsidRPr="002F6922" w:rsidRDefault="002F6922" w:rsidP="002F6922">
            <w:pPr>
              <w:cnfStyle w:val="000000000000" w:firstRow="0" w:lastRow="0" w:firstColumn="0" w:lastColumn="0" w:oddVBand="0" w:evenVBand="0" w:oddHBand="0" w:evenHBand="0" w:firstRowFirstColumn="0" w:firstRowLastColumn="0" w:lastRowFirstColumn="0" w:lastRowLastColumn="0"/>
            </w:pPr>
            <w:r w:rsidRPr="002F6922">
              <w:t>10.0</w:t>
            </w:r>
          </w:p>
        </w:tc>
      </w:tr>
      <w:tr w:rsidR="002F6922" w:rsidRPr="00272161" w:rsidTr="00E31C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vAlign w:val="top"/>
          </w:tcPr>
          <w:p w:rsidR="002F6922" w:rsidRPr="002F6922" w:rsidRDefault="002F6922" w:rsidP="002F6922">
            <w:r w:rsidRPr="002F6922">
              <w:t>Premises</w:t>
            </w:r>
          </w:p>
        </w:tc>
        <w:tc>
          <w:tcPr>
            <w:tcW w:w="4347" w:type="dxa"/>
            <w:vAlign w:val="top"/>
          </w:tcPr>
          <w:p w:rsidR="002F6922" w:rsidRPr="002F6922" w:rsidRDefault="002F6922" w:rsidP="002F6922">
            <w:pPr>
              <w:cnfStyle w:val="000000010000" w:firstRow="0" w:lastRow="0" w:firstColumn="0" w:lastColumn="0" w:oddVBand="0" w:evenVBand="0" w:oddHBand="0" w:evenHBand="1" w:firstRowFirstColumn="0" w:firstRowLastColumn="0" w:lastRowFirstColumn="0" w:lastRowLastColumn="0"/>
            </w:pPr>
            <w:r w:rsidRPr="002F6922">
              <w:t>10.0</w:t>
            </w:r>
          </w:p>
        </w:tc>
      </w:tr>
      <w:tr w:rsidR="002F6922" w:rsidRPr="00272161" w:rsidTr="00E31C00">
        <w:tc>
          <w:tcPr>
            <w:cnfStyle w:val="001000000000" w:firstRow="0" w:lastRow="0" w:firstColumn="1" w:lastColumn="0" w:oddVBand="0" w:evenVBand="0" w:oddHBand="0" w:evenHBand="0" w:firstRowFirstColumn="0" w:firstRowLastColumn="0" w:lastRowFirstColumn="0" w:lastRowLastColumn="0"/>
            <w:tcW w:w="4346" w:type="dxa"/>
            <w:vAlign w:val="top"/>
          </w:tcPr>
          <w:p w:rsidR="002F6922" w:rsidRPr="002F6922" w:rsidRDefault="002F6922" w:rsidP="002F6922">
            <w:r w:rsidRPr="002F6922">
              <w:t>Land</w:t>
            </w:r>
          </w:p>
        </w:tc>
        <w:tc>
          <w:tcPr>
            <w:tcW w:w="4347" w:type="dxa"/>
            <w:vAlign w:val="top"/>
          </w:tcPr>
          <w:p w:rsidR="002F6922" w:rsidRPr="002F6922" w:rsidRDefault="002F6922" w:rsidP="002F6922">
            <w:pPr>
              <w:cnfStyle w:val="000000000000" w:firstRow="0" w:lastRow="0" w:firstColumn="0" w:lastColumn="0" w:oddVBand="0" w:evenVBand="0" w:oddHBand="0" w:evenHBand="0" w:firstRowFirstColumn="0" w:firstRowLastColumn="0" w:lastRowFirstColumn="0" w:lastRowLastColumn="0"/>
            </w:pPr>
            <w:r w:rsidRPr="002F6922">
              <w:t>n/a</w:t>
            </w:r>
          </w:p>
        </w:tc>
      </w:tr>
      <w:tr w:rsidR="002F6922" w:rsidRPr="00272161" w:rsidTr="00E31C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vAlign w:val="top"/>
          </w:tcPr>
          <w:p w:rsidR="002F6922" w:rsidRPr="002F6922" w:rsidRDefault="002F6922" w:rsidP="002F6922">
            <w:r w:rsidRPr="002F6922">
              <w:t>Easements</w:t>
            </w:r>
          </w:p>
        </w:tc>
        <w:tc>
          <w:tcPr>
            <w:tcW w:w="4347" w:type="dxa"/>
            <w:vAlign w:val="top"/>
          </w:tcPr>
          <w:p w:rsidR="002F6922" w:rsidRPr="002F6922" w:rsidRDefault="002F6922" w:rsidP="002F6922">
            <w:pPr>
              <w:cnfStyle w:val="000000010000" w:firstRow="0" w:lastRow="0" w:firstColumn="0" w:lastColumn="0" w:oddVBand="0" w:evenVBand="0" w:oddHBand="0" w:evenHBand="1" w:firstRowFirstColumn="0" w:firstRowLastColumn="0" w:lastRowFirstColumn="0" w:lastRowLastColumn="0"/>
            </w:pPr>
            <w:r w:rsidRPr="002F6922">
              <w:t>n/a</w:t>
            </w:r>
          </w:p>
        </w:tc>
      </w:tr>
    </w:tbl>
    <w:p w:rsidR="002F6922" w:rsidRDefault="00272161" w:rsidP="00E31C00">
      <w:pPr>
        <w:pStyle w:val="AERtablesource"/>
      </w:pPr>
      <w:r w:rsidRPr="00272161">
        <w:rPr>
          <w:rStyle w:val="AERbody"/>
          <w:sz w:val="16"/>
        </w:rPr>
        <w:t>Source:</w:t>
      </w:r>
      <w:r w:rsidRPr="00272161">
        <w:rPr>
          <w:rStyle w:val="AERbody"/>
          <w:sz w:val="16"/>
        </w:rPr>
        <w:tab/>
      </w:r>
      <w:r w:rsidR="002F6922">
        <w:t xml:space="preserve">AusNet Services, </w:t>
      </w:r>
      <w:r w:rsidR="002F6922" w:rsidRPr="002F6922">
        <w:rPr>
          <w:rStyle w:val="AERtextitalic"/>
        </w:rPr>
        <w:t>Rev</w:t>
      </w:r>
      <w:r w:rsidR="00634CCE">
        <w:rPr>
          <w:rStyle w:val="AERtextitalic"/>
        </w:rPr>
        <w:t>ised</w:t>
      </w:r>
      <w:r w:rsidR="002F6922" w:rsidRPr="002F6922">
        <w:rPr>
          <w:rStyle w:val="AERtextitalic"/>
        </w:rPr>
        <w:t xml:space="preserve"> proposal</w:t>
      </w:r>
      <w:r w:rsidR="002F6922" w:rsidRPr="002F6922">
        <w:t xml:space="preserve">, </w:t>
      </w:r>
      <w:r w:rsidR="00634CCE">
        <w:t>September</w:t>
      </w:r>
      <w:r w:rsidR="002F6922" w:rsidRPr="002F6922">
        <w:t xml:space="preserve"> 201</w:t>
      </w:r>
      <w:r w:rsidR="00634CCE">
        <w:t>6</w:t>
      </w:r>
      <w:r w:rsidR="002F6922" w:rsidRPr="002F6922">
        <w:t>, PTRM.</w:t>
      </w:r>
    </w:p>
    <w:p w:rsidR="002F6922" w:rsidRPr="002F6922" w:rsidRDefault="002F6922" w:rsidP="00E31C00">
      <w:pPr>
        <w:pStyle w:val="AERtablesource"/>
      </w:pPr>
      <w:r w:rsidRPr="002F6922">
        <w:t xml:space="preserve">n/a: </w:t>
      </w:r>
      <w:r w:rsidRPr="002F6922">
        <w:tab/>
        <w:t>not applicable. The 'Land' and 'Easements' asset classes do not have assigned standard asset lives because these assets do not depreciate over time.</w:t>
      </w:r>
    </w:p>
    <w:p w:rsidR="002F6922" w:rsidRPr="00E31C00" w:rsidRDefault="002F6922" w:rsidP="00E31C00">
      <w:pPr>
        <w:pStyle w:val="AERtablesource"/>
        <w:rPr>
          <w:rStyle w:val="AERbody"/>
          <w:rFonts w:eastAsiaTheme="minorHAnsi" w:cstheme="minorBidi"/>
          <w:sz w:val="16"/>
          <w:szCs w:val="16"/>
        </w:rPr>
      </w:pPr>
      <w:r w:rsidRPr="002F6922">
        <w:t>Note:</w:t>
      </w:r>
      <w:r w:rsidRPr="002F6922">
        <w:tab/>
        <w:t>Benchmark equity raising costs are generally amortised over the weighted average life of the RAB. AusNet Services does not require any benchmark equity raising costs in respect of its forecast capex for the 2017–22 regulatory control period. Accordingly, we have not assigned a standard asset life for amortising equity raising costs.</w:t>
      </w:r>
    </w:p>
    <w:sectPr w:rsidR="002F6922" w:rsidRPr="00E31C00"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F97" w:rsidRPr="00290C63" w:rsidRDefault="004F5F97" w:rsidP="00290C63">
      <w:r>
        <w:separator/>
      </w:r>
    </w:p>
    <w:p w:rsidR="004F5F97" w:rsidRDefault="004F5F97"/>
  </w:endnote>
  <w:endnote w:type="continuationSeparator" w:id="0">
    <w:p w:rsidR="004F5F97" w:rsidRPr="00290C63" w:rsidRDefault="004F5F97" w:rsidP="00290C63">
      <w:r>
        <w:continuationSeparator/>
      </w:r>
    </w:p>
    <w:p w:rsidR="004F5F97" w:rsidRDefault="004F5F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F97" w:rsidRPr="00290C63" w:rsidRDefault="004F5F97"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4F5F97" w:rsidRDefault="004F5F97"/>
  <w:p w:rsidR="004F5F97" w:rsidRDefault="004F5F97"/>
  <w:p w:rsidR="004F5F97" w:rsidRDefault="004F5F97"/>
  <w:p w:rsidR="004F5F97" w:rsidRDefault="004F5F97"/>
  <w:p w:rsidR="004F5F97" w:rsidRDefault="004F5F97"/>
  <w:p w:rsidR="004F5F97" w:rsidRDefault="004F5F97"/>
  <w:p w:rsidR="004F5F97" w:rsidRDefault="004F5F9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4F5F97" w:rsidRDefault="004F5F97" w:rsidP="00EA40EC">
        <w:pPr>
          <w:pStyle w:val="Footer"/>
        </w:pPr>
        <w:r>
          <w:fldChar w:fldCharType="begin"/>
        </w:r>
        <w:r>
          <w:instrText xml:space="preserve"> PAGE   \* MERGEFORMAT </w:instrText>
        </w:r>
        <w:r>
          <w:fldChar w:fldCharType="separate"/>
        </w:r>
        <w:r w:rsidR="00815410">
          <w:rPr>
            <w:noProof/>
          </w:rPr>
          <w:t>5-0</w:t>
        </w:r>
        <w:r>
          <w:rPr>
            <w:noProof/>
          </w:rPr>
          <w:fldChar w:fldCharType="end"/>
        </w:r>
        <w:r>
          <w:rPr>
            <w:noProof/>
          </w:rPr>
          <w:t xml:space="preserve">          </w:t>
        </w:r>
        <w:r w:rsidRPr="00FD5E78">
          <w:rPr>
            <w:noProof/>
          </w:rPr>
          <w:t xml:space="preserve">Attachment </w:t>
        </w:r>
        <w:r>
          <w:rPr>
            <w:noProof/>
          </w:rPr>
          <w:t>5</w:t>
        </w:r>
        <w:r w:rsidRPr="00FD5E78">
          <w:rPr>
            <w:noProof/>
          </w:rPr>
          <w:t xml:space="preserve"> </w:t>
        </w:r>
        <w:r w:rsidRPr="00FD5E78">
          <w:rPr>
            <w:rFonts w:cs="Gautami"/>
            <w:noProof/>
          </w:rPr>
          <w:t xml:space="preserve">– </w:t>
        </w:r>
        <w:r>
          <w:t>Regulatory depreciation</w:t>
        </w:r>
        <w:r w:rsidRPr="00FD5E78">
          <w:rPr>
            <w:rFonts w:cs="Gautami"/>
            <w:noProof/>
          </w:rPr>
          <w:t xml:space="preserve"> | </w:t>
        </w:r>
        <w:r>
          <w:t>Final</w:t>
        </w:r>
        <w:r w:rsidRPr="00FD5E78">
          <w:rPr>
            <w:rFonts w:cs="Gautami"/>
            <w:noProof/>
          </w:rPr>
          <w:t xml:space="preserve"> decision</w:t>
        </w:r>
        <w:r>
          <w:rPr>
            <w:rFonts w:cs="Gautami"/>
            <w:noProof/>
          </w:rPr>
          <w:t>:</w:t>
        </w:r>
        <w:r w:rsidRPr="00FD5E78">
          <w:rPr>
            <w:rFonts w:cs="Gautami"/>
            <w:noProof/>
          </w:rPr>
          <w:t xml:space="preserve"> </w:t>
        </w:r>
        <w:r>
          <w:rPr>
            <w:rFonts w:cs="Gautami"/>
            <w:noProof/>
          </w:rPr>
          <w:t>AusNet Serices</w:t>
        </w:r>
        <w:r w:rsidRPr="00FD5E78">
          <w:t xml:space="preserve"> transmission</w:t>
        </w:r>
        <w:r w:rsidRPr="00FD5E78">
          <w:rPr>
            <w:rFonts w:cs="Gautami"/>
            <w:noProof/>
          </w:rPr>
          <w:t xml:space="preserve"> determination 201</w:t>
        </w:r>
        <w:r>
          <w:rPr>
            <w:rFonts w:cs="Gautami"/>
            <w:noProof/>
          </w:rPr>
          <w:t>7</w:t>
        </w:r>
        <w:r w:rsidRPr="00FD5E78">
          <w:rPr>
            <w:rFonts w:cs="Gautami"/>
            <w:noProof/>
          </w:rPr>
          <w:t>–</w:t>
        </w:r>
        <w:r>
          <w:rPr>
            <w:rFonts w:cs="Gautami"/>
            <w:noProof/>
          </w:rPr>
          <w:t>22</w:t>
        </w:r>
      </w:p>
    </w:sdtContent>
  </w:sdt>
  <w:p w:rsidR="004F5F97" w:rsidRDefault="004F5F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F97" w:rsidRPr="00290C63" w:rsidRDefault="004F5F97"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4F5F97" w:rsidRDefault="004F5F97">
    <w:pPr>
      <w:pStyle w:val="Footer"/>
    </w:pPr>
  </w:p>
  <w:p w:rsidR="004F5F97" w:rsidRDefault="004F5F97"/>
  <w:p w:rsidR="004F5F97" w:rsidRDefault="004F5F97"/>
  <w:p w:rsidR="004F5F97" w:rsidRDefault="004F5F97"/>
  <w:p w:rsidR="004F5F97" w:rsidRDefault="004F5F97"/>
  <w:p w:rsidR="004F5F97" w:rsidRDefault="004F5F97"/>
  <w:p w:rsidR="004F5F97" w:rsidRDefault="004F5F97"/>
  <w:p w:rsidR="004F5F97" w:rsidRDefault="004F5F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F97" w:rsidRPr="00290C63" w:rsidRDefault="004F5F97" w:rsidP="00290C63">
      <w:r>
        <w:separator/>
      </w:r>
    </w:p>
    <w:p w:rsidR="004F5F97" w:rsidRDefault="004F5F97"/>
  </w:footnote>
  <w:footnote w:type="continuationSeparator" w:id="0">
    <w:p w:rsidR="004F5F97" w:rsidRPr="00290C63" w:rsidRDefault="004F5F97" w:rsidP="00290C63">
      <w:r>
        <w:continuationSeparator/>
      </w:r>
    </w:p>
    <w:p w:rsidR="004F5F97" w:rsidRDefault="004F5F97"/>
  </w:footnote>
  <w:footnote w:id="1">
    <w:p w:rsidR="004F5F97" w:rsidRDefault="004F5F97">
      <w:pPr>
        <w:pStyle w:val="FootnoteText"/>
      </w:pPr>
      <w:r>
        <w:rPr>
          <w:rStyle w:val="FootnoteReference"/>
        </w:rPr>
        <w:footnoteRef/>
      </w:r>
      <w:r>
        <w:t xml:space="preserve"> </w:t>
      </w:r>
      <w:r>
        <w:tab/>
        <w:t xml:space="preserve">NER, cl. 6A.5.4(a)(1) and (3).  </w:t>
      </w:r>
    </w:p>
  </w:footnote>
  <w:footnote w:id="2">
    <w:p w:rsidR="004F5F97" w:rsidRDefault="004F5F97">
      <w:pPr>
        <w:pStyle w:val="FootnoteText"/>
      </w:pPr>
      <w:r>
        <w:rPr>
          <w:rStyle w:val="FootnoteReference"/>
        </w:rPr>
        <w:footnoteRef/>
      </w:r>
      <w:r>
        <w:t xml:space="preserve"> </w:t>
      </w:r>
      <w:r>
        <w:tab/>
        <w:t xml:space="preserve">AusNet Services, </w:t>
      </w:r>
      <w:r w:rsidRPr="00E31C00">
        <w:rPr>
          <w:rStyle w:val="Emphasis"/>
        </w:rPr>
        <w:t>Revised regulatory proposal</w:t>
      </w:r>
      <w:r>
        <w:t>, September 2016, p. 133.</w:t>
      </w:r>
    </w:p>
  </w:footnote>
  <w:footnote w:id="3">
    <w:p w:rsidR="004F5F97" w:rsidRDefault="004F5F97">
      <w:pPr>
        <w:pStyle w:val="FootnoteText"/>
      </w:pPr>
      <w:r>
        <w:rPr>
          <w:rStyle w:val="FootnoteReference"/>
        </w:rPr>
        <w:footnoteRef/>
      </w:r>
      <w:r>
        <w:t xml:space="preserve"> </w:t>
      </w:r>
      <w:r>
        <w:tab/>
        <w:t xml:space="preserve">AusNet Services, </w:t>
      </w:r>
      <w:r w:rsidRPr="00E31C00">
        <w:rPr>
          <w:rStyle w:val="Emphasis"/>
        </w:rPr>
        <w:t>Revised proposal</w:t>
      </w:r>
      <w:r>
        <w:t>, September 2016, Chapter 5 – Depreciation.</w:t>
      </w:r>
    </w:p>
  </w:footnote>
  <w:footnote w:id="4">
    <w:p w:rsidR="004F5F97" w:rsidRDefault="004F5F97">
      <w:pPr>
        <w:pStyle w:val="FootnoteText"/>
      </w:pPr>
      <w:r>
        <w:rPr>
          <w:rStyle w:val="FootnoteReference"/>
        </w:rPr>
        <w:footnoteRef/>
      </w:r>
      <w:r>
        <w:t xml:space="preserve"> </w:t>
      </w:r>
      <w:r>
        <w:tab/>
        <w:t xml:space="preserve">AER, </w:t>
      </w:r>
      <w:r w:rsidRPr="00E31C00">
        <w:rPr>
          <w:rStyle w:val="Emphasis"/>
        </w:rPr>
        <w:t>Draft decision AusNet Services transmission determination 2017–22 - Attachment 5 – Regulatory depreciation</w:t>
      </w:r>
      <w:r>
        <w:t>, April 2016.</w:t>
      </w:r>
      <w:r w:rsidRPr="000F5207">
        <w:t xml:space="preserve"> </w:t>
      </w:r>
    </w:p>
  </w:footnote>
  <w:footnote w:id="5">
    <w:p w:rsidR="004F5F97" w:rsidRDefault="004F5F97">
      <w:pPr>
        <w:pStyle w:val="FootnoteText"/>
      </w:pPr>
      <w:r>
        <w:rPr>
          <w:rStyle w:val="FootnoteReference"/>
        </w:rPr>
        <w:footnoteRef/>
      </w:r>
      <w:r>
        <w:t xml:space="preserve"> </w:t>
      </w:r>
      <w:r>
        <w:tab/>
      </w:r>
      <w:r w:rsidRPr="00F0437C">
        <w:t xml:space="preserve">AER, </w:t>
      </w:r>
      <w:r w:rsidRPr="00E31C00">
        <w:rPr>
          <w:rStyle w:val="Emphasis"/>
        </w:rPr>
        <w:t>Draft decision AusNet Services transmission determination 2017–22 - Attachment 5 – Regulatory depreciation</w:t>
      </w:r>
      <w:r>
        <w:t>, p. 31.</w:t>
      </w:r>
    </w:p>
  </w:footnote>
  <w:footnote w:id="6">
    <w:p w:rsidR="004F5F97" w:rsidRDefault="004F5F97">
      <w:pPr>
        <w:pStyle w:val="FootnoteText"/>
      </w:pPr>
      <w:r>
        <w:rPr>
          <w:rStyle w:val="FootnoteReference"/>
        </w:rPr>
        <w:footnoteRef/>
      </w:r>
      <w:r>
        <w:t xml:space="preserve"> </w:t>
      </w:r>
      <w:r>
        <w:tab/>
        <w:t>Adopted in AusNet Services' revised PTRM.</w:t>
      </w:r>
    </w:p>
  </w:footnote>
  <w:footnote w:id="7">
    <w:p w:rsidR="004F5F97" w:rsidRDefault="004F5F97">
      <w:pPr>
        <w:pStyle w:val="FootnoteText"/>
      </w:pPr>
      <w:r>
        <w:rPr>
          <w:rStyle w:val="FootnoteReference"/>
        </w:rPr>
        <w:footnoteRef/>
      </w:r>
      <w:r>
        <w:t xml:space="preserve"> </w:t>
      </w:r>
      <w:r>
        <w:tab/>
        <w:t xml:space="preserve">AusNet, </w:t>
      </w:r>
      <w:r w:rsidRPr="00947F3E">
        <w:rPr>
          <w:rStyle w:val="Emphasis"/>
        </w:rPr>
        <w:t>Re</w:t>
      </w:r>
      <w:r>
        <w:rPr>
          <w:rStyle w:val="Emphasis"/>
        </w:rPr>
        <w:t>venue</w:t>
      </w:r>
      <w:r w:rsidRPr="00947F3E">
        <w:rPr>
          <w:rStyle w:val="Emphasis"/>
        </w:rPr>
        <w:t xml:space="preserve"> proposal 2019–22</w:t>
      </w:r>
      <w:r>
        <w:t>, October 2015, p. 178.</w:t>
      </w:r>
    </w:p>
  </w:footnote>
  <w:footnote w:id="8">
    <w:p w:rsidR="004F5F97" w:rsidRDefault="004F5F97">
      <w:pPr>
        <w:pStyle w:val="FootnoteText"/>
      </w:pPr>
      <w:r>
        <w:rPr>
          <w:rStyle w:val="FootnoteReference"/>
        </w:rPr>
        <w:footnoteRef/>
      </w:r>
      <w:r>
        <w:t xml:space="preserve"> </w:t>
      </w:r>
      <w:r>
        <w:tab/>
      </w:r>
      <w:r w:rsidRPr="00BF2624">
        <w:t xml:space="preserve">AusNet, </w:t>
      </w:r>
      <w:r w:rsidRPr="00947F3E">
        <w:rPr>
          <w:rStyle w:val="Emphasis"/>
        </w:rPr>
        <w:t>Re</w:t>
      </w:r>
      <w:r>
        <w:rPr>
          <w:rStyle w:val="Emphasis"/>
        </w:rPr>
        <w:t>venue</w:t>
      </w:r>
      <w:r w:rsidRPr="00947F3E">
        <w:rPr>
          <w:rStyle w:val="Emphasis"/>
        </w:rPr>
        <w:t xml:space="preserve"> proposal 2019–22</w:t>
      </w:r>
      <w:r>
        <w:t>, October 2015</w:t>
      </w:r>
      <w:r w:rsidRPr="00BF2624">
        <w:t xml:space="preserve">, </w:t>
      </w:r>
      <w:r>
        <w:t>pp. 178, 189–190.</w:t>
      </w:r>
    </w:p>
  </w:footnote>
  <w:footnote w:id="9">
    <w:p w:rsidR="004F5F97" w:rsidRDefault="004F5F97">
      <w:pPr>
        <w:pStyle w:val="FootnoteText"/>
      </w:pPr>
      <w:r>
        <w:rPr>
          <w:rStyle w:val="FootnoteReference"/>
        </w:rPr>
        <w:footnoteRef/>
      </w:r>
      <w:r>
        <w:t xml:space="preserve"> </w:t>
      </w:r>
      <w:r>
        <w:tab/>
      </w:r>
      <w:r w:rsidRPr="004F7B9F">
        <w:t>We estimate the average remaining life of the</w:t>
      </w:r>
      <w:r>
        <w:t>se</w:t>
      </w:r>
      <w:r w:rsidRPr="004F7B9F">
        <w:t xml:space="preserve"> assets to be around 30 years.</w:t>
      </w:r>
    </w:p>
  </w:footnote>
  <w:footnote w:id="10">
    <w:p w:rsidR="004F5F97" w:rsidRDefault="004F5F97">
      <w:pPr>
        <w:pStyle w:val="FootnoteText"/>
      </w:pPr>
      <w:r>
        <w:rPr>
          <w:rStyle w:val="FootnoteReference"/>
        </w:rPr>
        <w:footnoteRef/>
      </w:r>
      <w:r>
        <w:t xml:space="preserve"> </w:t>
      </w:r>
      <w:r>
        <w:tab/>
        <w:t xml:space="preserve">AusNet Services, </w:t>
      </w:r>
      <w:r w:rsidRPr="00E31C00">
        <w:rPr>
          <w:rStyle w:val="Emphasis"/>
        </w:rPr>
        <w:t xml:space="preserve">Revised </w:t>
      </w:r>
      <w:r>
        <w:rPr>
          <w:rStyle w:val="Emphasis"/>
        </w:rPr>
        <w:t>p</w:t>
      </w:r>
      <w:r w:rsidRPr="00E31C00">
        <w:rPr>
          <w:rStyle w:val="Emphasis"/>
        </w:rPr>
        <w:t>roposal</w:t>
      </w:r>
      <w:r>
        <w:t>, September 2016, pp. 132–136.</w:t>
      </w:r>
    </w:p>
  </w:footnote>
  <w:footnote w:id="11">
    <w:p w:rsidR="004F5F97" w:rsidRDefault="004F5F97">
      <w:pPr>
        <w:pStyle w:val="FootnoteText"/>
      </w:pPr>
      <w:r>
        <w:rPr>
          <w:rStyle w:val="FootnoteReference"/>
        </w:rPr>
        <w:footnoteRef/>
      </w:r>
      <w:r>
        <w:t xml:space="preserve"> </w:t>
      </w:r>
      <w:r>
        <w:tab/>
        <w:t xml:space="preserve">AusNet Service presented only the weak demand scenario modelled by AEMO. The neutral scenario represented AEMO's base case, while there was also a strong demand growth scenario modelled. AEMO, </w:t>
      </w:r>
      <w:r w:rsidRPr="00453DDF">
        <w:rPr>
          <w:rStyle w:val="AERtextitalic"/>
        </w:rPr>
        <w:t>Electricity Statement of Opportunities for the National Electricity Market</w:t>
      </w:r>
      <w:r>
        <w:t>, August 2016, pp13-14.</w:t>
      </w:r>
    </w:p>
  </w:footnote>
  <w:footnote w:id="12">
    <w:p w:rsidR="004F5F97" w:rsidRDefault="004F5F97">
      <w:pPr>
        <w:pStyle w:val="FootnoteText"/>
      </w:pPr>
      <w:r>
        <w:rPr>
          <w:rStyle w:val="FootnoteReference"/>
        </w:rPr>
        <w:footnoteRef/>
      </w:r>
      <w:r>
        <w:t xml:space="preserve">  </w:t>
      </w:r>
      <w:r>
        <w:tab/>
        <w:t>Both these organisation agreed that the AER could make their overall positions publicly known.</w:t>
      </w:r>
    </w:p>
  </w:footnote>
  <w:footnote w:id="13">
    <w:p w:rsidR="004F5F97" w:rsidRDefault="004F5F97">
      <w:pPr>
        <w:pStyle w:val="FootnoteText"/>
      </w:pPr>
      <w:r>
        <w:rPr>
          <w:rStyle w:val="FootnoteReference"/>
        </w:rPr>
        <w:footnoteRef/>
      </w:r>
      <w:r>
        <w:t xml:space="preserve"> </w:t>
      </w:r>
      <w:r>
        <w:tab/>
        <w:t xml:space="preserve">AusNet Services, email, </w:t>
      </w:r>
      <w:r w:rsidRPr="00E31C00">
        <w:rPr>
          <w:rStyle w:val="AERtextitalic"/>
        </w:rPr>
        <w:t>RE: AusNet Tx information request #023 - Depreciation of Yallourn assets - contains confidential material</w:t>
      </w:r>
      <w:r>
        <w:t>, 30 November 2016.</w:t>
      </w:r>
    </w:p>
  </w:footnote>
  <w:footnote w:id="14">
    <w:p w:rsidR="004F5F97" w:rsidRDefault="004F5F97">
      <w:pPr>
        <w:pStyle w:val="FootnoteText"/>
      </w:pPr>
      <w:r>
        <w:rPr>
          <w:rStyle w:val="FootnoteReference"/>
        </w:rPr>
        <w:footnoteRef/>
      </w:r>
      <w:r>
        <w:t xml:space="preserve"> </w:t>
      </w:r>
      <w:r>
        <w:tab/>
        <w:t xml:space="preserve">AusNet Services, </w:t>
      </w:r>
      <w:r w:rsidRPr="00E31C00">
        <w:rPr>
          <w:rStyle w:val="AERtextitalic"/>
        </w:rPr>
        <w:t>Submission to revised proposal</w:t>
      </w:r>
      <w:r>
        <w:t>, 20 Dec</w:t>
      </w:r>
      <w:r w:rsidRPr="006147D0">
        <w:t>ember 2016</w:t>
      </w:r>
      <w:r>
        <w:t>, p. 3</w:t>
      </w:r>
      <w:r w:rsidRPr="006147D0">
        <w:t>.</w:t>
      </w:r>
    </w:p>
  </w:footnote>
  <w:footnote w:id="15">
    <w:p w:rsidR="004F5F97" w:rsidRDefault="004F5F97">
      <w:pPr>
        <w:pStyle w:val="FootnoteText"/>
      </w:pPr>
      <w:r>
        <w:rPr>
          <w:rStyle w:val="FootnoteReference"/>
        </w:rPr>
        <w:footnoteRef/>
      </w:r>
      <w:r>
        <w:t xml:space="preserve"> </w:t>
      </w:r>
      <w:r>
        <w:tab/>
      </w:r>
      <w:r w:rsidRPr="00BE767D">
        <w:t xml:space="preserve">CCP (sub-panel 5: Mark Henley and Ruth Lavery), </w:t>
      </w:r>
      <w:r w:rsidRPr="00E31C00">
        <w:rPr>
          <w:rStyle w:val="Emphasis"/>
        </w:rPr>
        <w:t>Transmission for the Generations III, Response to revised revenue proposal by AusNet Services for transmission revenue review 2017-22</w:t>
      </w:r>
      <w:r w:rsidRPr="00BE767D">
        <w:t>, October 2016</w:t>
      </w:r>
      <w:r>
        <w:t>, p. 35.</w:t>
      </w:r>
    </w:p>
  </w:footnote>
  <w:footnote w:id="16">
    <w:p w:rsidR="004F5F97" w:rsidRDefault="004F5F97">
      <w:pPr>
        <w:pStyle w:val="FootnoteText"/>
      </w:pPr>
      <w:r>
        <w:rPr>
          <w:rStyle w:val="FootnoteReference"/>
        </w:rPr>
        <w:footnoteRef/>
      </w:r>
      <w:r>
        <w:t xml:space="preserve"> </w:t>
      </w:r>
      <w:r>
        <w:tab/>
      </w:r>
      <w:r w:rsidRPr="00684865">
        <w:t xml:space="preserve">CCP (sub-panel 5: Mark Henley and Ruth Lavery), </w:t>
      </w:r>
      <w:r w:rsidRPr="00E31C00">
        <w:rPr>
          <w:rStyle w:val="Emphasis"/>
        </w:rPr>
        <w:t>Transmission for the Generations III, Response to revised revenue proposal by AusNet Services for transmission revenue review 2017-22</w:t>
      </w:r>
      <w:r w:rsidRPr="00684865">
        <w:t>, October 2016, p. 35.</w:t>
      </w:r>
    </w:p>
  </w:footnote>
  <w:footnote w:id="17">
    <w:p w:rsidR="004F5F97" w:rsidRDefault="004F5F97">
      <w:pPr>
        <w:pStyle w:val="FootnoteText"/>
      </w:pPr>
      <w:r>
        <w:rPr>
          <w:rStyle w:val="FootnoteReference"/>
        </w:rPr>
        <w:footnoteRef/>
      </w:r>
      <w:r>
        <w:t xml:space="preserve">  </w:t>
      </w:r>
      <w:r>
        <w:tab/>
        <w:t xml:space="preserve">In its revised proposal, AusNet Services noted it was not subject to stranding risks that lead to unrecovered funds. AusNet Services, </w:t>
      </w:r>
      <w:r w:rsidRPr="00B92BFD">
        <w:rPr>
          <w:rStyle w:val="AERtextitalic"/>
        </w:rPr>
        <w:t>Revised proposal</w:t>
      </w:r>
      <w:r>
        <w:t>, September 2016, p.127.</w:t>
      </w:r>
    </w:p>
  </w:footnote>
  <w:footnote w:id="18">
    <w:p w:rsidR="004F5F97" w:rsidRDefault="004F5F97">
      <w:pPr>
        <w:pStyle w:val="FootnoteText"/>
      </w:pPr>
      <w:r>
        <w:rPr>
          <w:rStyle w:val="FootnoteReference"/>
        </w:rPr>
        <w:footnoteRef/>
      </w:r>
      <w:r>
        <w:t xml:space="preserve"> </w:t>
      </w:r>
      <w:r>
        <w:tab/>
        <w:t>NER, cl. 6A.6.3(b)(1).</w:t>
      </w:r>
    </w:p>
  </w:footnote>
  <w:footnote w:id="19">
    <w:p w:rsidR="004F5F97" w:rsidRDefault="004F5F97" w:rsidP="008C2E79">
      <w:pPr>
        <w:pStyle w:val="FootnoteText"/>
      </w:pPr>
      <w:r>
        <w:rPr>
          <w:rStyle w:val="FootnoteReference"/>
        </w:rPr>
        <w:footnoteRef/>
      </w:r>
      <w:r>
        <w:t xml:space="preserve"> </w:t>
      </w:r>
      <w:r>
        <w:tab/>
      </w:r>
      <w:r w:rsidRPr="008C2E79">
        <w:t xml:space="preserve">AER, </w:t>
      </w:r>
      <w:r w:rsidRPr="00E31C00">
        <w:rPr>
          <w:rStyle w:val="Emphasis"/>
        </w:rPr>
        <w:t>Draft decision AusNet Services transmission determination 2017–22 - Attachment 5 – Regulatory depreciation</w:t>
      </w:r>
      <w:r w:rsidRPr="008C2E79">
        <w:t>, pp. 27–28, 36 &amp; 53.</w:t>
      </w:r>
    </w:p>
  </w:footnote>
  <w:footnote w:id="20">
    <w:p w:rsidR="004F5F97" w:rsidRDefault="004F5F97">
      <w:pPr>
        <w:pStyle w:val="FootnoteText"/>
      </w:pPr>
      <w:r>
        <w:rPr>
          <w:rStyle w:val="FootnoteReference"/>
        </w:rPr>
        <w:footnoteRef/>
      </w:r>
      <w:r>
        <w:t xml:space="preserve"> </w:t>
      </w:r>
      <w:r>
        <w:tab/>
        <w:t>Nor is capex typically approved for assets that are not expected to be used over their technical lives.</w:t>
      </w:r>
    </w:p>
  </w:footnote>
  <w:footnote w:id="21">
    <w:p w:rsidR="004F5F97" w:rsidRDefault="004F5F97">
      <w:pPr>
        <w:pStyle w:val="FootnoteText"/>
      </w:pPr>
      <w:r>
        <w:rPr>
          <w:rStyle w:val="FootnoteReference"/>
        </w:rPr>
        <w:footnoteRef/>
      </w:r>
      <w:r>
        <w:t xml:space="preserve"> </w:t>
      </w:r>
      <w:r>
        <w:tab/>
        <w:t xml:space="preserve">The PTRM is also set up for depreciation based on different asset type and the technical lives of the assets. When accelerated depreciation of assets occurs due to changes in expected use, a generic asset class (It may be labelled 'Accelerated depreciation', for example) is created to which the various assets identified are reallocated and a single asset life applied to this new asset class to reflect how long these assets are still expected to be used. </w:t>
      </w:r>
    </w:p>
  </w:footnote>
  <w:footnote w:id="22">
    <w:p w:rsidR="004F5F97" w:rsidRDefault="004F5F97">
      <w:pPr>
        <w:pStyle w:val="FootnoteText"/>
      </w:pPr>
      <w:r>
        <w:rPr>
          <w:rStyle w:val="FootnoteReference"/>
        </w:rPr>
        <w:footnoteRef/>
      </w:r>
      <w:r>
        <w:t xml:space="preserve"> </w:t>
      </w:r>
      <w:r>
        <w:tab/>
        <w:t>For example, the capacity of the connection is to be upgraded.</w:t>
      </w:r>
    </w:p>
  </w:footnote>
  <w:footnote w:id="23">
    <w:p w:rsidR="004F5F97" w:rsidRDefault="004F5F97">
      <w:pPr>
        <w:pStyle w:val="FootnoteText"/>
      </w:pPr>
      <w:r>
        <w:rPr>
          <w:rStyle w:val="FootnoteReference"/>
        </w:rPr>
        <w:footnoteRef/>
      </w:r>
      <w:r>
        <w:t xml:space="preserve"> </w:t>
      </w:r>
      <w:r>
        <w:tab/>
        <w:t>Forecasting demand too far into the future also reduces the prospect of an asset's economic life diverging from its technical life. That is, for prudently acquired assets, any divergences between the economic life and the technical life of the asset would generally only occur after many years of operation. Otherwise the question would need to be asked as to why it was built in the first place. After many years of operation the asset is likely to have relatively little value and technical life remaining, making the impact of any revision to its economic life likely to be relatively modest at that time.</w:t>
      </w:r>
    </w:p>
  </w:footnote>
  <w:footnote w:id="24">
    <w:p w:rsidR="004F5F97" w:rsidRDefault="004F5F97" w:rsidP="00B1393D">
      <w:pPr>
        <w:pStyle w:val="FootnoteText"/>
      </w:pPr>
      <w:r>
        <w:rPr>
          <w:rStyle w:val="FootnoteReference"/>
        </w:rPr>
        <w:footnoteRef/>
      </w:r>
      <w:r>
        <w:t xml:space="preserve"> </w:t>
      </w:r>
      <w:r>
        <w:tab/>
        <w:t xml:space="preserve">AER, </w:t>
      </w:r>
      <w:r w:rsidRPr="003D5217">
        <w:rPr>
          <w:rStyle w:val="Emphasis"/>
        </w:rPr>
        <w:t xml:space="preserve">Final decision AusNet Services 2017–22 transmission determination - </w:t>
      </w:r>
      <w:r>
        <w:rPr>
          <w:rStyle w:val="Emphasis"/>
        </w:rPr>
        <w:t>A</w:t>
      </w:r>
      <w:r w:rsidRPr="003D5217">
        <w:rPr>
          <w:rStyle w:val="Emphasis"/>
        </w:rPr>
        <w:t xml:space="preserve">ttachment 2 - </w:t>
      </w:r>
      <w:r>
        <w:rPr>
          <w:rStyle w:val="Emphasis"/>
        </w:rPr>
        <w:t>R</w:t>
      </w:r>
      <w:r w:rsidRPr="003D5217">
        <w:rPr>
          <w:rStyle w:val="Emphasis"/>
        </w:rPr>
        <w:t xml:space="preserve">egulatory </w:t>
      </w:r>
      <w:r>
        <w:rPr>
          <w:rStyle w:val="Emphasis"/>
        </w:rPr>
        <w:t>a</w:t>
      </w:r>
      <w:r w:rsidRPr="003D5217">
        <w:rPr>
          <w:rStyle w:val="Emphasis"/>
        </w:rPr>
        <w:t xml:space="preserve">sset </w:t>
      </w:r>
      <w:r>
        <w:rPr>
          <w:rStyle w:val="Emphasis"/>
        </w:rPr>
        <w:t>b</w:t>
      </w:r>
      <w:r w:rsidRPr="003D5217">
        <w:rPr>
          <w:rStyle w:val="Emphasis"/>
        </w:rPr>
        <w:t>ase</w:t>
      </w:r>
      <w:r>
        <w:t>, April 2016, pp. 11–12.</w:t>
      </w:r>
    </w:p>
  </w:footnote>
  <w:footnote w:id="25">
    <w:p w:rsidR="004F5F97" w:rsidRDefault="004F5F97" w:rsidP="00B1393D">
      <w:pPr>
        <w:pStyle w:val="FootnoteText"/>
      </w:pPr>
      <w:r>
        <w:rPr>
          <w:rStyle w:val="FootnoteReference"/>
        </w:rPr>
        <w:footnoteRef/>
      </w:r>
      <w:r>
        <w:t xml:space="preserve"> </w:t>
      </w:r>
      <w:r>
        <w:tab/>
        <w:t>This value is equal to the depreciation allowance that was recovered arising from the incorrectly allocated as-commissioned capex.</w:t>
      </w:r>
    </w:p>
  </w:footnote>
  <w:footnote w:id="26">
    <w:p w:rsidR="004F5F97" w:rsidRDefault="004F5F97">
      <w:pPr>
        <w:pStyle w:val="FootnoteText"/>
      </w:pPr>
      <w:r>
        <w:rPr>
          <w:rStyle w:val="FootnoteReference"/>
        </w:rPr>
        <w:footnoteRef/>
      </w:r>
      <w:r>
        <w:t xml:space="preserve"> </w:t>
      </w:r>
      <w:r>
        <w:tab/>
      </w:r>
      <w:r w:rsidRPr="00295E34">
        <w:t xml:space="preserve">AusNet Services, </w:t>
      </w:r>
      <w:r w:rsidRPr="00E31C00">
        <w:rPr>
          <w:rStyle w:val="Emphasis"/>
        </w:rPr>
        <w:t xml:space="preserve">Revised </w:t>
      </w:r>
      <w:r>
        <w:rPr>
          <w:rStyle w:val="Emphasis"/>
        </w:rPr>
        <w:t>p</w:t>
      </w:r>
      <w:r w:rsidRPr="00E31C00">
        <w:rPr>
          <w:rStyle w:val="Emphasis"/>
        </w:rPr>
        <w:t>roposal</w:t>
      </w:r>
      <w:r>
        <w:t>, September 2016, p. 129</w:t>
      </w:r>
      <w:r w:rsidRPr="00295E34">
        <w:t>.</w:t>
      </w:r>
    </w:p>
  </w:footnote>
  <w:footnote w:id="27">
    <w:p w:rsidR="004F5F97" w:rsidRDefault="004F5F97">
      <w:pPr>
        <w:pStyle w:val="FootnoteText"/>
      </w:pPr>
      <w:r>
        <w:rPr>
          <w:rStyle w:val="FootnoteReference"/>
        </w:rPr>
        <w:footnoteRef/>
      </w:r>
      <w:r>
        <w:t xml:space="preserve"> </w:t>
      </w:r>
      <w:r>
        <w:tab/>
      </w:r>
      <w:r w:rsidRPr="00295E34">
        <w:t>AusNet Services</w:t>
      </w:r>
      <w:r>
        <w:t xml:space="preserve">, </w:t>
      </w:r>
      <w:r w:rsidRPr="00E31C00">
        <w:rPr>
          <w:rStyle w:val="Emphasis"/>
        </w:rPr>
        <w:t xml:space="preserve">Revised </w:t>
      </w:r>
      <w:r>
        <w:rPr>
          <w:rStyle w:val="Emphasis"/>
        </w:rPr>
        <w:t>p</w:t>
      </w:r>
      <w:r w:rsidRPr="00E31C00">
        <w:rPr>
          <w:rStyle w:val="Emphasis"/>
        </w:rPr>
        <w:t>roposal</w:t>
      </w:r>
      <w:r>
        <w:t xml:space="preserve">, September 2016, </w:t>
      </w:r>
      <w:r w:rsidRPr="00295E34">
        <w:t>p.</w:t>
      </w:r>
      <w:r>
        <w:t xml:space="preserve"> </w:t>
      </w:r>
      <w:r w:rsidRPr="00295E34">
        <w:t>129.</w:t>
      </w:r>
    </w:p>
  </w:footnote>
  <w:footnote w:id="28">
    <w:p w:rsidR="004F5F97" w:rsidRDefault="004F5F97" w:rsidP="00F60229">
      <w:pPr>
        <w:pStyle w:val="FootnoteText"/>
      </w:pPr>
      <w:r>
        <w:rPr>
          <w:rStyle w:val="FootnoteReference"/>
        </w:rPr>
        <w:footnoteRef/>
      </w:r>
      <w:r>
        <w:t xml:space="preserve"> </w:t>
      </w:r>
      <w:r>
        <w:tab/>
      </w:r>
      <w:r w:rsidRPr="00F60229">
        <w:t>This article focused on telephone utilities and suggested front loading of depreciation is needed to maintain a firm’s financial viability in the face of competing technologies</w:t>
      </w:r>
      <w:r>
        <w:t xml:space="preserve"> and the potential for stranding of assets</w:t>
      </w:r>
      <w:r w:rsidRPr="00F60229">
        <w:t>. This is not relevant in the current circumstances given that AusNet Services is not subject to stranding risk.</w:t>
      </w:r>
    </w:p>
  </w:footnote>
  <w:footnote w:id="29">
    <w:p w:rsidR="004F5F97" w:rsidRDefault="004F5F97">
      <w:pPr>
        <w:pStyle w:val="FootnoteText"/>
      </w:pPr>
      <w:r>
        <w:rPr>
          <w:rStyle w:val="FootnoteReference"/>
        </w:rPr>
        <w:footnoteRef/>
      </w:r>
      <w:r>
        <w:t xml:space="preserve"> </w:t>
      </w:r>
      <w:r>
        <w:tab/>
      </w:r>
      <w:r w:rsidRPr="007C3476">
        <w:t xml:space="preserve">AER, </w:t>
      </w:r>
      <w:r w:rsidRPr="00E31C00">
        <w:rPr>
          <w:rStyle w:val="Emphasis"/>
        </w:rPr>
        <w:t>Draft decision AusNet Services transmission determination 2017–22 - Attachment 5 – Regulatory depreciation</w:t>
      </w:r>
      <w:r>
        <w:t>, April 2016, pp. 20–22.</w:t>
      </w:r>
    </w:p>
  </w:footnote>
  <w:footnote w:id="30">
    <w:p w:rsidR="004F5F97" w:rsidRDefault="004F5F97" w:rsidP="007E0251">
      <w:pPr>
        <w:pStyle w:val="FootnoteText"/>
      </w:pPr>
      <w:r>
        <w:rPr>
          <w:rStyle w:val="FootnoteReference"/>
        </w:rPr>
        <w:footnoteRef/>
      </w:r>
      <w:r>
        <w:t xml:space="preserve"> </w:t>
      </w:r>
      <w:r>
        <w:tab/>
      </w:r>
      <w:r w:rsidRPr="007C3476">
        <w:t xml:space="preserve">AER, </w:t>
      </w:r>
      <w:r w:rsidRPr="00E31C00">
        <w:rPr>
          <w:rStyle w:val="Emphasis"/>
        </w:rPr>
        <w:t>Draft decision AusNet Services transmission determination 2017–22 - Attachment 5 – Regulatory depreciation</w:t>
      </w:r>
      <w:r>
        <w:t>, April 2016, pp. 27–28, 36 &amp; 53.</w:t>
      </w:r>
    </w:p>
  </w:footnote>
  <w:footnote w:id="31">
    <w:p w:rsidR="004F5F97" w:rsidRDefault="004F5F97">
      <w:pPr>
        <w:pStyle w:val="FootnoteText"/>
      </w:pPr>
      <w:r>
        <w:rPr>
          <w:rStyle w:val="FootnoteReference"/>
        </w:rPr>
        <w:footnoteRef/>
      </w:r>
      <w:r>
        <w:t xml:space="preserve"> </w:t>
      </w:r>
      <w:r>
        <w:tab/>
      </w:r>
      <w:r w:rsidRPr="0099052E">
        <w:t xml:space="preserve">AusNet Services, </w:t>
      </w:r>
      <w:r w:rsidRPr="00E31C00">
        <w:rPr>
          <w:rStyle w:val="Emphasis"/>
        </w:rPr>
        <w:t>Revised proposal</w:t>
      </w:r>
      <w:r>
        <w:t>, September 2016, p. 131.</w:t>
      </w:r>
    </w:p>
  </w:footnote>
  <w:footnote w:id="32">
    <w:p w:rsidR="004F5F97" w:rsidRDefault="004F5F97">
      <w:pPr>
        <w:pStyle w:val="FootnoteText"/>
      </w:pPr>
      <w:r>
        <w:rPr>
          <w:rStyle w:val="FootnoteReference"/>
        </w:rPr>
        <w:footnoteRef/>
      </w:r>
      <w:r>
        <w:t xml:space="preserve"> </w:t>
      </w:r>
      <w:r>
        <w:tab/>
        <w:t xml:space="preserve">AEMO, </w:t>
      </w:r>
      <w:r w:rsidRPr="00E31C00">
        <w:rPr>
          <w:rStyle w:val="AERtextitalic"/>
        </w:rPr>
        <w:t>The National Transmission Network Development Plan</w:t>
      </w:r>
      <w:r>
        <w:rPr>
          <w:rStyle w:val="AERtextitalic"/>
        </w:rPr>
        <w:t>: For the National Energy Market</w:t>
      </w:r>
      <w:r>
        <w:t>, December 2016, p. 40.</w:t>
      </w:r>
    </w:p>
  </w:footnote>
  <w:footnote w:id="33">
    <w:p w:rsidR="004F5F97" w:rsidRDefault="004F5F97">
      <w:pPr>
        <w:pStyle w:val="FootnoteText"/>
      </w:pPr>
      <w:r>
        <w:rPr>
          <w:rStyle w:val="FootnoteReference"/>
        </w:rPr>
        <w:footnoteRef/>
      </w:r>
      <w:r>
        <w:t xml:space="preserve"> </w:t>
      </w:r>
      <w:r>
        <w:tab/>
        <w:t xml:space="preserve">CCP, </w:t>
      </w:r>
      <w:r w:rsidRPr="00E31C00">
        <w:rPr>
          <w:rStyle w:val="Emphasis"/>
        </w:rPr>
        <w:t>Response to draft decision</w:t>
      </w:r>
      <w:r>
        <w:t>, p. 22.</w:t>
      </w:r>
    </w:p>
  </w:footnote>
  <w:footnote w:id="34">
    <w:p w:rsidR="004F5F97" w:rsidRDefault="004F5F97">
      <w:pPr>
        <w:pStyle w:val="FootnoteText"/>
      </w:pPr>
      <w:r>
        <w:rPr>
          <w:rStyle w:val="FootnoteReference"/>
        </w:rPr>
        <w:footnoteRef/>
      </w:r>
      <w:r>
        <w:t xml:space="preserve"> </w:t>
      </w:r>
      <w:r>
        <w:tab/>
        <w:t xml:space="preserve">AER, </w:t>
      </w:r>
      <w:r w:rsidRPr="00E31C00">
        <w:rPr>
          <w:rStyle w:val="Emphasis"/>
        </w:rPr>
        <w:t>Draft decision Aus</w:t>
      </w:r>
      <w:r>
        <w:rPr>
          <w:rStyle w:val="Emphasis"/>
        </w:rPr>
        <w:t>N</w:t>
      </w:r>
      <w:r w:rsidRPr="00E31C00">
        <w:rPr>
          <w:rStyle w:val="Emphasis"/>
        </w:rPr>
        <w:t>et Services transmission determination - Attachment 5 - Regulatory depreciation</w:t>
      </w:r>
      <w:r>
        <w:t xml:space="preserve">, </w:t>
      </w:r>
      <w:r w:rsidRPr="00272161">
        <w:t>July 2016</w:t>
      </w:r>
      <w:r>
        <w:t>, pp. 28–30.</w:t>
      </w:r>
    </w:p>
  </w:footnote>
  <w:footnote w:id="35">
    <w:p w:rsidR="004F5F97" w:rsidRDefault="004F5F97" w:rsidP="00B84A1C">
      <w:pPr>
        <w:pStyle w:val="FootnoteText"/>
      </w:pPr>
      <w:r>
        <w:rPr>
          <w:rStyle w:val="FootnoteReference"/>
        </w:rPr>
        <w:footnoteRef/>
      </w:r>
      <w:r>
        <w:t xml:space="preserve"> </w:t>
      </w:r>
      <w:r>
        <w:tab/>
        <w:t>NER, cl. 6A.6.3(b)(1).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6C66F44"/>
    <w:multiLevelType w:val="hybridMultilevel"/>
    <w:tmpl w:val="4ED4762C"/>
    <w:lvl w:ilvl="0" w:tplc="78E8CC60">
      <w:start w:val="1"/>
      <w:numFmt w:val="lowerRoman"/>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4">
    <w:nsid w:val="1C3F44DE"/>
    <w:multiLevelType w:val="multilevel"/>
    <w:tmpl w:val="950A1C52"/>
    <w:numStyleLink w:val="AERHeadings"/>
  </w:abstractNum>
  <w:abstractNum w:abstractNumId="15">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6">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592056E"/>
    <w:multiLevelType w:val="multilevel"/>
    <w:tmpl w:val="950A1C52"/>
    <w:numStyleLink w:val="AERHeadings"/>
  </w:abstractNum>
  <w:abstractNum w:abstractNumId="19">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3">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F5F4FFC"/>
    <w:multiLevelType w:val="multilevel"/>
    <w:tmpl w:val="950A1C52"/>
    <w:numStyleLink w:val="AERHeadings"/>
  </w:abstractNum>
  <w:abstractNum w:abstractNumId="27">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41A80E45"/>
    <w:multiLevelType w:val="multilevel"/>
    <w:tmpl w:val="950A1C52"/>
    <w:numStyleLink w:val="AERHeadings"/>
  </w:abstractNum>
  <w:abstractNum w:abstractNumId="29">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30">
    <w:nsid w:val="487C7731"/>
    <w:multiLevelType w:val="multilevel"/>
    <w:tmpl w:val="950A1C52"/>
    <w:numStyleLink w:val="AERHeadings"/>
  </w:abstractNum>
  <w:abstractNum w:abstractNumId="3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6">
    <w:nsid w:val="5ECE4384"/>
    <w:multiLevelType w:val="multilevel"/>
    <w:tmpl w:val="7D1E701A"/>
    <w:lvl w:ilvl="0">
      <w:start w:val="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8">
    <w:nsid w:val="6DE36827"/>
    <w:multiLevelType w:val="multilevel"/>
    <w:tmpl w:val="950A1C52"/>
    <w:numStyleLink w:val="AERHeadings"/>
  </w:abstractNum>
  <w:abstractNum w:abstractNumId="39">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4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7"/>
  </w:num>
  <w:num w:numId="13">
    <w:abstractNumId w:val="24"/>
  </w:num>
  <w:num w:numId="14">
    <w:abstractNumId w:val="11"/>
  </w:num>
  <w:num w:numId="15">
    <w:abstractNumId w:val="15"/>
  </w:num>
  <w:num w:numId="16">
    <w:abstractNumId w:val="31"/>
  </w:num>
  <w:num w:numId="17">
    <w:abstractNumId w:val="10"/>
  </w:num>
  <w:num w:numId="18">
    <w:abstractNumId w:val="20"/>
  </w:num>
  <w:num w:numId="19">
    <w:abstractNumId w:val="32"/>
  </w:num>
  <w:num w:numId="20">
    <w:abstractNumId w:val="39"/>
  </w:num>
  <w:num w:numId="21">
    <w:abstractNumId w:val="16"/>
  </w:num>
  <w:num w:numId="22">
    <w:abstractNumId w:val="35"/>
  </w:num>
  <w:num w:numId="23">
    <w:abstractNumId w:val="33"/>
  </w:num>
  <w:num w:numId="24">
    <w:abstractNumId w:val="22"/>
  </w:num>
  <w:num w:numId="25">
    <w:abstractNumId w:val="34"/>
  </w:num>
  <w:num w:numId="26">
    <w:abstractNumId w:val="36"/>
  </w:num>
  <w:num w:numId="27">
    <w:abstractNumId w:val="23"/>
  </w:num>
  <w:num w:numId="28">
    <w:abstractNumId w:val="21"/>
  </w:num>
  <w:num w:numId="29">
    <w:abstractNumId w:val="19"/>
  </w:num>
  <w:num w:numId="30">
    <w:abstractNumId w:val="40"/>
  </w:num>
  <w:num w:numId="31">
    <w:abstractNumId w:val="17"/>
  </w:num>
  <w:num w:numId="32">
    <w:abstractNumId w:val="27"/>
  </w:num>
  <w:num w:numId="33">
    <w:abstractNumId w:val="22"/>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2"/>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2"/>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8"/>
  </w:num>
  <w:num w:numId="37">
    <w:abstractNumId w:val="30"/>
  </w:num>
  <w:num w:numId="38">
    <w:abstractNumId w:val="26"/>
  </w:num>
  <w:num w:numId="39">
    <w:abstractNumId w:val="14"/>
  </w:num>
  <w:num w:numId="40">
    <w:abstractNumId w:val="36"/>
  </w:num>
  <w:num w:numId="41">
    <w:abstractNumId w:val="36"/>
  </w:num>
  <w:num w:numId="42">
    <w:abstractNumId w:val="28"/>
  </w:num>
  <w:num w:numId="43">
    <w:abstractNumId w:val="18"/>
  </w:num>
  <w:num w:numId="44">
    <w:abstractNumId w:val="29"/>
  </w:num>
  <w:num w:numId="45">
    <w:abstractNumId w:val="25"/>
  </w:num>
  <w:num w:numId="46">
    <w:abstractNumId w:val="9"/>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4/X+3BblGq4oTJLXvXvibg1E/EqFF0eSn0Z2g05ERg8=" w:saltValue="lV5MbFPQSoDVeoqniOrw2w==" w:algorithmName="SHA-256"/>
  <w:defaultTabStop w:val="340"/>
  <w:characterSpacingControl w:val="doNotCompress"/>
  <w:hdrShapeDefaults>
    <o:shapedefaults v:ext="edit" spidmax="264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 final decision ausnet services 2017-22 transmission determination - attachment 5 - regulatory depreciation - april (AER2016-000062).docx"/>
  </w:docVars>
  <w:rsids>
    <w:rsidRoot w:val="00961A4A"/>
    <w:rsid w:val="00000EC0"/>
    <w:rsid w:val="000035FC"/>
    <w:rsid w:val="00005540"/>
    <w:rsid w:val="000171D1"/>
    <w:rsid w:val="00021202"/>
    <w:rsid w:val="00021C2B"/>
    <w:rsid w:val="0002517F"/>
    <w:rsid w:val="00026784"/>
    <w:rsid w:val="00033260"/>
    <w:rsid w:val="0003578C"/>
    <w:rsid w:val="00063247"/>
    <w:rsid w:val="00070998"/>
    <w:rsid w:val="00070F9F"/>
    <w:rsid w:val="0007137B"/>
    <w:rsid w:val="00077389"/>
    <w:rsid w:val="00085663"/>
    <w:rsid w:val="00085EBF"/>
    <w:rsid w:val="00086871"/>
    <w:rsid w:val="000A1FFE"/>
    <w:rsid w:val="000A3020"/>
    <w:rsid w:val="000A4B81"/>
    <w:rsid w:val="000A6C7B"/>
    <w:rsid w:val="000B321F"/>
    <w:rsid w:val="000B7084"/>
    <w:rsid w:val="000C2B40"/>
    <w:rsid w:val="000C7F61"/>
    <w:rsid w:val="000D122C"/>
    <w:rsid w:val="000D53ED"/>
    <w:rsid w:val="000E1819"/>
    <w:rsid w:val="000E4821"/>
    <w:rsid w:val="000E6C72"/>
    <w:rsid w:val="000F26D0"/>
    <w:rsid w:val="000F5207"/>
    <w:rsid w:val="000F638E"/>
    <w:rsid w:val="00101973"/>
    <w:rsid w:val="00116EB2"/>
    <w:rsid w:val="001203C4"/>
    <w:rsid w:val="00124609"/>
    <w:rsid w:val="00126A4C"/>
    <w:rsid w:val="00136C99"/>
    <w:rsid w:val="0014573B"/>
    <w:rsid w:val="001573E4"/>
    <w:rsid w:val="00160756"/>
    <w:rsid w:val="00163834"/>
    <w:rsid w:val="00165469"/>
    <w:rsid w:val="0017232E"/>
    <w:rsid w:val="00173FB6"/>
    <w:rsid w:val="00174102"/>
    <w:rsid w:val="001754EE"/>
    <w:rsid w:val="00180157"/>
    <w:rsid w:val="00185C55"/>
    <w:rsid w:val="00185CB9"/>
    <w:rsid w:val="00186F77"/>
    <w:rsid w:val="001905F9"/>
    <w:rsid w:val="001921F2"/>
    <w:rsid w:val="001926A4"/>
    <w:rsid w:val="00192AD5"/>
    <w:rsid w:val="001A49E9"/>
    <w:rsid w:val="001B45A0"/>
    <w:rsid w:val="001B5ACF"/>
    <w:rsid w:val="001D055E"/>
    <w:rsid w:val="001D2425"/>
    <w:rsid w:val="001D7422"/>
    <w:rsid w:val="001E17B8"/>
    <w:rsid w:val="001F1427"/>
    <w:rsid w:val="001F492E"/>
    <w:rsid w:val="001F6DA3"/>
    <w:rsid w:val="002010BC"/>
    <w:rsid w:val="002016E7"/>
    <w:rsid w:val="00202E03"/>
    <w:rsid w:val="002033C8"/>
    <w:rsid w:val="00203E77"/>
    <w:rsid w:val="0020492C"/>
    <w:rsid w:val="00206E43"/>
    <w:rsid w:val="00217882"/>
    <w:rsid w:val="0022045D"/>
    <w:rsid w:val="00222EFC"/>
    <w:rsid w:val="00224DB9"/>
    <w:rsid w:val="0022751A"/>
    <w:rsid w:val="00233775"/>
    <w:rsid w:val="0024253E"/>
    <w:rsid w:val="00251745"/>
    <w:rsid w:val="0026027D"/>
    <w:rsid w:val="00263AC0"/>
    <w:rsid w:val="00263FC5"/>
    <w:rsid w:val="00264264"/>
    <w:rsid w:val="002651A9"/>
    <w:rsid w:val="0026772D"/>
    <w:rsid w:val="00272161"/>
    <w:rsid w:val="002731CA"/>
    <w:rsid w:val="00281447"/>
    <w:rsid w:val="00282FF8"/>
    <w:rsid w:val="00285E9E"/>
    <w:rsid w:val="00286874"/>
    <w:rsid w:val="002876B3"/>
    <w:rsid w:val="00287D5B"/>
    <w:rsid w:val="00290C63"/>
    <w:rsid w:val="00295E34"/>
    <w:rsid w:val="00296B65"/>
    <w:rsid w:val="00297C2E"/>
    <w:rsid w:val="002A0C23"/>
    <w:rsid w:val="002A7DEF"/>
    <w:rsid w:val="002C233C"/>
    <w:rsid w:val="002C7218"/>
    <w:rsid w:val="002D72E8"/>
    <w:rsid w:val="002E7B22"/>
    <w:rsid w:val="002F6922"/>
    <w:rsid w:val="002F7986"/>
    <w:rsid w:val="00301B40"/>
    <w:rsid w:val="003029EE"/>
    <w:rsid w:val="00305CC8"/>
    <w:rsid w:val="00307F6D"/>
    <w:rsid w:val="00316AE6"/>
    <w:rsid w:val="003173C9"/>
    <w:rsid w:val="003177A2"/>
    <w:rsid w:val="003271B5"/>
    <w:rsid w:val="00327A1E"/>
    <w:rsid w:val="00331264"/>
    <w:rsid w:val="00334C8D"/>
    <w:rsid w:val="00337656"/>
    <w:rsid w:val="00343A18"/>
    <w:rsid w:val="003459DC"/>
    <w:rsid w:val="00345CE9"/>
    <w:rsid w:val="003518B3"/>
    <w:rsid w:val="00380FD5"/>
    <w:rsid w:val="003846F1"/>
    <w:rsid w:val="003903F6"/>
    <w:rsid w:val="003B484F"/>
    <w:rsid w:val="003B5200"/>
    <w:rsid w:val="003B7FBA"/>
    <w:rsid w:val="003C1231"/>
    <w:rsid w:val="003C303F"/>
    <w:rsid w:val="003C3A9C"/>
    <w:rsid w:val="003C6CEA"/>
    <w:rsid w:val="003D15C0"/>
    <w:rsid w:val="003D33D2"/>
    <w:rsid w:val="003D5217"/>
    <w:rsid w:val="003D7296"/>
    <w:rsid w:val="003E137E"/>
    <w:rsid w:val="003E46B5"/>
    <w:rsid w:val="003F174D"/>
    <w:rsid w:val="00400514"/>
    <w:rsid w:val="004055F6"/>
    <w:rsid w:val="00415F31"/>
    <w:rsid w:val="00423A77"/>
    <w:rsid w:val="0043635F"/>
    <w:rsid w:val="00444A44"/>
    <w:rsid w:val="00452DA1"/>
    <w:rsid w:val="0045385C"/>
    <w:rsid w:val="00453DDF"/>
    <w:rsid w:val="00454C90"/>
    <w:rsid w:val="0045777E"/>
    <w:rsid w:val="004712CD"/>
    <w:rsid w:val="00476758"/>
    <w:rsid w:val="00480B4B"/>
    <w:rsid w:val="00485DC4"/>
    <w:rsid w:val="00491349"/>
    <w:rsid w:val="00492389"/>
    <w:rsid w:val="004A43D1"/>
    <w:rsid w:val="004B4412"/>
    <w:rsid w:val="004C348C"/>
    <w:rsid w:val="004C529A"/>
    <w:rsid w:val="004C69CA"/>
    <w:rsid w:val="004D4888"/>
    <w:rsid w:val="004D55BA"/>
    <w:rsid w:val="004D6931"/>
    <w:rsid w:val="004E22EC"/>
    <w:rsid w:val="004E4190"/>
    <w:rsid w:val="004F52F5"/>
    <w:rsid w:val="004F552F"/>
    <w:rsid w:val="004F5F97"/>
    <w:rsid w:val="004F6A0E"/>
    <w:rsid w:val="004F6A5C"/>
    <w:rsid w:val="004F7AD5"/>
    <w:rsid w:val="004F7B9F"/>
    <w:rsid w:val="00512256"/>
    <w:rsid w:val="00530128"/>
    <w:rsid w:val="00532467"/>
    <w:rsid w:val="005331EF"/>
    <w:rsid w:val="00540418"/>
    <w:rsid w:val="00544C12"/>
    <w:rsid w:val="005458EE"/>
    <w:rsid w:val="00546AF0"/>
    <w:rsid w:val="00552204"/>
    <w:rsid w:val="00553342"/>
    <w:rsid w:val="00554059"/>
    <w:rsid w:val="005644D5"/>
    <w:rsid w:val="00564A4D"/>
    <w:rsid w:val="00567BA5"/>
    <w:rsid w:val="00571B35"/>
    <w:rsid w:val="00571D57"/>
    <w:rsid w:val="00577A09"/>
    <w:rsid w:val="005829C2"/>
    <w:rsid w:val="00583E9C"/>
    <w:rsid w:val="00584D8F"/>
    <w:rsid w:val="005A1D05"/>
    <w:rsid w:val="005A404D"/>
    <w:rsid w:val="005B0E98"/>
    <w:rsid w:val="005B1E3C"/>
    <w:rsid w:val="005B704A"/>
    <w:rsid w:val="005C26CC"/>
    <w:rsid w:val="005C3643"/>
    <w:rsid w:val="005D7BA2"/>
    <w:rsid w:val="005E1C36"/>
    <w:rsid w:val="005E36C2"/>
    <w:rsid w:val="005E42A2"/>
    <w:rsid w:val="005E62BA"/>
    <w:rsid w:val="005F1592"/>
    <w:rsid w:val="005F3CA6"/>
    <w:rsid w:val="00612F4F"/>
    <w:rsid w:val="006147D0"/>
    <w:rsid w:val="00615C68"/>
    <w:rsid w:val="00615C6B"/>
    <w:rsid w:val="00621DCE"/>
    <w:rsid w:val="00632D6D"/>
    <w:rsid w:val="006330EF"/>
    <w:rsid w:val="00634CCE"/>
    <w:rsid w:val="00642C3E"/>
    <w:rsid w:val="006537AA"/>
    <w:rsid w:val="00657614"/>
    <w:rsid w:val="0066104A"/>
    <w:rsid w:val="00663DAD"/>
    <w:rsid w:val="00666DED"/>
    <w:rsid w:val="00671026"/>
    <w:rsid w:val="00675E20"/>
    <w:rsid w:val="00676679"/>
    <w:rsid w:val="00683C89"/>
    <w:rsid w:val="00684865"/>
    <w:rsid w:val="0068774A"/>
    <w:rsid w:val="006A08A8"/>
    <w:rsid w:val="006A2019"/>
    <w:rsid w:val="006B00AB"/>
    <w:rsid w:val="006B2395"/>
    <w:rsid w:val="006B31AD"/>
    <w:rsid w:val="006B4CF9"/>
    <w:rsid w:val="006B7AC8"/>
    <w:rsid w:val="006C16F3"/>
    <w:rsid w:val="006C1736"/>
    <w:rsid w:val="006D146A"/>
    <w:rsid w:val="006D5008"/>
    <w:rsid w:val="006D550F"/>
    <w:rsid w:val="006D7C7F"/>
    <w:rsid w:val="006E2684"/>
    <w:rsid w:val="00701CAB"/>
    <w:rsid w:val="00705E0F"/>
    <w:rsid w:val="00707563"/>
    <w:rsid w:val="00707794"/>
    <w:rsid w:val="00711696"/>
    <w:rsid w:val="00713956"/>
    <w:rsid w:val="0072348C"/>
    <w:rsid w:val="00724A37"/>
    <w:rsid w:val="0072750A"/>
    <w:rsid w:val="007303C3"/>
    <w:rsid w:val="00731756"/>
    <w:rsid w:val="007318B8"/>
    <w:rsid w:val="00734437"/>
    <w:rsid w:val="007359AE"/>
    <w:rsid w:val="007429BE"/>
    <w:rsid w:val="00743223"/>
    <w:rsid w:val="00746513"/>
    <w:rsid w:val="00746E01"/>
    <w:rsid w:val="00757364"/>
    <w:rsid w:val="00757BDF"/>
    <w:rsid w:val="007609D0"/>
    <w:rsid w:val="00763E5D"/>
    <w:rsid w:val="00767740"/>
    <w:rsid w:val="007704B9"/>
    <w:rsid w:val="00777EE6"/>
    <w:rsid w:val="00780791"/>
    <w:rsid w:val="007809E7"/>
    <w:rsid w:val="00782EEA"/>
    <w:rsid w:val="0078629B"/>
    <w:rsid w:val="007944CC"/>
    <w:rsid w:val="00796270"/>
    <w:rsid w:val="007A04EC"/>
    <w:rsid w:val="007A33BB"/>
    <w:rsid w:val="007A37B8"/>
    <w:rsid w:val="007B186E"/>
    <w:rsid w:val="007B2C72"/>
    <w:rsid w:val="007B7166"/>
    <w:rsid w:val="007C1C53"/>
    <w:rsid w:val="007C3476"/>
    <w:rsid w:val="007C4E37"/>
    <w:rsid w:val="007C74BB"/>
    <w:rsid w:val="007D456E"/>
    <w:rsid w:val="007D673B"/>
    <w:rsid w:val="007E0251"/>
    <w:rsid w:val="007E218F"/>
    <w:rsid w:val="007E4904"/>
    <w:rsid w:val="007E4CB5"/>
    <w:rsid w:val="007F066B"/>
    <w:rsid w:val="0080047D"/>
    <w:rsid w:val="00800A30"/>
    <w:rsid w:val="00801FB4"/>
    <w:rsid w:val="00803060"/>
    <w:rsid w:val="008033C4"/>
    <w:rsid w:val="00806C88"/>
    <w:rsid w:val="0081034E"/>
    <w:rsid w:val="00815410"/>
    <w:rsid w:val="00816AD7"/>
    <w:rsid w:val="008261BD"/>
    <w:rsid w:val="00832C21"/>
    <w:rsid w:val="008344F6"/>
    <w:rsid w:val="0083510F"/>
    <w:rsid w:val="00842A4F"/>
    <w:rsid w:val="00842AFA"/>
    <w:rsid w:val="00851209"/>
    <w:rsid w:val="00856A68"/>
    <w:rsid w:val="00863F61"/>
    <w:rsid w:val="0086542B"/>
    <w:rsid w:val="008712A6"/>
    <w:rsid w:val="008837AC"/>
    <w:rsid w:val="008851FA"/>
    <w:rsid w:val="008A587D"/>
    <w:rsid w:val="008B2394"/>
    <w:rsid w:val="008B35CD"/>
    <w:rsid w:val="008B39EC"/>
    <w:rsid w:val="008B4922"/>
    <w:rsid w:val="008B5FCC"/>
    <w:rsid w:val="008C2E79"/>
    <w:rsid w:val="008C5486"/>
    <w:rsid w:val="008C72AB"/>
    <w:rsid w:val="008D1006"/>
    <w:rsid w:val="008D1661"/>
    <w:rsid w:val="008D19A0"/>
    <w:rsid w:val="008E42FB"/>
    <w:rsid w:val="008E7031"/>
    <w:rsid w:val="008E77DE"/>
    <w:rsid w:val="008F07A3"/>
    <w:rsid w:val="008F4E45"/>
    <w:rsid w:val="009001B6"/>
    <w:rsid w:val="00900E1B"/>
    <w:rsid w:val="0090311F"/>
    <w:rsid w:val="0090431C"/>
    <w:rsid w:val="009233EE"/>
    <w:rsid w:val="00925143"/>
    <w:rsid w:val="00931A51"/>
    <w:rsid w:val="00933D15"/>
    <w:rsid w:val="0093539D"/>
    <w:rsid w:val="00937975"/>
    <w:rsid w:val="009460AA"/>
    <w:rsid w:val="00951978"/>
    <w:rsid w:val="00956F25"/>
    <w:rsid w:val="00961A4A"/>
    <w:rsid w:val="00963C48"/>
    <w:rsid w:val="009661DE"/>
    <w:rsid w:val="0097325C"/>
    <w:rsid w:val="0098295D"/>
    <w:rsid w:val="00983C25"/>
    <w:rsid w:val="00984045"/>
    <w:rsid w:val="009856B7"/>
    <w:rsid w:val="00985C86"/>
    <w:rsid w:val="0099016C"/>
    <w:rsid w:val="0099052E"/>
    <w:rsid w:val="00996349"/>
    <w:rsid w:val="00996A8E"/>
    <w:rsid w:val="009A5FC3"/>
    <w:rsid w:val="009A6369"/>
    <w:rsid w:val="009A7D9D"/>
    <w:rsid w:val="009B090B"/>
    <w:rsid w:val="009B74B0"/>
    <w:rsid w:val="009C0D47"/>
    <w:rsid w:val="009D3906"/>
    <w:rsid w:val="009D6B46"/>
    <w:rsid w:val="009E1CCF"/>
    <w:rsid w:val="009E21A6"/>
    <w:rsid w:val="009F4940"/>
    <w:rsid w:val="009F5BA1"/>
    <w:rsid w:val="00A02A88"/>
    <w:rsid w:val="00A0562E"/>
    <w:rsid w:val="00A0726D"/>
    <w:rsid w:val="00A21BE4"/>
    <w:rsid w:val="00A32FBB"/>
    <w:rsid w:val="00A344D3"/>
    <w:rsid w:val="00A428EE"/>
    <w:rsid w:val="00A43FF5"/>
    <w:rsid w:val="00A4478A"/>
    <w:rsid w:val="00A44852"/>
    <w:rsid w:val="00A44D9D"/>
    <w:rsid w:val="00A54A77"/>
    <w:rsid w:val="00A57D04"/>
    <w:rsid w:val="00A60A26"/>
    <w:rsid w:val="00A61598"/>
    <w:rsid w:val="00A61D44"/>
    <w:rsid w:val="00A6381A"/>
    <w:rsid w:val="00A63EDD"/>
    <w:rsid w:val="00A664E6"/>
    <w:rsid w:val="00A704B2"/>
    <w:rsid w:val="00A72BF9"/>
    <w:rsid w:val="00A83761"/>
    <w:rsid w:val="00A8428C"/>
    <w:rsid w:val="00A84A99"/>
    <w:rsid w:val="00A84F46"/>
    <w:rsid w:val="00A871F4"/>
    <w:rsid w:val="00A875FA"/>
    <w:rsid w:val="00A94E60"/>
    <w:rsid w:val="00AA3B8E"/>
    <w:rsid w:val="00AB4D90"/>
    <w:rsid w:val="00AC0C43"/>
    <w:rsid w:val="00AC1B2C"/>
    <w:rsid w:val="00AC3264"/>
    <w:rsid w:val="00AC4546"/>
    <w:rsid w:val="00AC75D8"/>
    <w:rsid w:val="00AD4284"/>
    <w:rsid w:val="00AE1BF1"/>
    <w:rsid w:val="00AE3127"/>
    <w:rsid w:val="00AF0DD2"/>
    <w:rsid w:val="00AF2413"/>
    <w:rsid w:val="00B000CD"/>
    <w:rsid w:val="00B04BE2"/>
    <w:rsid w:val="00B06C2F"/>
    <w:rsid w:val="00B06CAD"/>
    <w:rsid w:val="00B07C40"/>
    <w:rsid w:val="00B13048"/>
    <w:rsid w:val="00B1393D"/>
    <w:rsid w:val="00B1564F"/>
    <w:rsid w:val="00B1716D"/>
    <w:rsid w:val="00B17A1D"/>
    <w:rsid w:val="00B17E20"/>
    <w:rsid w:val="00B207A0"/>
    <w:rsid w:val="00B217BD"/>
    <w:rsid w:val="00B2303F"/>
    <w:rsid w:val="00B24607"/>
    <w:rsid w:val="00B35802"/>
    <w:rsid w:val="00B43FE2"/>
    <w:rsid w:val="00B514DD"/>
    <w:rsid w:val="00B518A1"/>
    <w:rsid w:val="00B52AF0"/>
    <w:rsid w:val="00B544E9"/>
    <w:rsid w:val="00B561BD"/>
    <w:rsid w:val="00B56E03"/>
    <w:rsid w:val="00B607C0"/>
    <w:rsid w:val="00B63EE6"/>
    <w:rsid w:val="00B71686"/>
    <w:rsid w:val="00B735EC"/>
    <w:rsid w:val="00B74AA8"/>
    <w:rsid w:val="00B77AD1"/>
    <w:rsid w:val="00B8080B"/>
    <w:rsid w:val="00B82223"/>
    <w:rsid w:val="00B84A1C"/>
    <w:rsid w:val="00B85163"/>
    <w:rsid w:val="00B85B98"/>
    <w:rsid w:val="00B8744C"/>
    <w:rsid w:val="00B87BA5"/>
    <w:rsid w:val="00B87C39"/>
    <w:rsid w:val="00B92BFD"/>
    <w:rsid w:val="00B9562D"/>
    <w:rsid w:val="00B95A87"/>
    <w:rsid w:val="00B9733D"/>
    <w:rsid w:val="00BA4665"/>
    <w:rsid w:val="00BB2FB2"/>
    <w:rsid w:val="00BB3304"/>
    <w:rsid w:val="00BC08F9"/>
    <w:rsid w:val="00BD3446"/>
    <w:rsid w:val="00BD5376"/>
    <w:rsid w:val="00BD5D87"/>
    <w:rsid w:val="00BE1F1B"/>
    <w:rsid w:val="00BE47B5"/>
    <w:rsid w:val="00BE767D"/>
    <w:rsid w:val="00BE7AF8"/>
    <w:rsid w:val="00BF36B2"/>
    <w:rsid w:val="00C02EC1"/>
    <w:rsid w:val="00C037F5"/>
    <w:rsid w:val="00C0394A"/>
    <w:rsid w:val="00C054AE"/>
    <w:rsid w:val="00C06713"/>
    <w:rsid w:val="00C070EF"/>
    <w:rsid w:val="00C125B0"/>
    <w:rsid w:val="00C127F0"/>
    <w:rsid w:val="00C14326"/>
    <w:rsid w:val="00C1627A"/>
    <w:rsid w:val="00C22933"/>
    <w:rsid w:val="00C2420D"/>
    <w:rsid w:val="00C25FA6"/>
    <w:rsid w:val="00C26737"/>
    <w:rsid w:val="00C420BC"/>
    <w:rsid w:val="00C51627"/>
    <w:rsid w:val="00C5213F"/>
    <w:rsid w:val="00C52BFB"/>
    <w:rsid w:val="00C538A9"/>
    <w:rsid w:val="00C53B5A"/>
    <w:rsid w:val="00C54F5A"/>
    <w:rsid w:val="00C569B4"/>
    <w:rsid w:val="00C633A7"/>
    <w:rsid w:val="00C63BDE"/>
    <w:rsid w:val="00C67A92"/>
    <w:rsid w:val="00C716FE"/>
    <w:rsid w:val="00C81758"/>
    <w:rsid w:val="00C84560"/>
    <w:rsid w:val="00C86679"/>
    <w:rsid w:val="00C8739E"/>
    <w:rsid w:val="00C941DE"/>
    <w:rsid w:val="00CA489E"/>
    <w:rsid w:val="00CA67ED"/>
    <w:rsid w:val="00CB0279"/>
    <w:rsid w:val="00CB666B"/>
    <w:rsid w:val="00CC7F1D"/>
    <w:rsid w:val="00CE484B"/>
    <w:rsid w:val="00CF2C82"/>
    <w:rsid w:val="00CF479B"/>
    <w:rsid w:val="00CF6177"/>
    <w:rsid w:val="00D006AE"/>
    <w:rsid w:val="00D01CF0"/>
    <w:rsid w:val="00D0442A"/>
    <w:rsid w:val="00D06059"/>
    <w:rsid w:val="00D13575"/>
    <w:rsid w:val="00D1563D"/>
    <w:rsid w:val="00D17061"/>
    <w:rsid w:val="00D27530"/>
    <w:rsid w:val="00D325B8"/>
    <w:rsid w:val="00D327DC"/>
    <w:rsid w:val="00D554B3"/>
    <w:rsid w:val="00D57224"/>
    <w:rsid w:val="00D608F0"/>
    <w:rsid w:val="00D61388"/>
    <w:rsid w:val="00D61A54"/>
    <w:rsid w:val="00D64DEA"/>
    <w:rsid w:val="00D7168E"/>
    <w:rsid w:val="00D71E57"/>
    <w:rsid w:val="00D80893"/>
    <w:rsid w:val="00D84854"/>
    <w:rsid w:val="00D9285C"/>
    <w:rsid w:val="00D92CF1"/>
    <w:rsid w:val="00D92D38"/>
    <w:rsid w:val="00D950F5"/>
    <w:rsid w:val="00D95B43"/>
    <w:rsid w:val="00DA4752"/>
    <w:rsid w:val="00DA61F3"/>
    <w:rsid w:val="00DA6A65"/>
    <w:rsid w:val="00DB0F93"/>
    <w:rsid w:val="00DB179C"/>
    <w:rsid w:val="00DB1A67"/>
    <w:rsid w:val="00DB48C6"/>
    <w:rsid w:val="00DB5074"/>
    <w:rsid w:val="00DB5627"/>
    <w:rsid w:val="00DC1689"/>
    <w:rsid w:val="00DC5D3C"/>
    <w:rsid w:val="00DC7981"/>
    <w:rsid w:val="00DE1093"/>
    <w:rsid w:val="00DE3695"/>
    <w:rsid w:val="00DE4EFA"/>
    <w:rsid w:val="00DE5520"/>
    <w:rsid w:val="00DE563D"/>
    <w:rsid w:val="00E04818"/>
    <w:rsid w:val="00E06442"/>
    <w:rsid w:val="00E1194C"/>
    <w:rsid w:val="00E13977"/>
    <w:rsid w:val="00E23993"/>
    <w:rsid w:val="00E243A2"/>
    <w:rsid w:val="00E25B8C"/>
    <w:rsid w:val="00E26679"/>
    <w:rsid w:val="00E306C7"/>
    <w:rsid w:val="00E31C00"/>
    <w:rsid w:val="00E360BC"/>
    <w:rsid w:val="00E3771C"/>
    <w:rsid w:val="00E43C30"/>
    <w:rsid w:val="00E44457"/>
    <w:rsid w:val="00E44764"/>
    <w:rsid w:val="00E5290E"/>
    <w:rsid w:val="00E529DC"/>
    <w:rsid w:val="00E5740F"/>
    <w:rsid w:val="00E60104"/>
    <w:rsid w:val="00E64F7F"/>
    <w:rsid w:val="00E65C85"/>
    <w:rsid w:val="00E66199"/>
    <w:rsid w:val="00E70FAD"/>
    <w:rsid w:val="00E7276D"/>
    <w:rsid w:val="00E7375F"/>
    <w:rsid w:val="00E755EC"/>
    <w:rsid w:val="00E7624D"/>
    <w:rsid w:val="00E80CEA"/>
    <w:rsid w:val="00E83D79"/>
    <w:rsid w:val="00E910A6"/>
    <w:rsid w:val="00E934A4"/>
    <w:rsid w:val="00E97452"/>
    <w:rsid w:val="00EA3D42"/>
    <w:rsid w:val="00EA40EC"/>
    <w:rsid w:val="00EA493E"/>
    <w:rsid w:val="00EA6B1B"/>
    <w:rsid w:val="00EC04F1"/>
    <w:rsid w:val="00EC1DD3"/>
    <w:rsid w:val="00EC28C6"/>
    <w:rsid w:val="00ED2A57"/>
    <w:rsid w:val="00ED7323"/>
    <w:rsid w:val="00EE28F3"/>
    <w:rsid w:val="00EE50D1"/>
    <w:rsid w:val="00EF0887"/>
    <w:rsid w:val="00EF3CFD"/>
    <w:rsid w:val="00EF5110"/>
    <w:rsid w:val="00EF6D51"/>
    <w:rsid w:val="00F0437C"/>
    <w:rsid w:val="00F0689C"/>
    <w:rsid w:val="00F10411"/>
    <w:rsid w:val="00F15882"/>
    <w:rsid w:val="00F171E0"/>
    <w:rsid w:val="00F20BD3"/>
    <w:rsid w:val="00F2298F"/>
    <w:rsid w:val="00F32E73"/>
    <w:rsid w:val="00F33446"/>
    <w:rsid w:val="00F33D1C"/>
    <w:rsid w:val="00F373A5"/>
    <w:rsid w:val="00F47559"/>
    <w:rsid w:val="00F50B2E"/>
    <w:rsid w:val="00F60229"/>
    <w:rsid w:val="00F64C7B"/>
    <w:rsid w:val="00F6565B"/>
    <w:rsid w:val="00F676DD"/>
    <w:rsid w:val="00F73143"/>
    <w:rsid w:val="00F75A26"/>
    <w:rsid w:val="00F76706"/>
    <w:rsid w:val="00F83FAD"/>
    <w:rsid w:val="00F850F4"/>
    <w:rsid w:val="00F92C09"/>
    <w:rsid w:val="00F93231"/>
    <w:rsid w:val="00F952A0"/>
    <w:rsid w:val="00F96BF2"/>
    <w:rsid w:val="00FA0677"/>
    <w:rsid w:val="00FA2A33"/>
    <w:rsid w:val="00FA3C7F"/>
    <w:rsid w:val="00FB0AD1"/>
    <w:rsid w:val="00FB60FE"/>
    <w:rsid w:val="00FB74E2"/>
    <w:rsid w:val="00FD5614"/>
    <w:rsid w:val="00FD5E78"/>
    <w:rsid w:val="00FE0BE1"/>
    <w:rsid w:val="00FE1DE9"/>
    <w:rsid w:val="00FE36AF"/>
    <w:rsid w:val="00FE39C2"/>
    <w:rsid w:val="00FE3C32"/>
    <w:rsid w:val="00FE55BF"/>
    <w:rsid w:val="00FE64AE"/>
    <w:rsid w:val="00FF5150"/>
    <w:rsid w:val="00FF5A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4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ind w:left="72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ind w:left="72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72075">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1833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4678B8-C45D-4011-AD1B-54320F610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8198DA25.dotm</Template>
  <TotalTime>1</TotalTime>
  <Pages>15</Pages>
  <Words>3611</Words>
  <Characters>20585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24148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final decision - AusNet Services - Depreciation</dc:title>
  <dc:subject>[subtitle]</dc:subject>
  <dc:creator>AER</dc:creator>
  <cp:lastModifiedBy>Le Cornu, Matthew</cp:lastModifiedBy>
  <cp:revision>2</cp:revision>
  <cp:lastPrinted>2014-12-15T02:03:00Z</cp:lastPrinted>
  <dcterms:created xsi:type="dcterms:W3CDTF">2017-04-24T05:00:00Z</dcterms:created>
  <dcterms:modified xsi:type="dcterms:W3CDTF">2017-04-24T05:00:00Z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 final decision ausnet services 2017-22 transmission determination - attachment 5 - regulatory depreciation - april (AER2016-000062).docx</vt:lpwstr>
  </property>
</Properties>
</file>