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1B" w:rsidRDefault="00C02FC5" w:rsidP="00390585">
      <w:pPr>
        <w:tabs>
          <w:tab w:val="left" w:pos="4395"/>
        </w:tabs>
      </w:pPr>
      <w:r w:rsidRPr="00290C63">
        <w:rPr>
          <w:noProof/>
          <w:lang w:eastAsia="en-AU"/>
        </w:rPr>
        <w:drawing>
          <wp:anchor distT="0" distB="0" distL="114300" distR="114300" simplePos="0" relativeHeight="251659264" behindDoc="1" locked="0" layoutInCell="1" allowOverlap="1" wp14:anchorId="68AC346E" wp14:editId="31644A23">
            <wp:simplePos x="0" y="0"/>
            <wp:positionH relativeFrom="column">
              <wp:posOffset>-1097915</wp:posOffset>
            </wp:positionH>
            <wp:positionV relativeFrom="paragraph">
              <wp:posOffset>-1069676</wp:posOffset>
            </wp:positionV>
            <wp:extent cx="7591245" cy="10834777"/>
            <wp:effectExtent l="0" t="0" r="0" b="508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35034"/>
                    </a:xfrm>
                    <a:prstGeom prst="rect">
                      <a:avLst/>
                    </a:prstGeom>
                    <a:noFill/>
                  </pic:spPr>
                </pic:pic>
              </a:graphicData>
            </a:graphic>
            <wp14:sizeRelH relativeFrom="page">
              <wp14:pctWidth>0</wp14:pctWidth>
            </wp14:sizeRelH>
            <wp14:sizeRelV relativeFrom="page">
              <wp14:pctHeight>0</wp14:pctHeight>
            </wp14:sizeRelV>
          </wp:anchor>
        </w:drawing>
      </w:r>
      <w:r w:rsidR="00920303">
        <w:t xml:space="preserve"> </w:t>
      </w:r>
    </w:p>
    <w:p w:rsidR="0079541B" w:rsidRDefault="0079541B" w:rsidP="00390585">
      <w:pPr>
        <w:tabs>
          <w:tab w:val="left" w:pos="4395"/>
        </w:tabs>
        <w:rPr>
          <w:rFonts w:eastAsiaTheme="majorEastAsia" w:cstheme="majorBidi"/>
          <w:noProof/>
          <w:sz w:val="36"/>
          <w:szCs w:val="36"/>
          <w:lang w:eastAsia="en-AU"/>
        </w:rPr>
      </w:pP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390585">
          <w:pPr>
            <w:tabs>
              <w:tab w:val="left" w:pos="4395"/>
            </w:tabs>
          </w:pP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972F76">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4F0F39" w:rsidP="008F07A3">
          <w:pPr>
            <w:pStyle w:val="ReportSubtitle"/>
          </w:pPr>
          <w:r>
            <w:t>2017–</w:t>
          </w:r>
          <w:r w:rsidR="00972F76">
            <w:t>22</w:t>
          </w:r>
        </w:p>
        <w:p w:rsidR="008F07A3" w:rsidRPr="000A6C7B" w:rsidRDefault="008F07A3" w:rsidP="008F07A3">
          <w:pPr>
            <w:pStyle w:val="ReportSubtitle"/>
          </w:pPr>
        </w:p>
        <w:p w:rsidR="000A6C7B" w:rsidRPr="000A6C7B" w:rsidRDefault="00390585" w:rsidP="008F07A3">
          <w:pPr>
            <w:pStyle w:val="ReportSubtitle"/>
          </w:pPr>
          <w:r>
            <w:t>Attachment 7</w:t>
          </w:r>
          <w:r w:rsidR="00DA4752">
            <w:t xml:space="preserve"> </w:t>
          </w:r>
          <w:r w:rsidR="00415F31">
            <w:rPr>
              <w:rFonts w:cs="Arial"/>
            </w:rPr>
            <w:t>–</w:t>
          </w:r>
          <w:r w:rsidR="00DA4752">
            <w:t xml:space="preserve"> </w:t>
          </w:r>
          <w:r>
            <w:t>Operating expenditure</w:t>
          </w:r>
        </w:p>
        <w:p w:rsidR="00B9733D" w:rsidRDefault="00B9733D" w:rsidP="00327A1E">
          <w:pPr>
            <w:pStyle w:val="ReportDate"/>
          </w:pPr>
        </w:p>
        <w:p w:rsidR="000A6C7B" w:rsidRPr="00327A1E" w:rsidRDefault="00972F76" w:rsidP="00327A1E">
          <w:pPr>
            <w:pStyle w:val="ReportDate"/>
          </w:pPr>
          <w:r>
            <w:t>April 2017</w:t>
          </w:r>
        </w:p>
      </w:sdtContent>
    </w:sdt>
    <w:p w:rsidR="00327A1E" w:rsidRPr="00290C63" w:rsidRDefault="00327A1E" w:rsidP="00290C63">
      <w:r>
        <w:br w:type="page"/>
      </w:r>
    </w:p>
    <w:p w:rsidR="000A6C7B" w:rsidRDefault="006953CB"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537F1D" w:rsidRDefault="00537F1D" w:rsidP="00B9562D">
      <w:pPr>
        <w:pStyle w:val="Copyright"/>
      </w:pPr>
      <w:r>
        <w:t xml:space="preserve">Tel:  </w:t>
      </w:r>
      <w:r w:rsidR="009B524B">
        <w:t>1300 585 165</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80809636"/>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972F76">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972F76">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972F76">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8080963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EE752B"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80809636" w:history="1">
            <w:r w:rsidR="00EE752B" w:rsidRPr="009505C2">
              <w:rPr>
                <w:rStyle w:val="Hyperlink"/>
              </w:rPr>
              <w:t>Note</w:t>
            </w:r>
            <w:r w:rsidR="00EE752B">
              <w:rPr>
                <w:webHidden/>
              </w:rPr>
              <w:tab/>
            </w:r>
            <w:r w:rsidR="00EE752B">
              <w:rPr>
                <w:webHidden/>
              </w:rPr>
              <w:fldChar w:fldCharType="begin"/>
            </w:r>
            <w:r w:rsidR="00EE752B">
              <w:rPr>
                <w:webHidden/>
              </w:rPr>
              <w:instrText xml:space="preserve"> PAGEREF _Toc480809636 \h </w:instrText>
            </w:r>
            <w:r w:rsidR="00EE752B">
              <w:rPr>
                <w:webHidden/>
              </w:rPr>
            </w:r>
            <w:r w:rsidR="00EE752B">
              <w:rPr>
                <w:webHidden/>
              </w:rPr>
              <w:fldChar w:fldCharType="separate"/>
            </w:r>
            <w:r w:rsidR="00EE752B">
              <w:rPr>
                <w:webHidden/>
              </w:rPr>
              <w:t>7-2</w:t>
            </w:r>
            <w:r w:rsidR="00EE752B">
              <w:rPr>
                <w:webHidden/>
              </w:rPr>
              <w:fldChar w:fldCharType="end"/>
            </w:r>
          </w:hyperlink>
        </w:p>
        <w:p w:rsidR="00EE752B" w:rsidRDefault="00EE752B">
          <w:pPr>
            <w:pStyle w:val="TOC1"/>
            <w:rPr>
              <w:rFonts w:asciiTheme="minorHAnsi" w:eastAsiaTheme="minorEastAsia" w:hAnsiTheme="minorHAnsi"/>
              <w:b w:val="0"/>
              <w:color w:val="auto"/>
              <w:sz w:val="22"/>
              <w:lang w:val="en-AU" w:eastAsia="en-AU"/>
            </w:rPr>
          </w:pPr>
          <w:hyperlink w:anchor="_Toc480809637" w:history="1">
            <w:r w:rsidRPr="009505C2">
              <w:rPr>
                <w:rStyle w:val="Hyperlink"/>
              </w:rPr>
              <w:t>Contents</w:t>
            </w:r>
            <w:r>
              <w:rPr>
                <w:webHidden/>
              </w:rPr>
              <w:tab/>
            </w:r>
            <w:r>
              <w:rPr>
                <w:webHidden/>
              </w:rPr>
              <w:fldChar w:fldCharType="begin"/>
            </w:r>
            <w:r>
              <w:rPr>
                <w:webHidden/>
              </w:rPr>
              <w:instrText xml:space="preserve"> PAGEREF _Toc480809637 \h </w:instrText>
            </w:r>
            <w:r>
              <w:rPr>
                <w:webHidden/>
              </w:rPr>
            </w:r>
            <w:r>
              <w:rPr>
                <w:webHidden/>
              </w:rPr>
              <w:fldChar w:fldCharType="separate"/>
            </w:r>
            <w:r>
              <w:rPr>
                <w:webHidden/>
              </w:rPr>
              <w:t>7-3</w:t>
            </w:r>
            <w:r>
              <w:rPr>
                <w:webHidden/>
              </w:rPr>
              <w:fldChar w:fldCharType="end"/>
            </w:r>
          </w:hyperlink>
        </w:p>
        <w:p w:rsidR="00EE752B" w:rsidRDefault="00EE752B">
          <w:pPr>
            <w:pStyle w:val="TOC1"/>
            <w:rPr>
              <w:rFonts w:asciiTheme="minorHAnsi" w:eastAsiaTheme="minorEastAsia" w:hAnsiTheme="minorHAnsi"/>
              <w:b w:val="0"/>
              <w:color w:val="auto"/>
              <w:sz w:val="22"/>
              <w:lang w:val="en-AU" w:eastAsia="en-AU"/>
            </w:rPr>
          </w:pPr>
          <w:hyperlink w:anchor="_Toc480809638" w:history="1">
            <w:r w:rsidRPr="009505C2">
              <w:rPr>
                <w:rStyle w:val="Hyperlink"/>
              </w:rPr>
              <w:t>Shortened forms</w:t>
            </w:r>
            <w:r>
              <w:rPr>
                <w:webHidden/>
              </w:rPr>
              <w:tab/>
            </w:r>
            <w:r>
              <w:rPr>
                <w:webHidden/>
              </w:rPr>
              <w:fldChar w:fldCharType="begin"/>
            </w:r>
            <w:r>
              <w:rPr>
                <w:webHidden/>
              </w:rPr>
              <w:instrText xml:space="preserve"> PAGEREF _Toc480809638 \h </w:instrText>
            </w:r>
            <w:r>
              <w:rPr>
                <w:webHidden/>
              </w:rPr>
            </w:r>
            <w:r>
              <w:rPr>
                <w:webHidden/>
              </w:rPr>
              <w:fldChar w:fldCharType="separate"/>
            </w:r>
            <w:r>
              <w:rPr>
                <w:webHidden/>
              </w:rPr>
              <w:t>7-5</w:t>
            </w:r>
            <w:r>
              <w:rPr>
                <w:webHidden/>
              </w:rPr>
              <w:fldChar w:fldCharType="end"/>
            </w:r>
          </w:hyperlink>
        </w:p>
        <w:p w:rsidR="00EE752B" w:rsidRDefault="00EE752B">
          <w:pPr>
            <w:pStyle w:val="TOC1"/>
            <w:rPr>
              <w:rFonts w:asciiTheme="minorHAnsi" w:eastAsiaTheme="minorEastAsia" w:hAnsiTheme="minorHAnsi"/>
              <w:b w:val="0"/>
              <w:color w:val="auto"/>
              <w:sz w:val="22"/>
              <w:lang w:val="en-AU" w:eastAsia="en-AU"/>
            </w:rPr>
          </w:pPr>
          <w:hyperlink w:anchor="_Toc480809639" w:history="1">
            <w:r w:rsidRPr="009505C2">
              <w:rPr>
                <w:rStyle w:val="Hyperlink"/>
              </w:rPr>
              <w:t>7</w:t>
            </w:r>
            <w:r>
              <w:rPr>
                <w:rFonts w:asciiTheme="minorHAnsi" w:eastAsiaTheme="minorEastAsia" w:hAnsiTheme="minorHAnsi"/>
                <w:b w:val="0"/>
                <w:color w:val="auto"/>
                <w:sz w:val="22"/>
                <w:lang w:val="en-AU" w:eastAsia="en-AU"/>
              </w:rPr>
              <w:tab/>
            </w:r>
            <w:r w:rsidRPr="009505C2">
              <w:rPr>
                <w:rStyle w:val="Hyperlink"/>
              </w:rPr>
              <w:t>Operating expenditure</w:t>
            </w:r>
            <w:r>
              <w:rPr>
                <w:webHidden/>
              </w:rPr>
              <w:tab/>
            </w:r>
            <w:r>
              <w:rPr>
                <w:webHidden/>
              </w:rPr>
              <w:fldChar w:fldCharType="begin"/>
            </w:r>
            <w:r>
              <w:rPr>
                <w:webHidden/>
              </w:rPr>
              <w:instrText xml:space="preserve"> PAGEREF _Toc480809639 \h </w:instrText>
            </w:r>
            <w:r>
              <w:rPr>
                <w:webHidden/>
              </w:rPr>
            </w:r>
            <w:r>
              <w:rPr>
                <w:webHidden/>
              </w:rPr>
              <w:fldChar w:fldCharType="separate"/>
            </w:r>
            <w:r>
              <w:rPr>
                <w:webHidden/>
              </w:rPr>
              <w:t>7-7</w:t>
            </w:r>
            <w:r>
              <w:rPr>
                <w:webHidden/>
              </w:rPr>
              <w:fldChar w:fldCharType="end"/>
            </w:r>
          </w:hyperlink>
        </w:p>
        <w:p w:rsidR="00EE752B" w:rsidRDefault="00EE752B">
          <w:pPr>
            <w:pStyle w:val="TOC2"/>
            <w:rPr>
              <w:rFonts w:asciiTheme="minorHAnsi" w:eastAsiaTheme="minorEastAsia" w:hAnsiTheme="minorHAnsi"/>
              <w:b w:val="0"/>
              <w:color w:val="auto"/>
              <w:sz w:val="22"/>
              <w:lang w:eastAsia="en-AU"/>
            </w:rPr>
          </w:pPr>
          <w:hyperlink w:anchor="_Toc480809640" w:history="1">
            <w:r w:rsidRPr="009505C2">
              <w:rPr>
                <w:rStyle w:val="Hyperlink"/>
              </w:rPr>
              <w:t>7.1</w:t>
            </w:r>
            <w:r>
              <w:rPr>
                <w:rFonts w:asciiTheme="minorHAnsi" w:eastAsiaTheme="minorEastAsia" w:hAnsiTheme="minorHAnsi"/>
                <w:b w:val="0"/>
                <w:color w:val="auto"/>
                <w:sz w:val="22"/>
                <w:lang w:eastAsia="en-AU"/>
              </w:rPr>
              <w:tab/>
            </w:r>
            <w:r w:rsidRPr="009505C2">
              <w:rPr>
                <w:rStyle w:val="Hyperlink"/>
              </w:rPr>
              <w:t>Summary</w:t>
            </w:r>
            <w:r>
              <w:rPr>
                <w:webHidden/>
              </w:rPr>
              <w:tab/>
            </w:r>
            <w:r>
              <w:rPr>
                <w:webHidden/>
              </w:rPr>
              <w:fldChar w:fldCharType="begin"/>
            </w:r>
            <w:r>
              <w:rPr>
                <w:webHidden/>
              </w:rPr>
              <w:instrText xml:space="preserve"> PAGEREF _Toc480809640 \h </w:instrText>
            </w:r>
            <w:r>
              <w:rPr>
                <w:webHidden/>
              </w:rPr>
            </w:r>
            <w:r>
              <w:rPr>
                <w:webHidden/>
              </w:rPr>
              <w:fldChar w:fldCharType="separate"/>
            </w:r>
            <w:r>
              <w:rPr>
                <w:webHidden/>
              </w:rPr>
              <w:t>7-7</w:t>
            </w:r>
            <w:r>
              <w:rPr>
                <w:webHidden/>
              </w:rPr>
              <w:fldChar w:fldCharType="end"/>
            </w:r>
          </w:hyperlink>
        </w:p>
        <w:p w:rsidR="00EE752B" w:rsidRDefault="00EE752B">
          <w:pPr>
            <w:pStyle w:val="TOC2"/>
            <w:rPr>
              <w:rFonts w:asciiTheme="minorHAnsi" w:eastAsiaTheme="minorEastAsia" w:hAnsiTheme="minorHAnsi"/>
              <w:b w:val="0"/>
              <w:color w:val="auto"/>
              <w:sz w:val="22"/>
              <w:lang w:eastAsia="en-AU"/>
            </w:rPr>
          </w:pPr>
          <w:hyperlink w:anchor="_Toc480809641" w:history="1">
            <w:r w:rsidRPr="009505C2">
              <w:rPr>
                <w:rStyle w:val="Hyperlink"/>
              </w:rPr>
              <w:t>7.2</w:t>
            </w:r>
            <w:r>
              <w:rPr>
                <w:rFonts w:asciiTheme="minorHAnsi" w:eastAsiaTheme="minorEastAsia" w:hAnsiTheme="minorHAnsi"/>
                <w:b w:val="0"/>
                <w:color w:val="auto"/>
                <w:sz w:val="22"/>
                <w:lang w:eastAsia="en-AU"/>
              </w:rPr>
              <w:tab/>
            </w:r>
            <w:r w:rsidRPr="009505C2">
              <w:rPr>
                <w:rStyle w:val="Hyperlink"/>
              </w:rPr>
              <w:t>AusNet Services’ revised proposal</w:t>
            </w:r>
            <w:r>
              <w:rPr>
                <w:webHidden/>
              </w:rPr>
              <w:tab/>
            </w:r>
            <w:r>
              <w:rPr>
                <w:webHidden/>
              </w:rPr>
              <w:fldChar w:fldCharType="begin"/>
            </w:r>
            <w:r>
              <w:rPr>
                <w:webHidden/>
              </w:rPr>
              <w:instrText xml:space="preserve"> PAGEREF _Toc480809641 \h </w:instrText>
            </w:r>
            <w:r>
              <w:rPr>
                <w:webHidden/>
              </w:rPr>
            </w:r>
            <w:r>
              <w:rPr>
                <w:webHidden/>
              </w:rPr>
              <w:fldChar w:fldCharType="separate"/>
            </w:r>
            <w:r>
              <w:rPr>
                <w:webHidden/>
              </w:rPr>
              <w:t>7-9</w:t>
            </w:r>
            <w:r>
              <w:rPr>
                <w:webHidden/>
              </w:rPr>
              <w:fldChar w:fldCharType="end"/>
            </w:r>
          </w:hyperlink>
        </w:p>
        <w:p w:rsidR="00EE752B" w:rsidRDefault="00EE752B">
          <w:pPr>
            <w:pStyle w:val="TOC2"/>
            <w:rPr>
              <w:rFonts w:asciiTheme="minorHAnsi" w:eastAsiaTheme="minorEastAsia" w:hAnsiTheme="minorHAnsi"/>
              <w:b w:val="0"/>
              <w:color w:val="auto"/>
              <w:sz w:val="22"/>
              <w:lang w:eastAsia="en-AU"/>
            </w:rPr>
          </w:pPr>
          <w:hyperlink w:anchor="_Toc480809642" w:history="1">
            <w:r w:rsidRPr="009505C2">
              <w:rPr>
                <w:rStyle w:val="Hyperlink"/>
              </w:rPr>
              <w:t>7.3</w:t>
            </w:r>
            <w:r>
              <w:rPr>
                <w:rFonts w:asciiTheme="minorHAnsi" w:eastAsiaTheme="minorEastAsia" w:hAnsiTheme="minorHAnsi"/>
                <w:b w:val="0"/>
                <w:color w:val="auto"/>
                <w:sz w:val="22"/>
                <w:lang w:eastAsia="en-AU"/>
              </w:rPr>
              <w:tab/>
            </w:r>
            <w:r w:rsidRPr="009505C2">
              <w:rPr>
                <w:rStyle w:val="Hyperlink"/>
              </w:rPr>
              <w:t>Stakeholder submissions</w:t>
            </w:r>
            <w:r>
              <w:rPr>
                <w:webHidden/>
              </w:rPr>
              <w:tab/>
            </w:r>
            <w:r>
              <w:rPr>
                <w:webHidden/>
              </w:rPr>
              <w:fldChar w:fldCharType="begin"/>
            </w:r>
            <w:r>
              <w:rPr>
                <w:webHidden/>
              </w:rPr>
              <w:instrText xml:space="preserve"> PAGEREF _Toc480809642 \h </w:instrText>
            </w:r>
            <w:r>
              <w:rPr>
                <w:webHidden/>
              </w:rPr>
            </w:r>
            <w:r>
              <w:rPr>
                <w:webHidden/>
              </w:rPr>
              <w:fldChar w:fldCharType="separate"/>
            </w:r>
            <w:r>
              <w:rPr>
                <w:webHidden/>
              </w:rPr>
              <w:t>7-12</w:t>
            </w:r>
            <w:r>
              <w:rPr>
                <w:webHidden/>
              </w:rPr>
              <w:fldChar w:fldCharType="end"/>
            </w:r>
          </w:hyperlink>
        </w:p>
        <w:p w:rsidR="00EE752B" w:rsidRDefault="00EE752B">
          <w:pPr>
            <w:pStyle w:val="TOC2"/>
            <w:rPr>
              <w:rFonts w:asciiTheme="minorHAnsi" w:eastAsiaTheme="minorEastAsia" w:hAnsiTheme="minorHAnsi"/>
              <w:b w:val="0"/>
              <w:color w:val="auto"/>
              <w:sz w:val="22"/>
              <w:lang w:eastAsia="en-AU"/>
            </w:rPr>
          </w:pPr>
          <w:hyperlink w:anchor="_Toc480809643" w:history="1">
            <w:r w:rsidRPr="009505C2">
              <w:rPr>
                <w:rStyle w:val="Hyperlink"/>
              </w:rPr>
              <w:t>7.4</w:t>
            </w:r>
            <w:r>
              <w:rPr>
                <w:rFonts w:asciiTheme="minorHAnsi" w:eastAsiaTheme="minorEastAsia" w:hAnsiTheme="minorHAnsi"/>
                <w:b w:val="0"/>
                <w:color w:val="auto"/>
                <w:sz w:val="22"/>
                <w:lang w:eastAsia="en-AU"/>
              </w:rPr>
              <w:tab/>
            </w:r>
            <w:r w:rsidRPr="009505C2">
              <w:rPr>
                <w:rStyle w:val="Hyperlink"/>
              </w:rPr>
              <w:t>Assessment approach</w:t>
            </w:r>
            <w:r>
              <w:rPr>
                <w:webHidden/>
              </w:rPr>
              <w:tab/>
            </w:r>
            <w:r>
              <w:rPr>
                <w:webHidden/>
              </w:rPr>
              <w:fldChar w:fldCharType="begin"/>
            </w:r>
            <w:r>
              <w:rPr>
                <w:webHidden/>
              </w:rPr>
              <w:instrText xml:space="preserve"> PAGEREF _Toc480809643 \h </w:instrText>
            </w:r>
            <w:r>
              <w:rPr>
                <w:webHidden/>
              </w:rPr>
            </w:r>
            <w:r>
              <w:rPr>
                <w:webHidden/>
              </w:rPr>
              <w:fldChar w:fldCharType="separate"/>
            </w:r>
            <w:r>
              <w:rPr>
                <w:webHidden/>
              </w:rPr>
              <w:t>7-13</w:t>
            </w:r>
            <w:r>
              <w:rPr>
                <w:webHidden/>
              </w:rPr>
              <w:fldChar w:fldCharType="end"/>
            </w:r>
          </w:hyperlink>
        </w:p>
        <w:p w:rsidR="00EE752B" w:rsidRDefault="00EE752B">
          <w:pPr>
            <w:pStyle w:val="TOC3"/>
            <w:rPr>
              <w:rFonts w:asciiTheme="minorHAnsi" w:eastAsiaTheme="minorEastAsia" w:hAnsiTheme="minorHAnsi"/>
              <w:lang w:eastAsia="en-AU"/>
            </w:rPr>
          </w:pPr>
          <w:hyperlink w:anchor="_Toc480809644" w:history="1">
            <w:r w:rsidRPr="009505C2">
              <w:rPr>
                <w:rStyle w:val="Hyperlink"/>
              </w:rPr>
              <w:t>7.4.1</w:t>
            </w:r>
            <w:r>
              <w:rPr>
                <w:rFonts w:asciiTheme="minorHAnsi" w:eastAsiaTheme="minorEastAsia" w:hAnsiTheme="minorHAnsi"/>
                <w:lang w:eastAsia="en-AU"/>
              </w:rPr>
              <w:tab/>
            </w:r>
            <w:r w:rsidRPr="009505C2">
              <w:rPr>
                <w:rStyle w:val="Hyperlink"/>
              </w:rPr>
              <w:t>Incentive regulation and the 'top-down' approach</w:t>
            </w:r>
            <w:r>
              <w:rPr>
                <w:webHidden/>
              </w:rPr>
              <w:tab/>
            </w:r>
            <w:r>
              <w:rPr>
                <w:webHidden/>
              </w:rPr>
              <w:fldChar w:fldCharType="begin"/>
            </w:r>
            <w:r>
              <w:rPr>
                <w:webHidden/>
              </w:rPr>
              <w:instrText xml:space="preserve"> PAGEREF _Toc480809644 \h </w:instrText>
            </w:r>
            <w:r>
              <w:rPr>
                <w:webHidden/>
              </w:rPr>
            </w:r>
            <w:r>
              <w:rPr>
                <w:webHidden/>
              </w:rPr>
              <w:fldChar w:fldCharType="separate"/>
            </w:r>
            <w:r>
              <w:rPr>
                <w:webHidden/>
              </w:rPr>
              <w:t>7-14</w:t>
            </w:r>
            <w:r>
              <w:rPr>
                <w:webHidden/>
              </w:rPr>
              <w:fldChar w:fldCharType="end"/>
            </w:r>
          </w:hyperlink>
        </w:p>
        <w:p w:rsidR="00EE752B" w:rsidRDefault="00EE752B">
          <w:pPr>
            <w:pStyle w:val="TOC3"/>
            <w:rPr>
              <w:rFonts w:asciiTheme="minorHAnsi" w:eastAsiaTheme="minorEastAsia" w:hAnsiTheme="minorHAnsi"/>
              <w:lang w:eastAsia="en-AU"/>
            </w:rPr>
          </w:pPr>
          <w:hyperlink w:anchor="_Toc480809645" w:history="1">
            <w:r w:rsidRPr="009505C2">
              <w:rPr>
                <w:rStyle w:val="Hyperlink"/>
              </w:rPr>
              <w:t>7.4.2</w:t>
            </w:r>
            <w:r>
              <w:rPr>
                <w:rFonts w:asciiTheme="minorHAnsi" w:eastAsiaTheme="minorEastAsia" w:hAnsiTheme="minorHAnsi"/>
                <w:lang w:eastAsia="en-AU"/>
              </w:rPr>
              <w:tab/>
            </w:r>
            <w:r w:rsidRPr="009505C2">
              <w:rPr>
                <w:rStyle w:val="Hyperlink"/>
              </w:rPr>
              <w:t>Base–step–trend forecasting approach</w:t>
            </w:r>
            <w:r>
              <w:rPr>
                <w:webHidden/>
              </w:rPr>
              <w:tab/>
            </w:r>
            <w:r>
              <w:rPr>
                <w:webHidden/>
              </w:rPr>
              <w:fldChar w:fldCharType="begin"/>
            </w:r>
            <w:r>
              <w:rPr>
                <w:webHidden/>
              </w:rPr>
              <w:instrText xml:space="preserve"> PAGEREF _Toc480809645 \h </w:instrText>
            </w:r>
            <w:r>
              <w:rPr>
                <w:webHidden/>
              </w:rPr>
            </w:r>
            <w:r>
              <w:rPr>
                <w:webHidden/>
              </w:rPr>
              <w:fldChar w:fldCharType="separate"/>
            </w:r>
            <w:r>
              <w:rPr>
                <w:webHidden/>
              </w:rPr>
              <w:t>7-16</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46" w:history="1">
            <w:r w:rsidRPr="009505C2">
              <w:rPr>
                <w:rStyle w:val="Hyperlink"/>
              </w:rPr>
              <w:t>7.4.2.1</w:t>
            </w:r>
            <w:r>
              <w:rPr>
                <w:rFonts w:asciiTheme="minorHAnsi" w:eastAsiaTheme="minorEastAsia" w:hAnsiTheme="minorHAnsi"/>
                <w:lang w:eastAsia="en-AU"/>
              </w:rPr>
              <w:tab/>
            </w:r>
            <w:r w:rsidRPr="009505C2">
              <w:rPr>
                <w:rStyle w:val="Hyperlink"/>
              </w:rPr>
              <w:t>Base opex</w:t>
            </w:r>
            <w:r>
              <w:rPr>
                <w:webHidden/>
              </w:rPr>
              <w:tab/>
            </w:r>
            <w:r>
              <w:rPr>
                <w:webHidden/>
              </w:rPr>
              <w:fldChar w:fldCharType="begin"/>
            </w:r>
            <w:r>
              <w:rPr>
                <w:webHidden/>
              </w:rPr>
              <w:instrText xml:space="preserve"> PAGEREF _Toc480809646 \h </w:instrText>
            </w:r>
            <w:r>
              <w:rPr>
                <w:webHidden/>
              </w:rPr>
            </w:r>
            <w:r>
              <w:rPr>
                <w:webHidden/>
              </w:rPr>
              <w:fldChar w:fldCharType="separate"/>
            </w:r>
            <w:r>
              <w:rPr>
                <w:webHidden/>
              </w:rPr>
              <w:t>7-18</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47" w:history="1">
            <w:r w:rsidRPr="009505C2">
              <w:rPr>
                <w:rStyle w:val="Hyperlink"/>
              </w:rPr>
              <w:t>7.4.2.2</w:t>
            </w:r>
            <w:r>
              <w:rPr>
                <w:rFonts w:asciiTheme="minorHAnsi" w:eastAsiaTheme="minorEastAsia" w:hAnsiTheme="minorHAnsi"/>
                <w:lang w:eastAsia="en-AU"/>
              </w:rPr>
              <w:tab/>
            </w:r>
            <w:r w:rsidRPr="009505C2">
              <w:rPr>
                <w:rStyle w:val="Hyperlink"/>
              </w:rPr>
              <w:t>Rate of change</w:t>
            </w:r>
            <w:r>
              <w:rPr>
                <w:webHidden/>
              </w:rPr>
              <w:tab/>
            </w:r>
            <w:r>
              <w:rPr>
                <w:webHidden/>
              </w:rPr>
              <w:fldChar w:fldCharType="begin"/>
            </w:r>
            <w:r>
              <w:rPr>
                <w:webHidden/>
              </w:rPr>
              <w:instrText xml:space="preserve"> PAGEREF _Toc480809647 \h </w:instrText>
            </w:r>
            <w:r>
              <w:rPr>
                <w:webHidden/>
              </w:rPr>
            </w:r>
            <w:r>
              <w:rPr>
                <w:webHidden/>
              </w:rPr>
              <w:fldChar w:fldCharType="separate"/>
            </w:r>
            <w:r>
              <w:rPr>
                <w:webHidden/>
              </w:rPr>
              <w:t>7-19</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48" w:history="1">
            <w:r w:rsidRPr="009505C2">
              <w:rPr>
                <w:rStyle w:val="Hyperlink"/>
              </w:rPr>
              <w:t>7.4.2.3</w:t>
            </w:r>
            <w:r>
              <w:rPr>
                <w:rFonts w:asciiTheme="minorHAnsi" w:eastAsiaTheme="minorEastAsia" w:hAnsiTheme="minorHAnsi"/>
                <w:lang w:eastAsia="en-AU"/>
              </w:rPr>
              <w:tab/>
            </w:r>
            <w:r w:rsidRPr="009505C2">
              <w:rPr>
                <w:rStyle w:val="Hyperlink"/>
              </w:rPr>
              <w:t>Step changes and category-specific forecasts</w:t>
            </w:r>
            <w:r>
              <w:rPr>
                <w:webHidden/>
              </w:rPr>
              <w:tab/>
            </w:r>
            <w:r>
              <w:rPr>
                <w:webHidden/>
              </w:rPr>
              <w:fldChar w:fldCharType="begin"/>
            </w:r>
            <w:r>
              <w:rPr>
                <w:webHidden/>
              </w:rPr>
              <w:instrText xml:space="preserve"> PAGEREF _Toc480809648 \h </w:instrText>
            </w:r>
            <w:r>
              <w:rPr>
                <w:webHidden/>
              </w:rPr>
            </w:r>
            <w:r>
              <w:rPr>
                <w:webHidden/>
              </w:rPr>
              <w:fldChar w:fldCharType="separate"/>
            </w:r>
            <w:r>
              <w:rPr>
                <w:webHidden/>
              </w:rPr>
              <w:t>7-20</w:t>
            </w:r>
            <w:r>
              <w:rPr>
                <w:webHidden/>
              </w:rPr>
              <w:fldChar w:fldCharType="end"/>
            </w:r>
          </w:hyperlink>
        </w:p>
        <w:p w:rsidR="00EE752B" w:rsidRDefault="00EE752B">
          <w:pPr>
            <w:pStyle w:val="TOC4"/>
            <w:rPr>
              <w:rFonts w:asciiTheme="minorHAnsi" w:eastAsiaTheme="minorEastAsia" w:hAnsiTheme="minorHAnsi"/>
              <w:lang w:eastAsia="en-AU"/>
            </w:rPr>
          </w:pPr>
          <w:hyperlink w:anchor="_Toc480809649" w:history="1">
            <w:r w:rsidRPr="009505C2">
              <w:rPr>
                <w:rStyle w:val="Hyperlink"/>
              </w:rPr>
              <w:t>Step changes</w:t>
            </w:r>
            <w:r>
              <w:rPr>
                <w:webHidden/>
              </w:rPr>
              <w:tab/>
            </w:r>
            <w:r>
              <w:rPr>
                <w:webHidden/>
              </w:rPr>
              <w:fldChar w:fldCharType="begin"/>
            </w:r>
            <w:r>
              <w:rPr>
                <w:webHidden/>
              </w:rPr>
              <w:instrText xml:space="preserve"> PAGEREF _Toc480809649 \h </w:instrText>
            </w:r>
            <w:r>
              <w:rPr>
                <w:webHidden/>
              </w:rPr>
            </w:r>
            <w:r>
              <w:rPr>
                <w:webHidden/>
              </w:rPr>
              <w:fldChar w:fldCharType="separate"/>
            </w:r>
            <w:r>
              <w:rPr>
                <w:webHidden/>
              </w:rPr>
              <w:t>7-20</w:t>
            </w:r>
            <w:r>
              <w:rPr>
                <w:webHidden/>
              </w:rPr>
              <w:fldChar w:fldCharType="end"/>
            </w:r>
          </w:hyperlink>
        </w:p>
        <w:p w:rsidR="00EE752B" w:rsidRDefault="00EE752B">
          <w:pPr>
            <w:pStyle w:val="TOC4"/>
            <w:rPr>
              <w:rFonts w:asciiTheme="minorHAnsi" w:eastAsiaTheme="minorEastAsia" w:hAnsiTheme="minorHAnsi"/>
              <w:lang w:eastAsia="en-AU"/>
            </w:rPr>
          </w:pPr>
          <w:hyperlink w:anchor="_Toc480809650" w:history="1">
            <w:r w:rsidRPr="009505C2">
              <w:rPr>
                <w:rStyle w:val="Hyperlink"/>
              </w:rPr>
              <w:t>Category specific forecasts</w:t>
            </w:r>
            <w:r>
              <w:rPr>
                <w:webHidden/>
              </w:rPr>
              <w:tab/>
            </w:r>
            <w:r>
              <w:rPr>
                <w:webHidden/>
              </w:rPr>
              <w:fldChar w:fldCharType="begin"/>
            </w:r>
            <w:r>
              <w:rPr>
                <w:webHidden/>
              </w:rPr>
              <w:instrText xml:space="preserve"> PAGEREF _Toc480809650 \h </w:instrText>
            </w:r>
            <w:r>
              <w:rPr>
                <w:webHidden/>
              </w:rPr>
            </w:r>
            <w:r>
              <w:rPr>
                <w:webHidden/>
              </w:rPr>
              <w:fldChar w:fldCharType="separate"/>
            </w:r>
            <w:r>
              <w:rPr>
                <w:webHidden/>
              </w:rPr>
              <w:t>7-22</w:t>
            </w:r>
            <w:r>
              <w:rPr>
                <w:webHidden/>
              </w:rPr>
              <w:fldChar w:fldCharType="end"/>
            </w:r>
          </w:hyperlink>
        </w:p>
        <w:p w:rsidR="00EE752B" w:rsidRDefault="00EE752B">
          <w:pPr>
            <w:pStyle w:val="TOC2"/>
            <w:rPr>
              <w:rFonts w:asciiTheme="minorHAnsi" w:eastAsiaTheme="minorEastAsia" w:hAnsiTheme="minorHAnsi"/>
              <w:b w:val="0"/>
              <w:color w:val="auto"/>
              <w:sz w:val="22"/>
              <w:lang w:eastAsia="en-AU"/>
            </w:rPr>
          </w:pPr>
          <w:hyperlink w:anchor="_Toc480809651" w:history="1">
            <w:r w:rsidRPr="009505C2">
              <w:rPr>
                <w:rStyle w:val="Hyperlink"/>
              </w:rPr>
              <w:t>7.5</w:t>
            </w:r>
            <w:r>
              <w:rPr>
                <w:rFonts w:asciiTheme="minorHAnsi" w:eastAsiaTheme="minorEastAsia" w:hAnsiTheme="minorHAnsi"/>
                <w:b w:val="0"/>
                <w:color w:val="auto"/>
                <w:sz w:val="22"/>
                <w:lang w:eastAsia="en-AU"/>
              </w:rPr>
              <w:tab/>
            </w:r>
            <w:r w:rsidRPr="009505C2">
              <w:rPr>
                <w:rStyle w:val="Hyperlink"/>
              </w:rPr>
              <w:t>AER final decision</w:t>
            </w:r>
            <w:r>
              <w:rPr>
                <w:webHidden/>
              </w:rPr>
              <w:tab/>
            </w:r>
            <w:r>
              <w:rPr>
                <w:webHidden/>
              </w:rPr>
              <w:fldChar w:fldCharType="begin"/>
            </w:r>
            <w:r>
              <w:rPr>
                <w:webHidden/>
              </w:rPr>
              <w:instrText xml:space="preserve"> PAGEREF _Toc480809651 \h </w:instrText>
            </w:r>
            <w:r>
              <w:rPr>
                <w:webHidden/>
              </w:rPr>
            </w:r>
            <w:r>
              <w:rPr>
                <w:webHidden/>
              </w:rPr>
              <w:fldChar w:fldCharType="separate"/>
            </w:r>
            <w:r>
              <w:rPr>
                <w:webHidden/>
              </w:rPr>
              <w:t>7-23</w:t>
            </w:r>
            <w:r>
              <w:rPr>
                <w:webHidden/>
              </w:rPr>
              <w:fldChar w:fldCharType="end"/>
            </w:r>
          </w:hyperlink>
        </w:p>
        <w:p w:rsidR="00EE752B" w:rsidRDefault="00EE752B">
          <w:pPr>
            <w:pStyle w:val="TOC3"/>
            <w:rPr>
              <w:rFonts w:asciiTheme="minorHAnsi" w:eastAsiaTheme="minorEastAsia" w:hAnsiTheme="minorHAnsi"/>
              <w:lang w:eastAsia="en-AU"/>
            </w:rPr>
          </w:pPr>
          <w:hyperlink w:anchor="_Toc480809652" w:history="1">
            <w:r w:rsidRPr="009505C2">
              <w:rPr>
                <w:rStyle w:val="Hyperlink"/>
              </w:rPr>
              <w:t>7.5.1</w:t>
            </w:r>
            <w:r>
              <w:rPr>
                <w:rFonts w:asciiTheme="minorHAnsi" w:eastAsiaTheme="minorEastAsia" w:hAnsiTheme="minorHAnsi"/>
                <w:lang w:eastAsia="en-AU"/>
              </w:rPr>
              <w:tab/>
            </w:r>
            <w:r w:rsidRPr="009505C2">
              <w:rPr>
                <w:rStyle w:val="Hyperlink"/>
              </w:rPr>
              <w:t>Base opex</w:t>
            </w:r>
            <w:r>
              <w:rPr>
                <w:webHidden/>
              </w:rPr>
              <w:tab/>
            </w:r>
            <w:r>
              <w:rPr>
                <w:webHidden/>
              </w:rPr>
              <w:fldChar w:fldCharType="begin"/>
            </w:r>
            <w:r>
              <w:rPr>
                <w:webHidden/>
              </w:rPr>
              <w:instrText xml:space="preserve"> PAGEREF _Toc480809652 \h </w:instrText>
            </w:r>
            <w:r>
              <w:rPr>
                <w:webHidden/>
              </w:rPr>
            </w:r>
            <w:r>
              <w:rPr>
                <w:webHidden/>
              </w:rPr>
              <w:fldChar w:fldCharType="separate"/>
            </w:r>
            <w:r>
              <w:rPr>
                <w:webHidden/>
              </w:rPr>
              <w:t>7-24</w:t>
            </w:r>
            <w:r>
              <w:rPr>
                <w:webHidden/>
              </w:rPr>
              <w:fldChar w:fldCharType="end"/>
            </w:r>
          </w:hyperlink>
        </w:p>
        <w:p w:rsidR="00EE752B" w:rsidRDefault="00EE752B">
          <w:pPr>
            <w:pStyle w:val="TOC3"/>
            <w:rPr>
              <w:rFonts w:asciiTheme="minorHAnsi" w:eastAsiaTheme="minorEastAsia" w:hAnsiTheme="minorHAnsi"/>
              <w:lang w:eastAsia="en-AU"/>
            </w:rPr>
          </w:pPr>
          <w:hyperlink w:anchor="_Toc480809653" w:history="1">
            <w:r w:rsidRPr="009505C2">
              <w:rPr>
                <w:rStyle w:val="Hyperlink"/>
              </w:rPr>
              <w:t>7.5.2</w:t>
            </w:r>
            <w:r>
              <w:rPr>
                <w:rFonts w:asciiTheme="minorHAnsi" w:eastAsiaTheme="minorEastAsia" w:hAnsiTheme="minorHAnsi"/>
                <w:lang w:eastAsia="en-AU"/>
              </w:rPr>
              <w:tab/>
            </w:r>
            <w:r w:rsidRPr="009505C2">
              <w:rPr>
                <w:rStyle w:val="Hyperlink"/>
              </w:rPr>
              <w:t>Rate of change</w:t>
            </w:r>
            <w:r>
              <w:rPr>
                <w:webHidden/>
              </w:rPr>
              <w:tab/>
            </w:r>
            <w:r>
              <w:rPr>
                <w:webHidden/>
              </w:rPr>
              <w:fldChar w:fldCharType="begin"/>
            </w:r>
            <w:r>
              <w:rPr>
                <w:webHidden/>
              </w:rPr>
              <w:instrText xml:space="preserve"> PAGEREF _Toc480809653 \h </w:instrText>
            </w:r>
            <w:r>
              <w:rPr>
                <w:webHidden/>
              </w:rPr>
            </w:r>
            <w:r>
              <w:rPr>
                <w:webHidden/>
              </w:rPr>
              <w:fldChar w:fldCharType="separate"/>
            </w:r>
            <w:r>
              <w:rPr>
                <w:webHidden/>
              </w:rPr>
              <w:t>7-25</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54" w:history="1">
            <w:r w:rsidRPr="009505C2">
              <w:rPr>
                <w:rStyle w:val="Hyperlink"/>
              </w:rPr>
              <w:t>7.5.2.1</w:t>
            </w:r>
            <w:r>
              <w:rPr>
                <w:rFonts w:asciiTheme="minorHAnsi" w:eastAsiaTheme="minorEastAsia" w:hAnsiTheme="minorHAnsi"/>
                <w:lang w:eastAsia="en-AU"/>
              </w:rPr>
              <w:tab/>
            </w:r>
            <w:r w:rsidRPr="009505C2">
              <w:rPr>
                <w:rStyle w:val="Hyperlink"/>
              </w:rPr>
              <w:t>Forecast price growth</w:t>
            </w:r>
            <w:r>
              <w:rPr>
                <w:webHidden/>
              </w:rPr>
              <w:tab/>
            </w:r>
            <w:r>
              <w:rPr>
                <w:webHidden/>
              </w:rPr>
              <w:fldChar w:fldCharType="begin"/>
            </w:r>
            <w:r>
              <w:rPr>
                <w:webHidden/>
              </w:rPr>
              <w:instrText xml:space="preserve"> PAGEREF _Toc480809654 \h </w:instrText>
            </w:r>
            <w:r>
              <w:rPr>
                <w:webHidden/>
              </w:rPr>
            </w:r>
            <w:r>
              <w:rPr>
                <w:webHidden/>
              </w:rPr>
              <w:fldChar w:fldCharType="separate"/>
            </w:r>
            <w:r>
              <w:rPr>
                <w:webHidden/>
              </w:rPr>
              <w:t>7-28</w:t>
            </w:r>
            <w:r>
              <w:rPr>
                <w:webHidden/>
              </w:rPr>
              <w:fldChar w:fldCharType="end"/>
            </w:r>
          </w:hyperlink>
        </w:p>
        <w:p w:rsidR="00EE752B" w:rsidRDefault="00EE752B">
          <w:pPr>
            <w:pStyle w:val="TOC4"/>
            <w:rPr>
              <w:rFonts w:asciiTheme="minorHAnsi" w:eastAsiaTheme="minorEastAsia" w:hAnsiTheme="minorHAnsi"/>
              <w:lang w:eastAsia="en-AU"/>
            </w:rPr>
          </w:pPr>
          <w:hyperlink w:anchor="_Toc480809655" w:history="1">
            <w:r w:rsidRPr="009505C2">
              <w:rPr>
                <w:rStyle w:val="Hyperlink"/>
              </w:rPr>
              <w:t>Components of price growth</w:t>
            </w:r>
            <w:r>
              <w:rPr>
                <w:webHidden/>
              </w:rPr>
              <w:tab/>
            </w:r>
            <w:r>
              <w:rPr>
                <w:webHidden/>
              </w:rPr>
              <w:fldChar w:fldCharType="begin"/>
            </w:r>
            <w:r>
              <w:rPr>
                <w:webHidden/>
              </w:rPr>
              <w:instrText xml:space="preserve"> PAGEREF _Toc480809655 \h </w:instrText>
            </w:r>
            <w:r>
              <w:rPr>
                <w:webHidden/>
              </w:rPr>
            </w:r>
            <w:r>
              <w:rPr>
                <w:webHidden/>
              </w:rPr>
              <w:fldChar w:fldCharType="separate"/>
            </w:r>
            <w:r>
              <w:rPr>
                <w:webHidden/>
              </w:rPr>
              <w:t>7-30</w:t>
            </w:r>
            <w:r>
              <w:rPr>
                <w:webHidden/>
              </w:rPr>
              <w:fldChar w:fldCharType="end"/>
            </w:r>
          </w:hyperlink>
        </w:p>
        <w:p w:rsidR="00EE752B" w:rsidRDefault="00EE752B">
          <w:pPr>
            <w:pStyle w:val="TOC4"/>
            <w:rPr>
              <w:rFonts w:asciiTheme="minorHAnsi" w:eastAsiaTheme="minorEastAsia" w:hAnsiTheme="minorHAnsi"/>
              <w:lang w:eastAsia="en-AU"/>
            </w:rPr>
          </w:pPr>
          <w:hyperlink w:anchor="_Toc480809656" w:history="1">
            <w:r w:rsidRPr="009505C2">
              <w:rPr>
                <w:rStyle w:val="Hyperlink"/>
              </w:rPr>
              <w:t>Benchmark versus firm specific weights</w:t>
            </w:r>
            <w:r>
              <w:rPr>
                <w:webHidden/>
              </w:rPr>
              <w:tab/>
            </w:r>
            <w:r>
              <w:rPr>
                <w:webHidden/>
              </w:rPr>
              <w:fldChar w:fldCharType="begin"/>
            </w:r>
            <w:r>
              <w:rPr>
                <w:webHidden/>
              </w:rPr>
              <w:instrText xml:space="preserve"> PAGEREF _Toc480809656 \h </w:instrText>
            </w:r>
            <w:r>
              <w:rPr>
                <w:webHidden/>
              </w:rPr>
            </w:r>
            <w:r>
              <w:rPr>
                <w:webHidden/>
              </w:rPr>
              <w:fldChar w:fldCharType="separate"/>
            </w:r>
            <w:r>
              <w:rPr>
                <w:webHidden/>
              </w:rPr>
              <w:t>7-30</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57" w:history="1">
            <w:r w:rsidRPr="009505C2">
              <w:rPr>
                <w:rStyle w:val="Hyperlink"/>
              </w:rPr>
              <w:t>7.5.2.2</w:t>
            </w:r>
            <w:r>
              <w:rPr>
                <w:rFonts w:asciiTheme="minorHAnsi" w:eastAsiaTheme="minorEastAsia" w:hAnsiTheme="minorHAnsi"/>
                <w:lang w:eastAsia="en-AU"/>
              </w:rPr>
              <w:tab/>
            </w:r>
            <w:r w:rsidRPr="009505C2">
              <w:rPr>
                <w:rStyle w:val="Hyperlink"/>
              </w:rPr>
              <w:t>Forecast output growth</w:t>
            </w:r>
            <w:r>
              <w:rPr>
                <w:webHidden/>
              </w:rPr>
              <w:tab/>
            </w:r>
            <w:r>
              <w:rPr>
                <w:webHidden/>
              </w:rPr>
              <w:fldChar w:fldCharType="begin"/>
            </w:r>
            <w:r>
              <w:rPr>
                <w:webHidden/>
              </w:rPr>
              <w:instrText xml:space="preserve"> PAGEREF _Toc480809657 \h </w:instrText>
            </w:r>
            <w:r>
              <w:rPr>
                <w:webHidden/>
              </w:rPr>
            </w:r>
            <w:r>
              <w:rPr>
                <w:webHidden/>
              </w:rPr>
              <w:fldChar w:fldCharType="separate"/>
            </w:r>
            <w:r>
              <w:rPr>
                <w:webHidden/>
              </w:rPr>
              <w:t>7-32</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58" w:history="1">
            <w:r w:rsidRPr="009505C2">
              <w:rPr>
                <w:rStyle w:val="Hyperlink"/>
              </w:rPr>
              <w:t>7.5.2.3</w:t>
            </w:r>
            <w:r>
              <w:rPr>
                <w:rFonts w:asciiTheme="minorHAnsi" w:eastAsiaTheme="minorEastAsia" w:hAnsiTheme="minorHAnsi"/>
                <w:lang w:eastAsia="en-AU"/>
              </w:rPr>
              <w:tab/>
            </w:r>
            <w:r w:rsidRPr="009505C2">
              <w:rPr>
                <w:rStyle w:val="Hyperlink"/>
              </w:rPr>
              <w:t>Forecast productivity growth</w:t>
            </w:r>
            <w:r>
              <w:rPr>
                <w:webHidden/>
              </w:rPr>
              <w:tab/>
            </w:r>
            <w:r>
              <w:rPr>
                <w:webHidden/>
              </w:rPr>
              <w:fldChar w:fldCharType="begin"/>
            </w:r>
            <w:r>
              <w:rPr>
                <w:webHidden/>
              </w:rPr>
              <w:instrText xml:space="preserve"> PAGEREF _Toc480809658 \h </w:instrText>
            </w:r>
            <w:r>
              <w:rPr>
                <w:webHidden/>
              </w:rPr>
            </w:r>
            <w:r>
              <w:rPr>
                <w:webHidden/>
              </w:rPr>
              <w:fldChar w:fldCharType="separate"/>
            </w:r>
            <w:r>
              <w:rPr>
                <w:webHidden/>
              </w:rPr>
              <w:t>7-32</w:t>
            </w:r>
            <w:r>
              <w:rPr>
                <w:webHidden/>
              </w:rPr>
              <w:fldChar w:fldCharType="end"/>
            </w:r>
          </w:hyperlink>
        </w:p>
        <w:p w:rsidR="00EE752B" w:rsidRDefault="00EE752B">
          <w:pPr>
            <w:pStyle w:val="TOC4"/>
            <w:rPr>
              <w:rFonts w:asciiTheme="minorHAnsi" w:eastAsiaTheme="minorEastAsia" w:hAnsiTheme="minorHAnsi"/>
              <w:lang w:eastAsia="en-AU"/>
            </w:rPr>
          </w:pPr>
          <w:hyperlink w:anchor="_Toc480809659" w:history="1">
            <w:r w:rsidRPr="009505C2">
              <w:rPr>
                <w:rStyle w:val="Hyperlink"/>
              </w:rPr>
              <w:t>Accounting for economies of scale</w:t>
            </w:r>
            <w:r>
              <w:rPr>
                <w:webHidden/>
              </w:rPr>
              <w:tab/>
            </w:r>
            <w:r>
              <w:rPr>
                <w:webHidden/>
              </w:rPr>
              <w:fldChar w:fldCharType="begin"/>
            </w:r>
            <w:r>
              <w:rPr>
                <w:webHidden/>
              </w:rPr>
              <w:instrText xml:space="preserve"> PAGEREF _Toc480809659 \h </w:instrText>
            </w:r>
            <w:r>
              <w:rPr>
                <w:webHidden/>
              </w:rPr>
            </w:r>
            <w:r>
              <w:rPr>
                <w:webHidden/>
              </w:rPr>
              <w:fldChar w:fldCharType="separate"/>
            </w:r>
            <w:r>
              <w:rPr>
                <w:webHidden/>
              </w:rPr>
              <w:t>7-33</w:t>
            </w:r>
            <w:r>
              <w:rPr>
                <w:webHidden/>
              </w:rPr>
              <w:fldChar w:fldCharType="end"/>
            </w:r>
          </w:hyperlink>
        </w:p>
        <w:p w:rsidR="00EE752B" w:rsidRDefault="00EE752B">
          <w:pPr>
            <w:pStyle w:val="TOC4"/>
            <w:rPr>
              <w:rFonts w:asciiTheme="minorHAnsi" w:eastAsiaTheme="minorEastAsia" w:hAnsiTheme="minorHAnsi"/>
              <w:lang w:eastAsia="en-AU"/>
            </w:rPr>
          </w:pPr>
          <w:hyperlink w:anchor="_Toc480809660" w:history="1">
            <w:r w:rsidRPr="009505C2">
              <w:rPr>
                <w:rStyle w:val="Hyperlink"/>
              </w:rPr>
              <w:t>The trend method best accounts for all available information</w:t>
            </w:r>
            <w:r>
              <w:rPr>
                <w:webHidden/>
              </w:rPr>
              <w:tab/>
            </w:r>
            <w:r>
              <w:rPr>
                <w:webHidden/>
              </w:rPr>
              <w:fldChar w:fldCharType="begin"/>
            </w:r>
            <w:r>
              <w:rPr>
                <w:webHidden/>
              </w:rPr>
              <w:instrText xml:space="preserve"> PAGEREF _Toc480809660 \h </w:instrText>
            </w:r>
            <w:r>
              <w:rPr>
                <w:webHidden/>
              </w:rPr>
            </w:r>
            <w:r>
              <w:rPr>
                <w:webHidden/>
              </w:rPr>
              <w:fldChar w:fldCharType="separate"/>
            </w:r>
            <w:r>
              <w:rPr>
                <w:webHidden/>
              </w:rPr>
              <w:t>7-34</w:t>
            </w:r>
            <w:r>
              <w:rPr>
                <w:webHidden/>
              </w:rPr>
              <w:fldChar w:fldCharType="end"/>
            </w:r>
          </w:hyperlink>
        </w:p>
        <w:p w:rsidR="00EE752B" w:rsidRDefault="00EE752B">
          <w:pPr>
            <w:pStyle w:val="TOC3"/>
            <w:rPr>
              <w:rFonts w:asciiTheme="minorHAnsi" w:eastAsiaTheme="minorEastAsia" w:hAnsiTheme="minorHAnsi"/>
              <w:lang w:eastAsia="en-AU"/>
            </w:rPr>
          </w:pPr>
          <w:hyperlink w:anchor="_Toc480809661" w:history="1">
            <w:r w:rsidRPr="009505C2">
              <w:rPr>
                <w:rStyle w:val="Hyperlink"/>
              </w:rPr>
              <w:t>7.5.3</w:t>
            </w:r>
            <w:r>
              <w:rPr>
                <w:rFonts w:asciiTheme="minorHAnsi" w:eastAsiaTheme="minorEastAsia" w:hAnsiTheme="minorHAnsi"/>
                <w:lang w:eastAsia="en-AU"/>
              </w:rPr>
              <w:tab/>
            </w:r>
            <w:r w:rsidRPr="009505C2">
              <w:rPr>
                <w:rStyle w:val="Hyperlink"/>
              </w:rPr>
              <w:t>Step changes and category specific forecasts</w:t>
            </w:r>
            <w:r>
              <w:rPr>
                <w:webHidden/>
              </w:rPr>
              <w:tab/>
            </w:r>
            <w:r>
              <w:rPr>
                <w:webHidden/>
              </w:rPr>
              <w:fldChar w:fldCharType="begin"/>
            </w:r>
            <w:r>
              <w:rPr>
                <w:webHidden/>
              </w:rPr>
              <w:instrText xml:space="preserve"> PAGEREF _Toc480809661 \h </w:instrText>
            </w:r>
            <w:r>
              <w:rPr>
                <w:webHidden/>
              </w:rPr>
            </w:r>
            <w:r>
              <w:rPr>
                <w:webHidden/>
              </w:rPr>
              <w:fldChar w:fldCharType="separate"/>
            </w:r>
            <w:r>
              <w:rPr>
                <w:webHidden/>
              </w:rPr>
              <w:t>7-34</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62" w:history="1">
            <w:r w:rsidRPr="009505C2">
              <w:rPr>
                <w:rStyle w:val="Hyperlink"/>
              </w:rPr>
              <w:t>7.5.3.1</w:t>
            </w:r>
            <w:r>
              <w:rPr>
                <w:rFonts w:asciiTheme="minorHAnsi" w:eastAsiaTheme="minorEastAsia" w:hAnsiTheme="minorHAnsi"/>
                <w:lang w:eastAsia="en-AU"/>
              </w:rPr>
              <w:tab/>
            </w:r>
            <w:r w:rsidRPr="009505C2">
              <w:rPr>
                <w:rStyle w:val="Hyperlink"/>
              </w:rPr>
              <w:t>Step changes</w:t>
            </w:r>
            <w:r>
              <w:rPr>
                <w:webHidden/>
              </w:rPr>
              <w:tab/>
            </w:r>
            <w:r>
              <w:rPr>
                <w:webHidden/>
              </w:rPr>
              <w:fldChar w:fldCharType="begin"/>
            </w:r>
            <w:r>
              <w:rPr>
                <w:webHidden/>
              </w:rPr>
              <w:instrText xml:space="preserve"> PAGEREF _Toc480809662 \h </w:instrText>
            </w:r>
            <w:r>
              <w:rPr>
                <w:webHidden/>
              </w:rPr>
            </w:r>
            <w:r>
              <w:rPr>
                <w:webHidden/>
              </w:rPr>
              <w:fldChar w:fldCharType="separate"/>
            </w:r>
            <w:r>
              <w:rPr>
                <w:webHidden/>
              </w:rPr>
              <w:t>7-34</w:t>
            </w:r>
            <w:r>
              <w:rPr>
                <w:webHidden/>
              </w:rPr>
              <w:fldChar w:fldCharType="end"/>
            </w:r>
          </w:hyperlink>
        </w:p>
        <w:p w:rsidR="00EE752B" w:rsidRDefault="00EE752B">
          <w:pPr>
            <w:pStyle w:val="TOC4"/>
            <w:rPr>
              <w:rFonts w:asciiTheme="minorHAnsi" w:eastAsiaTheme="minorEastAsia" w:hAnsiTheme="minorHAnsi"/>
              <w:lang w:eastAsia="en-AU"/>
            </w:rPr>
          </w:pPr>
          <w:hyperlink w:anchor="_Toc480809663" w:history="1">
            <w:r w:rsidRPr="009505C2">
              <w:rPr>
                <w:rStyle w:val="Hyperlink"/>
              </w:rPr>
              <w:t>Establishment of IT security team</w:t>
            </w:r>
            <w:r>
              <w:rPr>
                <w:webHidden/>
              </w:rPr>
              <w:tab/>
            </w:r>
            <w:r>
              <w:rPr>
                <w:webHidden/>
              </w:rPr>
              <w:fldChar w:fldCharType="begin"/>
            </w:r>
            <w:r>
              <w:rPr>
                <w:webHidden/>
              </w:rPr>
              <w:instrText xml:space="preserve"> PAGEREF _Toc480809663 \h </w:instrText>
            </w:r>
            <w:r>
              <w:rPr>
                <w:webHidden/>
              </w:rPr>
            </w:r>
            <w:r>
              <w:rPr>
                <w:webHidden/>
              </w:rPr>
              <w:fldChar w:fldCharType="separate"/>
            </w:r>
            <w:r>
              <w:rPr>
                <w:webHidden/>
              </w:rPr>
              <w:t>7-36</w:t>
            </w:r>
            <w:r>
              <w:rPr>
                <w:webHidden/>
              </w:rPr>
              <w:fldChar w:fldCharType="end"/>
            </w:r>
          </w:hyperlink>
        </w:p>
        <w:p w:rsidR="00EE752B" w:rsidRDefault="00EE752B">
          <w:pPr>
            <w:pStyle w:val="TOC4"/>
            <w:rPr>
              <w:rFonts w:asciiTheme="minorHAnsi" w:eastAsiaTheme="minorEastAsia" w:hAnsiTheme="minorHAnsi"/>
              <w:lang w:eastAsia="en-AU"/>
            </w:rPr>
          </w:pPr>
          <w:hyperlink w:anchor="_Toc480809664" w:history="1">
            <w:r w:rsidRPr="009505C2">
              <w:rPr>
                <w:rStyle w:val="Hyperlink"/>
              </w:rPr>
              <w:t>Asset decommissioning</w:t>
            </w:r>
            <w:r>
              <w:rPr>
                <w:webHidden/>
              </w:rPr>
              <w:tab/>
            </w:r>
            <w:r>
              <w:rPr>
                <w:webHidden/>
              </w:rPr>
              <w:fldChar w:fldCharType="begin"/>
            </w:r>
            <w:r>
              <w:rPr>
                <w:webHidden/>
              </w:rPr>
              <w:instrText xml:space="preserve"> PAGEREF _Toc480809664 \h </w:instrText>
            </w:r>
            <w:r>
              <w:rPr>
                <w:webHidden/>
              </w:rPr>
            </w:r>
            <w:r>
              <w:rPr>
                <w:webHidden/>
              </w:rPr>
              <w:fldChar w:fldCharType="separate"/>
            </w:r>
            <w:r>
              <w:rPr>
                <w:webHidden/>
              </w:rPr>
              <w:t>7-37</w:t>
            </w:r>
            <w:r>
              <w:rPr>
                <w:webHidden/>
              </w:rPr>
              <w:fldChar w:fldCharType="end"/>
            </w:r>
          </w:hyperlink>
        </w:p>
        <w:p w:rsidR="00EE752B" w:rsidRDefault="00EE752B">
          <w:pPr>
            <w:pStyle w:val="TOC4"/>
            <w:rPr>
              <w:rFonts w:asciiTheme="minorHAnsi" w:eastAsiaTheme="minorEastAsia" w:hAnsiTheme="minorHAnsi"/>
              <w:lang w:eastAsia="en-AU"/>
            </w:rPr>
          </w:pPr>
          <w:hyperlink w:anchor="_Toc480809665" w:history="1">
            <w:r w:rsidRPr="009505C2">
              <w:rPr>
                <w:rStyle w:val="Hyperlink"/>
              </w:rPr>
              <w:t>Smart Aerial Image Processing roll out</w:t>
            </w:r>
            <w:r>
              <w:rPr>
                <w:webHidden/>
              </w:rPr>
              <w:tab/>
            </w:r>
            <w:r>
              <w:rPr>
                <w:webHidden/>
              </w:rPr>
              <w:fldChar w:fldCharType="begin"/>
            </w:r>
            <w:r>
              <w:rPr>
                <w:webHidden/>
              </w:rPr>
              <w:instrText xml:space="preserve"> PAGEREF _Toc480809665 \h </w:instrText>
            </w:r>
            <w:r>
              <w:rPr>
                <w:webHidden/>
              </w:rPr>
            </w:r>
            <w:r>
              <w:rPr>
                <w:webHidden/>
              </w:rPr>
              <w:fldChar w:fldCharType="separate"/>
            </w:r>
            <w:r>
              <w:rPr>
                <w:webHidden/>
              </w:rPr>
              <w:t>7-40</w:t>
            </w:r>
            <w:r>
              <w:rPr>
                <w:webHidden/>
              </w:rPr>
              <w:fldChar w:fldCharType="end"/>
            </w:r>
          </w:hyperlink>
        </w:p>
        <w:p w:rsidR="00EE752B" w:rsidRDefault="00EE752B">
          <w:pPr>
            <w:pStyle w:val="TOC4"/>
            <w:rPr>
              <w:rFonts w:asciiTheme="minorHAnsi" w:eastAsiaTheme="minorEastAsia" w:hAnsiTheme="minorHAnsi"/>
              <w:lang w:eastAsia="en-AU"/>
            </w:rPr>
          </w:pPr>
          <w:hyperlink w:anchor="_Toc480809666" w:history="1">
            <w:r w:rsidRPr="009505C2">
              <w:rPr>
                <w:rStyle w:val="Hyperlink"/>
              </w:rPr>
              <w:t>WMTS mobile switchboard</w:t>
            </w:r>
            <w:r>
              <w:rPr>
                <w:webHidden/>
              </w:rPr>
              <w:tab/>
            </w:r>
            <w:r>
              <w:rPr>
                <w:webHidden/>
              </w:rPr>
              <w:fldChar w:fldCharType="begin"/>
            </w:r>
            <w:r>
              <w:rPr>
                <w:webHidden/>
              </w:rPr>
              <w:instrText xml:space="preserve"> PAGEREF _Toc480809666 \h </w:instrText>
            </w:r>
            <w:r>
              <w:rPr>
                <w:webHidden/>
              </w:rPr>
            </w:r>
            <w:r>
              <w:rPr>
                <w:webHidden/>
              </w:rPr>
              <w:fldChar w:fldCharType="separate"/>
            </w:r>
            <w:r>
              <w:rPr>
                <w:webHidden/>
              </w:rPr>
              <w:t>7-42</w:t>
            </w:r>
            <w:r>
              <w:rPr>
                <w:webHidden/>
              </w:rPr>
              <w:fldChar w:fldCharType="end"/>
            </w:r>
          </w:hyperlink>
        </w:p>
        <w:p w:rsidR="00EE752B" w:rsidRDefault="00EE752B">
          <w:pPr>
            <w:pStyle w:val="TOC4"/>
            <w:rPr>
              <w:rFonts w:asciiTheme="minorHAnsi" w:eastAsiaTheme="minorEastAsia" w:hAnsiTheme="minorHAnsi"/>
              <w:lang w:eastAsia="en-AU"/>
            </w:rPr>
          </w:pPr>
          <w:hyperlink w:anchor="_Toc480809667" w:history="1">
            <w:r w:rsidRPr="009505C2">
              <w:rPr>
                <w:rStyle w:val="Hyperlink"/>
              </w:rPr>
              <w:t>Avoided costs due to retirement of diesel generators</w:t>
            </w:r>
            <w:r>
              <w:rPr>
                <w:webHidden/>
              </w:rPr>
              <w:tab/>
            </w:r>
            <w:r>
              <w:rPr>
                <w:webHidden/>
              </w:rPr>
              <w:fldChar w:fldCharType="begin"/>
            </w:r>
            <w:r>
              <w:rPr>
                <w:webHidden/>
              </w:rPr>
              <w:instrText xml:space="preserve"> PAGEREF _Toc480809667 \h </w:instrText>
            </w:r>
            <w:r>
              <w:rPr>
                <w:webHidden/>
              </w:rPr>
            </w:r>
            <w:r>
              <w:rPr>
                <w:webHidden/>
              </w:rPr>
              <w:fldChar w:fldCharType="separate"/>
            </w:r>
            <w:r>
              <w:rPr>
                <w:webHidden/>
              </w:rPr>
              <w:t>7-43</w:t>
            </w:r>
            <w:r>
              <w:rPr>
                <w:webHidden/>
              </w:rPr>
              <w:fldChar w:fldCharType="end"/>
            </w:r>
          </w:hyperlink>
        </w:p>
        <w:p w:rsidR="00EE752B" w:rsidRDefault="00EE752B">
          <w:pPr>
            <w:pStyle w:val="TOC4"/>
            <w:tabs>
              <w:tab w:val="left" w:pos="2552"/>
            </w:tabs>
            <w:rPr>
              <w:rFonts w:asciiTheme="minorHAnsi" w:eastAsiaTheme="minorEastAsia" w:hAnsiTheme="minorHAnsi"/>
              <w:lang w:eastAsia="en-AU"/>
            </w:rPr>
          </w:pPr>
          <w:hyperlink w:anchor="_Toc480809668" w:history="1">
            <w:r w:rsidRPr="009505C2">
              <w:rPr>
                <w:rStyle w:val="Hyperlink"/>
              </w:rPr>
              <w:t>7.5.3.2</w:t>
            </w:r>
            <w:r>
              <w:rPr>
                <w:rFonts w:asciiTheme="minorHAnsi" w:eastAsiaTheme="minorEastAsia" w:hAnsiTheme="minorHAnsi"/>
                <w:lang w:eastAsia="en-AU"/>
              </w:rPr>
              <w:tab/>
            </w:r>
            <w:r w:rsidRPr="009505C2">
              <w:rPr>
                <w:rStyle w:val="Hyperlink"/>
              </w:rPr>
              <w:t>Category specific forecasts</w:t>
            </w:r>
            <w:r>
              <w:rPr>
                <w:webHidden/>
              </w:rPr>
              <w:tab/>
            </w:r>
            <w:r>
              <w:rPr>
                <w:webHidden/>
              </w:rPr>
              <w:fldChar w:fldCharType="begin"/>
            </w:r>
            <w:r>
              <w:rPr>
                <w:webHidden/>
              </w:rPr>
              <w:instrText xml:space="preserve"> PAGEREF _Toc480809668 \h </w:instrText>
            </w:r>
            <w:r>
              <w:rPr>
                <w:webHidden/>
              </w:rPr>
            </w:r>
            <w:r>
              <w:rPr>
                <w:webHidden/>
              </w:rPr>
              <w:fldChar w:fldCharType="separate"/>
            </w:r>
            <w:r>
              <w:rPr>
                <w:webHidden/>
              </w:rPr>
              <w:t>7-44</w:t>
            </w:r>
            <w:r>
              <w:rPr>
                <w:webHidden/>
              </w:rPr>
              <w:fldChar w:fldCharType="end"/>
            </w:r>
          </w:hyperlink>
        </w:p>
        <w:p w:rsidR="00EE752B" w:rsidRDefault="00EE752B">
          <w:pPr>
            <w:pStyle w:val="TOC4"/>
            <w:rPr>
              <w:rFonts w:asciiTheme="minorHAnsi" w:eastAsiaTheme="minorEastAsia" w:hAnsiTheme="minorHAnsi"/>
              <w:lang w:eastAsia="en-AU"/>
            </w:rPr>
          </w:pPr>
          <w:hyperlink w:anchor="_Toc480809669" w:history="1">
            <w:r w:rsidRPr="009505C2">
              <w:rPr>
                <w:rStyle w:val="Hyperlink"/>
              </w:rPr>
              <w:t>Easement land tax</w:t>
            </w:r>
            <w:r>
              <w:rPr>
                <w:webHidden/>
              </w:rPr>
              <w:tab/>
            </w:r>
            <w:r>
              <w:rPr>
                <w:webHidden/>
              </w:rPr>
              <w:fldChar w:fldCharType="begin"/>
            </w:r>
            <w:r>
              <w:rPr>
                <w:webHidden/>
              </w:rPr>
              <w:instrText xml:space="preserve"> PAGEREF _Toc480809669 \h </w:instrText>
            </w:r>
            <w:r>
              <w:rPr>
                <w:webHidden/>
              </w:rPr>
            </w:r>
            <w:r>
              <w:rPr>
                <w:webHidden/>
              </w:rPr>
              <w:fldChar w:fldCharType="separate"/>
            </w:r>
            <w:r>
              <w:rPr>
                <w:webHidden/>
              </w:rPr>
              <w:t>7-44</w:t>
            </w:r>
            <w:r>
              <w:rPr>
                <w:webHidden/>
              </w:rPr>
              <w:fldChar w:fldCharType="end"/>
            </w:r>
          </w:hyperlink>
        </w:p>
        <w:p w:rsidR="00EE752B" w:rsidRDefault="00EE752B">
          <w:pPr>
            <w:pStyle w:val="TOC4"/>
            <w:rPr>
              <w:rFonts w:asciiTheme="minorHAnsi" w:eastAsiaTheme="minorEastAsia" w:hAnsiTheme="minorHAnsi"/>
              <w:lang w:eastAsia="en-AU"/>
            </w:rPr>
          </w:pPr>
          <w:hyperlink w:anchor="_Toc480809670" w:history="1">
            <w:r w:rsidRPr="009505C2">
              <w:rPr>
                <w:rStyle w:val="Hyperlink"/>
              </w:rPr>
              <w:t>Debt raising costs</w:t>
            </w:r>
            <w:r>
              <w:rPr>
                <w:webHidden/>
              </w:rPr>
              <w:tab/>
            </w:r>
            <w:r>
              <w:rPr>
                <w:webHidden/>
              </w:rPr>
              <w:fldChar w:fldCharType="begin"/>
            </w:r>
            <w:r>
              <w:rPr>
                <w:webHidden/>
              </w:rPr>
              <w:instrText xml:space="preserve"> PAGEREF _Toc480809670 \h </w:instrText>
            </w:r>
            <w:r>
              <w:rPr>
                <w:webHidden/>
              </w:rPr>
            </w:r>
            <w:r>
              <w:rPr>
                <w:webHidden/>
              </w:rPr>
              <w:fldChar w:fldCharType="separate"/>
            </w:r>
            <w:r>
              <w:rPr>
                <w:webHidden/>
              </w:rPr>
              <w:t>7-45</w:t>
            </w:r>
            <w:r>
              <w:rPr>
                <w:webHidden/>
              </w:rPr>
              <w:fldChar w:fldCharType="end"/>
            </w:r>
          </w:hyperlink>
        </w:p>
        <w:p w:rsidR="00EE752B" w:rsidRDefault="00EE752B">
          <w:pPr>
            <w:pStyle w:val="TOC4"/>
            <w:rPr>
              <w:rFonts w:asciiTheme="minorHAnsi" w:eastAsiaTheme="minorEastAsia" w:hAnsiTheme="minorHAnsi"/>
              <w:lang w:eastAsia="en-AU"/>
            </w:rPr>
          </w:pPr>
          <w:hyperlink w:anchor="_Toc480809671" w:history="1">
            <w:r w:rsidRPr="009505C2">
              <w:rPr>
                <w:rStyle w:val="Hyperlink"/>
              </w:rPr>
              <w:t>Group 3 asset roll in</w:t>
            </w:r>
            <w:r>
              <w:rPr>
                <w:webHidden/>
              </w:rPr>
              <w:tab/>
            </w:r>
            <w:r>
              <w:rPr>
                <w:webHidden/>
              </w:rPr>
              <w:fldChar w:fldCharType="begin"/>
            </w:r>
            <w:r>
              <w:rPr>
                <w:webHidden/>
              </w:rPr>
              <w:instrText xml:space="preserve"> PAGEREF _Toc480809671 \h </w:instrText>
            </w:r>
            <w:r>
              <w:rPr>
                <w:webHidden/>
              </w:rPr>
            </w:r>
            <w:r>
              <w:rPr>
                <w:webHidden/>
              </w:rPr>
              <w:fldChar w:fldCharType="separate"/>
            </w:r>
            <w:r>
              <w:rPr>
                <w:webHidden/>
              </w:rPr>
              <w:t>7-45</w:t>
            </w:r>
            <w:r>
              <w:rPr>
                <w:webHidden/>
              </w:rPr>
              <w:fldChar w:fldCharType="end"/>
            </w:r>
          </w:hyperlink>
        </w:p>
        <w:p w:rsidR="00EE752B" w:rsidRDefault="00EE752B">
          <w:pPr>
            <w:pStyle w:val="TOC4"/>
            <w:rPr>
              <w:rFonts w:asciiTheme="minorHAnsi" w:eastAsiaTheme="minorEastAsia" w:hAnsiTheme="minorHAnsi"/>
              <w:lang w:eastAsia="en-AU"/>
            </w:rPr>
          </w:pPr>
          <w:hyperlink w:anchor="_Toc480809672" w:history="1">
            <w:r w:rsidRPr="009505C2">
              <w:rPr>
                <w:rStyle w:val="Hyperlink"/>
              </w:rPr>
              <w:t>Self-insurance</w:t>
            </w:r>
            <w:r>
              <w:rPr>
                <w:webHidden/>
              </w:rPr>
              <w:tab/>
            </w:r>
            <w:r>
              <w:rPr>
                <w:webHidden/>
              </w:rPr>
              <w:fldChar w:fldCharType="begin"/>
            </w:r>
            <w:r>
              <w:rPr>
                <w:webHidden/>
              </w:rPr>
              <w:instrText xml:space="preserve"> PAGEREF _Toc480809672 \h </w:instrText>
            </w:r>
            <w:r>
              <w:rPr>
                <w:webHidden/>
              </w:rPr>
            </w:r>
            <w:r>
              <w:rPr>
                <w:webHidden/>
              </w:rPr>
              <w:fldChar w:fldCharType="separate"/>
            </w:r>
            <w:r>
              <w:rPr>
                <w:webHidden/>
              </w:rPr>
              <w:t>7-46</w:t>
            </w:r>
            <w:r>
              <w:rPr>
                <w:webHidden/>
              </w:rPr>
              <w:fldChar w:fldCharType="end"/>
            </w:r>
          </w:hyperlink>
        </w:p>
        <w:p w:rsidR="00EE752B" w:rsidRDefault="00EE752B">
          <w:pPr>
            <w:pStyle w:val="TOC5"/>
            <w:rPr>
              <w:rFonts w:asciiTheme="minorHAnsi" w:eastAsiaTheme="minorEastAsia" w:hAnsiTheme="minorHAnsi"/>
              <w:lang w:eastAsia="en-AU"/>
            </w:rPr>
          </w:pPr>
          <w:hyperlink w:anchor="_Toc480809673" w:history="1">
            <w:r w:rsidRPr="009505C2">
              <w:rPr>
                <w:rStyle w:val="Hyperlink"/>
              </w:rPr>
              <w:t>Key reasons why we include self-insurance in base opex</w:t>
            </w:r>
            <w:r>
              <w:rPr>
                <w:webHidden/>
              </w:rPr>
              <w:tab/>
            </w:r>
            <w:r>
              <w:rPr>
                <w:webHidden/>
              </w:rPr>
              <w:fldChar w:fldCharType="begin"/>
            </w:r>
            <w:r>
              <w:rPr>
                <w:webHidden/>
              </w:rPr>
              <w:instrText xml:space="preserve"> PAGEREF _Toc480809673 \h </w:instrText>
            </w:r>
            <w:r>
              <w:rPr>
                <w:webHidden/>
              </w:rPr>
            </w:r>
            <w:r>
              <w:rPr>
                <w:webHidden/>
              </w:rPr>
              <w:fldChar w:fldCharType="separate"/>
            </w:r>
            <w:r>
              <w:rPr>
                <w:webHidden/>
              </w:rPr>
              <w:t>7-48</w:t>
            </w:r>
            <w:r>
              <w:rPr>
                <w:webHidden/>
              </w:rPr>
              <w:fldChar w:fldCharType="end"/>
            </w:r>
          </w:hyperlink>
        </w:p>
        <w:p w:rsidR="00EE752B" w:rsidRDefault="00EE752B">
          <w:pPr>
            <w:pStyle w:val="TOC5"/>
            <w:rPr>
              <w:rFonts w:asciiTheme="minorHAnsi" w:eastAsiaTheme="minorEastAsia" w:hAnsiTheme="minorHAnsi"/>
              <w:lang w:eastAsia="en-AU"/>
            </w:rPr>
          </w:pPr>
          <w:hyperlink w:anchor="_Toc480809674" w:history="1">
            <w:r w:rsidRPr="009505C2">
              <w:rPr>
                <w:rStyle w:val="Hyperlink"/>
              </w:rPr>
              <w:t>EBSS interactions</w:t>
            </w:r>
            <w:r>
              <w:rPr>
                <w:webHidden/>
              </w:rPr>
              <w:tab/>
            </w:r>
            <w:r>
              <w:rPr>
                <w:webHidden/>
              </w:rPr>
              <w:fldChar w:fldCharType="begin"/>
            </w:r>
            <w:r>
              <w:rPr>
                <w:webHidden/>
              </w:rPr>
              <w:instrText xml:space="preserve"> PAGEREF _Toc480809674 \h </w:instrText>
            </w:r>
            <w:r>
              <w:rPr>
                <w:webHidden/>
              </w:rPr>
            </w:r>
            <w:r>
              <w:rPr>
                <w:webHidden/>
              </w:rPr>
              <w:fldChar w:fldCharType="separate"/>
            </w:r>
            <w:r>
              <w:rPr>
                <w:webHidden/>
              </w:rPr>
              <w:t>7-50</w:t>
            </w:r>
            <w:r>
              <w:rPr>
                <w:webHidden/>
              </w:rPr>
              <w:fldChar w:fldCharType="end"/>
            </w:r>
          </w:hyperlink>
        </w:p>
        <w:p w:rsidR="00EE752B" w:rsidRDefault="00EE752B">
          <w:pPr>
            <w:pStyle w:val="TOC5"/>
            <w:rPr>
              <w:rFonts w:asciiTheme="minorHAnsi" w:eastAsiaTheme="minorEastAsia" w:hAnsiTheme="minorHAnsi"/>
              <w:lang w:eastAsia="en-AU"/>
            </w:rPr>
          </w:pPr>
          <w:hyperlink w:anchor="_Toc480809675" w:history="1">
            <w:r w:rsidRPr="009505C2">
              <w:rPr>
                <w:rStyle w:val="Hyperlink"/>
              </w:rPr>
              <w:t>Why we include actual losses in base opex and not theoretical premiums</w:t>
            </w:r>
            <w:r>
              <w:rPr>
                <w:webHidden/>
              </w:rPr>
              <w:tab/>
            </w:r>
            <w:r>
              <w:rPr>
                <w:webHidden/>
              </w:rPr>
              <w:fldChar w:fldCharType="begin"/>
            </w:r>
            <w:r>
              <w:rPr>
                <w:webHidden/>
              </w:rPr>
              <w:instrText xml:space="preserve"> PAGEREF _Toc480809675 \h </w:instrText>
            </w:r>
            <w:r>
              <w:rPr>
                <w:webHidden/>
              </w:rPr>
            </w:r>
            <w:r>
              <w:rPr>
                <w:webHidden/>
              </w:rPr>
              <w:fldChar w:fldCharType="separate"/>
            </w:r>
            <w:r>
              <w:rPr>
                <w:webHidden/>
              </w:rPr>
              <w:t>7-51</w:t>
            </w:r>
            <w:r>
              <w:rPr>
                <w:webHidden/>
              </w:rPr>
              <w:fldChar w:fldCharType="end"/>
            </w:r>
          </w:hyperlink>
        </w:p>
        <w:p w:rsidR="00EE752B" w:rsidRDefault="00EE752B">
          <w:pPr>
            <w:pStyle w:val="TOC3"/>
            <w:rPr>
              <w:rFonts w:asciiTheme="minorHAnsi" w:eastAsiaTheme="minorEastAsia" w:hAnsiTheme="minorHAnsi"/>
              <w:lang w:eastAsia="en-AU"/>
            </w:rPr>
          </w:pPr>
          <w:hyperlink w:anchor="_Toc480809676" w:history="1">
            <w:r w:rsidRPr="009505C2">
              <w:rPr>
                <w:rStyle w:val="Hyperlink"/>
              </w:rPr>
              <w:t>7.5.4</w:t>
            </w:r>
            <w:r>
              <w:rPr>
                <w:rFonts w:asciiTheme="minorHAnsi" w:eastAsiaTheme="minorEastAsia" w:hAnsiTheme="minorHAnsi"/>
                <w:lang w:eastAsia="en-AU"/>
              </w:rPr>
              <w:tab/>
            </w:r>
            <w:r w:rsidRPr="009505C2">
              <w:rPr>
                <w:rStyle w:val="Hyperlink"/>
              </w:rPr>
              <w:t>Interrelationships</w:t>
            </w:r>
            <w:r>
              <w:rPr>
                <w:webHidden/>
              </w:rPr>
              <w:tab/>
            </w:r>
            <w:r>
              <w:rPr>
                <w:webHidden/>
              </w:rPr>
              <w:fldChar w:fldCharType="begin"/>
            </w:r>
            <w:r>
              <w:rPr>
                <w:webHidden/>
              </w:rPr>
              <w:instrText xml:space="preserve"> PAGEREF _Toc480809676 \h </w:instrText>
            </w:r>
            <w:r>
              <w:rPr>
                <w:webHidden/>
              </w:rPr>
            </w:r>
            <w:r>
              <w:rPr>
                <w:webHidden/>
              </w:rPr>
              <w:fldChar w:fldCharType="separate"/>
            </w:r>
            <w:r>
              <w:rPr>
                <w:webHidden/>
              </w:rPr>
              <w:t>7-52</w:t>
            </w:r>
            <w:r>
              <w:rPr>
                <w:webHidden/>
              </w:rPr>
              <w:fldChar w:fldCharType="end"/>
            </w:r>
          </w:hyperlink>
        </w:p>
        <w:p w:rsidR="00EE752B" w:rsidRDefault="00EE752B">
          <w:pPr>
            <w:pStyle w:val="TOC3"/>
            <w:rPr>
              <w:rFonts w:asciiTheme="minorHAnsi" w:eastAsiaTheme="minorEastAsia" w:hAnsiTheme="minorHAnsi"/>
              <w:lang w:eastAsia="en-AU"/>
            </w:rPr>
          </w:pPr>
          <w:hyperlink w:anchor="_Toc480809677" w:history="1">
            <w:r w:rsidRPr="009505C2">
              <w:rPr>
                <w:rStyle w:val="Hyperlink"/>
              </w:rPr>
              <w:t>7.5.5</w:t>
            </w:r>
            <w:r>
              <w:rPr>
                <w:rFonts w:asciiTheme="minorHAnsi" w:eastAsiaTheme="minorEastAsia" w:hAnsiTheme="minorHAnsi"/>
                <w:lang w:eastAsia="en-AU"/>
              </w:rPr>
              <w:tab/>
            </w:r>
            <w:r w:rsidRPr="009505C2">
              <w:rPr>
                <w:rStyle w:val="Hyperlink"/>
              </w:rPr>
              <w:t>Assessment of opex factors under NER</w:t>
            </w:r>
            <w:r>
              <w:rPr>
                <w:webHidden/>
              </w:rPr>
              <w:tab/>
            </w:r>
            <w:r>
              <w:rPr>
                <w:webHidden/>
              </w:rPr>
              <w:fldChar w:fldCharType="begin"/>
            </w:r>
            <w:r>
              <w:rPr>
                <w:webHidden/>
              </w:rPr>
              <w:instrText xml:space="preserve"> PAGEREF _Toc480809677 \h </w:instrText>
            </w:r>
            <w:r>
              <w:rPr>
                <w:webHidden/>
              </w:rPr>
            </w:r>
            <w:r>
              <w:rPr>
                <w:webHidden/>
              </w:rPr>
              <w:fldChar w:fldCharType="separate"/>
            </w:r>
            <w:r>
              <w:rPr>
                <w:webHidden/>
              </w:rPr>
              <w:t>7-52</w:t>
            </w:r>
            <w:r>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09638"/>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9F2043" w:rsidTr="00BD5D87">
        <w:tc>
          <w:tcPr>
            <w:cnfStyle w:val="001000000000" w:firstRow="0" w:lastRow="0" w:firstColumn="1" w:lastColumn="0" w:oddVBand="0" w:evenVBand="0" w:oddHBand="0" w:evenHBand="0" w:firstRowFirstColumn="0" w:firstRowLastColumn="0" w:lastRowFirstColumn="0" w:lastRowLastColumn="0"/>
            <w:tcW w:w="4621" w:type="dxa"/>
          </w:tcPr>
          <w:p w:rsidR="009F2043" w:rsidRDefault="009F2043" w:rsidP="00415F31">
            <w:pPr>
              <w:numPr>
                <w:ilvl w:val="0"/>
                <w:numId w:val="25"/>
              </w:numPr>
              <w:spacing w:after="240" w:line="288" w:lineRule="auto"/>
              <w:jc w:val="both"/>
            </w:pPr>
            <w:r>
              <w:t>DNSP</w:t>
            </w:r>
          </w:p>
        </w:tc>
        <w:tc>
          <w:tcPr>
            <w:tcW w:w="4621" w:type="dxa"/>
          </w:tcPr>
          <w:p w:rsidR="009F2043" w:rsidRDefault="009F2043"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debt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efficiency benefit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equity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maximum allowed revenue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market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law</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market</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objective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rules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NTSC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operating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partial performance indicators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post-tax revenue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regulatory asset base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Reserve Bank of Australia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replacement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roll forward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regulatory information notice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 xml:space="preserve">revenue </w:t>
            </w:r>
            <w:r w:rsidR="002D72E8">
              <w:t xml:space="preserve">and </w:t>
            </w:r>
            <w:r>
              <w:t>pricing principles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TUoS</w:t>
            </w:r>
            <w:proofErr w:type="spellEnd"/>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use of system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390585" w:rsidP="00390585">
      <w:pPr>
        <w:pStyle w:val="Heading1"/>
      </w:pPr>
      <w:bookmarkStart w:id="10" w:name="_Toc480809639"/>
      <w:r>
        <w:lastRenderedPageBreak/>
        <w:t>Operating expenditure</w:t>
      </w:r>
      <w:bookmarkEnd w:id="10"/>
    </w:p>
    <w:p w:rsidR="000646F7" w:rsidRPr="000646F7" w:rsidRDefault="000646F7" w:rsidP="000646F7">
      <w:r w:rsidRPr="000646F7">
        <w:t xml:space="preserve">Operating expenditure (opex) refers to the operating, maintenance and other non-capital expenses incurred in the provision of network services. Forecast opex for </w:t>
      </w:r>
      <w:r w:rsidR="005A2746">
        <w:t>prescribed transmission</w:t>
      </w:r>
      <w:r w:rsidRPr="000646F7">
        <w:t xml:space="preserve"> services is one of the building blocks we use to determine a service provider's annual total revenue requirement. </w:t>
      </w:r>
    </w:p>
    <w:p w:rsidR="000646F7" w:rsidRPr="00B80816" w:rsidRDefault="000646F7" w:rsidP="00CD1D8B">
      <w:r w:rsidRPr="000646F7">
        <w:t xml:space="preserve">This attachment outlines our assessment of </w:t>
      </w:r>
      <w:r>
        <w:t>AusNet Services'</w:t>
      </w:r>
      <w:r w:rsidRPr="000646F7">
        <w:t xml:space="preserve"> proposed </w:t>
      </w:r>
      <w:r w:rsidR="00936EF1">
        <w:t xml:space="preserve">total </w:t>
      </w:r>
      <w:r w:rsidRPr="000646F7">
        <w:t>opex forecast for the 2017–</w:t>
      </w:r>
      <w:r>
        <w:t>22</w:t>
      </w:r>
      <w:r w:rsidRPr="000646F7">
        <w:t xml:space="preserve"> regulatory </w:t>
      </w:r>
      <w:r w:rsidR="0015116A">
        <w:t xml:space="preserve">control </w:t>
      </w:r>
      <w:proofErr w:type="gramStart"/>
      <w:r w:rsidRPr="000646F7">
        <w:t>period</w:t>
      </w:r>
      <w:proofErr w:type="gramEnd"/>
      <w:r w:rsidRPr="000646F7">
        <w:t>.</w:t>
      </w:r>
    </w:p>
    <w:p w:rsidR="00DE563D" w:rsidRPr="001754EE" w:rsidRDefault="000646F7" w:rsidP="001754EE">
      <w:pPr>
        <w:pStyle w:val="Heading2"/>
      </w:pPr>
      <w:bookmarkStart w:id="11" w:name="_Toc480809640"/>
      <w:r>
        <w:t>Summary</w:t>
      </w:r>
      <w:bookmarkEnd w:id="11"/>
    </w:p>
    <w:p w:rsidR="003F2642" w:rsidRDefault="003F2642" w:rsidP="00E65947">
      <w:bookmarkStart w:id="12" w:name="_Toc403144137"/>
      <w:r w:rsidRPr="003F2642">
        <w:t>Our final decision is to approve</w:t>
      </w:r>
      <w:r>
        <w:t xml:space="preserve"> total forecast opex of $1132.0 </w:t>
      </w:r>
      <w:r w:rsidRPr="003F2642">
        <w:t xml:space="preserve">million ($2016–17) </w:t>
      </w:r>
      <w:r w:rsidR="00124805">
        <w:t xml:space="preserve">for the </w:t>
      </w:r>
      <w:r w:rsidR="00124805" w:rsidRPr="003F2642">
        <w:t>2017–22 regulatory period</w:t>
      </w:r>
      <w:r w:rsidR="00124805">
        <w:t>,</w:t>
      </w:r>
      <w:r w:rsidR="00124805" w:rsidRPr="003F2642">
        <w:t xml:space="preserve"> </w:t>
      </w:r>
      <w:r w:rsidRPr="003F2642">
        <w:t>which we consider reasonably reflects the opex criteria under the National Electricity Rules.</w:t>
      </w:r>
    </w:p>
    <w:p w:rsidR="003F2642" w:rsidRPr="003F2642" w:rsidRDefault="003F2642" w:rsidP="003F2642">
      <w:r w:rsidRPr="003F2642">
        <w:t>Our final decision is higher than AusNet Services' revised proposal of $1049.6</w:t>
      </w:r>
      <w:r>
        <w:t> million</w:t>
      </w:r>
      <w:r w:rsidRPr="003F2642">
        <w:t xml:space="preserve"> ($2016–17)</w:t>
      </w:r>
      <w:r w:rsidR="00124805">
        <w:t>.</w:t>
      </w:r>
      <w:r w:rsidR="00652FB0">
        <w:rPr>
          <w:rStyle w:val="FootnoteReference"/>
        </w:rPr>
        <w:footnoteReference w:id="1"/>
      </w:r>
      <w:r w:rsidRPr="003F2642">
        <w:t xml:space="preserve"> </w:t>
      </w:r>
      <w:r w:rsidR="00652FB0">
        <w:t>This is because we have incorporated new information into our total opex forecast that became available</w:t>
      </w:r>
      <w:r w:rsidR="00652FB0" w:rsidRPr="004838C8">
        <w:t xml:space="preserve"> </w:t>
      </w:r>
      <w:r w:rsidR="00652FB0">
        <w:t>subsequent to AusNet Services' revised proposal.</w:t>
      </w:r>
    </w:p>
    <w:p w:rsidR="00652FB0" w:rsidRDefault="00652FB0" w:rsidP="00652FB0">
      <w:r>
        <w:t>The Victorian Government increased the easement land tax imposed on AusNet Services.</w:t>
      </w:r>
      <w:r>
        <w:rPr>
          <w:rStyle w:val="FootnoteReference"/>
        </w:rPr>
        <w:footnoteReference w:id="2"/>
      </w:r>
      <w:r w:rsidR="003D2EDF">
        <w:t xml:space="preserve"> </w:t>
      </w:r>
      <w:r>
        <w:t xml:space="preserve">Accordingly, we increased our forecast of </w:t>
      </w:r>
      <w:r w:rsidRPr="00836A76">
        <w:rPr>
          <w:rStyle w:val="Emphasis"/>
        </w:rPr>
        <w:t>annual</w:t>
      </w:r>
      <w:r>
        <w:t xml:space="preserve"> easement land</w:t>
      </w:r>
      <w:r w:rsidR="00383ECA">
        <w:t xml:space="preserve"> tax from $114.3 </w:t>
      </w:r>
      <w:r>
        <w:t xml:space="preserve">million </w:t>
      </w:r>
      <w:r w:rsidR="00383ECA">
        <w:t>to $135.0 </w:t>
      </w:r>
      <w:r>
        <w:t>million</w:t>
      </w:r>
      <w:r w:rsidRPr="00C4760B">
        <w:t xml:space="preserve"> </w:t>
      </w:r>
      <w:r>
        <w:t>($2016–17) in our alternative estimate.</w:t>
      </w:r>
      <w:r>
        <w:rPr>
          <w:rStyle w:val="FootnoteReference"/>
        </w:rPr>
        <w:footnoteReference w:id="3"/>
      </w:r>
      <w:r>
        <w:t xml:space="preserve"> Had this not occurred, our final</w:t>
      </w:r>
      <w:r w:rsidR="00383ECA">
        <w:t xml:space="preserve"> decision would have been $21.2 </w:t>
      </w:r>
      <w:r>
        <w:t xml:space="preserve">million lower than AusNet Services' revised proposal. Otherwise, our final decision is largely consistent with our draft decision. </w:t>
      </w:r>
    </w:p>
    <w:p w:rsidR="00B4061C" w:rsidRDefault="00714AAA" w:rsidP="00CD1D8B">
      <w:r>
        <w:t>Our final decision</w:t>
      </w:r>
      <w:r w:rsidR="00FB74C7">
        <w:t xml:space="preserve"> </w:t>
      </w:r>
      <w:r w:rsidR="00652FB0">
        <w:t xml:space="preserve">is set out in </w:t>
      </w:r>
      <w:r w:rsidR="00EE3368">
        <w:t>T</w:t>
      </w:r>
      <w:r w:rsidR="00FB74C7" w:rsidRPr="00344244">
        <w:t>able 7.1</w:t>
      </w:r>
      <w:r>
        <w:t xml:space="preserve">. </w:t>
      </w:r>
    </w:p>
    <w:p w:rsidR="00587369" w:rsidRDefault="009A5C16" w:rsidP="009A5C16">
      <w:pPr>
        <w:pStyle w:val="Caption"/>
      </w:pPr>
      <w:proofErr w:type="gramStart"/>
      <w:r>
        <w:t xml:space="preserve">Table </w:t>
      </w:r>
      <w:fldSimple w:instr=" STYLEREF 1 \s ">
        <w:r w:rsidR="003042CF">
          <w:rPr>
            <w:noProof/>
          </w:rPr>
          <w:t>7</w:t>
        </w:r>
      </w:fldSimple>
      <w:r w:rsidR="00F97ECA">
        <w:t>.</w:t>
      </w:r>
      <w:proofErr w:type="gramEnd"/>
      <w:r w:rsidR="00E65947">
        <w:fldChar w:fldCharType="begin"/>
      </w:r>
      <w:r w:rsidR="00E65947">
        <w:instrText xml:space="preserve"> SEQ Table \* ARABIC \s 1 </w:instrText>
      </w:r>
      <w:r w:rsidR="00E65947">
        <w:fldChar w:fldCharType="separate"/>
      </w:r>
      <w:r w:rsidR="003042CF">
        <w:rPr>
          <w:noProof/>
        </w:rPr>
        <w:t>1</w:t>
      </w:r>
      <w:r w:rsidR="00E65947">
        <w:rPr>
          <w:noProof/>
        </w:rPr>
        <w:fldChar w:fldCharType="end"/>
      </w:r>
      <w:r w:rsidR="00587369" w:rsidRPr="00587369">
        <w:tab/>
        <w:t>Our final decision on total opex ($ million, 20</w:t>
      </w:r>
      <w:r>
        <w:t>16</w:t>
      </w:r>
      <w:r w:rsidR="00587369" w:rsidRPr="00587369">
        <w:t>–</w:t>
      </w:r>
      <w:r>
        <w:t>17</w:t>
      </w:r>
      <w:r w:rsidR="00587369" w:rsidRPr="00587369">
        <w:t>)</w:t>
      </w:r>
    </w:p>
    <w:tbl>
      <w:tblPr>
        <w:tblStyle w:val="AERtable-numbers"/>
        <w:tblW w:w="5000" w:type="pct"/>
        <w:tblLook w:val="04A0" w:firstRow="1" w:lastRow="0" w:firstColumn="1" w:lastColumn="0" w:noHBand="0" w:noVBand="1"/>
      </w:tblPr>
      <w:tblGrid>
        <w:gridCol w:w="2779"/>
        <w:gridCol w:w="959"/>
        <w:gridCol w:w="958"/>
        <w:gridCol w:w="958"/>
        <w:gridCol w:w="958"/>
        <w:gridCol w:w="958"/>
        <w:gridCol w:w="1123"/>
      </w:tblGrid>
      <w:tr w:rsidR="00587369" w:rsidTr="000A4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pct"/>
          </w:tcPr>
          <w:p w:rsidR="00587369" w:rsidRDefault="00587369" w:rsidP="00587369"/>
        </w:tc>
        <w:tc>
          <w:tcPr>
            <w:tcW w:w="551" w:type="pct"/>
          </w:tcPr>
          <w:p w:rsidR="00587369" w:rsidRPr="00587369" w:rsidRDefault="00587369" w:rsidP="00587369">
            <w:pPr>
              <w:cnfStyle w:val="100000000000" w:firstRow="1" w:lastRow="0" w:firstColumn="0" w:lastColumn="0" w:oddVBand="0" w:evenVBand="0" w:oddHBand="0" w:evenHBand="0" w:firstRowFirstColumn="0" w:firstRowLastColumn="0" w:lastRowFirstColumn="0" w:lastRowLastColumn="0"/>
            </w:pPr>
            <w:r>
              <w:t>201</w:t>
            </w:r>
            <w:r w:rsidR="00CD64E8">
              <w:t>7–18</w:t>
            </w:r>
          </w:p>
        </w:tc>
        <w:tc>
          <w:tcPr>
            <w:tcW w:w="551" w:type="pct"/>
          </w:tcPr>
          <w:p w:rsidR="00587369" w:rsidRPr="00587369" w:rsidRDefault="00587369" w:rsidP="00587369">
            <w:pPr>
              <w:cnfStyle w:val="100000000000" w:firstRow="1" w:lastRow="0" w:firstColumn="0" w:lastColumn="0" w:oddVBand="0" w:evenVBand="0" w:oddHBand="0" w:evenHBand="0" w:firstRowFirstColumn="0" w:firstRowLastColumn="0" w:lastRowFirstColumn="0" w:lastRowLastColumn="0"/>
            </w:pPr>
            <w:r>
              <w:t>201</w:t>
            </w:r>
            <w:r w:rsidR="00CD64E8">
              <w:t>8–19</w:t>
            </w:r>
          </w:p>
        </w:tc>
        <w:tc>
          <w:tcPr>
            <w:tcW w:w="551" w:type="pct"/>
          </w:tcPr>
          <w:p w:rsidR="00587369" w:rsidRPr="00587369" w:rsidRDefault="00587369" w:rsidP="00587369">
            <w:pPr>
              <w:cnfStyle w:val="100000000000" w:firstRow="1" w:lastRow="0" w:firstColumn="0" w:lastColumn="0" w:oddVBand="0" w:evenVBand="0" w:oddHBand="0" w:evenHBand="0" w:firstRowFirstColumn="0" w:firstRowLastColumn="0" w:lastRowFirstColumn="0" w:lastRowLastColumn="0"/>
            </w:pPr>
            <w:r>
              <w:t>20</w:t>
            </w:r>
            <w:r w:rsidR="00CD64E8">
              <w:t>19–20</w:t>
            </w:r>
          </w:p>
        </w:tc>
        <w:tc>
          <w:tcPr>
            <w:tcW w:w="551" w:type="pct"/>
          </w:tcPr>
          <w:p w:rsidR="00587369" w:rsidRPr="00587369" w:rsidRDefault="00587369" w:rsidP="00587369">
            <w:pPr>
              <w:cnfStyle w:val="100000000000" w:firstRow="1" w:lastRow="0" w:firstColumn="0" w:lastColumn="0" w:oddVBand="0" w:evenVBand="0" w:oddHBand="0" w:evenHBand="0" w:firstRowFirstColumn="0" w:firstRowLastColumn="0" w:lastRowFirstColumn="0" w:lastRowLastColumn="0"/>
            </w:pPr>
            <w:r>
              <w:t>20</w:t>
            </w:r>
            <w:r w:rsidR="00CD64E8">
              <w:t>20–21</w:t>
            </w:r>
          </w:p>
        </w:tc>
        <w:tc>
          <w:tcPr>
            <w:tcW w:w="551" w:type="pct"/>
          </w:tcPr>
          <w:p w:rsidR="00587369" w:rsidRPr="00587369" w:rsidRDefault="00587369" w:rsidP="00587369">
            <w:pPr>
              <w:cnfStyle w:val="100000000000" w:firstRow="1" w:lastRow="0" w:firstColumn="0" w:lastColumn="0" w:oddVBand="0" w:evenVBand="0" w:oddHBand="0" w:evenHBand="0" w:firstRowFirstColumn="0" w:firstRowLastColumn="0" w:lastRowFirstColumn="0" w:lastRowLastColumn="0"/>
            </w:pPr>
            <w:r>
              <w:t>202</w:t>
            </w:r>
            <w:r w:rsidR="00CD64E8">
              <w:t>1–22</w:t>
            </w:r>
          </w:p>
        </w:tc>
        <w:tc>
          <w:tcPr>
            <w:tcW w:w="646" w:type="pct"/>
          </w:tcPr>
          <w:p w:rsidR="00587369" w:rsidRPr="00587369" w:rsidRDefault="00587369" w:rsidP="00587369">
            <w:pPr>
              <w:cnfStyle w:val="100000000000" w:firstRow="1" w:lastRow="0" w:firstColumn="0" w:lastColumn="0" w:oddVBand="0" w:evenVBand="0" w:oddHBand="0" w:evenHBand="0" w:firstRowFirstColumn="0" w:firstRowLastColumn="0" w:lastRowFirstColumn="0" w:lastRowLastColumn="0"/>
            </w:pPr>
            <w:r>
              <w:t>Total</w:t>
            </w:r>
          </w:p>
        </w:tc>
      </w:tr>
      <w:tr w:rsidR="00146021" w:rsidTr="000A4540">
        <w:tc>
          <w:tcPr>
            <w:cnfStyle w:val="001000000000" w:firstRow="0" w:lastRow="0" w:firstColumn="1" w:lastColumn="0" w:oddVBand="0" w:evenVBand="0" w:oddHBand="0" w:evenHBand="0" w:firstRowFirstColumn="0" w:firstRowLastColumn="0" w:lastRowFirstColumn="0" w:lastRowLastColumn="0"/>
            <w:tcW w:w="1598" w:type="pct"/>
          </w:tcPr>
          <w:p w:rsidR="00146021" w:rsidRPr="00146021" w:rsidRDefault="00146021" w:rsidP="00146021">
            <w:r w:rsidRPr="00146021">
              <w:t>AusNet Services' initial proposal</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218.9</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214.0</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215.5</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217.7</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219.0</w:t>
            </w:r>
          </w:p>
        </w:tc>
        <w:tc>
          <w:tcPr>
            <w:tcW w:w="646"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1085.0</w:t>
            </w:r>
          </w:p>
        </w:tc>
      </w:tr>
      <w:tr w:rsidR="00146021" w:rsidTr="000A45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pct"/>
          </w:tcPr>
          <w:p w:rsidR="00146021" w:rsidRPr="00146021" w:rsidRDefault="00146021" w:rsidP="00146021">
            <w:r w:rsidRPr="00146021">
              <w:t>AER draft decision</w:t>
            </w:r>
          </w:p>
        </w:tc>
        <w:tc>
          <w:tcPr>
            <w:tcW w:w="551" w:type="pct"/>
            <w:vAlign w:val="top"/>
          </w:tcPr>
          <w:p w:rsidR="00146021" w:rsidRPr="00B461EC" w:rsidRDefault="00146021" w:rsidP="00B461EC">
            <w:pPr>
              <w:cnfStyle w:val="000000010000" w:firstRow="0" w:lastRow="0" w:firstColumn="0" w:lastColumn="0" w:oddVBand="0" w:evenVBand="0" w:oddHBand="0" w:evenHBand="1" w:firstRowFirstColumn="0" w:firstRowLastColumn="0" w:lastRowFirstColumn="0" w:lastRowLastColumn="0"/>
            </w:pPr>
            <w:r w:rsidRPr="00B461EC">
              <w:t>204.2</w:t>
            </w:r>
          </w:p>
        </w:tc>
        <w:tc>
          <w:tcPr>
            <w:tcW w:w="551" w:type="pct"/>
            <w:vAlign w:val="top"/>
          </w:tcPr>
          <w:p w:rsidR="00146021" w:rsidRPr="00B461EC" w:rsidRDefault="00146021" w:rsidP="00B461EC">
            <w:pPr>
              <w:cnfStyle w:val="000000010000" w:firstRow="0" w:lastRow="0" w:firstColumn="0" w:lastColumn="0" w:oddVBand="0" w:evenVBand="0" w:oddHBand="0" w:evenHBand="1" w:firstRowFirstColumn="0" w:firstRowLastColumn="0" w:lastRowFirstColumn="0" w:lastRowLastColumn="0"/>
            </w:pPr>
            <w:r w:rsidRPr="00B461EC">
              <w:t>204.4</w:t>
            </w:r>
          </w:p>
        </w:tc>
        <w:tc>
          <w:tcPr>
            <w:tcW w:w="551" w:type="pct"/>
            <w:vAlign w:val="top"/>
          </w:tcPr>
          <w:p w:rsidR="00146021" w:rsidRPr="00B461EC" w:rsidRDefault="00146021" w:rsidP="00B461EC">
            <w:pPr>
              <w:cnfStyle w:val="000000010000" w:firstRow="0" w:lastRow="0" w:firstColumn="0" w:lastColumn="0" w:oddVBand="0" w:evenVBand="0" w:oddHBand="0" w:evenHBand="1" w:firstRowFirstColumn="0" w:firstRowLastColumn="0" w:lastRowFirstColumn="0" w:lastRowLastColumn="0"/>
            </w:pPr>
            <w:r w:rsidRPr="00B461EC">
              <w:t>204.8</w:t>
            </w:r>
          </w:p>
        </w:tc>
        <w:tc>
          <w:tcPr>
            <w:tcW w:w="551" w:type="pct"/>
            <w:vAlign w:val="top"/>
          </w:tcPr>
          <w:p w:rsidR="00146021" w:rsidRPr="00B461EC" w:rsidRDefault="00146021" w:rsidP="00B461EC">
            <w:pPr>
              <w:cnfStyle w:val="000000010000" w:firstRow="0" w:lastRow="0" w:firstColumn="0" w:lastColumn="0" w:oddVBand="0" w:evenVBand="0" w:oddHBand="0" w:evenHBand="1" w:firstRowFirstColumn="0" w:firstRowLastColumn="0" w:lastRowFirstColumn="0" w:lastRowLastColumn="0"/>
            </w:pPr>
            <w:r w:rsidRPr="00B461EC">
              <w:t>205.2</w:t>
            </w:r>
          </w:p>
        </w:tc>
        <w:tc>
          <w:tcPr>
            <w:tcW w:w="551" w:type="pct"/>
            <w:vAlign w:val="top"/>
          </w:tcPr>
          <w:p w:rsidR="00146021" w:rsidRPr="00B461EC" w:rsidRDefault="00146021" w:rsidP="00B461EC">
            <w:pPr>
              <w:cnfStyle w:val="000000010000" w:firstRow="0" w:lastRow="0" w:firstColumn="0" w:lastColumn="0" w:oddVBand="0" w:evenVBand="0" w:oddHBand="0" w:evenHBand="1" w:firstRowFirstColumn="0" w:firstRowLastColumn="0" w:lastRowFirstColumn="0" w:lastRowLastColumn="0"/>
            </w:pPr>
            <w:r w:rsidRPr="00B461EC">
              <w:t>205.6</w:t>
            </w:r>
          </w:p>
        </w:tc>
        <w:tc>
          <w:tcPr>
            <w:tcW w:w="646" w:type="pct"/>
            <w:vAlign w:val="top"/>
          </w:tcPr>
          <w:p w:rsidR="00146021" w:rsidRPr="00B461EC" w:rsidRDefault="00146021" w:rsidP="00B461EC">
            <w:pPr>
              <w:cnfStyle w:val="000000010000" w:firstRow="0" w:lastRow="0" w:firstColumn="0" w:lastColumn="0" w:oddVBand="0" w:evenVBand="0" w:oddHBand="0" w:evenHBand="1" w:firstRowFirstColumn="0" w:firstRowLastColumn="0" w:lastRowFirstColumn="0" w:lastRowLastColumn="0"/>
            </w:pPr>
            <w:r w:rsidRPr="00B461EC">
              <w:t>1024.1</w:t>
            </w:r>
          </w:p>
        </w:tc>
      </w:tr>
      <w:tr w:rsidR="00146021" w:rsidTr="000A4540">
        <w:tc>
          <w:tcPr>
            <w:cnfStyle w:val="001000000000" w:firstRow="0" w:lastRow="0" w:firstColumn="1" w:lastColumn="0" w:oddVBand="0" w:evenVBand="0" w:oddHBand="0" w:evenHBand="0" w:firstRowFirstColumn="0" w:firstRowLastColumn="0" w:lastRowFirstColumn="0" w:lastRowLastColumn="0"/>
            <w:tcW w:w="1598" w:type="pct"/>
          </w:tcPr>
          <w:p w:rsidR="00146021" w:rsidRPr="00146021" w:rsidRDefault="00146021" w:rsidP="00146021">
            <w:r w:rsidRPr="00146021">
              <w:t>AusNet Services' revised proposal</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214.0</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208.0</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208.4</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209.5</w:t>
            </w:r>
          </w:p>
        </w:tc>
        <w:tc>
          <w:tcPr>
            <w:tcW w:w="551"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209.6</w:t>
            </w:r>
          </w:p>
        </w:tc>
        <w:tc>
          <w:tcPr>
            <w:tcW w:w="646" w:type="pct"/>
            <w:vAlign w:val="top"/>
          </w:tcPr>
          <w:p w:rsidR="00146021" w:rsidRPr="00B461EC" w:rsidRDefault="00146021" w:rsidP="00B461EC">
            <w:pPr>
              <w:cnfStyle w:val="000000000000" w:firstRow="0" w:lastRow="0" w:firstColumn="0" w:lastColumn="0" w:oddVBand="0" w:evenVBand="0" w:oddHBand="0" w:evenHBand="0" w:firstRowFirstColumn="0" w:firstRowLastColumn="0" w:lastRowFirstColumn="0" w:lastRowLastColumn="0"/>
            </w:pPr>
            <w:r w:rsidRPr="00B461EC">
              <w:t>1049.6</w:t>
            </w:r>
          </w:p>
        </w:tc>
      </w:tr>
      <w:tr w:rsidR="000A4540" w:rsidTr="000A45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pct"/>
          </w:tcPr>
          <w:p w:rsidR="000A4540" w:rsidRPr="00BE65DD" w:rsidRDefault="000A4540" w:rsidP="00655B9E">
            <w:r w:rsidRPr="00BE65DD">
              <w:t xml:space="preserve">AER </w:t>
            </w:r>
            <w:r w:rsidRPr="000A4540">
              <w:t>final decision</w:t>
            </w:r>
            <w:r w:rsidRPr="00BE65DD">
              <w:t xml:space="preserve"> excluding impact of increase in </w:t>
            </w:r>
            <w:r w:rsidR="00655B9E">
              <w:t>easement land tax</w:t>
            </w:r>
          </w:p>
        </w:tc>
        <w:tc>
          <w:tcPr>
            <w:tcW w:w="551" w:type="pct"/>
            <w:vAlign w:val="top"/>
          </w:tcPr>
          <w:p w:rsidR="000A4540" w:rsidRPr="00BE65DD" w:rsidRDefault="000A4540" w:rsidP="00BE65DD">
            <w:pPr>
              <w:cnfStyle w:val="000000010000" w:firstRow="0" w:lastRow="0" w:firstColumn="0" w:lastColumn="0" w:oddVBand="0" w:evenVBand="0" w:oddHBand="0" w:evenHBand="1" w:firstRowFirstColumn="0" w:firstRowLastColumn="0" w:lastRowFirstColumn="0" w:lastRowLastColumn="0"/>
            </w:pPr>
            <w:r w:rsidRPr="00BE65DD">
              <w:t>204.6</w:t>
            </w:r>
          </w:p>
        </w:tc>
        <w:tc>
          <w:tcPr>
            <w:tcW w:w="551" w:type="pct"/>
            <w:vAlign w:val="top"/>
          </w:tcPr>
          <w:p w:rsidR="000A4540" w:rsidRPr="00BE65DD" w:rsidRDefault="000A4540" w:rsidP="00BE65DD">
            <w:pPr>
              <w:cnfStyle w:val="000000010000" w:firstRow="0" w:lastRow="0" w:firstColumn="0" w:lastColumn="0" w:oddVBand="0" w:evenVBand="0" w:oddHBand="0" w:evenHBand="1" w:firstRowFirstColumn="0" w:firstRowLastColumn="0" w:lastRowFirstColumn="0" w:lastRowLastColumn="0"/>
            </w:pPr>
            <w:r w:rsidRPr="00BE65DD">
              <w:t>205.</w:t>
            </w:r>
            <w:r w:rsidR="00655B9E">
              <w:t>1</w:t>
            </w:r>
          </w:p>
        </w:tc>
        <w:tc>
          <w:tcPr>
            <w:tcW w:w="551" w:type="pct"/>
            <w:vAlign w:val="top"/>
          </w:tcPr>
          <w:p w:rsidR="000A4540" w:rsidRPr="00BE65DD" w:rsidRDefault="000A4540" w:rsidP="00BE65DD">
            <w:pPr>
              <w:cnfStyle w:val="000000010000" w:firstRow="0" w:lastRow="0" w:firstColumn="0" w:lastColumn="0" w:oddVBand="0" w:evenVBand="0" w:oddHBand="0" w:evenHBand="1" w:firstRowFirstColumn="0" w:firstRowLastColumn="0" w:lastRowFirstColumn="0" w:lastRowLastColumn="0"/>
            </w:pPr>
            <w:r w:rsidRPr="00BE65DD">
              <w:t>205.7</w:t>
            </w:r>
          </w:p>
        </w:tc>
        <w:tc>
          <w:tcPr>
            <w:tcW w:w="551" w:type="pct"/>
            <w:vAlign w:val="top"/>
          </w:tcPr>
          <w:p w:rsidR="000A4540" w:rsidRPr="00BE65DD" w:rsidRDefault="000A4540" w:rsidP="00BE65DD">
            <w:pPr>
              <w:cnfStyle w:val="000000010000" w:firstRow="0" w:lastRow="0" w:firstColumn="0" w:lastColumn="0" w:oddVBand="0" w:evenVBand="0" w:oddHBand="0" w:evenHBand="1" w:firstRowFirstColumn="0" w:firstRowLastColumn="0" w:lastRowFirstColumn="0" w:lastRowLastColumn="0"/>
            </w:pPr>
            <w:r w:rsidRPr="00BE65DD">
              <w:t>206.2</w:t>
            </w:r>
          </w:p>
        </w:tc>
        <w:tc>
          <w:tcPr>
            <w:tcW w:w="551" w:type="pct"/>
            <w:vAlign w:val="top"/>
          </w:tcPr>
          <w:p w:rsidR="000A4540" w:rsidRPr="00BE65DD" w:rsidRDefault="000A4540" w:rsidP="00BE65DD">
            <w:pPr>
              <w:cnfStyle w:val="000000010000" w:firstRow="0" w:lastRow="0" w:firstColumn="0" w:lastColumn="0" w:oddVBand="0" w:evenVBand="0" w:oddHBand="0" w:evenHBand="1" w:firstRowFirstColumn="0" w:firstRowLastColumn="0" w:lastRowFirstColumn="0" w:lastRowLastColumn="0"/>
            </w:pPr>
            <w:r w:rsidRPr="00BE65DD">
              <w:t>206.</w:t>
            </w:r>
            <w:r w:rsidR="00655B9E">
              <w:t>7</w:t>
            </w:r>
          </w:p>
        </w:tc>
        <w:tc>
          <w:tcPr>
            <w:tcW w:w="646" w:type="pct"/>
            <w:vAlign w:val="top"/>
          </w:tcPr>
          <w:p w:rsidR="000A4540" w:rsidRPr="00BE65DD" w:rsidRDefault="000A4540" w:rsidP="00BE65DD">
            <w:pPr>
              <w:cnfStyle w:val="000000010000" w:firstRow="0" w:lastRow="0" w:firstColumn="0" w:lastColumn="0" w:oddVBand="0" w:evenVBand="0" w:oddHBand="0" w:evenHBand="1" w:firstRowFirstColumn="0" w:firstRowLastColumn="0" w:lastRowFirstColumn="0" w:lastRowLastColumn="0"/>
            </w:pPr>
            <w:r w:rsidRPr="00BE65DD">
              <w:t>1028.</w:t>
            </w:r>
            <w:r w:rsidR="00655B9E">
              <w:t>4</w:t>
            </w:r>
          </w:p>
        </w:tc>
      </w:tr>
      <w:tr w:rsidR="000A4540" w:rsidTr="000A4540">
        <w:tc>
          <w:tcPr>
            <w:cnfStyle w:val="001000000000" w:firstRow="0" w:lastRow="0" w:firstColumn="1" w:lastColumn="0" w:oddVBand="0" w:evenVBand="0" w:oddHBand="0" w:evenHBand="0" w:firstRowFirstColumn="0" w:firstRowLastColumn="0" w:lastRowFirstColumn="0" w:lastRowLastColumn="0"/>
            <w:tcW w:w="1598" w:type="pct"/>
          </w:tcPr>
          <w:p w:rsidR="000A4540" w:rsidRPr="000A4540" w:rsidRDefault="000A4540" w:rsidP="000A4540">
            <w:pPr>
              <w:rPr>
                <w:rStyle w:val="Strong"/>
              </w:rPr>
            </w:pPr>
            <w:r w:rsidRPr="00B461EC">
              <w:rPr>
                <w:rStyle w:val="Strong"/>
              </w:rPr>
              <w:lastRenderedPageBreak/>
              <w:t>AER final decision</w:t>
            </w:r>
          </w:p>
        </w:tc>
        <w:tc>
          <w:tcPr>
            <w:tcW w:w="551" w:type="pct"/>
            <w:vAlign w:val="top"/>
          </w:tcPr>
          <w:p w:rsidR="000A4540" w:rsidRPr="000A4540" w:rsidRDefault="00B25B20" w:rsidP="00655B9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225.</w:t>
            </w:r>
            <w:r w:rsidR="00655B9E">
              <w:rPr>
                <w:rStyle w:val="Strong"/>
              </w:rPr>
              <w:t>4</w:t>
            </w:r>
          </w:p>
        </w:tc>
        <w:tc>
          <w:tcPr>
            <w:tcW w:w="551" w:type="pct"/>
            <w:vAlign w:val="top"/>
          </w:tcPr>
          <w:p w:rsidR="000A4540" w:rsidRPr="000A4540" w:rsidRDefault="00B25B20" w:rsidP="000A45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225.</w:t>
            </w:r>
            <w:r w:rsidR="00655B9E">
              <w:rPr>
                <w:rStyle w:val="Strong"/>
              </w:rPr>
              <w:t>8</w:t>
            </w:r>
          </w:p>
        </w:tc>
        <w:tc>
          <w:tcPr>
            <w:tcW w:w="551" w:type="pct"/>
            <w:vAlign w:val="top"/>
          </w:tcPr>
          <w:p w:rsidR="000A4540" w:rsidRPr="000A4540" w:rsidRDefault="00B25B20" w:rsidP="000A45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226.4</w:t>
            </w:r>
          </w:p>
        </w:tc>
        <w:tc>
          <w:tcPr>
            <w:tcW w:w="551" w:type="pct"/>
            <w:vAlign w:val="top"/>
          </w:tcPr>
          <w:p w:rsidR="000A4540" w:rsidRPr="000A4540" w:rsidRDefault="00B25B20" w:rsidP="000A45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226.9</w:t>
            </w:r>
          </w:p>
        </w:tc>
        <w:tc>
          <w:tcPr>
            <w:tcW w:w="551" w:type="pct"/>
            <w:vAlign w:val="top"/>
          </w:tcPr>
          <w:p w:rsidR="000A4540" w:rsidRPr="000A4540" w:rsidRDefault="00B25B20" w:rsidP="000A45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227.</w:t>
            </w:r>
            <w:r w:rsidR="00655B9E">
              <w:rPr>
                <w:rStyle w:val="Strong"/>
              </w:rPr>
              <w:t>4</w:t>
            </w:r>
          </w:p>
        </w:tc>
        <w:tc>
          <w:tcPr>
            <w:tcW w:w="646" w:type="pct"/>
            <w:vAlign w:val="top"/>
          </w:tcPr>
          <w:p w:rsidR="000A4540" w:rsidRPr="000A4540" w:rsidRDefault="00B25B20" w:rsidP="000A45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1132.0</w:t>
            </w:r>
          </w:p>
        </w:tc>
      </w:tr>
    </w:tbl>
    <w:p w:rsidR="00CA23C7" w:rsidRDefault="00986867" w:rsidP="00986867">
      <w:pPr>
        <w:pStyle w:val="AERtablesource"/>
      </w:pPr>
      <w:r>
        <w:t xml:space="preserve">Source: </w:t>
      </w:r>
      <w:r w:rsidR="00795770">
        <w:t>AusNet Services</w:t>
      </w:r>
      <w:r w:rsidR="00B25B20">
        <w:t>,</w:t>
      </w:r>
      <w:r w:rsidR="00795770">
        <w:t xml:space="preserve"> </w:t>
      </w:r>
      <w:r w:rsidR="00CA23C7">
        <w:rPr>
          <w:rStyle w:val="Emphasis"/>
        </w:rPr>
        <w:t>R</w:t>
      </w:r>
      <w:r w:rsidR="00795770" w:rsidRPr="00B25B20">
        <w:rPr>
          <w:rStyle w:val="Emphasis"/>
        </w:rPr>
        <w:t xml:space="preserve">evised </w:t>
      </w:r>
      <w:r w:rsidR="00CA23C7">
        <w:rPr>
          <w:rStyle w:val="Emphasis"/>
        </w:rPr>
        <w:t xml:space="preserve">revenue </w:t>
      </w:r>
      <w:r w:rsidR="00795770" w:rsidRPr="00B25B20">
        <w:rPr>
          <w:rStyle w:val="Emphasis"/>
        </w:rPr>
        <w:t>proposal</w:t>
      </w:r>
      <w:r w:rsidR="00CA23C7">
        <w:t xml:space="preserve">; AusNet Services, </w:t>
      </w:r>
      <w:r w:rsidR="00CA23C7" w:rsidRPr="00CA23C7">
        <w:rPr>
          <w:rStyle w:val="Emphasis"/>
        </w:rPr>
        <w:t>Revenue proposal</w:t>
      </w:r>
      <w:r w:rsidR="002A51C3">
        <w:t xml:space="preserve">; </w:t>
      </w:r>
      <w:r w:rsidR="00795770">
        <w:t xml:space="preserve">AER analysis. </w:t>
      </w:r>
    </w:p>
    <w:p w:rsidR="00986867" w:rsidRDefault="00D744CE" w:rsidP="00986867">
      <w:pPr>
        <w:pStyle w:val="AERtablesource"/>
      </w:pPr>
      <w:r>
        <w:t>Note: Excludes debt raising costs.</w:t>
      </w:r>
      <w:r w:rsidR="00655B9E">
        <w:t xml:space="preserve"> Numbers </w:t>
      </w:r>
      <w:r w:rsidR="00F90665">
        <w:t>may not add up due to rounding.</w:t>
      </w:r>
    </w:p>
    <w:p w:rsidR="00964D5F" w:rsidRDefault="00964D5F" w:rsidP="001A3C19">
      <w:r>
        <w:fldChar w:fldCharType="begin"/>
      </w:r>
      <w:r>
        <w:instrText xml:space="preserve"> REF _Ref476035953 \h </w:instrText>
      </w:r>
      <w:r>
        <w:fldChar w:fldCharType="separate"/>
      </w:r>
      <w:r w:rsidR="003042CF">
        <w:t xml:space="preserve">Figure </w:t>
      </w:r>
      <w:r w:rsidR="003042CF">
        <w:rPr>
          <w:noProof/>
        </w:rPr>
        <w:t>7</w:t>
      </w:r>
      <w:r w:rsidR="003042CF">
        <w:t>.</w:t>
      </w:r>
      <w:r w:rsidR="003042CF">
        <w:rPr>
          <w:noProof/>
        </w:rPr>
        <w:t>1</w:t>
      </w:r>
      <w:r>
        <w:fldChar w:fldCharType="end"/>
      </w:r>
      <w:r>
        <w:t xml:space="preserve"> </w:t>
      </w:r>
      <w:r w:rsidRPr="00964D5F">
        <w:t xml:space="preserve">shows our </w:t>
      </w:r>
      <w:r>
        <w:t>final</w:t>
      </w:r>
      <w:r w:rsidRPr="00964D5F">
        <w:t xml:space="preserve"> decision compared to AusNet Services' </w:t>
      </w:r>
      <w:r>
        <w:t xml:space="preserve">initial and revised </w:t>
      </w:r>
      <w:r w:rsidRPr="00964D5F">
        <w:t>proposal</w:t>
      </w:r>
      <w:r>
        <w:t xml:space="preserve">s, </w:t>
      </w:r>
      <w:r w:rsidRPr="00964D5F">
        <w:t>its past allowances and actual expenditure.</w:t>
      </w:r>
      <w:r w:rsidR="00960FB2">
        <w:t xml:space="preserve"> It also shows the impact of the increase in the easement land tax on our final decision.</w:t>
      </w:r>
    </w:p>
    <w:p w:rsidR="00964D5F" w:rsidRDefault="00964D5F" w:rsidP="00964D5F">
      <w:pPr>
        <w:pStyle w:val="Caption"/>
      </w:pPr>
      <w:bookmarkStart w:id="13" w:name="_Ref476035953"/>
      <w:proofErr w:type="gramStart"/>
      <w:r>
        <w:t xml:space="preserve">Figure </w:t>
      </w:r>
      <w:fldSimple w:instr=" STYLEREF 1 \s ">
        <w:r w:rsidR="003042CF">
          <w:rPr>
            <w:noProof/>
          </w:rPr>
          <w:t>7</w:t>
        </w:r>
      </w:fldSimple>
      <w:r>
        <w:t>.</w:t>
      </w:r>
      <w:proofErr w:type="gramEnd"/>
      <w:r w:rsidR="00E65947">
        <w:fldChar w:fldCharType="begin"/>
      </w:r>
      <w:r w:rsidR="00E65947">
        <w:instrText xml:space="preserve"> SEQ Figure \* ARABIC \s 1 </w:instrText>
      </w:r>
      <w:r w:rsidR="00E65947">
        <w:fldChar w:fldCharType="separate"/>
      </w:r>
      <w:r w:rsidR="003042CF">
        <w:rPr>
          <w:noProof/>
        </w:rPr>
        <w:t>1</w:t>
      </w:r>
      <w:r w:rsidR="00E65947">
        <w:rPr>
          <w:noProof/>
        </w:rPr>
        <w:fldChar w:fldCharType="end"/>
      </w:r>
      <w:bookmarkEnd w:id="13"/>
      <w:r>
        <w:tab/>
      </w:r>
      <w:r w:rsidRPr="00964D5F">
        <w:t>AER final decision compared to AusNet Services' past and</w:t>
      </w:r>
      <w:r>
        <w:t xml:space="preserve"> proposed opex ($ million, 2016–</w:t>
      </w:r>
      <w:r w:rsidRPr="00964D5F">
        <w:t>17)</w:t>
      </w:r>
    </w:p>
    <w:p w:rsidR="00960FB2" w:rsidRDefault="00960FB2" w:rsidP="00964D5F">
      <w:pPr>
        <w:pStyle w:val="Source"/>
      </w:pPr>
      <w:r>
        <w:rPr>
          <w:noProof/>
          <w:lang w:eastAsia="en-AU"/>
        </w:rPr>
        <w:drawing>
          <wp:inline distT="0" distB="0" distL="0" distR="0" wp14:anchorId="69D027E8" wp14:editId="7197ED3C">
            <wp:extent cx="5453149" cy="3811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705" cy="3817669"/>
                    </a:xfrm>
                    <a:prstGeom prst="rect">
                      <a:avLst/>
                    </a:prstGeom>
                    <a:noFill/>
                  </pic:spPr>
                </pic:pic>
              </a:graphicData>
            </a:graphic>
          </wp:inline>
        </w:drawing>
      </w:r>
    </w:p>
    <w:p w:rsidR="00964D5F" w:rsidRDefault="00964D5F" w:rsidP="00964D5F">
      <w:pPr>
        <w:pStyle w:val="Source"/>
      </w:pPr>
      <w:r w:rsidRPr="00964D5F">
        <w:t>Source: AusNet Services</w:t>
      </w:r>
      <w:r w:rsidRPr="00964D5F">
        <w:rPr>
          <w:rStyle w:val="Emphasis"/>
        </w:rPr>
        <w:t>, Regulatory accounts 2008-09 to 2014</w:t>
      </w:r>
      <w:r w:rsidR="00A87E6D">
        <w:rPr>
          <w:rStyle w:val="Emphasis"/>
        </w:rPr>
        <w:t>–</w:t>
      </w:r>
      <w:r w:rsidRPr="00964D5F">
        <w:rPr>
          <w:rStyle w:val="Emphasis"/>
        </w:rPr>
        <w:t>15</w:t>
      </w:r>
      <w:r w:rsidRPr="00964D5F">
        <w:t xml:space="preserve">; AusNet Services, </w:t>
      </w:r>
      <w:r w:rsidRPr="00964D5F">
        <w:rPr>
          <w:rStyle w:val="Emphasis"/>
        </w:rPr>
        <w:t>Economic benchmarking - Regulatory Information Notice response 2006 to 2015</w:t>
      </w:r>
      <w:r w:rsidRPr="00964D5F">
        <w:t xml:space="preserve">; </w:t>
      </w:r>
      <w:r>
        <w:t xml:space="preserve">AusNet Services, </w:t>
      </w:r>
      <w:r w:rsidRPr="00964D5F">
        <w:rPr>
          <w:rStyle w:val="Emphasis"/>
        </w:rPr>
        <w:t xml:space="preserve">initial and revised </w:t>
      </w:r>
      <w:r>
        <w:rPr>
          <w:rStyle w:val="Emphasis"/>
        </w:rPr>
        <w:t xml:space="preserve">opex model and </w:t>
      </w:r>
      <w:r w:rsidRPr="00964D5F">
        <w:rPr>
          <w:rStyle w:val="Emphasis"/>
        </w:rPr>
        <w:t>PTRM</w:t>
      </w:r>
      <w:r>
        <w:t xml:space="preserve">, </w:t>
      </w:r>
      <w:r w:rsidRPr="00964D5F">
        <w:t>AER analys</w:t>
      </w:r>
      <w:r w:rsidR="00E0177F">
        <w:t xml:space="preserve">is. </w:t>
      </w:r>
      <w:r w:rsidR="00023ADE">
        <w:t xml:space="preserve">Note: </w:t>
      </w:r>
      <w:r w:rsidR="00E0177F">
        <w:t>Excludes debt raising costs and movements in provisions.</w:t>
      </w:r>
    </w:p>
    <w:p w:rsidR="001A3C19" w:rsidRDefault="001A3C19" w:rsidP="001A3C19">
      <w:r>
        <w:t>We assessed AusNet Services</w:t>
      </w:r>
      <w:r w:rsidR="004805EC">
        <w:t>'</w:t>
      </w:r>
      <w:r>
        <w:t xml:space="preserve"> opex proposal by applying our</w:t>
      </w:r>
      <w:r w:rsidRPr="00C31089">
        <w:t xml:space="preserve"> 'base</w:t>
      </w:r>
      <w:r w:rsidR="00F70EBD">
        <w:t>–</w:t>
      </w:r>
      <w:r w:rsidRPr="00C31089">
        <w:t>step</w:t>
      </w:r>
      <w:r w:rsidR="00F70EBD">
        <w:t>–</w:t>
      </w:r>
      <w:r w:rsidRPr="00C31089">
        <w:t>trend' forecasting approach</w:t>
      </w:r>
      <w:r>
        <w:t xml:space="preserve"> to develop </w:t>
      </w:r>
      <w:r w:rsidR="00F90665">
        <w:t>an</w:t>
      </w:r>
      <w:r>
        <w:t xml:space="preserve"> alternative estimate</w:t>
      </w:r>
      <w:r w:rsidRPr="00C31089">
        <w:t>.</w:t>
      </w:r>
    </w:p>
    <w:p w:rsidR="001A3C19" w:rsidRDefault="001A3C19" w:rsidP="00BF60E3">
      <w:r>
        <w:t>We used AusNet Services</w:t>
      </w:r>
      <w:r w:rsidR="00457D37">
        <w:t>'</w:t>
      </w:r>
      <w:r>
        <w:t xml:space="preserve"> reported opex in 2014–15 as the 'base' component of our opex forecast</w:t>
      </w:r>
      <w:r w:rsidR="00936EF1">
        <w:t xml:space="preserve"> for 2017–2</w:t>
      </w:r>
      <w:r w:rsidR="00C204E8">
        <w:t>2</w:t>
      </w:r>
      <w:r>
        <w:t xml:space="preserve">. </w:t>
      </w:r>
      <w:r w:rsidRPr="00EB6ED0">
        <w:t xml:space="preserve">Our </w:t>
      </w:r>
      <w:r>
        <w:t xml:space="preserve">transmission </w:t>
      </w:r>
      <w:r w:rsidRPr="00EB6ED0">
        <w:t xml:space="preserve">benchmarking results do not indicate AusNet Services' </w:t>
      </w:r>
      <w:r w:rsidR="00BF60E3">
        <w:t>reported</w:t>
      </w:r>
      <w:r w:rsidR="00BF60E3" w:rsidRPr="00EB6ED0">
        <w:t xml:space="preserve"> </w:t>
      </w:r>
      <w:r w:rsidRPr="00EB6ED0">
        <w:t>opex is materially inefficient</w:t>
      </w:r>
      <w:r w:rsidR="00936EF1">
        <w:t xml:space="preserve"> compared to the other</w:t>
      </w:r>
      <w:r w:rsidR="00F90665">
        <w:t xml:space="preserve"> National Electricity Market</w:t>
      </w:r>
      <w:r w:rsidR="00936EF1">
        <w:t xml:space="preserve"> businesses</w:t>
      </w:r>
      <w:r w:rsidRPr="00EB6ED0">
        <w:t>.</w:t>
      </w:r>
      <w:r>
        <w:t xml:space="preserve"> </w:t>
      </w:r>
      <w:r w:rsidR="00BF60E3">
        <w:t xml:space="preserve">We therefore consider </w:t>
      </w:r>
      <w:r w:rsidR="004805EC">
        <w:t xml:space="preserve">its </w:t>
      </w:r>
      <w:r w:rsidR="00ED29B0">
        <w:t>reported</w:t>
      </w:r>
      <w:r w:rsidR="004805EC">
        <w:t xml:space="preserve"> opex</w:t>
      </w:r>
      <w:r w:rsidR="004805EC" w:rsidRPr="00F158CA">
        <w:t xml:space="preserve"> </w:t>
      </w:r>
      <w:r w:rsidR="00146021">
        <w:t xml:space="preserve">in 2014–15 </w:t>
      </w:r>
      <w:r w:rsidR="00F158CA" w:rsidRPr="00F158CA">
        <w:t>is a reasonable starting point for determining our opex forecast.</w:t>
      </w:r>
    </w:p>
    <w:p w:rsidR="007C1084" w:rsidRDefault="00D25C4E" w:rsidP="00BF60E3">
      <w:r>
        <w:t>O</w:t>
      </w:r>
      <w:r w:rsidRPr="007107AF">
        <w:t>ur forecast of the rate of change is lower than AusNet Services'</w:t>
      </w:r>
      <w:r w:rsidR="00C204E8">
        <w:t xml:space="preserve"> for two</w:t>
      </w:r>
      <w:r w:rsidR="007C1084">
        <w:t xml:space="preserve"> key</w:t>
      </w:r>
      <w:r w:rsidR="00C204E8">
        <w:t xml:space="preserve"> reasons</w:t>
      </w:r>
      <w:r w:rsidRPr="007107AF">
        <w:t>.</w:t>
      </w:r>
    </w:p>
    <w:p w:rsidR="00970383" w:rsidRDefault="007C1084" w:rsidP="00BF60E3">
      <w:r>
        <w:lastRenderedPageBreak/>
        <w:t>First</w:t>
      </w:r>
      <w:r w:rsidR="00C204E8">
        <w:t>, in forecasting labour price growth,</w:t>
      </w:r>
      <w:r>
        <w:t xml:space="preserve"> </w:t>
      </w:r>
      <w:r w:rsidR="00D25C4E" w:rsidRPr="007107AF">
        <w:t>AusNet Services treat</w:t>
      </w:r>
      <w:r w:rsidR="00D25C4E">
        <w:t>ed</w:t>
      </w:r>
      <w:r w:rsidR="00D25C4E" w:rsidRPr="007107AF">
        <w:t xml:space="preserve"> all services contract expenditure as labour</w:t>
      </w:r>
      <w:r w:rsidR="00D25C4E">
        <w:t xml:space="preserve"> costs</w:t>
      </w:r>
      <w:r w:rsidR="00D25C4E" w:rsidRPr="007107AF">
        <w:t>. This assumes the price change of contractors' non-labour inputs is the same as the</w:t>
      </w:r>
      <w:r w:rsidR="00970383">
        <w:t xml:space="preserve">ir labour. Consequently, AusNet </w:t>
      </w:r>
      <w:r w:rsidR="00D25C4E" w:rsidRPr="007107AF">
        <w:t xml:space="preserve">Services applied a higher weighting to labour price growth in determining the mix of labour and non-labour price growth. </w:t>
      </w:r>
      <w:r w:rsidR="00D25C4E">
        <w:t xml:space="preserve">Given labour costs </w:t>
      </w:r>
      <w:r w:rsidR="00970383">
        <w:t>are expected to</w:t>
      </w:r>
      <w:r w:rsidR="00D25C4E">
        <w:t xml:space="preserve"> in</w:t>
      </w:r>
      <w:r w:rsidR="00970383">
        <w:t>crease</w:t>
      </w:r>
      <w:r w:rsidR="00D25C4E">
        <w:t xml:space="preserve"> at a higher rate than non-labour inputs, t</w:t>
      </w:r>
      <w:r w:rsidR="00D25C4E" w:rsidRPr="007107AF">
        <w:t>his overstates the cost inputs required by a prudent and efficient</w:t>
      </w:r>
      <w:r w:rsidR="00D25C4E">
        <w:t xml:space="preserve"> network service provider</w:t>
      </w:r>
      <w:r w:rsidR="00D25C4E" w:rsidRPr="007107AF">
        <w:t>.</w:t>
      </w:r>
      <w:r w:rsidR="00D25C4E">
        <w:t xml:space="preserve"> </w:t>
      </w:r>
    </w:p>
    <w:p w:rsidR="00D25C4E" w:rsidRDefault="007C1084" w:rsidP="00BF60E3">
      <w:r>
        <w:t>Second</w:t>
      </w:r>
      <w:r w:rsidR="00970383">
        <w:t xml:space="preserve">, for the cost inputs calculation, we reject AusNet Services' proposal to use 'firm-specific weights', which were </w:t>
      </w:r>
      <w:r w:rsidR="00D25C4E" w:rsidRPr="007107AF">
        <w:t>based on its actual expenditure in 2014</w:t>
      </w:r>
      <w:r w:rsidR="00970383">
        <w:t>, rather than the 'benchmark weights' we typically apply across our regulatory decisions. We consider</w:t>
      </w:r>
      <w:r w:rsidR="00924238">
        <w:t xml:space="preserve"> that</w:t>
      </w:r>
      <w:r w:rsidR="00970383">
        <w:t xml:space="preserve"> using a network business' actual input price weights distorts the incentive to use the efficient proportion of internal labour, among other concerns.</w:t>
      </w:r>
    </w:p>
    <w:p w:rsidR="007107AF" w:rsidRDefault="001A3C19" w:rsidP="007107AF">
      <w:r>
        <w:t xml:space="preserve">We have not incorporated any step changes in our opex forecast. </w:t>
      </w:r>
      <w:r w:rsidR="00787BFA">
        <w:t xml:space="preserve">AusNet Services' proposed step changes are not driven by new regulatory obligations or efficient capex-opex trade-offs. </w:t>
      </w:r>
      <w:r w:rsidRPr="00790CF9">
        <w:t xml:space="preserve">We consider </w:t>
      </w:r>
      <w:r>
        <w:t xml:space="preserve">adding step changes for </w:t>
      </w:r>
      <w:r w:rsidRPr="00790CF9">
        <w:t>new or increasing opex items</w:t>
      </w:r>
      <w:r>
        <w:t xml:space="preserve"> identified by AusNet Services </w:t>
      </w:r>
      <w:r w:rsidRPr="00790CF9">
        <w:rPr>
          <w:rStyle w:val="Emphasis"/>
        </w:rPr>
        <w:t>and</w:t>
      </w:r>
      <w:r>
        <w:t xml:space="preserve"> i</w:t>
      </w:r>
      <w:r w:rsidRPr="00790CF9">
        <w:t xml:space="preserve">ncorporating </w:t>
      </w:r>
      <w:r>
        <w:t>AusNet Services'</w:t>
      </w:r>
      <w:r w:rsidRPr="00790CF9">
        <w:t xml:space="preserve"> revealed costs </w:t>
      </w:r>
      <w:r w:rsidRPr="009F32FD">
        <w:t xml:space="preserve">would lead to a forecast </w:t>
      </w:r>
      <w:r>
        <w:t>of total opex that is above efficient levels.</w:t>
      </w:r>
      <w:r w:rsidR="00A862DD">
        <w:t xml:space="preserve"> </w:t>
      </w:r>
      <w:r w:rsidR="00BD6A41">
        <w:t>For similar reasons</w:t>
      </w:r>
      <w:r w:rsidR="001C0715">
        <w:t>, w</w:t>
      </w:r>
      <w:r w:rsidR="000F77FE">
        <w:t>e</w:t>
      </w:r>
      <w:r w:rsidRPr="00790CF9">
        <w:t xml:space="preserve"> have not included a category specific forecast for self-insurance</w:t>
      </w:r>
      <w:r w:rsidR="008928F5">
        <w:t xml:space="preserve"> as proposed by AusNet Services</w:t>
      </w:r>
      <w:r w:rsidRPr="00790CF9">
        <w:t xml:space="preserve">. </w:t>
      </w:r>
      <w:r w:rsidR="0015116A">
        <w:t>Instead we have applied a revealed cost forecasting approach to total opex</w:t>
      </w:r>
      <w:r w:rsidR="0068393E">
        <w:t>,</w:t>
      </w:r>
      <w:r w:rsidR="0015116A">
        <w:t xml:space="preserve"> including self-insurance.</w:t>
      </w:r>
    </w:p>
    <w:p w:rsidR="00DE563D" w:rsidRDefault="000B321F" w:rsidP="001754EE">
      <w:pPr>
        <w:pStyle w:val="Heading2"/>
      </w:pPr>
      <w:bookmarkStart w:id="14" w:name="_Toc480809641"/>
      <w:r>
        <w:t>AusNet Services</w:t>
      </w:r>
      <w:r w:rsidR="00415F31" w:rsidRPr="001754EE">
        <w:t>’</w:t>
      </w:r>
      <w:r w:rsidR="00DE563D" w:rsidRPr="001754EE">
        <w:t xml:space="preserve"> </w:t>
      </w:r>
      <w:r w:rsidR="00972F76">
        <w:t xml:space="preserve">revised </w:t>
      </w:r>
      <w:r w:rsidR="00DE563D" w:rsidRPr="001754EE">
        <w:t>proposal</w:t>
      </w:r>
      <w:bookmarkEnd w:id="12"/>
      <w:bookmarkEnd w:id="14"/>
    </w:p>
    <w:p w:rsidR="00406895" w:rsidRDefault="00FD664B" w:rsidP="00CD1D8B">
      <w:r>
        <w:t xml:space="preserve">In its revised proposal, </w:t>
      </w:r>
      <w:r w:rsidRPr="00FD664B">
        <w:t>AusNet Services proposed total opex of $1049.</w:t>
      </w:r>
      <w:r w:rsidR="00085200">
        <w:t>6</w:t>
      </w:r>
      <w:r w:rsidR="00F920DE">
        <w:t xml:space="preserve"> </w:t>
      </w:r>
      <w:r w:rsidRPr="00FD664B">
        <w:t>million ($2016–17) for the 2017–22 regulatory control period (excluding debt raising costs totalling $8.01 million).</w:t>
      </w:r>
      <w:r w:rsidR="00D82D9F">
        <w:rPr>
          <w:rStyle w:val="FootnoteReference"/>
        </w:rPr>
        <w:footnoteReference w:id="4"/>
      </w:r>
      <w:r w:rsidRPr="00FD664B">
        <w:t xml:space="preserve"> </w:t>
      </w:r>
      <w:r w:rsidR="00A54759">
        <w:t>A</w:t>
      </w:r>
      <w:r w:rsidR="00A54759" w:rsidRPr="00A54759">
        <w:t>round half of AusNet Services' total opex for</w:t>
      </w:r>
      <w:r w:rsidR="00A54759">
        <w:t>ecast is for easement land tax.</w:t>
      </w:r>
      <w:r w:rsidR="00A54759">
        <w:rPr>
          <w:rStyle w:val="FootnoteReference"/>
        </w:rPr>
        <w:footnoteReference w:id="5"/>
      </w:r>
      <w:r w:rsidR="00A54759" w:rsidRPr="00A54759">
        <w:t xml:space="preserve"> </w:t>
      </w:r>
      <w:r w:rsidR="00266984">
        <w:t xml:space="preserve">Subsequent to submitting its revised proposal, </w:t>
      </w:r>
      <w:r w:rsidR="0056789B">
        <w:t>AusNet Services advised</w:t>
      </w:r>
      <w:r w:rsidR="00B25B20">
        <w:t xml:space="preserve"> us</w:t>
      </w:r>
      <w:r w:rsidR="0056789B">
        <w:t xml:space="preserve"> that the Victorian Government</w:t>
      </w:r>
      <w:r w:rsidR="00B25B20">
        <w:t xml:space="preserve"> ha</w:t>
      </w:r>
      <w:r w:rsidR="0015116A">
        <w:t>d</w:t>
      </w:r>
      <w:r w:rsidR="0056789B">
        <w:t xml:space="preserve"> </w:t>
      </w:r>
      <w:r w:rsidR="00591B7C">
        <w:t>i</w:t>
      </w:r>
      <w:r w:rsidR="0056789B">
        <w:t>ncrease</w:t>
      </w:r>
      <w:r w:rsidR="00B25B20">
        <w:t>d</w:t>
      </w:r>
      <w:r w:rsidR="0056789B">
        <w:t xml:space="preserve"> </w:t>
      </w:r>
      <w:r w:rsidR="00016894">
        <w:t>AusNet Services'</w:t>
      </w:r>
      <w:r w:rsidR="00266984">
        <w:t xml:space="preserve"> easement</w:t>
      </w:r>
      <w:r w:rsidR="0056789B">
        <w:t xml:space="preserve"> land </w:t>
      </w:r>
      <w:r w:rsidR="00591B7C">
        <w:t>tax</w:t>
      </w:r>
      <w:r w:rsidR="00016894">
        <w:t xml:space="preserve"> payable</w:t>
      </w:r>
      <w:r w:rsidR="0056789B">
        <w:t xml:space="preserve"> </w:t>
      </w:r>
      <w:r w:rsidR="00591B7C">
        <w:t>in</w:t>
      </w:r>
      <w:r w:rsidR="0056789B">
        <w:t xml:space="preserve"> 2017</w:t>
      </w:r>
      <w:r w:rsidR="00B25B20">
        <w:t>–</w:t>
      </w:r>
      <w:r w:rsidR="0056789B">
        <w:t>18</w:t>
      </w:r>
      <w:r w:rsidR="005D1CA4">
        <w:t>, thereby increasing its easement land tax forecast by $20.7</w:t>
      </w:r>
      <w:r w:rsidR="00266984">
        <w:t> </w:t>
      </w:r>
      <w:r w:rsidR="005D1CA4">
        <w:t xml:space="preserve">million </w:t>
      </w:r>
      <w:r w:rsidR="00016894">
        <w:t xml:space="preserve">($2016-17) </w:t>
      </w:r>
      <w:r w:rsidR="005D1CA4" w:rsidRPr="00F90665">
        <w:rPr>
          <w:rStyle w:val="Emphasis"/>
        </w:rPr>
        <w:t>per year</w:t>
      </w:r>
      <w:r w:rsidR="005D1CA4">
        <w:t xml:space="preserve"> (18</w:t>
      </w:r>
      <w:r w:rsidR="00266984">
        <w:t> </w:t>
      </w:r>
      <w:r w:rsidR="005D1CA4">
        <w:t>per</w:t>
      </w:r>
      <w:r w:rsidR="00266984">
        <w:t> </w:t>
      </w:r>
      <w:r w:rsidR="005D1CA4">
        <w:t>cent)</w:t>
      </w:r>
      <w:r w:rsidR="0056789B">
        <w:t>.</w:t>
      </w:r>
      <w:r w:rsidR="00D55F15">
        <w:rPr>
          <w:rStyle w:val="FootnoteReference"/>
        </w:rPr>
        <w:footnoteReference w:id="6"/>
      </w:r>
      <w:r w:rsidR="0056789B">
        <w:t xml:space="preserve"> This </w:t>
      </w:r>
      <w:r w:rsidR="00016894">
        <w:t xml:space="preserve">increase </w:t>
      </w:r>
      <w:r w:rsidR="0056789B">
        <w:t xml:space="preserve">is not reflected in </w:t>
      </w:r>
      <w:r w:rsidRPr="00FD664B">
        <w:t>AusNet Services’ proposed total opex forecast</w:t>
      </w:r>
      <w:r w:rsidR="00591B7C">
        <w:t>, which</w:t>
      </w:r>
      <w:r w:rsidRPr="00FD664B">
        <w:t xml:space="preserve"> is set out in</w:t>
      </w:r>
      <w:r w:rsidR="00266984">
        <w:t xml:space="preserve"> </w:t>
      </w:r>
      <w:r w:rsidR="00986867">
        <w:fldChar w:fldCharType="begin"/>
      </w:r>
      <w:r w:rsidR="00986867">
        <w:instrText xml:space="preserve"> REF  _Ref473027116 \* Lower \h </w:instrText>
      </w:r>
      <w:r w:rsidR="00986867">
        <w:fldChar w:fldCharType="separate"/>
      </w:r>
      <w:r w:rsidR="00EE3368">
        <w:t>T</w:t>
      </w:r>
      <w:r w:rsidR="003042CF">
        <w:t xml:space="preserve">able </w:t>
      </w:r>
      <w:r w:rsidR="003042CF">
        <w:rPr>
          <w:noProof/>
        </w:rPr>
        <w:t>7</w:t>
      </w:r>
      <w:r w:rsidR="003042CF">
        <w:t>.</w:t>
      </w:r>
      <w:r w:rsidR="003042CF">
        <w:rPr>
          <w:noProof/>
        </w:rPr>
        <w:t>2</w:t>
      </w:r>
      <w:r w:rsidR="00986867">
        <w:fldChar w:fldCharType="end"/>
      </w:r>
      <w:r w:rsidRPr="00FD664B">
        <w:t>.</w:t>
      </w:r>
    </w:p>
    <w:p w:rsidR="00FD664B" w:rsidRDefault="009A5C16" w:rsidP="009A5C16">
      <w:pPr>
        <w:pStyle w:val="Caption"/>
      </w:pPr>
      <w:bookmarkStart w:id="15" w:name="_Ref473027116"/>
      <w:proofErr w:type="gramStart"/>
      <w:r>
        <w:t xml:space="preserve">Table </w:t>
      </w:r>
      <w:fldSimple w:instr=" STYLEREF 1 \s ">
        <w:r w:rsidR="003042CF">
          <w:rPr>
            <w:noProof/>
          </w:rPr>
          <w:t>7</w:t>
        </w:r>
      </w:fldSimple>
      <w:r w:rsidR="00F97ECA">
        <w:t>.</w:t>
      </w:r>
      <w:proofErr w:type="gramEnd"/>
      <w:r w:rsidR="00E65947">
        <w:fldChar w:fldCharType="begin"/>
      </w:r>
      <w:r w:rsidR="00E65947">
        <w:instrText xml:space="preserve"> SEQ Table \* ARABIC \s 1 </w:instrText>
      </w:r>
      <w:r w:rsidR="00E65947">
        <w:fldChar w:fldCharType="separate"/>
      </w:r>
      <w:r w:rsidR="003042CF">
        <w:rPr>
          <w:noProof/>
        </w:rPr>
        <w:t>2</w:t>
      </w:r>
      <w:r w:rsidR="00E65947">
        <w:rPr>
          <w:noProof/>
        </w:rPr>
        <w:fldChar w:fldCharType="end"/>
      </w:r>
      <w:bookmarkEnd w:id="15"/>
      <w:r w:rsidR="00FD664B" w:rsidRPr="00FD664B">
        <w:tab/>
      </w:r>
      <w:r w:rsidR="00FD664B">
        <w:t>AusNet Services'</w:t>
      </w:r>
      <w:r w:rsidR="00FD664B" w:rsidRPr="00FD664B">
        <w:t xml:space="preserve"> proposed opex ($million, 2016–17)</w:t>
      </w:r>
    </w:p>
    <w:tbl>
      <w:tblPr>
        <w:tblStyle w:val="AERtable-numbers"/>
        <w:tblW w:w="0" w:type="auto"/>
        <w:tblLook w:val="04A0" w:firstRow="1" w:lastRow="0" w:firstColumn="1" w:lastColumn="0" w:noHBand="0" w:noVBand="1"/>
      </w:tblPr>
      <w:tblGrid>
        <w:gridCol w:w="3085"/>
        <w:gridCol w:w="934"/>
        <w:gridCol w:w="935"/>
        <w:gridCol w:w="935"/>
        <w:gridCol w:w="934"/>
        <w:gridCol w:w="935"/>
        <w:gridCol w:w="935"/>
      </w:tblGrid>
      <w:tr w:rsidR="00FD664B" w:rsidRPr="00B1577E" w:rsidTr="00986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FD664B" w:rsidRPr="00B1577E" w:rsidRDefault="00FD664B" w:rsidP="00FD664B"/>
        </w:tc>
        <w:tc>
          <w:tcPr>
            <w:tcW w:w="934" w:type="dxa"/>
          </w:tcPr>
          <w:p w:rsidR="00FD664B" w:rsidRPr="00FD664B" w:rsidRDefault="00FD664B" w:rsidP="00FD664B">
            <w:pPr>
              <w:cnfStyle w:val="100000000000" w:firstRow="1" w:lastRow="0" w:firstColumn="0" w:lastColumn="0" w:oddVBand="0" w:evenVBand="0" w:oddHBand="0" w:evenHBand="0" w:firstRowFirstColumn="0" w:firstRowLastColumn="0" w:lastRowFirstColumn="0" w:lastRowLastColumn="0"/>
            </w:pPr>
            <w:r w:rsidRPr="00B1577E">
              <w:t>2017</w:t>
            </w:r>
            <w:r w:rsidR="00B25B20">
              <w:t>-</w:t>
            </w:r>
            <w:r w:rsidRPr="00FD664B">
              <w:t>18</w:t>
            </w:r>
          </w:p>
        </w:tc>
        <w:tc>
          <w:tcPr>
            <w:tcW w:w="935" w:type="dxa"/>
          </w:tcPr>
          <w:p w:rsidR="00FD664B" w:rsidRPr="00FD664B" w:rsidRDefault="00FD664B" w:rsidP="00FD664B">
            <w:pPr>
              <w:cnfStyle w:val="100000000000" w:firstRow="1" w:lastRow="0" w:firstColumn="0" w:lastColumn="0" w:oddVBand="0" w:evenVBand="0" w:oddHBand="0" w:evenHBand="0" w:firstRowFirstColumn="0" w:firstRowLastColumn="0" w:lastRowFirstColumn="0" w:lastRowLastColumn="0"/>
            </w:pPr>
            <w:r w:rsidRPr="00B1577E">
              <w:t>2018</w:t>
            </w:r>
            <w:r w:rsidR="00B25B20">
              <w:t>-</w:t>
            </w:r>
            <w:r w:rsidRPr="00FD664B">
              <w:t>19</w:t>
            </w:r>
          </w:p>
        </w:tc>
        <w:tc>
          <w:tcPr>
            <w:tcW w:w="935" w:type="dxa"/>
          </w:tcPr>
          <w:p w:rsidR="00FD664B" w:rsidRPr="00FD664B" w:rsidRDefault="00FD664B" w:rsidP="00FD664B">
            <w:pPr>
              <w:cnfStyle w:val="100000000000" w:firstRow="1" w:lastRow="0" w:firstColumn="0" w:lastColumn="0" w:oddVBand="0" w:evenVBand="0" w:oddHBand="0" w:evenHBand="0" w:firstRowFirstColumn="0" w:firstRowLastColumn="0" w:lastRowFirstColumn="0" w:lastRowLastColumn="0"/>
            </w:pPr>
            <w:r>
              <w:t>2019-20</w:t>
            </w:r>
          </w:p>
        </w:tc>
        <w:tc>
          <w:tcPr>
            <w:tcW w:w="934" w:type="dxa"/>
          </w:tcPr>
          <w:p w:rsidR="00FD664B" w:rsidRPr="00FD664B" w:rsidRDefault="00FD664B" w:rsidP="00FD664B">
            <w:pPr>
              <w:cnfStyle w:val="100000000000" w:firstRow="1" w:lastRow="0" w:firstColumn="0" w:lastColumn="0" w:oddVBand="0" w:evenVBand="0" w:oddHBand="0" w:evenHBand="0" w:firstRowFirstColumn="0" w:firstRowLastColumn="0" w:lastRowFirstColumn="0" w:lastRowLastColumn="0"/>
            </w:pPr>
            <w:r>
              <w:t>2020-21</w:t>
            </w:r>
          </w:p>
        </w:tc>
        <w:tc>
          <w:tcPr>
            <w:tcW w:w="935" w:type="dxa"/>
          </w:tcPr>
          <w:p w:rsidR="00FD664B" w:rsidRPr="00FD664B" w:rsidRDefault="00FD664B" w:rsidP="00FD664B">
            <w:pPr>
              <w:cnfStyle w:val="100000000000" w:firstRow="1" w:lastRow="0" w:firstColumn="0" w:lastColumn="0" w:oddVBand="0" w:evenVBand="0" w:oddHBand="0" w:evenHBand="0" w:firstRowFirstColumn="0" w:firstRowLastColumn="0" w:lastRowFirstColumn="0" w:lastRowLastColumn="0"/>
            </w:pPr>
            <w:r>
              <w:t>2021-22</w:t>
            </w:r>
          </w:p>
        </w:tc>
        <w:tc>
          <w:tcPr>
            <w:tcW w:w="935" w:type="dxa"/>
          </w:tcPr>
          <w:p w:rsidR="00FD664B" w:rsidRPr="00FD664B" w:rsidRDefault="00FD664B" w:rsidP="00FD664B">
            <w:pPr>
              <w:cnfStyle w:val="100000000000" w:firstRow="1" w:lastRow="0" w:firstColumn="0" w:lastColumn="0" w:oddVBand="0" w:evenVBand="0" w:oddHBand="0" w:evenHBand="0" w:firstRowFirstColumn="0" w:firstRowLastColumn="0" w:lastRowFirstColumn="0" w:lastRowLastColumn="0"/>
            </w:pPr>
            <w:r>
              <w:t xml:space="preserve">Total </w:t>
            </w:r>
          </w:p>
        </w:tc>
      </w:tr>
      <w:tr w:rsidR="00085200" w:rsidRPr="00B1577E" w:rsidTr="00986867">
        <w:tc>
          <w:tcPr>
            <w:cnfStyle w:val="001000000000" w:firstRow="0" w:lastRow="0" w:firstColumn="1" w:lastColumn="0" w:oddVBand="0" w:evenVBand="0" w:oddHBand="0" w:evenHBand="0" w:firstRowFirstColumn="0" w:firstRowLastColumn="0" w:lastRowFirstColumn="0" w:lastRowLastColumn="0"/>
            <w:tcW w:w="3085" w:type="dxa"/>
          </w:tcPr>
          <w:p w:rsidR="00085200" w:rsidRPr="00085200" w:rsidRDefault="00085200" w:rsidP="00085200">
            <w:r w:rsidRPr="00085200">
              <w:t>Total opex excluding debt raising costs</w:t>
            </w:r>
          </w:p>
        </w:tc>
        <w:tc>
          <w:tcPr>
            <w:tcW w:w="934" w:type="dxa"/>
            <w:vAlign w:val="top"/>
          </w:tcPr>
          <w:p w:rsidR="00085200" w:rsidRPr="00085200" w:rsidRDefault="00085200" w:rsidP="00085200">
            <w:pPr>
              <w:cnfStyle w:val="000000000000" w:firstRow="0" w:lastRow="0" w:firstColumn="0" w:lastColumn="0" w:oddVBand="0" w:evenVBand="0" w:oddHBand="0" w:evenHBand="0" w:firstRowFirstColumn="0" w:firstRowLastColumn="0" w:lastRowFirstColumn="0" w:lastRowLastColumn="0"/>
            </w:pPr>
            <w:r w:rsidRPr="00085200">
              <w:t>214.0</w:t>
            </w:r>
          </w:p>
        </w:tc>
        <w:tc>
          <w:tcPr>
            <w:tcW w:w="935" w:type="dxa"/>
            <w:vAlign w:val="top"/>
          </w:tcPr>
          <w:p w:rsidR="00085200" w:rsidRPr="00085200" w:rsidRDefault="00085200" w:rsidP="00085200">
            <w:pPr>
              <w:cnfStyle w:val="000000000000" w:firstRow="0" w:lastRow="0" w:firstColumn="0" w:lastColumn="0" w:oddVBand="0" w:evenVBand="0" w:oddHBand="0" w:evenHBand="0" w:firstRowFirstColumn="0" w:firstRowLastColumn="0" w:lastRowFirstColumn="0" w:lastRowLastColumn="0"/>
            </w:pPr>
            <w:r w:rsidRPr="00085200">
              <w:t>208.0</w:t>
            </w:r>
          </w:p>
        </w:tc>
        <w:tc>
          <w:tcPr>
            <w:tcW w:w="935" w:type="dxa"/>
            <w:vAlign w:val="top"/>
          </w:tcPr>
          <w:p w:rsidR="00085200" w:rsidRPr="00085200" w:rsidRDefault="00085200" w:rsidP="00085200">
            <w:pPr>
              <w:cnfStyle w:val="000000000000" w:firstRow="0" w:lastRow="0" w:firstColumn="0" w:lastColumn="0" w:oddVBand="0" w:evenVBand="0" w:oddHBand="0" w:evenHBand="0" w:firstRowFirstColumn="0" w:firstRowLastColumn="0" w:lastRowFirstColumn="0" w:lastRowLastColumn="0"/>
            </w:pPr>
            <w:r w:rsidRPr="00085200">
              <w:t>208.4</w:t>
            </w:r>
          </w:p>
        </w:tc>
        <w:tc>
          <w:tcPr>
            <w:tcW w:w="934" w:type="dxa"/>
            <w:vAlign w:val="top"/>
          </w:tcPr>
          <w:p w:rsidR="00085200" w:rsidRPr="00085200" w:rsidRDefault="00085200" w:rsidP="00085200">
            <w:pPr>
              <w:cnfStyle w:val="000000000000" w:firstRow="0" w:lastRow="0" w:firstColumn="0" w:lastColumn="0" w:oddVBand="0" w:evenVBand="0" w:oddHBand="0" w:evenHBand="0" w:firstRowFirstColumn="0" w:firstRowLastColumn="0" w:lastRowFirstColumn="0" w:lastRowLastColumn="0"/>
            </w:pPr>
            <w:r w:rsidRPr="00085200">
              <w:t>209.5</w:t>
            </w:r>
          </w:p>
        </w:tc>
        <w:tc>
          <w:tcPr>
            <w:tcW w:w="935" w:type="dxa"/>
            <w:vAlign w:val="top"/>
          </w:tcPr>
          <w:p w:rsidR="00085200" w:rsidRPr="00085200" w:rsidRDefault="00085200" w:rsidP="00085200">
            <w:pPr>
              <w:cnfStyle w:val="000000000000" w:firstRow="0" w:lastRow="0" w:firstColumn="0" w:lastColumn="0" w:oddVBand="0" w:evenVBand="0" w:oddHBand="0" w:evenHBand="0" w:firstRowFirstColumn="0" w:firstRowLastColumn="0" w:lastRowFirstColumn="0" w:lastRowLastColumn="0"/>
            </w:pPr>
            <w:r w:rsidRPr="00085200">
              <w:t>209.6</w:t>
            </w:r>
          </w:p>
        </w:tc>
        <w:tc>
          <w:tcPr>
            <w:tcW w:w="935" w:type="dxa"/>
            <w:vAlign w:val="top"/>
          </w:tcPr>
          <w:p w:rsidR="00085200" w:rsidRPr="00991757" w:rsidRDefault="00085200" w:rsidP="00D82D9F">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1049.6</w:t>
            </w:r>
          </w:p>
        </w:tc>
      </w:tr>
      <w:tr w:rsidR="00FD664B" w:rsidRPr="00B1577E" w:rsidTr="009868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FD664B" w:rsidRPr="00FD664B" w:rsidRDefault="00FD664B" w:rsidP="00FD664B">
            <w:r w:rsidRPr="002A5633">
              <w:t>Debt raising costs</w:t>
            </w:r>
          </w:p>
        </w:tc>
        <w:tc>
          <w:tcPr>
            <w:tcW w:w="934" w:type="dxa"/>
            <w:vAlign w:val="top"/>
          </w:tcPr>
          <w:p w:rsidR="00FD664B" w:rsidRPr="00FD664B" w:rsidRDefault="00FD664B" w:rsidP="009060C3">
            <w:pPr>
              <w:cnfStyle w:val="000000010000" w:firstRow="0" w:lastRow="0" w:firstColumn="0" w:lastColumn="0" w:oddVBand="0" w:evenVBand="0" w:oddHBand="0" w:evenHBand="1" w:firstRowFirstColumn="0" w:firstRowLastColumn="0" w:lastRowFirstColumn="0" w:lastRowLastColumn="0"/>
            </w:pPr>
            <w:r w:rsidRPr="005273C7">
              <w:t xml:space="preserve"> 1.6 </w:t>
            </w:r>
          </w:p>
        </w:tc>
        <w:tc>
          <w:tcPr>
            <w:tcW w:w="935" w:type="dxa"/>
            <w:vAlign w:val="top"/>
          </w:tcPr>
          <w:p w:rsidR="00FD664B" w:rsidRPr="00FD664B" w:rsidRDefault="00FD664B" w:rsidP="00FD664B">
            <w:pPr>
              <w:cnfStyle w:val="000000010000" w:firstRow="0" w:lastRow="0" w:firstColumn="0" w:lastColumn="0" w:oddVBand="0" w:evenVBand="0" w:oddHBand="0" w:evenHBand="1" w:firstRowFirstColumn="0" w:firstRowLastColumn="0" w:lastRowFirstColumn="0" w:lastRowLastColumn="0"/>
            </w:pPr>
            <w:r w:rsidRPr="005273C7">
              <w:t xml:space="preserve"> 1.6 </w:t>
            </w:r>
          </w:p>
        </w:tc>
        <w:tc>
          <w:tcPr>
            <w:tcW w:w="935" w:type="dxa"/>
            <w:vAlign w:val="top"/>
          </w:tcPr>
          <w:p w:rsidR="00FD664B" w:rsidRPr="00FD664B" w:rsidRDefault="00FD664B" w:rsidP="009060C3">
            <w:pPr>
              <w:cnfStyle w:val="000000010000" w:firstRow="0" w:lastRow="0" w:firstColumn="0" w:lastColumn="0" w:oddVBand="0" w:evenVBand="0" w:oddHBand="0" w:evenHBand="1" w:firstRowFirstColumn="0" w:firstRowLastColumn="0" w:lastRowFirstColumn="0" w:lastRowLastColumn="0"/>
            </w:pPr>
            <w:r w:rsidRPr="005273C7">
              <w:t xml:space="preserve"> 1.6 </w:t>
            </w:r>
          </w:p>
        </w:tc>
        <w:tc>
          <w:tcPr>
            <w:tcW w:w="934" w:type="dxa"/>
            <w:vAlign w:val="top"/>
          </w:tcPr>
          <w:p w:rsidR="00FD664B" w:rsidRPr="00FD664B" w:rsidRDefault="00FD664B" w:rsidP="009060C3">
            <w:pPr>
              <w:cnfStyle w:val="000000010000" w:firstRow="0" w:lastRow="0" w:firstColumn="0" w:lastColumn="0" w:oddVBand="0" w:evenVBand="0" w:oddHBand="0" w:evenHBand="1" w:firstRowFirstColumn="0" w:firstRowLastColumn="0" w:lastRowFirstColumn="0" w:lastRowLastColumn="0"/>
            </w:pPr>
            <w:r w:rsidRPr="005273C7">
              <w:t xml:space="preserve"> 1.6 </w:t>
            </w:r>
          </w:p>
        </w:tc>
        <w:tc>
          <w:tcPr>
            <w:tcW w:w="935" w:type="dxa"/>
            <w:vAlign w:val="top"/>
          </w:tcPr>
          <w:p w:rsidR="00FD664B" w:rsidRPr="00FD664B" w:rsidRDefault="00FD664B" w:rsidP="009060C3">
            <w:pPr>
              <w:cnfStyle w:val="000000010000" w:firstRow="0" w:lastRow="0" w:firstColumn="0" w:lastColumn="0" w:oddVBand="0" w:evenVBand="0" w:oddHBand="0" w:evenHBand="1" w:firstRowFirstColumn="0" w:firstRowLastColumn="0" w:lastRowFirstColumn="0" w:lastRowLastColumn="0"/>
            </w:pPr>
            <w:r w:rsidRPr="005273C7">
              <w:t xml:space="preserve"> 1.</w:t>
            </w:r>
            <w:r w:rsidR="009060C3">
              <w:t>6</w:t>
            </w:r>
            <w:r w:rsidRPr="005273C7">
              <w:t xml:space="preserve"> </w:t>
            </w:r>
          </w:p>
        </w:tc>
        <w:tc>
          <w:tcPr>
            <w:tcW w:w="935" w:type="dxa"/>
            <w:vAlign w:val="top"/>
          </w:tcPr>
          <w:p w:rsidR="00FD664B" w:rsidRPr="00991757" w:rsidRDefault="00FD664B" w:rsidP="009060C3">
            <w:pPr>
              <w:cnfStyle w:val="000000010000" w:firstRow="0" w:lastRow="0" w:firstColumn="0" w:lastColumn="0" w:oddVBand="0" w:evenVBand="0" w:oddHBand="0" w:evenHBand="1" w:firstRowFirstColumn="0" w:firstRowLastColumn="0" w:lastRowFirstColumn="0" w:lastRowLastColumn="0"/>
              <w:rPr>
                <w:rStyle w:val="Strong"/>
              </w:rPr>
            </w:pPr>
            <w:r w:rsidRPr="00991757">
              <w:rPr>
                <w:rStyle w:val="Strong"/>
              </w:rPr>
              <w:t xml:space="preserve"> 8.0 </w:t>
            </w:r>
          </w:p>
        </w:tc>
      </w:tr>
      <w:tr w:rsidR="00085200" w:rsidRPr="002A5633" w:rsidTr="00986867">
        <w:tc>
          <w:tcPr>
            <w:cnfStyle w:val="001000000000" w:firstRow="0" w:lastRow="0" w:firstColumn="1" w:lastColumn="0" w:oddVBand="0" w:evenVBand="0" w:oddHBand="0" w:evenHBand="0" w:firstRowFirstColumn="0" w:firstRowLastColumn="0" w:lastRowFirstColumn="0" w:lastRowLastColumn="0"/>
            <w:tcW w:w="3085" w:type="dxa"/>
          </w:tcPr>
          <w:p w:rsidR="00085200" w:rsidRPr="00085200" w:rsidRDefault="00085200" w:rsidP="00085200">
            <w:pPr>
              <w:rPr>
                <w:rStyle w:val="Strong"/>
              </w:rPr>
            </w:pPr>
            <w:r w:rsidRPr="00085200">
              <w:rPr>
                <w:rStyle w:val="Strong"/>
              </w:rPr>
              <w:lastRenderedPageBreak/>
              <w:t>Total opex</w:t>
            </w:r>
          </w:p>
        </w:tc>
        <w:tc>
          <w:tcPr>
            <w:tcW w:w="934" w:type="dxa"/>
            <w:vAlign w:val="top"/>
          </w:tcPr>
          <w:p w:rsidR="00085200" w:rsidRPr="00991757" w:rsidRDefault="00085200" w:rsidP="00085200">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215.6</w:t>
            </w:r>
          </w:p>
        </w:tc>
        <w:tc>
          <w:tcPr>
            <w:tcW w:w="935" w:type="dxa"/>
            <w:vAlign w:val="top"/>
          </w:tcPr>
          <w:p w:rsidR="00085200" w:rsidRPr="00991757" w:rsidRDefault="00085200" w:rsidP="00D82D9F">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209.7</w:t>
            </w:r>
          </w:p>
        </w:tc>
        <w:tc>
          <w:tcPr>
            <w:tcW w:w="935" w:type="dxa"/>
            <w:vAlign w:val="top"/>
          </w:tcPr>
          <w:p w:rsidR="00085200" w:rsidRPr="00991757" w:rsidRDefault="00085200" w:rsidP="00085200">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210.0</w:t>
            </w:r>
          </w:p>
        </w:tc>
        <w:tc>
          <w:tcPr>
            <w:tcW w:w="934" w:type="dxa"/>
            <w:vAlign w:val="top"/>
          </w:tcPr>
          <w:p w:rsidR="00085200" w:rsidRPr="00991757" w:rsidRDefault="00085200" w:rsidP="00085200">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211.1</w:t>
            </w:r>
          </w:p>
        </w:tc>
        <w:tc>
          <w:tcPr>
            <w:tcW w:w="935" w:type="dxa"/>
            <w:vAlign w:val="top"/>
          </w:tcPr>
          <w:p w:rsidR="00085200" w:rsidRPr="00991757" w:rsidRDefault="00085200" w:rsidP="00D82D9F">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211.2</w:t>
            </w:r>
          </w:p>
        </w:tc>
        <w:tc>
          <w:tcPr>
            <w:tcW w:w="935" w:type="dxa"/>
            <w:vAlign w:val="top"/>
          </w:tcPr>
          <w:p w:rsidR="00085200" w:rsidRPr="00991757" w:rsidRDefault="00085200" w:rsidP="00D82D9F">
            <w:pPr>
              <w:cnfStyle w:val="000000000000" w:firstRow="0" w:lastRow="0" w:firstColumn="0" w:lastColumn="0" w:oddVBand="0" w:evenVBand="0" w:oddHBand="0" w:evenHBand="0" w:firstRowFirstColumn="0" w:firstRowLastColumn="0" w:lastRowFirstColumn="0" w:lastRowLastColumn="0"/>
              <w:rPr>
                <w:rStyle w:val="Strong"/>
              </w:rPr>
            </w:pPr>
            <w:r w:rsidRPr="00991757">
              <w:rPr>
                <w:rStyle w:val="Strong"/>
              </w:rPr>
              <w:t>1057.6</w:t>
            </w:r>
          </w:p>
        </w:tc>
      </w:tr>
    </w:tbl>
    <w:p w:rsidR="009060C3" w:rsidRDefault="009060C3" w:rsidP="00986867">
      <w:pPr>
        <w:pStyle w:val="AERtablesource"/>
      </w:pPr>
      <w:r>
        <w:t>Source:</w:t>
      </w:r>
      <w:r>
        <w:tab/>
        <w:t xml:space="preserve">AusNet Services, </w:t>
      </w:r>
      <w:r w:rsidRPr="00991757">
        <w:rPr>
          <w:rStyle w:val="AERtextitalic"/>
        </w:rPr>
        <w:t xml:space="preserve">Revised </w:t>
      </w:r>
      <w:r w:rsidR="003A6EE0">
        <w:rPr>
          <w:rStyle w:val="AERtextitalic"/>
        </w:rPr>
        <w:t xml:space="preserve">revenue </w:t>
      </w:r>
      <w:r w:rsidRPr="00991757">
        <w:rPr>
          <w:rStyle w:val="AERtextitalic"/>
        </w:rPr>
        <w:t>proposal</w:t>
      </w:r>
      <w:r>
        <w:t xml:space="preserve">, </w:t>
      </w:r>
      <w:r w:rsidR="00960BC8">
        <w:t>21 September 2016</w:t>
      </w:r>
      <w:r>
        <w:t>, p.</w:t>
      </w:r>
      <w:r w:rsidR="00960BC8">
        <w:t>124</w:t>
      </w:r>
      <w:r>
        <w:t>.</w:t>
      </w:r>
    </w:p>
    <w:p w:rsidR="00FD664B" w:rsidRPr="00FD664B" w:rsidRDefault="00FD664B" w:rsidP="00FD664B">
      <w:r w:rsidRPr="00FD664B">
        <w:t xml:space="preserve">In </w:t>
      </w:r>
      <w:r w:rsidR="00085200">
        <w:fldChar w:fldCharType="begin"/>
      </w:r>
      <w:r w:rsidR="00085200">
        <w:instrText xml:space="preserve"> REF  _Ref472423215 \* Lower \h </w:instrText>
      </w:r>
      <w:r w:rsidR="00085200">
        <w:fldChar w:fldCharType="separate"/>
      </w:r>
      <w:r w:rsidR="00EE3368">
        <w:t>F</w:t>
      </w:r>
      <w:r w:rsidR="003042CF">
        <w:t xml:space="preserve">igure </w:t>
      </w:r>
      <w:r w:rsidR="003042CF">
        <w:rPr>
          <w:noProof/>
        </w:rPr>
        <w:t>7</w:t>
      </w:r>
      <w:r w:rsidR="003042CF">
        <w:t>.</w:t>
      </w:r>
      <w:r w:rsidR="003042CF">
        <w:rPr>
          <w:noProof/>
        </w:rPr>
        <w:t>2</w:t>
      </w:r>
      <w:r w:rsidR="00085200">
        <w:fldChar w:fldCharType="end"/>
      </w:r>
      <w:r w:rsidR="00085200">
        <w:t xml:space="preserve"> </w:t>
      </w:r>
      <w:r w:rsidRPr="00FD664B">
        <w:t xml:space="preserve">we separate AusNet Services’ </w:t>
      </w:r>
      <w:r>
        <w:t xml:space="preserve">revised </w:t>
      </w:r>
      <w:r w:rsidRPr="00FD664B">
        <w:t>opex proposal into the different elements that make up its forecast for the 2017–22 regulatory control period.</w:t>
      </w:r>
    </w:p>
    <w:p w:rsidR="00FD664B" w:rsidRDefault="009A5C16" w:rsidP="009A5C16">
      <w:pPr>
        <w:pStyle w:val="Caption"/>
      </w:pPr>
      <w:bookmarkStart w:id="16" w:name="_Ref472423215"/>
      <w:r>
        <w:t xml:space="preserve">Figure </w:t>
      </w:r>
      <w:fldSimple w:instr=" STYLEREF 1 \s ">
        <w:r w:rsidR="003042CF">
          <w:rPr>
            <w:noProof/>
          </w:rPr>
          <w:t>7</w:t>
        </w:r>
      </w:fldSimple>
      <w:r w:rsidR="00964D5F">
        <w:t>.</w:t>
      </w:r>
      <w:r w:rsidR="00EE752B">
        <w:fldChar w:fldCharType="begin"/>
      </w:r>
      <w:r w:rsidR="00EE752B">
        <w:instrText xml:space="preserve"> SEQ Figure \*</w:instrText>
      </w:r>
      <w:r w:rsidR="00EE752B">
        <w:instrText xml:space="preserve"> ARABIC \s 1 </w:instrText>
      </w:r>
      <w:r w:rsidR="00EE752B">
        <w:fldChar w:fldCharType="separate"/>
      </w:r>
      <w:r w:rsidR="003042CF">
        <w:rPr>
          <w:noProof/>
        </w:rPr>
        <w:t>2</w:t>
      </w:r>
      <w:r w:rsidR="00EE752B">
        <w:rPr>
          <w:noProof/>
        </w:rPr>
        <w:fldChar w:fldCharType="end"/>
      </w:r>
      <w:bookmarkEnd w:id="16"/>
      <w:r w:rsidR="00FD664B" w:rsidRPr="00FD664B">
        <w:tab/>
        <w:t xml:space="preserve">AusNet Services’ opex forecast ($ million, 2016–17) </w:t>
      </w:r>
    </w:p>
    <w:p w:rsidR="00FD664B" w:rsidRPr="00FD664B" w:rsidRDefault="00175297" w:rsidP="00FD664B">
      <w:r w:rsidRPr="00175297">
        <w:rPr>
          <w:noProof/>
          <w:lang w:eastAsia="en-AU"/>
        </w:rPr>
        <w:drawing>
          <wp:inline distT="0" distB="0" distL="0" distR="0" wp14:anchorId="5931512F" wp14:editId="54045642">
            <wp:extent cx="5382895" cy="3785501"/>
            <wp:effectExtent l="0" t="0" r="825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785501"/>
                    </a:xfrm>
                    <a:prstGeom prst="rect">
                      <a:avLst/>
                    </a:prstGeom>
                    <a:noFill/>
                    <a:ln>
                      <a:noFill/>
                    </a:ln>
                  </pic:spPr>
                </pic:pic>
              </a:graphicData>
            </a:graphic>
          </wp:inline>
        </w:drawing>
      </w:r>
    </w:p>
    <w:p w:rsidR="00016894" w:rsidRDefault="00563362" w:rsidP="009236BF">
      <w:pPr>
        <w:pStyle w:val="Source"/>
      </w:pPr>
      <w:r>
        <w:t xml:space="preserve">Source: AusNet </w:t>
      </w:r>
      <w:r w:rsidR="00A038AD">
        <w:t xml:space="preserve">Services </w:t>
      </w:r>
      <w:r>
        <w:t>Transmission</w:t>
      </w:r>
      <w:r w:rsidR="00A038AD">
        <w:t xml:space="preserve">, </w:t>
      </w:r>
      <w:r w:rsidR="00A038AD" w:rsidRPr="009236BF">
        <w:rPr>
          <w:rStyle w:val="Emphasis"/>
        </w:rPr>
        <w:t>R</w:t>
      </w:r>
      <w:r w:rsidRPr="009236BF">
        <w:rPr>
          <w:rStyle w:val="Emphasis"/>
        </w:rPr>
        <w:t>evised opex model</w:t>
      </w:r>
      <w:r>
        <w:t xml:space="preserve">. </w:t>
      </w:r>
    </w:p>
    <w:p w:rsidR="00563362" w:rsidRDefault="00016894" w:rsidP="009236BF">
      <w:pPr>
        <w:pStyle w:val="Source"/>
      </w:pPr>
      <w:r>
        <w:t xml:space="preserve">Note: </w:t>
      </w:r>
      <w:r w:rsidR="00563362">
        <w:t>Excludes debt raising costs.</w:t>
      </w:r>
      <w:r w:rsidR="002942BA">
        <w:t xml:space="preserve"> Does not include the increase in </w:t>
      </w:r>
      <w:r w:rsidR="00F800D9">
        <w:t>e</w:t>
      </w:r>
      <w:r w:rsidR="002942BA">
        <w:t xml:space="preserve">asement land tax advised on </w:t>
      </w:r>
      <w:r>
        <w:t>20 December 2016</w:t>
      </w:r>
      <w:r w:rsidR="002942BA">
        <w:t>.</w:t>
      </w:r>
    </w:p>
    <w:p w:rsidR="00FD664B" w:rsidRPr="00FD664B" w:rsidRDefault="00FD664B" w:rsidP="00FD664B">
      <w:r w:rsidRPr="00FD664B">
        <w:t xml:space="preserve">The key elements of </w:t>
      </w:r>
      <w:r>
        <w:t>AusNet Services</w:t>
      </w:r>
      <w:r w:rsidRPr="00FD664B">
        <w:t xml:space="preserve">’ </w:t>
      </w:r>
      <w:r>
        <w:t xml:space="preserve">revised </w:t>
      </w:r>
      <w:r w:rsidRPr="00FD664B">
        <w:t>proposal are:</w:t>
      </w:r>
    </w:p>
    <w:p w:rsidR="00BE2F81" w:rsidRPr="00BE2F81" w:rsidRDefault="00BE2F81" w:rsidP="00BE2F81">
      <w:pPr>
        <w:pStyle w:val="AERbulletlistfirststyle"/>
      </w:pPr>
      <w:r>
        <w:t>AusNet Services</w:t>
      </w:r>
      <w:r w:rsidR="00536E8B">
        <w:t xml:space="preserve"> adopted our 'base–</w:t>
      </w:r>
      <w:r w:rsidRPr="00BE2F81">
        <w:t>step</w:t>
      </w:r>
      <w:r w:rsidR="00536E8B">
        <w:t>–</w:t>
      </w:r>
      <w:r w:rsidRPr="00BE2F81">
        <w:t xml:space="preserve">trend' approach to forecast its opex for the </w:t>
      </w:r>
      <w:r w:rsidRPr="00FD664B">
        <w:t>2017–22</w:t>
      </w:r>
      <w:r>
        <w:t xml:space="preserve"> </w:t>
      </w:r>
      <w:r w:rsidRPr="00BE2F81">
        <w:t>regulatory control period.</w:t>
      </w:r>
    </w:p>
    <w:p w:rsidR="00801D35" w:rsidRDefault="00FD664B" w:rsidP="009236BF">
      <w:pPr>
        <w:pStyle w:val="AERbulletlistfirststyle"/>
      </w:pPr>
      <w:r w:rsidRPr="00FD664B">
        <w:t xml:space="preserve">AusNet Services used the actual opex it incurred in 2014–15 as the base for forecasting its opex over 2017–22. </w:t>
      </w:r>
      <w:r w:rsidR="004D6CA3" w:rsidRPr="004D6CA3">
        <w:t xml:space="preserve">If no adjustments were made, this would lead to base opex of </w:t>
      </w:r>
      <w:r w:rsidR="00C51A07" w:rsidRPr="00FD664B">
        <w:t>$</w:t>
      </w:r>
      <w:r w:rsidR="00C51A07">
        <w:t xml:space="preserve">978.4 </w:t>
      </w:r>
      <w:r w:rsidR="00C51A07" w:rsidRPr="00FD664B">
        <w:t>m</w:t>
      </w:r>
      <w:r w:rsidR="00C51A07">
        <w:t>illion</w:t>
      </w:r>
      <w:r w:rsidR="00C51A07" w:rsidRPr="00FD664B">
        <w:t xml:space="preserve"> </w:t>
      </w:r>
      <w:r w:rsidR="004D6CA3" w:rsidRPr="004D6CA3">
        <w:t>($2016–17) for 2017–</w:t>
      </w:r>
      <w:r w:rsidR="00AE669E">
        <w:t>22</w:t>
      </w:r>
      <w:r w:rsidR="004D6CA3" w:rsidRPr="004D6CA3">
        <w:t>.</w:t>
      </w:r>
    </w:p>
    <w:p w:rsidR="00ED0532" w:rsidRPr="00406895" w:rsidRDefault="00AE669E" w:rsidP="00ED0532">
      <w:pPr>
        <w:pStyle w:val="AERbulletlistsecondstyle"/>
      </w:pPr>
      <w:r w:rsidRPr="00FD664B">
        <w:t>AusNet Services</w:t>
      </w:r>
      <w:r>
        <w:t xml:space="preserve"> </w:t>
      </w:r>
      <w:r w:rsidR="00267949">
        <w:t>adju</w:t>
      </w:r>
      <w:r w:rsidR="00386C89">
        <w:t>sted</w:t>
      </w:r>
      <w:r w:rsidR="00267949">
        <w:t xml:space="preserve"> base opex</w:t>
      </w:r>
      <w:r w:rsidRPr="00FD664B">
        <w:t xml:space="preserve"> </w:t>
      </w:r>
      <w:r w:rsidR="00041B59">
        <w:t>to remove the impact of</w:t>
      </w:r>
      <w:r w:rsidR="00041B59" w:rsidRPr="00FD664B">
        <w:t xml:space="preserve"> </w:t>
      </w:r>
      <w:r w:rsidR="00267949">
        <w:t>movement</w:t>
      </w:r>
      <w:r w:rsidR="00041B59">
        <w:t>s</w:t>
      </w:r>
      <w:r w:rsidR="00267949">
        <w:t xml:space="preserve"> in provisions</w:t>
      </w:r>
      <w:r w:rsidR="00267949" w:rsidRPr="00FD664B">
        <w:t xml:space="preserve"> </w:t>
      </w:r>
      <w:r w:rsidR="00386C89">
        <w:t xml:space="preserve">which increased its total forecast by $0.7 million </w:t>
      </w:r>
      <w:r w:rsidR="00016894">
        <w:t>(</w:t>
      </w:r>
      <w:r w:rsidR="00386C89">
        <w:t>$2016–17). It also removed the</w:t>
      </w:r>
      <w:r w:rsidR="00267949">
        <w:t xml:space="preserve"> </w:t>
      </w:r>
      <w:r w:rsidR="00267949" w:rsidRPr="00FD664B">
        <w:t>Availability Incentive Scheme (AIS) rebate</w:t>
      </w:r>
      <w:r w:rsidR="00386C89">
        <w:t xml:space="preserve"> as the scheme is not ongoing</w:t>
      </w:r>
      <w:r w:rsidR="00267949">
        <w:t xml:space="preserve">. These adjustments were </w:t>
      </w:r>
      <w:r>
        <w:t xml:space="preserve">consistent with </w:t>
      </w:r>
      <w:r w:rsidR="0071777E">
        <w:t>our</w:t>
      </w:r>
      <w:r>
        <w:t xml:space="preserve"> draft decision</w:t>
      </w:r>
      <w:r w:rsidRPr="00FD664B">
        <w:t xml:space="preserve">. </w:t>
      </w:r>
    </w:p>
    <w:p w:rsidR="00FD664B" w:rsidRPr="00FD664B" w:rsidRDefault="00A54759" w:rsidP="00A54759">
      <w:pPr>
        <w:pStyle w:val="AERbulletlistsecondstyle"/>
      </w:pPr>
      <w:r w:rsidRPr="00A54759">
        <w:t xml:space="preserve">To forecast the increase in opex between </w:t>
      </w:r>
      <w:r>
        <w:t xml:space="preserve">the base year and start of the regulatory control period (i.e. </w:t>
      </w:r>
      <w:r w:rsidRPr="00A54759">
        <w:t>2014–15 and 201</w:t>
      </w:r>
      <w:r w:rsidR="007927FC">
        <w:t>7</w:t>
      </w:r>
      <w:r w:rsidRPr="00A54759">
        <w:t>–1</w:t>
      </w:r>
      <w:r w:rsidR="007927FC">
        <w:t>8</w:t>
      </w:r>
      <w:r>
        <w:t xml:space="preserve">), AusNet </w:t>
      </w:r>
      <w:r w:rsidR="00043A74">
        <w:t xml:space="preserve">Services </w:t>
      </w:r>
      <w:r w:rsidRPr="00A54759">
        <w:lastRenderedPageBreak/>
        <w:t xml:space="preserve">added the growth </w:t>
      </w:r>
      <w:r w:rsidR="007A2AB9">
        <w:t>we</w:t>
      </w:r>
      <w:r w:rsidRPr="00A54759">
        <w:t xml:space="preserve"> forecast in </w:t>
      </w:r>
      <w:r>
        <w:t>price</w:t>
      </w:r>
      <w:r w:rsidR="00CE0AA3">
        <w:t xml:space="preserve"> inputs</w:t>
      </w:r>
      <w:r>
        <w:t xml:space="preserve">, output and productivity </w:t>
      </w:r>
      <w:r w:rsidR="007A2AB9">
        <w:t>at the time of the las</w:t>
      </w:r>
      <w:r>
        <w:t>t revenue reset process.</w:t>
      </w:r>
      <w:r w:rsidR="007A2AB9">
        <w:t xml:space="preserve"> </w:t>
      </w:r>
      <w:r w:rsidR="00304A3D">
        <w:t>This</w:t>
      </w:r>
      <w:r w:rsidR="00BC3171">
        <w:t xml:space="preserve"> </w:t>
      </w:r>
      <w:r w:rsidR="00304A3D">
        <w:t>increased</w:t>
      </w:r>
      <w:r w:rsidR="00304A3D" w:rsidRPr="00813337">
        <w:t xml:space="preserve"> </w:t>
      </w:r>
      <w:r w:rsidR="00FF5F28" w:rsidRPr="00813337">
        <w:t xml:space="preserve">its </w:t>
      </w:r>
      <w:r w:rsidR="00FF5F28">
        <w:t xml:space="preserve">total opex </w:t>
      </w:r>
      <w:r w:rsidR="00FF5F28" w:rsidRPr="00813337">
        <w:t>forecast by $</w:t>
      </w:r>
      <w:r w:rsidR="00FF5F28">
        <w:t>15.4</w:t>
      </w:r>
      <w:r w:rsidR="00FF5F28" w:rsidRPr="00813337">
        <w:t xml:space="preserve"> million ($2016</w:t>
      </w:r>
      <w:r w:rsidR="00FF5F28">
        <w:t>–</w:t>
      </w:r>
      <w:r w:rsidR="00FF5F28" w:rsidRPr="00813337">
        <w:t>17)</w:t>
      </w:r>
      <w:r w:rsidR="00FD664B" w:rsidRPr="00FD664B">
        <w:t xml:space="preserve">. This increment change is consistent with the approach set out in the </w:t>
      </w:r>
      <w:r w:rsidR="00FD664B" w:rsidRPr="00991757">
        <w:rPr>
          <w:rStyle w:val="AERtextitalic"/>
        </w:rPr>
        <w:t xml:space="preserve">Expenditure </w:t>
      </w:r>
      <w:r w:rsidR="00FF5F28">
        <w:rPr>
          <w:rStyle w:val="AERtextitalic"/>
        </w:rPr>
        <w:t>f</w:t>
      </w:r>
      <w:r w:rsidR="00FD664B" w:rsidRPr="00991757">
        <w:rPr>
          <w:rStyle w:val="AERtextitalic"/>
        </w:rPr>
        <w:t xml:space="preserve">orecast </w:t>
      </w:r>
      <w:r w:rsidR="00FF5F28">
        <w:rPr>
          <w:rStyle w:val="AERtextitalic"/>
        </w:rPr>
        <w:t>a</w:t>
      </w:r>
      <w:r w:rsidR="00FD664B" w:rsidRPr="00991757">
        <w:rPr>
          <w:rStyle w:val="AERtextitalic"/>
        </w:rPr>
        <w:t xml:space="preserve">ssessment </w:t>
      </w:r>
      <w:r w:rsidR="00FF5F28">
        <w:rPr>
          <w:rStyle w:val="AERtextitalic"/>
        </w:rPr>
        <w:t>g</w:t>
      </w:r>
      <w:r w:rsidR="00FD664B" w:rsidRPr="00991757">
        <w:rPr>
          <w:rStyle w:val="AERtextitalic"/>
        </w:rPr>
        <w:t>uideline</w:t>
      </w:r>
      <w:r w:rsidR="00FD664B" w:rsidRPr="00FD664B">
        <w:t xml:space="preserve"> (the Guideline) and with our </w:t>
      </w:r>
      <w:r w:rsidR="00360CA8">
        <w:t>draft</w:t>
      </w:r>
      <w:r w:rsidR="00FD664B" w:rsidRPr="00FD664B">
        <w:t xml:space="preserve"> decision.</w:t>
      </w:r>
      <w:r w:rsidR="008D5655" w:rsidRPr="008D5655">
        <w:rPr>
          <w:rStyle w:val="FootnoteReference"/>
        </w:rPr>
        <w:t xml:space="preserve"> </w:t>
      </w:r>
      <w:r w:rsidR="008D5655">
        <w:rPr>
          <w:rStyle w:val="FootnoteReference"/>
        </w:rPr>
        <w:footnoteReference w:id="7"/>
      </w:r>
      <w:r w:rsidR="00FD664B" w:rsidRPr="00FD664B">
        <w:t xml:space="preserve"> </w:t>
      </w:r>
    </w:p>
    <w:p w:rsidR="00FD664B" w:rsidRPr="00FD664B" w:rsidRDefault="00FD664B" w:rsidP="00FD664B">
      <w:pPr>
        <w:pStyle w:val="AERbulletlistfirststyle"/>
      </w:pPr>
      <w:r w:rsidRPr="00FD664B">
        <w:t>AusNet Services</w:t>
      </w:r>
      <w:r w:rsidR="00D42F97">
        <w:t>'</w:t>
      </w:r>
      <w:r w:rsidRPr="00FD664B">
        <w:t xml:space="preserve"> forecast rate of change </w:t>
      </w:r>
      <w:r w:rsidR="008A6684">
        <w:t xml:space="preserve">increased its total opex forecast by </w:t>
      </w:r>
      <w:r w:rsidRPr="00FD664B">
        <w:t>$8.2 million</w:t>
      </w:r>
      <w:r w:rsidR="007D3EFA">
        <w:t xml:space="preserve"> ($2016</w:t>
      </w:r>
      <w:r w:rsidR="00016894">
        <w:t>–</w:t>
      </w:r>
      <w:r w:rsidR="007D3EFA">
        <w:t>17)</w:t>
      </w:r>
      <w:r w:rsidR="008A6684">
        <w:t xml:space="preserve">. This was </w:t>
      </w:r>
      <w:r w:rsidRPr="00FD664B">
        <w:t>attribut</w:t>
      </w:r>
      <w:r w:rsidR="008A6684">
        <w:t>able</w:t>
      </w:r>
      <w:r w:rsidRPr="00FD664B">
        <w:t xml:space="preserve"> to real price</w:t>
      </w:r>
      <w:r w:rsidR="00CE0AA3">
        <w:t xml:space="preserve"> inputs</w:t>
      </w:r>
      <w:r w:rsidRPr="00FD664B">
        <w:t xml:space="preserve"> growth. </w:t>
      </w:r>
    </w:p>
    <w:p w:rsidR="00FD664B" w:rsidRPr="00FD664B" w:rsidRDefault="00FD664B" w:rsidP="00FD664B">
      <w:pPr>
        <w:pStyle w:val="AERbulletlistsecondstyle"/>
      </w:pPr>
      <w:r w:rsidRPr="00FD664B">
        <w:t xml:space="preserve">AusNet Services forecast labour price growth consistent with our </w:t>
      </w:r>
      <w:r w:rsidR="00AF2F1C">
        <w:t>draft</w:t>
      </w:r>
      <w:r w:rsidR="00AF2F1C" w:rsidRPr="00FD664B">
        <w:t xml:space="preserve"> </w:t>
      </w:r>
      <w:r w:rsidRPr="00FD664B">
        <w:t xml:space="preserve">decision, using the average of an updated EGWWS WPI </w:t>
      </w:r>
      <w:r w:rsidR="00AF2F1C">
        <w:t xml:space="preserve">from the Centre for International Economics (CIE) </w:t>
      </w:r>
      <w:r w:rsidRPr="00FD664B">
        <w:t xml:space="preserve">and </w:t>
      </w:r>
      <w:r w:rsidR="00F90665">
        <w:t>Deloitte Access Economics</w:t>
      </w:r>
      <w:r w:rsidR="00CE0AA3" w:rsidRPr="00FD664B">
        <w:t xml:space="preserve"> </w:t>
      </w:r>
      <w:r w:rsidR="00CE0AA3">
        <w:t>(</w:t>
      </w:r>
      <w:r w:rsidR="00F90665">
        <w:t>DAE</w:t>
      </w:r>
      <w:r w:rsidR="00CE0AA3">
        <w:t>)</w:t>
      </w:r>
      <w:r w:rsidRPr="00FD664B">
        <w:t xml:space="preserve"> February 2016 forecast. </w:t>
      </w:r>
      <w:r w:rsidR="006A3D79">
        <w:t>However</w:t>
      </w:r>
      <w:r w:rsidRPr="00FD664B">
        <w:t xml:space="preserve">, AusNet Services adopted </w:t>
      </w:r>
      <w:r w:rsidR="001326C4">
        <w:t xml:space="preserve">its own </w:t>
      </w:r>
      <w:r w:rsidRPr="00FD664B">
        <w:t>firm</w:t>
      </w:r>
      <w:r w:rsidR="006B4888">
        <w:t>-</w:t>
      </w:r>
      <w:r w:rsidRPr="00FD664B">
        <w:t xml:space="preserve">specific </w:t>
      </w:r>
      <w:r w:rsidR="006A3D79">
        <w:t>input</w:t>
      </w:r>
      <w:r w:rsidRPr="00FD664B">
        <w:t xml:space="preserve"> price weights of 78 </w:t>
      </w:r>
      <w:r>
        <w:t>per cent</w:t>
      </w:r>
      <w:r w:rsidRPr="00FD664B">
        <w:t xml:space="preserve"> </w:t>
      </w:r>
      <w:r w:rsidR="006A3D79">
        <w:t xml:space="preserve">for labour </w:t>
      </w:r>
      <w:r w:rsidRPr="00FD664B">
        <w:t xml:space="preserve">and 22 </w:t>
      </w:r>
      <w:r>
        <w:t>per cent</w:t>
      </w:r>
      <w:r w:rsidRPr="00FD664B">
        <w:t xml:space="preserve"> </w:t>
      </w:r>
      <w:r w:rsidR="006A3D79">
        <w:t>for non</w:t>
      </w:r>
      <w:r w:rsidR="006A3D79">
        <w:noBreakHyphen/>
        <w:t xml:space="preserve">labour </w:t>
      </w:r>
      <w:r w:rsidRPr="00FD664B">
        <w:t xml:space="preserve">rather than our benchmark weights of 62 </w:t>
      </w:r>
      <w:r>
        <w:t>per cent</w:t>
      </w:r>
      <w:r w:rsidRPr="00FD664B">
        <w:t xml:space="preserve"> and 38</w:t>
      </w:r>
      <w:r w:rsidR="006A3D79">
        <w:t> </w:t>
      </w:r>
      <w:r>
        <w:t>per</w:t>
      </w:r>
      <w:r w:rsidR="006A3D79">
        <w:t> </w:t>
      </w:r>
      <w:r>
        <w:t>cent</w:t>
      </w:r>
      <w:r w:rsidRPr="00FD664B">
        <w:t xml:space="preserve">.  </w:t>
      </w:r>
    </w:p>
    <w:p w:rsidR="00FD664B" w:rsidRPr="00FD664B" w:rsidRDefault="001326C4" w:rsidP="00FD664B">
      <w:pPr>
        <w:pStyle w:val="AERbulletlistsecondstyle"/>
      </w:pPr>
      <w:r>
        <w:t>AusNet Services</w:t>
      </w:r>
      <w:r w:rsidR="00F90665">
        <w:t>'</w:t>
      </w:r>
      <w:r>
        <w:t xml:space="preserve"> forecast output growth </w:t>
      </w:r>
      <w:r w:rsidR="00BD6A41">
        <w:t xml:space="preserve">is </w:t>
      </w:r>
      <w:r>
        <w:t>consistent with our draft decision</w:t>
      </w:r>
      <w:r w:rsidR="00FD664B" w:rsidRPr="00FD664B">
        <w:t xml:space="preserve">. </w:t>
      </w:r>
    </w:p>
    <w:p w:rsidR="003F511C" w:rsidRDefault="003F511C" w:rsidP="003F511C">
      <w:pPr>
        <w:pStyle w:val="AERbulletlistsecondstyle"/>
      </w:pPr>
      <w:r w:rsidRPr="003F511C">
        <w:t>AusNet Services</w:t>
      </w:r>
      <w:r w:rsidR="00F90665">
        <w:t>'</w:t>
      </w:r>
      <w:r w:rsidRPr="003F511C">
        <w:t xml:space="preserve"> </w:t>
      </w:r>
      <w:r>
        <w:t xml:space="preserve">forecast no productivity growth. It submitted that the </w:t>
      </w:r>
      <w:r w:rsidRPr="003F511C">
        <w:t xml:space="preserve">average growth </w:t>
      </w:r>
      <w:r>
        <w:t xml:space="preserve">rate </w:t>
      </w:r>
      <w:r w:rsidRPr="003F511C">
        <w:t>method is a more appropriate method</w:t>
      </w:r>
      <w:r>
        <w:t xml:space="preserve"> than the trend growth rate method we used to measure h</w:t>
      </w:r>
      <w:r w:rsidRPr="003F511C">
        <w:t>istoric productivity</w:t>
      </w:r>
      <w:r>
        <w:t xml:space="preserve"> growth. </w:t>
      </w:r>
      <w:r w:rsidR="00DE4710" w:rsidRPr="003F511C">
        <w:t xml:space="preserve">AusNet Services </w:t>
      </w:r>
      <w:r w:rsidR="00DE4710">
        <w:t xml:space="preserve">forecast </w:t>
      </w:r>
      <w:r w:rsidR="00DE4710" w:rsidRPr="003F511C">
        <w:t>no growth</w:t>
      </w:r>
      <w:r w:rsidR="00DE4710">
        <w:t xml:space="preserve"> o</w:t>
      </w:r>
      <w:r>
        <w:t>n the basis that productivity growth was negative over the period 2006–15 when measured using the average growth rate method</w:t>
      </w:r>
      <w:r w:rsidR="00B91DAE">
        <w:t>.</w:t>
      </w:r>
      <w:r>
        <w:t xml:space="preserve"> </w:t>
      </w:r>
    </w:p>
    <w:p w:rsidR="006A3D79" w:rsidRDefault="00FD664B" w:rsidP="00304A3D">
      <w:pPr>
        <w:pStyle w:val="AERbulletlistfirststyle"/>
      </w:pPr>
      <w:r w:rsidRPr="00FD664B">
        <w:t xml:space="preserve">AusNet Services </w:t>
      </w:r>
      <w:r w:rsidR="00F146B4">
        <w:t>re-</w:t>
      </w:r>
      <w:r w:rsidRPr="00FD664B">
        <w:t>proposed five step changes</w:t>
      </w:r>
      <w:r w:rsidR="006A3D79">
        <w:t xml:space="preserve">, which </w:t>
      </w:r>
      <w:r w:rsidR="006A3D79" w:rsidRPr="006A3D79">
        <w:t xml:space="preserve">increased </w:t>
      </w:r>
      <w:r w:rsidR="006A3D79">
        <w:t xml:space="preserve">its </w:t>
      </w:r>
      <w:r w:rsidR="006A3D79" w:rsidRPr="006A3D79">
        <w:t xml:space="preserve">total </w:t>
      </w:r>
      <w:r w:rsidR="006A3D79">
        <w:t xml:space="preserve">opex forecast </w:t>
      </w:r>
      <w:r w:rsidR="006A3D79" w:rsidRPr="006A3D79">
        <w:t>by $11</w:t>
      </w:r>
      <w:r w:rsidR="00AF2F1C">
        <w:t>.0</w:t>
      </w:r>
      <w:r w:rsidR="006A3D79" w:rsidRPr="006A3D79">
        <w:t xml:space="preserve"> million</w:t>
      </w:r>
      <w:r w:rsidR="007D3EFA">
        <w:t xml:space="preserve"> ($2016</w:t>
      </w:r>
      <w:r w:rsidR="00A87E6D">
        <w:t>–</w:t>
      </w:r>
      <w:r w:rsidR="007D3EFA">
        <w:t>17)</w:t>
      </w:r>
      <w:r w:rsidR="006A3D79">
        <w:t>:</w:t>
      </w:r>
    </w:p>
    <w:p w:rsidR="006A3D79" w:rsidRDefault="00360CA8" w:rsidP="00AF2F1C">
      <w:pPr>
        <w:pStyle w:val="AERbulletlistsecondstyle"/>
      </w:pPr>
      <w:r w:rsidRPr="00FD664B">
        <w:t>the establishment of an IT security team ($3.3</w:t>
      </w:r>
      <w:r>
        <w:t xml:space="preserve"> </w:t>
      </w:r>
      <w:r w:rsidRPr="00FD664B">
        <w:t>m</w:t>
      </w:r>
      <w:r>
        <w:t>illion</w:t>
      </w:r>
      <w:r w:rsidR="006A3D79">
        <w:t>, $2016–</w:t>
      </w:r>
      <w:r w:rsidR="006A3D79" w:rsidRPr="006A3D79">
        <w:t>17</w:t>
      </w:r>
      <w:r w:rsidRPr="00FD664B">
        <w:t xml:space="preserve">) </w:t>
      </w:r>
    </w:p>
    <w:p w:rsidR="006A3D79" w:rsidRDefault="00360CA8" w:rsidP="00AF2F1C">
      <w:pPr>
        <w:pStyle w:val="AERbulletlistsecondstyle"/>
      </w:pPr>
      <w:r>
        <w:t>smart aerial image processing (SAIP)</w:t>
      </w:r>
      <w:r w:rsidRPr="00FD664B">
        <w:t xml:space="preserve"> roll out ($0.9</w:t>
      </w:r>
      <w:r>
        <w:t xml:space="preserve"> </w:t>
      </w:r>
      <w:r w:rsidRPr="00FD664B">
        <w:t>m</w:t>
      </w:r>
      <w:r>
        <w:t>illion</w:t>
      </w:r>
      <w:r w:rsidR="006A3D79">
        <w:t>, $2016–</w:t>
      </w:r>
      <w:r w:rsidR="006A3D79" w:rsidRPr="006A3D79">
        <w:t>17</w:t>
      </w:r>
      <w:r w:rsidRPr="00FD664B">
        <w:t>)</w:t>
      </w:r>
      <w:r w:rsidR="006A3D79">
        <w:t xml:space="preserve"> </w:t>
      </w:r>
    </w:p>
    <w:p w:rsidR="006A3D79" w:rsidRDefault="00360CA8" w:rsidP="00AF2F1C">
      <w:pPr>
        <w:pStyle w:val="AERbulletlistsecondstyle"/>
      </w:pPr>
      <w:r>
        <w:t>synchronous condensers decommissioning ($2.9 million</w:t>
      </w:r>
      <w:r w:rsidR="006A3D79">
        <w:t>,</w:t>
      </w:r>
      <w:r w:rsidR="006A3D79" w:rsidRPr="006A3D79">
        <w:t xml:space="preserve"> $2016–17</w:t>
      </w:r>
      <w:r>
        <w:t>)</w:t>
      </w:r>
      <w:r w:rsidRPr="00FD664B">
        <w:t xml:space="preserve"> </w:t>
      </w:r>
    </w:p>
    <w:p w:rsidR="006A3D79" w:rsidRDefault="00360CA8" w:rsidP="00AF2F1C">
      <w:pPr>
        <w:pStyle w:val="AERbulletlistsecondstyle"/>
      </w:pPr>
      <w:r w:rsidRPr="00FD664B">
        <w:t xml:space="preserve">Morwell Power Station assets </w:t>
      </w:r>
      <w:r>
        <w:t xml:space="preserve">decommissioning </w:t>
      </w:r>
      <w:r w:rsidRPr="00FD664B">
        <w:t>($1.9</w:t>
      </w:r>
      <w:r>
        <w:t xml:space="preserve"> </w:t>
      </w:r>
      <w:r w:rsidRPr="00FD664B">
        <w:t>m</w:t>
      </w:r>
      <w:r>
        <w:t>illion</w:t>
      </w:r>
      <w:r w:rsidR="006A3D79">
        <w:t>,</w:t>
      </w:r>
      <w:r w:rsidR="006A3D79" w:rsidRPr="006A3D79">
        <w:t xml:space="preserve"> $2016–17</w:t>
      </w:r>
      <w:r w:rsidRPr="00FD664B">
        <w:t>)</w:t>
      </w:r>
      <w:r w:rsidR="00B91DAE">
        <w:t xml:space="preserve"> </w:t>
      </w:r>
    </w:p>
    <w:p w:rsidR="00D82D9F" w:rsidRDefault="00360CA8" w:rsidP="00AF2F1C">
      <w:pPr>
        <w:pStyle w:val="AERbulletlistsecondstyle"/>
      </w:pPr>
      <w:r w:rsidRPr="00360CA8">
        <w:t xml:space="preserve">West Melbourne Terminal Station </w:t>
      </w:r>
      <w:r>
        <w:t>(WMTS)</w:t>
      </w:r>
      <w:r w:rsidRPr="00FD664B">
        <w:t xml:space="preserve"> mobile switchboard ($2</w:t>
      </w:r>
      <w:r>
        <w:t>.0</w:t>
      </w:r>
      <w:r w:rsidR="006A3D79">
        <w:t> </w:t>
      </w:r>
      <w:r>
        <w:t>million</w:t>
      </w:r>
      <w:r w:rsidR="006A3D79">
        <w:t>,</w:t>
      </w:r>
      <w:r w:rsidR="006A3D79" w:rsidRPr="006A3D79">
        <w:t xml:space="preserve"> $2016–17</w:t>
      </w:r>
      <w:r w:rsidRPr="00FD664B">
        <w:t>)</w:t>
      </w:r>
      <w:r w:rsidR="008D3381">
        <w:t>.</w:t>
      </w:r>
    </w:p>
    <w:p w:rsidR="00A87E6D" w:rsidRDefault="00A87E6D" w:rsidP="00A87E6D">
      <w:pPr>
        <w:pStyle w:val="AERbulletlistfirststyle"/>
      </w:pPr>
      <w:r w:rsidRPr="00304A3D">
        <w:t xml:space="preserve">AusNet Services included category specific forecasts for easement land tax, </w:t>
      </w:r>
      <w:r w:rsidRPr="00FD664B">
        <w:t>roll in of group 3 assets</w:t>
      </w:r>
      <w:r w:rsidRPr="00304A3D">
        <w:t xml:space="preserve"> and self-insurance costs.</w:t>
      </w:r>
      <w:r>
        <w:rPr>
          <w:rStyle w:val="FootnoteReference"/>
        </w:rPr>
        <w:footnoteReference w:id="8"/>
      </w:r>
      <w:r w:rsidRPr="00304A3D">
        <w:t xml:space="preserve"> </w:t>
      </w:r>
      <w:r>
        <w:t>In total, category specific forecasts increased AusNet Services' forecast by $35.8 million compared to leaving the costs in the base year.</w:t>
      </w:r>
      <w:r w:rsidR="001247C9">
        <w:rPr>
          <w:rStyle w:val="FootnoteReference"/>
        </w:rPr>
        <w:footnoteReference w:id="9"/>
      </w:r>
      <w:r>
        <w:t xml:space="preserve"> Self-insurance</w:t>
      </w:r>
      <w:r w:rsidRPr="00304A3D">
        <w:t xml:space="preserve"> </w:t>
      </w:r>
      <w:r>
        <w:t>accounted for</w:t>
      </w:r>
      <w:r w:rsidRPr="00304A3D">
        <w:t xml:space="preserve"> $</w:t>
      </w:r>
      <w:r w:rsidR="00420088">
        <w:t>8.9</w:t>
      </w:r>
      <w:r w:rsidRPr="00304A3D">
        <w:t xml:space="preserve"> million ($2016</w:t>
      </w:r>
      <w:r>
        <w:t>–</w:t>
      </w:r>
      <w:r w:rsidRPr="00304A3D">
        <w:t>17)</w:t>
      </w:r>
      <w:r>
        <w:t xml:space="preserve"> of this</w:t>
      </w:r>
      <w:r w:rsidRPr="00304A3D">
        <w:t xml:space="preserve">. </w:t>
      </w:r>
    </w:p>
    <w:p w:rsidR="000C508A" w:rsidRDefault="000C508A" w:rsidP="00A87E6D">
      <w:pPr>
        <w:pStyle w:val="AERbulletlistfirststyle"/>
      </w:pPr>
      <w:r>
        <w:t xml:space="preserve">These components resulted in a total opex forecast of </w:t>
      </w:r>
      <w:r w:rsidR="00563362">
        <w:t>$1049.6 million ($2016–17), excluding forecast debt raising costs of $8.0 million.</w:t>
      </w:r>
    </w:p>
    <w:p w:rsidR="00EA1B17" w:rsidRDefault="00723A4C" w:rsidP="00723A4C">
      <w:r>
        <w:lastRenderedPageBreak/>
        <w:t xml:space="preserve">Subsequent to its revised proposal, </w:t>
      </w:r>
      <w:r w:rsidR="008207FC">
        <w:t xml:space="preserve">AusNet Services proposed a negative step change for </w:t>
      </w:r>
      <w:r w:rsidR="006B4888">
        <w:t>a</w:t>
      </w:r>
      <w:r w:rsidR="004B4773" w:rsidRPr="008207FC">
        <w:t>voided costs due to retirement of diesel generators</w:t>
      </w:r>
      <w:r w:rsidR="008207FC">
        <w:t xml:space="preserve"> of </w:t>
      </w:r>
      <w:r w:rsidR="004B4773" w:rsidRPr="008207FC">
        <w:t xml:space="preserve">$0.2 million </w:t>
      </w:r>
      <w:r w:rsidR="008207FC">
        <w:t>(</w:t>
      </w:r>
      <w:r w:rsidR="004B4773" w:rsidRPr="008207FC">
        <w:t>$2016–17)</w:t>
      </w:r>
      <w:r w:rsidR="00360CA8" w:rsidRPr="008207FC">
        <w:t>.</w:t>
      </w:r>
      <w:r w:rsidR="00C5420C">
        <w:t xml:space="preserve"> </w:t>
      </w:r>
      <w:r w:rsidR="00621656">
        <w:t>AusNet Services also advised that the Victorian Government had significantly increased its easement land tax, as set out above.</w:t>
      </w:r>
      <w:r w:rsidR="00621656">
        <w:rPr>
          <w:rStyle w:val="FootnoteReference"/>
        </w:rPr>
        <w:footnoteReference w:id="10"/>
      </w:r>
      <w:r w:rsidR="00621656" w:rsidRPr="008207FC">
        <w:t xml:space="preserve"> </w:t>
      </w:r>
    </w:p>
    <w:p w:rsidR="000646F7" w:rsidRPr="000646F7" w:rsidRDefault="000646F7" w:rsidP="00B80816">
      <w:pPr>
        <w:pStyle w:val="Heading2"/>
      </w:pPr>
      <w:bookmarkStart w:id="17" w:name="_Toc480809642"/>
      <w:r>
        <w:t>Stakeholder submissions</w:t>
      </w:r>
      <w:bookmarkEnd w:id="17"/>
    </w:p>
    <w:p w:rsidR="00043A74" w:rsidRDefault="00F90665" w:rsidP="00FE55BF">
      <w:r>
        <w:t>T</w:t>
      </w:r>
      <w:r w:rsidR="00406895" w:rsidRPr="00406895">
        <w:t xml:space="preserve">he Consumer Challenge Panel (CCP) </w:t>
      </w:r>
      <w:r>
        <w:t xml:space="preserve">submitted advice on </w:t>
      </w:r>
      <w:r w:rsidR="002A0D86">
        <w:t xml:space="preserve">the </w:t>
      </w:r>
      <w:r>
        <w:t xml:space="preserve">opex </w:t>
      </w:r>
      <w:r w:rsidR="002A0D86">
        <w:t xml:space="preserve">forecast </w:t>
      </w:r>
      <w:r w:rsidR="00406895" w:rsidRPr="00406895">
        <w:t xml:space="preserve">in response to </w:t>
      </w:r>
      <w:r w:rsidR="003B6705">
        <w:t xml:space="preserve">our draft decision and </w:t>
      </w:r>
      <w:r w:rsidR="00406895" w:rsidRPr="00406895">
        <w:t>AusNet Services'</w:t>
      </w:r>
      <w:r w:rsidR="00406895">
        <w:t xml:space="preserve"> </w:t>
      </w:r>
      <w:r w:rsidR="003B6705">
        <w:t>revised</w:t>
      </w:r>
      <w:r w:rsidR="003B6705" w:rsidRPr="00406895">
        <w:t xml:space="preserve"> </w:t>
      </w:r>
      <w:r w:rsidR="00406895" w:rsidRPr="00406895">
        <w:t xml:space="preserve">proposal. </w:t>
      </w:r>
      <w:r w:rsidR="00A264A4" w:rsidRPr="00A264A4">
        <w:t>The CCP remain</w:t>
      </w:r>
      <w:r w:rsidR="00A264A4">
        <w:t>ed</w:t>
      </w:r>
      <w:r w:rsidR="00A264A4" w:rsidRPr="00A264A4">
        <w:t xml:space="preserve"> </w:t>
      </w:r>
      <w:r w:rsidR="00406895" w:rsidRPr="00406895">
        <w:t>concerned about the increase in AusNet Services' proposed opex for the 2017–22 regulatory control period compared to historical levels.</w:t>
      </w:r>
    </w:p>
    <w:p w:rsidR="003B6705" w:rsidRDefault="003B6705" w:rsidP="003B6705">
      <w:r>
        <w:t xml:space="preserve">The CCP </w:t>
      </w:r>
      <w:r w:rsidR="00201C9E">
        <w:t xml:space="preserve">agreed with </w:t>
      </w:r>
      <w:r>
        <w:t>the use of 2014</w:t>
      </w:r>
      <w:r w:rsidR="00950542">
        <w:t>–</w:t>
      </w:r>
      <w:r>
        <w:t xml:space="preserve">15 as the base year but did not </w:t>
      </w:r>
      <w:r w:rsidR="00201C9E">
        <w:t xml:space="preserve">agree </w:t>
      </w:r>
      <w:r>
        <w:t>that it is necessarily an accurate reflection of efficient costs due to limitations with transmission benchmarking.</w:t>
      </w:r>
      <w:r>
        <w:rPr>
          <w:rStyle w:val="FootnoteReference"/>
        </w:rPr>
        <w:footnoteReference w:id="11"/>
      </w:r>
    </w:p>
    <w:p w:rsidR="003B6705" w:rsidRDefault="003B6705" w:rsidP="003B6705">
      <w:r>
        <w:t xml:space="preserve">The CCP supported </w:t>
      </w:r>
      <w:r w:rsidR="00BC10A8">
        <w:t xml:space="preserve">our </w:t>
      </w:r>
      <w:r>
        <w:t>draft decision on labour and non-labour weights due to the low inflation operating environment.</w:t>
      </w:r>
      <w:r>
        <w:rPr>
          <w:rStyle w:val="FootnoteReference"/>
        </w:rPr>
        <w:footnoteReference w:id="12"/>
      </w:r>
      <w:r>
        <w:t xml:space="preserve"> The CCP opposed AusNet Services’ productivity forecast of zero</w:t>
      </w:r>
      <w:r w:rsidR="002E767F">
        <w:t>,</w:t>
      </w:r>
      <w:r>
        <w:t xml:space="preserve"> </w:t>
      </w:r>
      <w:r w:rsidR="002E767F">
        <w:t>noting</w:t>
      </w:r>
      <w:r w:rsidR="002E767F" w:rsidRPr="002E767F">
        <w:t xml:space="preserve"> the importance of positive productivity forecasts to provide </w:t>
      </w:r>
      <w:r w:rsidR="002E767F">
        <w:t xml:space="preserve">the </w:t>
      </w:r>
      <w:r w:rsidR="002E767F" w:rsidRPr="002E767F">
        <w:t>business</w:t>
      </w:r>
      <w:r w:rsidR="002E767F">
        <w:t>es</w:t>
      </w:r>
      <w:r w:rsidR="002E767F" w:rsidRPr="002E767F">
        <w:t xml:space="preserve"> with </w:t>
      </w:r>
      <w:r w:rsidR="002E767F">
        <w:t>an</w:t>
      </w:r>
      <w:r w:rsidR="002E767F" w:rsidRPr="002E767F">
        <w:t xml:space="preserve"> incentive to </w:t>
      </w:r>
      <w:r>
        <w:t xml:space="preserve">improve efficiency </w:t>
      </w:r>
      <w:r w:rsidR="002E767F">
        <w:t>over time</w:t>
      </w:r>
      <w:r>
        <w:t>.</w:t>
      </w:r>
      <w:r w:rsidR="00991757">
        <w:rPr>
          <w:rStyle w:val="FootnoteReference"/>
        </w:rPr>
        <w:footnoteReference w:id="13"/>
      </w:r>
      <w:r w:rsidR="00991757">
        <w:t xml:space="preserve"> </w:t>
      </w:r>
    </w:p>
    <w:p w:rsidR="003D07EA" w:rsidRDefault="003B6705" w:rsidP="003B6705">
      <w:r>
        <w:t xml:space="preserve">The CCP submitted </w:t>
      </w:r>
      <w:r w:rsidR="003D07EA">
        <w:t>'</w:t>
      </w:r>
      <w:r w:rsidR="003D07EA" w:rsidRPr="003D07EA">
        <w:t>there are no step changes, rather there are some variations in selected areas of base operating costs</w:t>
      </w:r>
      <w:r w:rsidR="003D07EA">
        <w:t>'</w:t>
      </w:r>
      <w:r w:rsidR="003D07EA" w:rsidRPr="003D07EA">
        <w:t>.</w:t>
      </w:r>
      <w:r w:rsidR="00BC58DE">
        <w:rPr>
          <w:rStyle w:val="FootnoteReference"/>
        </w:rPr>
        <w:footnoteReference w:id="14"/>
      </w:r>
      <w:r>
        <w:t xml:space="preserve"> </w:t>
      </w:r>
      <w:r w:rsidR="003D07EA">
        <w:t>In relation to the proposed decommissioning step change specifically, the CCP stated:</w:t>
      </w:r>
    </w:p>
    <w:p w:rsidR="003D07EA" w:rsidRDefault="003D07EA" w:rsidP="001247C9">
      <w:pPr>
        <w:pStyle w:val="AERquote"/>
      </w:pPr>
      <w:r w:rsidRPr="003D07EA">
        <w:t>On the basis that consumers benefit financially from allowing a step change in opex as opposed to paying tariffs based on revenue that includes Return On and Return Of Investment over a long period, then we are inclined to support AusNet Services’ proposal to include this relatively modest one-year non-recurrent opex expenditure, but not regard it as a ‘step change’</w:t>
      </w:r>
      <w:r>
        <w:t>..</w:t>
      </w:r>
      <w:r w:rsidRPr="003D07EA">
        <w:t>. However, if investigation of AusNet Services’ historic costs indicates that there are revealed costs, then we remain of the view that this ‘step change’ should not be allowed by the AER in its Final Decision.”</w:t>
      </w:r>
      <w:r>
        <w:rPr>
          <w:rStyle w:val="FootnoteReference"/>
        </w:rPr>
        <w:footnoteReference w:id="15"/>
      </w:r>
    </w:p>
    <w:p w:rsidR="00043A74" w:rsidRDefault="003B6705" w:rsidP="003B6705">
      <w:r>
        <w:t>The CCP expressed the view that decommissioning step changes are a new type of adjustment to revealed costs because there is a step up in one year followed by a step down for the same item in the next year.</w:t>
      </w:r>
      <w:r>
        <w:rPr>
          <w:rStyle w:val="FootnoteReference"/>
        </w:rPr>
        <w:footnoteReference w:id="16"/>
      </w:r>
      <w:r>
        <w:t xml:space="preserve"> </w:t>
      </w:r>
    </w:p>
    <w:p w:rsidR="003B6705" w:rsidRDefault="00043A74" w:rsidP="003B6705">
      <w:r>
        <w:t>In response to</w:t>
      </w:r>
      <w:r w:rsidR="00457D37">
        <w:t xml:space="preserve"> the</w:t>
      </w:r>
      <w:r>
        <w:t xml:space="preserve"> CCP's</w:t>
      </w:r>
      <w:r w:rsidRPr="00043A74">
        <w:t xml:space="preserve"> </w:t>
      </w:r>
      <w:r>
        <w:t>s</w:t>
      </w:r>
      <w:r w:rsidRPr="00043A74">
        <w:t>ubmission</w:t>
      </w:r>
      <w:r>
        <w:t xml:space="preserve">, </w:t>
      </w:r>
      <w:r w:rsidR="003B6705">
        <w:t xml:space="preserve">AusNet Services submitted that the synchronous condensers (SCO) are the first Victorian transmission assets </w:t>
      </w:r>
      <w:r w:rsidR="00BD6A41">
        <w:t xml:space="preserve">that </w:t>
      </w:r>
      <w:r w:rsidR="003B6705">
        <w:t xml:space="preserve">have been </w:t>
      </w:r>
      <w:r w:rsidR="003B6705">
        <w:lastRenderedPageBreak/>
        <w:t>decommissioned without being replaced, and therefore there is no revealed cost</w:t>
      </w:r>
      <w:r w:rsidR="00AF4207">
        <w:t xml:space="preserve"> for asset decommissioning in its base year opex</w:t>
      </w:r>
      <w:r w:rsidR="003B6705">
        <w:t>.</w:t>
      </w:r>
      <w:r w:rsidR="003D07EA">
        <w:rPr>
          <w:rStyle w:val="FootnoteReference"/>
        </w:rPr>
        <w:footnoteReference w:id="17"/>
      </w:r>
      <w:r w:rsidR="003B6705">
        <w:t xml:space="preserve"> </w:t>
      </w:r>
    </w:p>
    <w:p w:rsidR="00A40CA7" w:rsidRDefault="00060D52" w:rsidP="00A40CA7">
      <w:r>
        <w:t xml:space="preserve">In relation to the proposed </w:t>
      </w:r>
      <w:r w:rsidRPr="00A40CA7">
        <w:t xml:space="preserve">smart aerial image processing (SAIP) </w:t>
      </w:r>
      <w:r>
        <w:t>step change, t</w:t>
      </w:r>
      <w:r w:rsidR="003B6705" w:rsidRPr="00A40CA7">
        <w:t xml:space="preserve">he CCP agreed SAIP is an effective tool but did not accept that a step change is needed. Rather, it considered </w:t>
      </w:r>
      <w:r w:rsidR="00FA0674">
        <w:t>SAIP could</w:t>
      </w:r>
      <w:r w:rsidR="00FA0674" w:rsidRPr="00FA0674">
        <w:t xml:space="preserve"> be utilised within the opex allowance provided for in the draft decision</w:t>
      </w:r>
      <w:r w:rsidR="003B6705" w:rsidRPr="00A40CA7">
        <w:t>.</w:t>
      </w:r>
      <w:r w:rsidR="00A40CA7">
        <w:rPr>
          <w:rStyle w:val="FootnoteReference"/>
        </w:rPr>
        <w:footnoteReference w:id="18"/>
      </w:r>
      <w:bookmarkStart w:id="18" w:name="_Toc403144138"/>
    </w:p>
    <w:p w:rsidR="00DE563D" w:rsidRDefault="000646F7" w:rsidP="001754EE">
      <w:pPr>
        <w:pStyle w:val="Heading2"/>
      </w:pPr>
      <w:bookmarkStart w:id="19" w:name="_Toc480809643"/>
      <w:r>
        <w:t>A</w:t>
      </w:r>
      <w:r w:rsidR="00DE563D">
        <w:t>ssessment approach</w:t>
      </w:r>
      <w:bookmarkEnd w:id="18"/>
      <w:bookmarkEnd w:id="19"/>
    </w:p>
    <w:p w:rsidR="00451372" w:rsidRDefault="00451372" w:rsidP="00451372">
      <w:r>
        <w:t>Our role is to</w:t>
      </w:r>
      <w:r w:rsidRPr="00C31089">
        <w:t xml:space="preserve"> form a view about whether a business' forecast of </w:t>
      </w:r>
      <w:r>
        <w:t xml:space="preserve">total </w:t>
      </w:r>
      <w:r w:rsidRPr="00C31089">
        <w:t xml:space="preserve">opex </w:t>
      </w:r>
      <w:r>
        <w:t xml:space="preserve">is reasonable. Specifically, we </w:t>
      </w:r>
      <w:r w:rsidRPr="00C31089">
        <w:t>must form a view about whether a business' forecast of total opex</w:t>
      </w:r>
      <w:r w:rsidRPr="00C31089" w:rsidDel="0011222C">
        <w:t xml:space="preserve"> </w:t>
      </w:r>
      <w:r>
        <w:t>'</w:t>
      </w:r>
      <w:r w:rsidRPr="00C31089">
        <w:t>reasonably reflects the opex criteria</w:t>
      </w:r>
      <w:r>
        <w:t>'</w:t>
      </w:r>
      <w:r w:rsidRPr="00C31089">
        <w:t>.</w:t>
      </w:r>
      <w:r>
        <w:rPr>
          <w:rStyle w:val="FootnoteReference"/>
        </w:rPr>
        <w:footnoteReference w:id="19"/>
      </w:r>
      <w:r w:rsidRPr="00C31089">
        <w:t xml:space="preserve"> </w:t>
      </w:r>
      <w:r>
        <w:t>In doing so we must have regard to each of the opex factors</w:t>
      </w:r>
      <w:r w:rsidRPr="00753D73">
        <w:t xml:space="preserve"> </w:t>
      </w:r>
      <w:r>
        <w:t>specified in the NER.</w:t>
      </w:r>
      <w:r>
        <w:rPr>
          <w:rStyle w:val="FootnoteReference"/>
        </w:rPr>
        <w:footnoteReference w:id="20"/>
      </w:r>
    </w:p>
    <w:p w:rsidR="00245A70" w:rsidRDefault="00451372" w:rsidP="00F82459">
      <w:r w:rsidRPr="00C31089">
        <w:t xml:space="preserve">If we are satisfied </w:t>
      </w:r>
      <w:r>
        <w:t>the business' forecast</w:t>
      </w:r>
      <w:r w:rsidRPr="00C31089">
        <w:t xml:space="preserve"> reasonably reflects </w:t>
      </w:r>
      <w:r>
        <w:t>the</w:t>
      </w:r>
      <w:r w:rsidRPr="00C31089">
        <w:t xml:space="preserve"> criteria, we accept the forecast.</w:t>
      </w:r>
      <w:r>
        <w:rPr>
          <w:rStyle w:val="FootnoteReference"/>
        </w:rPr>
        <w:footnoteReference w:id="21"/>
      </w:r>
      <w:r>
        <w:t xml:space="preserve"> </w:t>
      </w:r>
      <w:r w:rsidRPr="00C31089" w:rsidDel="0015569D">
        <w:t xml:space="preserve">If we are not satisfied, </w:t>
      </w:r>
      <w:r>
        <w:t xml:space="preserve">we </w:t>
      </w:r>
      <w:r w:rsidRPr="00C31089" w:rsidDel="0015569D">
        <w:t xml:space="preserve">substitute </w:t>
      </w:r>
      <w:r>
        <w:t>the business' forecast</w:t>
      </w:r>
      <w:r w:rsidRPr="00C31089" w:rsidDel="0015569D">
        <w:t xml:space="preserve"> with </w:t>
      </w:r>
      <w:r>
        <w:t>an</w:t>
      </w:r>
      <w:r w:rsidRPr="00C31089" w:rsidDel="0015569D">
        <w:t xml:space="preserve"> alternative estimate </w:t>
      </w:r>
      <w:r>
        <w:t xml:space="preserve">that we are </w:t>
      </w:r>
      <w:r w:rsidRPr="00B52717">
        <w:t xml:space="preserve">satisfied reasonably reflects the </w:t>
      </w:r>
      <w:r>
        <w:t>opex</w:t>
      </w:r>
      <w:r w:rsidRPr="00B52717">
        <w:t xml:space="preserve"> criteria</w:t>
      </w:r>
      <w:r>
        <w:t>.</w:t>
      </w:r>
      <w:r>
        <w:rPr>
          <w:rStyle w:val="FootnoteReference"/>
        </w:rPr>
        <w:footnoteReference w:id="22"/>
      </w:r>
      <w:r w:rsidR="006F7D19">
        <w:t xml:space="preserve"> </w:t>
      </w:r>
      <w:r w:rsidR="0031711D">
        <w:t xml:space="preserve">In making this decision, we take into account the reasons for the difference </w:t>
      </w:r>
      <w:r w:rsidR="0031711D" w:rsidRPr="0031711D">
        <w:t>between our alternative estimate and the business' proposal</w:t>
      </w:r>
      <w:r w:rsidR="009A403E">
        <w:t>,</w:t>
      </w:r>
      <w:r w:rsidR="0031711D" w:rsidRPr="0031711D">
        <w:t xml:space="preserve"> </w:t>
      </w:r>
      <w:r w:rsidR="0031711D">
        <w:t>and</w:t>
      </w:r>
      <w:r w:rsidR="006F50EE">
        <w:t xml:space="preserve"> the</w:t>
      </w:r>
      <w:r w:rsidR="0031711D">
        <w:t xml:space="preserve"> </w:t>
      </w:r>
      <w:r w:rsidR="0031711D" w:rsidRPr="0031711D">
        <w:t>material</w:t>
      </w:r>
      <w:r w:rsidR="0031711D">
        <w:t>ity</w:t>
      </w:r>
      <w:r w:rsidR="006F50EE">
        <w:t xml:space="preserve"> of </w:t>
      </w:r>
      <w:r w:rsidR="00245A70">
        <w:t xml:space="preserve">the </w:t>
      </w:r>
      <w:r w:rsidR="006F50EE">
        <w:t>difference</w:t>
      </w:r>
      <w:r w:rsidR="0031711D">
        <w:t xml:space="preserve">. </w:t>
      </w:r>
      <w:r w:rsidR="00245A70">
        <w:t>Further, we consider interrelationships with the other building block components of our decision.</w:t>
      </w:r>
      <w:r w:rsidR="00245A70">
        <w:rPr>
          <w:rStyle w:val="FootnoteReference"/>
        </w:rPr>
        <w:footnoteReference w:id="23"/>
      </w:r>
    </w:p>
    <w:p w:rsidR="00F82459" w:rsidRDefault="00F82459" w:rsidP="00F82459">
      <w:r>
        <w:t xml:space="preserve">After conducting an extensive consultation process with service providers, users, consumers and other stakeholders, we </w:t>
      </w:r>
      <w:r w:rsidR="00D3159B">
        <w:t xml:space="preserve">published </w:t>
      </w:r>
      <w:r>
        <w:t xml:space="preserve">the </w:t>
      </w:r>
      <w:r w:rsidRPr="002011BB">
        <w:rPr>
          <w:rStyle w:val="Emphasis"/>
        </w:rPr>
        <w:t xml:space="preserve">Expenditure </w:t>
      </w:r>
      <w:r w:rsidR="001C1068">
        <w:rPr>
          <w:rStyle w:val="Emphasis"/>
        </w:rPr>
        <w:t>f</w:t>
      </w:r>
      <w:r w:rsidRPr="002011BB">
        <w:rPr>
          <w:rStyle w:val="Emphasis"/>
        </w:rPr>
        <w:t xml:space="preserve">orecast </w:t>
      </w:r>
      <w:r w:rsidR="001C1068">
        <w:rPr>
          <w:rStyle w:val="Emphasis"/>
        </w:rPr>
        <w:t>a</w:t>
      </w:r>
      <w:r w:rsidRPr="002011BB">
        <w:rPr>
          <w:rStyle w:val="Emphasis"/>
        </w:rPr>
        <w:t xml:space="preserve">ssessment </w:t>
      </w:r>
      <w:r w:rsidR="001C1068">
        <w:rPr>
          <w:rStyle w:val="Emphasis"/>
        </w:rPr>
        <w:t>g</w:t>
      </w:r>
      <w:r w:rsidRPr="002011BB">
        <w:rPr>
          <w:rStyle w:val="Emphasis"/>
        </w:rPr>
        <w:t>uideline</w:t>
      </w:r>
      <w:r>
        <w:t xml:space="preserve"> (the Guideline) together with an explanatory statement in November 2013.</w:t>
      </w:r>
      <w:r>
        <w:rPr>
          <w:rStyle w:val="FootnoteReference"/>
        </w:rPr>
        <w:footnoteReference w:id="24"/>
      </w:r>
      <w:r>
        <w:t xml:space="preserve"> The Guideline sets out our intended approach to assessing opex in accordance with the NER.</w:t>
      </w:r>
      <w:r>
        <w:rPr>
          <w:rStyle w:val="FootnoteReference"/>
        </w:rPr>
        <w:footnoteReference w:id="25"/>
      </w:r>
      <w:r>
        <w:t xml:space="preserve"> While the Guideline provides </w:t>
      </w:r>
      <w:r w:rsidR="005328BE">
        <w:t xml:space="preserve">for </w:t>
      </w:r>
      <w:r w:rsidR="001C1068">
        <w:t xml:space="preserve">greater </w:t>
      </w:r>
      <w:r>
        <w:t xml:space="preserve">regulatory </w:t>
      </w:r>
      <w:r w:rsidR="008928F5">
        <w:t xml:space="preserve">predictability, </w:t>
      </w:r>
      <w:r>
        <w:t>transparency and consistency, it</w:t>
      </w:r>
      <w:r w:rsidR="002C6E42">
        <w:t xml:space="preserve"> is not mandatory—that is, </w:t>
      </w:r>
      <w:r w:rsidR="001F75B1">
        <w:t xml:space="preserve">the approach set out in the Guideline </w:t>
      </w:r>
      <w:r w:rsidR="002C6E42">
        <w:t>does not bind us or anyone else. B</w:t>
      </w:r>
      <w:r w:rsidR="008247A4">
        <w:t>ut</w:t>
      </w:r>
      <w:r w:rsidR="002C6E42" w:rsidRPr="002C6E42">
        <w:t xml:space="preserve"> if </w:t>
      </w:r>
      <w:r w:rsidR="002C6E42">
        <w:t xml:space="preserve">we </w:t>
      </w:r>
      <w:r w:rsidR="002C6E42" w:rsidRPr="002C6E42">
        <w:t>ma</w:t>
      </w:r>
      <w:r w:rsidR="002C6E42">
        <w:t>ke</w:t>
      </w:r>
      <w:r w:rsidR="002C6E42" w:rsidRPr="002C6E42">
        <w:t xml:space="preserve"> a </w:t>
      </w:r>
      <w:r w:rsidR="002C6E42">
        <w:t xml:space="preserve">decision </w:t>
      </w:r>
      <w:r w:rsidR="002C6E42" w:rsidRPr="002C6E42">
        <w:t xml:space="preserve">that is not in accordance with the </w:t>
      </w:r>
      <w:r w:rsidR="002C6E42">
        <w:t>G</w:t>
      </w:r>
      <w:r w:rsidR="002C6E42" w:rsidRPr="002C6E42">
        <w:t xml:space="preserve">uideline, </w:t>
      </w:r>
      <w:r w:rsidR="002C6E42">
        <w:t xml:space="preserve">we </w:t>
      </w:r>
      <w:r w:rsidR="002C6E42" w:rsidRPr="002C6E42">
        <w:t>must state</w:t>
      </w:r>
      <w:r w:rsidR="002C6E42">
        <w:t xml:space="preserve"> </w:t>
      </w:r>
      <w:r w:rsidR="002C6E42" w:rsidRPr="002C6E42">
        <w:t xml:space="preserve">the reasons for departing from the </w:t>
      </w:r>
      <w:r w:rsidR="002C6E42">
        <w:t>G</w:t>
      </w:r>
      <w:r w:rsidR="002C6E42" w:rsidRPr="002C6E42">
        <w:t>uideline.</w:t>
      </w:r>
      <w:r>
        <w:rPr>
          <w:rStyle w:val="FootnoteReference"/>
        </w:rPr>
        <w:footnoteReference w:id="26"/>
      </w:r>
    </w:p>
    <w:p w:rsidR="000D10D2" w:rsidRDefault="0096567F" w:rsidP="00BF4B19">
      <w:r>
        <w:lastRenderedPageBreak/>
        <w:t xml:space="preserve">We </w:t>
      </w:r>
      <w:r w:rsidR="008247A4">
        <w:t>apply</w:t>
      </w:r>
      <w:r w:rsidR="00F82459">
        <w:t xml:space="preserve"> the assessment approach outlined in the Guideline </w:t>
      </w:r>
      <w:r w:rsidR="003410E6">
        <w:t>to</w:t>
      </w:r>
      <w:r w:rsidR="00F82459">
        <w:t xml:space="preserve"> develop</w:t>
      </w:r>
      <w:r w:rsidR="00633034">
        <w:t xml:space="preserve"> </w:t>
      </w:r>
      <w:r w:rsidR="00BF4B19">
        <w:t xml:space="preserve">our </w:t>
      </w:r>
      <w:r w:rsidR="00633034">
        <w:t xml:space="preserve">estimate of </w:t>
      </w:r>
      <w:r w:rsidR="008247A4">
        <w:t xml:space="preserve">a </w:t>
      </w:r>
      <w:r w:rsidR="00BF4B19">
        <w:t>business' total opex requirements</w:t>
      </w:r>
      <w:r w:rsidR="001A42A7">
        <w:t xml:space="preserve"> (</w:t>
      </w:r>
      <w:r w:rsidR="00FD55C2">
        <w:t xml:space="preserve">our </w:t>
      </w:r>
      <w:r w:rsidR="001A42A7">
        <w:t>alternative estimate)</w:t>
      </w:r>
      <w:r w:rsidR="00633034">
        <w:t xml:space="preserve">. </w:t>
      </w:r>
      <w:r w:rsidR="00F82459">
        <w:t>Our</w:t>
      </w:r>
      <w:r w:rsidR="001A42A7">
        <w:t xml:space="preserve"> alternative estimate </w:t>
      </w:r>
      <w:r w:rsidR="00F82459">
        <w:t>serves</w:t>
      </w:r>
      <w:r w:rsidR="001A42A7">
        <w:t xml:space="preserve"> </w:t>
      </w:r>
      <w:r w:rsidR="002E38FB">
        <w:t xml:space="preserve">two purposes. First, it provides a basis for assessing whether </w:t>
      </w:r>
      <w:r w:rsidR="008247A4">
        <w:t>a</w:t>
      </w:r>
      <w:r w:rsidR="002E38FB">
        <w:t xml:space="preserve"> business' proposal is reasonable. Second, it can be used as a substitute forecast if we determine </w:t>
      </w:r>
      <w:r w:rsidR="008247A4">
        <w:t xml:space="preserve">a </w:t>
      </w:r>
      <w:r w:rsidR="002E38FB">
        <w:t>business' proposal does not reasonably reflect the opex criteria.</w:t>
      </w:r>
      <w:r w:rsidR="00A06A66">
        <w:t xml:space="preserve"> </w:t>
      </w:r>
    </w:p>
    <w:p w:rsidR="00F10051" w:rsidRDefault="000D10D2" w:rsidP="00BF4B19">
      <w:r>
        <w:t>We</w:t>
      </w:r>
      <w:r w:rsidR="00C72D6C">
        <w:t xml:space="preserve"> </w:t>
      </w:r>
      <w:r>
        <w:t>set out our assessment approach in detail in our draft decision. Below</w:t>
      </w:r>
      <w:r w:rsidR="00A331C0">
        <w:t xml:space="preserve"> w</w:t>
      </w:r>
      <w:r w:rsidR="00F10051">
        <w:t>e further expla</w:t>
      </w:r>
      <w:r w:rsidR="00DE2B0A">
        <w:t>in</w:t>
      </w:r>
      <w:r w:rsidR="00F10051">
        <w:t xml:space="preserve"> the principles that underpin this approach</w:t>
      </w:r>
      <w:r w:rsidR="00F403C5">
        <w:t xml:space="preserve"> and provide a high-level overview of the </w:t>
      </w:r>
      <w:r w:rsidR="002B506E">
        <w:t>'</w:t>
      </w:r>
      <w:r w:rsidR="00F403C5">
        <w:t>base</w:t>
      </w:r>
      <w:r w:rsidR="00536E8B">
        <w:t>–</w:t>
      </w:r>
      <w:r w:rsidR="00F403C5">
        <w:t>step</w:t>
      </w:r>
      <w:r w:rsidR="00536E8B">
        <w:t>–</w:t>
      </w:r>
      <w:r w:rsidR="00F403C5">
        <w:t>trend</w:t>
      </w:r>
      <w:r w:rsidR="002B506E">
        <w:t>'</w:t>
      </w:r>
      <w:r w:rsidR="00F403C5">
        <w:t xml:space="preserve"> </w:t>
      </w:r>
      <w:r w:rsidR="00C324EF">
        <w:t>methodology</w:t>
      </w:r>
      <w:r w:rsidR="00F10051">
        <w:t>.</w:t>
      </w:r>
    </w:p>
    <w:p w:rsidR="00F10051" w:rsidRDefault="00F10051" w:rsidP="00F10051">
      <w:pPr>
        <w:pStyle w:val="Heading3"/>
      </w:pPr>
      <w:bookmarkStart w:id="20" w:name="_Ref469402343"/>
      <w:bookmarkStart w:id="21" w:name="_Toc480809644"/>
      <w:r>
        <w:t>Incentive regulation and the 'top</w:t>
      </w:r>
      <w:r w:rsidR="00DD5AEC">
        <w:t>-</w:t>
      </w:r>
      <w:r>
        <w:t>down' approach</w:t>
      </w:r>
      <w:bookmarkEnd w:id="21"/>
    </w:p>
    <w:p w:rsidR="00F10051" w:rsidRDefault="008928F5" w:rsidP="00543025">
      <w:r w:rsidRPr="008928F5">
        <w:t>A key feature of the regulatory framework is that it is based on incentivi</w:t>
      </w:r>
      <w:r w:rsidR="002204F1">
        <w:t>s</w:t>
      </w:r>
      <w:r w:rsidRPr="008928F5">
        <w:t xml:space="preserve">ing networks to be as efficient as possible. </w:t>
      </w:r>
      <w:r w:rsidR="00C72D6C">
        <w:t>W</w:t>
      </w:r>
      <w:r w:rsidR="00F10051" w:rsidRPr="001F39FC">
        <w:t xml:space="preserve">e apply incentive-based regulation across </w:t>
      </w:r>
      <w:r w:rsidR="00F10051">
        <w:t>the</w:t>
      </w:r>
      <w:r w:rsidR="00F10051" w:rsidRPr="001F39FC">
        <w:t xml:space="preserve"> energy networks we regulate</w:t>
      </w:r>
      <w:r w:rsidR="001967CF">
        <w:t xml:space="preserve">. </w:t>
      </w:r>
      <w:r w:rsidR="001C1EC7">
        <w:t>F</w:t>
      </w:r>
      <w:r w:rsidR="001967CF">
        <w:t xml:space="preserve">or opex, we rely on the efficiency incentives created by both </w:t>
      </w:r>
      <w:r w:rsidR="00065D2F">
        <w:t xml:space="preserve">ex ante </w:t>
      </w:r>
      <w:r w:rsidR="001967CF">
        <w:t>revenue regulation and the '</w:t>
      </w:r>
      <w:r w:rsidR="001967CF" w:rsidRPr="001967CF">
        <w:t>efficiency benefit sharing scheme</w:t>
      </w:r>
      <w:r w:rsidR="001967CF">
        <w:t>'</w:t>
      </w:r>
      <w:r w:rsidR="001967CF" w:rsidRPr="001967CF">
        <w:t xml:space="preserve"> </w:t>
      </w:r>
      <w:r w:rsidR="001967CF">
        <w:t>(EBSS)</w:t>
      </w:r>
      <w:r w:rsidR="001967CF" w:rsidRPr="001F39FC">
        <w:t>.</w:t>
      </w:r>
      <w:r w:rsidR="001967CF">
        <w:t xml:space="preserve"> </w:t>
      </w:r>
    </w:p>
    <w:p w:rsidR="00157197" w:rsidRDefault="00C72D6C" w:rsidP="00F10051">
      <w:r>
        <w:t>Incentive regulation</w:t>
      </w:r>
      <w:r w:rsidR="00DE2B0A">
        <w:t>, as with other forms of economic regulation,</w:t>
      </w:r>
      <w:r>
        <w:t xml:space="preserve"> is designed to prevent network businesses from exploiting </w:t>
      </w:r>
      <w:r w:rsidR="00DD4401">
        <w:t>their</w:t>
      </w:r>
      <w:r>
        <w:t xml:space="preserve"> natural monopoly position by setting prices in excess of efficient costs</w:t>
      </w:r>
      <w:r w:rsidR="00CF1C80">
        <w:t>. It</w:t>
      </w:r>
      <w:r>
        <w:t xml:space="preserve"> </w:t>
      </w:r>
      <w:r w:rsidR="00DE2B0A">
        <w:t xml:space="preserve">also </w:t>
      </w:r>
      <w:r w:rsidR="00CF1C80">
        <w:t>provides an incentive</w:t>
      </w:r>
      <w:r>
        <w:t xml:space="preserve"> for network businesses to </w:t>
      </w:r>
      <w:r w:rsidR="002A0D86">
        <w:t>minimise</w:t>
      </w:r>
      <w:r w:rsidR="0090265F">
        <w:t xml:space="preserve"> costs</w:t>
      </w:r>
      <w:r w:rsidR="00F84441">
        <w:t>.</w:t>
      </w:r>
      <w:r w:rsidR="00BD1A20">
        <w:rPr>
          <w:rStyle w:val="FootnoteReference"/>
        </w:rPr>
        <w:footnoteReference w:id="27"/>
      </w:r>
      <w:r w:rsidR="00BD1A20">
        <w:t xml:space="preserve"> </w:t>
      </w:r>
      <w:r w:rsidR="0090265F">
        <w:t>Incentive regulation is intended to align the commercial goals of the business to the goals of society</w:t>
      </w:r>
      <w:r w:rsidR="00472507">
        <w:t>—</w:t>
      </w:r>
      <w:r w:rsidR="0090265F">
        <w:t>efficient, reliable and low cost electricity supply.</w:t>
      </w:r>
      <w:r w:rsidR="0090265F">
        <w:rPr>
          <w:rStyle w:val="FootnoteReference"/>
        </w:rPr>
        <w:footnoteReference w:id="28"/>
      </w:r>
    </w:p>
    <w:p w:rsidR="00C571E1" w:rsidRDefault="00A14D4D" w:rsidP="00C571E1">
      <w:r>
        <w:t>T</w:t>
      </w:r>
      <w:r w:rsidR="00C571E1">
        <w:t>he Productivity Commission</w:t>
      </w:r>
      <w:r>
        <w:t xml:space="preserve"> explains</w:t>
      </w:r>
      <w:r w:rsidR="00C571E1">
        <w:t>:</w:t>
      </w:r>
    </w:p>
    <w:p w:rsidR="00C571E1" w:rsidRDefault="00C571E1" w:rsidP="00C571E1">
      <w:pPr>
        <w:pStyle w:val="AERquote"/>
      </w:pPr>
      <w:r w:rsidRPr="008F3919">
        <w:t>Under incentive regulation, the regulator forecasts efficient aggregate costs over the upcoming regulatory period (of usually five years), which it uses to set a revenue allowance for that period. The business makes higher profits if it reduces costs below those forecast by the regulator. In doing so, the business reveals the efficient costs of delivering the service, which would then influence the regulator’s determination in the next period. Accordingly, incentive regulation encourages efficiency while reducing the risks that networks use their monopoly positions to set unreasonably high prices.</w:t>
      </w:r>
      <w:r>
        <w:rPr>
          <w:rStyle w:val="FootnoteReference"/>
        </w:rPr>
        <w:footnoteReference w:id="29"/>
      </w:r>
    </w:p>
    <w:p w:rsidR="00451372" w:rsidRDefault="00F84441" w:rsidP="00F10051">
      <w:r>
        <w:t xml:space="preserve">Incentive regulation is </w:t>
      </w:r>
      <w:r w:rsidR="00BD1A20">
        <w:t xml:space="preserve">also </w:t>
      </w:r>
      <w:r>
        <w:t>used to</w:t>
      </w:r>
      <w:r w:rsidR="00C72D6C">
        <w:t xml:space="preserve"> at least partially overcome the information asymmetries between the </w:t>
      </w:r>
      <w:r w:rsidR="001C1EC7">
        <w:t>regulated business</w:t>
      </w:r>
      <w:r w:rsidR="00A14D4D">
        <w:t xml:space="preserve"> and us, the regulator</w:t>
      </w:r>
      <w:r w:rsidR="00C72D6C">
        <w:t>.</w:t>
      </w:r>
      <w:r w:rsidR="00BD1A20">
        <w:rPr>
          <w:rStyle w:val="FootnoteReference"/>
        </w:rPr>
        <w:footnoteReference w:id="30"/>
      </w:r>
      <w:r w:rsidR="00BD1A20">
        <w:t xml:space="preserve"> </w:t>
      </w:r>
      <w:r w:rsidR="00786253">
        <w:t>Comp</w:t>
      </w:r>
      <w:r w:rsidR="001C1EC7">
        <w:t>ared to the regulated business</w:t>
      </w:r>
      <w:r w:rsidR="00786253">
        <w:t xml:space="preserve">, </w:t>
      </w:r>
      <w:r w:rsidR="00A14D4D">
        <w:t>we are</w:t>
      </w:r>
      <w:r w:rsidR="00A22108">
        <w:t xml:space="preserve"> at an information disadvantage</w:t>
      </w:r>
      <w:r w:rsidR="00786253">
        <w:t xml:space="preserve"> to identify the business</w:t>
      </w:r>
      <w:r w:rsidR="00CF1C80">
        <w:t>'</w:t>
      </w:r>
      <w:r w:rsidR="00786253">
        <w:t xml:space="preserve"> </w:t>
      </w:r>
      <w:r w:rsidR="007A70E7">
        <w:t>true</w:t>
      </w:r>
      <w:r w:rsidR="00786253">
        <w:t xml:space="preserve"> efficient costs.</w:t>
      </w:r>
      <w:r w:rsidR="00DC5212">
        <w:t xml:space="preserve"> However, we need to make judgements about 'efficient' costs</w:t>
      </w:r>
      <w:r w:rsidR="00A14D4D" w:rsidRPr="00A14D4D">
        <w:t xml:space="preserve"> </w:t>
      </w:r>
      <w:r w:rsidR="00A14D4D">
        <w:t>as the regulator</w:t>
      </w:r>
      <w:r w:rsidR="00DC5212">
        <w:t>.</w:t>
      </w:r>
      <w:r w:rsidR="00DC5212">
        <w:rPr>
          <w:rStyle w:val="FootnoteReference"/>
        </w:rPr>
        <w:footnoteReference w:id="31"/>
      </w:r>
      <w:r w:rsidR="00DC5212">
        <w:t xml:space="preserve"> </w:t>
      </w:r>
    </w:p>
    <w:p w:rsidR="004321B4" w:rsidRDefault="004321B4" w:rsidP="00F10051">
      <w:r w:rsidRPr="001113FC">
        <w:t xml:space="preserve">The 'revealed cost approach' and </w:t>
      </w:r>
      <w:r w:rsidR="008F442B">
        <w:t xml:space="preserve">economic </w:t>
      </w:r>
      <w:r w:rsidRPr="001113FC">
        <w:t xml:space="preserve">benchmarking are </w:t>
      </w:r>
      <w:r>
        <w:t xml:space="preserve">the </w:t>
      </w:r>
      <w:r w:rsidRPr="001113FC">
        <w:t>two main tools</w:t>
      </w:r>
      <w:r>
        <w:t xml:space="preserve"> we use to </w:t>
      </w:r>
      <w:r w:rsidR="00F224AA">
        <w:t>overcome these limitations</w:t>
      </w:r>
      <w:r w:rsidRPr="001113FC">
        <w:t>.</w:t>
      </w:r>
    </w:p>
    <w:p w:rsidR="00D56EC4" w:rsidRDefault="004321B4" w:rsidP="00F10051">
      <w:r>
        <w:lastRenderedPageBreak/>
        <w:t>Under the revealed cost approach</w:t>
      </w:r>
      <w:r w:rsidR="00071B4F">
        <w:t xml:space="preserve">, we </w:t>
      </w:r>
      <w:r w:rsidR="00157197">
        <w:t xml:space="preserve">rely on </w:t>
      </w:r>
      <w:r w:rsidR="00C324EF">
        <w:t xml:space="preserve">a </w:t>
      </w:r>
      <w:r w:rsidR="00112EB7">
        <w:t xml:space="preserve">business' profit-maximising objective to incentivise </w:t>
      </w:r>
      <w:r w:rsidR="00C324EF">
        <w:t xml:space="preserve">it </w:t>
      </w:r>
      <w:r w:rsidR="00112EB7">
        <w:t xml:space="preserve">to 'reveal' </w:t>
      </w:r>
      <w:r w:rsidR="00C324EF">
        <w:t xml:space="preserve">its </w:t>
      </w:r>
      <w:r w:rsidR="00157197">
        <w:t>efficient costs.</w:t>
      </w:r>
      <w:r w:rsidR="002164BE">
        <w:t xml:space="preserve"> </w:t>
      </w:r>
      <w:r w:rsidR="00DC5212">
        <w:t xml:space="preserve">We </w:t>
      </w:r>
      <w:r w:rsidR="00C571E1">
        <w:t xml:space="preserve">then </w:t>
      </w:r>
      <w:r w:rsidR="00DC5212">
        <w:t xml:space="preserve">use the information revealed by the business </w:t>
      </w:r>
      <w:r w:rsidR="0088574D">
        <w:t xml:space="preserve">(i.e. </w:t>
      </w:r>
      <w:r w:rsidR="00C324EF">
        <w:t xml:space="preserve">its </w:t>
      </w:r>
      <w:r w:rsidR="0088574D">
        <w:t xml:space="preserve">actual costs) </w:t>
      </w:r>
      <w:r w:rsidR="00DC5212">
        <w:t xml:space="preserve">to develop better forecasts of efficient expenditure over time. </w:t>
      </w:r>
      <w:r w:rsidR="00D56EC4" w:rsidRPr="00D56EC4">
        <w:t>Revealed opex reflects the efficiency gains made by a business over time—while meeting existing regulations and safety and reliability standards. As the business becomes more efficient, this translates to lower forecast opex in future regulatory periods</w:t>
      </w:r>
      <w:r w:rsidR="001C1EC7">
        <w:t xml:space="preserve"> (all else equal)</w:t>
      </w:r>
      <w:r w:rsidR="00D56EC4" w:rsidRPr="00D56EC4">
        <w:t>, which means consumers receive the benefits of the efficiency gains made by the business.</w:t>
      </w:r>
      <w:r w:rsidR="00A14D4D">
        <w:t xml:space="preserve"> In this way incentive regulation aligns the business' commercial objectives with consumer interests.</w:t>
      </w:r>
    </w:p>
    <w:p w:rsidR="004321B4" w:rsidRDefault="004321B4" w:rsidP="00F10051">
      <w:r w:rsidRPr="00C31089">
        <w:t>Benchmarking a network business against others</w:t>
      </w:r>
      <w:r>
        <w:t xml:space="preserve"> in the National Electricity Market</w:t>
      </w:r>
      <w:r w:rsidRPr="00C31089">
        <w:t xml:space="preserve"> provides an indication of whether </w:t>
      </w:r>
      <w:r>
        <w:t xml:space="preserve">revealed opex can be adopted as </w:t>
      </w:r>
      <w:r w:rsidR="001C1EC7">
        <w:t>'</w:t>
      </w:r>
      <w:r>
        <w:t>base opex</w:t>
      </w:r>
      <w:r w:rsidR="001C1EC7">
        <w:t>' (section 7.4.2.1)</w:t>
      </w:r>
      <w:r>
        <w:t xml:space="preserve"> and,</w:t>
      </w:r>
      <w:r w:rsidRPr="00C31089">
        <w:t xml:space="preserve"> if not, what </w:t>
      </w:r>
      <w:r>
        <w:t xml:space="preserve">our alternative estimate of base opex </w:t>
      </w:r>
      <w:r w:rsidRPr="00C31089">
        <w:t>should be.</w:t>
      </w:r>
      <w:r>
        <w:t xml:space="preserve"> We may make a negative adjustment to the business’ revealed opex if we </w:t>
      </w:r>
      <w:r w:rsidR="008928F5">
        <w:t xml:space="preserve">find </w:t>
      </w:r>
      <w:r>
        <w:t xml:space="preserve">it is operating inefficiently. </w:t>
      </w:r>
    </w:p>
    <w:p w:rsidR="00157197" w:rsidRDefault="00157197" w:rsidP="00157197">
      <w:r>
        <w:t>I</w:t>
      </w:r>
      <w:r w:rsidR="00DB6A05">
        <w:t>n applying i</w:t>
      </w:r>
      <w:r>
        <w:t>ncentive regulation</w:t>
      </w:r>
      <w:r w:rsidR="00DB6A05">
        <w:t>, we</w:t>
      </w:r>
      <w:r w:rsidR="00DC5212">
        <w:t xml:space="preserve"> </w:t>
      </w:r>
      <w:r w:rsidR="00867849">
        <w:t>adopt</w:t>
      </w:r>
      <w:r w:rsidR="00DC5212">
        <w:t xml:space="preserve"> </w:t>
      </w:r>
      <w:r w:rsidR="00867849">
        <w:t xml:space="preserve">a </w:t>
      </w:r>
      <w:r w:rsidR="00DC5212">
        <w:t>'top-down' assessment approach</w:t>
      </w:r>
      <w:r>
        <w:t xml:space="preserve"> based on high-level outcomes</w:t>
      </w:r>
      <w:r w:rsidRPr="00F6149B">
        <w:t>.</w:t>
      </w:r>
      <w:r>
        <w:t xml:space="preserve"> </w:t>
      </w:r>
      <w:r w:rsidR="00844742" w:rsidRPr="00844742">
        <w:t>A top-down approach forecasts total opex at an aggregate level, rather than forecasting individual projects or categories in order to build a total opex forecast from the 'bottom up'.</w:t>
      </w:r>
      <w:r w:rsidR="00844742">
        <w:t xml:space="preserve"> </w:t>
      </w:r>
    </w:p>
    <w:p w:rsidR="00157197" w:rsidRDefault="00157197" w:rsidP="00F10051">
      <w:r>
        <w:t>We consider o</w:t>
      </w:r>
      <w:r w:rsidRPr="00C31089">
        <w:t xml:space="preserve">ur role is to allow the </w:t>
      </w:r>
      <w:r>
        <w:t xml:space="preserve">network </w:t>
      </w:r>
      <w:r w:rsidR="00375CA0" w:rsidRPr="00C31089">
        <w:t>business</w:t>
      </w:r>
      <w:r w:rsidR="00375CA0">
        <w:t xml:space="preserve">es </w:t>
      </w:r>
      <w:r w:rsidR="00375CA0" w:rsidRPr="00C31089">
        <w:t>the</w:t>
      </w:r>
      <w:r w:rsidRPr="00C31089">
        <w:t xml:space="preserve"> flexibility to manage </w:t>
      </w:r>
      <w:r>
        <w:t>their</w:t>
      </w:r>
      <w:r w:rsidRPr="00C31089">
        <w:t xml:space="preserve"> assets and labour as </w:t>
      </w:r>
      <w:r>
        <w:t>they see</w:t>
      </w:r>
      <w:r w:rsidRPr="00C31089">
        <w:t xml:space="preserve"> fit to achieve the </w:t>
      </w:r>
      <w:r>
        <w:t xml:space="preserve">opex objectives in </w:t>
      </w:r>
      <w:r w:rsidR="00867849">
        <w:t>the NER</w:t>
      </w:r>
      <w:r>
        <w:t>,</w:t>
      </w:r>
      <w:r w:rsidR="00472507">
        <w:rPr>
          <w:rStyle w:val="FootnoteReference"/>
        </w:rPr>
        <w:footnoteReference w:id="32"/>
      </w:r>
      <w:r>
        <w:t xml:space="preserve"> and more broadly, the National Electricity Objective (</w:t>
      </w:r>
      <w:r w:rsidRPr="00C31089">
        <w:t>NEO</w:t>
      </w:r>
      <w:r>
        <w:t>)</w:t>
      </w:r>
      <w:r w:rsidRPr="00C31089">
        <w:t>.</w:t>
      </w:r>
      <w:r w:rsidR="00D3159B">
        <w:rPr>
          <w:rStyle w:val="FootnoteReference"/>
        </w:rPr>
        <w:footnoteReference w:id="33"/>
      </w:r>
      <w:r w:rsidR="00DC5212">
        <w:t xml:space="preserve"> </w:t>
      </w:r>
      <w:r w:rsidR="002B506E">
        <w:t xml:space="preserve">Incentive regulation is </w:t>
      </w:r>
      <w:r w:rsidR="002B506E" w:rsidRPr="00F6149B">
        <w:t>designed to leave the day-to-day decisions to the network business</w:t>
      </w:r>
      <w:r w:rsidR="002B506E">
        <w:t>es.</w:t>
      </w:r>
      <w:r w:rsidR="002B506E">
        <w:rPr>
          <w:rStyle w:val="FootnoteReference"/>
        </w:rPr>
        <w:footnoteReference w:id="34"/>
      </w:r>
      <w:r w:rsidR="002B506E">
        <w:t xml:space="preserve"> </w:t>
      </w:r>
      <w:r w:rsidR="00867849">
        <w:t xml:space="preserve">This is consistent with </w:t>
      </w:r>
      <w:r w:rsidR="00472507">
        <w:t xml:space="preserve">the </w:t>
      </w:r>
      <w:r w:rsidR="00867849">
        <w:t>require</w:t>
      </w:r>
      <w:r w:rsidR="00472507">
        <w:t xml:space="preserve">ment that we </w:t>
      </w:r>
      <w:r w:rsidR="00867849">
        <w:t xml:space="preserve">consider whether </w:t>
      </w:r>
      <w:r w:rsidR="00867849" w:rsidRPr="001C1EC7">
        <w:rPr>
          <w:rStyle w:val="Emphasis"/>
        </w:rPr>
        <w:t>the total</w:t>
      </w:r>
      <w:r w:rsidR="00867849">
        <w:t xml:space="preserve"> of the forecast opex, and </w:t>
      </w:r>
      <w:r w:rsidR="00867849" w:rsidRPr="001C1EC7">
        <w:rPr>
          <w:rStyle w:val="Emphasis"/>
        </w:rPr>
        <w:t>not</w:t>
      </w:r>
      <w:r w:rsidR="00867849">
        <w:t xml:space="preserve"> the individual forecast opex components, reasonably reflects the opex criteria.</w:t>
      </w:r>
      <w:r w:rsidR="00867849">
        <w:rPr>
          <w:rStyle w:val="FootnoteReference"/>
        </w:rPr>
        <w:footnoteReference w:id="35"/>
      </w:r>
      <w:r w:rsidR="00867849">
        <w:t xml:space="preserve"> </w:t>
      </w:r>
    </w:p>
    <w:p w:rsidR="00F10051" w:rsidRDefault="00F10051" w:rsidP="00F10051">
      <w:r w:rsidRPr="00421C8F">
        <w:t xml:space="preserve">We do not determine what activities </w:t>
      </w:r>
      <w:r>
        <w:t>a</w:t>
      </w:r>
      <w:r w:rsidR="00DD5AEC">
        <w:t xml:space="preserve"> network business </w:t>
      </w:r>
      <w:r w:rsidRPr="00421C8F">
        <w:t>should undertake</w:t>
      </w:r>
      <w:r>
        <w:t xml:space="preserve"> or how much it should spend on particular categories of opex. </w:t>
      </w:r>
      <w:r w:rsidR="00DD5AEC">
        <w:t xml:space="preserve">This is not our role. </w:t>
      </w:r>
      <w:r>
        <w:t>As stated by the Productivity Commission:</w:t>
      </w:r>
    </w:p>
    <w:p w:rsidR="00F10051" w:rsidRDefault="00F10051" w:rsidP="00F10051">
      <w:pPr>
        <w:pStyle w:val="AERquote"/>
      </w:pPr>
      <w:r>
        <w:t xml:space="preserve">… </w:t>
      </w:r>
      <w:r w:rsidRPr="004D6F5D">
        <w:t xml:space="preserve">focus on detail is counter to the conceptual underpinnings of incentive regulation. The intention of the framework is to limit monopoly pricing </w:t>
      </w:r>
      <w:r>
        <w:t xml:space="preserve">… </w:t>
      </w:r>
      <w:r w:rsidRPr="004D6F5D">
        <w:t>while leaving it to businesses, not the regulator, to work out the minutiae of input and output decision-making in</w:t>
      </w:r>
      <w:r>
        <w:t xml:space="preserve"> </w:t>
      </w:r>
      <w:r w:rsidRPr="004D6F5D">
        <w:t>any given regulatory period.</w:t>
      </w:r>
      <w:r>
        <w:rPr>
          <w:rStyle w:val="FootnoteReference"/>
        </w:rPr>
        <w:footnoteReference w:id="36"/>
      </w:r>
    </w:p>
    <w:p w:rsidR="00AF4207" w:rsidRDefault="00F10051" w:rsidP="00F10051">
      <w:r>
        <w:t>T</w:t>
      </w:r>
      <w:r w:rsidRPr="00722387">
        <w:t xml:space="preserve">he revenue allowance </w:t>
      </w:r>
      <w:r w:rsidR="00B87474">
        <w:t xml:space="preserve">that we </w:t>
      </w:r>
      <w:r w:rsidRPr="00722387">
        <w:t xml:space="preserve">determine does not set </w:t>
      </w:r>
      <w:r w:rsidR="00966A5A">
        <w:t>the business'</w:t>
      </w:r>
      <w:r w:rsidRPr="00722387">
        <w:t xml:space="preserve"> actual operating budget over the regulatory control period.</w:t>
      </w:r>
      <w:r>
        <w:t xml:space="preserve"> Rather, it is our forecast of the efficient costs for operating the network over that time.</w:t>
      </w:r>
      <w:r w:rsidRPr="00722387">
        <w:t xml:space="preserve"> </w:t>
      </w:r>
      <w:r w:rsidR="00966A5A">
        <w:t xml:space="preserve">The </w:t>
      </w:r>
      <w:r w:rsidR="00A1627A">
        <w:t>service provider</w:t>
      </w:r>
      <w:r w:rsidRPr="00722387">
        <w:t xml:space="preserve"> is </w:t>
      </w:r>
      <w:r>
        <w:t>free</w:t>
      </w:r>
      <w:r w:rsidRPr="00722387">
        <w:t xml:space="preserve"> to run its business as it sees fit—in the best interest</w:t>
      </w:r>
      <w:r>
        <w:t>s</w:t>
      </w:r>
      <w:r w:rsidRPr="00722387">
        <w:t xml:space="preserve"> of its shareholders.</w:t>
      </w:r>
      <w:r w:rsidR="00BD58EA">
        <w:t xml:space="preserve"> </w:t>
      </w:r>
      <w:r w:rsidR="00966A5A">
        <w:t>Where o</w:t>
      </w:r>
      <w:r w:rsidR="0097680B">
        <w:t>ur decision reject</w:t>
      </w:r>
      <w:r w:rsidR="00966A5A">
        <w:t>s</w:t>
      </w:r>
      <w:r w:rsidR="0097680B">
        <w:t xml:space="preserve"> </w:t>
      </w:r>
      <w:r w:rsidR="00BD58EA">
        <w:t>a</w:t>
      </w:r>
      <w:r w:rsidR="0091100D">
        <w:t xml:space="preserve">n </w:t>
      </w:r>
      <w:r w:rsidR="0091100D">
        <w:lastRenderedPageBreak/>
        <w:t>additional</w:t>
      </w:r>
      <w:r w:rsidR="00BD58EA">
        <w:t xml:space="preserve"> 'step up' in a business' revenue allowance for a proposed new opex activity</w:t>
      </w:r>
      <w:r w:rsidR="00966A5A">
        <w:t>,</w:t>
      </w:r>
      <w:r w:rsidR="002B506E">
        <w:t xml:space="preserve"> </w:t>
      </w:r>
      <w:r w:rsidR="00966A5A">
        <w:t>this</w:t>
      </w:r>
      <w:r w:rsidR="00674A65">
        <w:t xml:space="preserve"> does not necessarily mean that</w:t>
      </w:r>
      <w:r w:rsidR="00BD58EA">
        <w:t xml:space="preserve"> </w:t>
      </w:r>
      <w:r w:rsidR="00492134">
        <w:t>it would b</w:t>
      </w:r>
      <w:r w:rsidR="00A331C0">
        <w:t>e</w:t>
      </w:r>
      <w:r w:rsidR="00492134">
        <w:t xml:space="preserve"> inefficient and imprudent for the </w:t>
      </w:r>
      <w:r w:rsidR="00BD58EA">
        <w:t xml:space="preserve">business </w:t>
      </w:r>
      <w:r w:rsidR="00492134">
        <w:t xml:space="preserve">to </w:t>
      </w:r>
      <w:r w:rsidR="00BD58EA">
        <w:t xml:space="preserve">undertake that activity. </w:t>
      </w:r>
      <w:r w:rsidR="00EF29FB">
        <w:t xml:space="preserve">Our </w:t>
      </w:r>
      <w:r w:rsidR="006B3CBF">
        <w:t xml:space="preserve">decision does not necessarily </w:t>
      </w:r>
      <w:r w:rsidR="00AF4207">
        <w:t xml:space="preserve">determine whether </w:t>
      </w:r>
      <w:r w:rsidR="006A3EBD">
        <w:t xml:space="preserve">each individual opex activity </w:t>
      </w:r>
      <w:r w:rsidR="00FD1851">
        <w:t xml:space="preserve">proposed </w:t>
      </w:r>
      <w:r w:rsidR="006A3EBD">
        <w:t xml:space="preserve">by the business is </w:t>
      </w:r>
      <w:r w:rsidR="00AF4207">
        <w:t>efficient and prudent</w:t>
      </w:r>
      <w:r w:rsidR="00477935">
        <w:t>. R</w:t>
      </w:r>
      <w:r w:rsidR="00EF29FB">
        <w:t>ather</w:t>
      </w:r>
      <w:r w:rsidR="009F0E1B">
        <w:t>,</w:t>
      </w:r>
      <w:r w:rsidR="00EF29FB">
        <w:t xml:space="preserve"> </w:t>
      </w:r>
      <w:r w:rsidR="003C777F">
        <w:t>our decision reflects</w:t>
      </w:r>
      <w:r w:rsidR="00477935">
        <w:t xml:space="preserve"> </w:t>
      </w:r>
      <w:r w:rsidR="00EF29FB">
        <w:t xml:space="preserve">our expectation of </w:t>
      </w:r>
      <w:r w:rsidR="00931711">
        <w:t xml:space="preserve">the </w:t>
      </w:r>
      <w:r w:rsidR="0091100D">
        <w:t xml:space="preserve">total opex </w:t>
      </w:r>
      <w:r w:rsidR="00931711">
        <w:t xml:space="preserve">required </w:t>
      </w:r>
      <w:r w:rsidR="00477935">
        <w:t xml:space="preserve">in the forecast period </w:t>
      </w:r>
      <w:r w:rsidR="00931711">
        <w:t xml:space="preserve">for </w:t>
      </w:r>
      <w:r w:rsidR="00A1627A">
        <w:t xml:space="preserve">the business </w:t>
      </w:r>
      <w:r w:rsidR="00EF29FB">
        <w:t xml:space="preserve">to operate the network </w:t>
      </w:r>
      <w:r w:rsidR="00931711">
        <w:t xml:space="preserve">and satisfy </w:t>
      </w:r>
      <w:r w:rsidR="0091100D">
        <w:t xml:space="preserve">all </w:t>
      </w:r>
      <w:r w:rsidR="00931711">
        <w:t>applicable regulatory obligations</w:t>
      </w:r>
      <w:r w:rsidR="00477935">
        <w:t>.</w:t>
      </w:r>
    </w:p>
    <w:p w:rsidR="00BD6A41" w:rsidRDefault="00EB0DF2" w:rsidP="00BD6A41">
      <w:r>
        <w:t xml:space="preserve">This </w:t>
      </w:r>
      <w:r w:rsidR="00DF7BB0">
        <w:t xml:space="preserve">view of our role as the economic regulator </w:t>
      </w:r>
      <w:r>
        <w:t>is supported by t</w:t>
      </w:r>
      <w:r w:rsidR="00BD6A41">
        <w:t xml:space="preserve">he Australian Energy Market Commission </w:t>
      </w:r>
      <w:r w:rsidR="00C571E1">
        <w:t>(AEMC)</w:t>
      </w:r>
      <w:r>
        <w:t xml:space="preserve">, which </w:t>
      </w:r>
      <w:r w:rsidR="00BD6A41">
        <w:t>states:</w:t>
      </w:r>
    </w:p>
    <w:p w:rsidR="00BD6A41" w:rsidRDefault="00C571E1" w:rsidP="00EB0DF2">
      <w:pPr>
        <w:pStyle w:val="AERquote"/>
      </w:pPr>
      <w:r w:rsidRPr="00C571E1">
        <w:t xml:space="preserve">The key feature of economic regulation of </w:t>
      </w:r>
      <w:r w:rsidR="00EB0DF2">
        <w:t>[distribution network service providers]</w:t>
      </w:r>
      <w:r w:rsidRPr="00C571E1">
        <w:t xml:space="preserve"> in the NEM is that it is based on</w:t>
      </w:r>
      <w:r>
        <w:t xml:space="preserve"> </w:t>
      </w:r>
      <w:r w:rsidRPr="00C571E1">
        <w:t>incentives rather than prescription.</w:t>
      </w:r>
      <w:r w:rsidR="00A1627A">
        <w:t xml:space="preserve"> …</w:t>
      </w:r>
    </w:p>
    <w:p w:rsidR="00C571E1" w:rsidRDefault="00EB0DF2" w:rsidP="00EB0DF2">
      <w:pPr>
        <w:pStyle w:val="AERquote"/>
      </w:pPr>
      <w:r w:rsidRPr="00EB0DF2">
        <w:t xml:space="preserve">Importantly, under </w:t>
      </w:r>
      <w:r>
        <w:t>[incentive-based regulation]</w:t>
      </w:r>
      <w:r w:rsidRPr="00EB0DF2">
        <w:t xml:space="preserve">, funding is not approved for </w:t>
      </w:r>
      <w:r>
        <w:t xml:space="preserve">[distribution network service providers'] </w:t>
      </w:r>
      <w:r w:rsidRPr="00EB0DF2">
        <w:t>specific projects</w:t>
      </w:r>
      <w:r>
        <w:t xml:space="preserve"> </w:t>
      </w:r>
      <w:r w:rsidRPr="00EB0DF2">
        <w:t>or programs. Rather, a total revenue requirement is set, which is based on forecasts of</w:t>
      </w:r>
      <w:r>
        <w:t xml:space="preserve"> </w:t>
      </w:r>
      <w:r w:rsidRPr="00EB0DF2">
        <w:t xml:space="preserve">total efficient expenditure. Once a total revenue is set, it is for the </w:t>
      </w:r>
      <w:r>
        <w:t xml:space="preserve">[business] </w:t>
      </w:r>
      <w:r w:rsidRPr="00EB0DF2">
        <w:t>to decide</w:t>
      </w:r>
      <w:r>
        <w:t xml:space="preserve"> </w:t>
      </w:r>
      <w:r w:rsidRPr="00EB0DF2">
        <w:t>which suite of projects and programs are required to deliver services to consumers</w:t>
      </w:r>
      <w:r>
        <w:t xml:space="preserve"> </w:t>
      </w:r>
      <w:r w:rsidRPr="00EB0DF2">
        <w:t>while meeting its regulatory obligations.</w:t>
      </w:r>
      <w:r w:rsidR="001321F2">
        <w:t xml:space="preserve"> …</w:t>
      </w:r>
      <w:r w:rsidR="002946A0">
        <w:rPr>
          <w:rStyle w:val="FootnoteReference"/>
        </w:rPr>
        <w:footnoteReference w:id="37"/>
      </w:r>
    </w:p>
    <w:p w:rsidR="003F6C9F" w:rsidRDefault="003F6C9F" w:rsidP="00A264A4">
      <w:pPr>
        <w:pStyle w:val="Heading3"/>
      </w:pPr>
      <w:bookmarkStart w:id="22" w:name="_Toc480809645"/>
      <w:r>
        <w:t>Base</w:t>
      </w:r>
      <w:r w:rsidR="00536E8B">
        <w:t>–</w:t>
      </w:r>
      <w:r>
        <w:t>step</w:t>
      </w:r>
      <w:r w:rsidR="00536E8B">
        <w:t>–</w:t>
      </w:r>
      <w:r>
        <w:t>trend</w:t>
      </w:r>
      <w:r w:rsidR="00A264A4">
        <w:t xml:space="preserve"> forecasting approach</w:t>
      </w:r>
      <w:bookmarkEnd w:id="20"/>
      <w:bookmarkEnd w:id="22"/>
      <w:r w:rsidR="00A264A4">
        <w:t xml:space="preserve"> </w:t>
      </w:r>
    </w:p>
    <w:p w:rsidR="00D56EC4" w:rsidRDefault="00D56EC4" w:rsidP="00D56EC4">
      <w:bookmarkStart w:id="23" w:name="_Toc403144140"/>
      <w:r>
        <w:t>As noted, we develop our own estimate of the business' total opex requirements in the forthcoming regulatory period</w:t>
      </w:r>
      <w:r w:rsidRPr="009D5FE8">
        <w:t xml:space="preserve"> </w:t>
      </w:r>
      <w:r>
        <w:t xml:space="preserve">when assessing a </w:t>
      </w:r>
      <w:r w:rsidR="00A1627A">
        <w:t xml:space="preserve">network </w:t>
      </w:r>
      <w:r>
        <w:t xml:space="preserve">business' opex proposal. We apply the </w:t>
      </w:r>
      <w:r w:rsidR="00536E8B">
        <w:t>base–</w:t>
      </w:r>
      <w:r w:rsidR="0088574D">
        <w:t>step</w:t>
      </w:r>
      <w:r w:rsidR="00536E8B">
        <w:t>–</w:t>
      </w:r>
      <w:r w:rsidR="0088574D">
        <w:t>trend</w:t>
      </w:r>
      <w:r w:rsidRPr="00C31089">
        <w:t xml:space="preserve"> forecasting </w:t>
      </w:r>
      <w:r>
        <w:t>approach—a top-down model—to develop our alternative estimate.</w:t>
      </w:r>
    </w:p>
    <w:p w:rsidR="00D56EC4" w:rsidRDefault="00D56EC4" w:rsidP="00625AD0">
      <w:r>
        <w:t>There are three broad stages t</w:t>
      </w:r>
      <w:r w:rsidR="00536E8B">
        <w:t>o the base–</w:t>
      </w:r>
      <w:r>
        <w:t>step</w:t>
      </w:r>
      <w:r w:rsidR="00536E8B">
        <w:t>–</w:t>
      </w:r>
      <w:r>
        <w:t>trend approach</w:t>
      </w:r>
      <w:r w:rsidR="005A62C7">
        <w:t xml:space="preserve">, as summarised in </w:t>
      </w:r>
      <w:r w:rsidR="00EE3368">
        <w:t>F</w:t>
      </w:r>
      <w:r w:rsidR="00EE3D2D">
        <w:t>igure 7.3</w:t>
      </w:r>
      <w:r w:rsidR="005A62C7">
        <w:t>.</w:t>
      </w:r>
    </w:p>
    <w:p w:rsidR="0016210A" w:rsidRDefault="0016210A" w:rsidP="005A62C7">
      <w:pPr>
        <w:pStyle w:val="Caption"/>
      </w:pPr>
      <w:r w:rsidRPr="0016210A">
        <w:lastRenderedPageBreak/>
        <w:t>Figure 7.</w:t>
      </w:r>
      <w:r w:rsidR="00EE3D2D">
        <w:t>3</w:t>
      </w:r>
      <w:r w:rsidRPr="0016210A">
        <w:tab/>
      </w:r>
      <w:r>
        <w:t xml:space="preserve">Our opex assessment approach </w:t>
      </w:r>
    </w:p>
    <w:p w:rsidR="0016210A" w:rsidRDefault="007554A8" w:rsidP="00D56EC4">
      <w:r w:rsidRPr="007554A8">
        <w:rPr>
          <w:noProof/>
          <w:lang w:eastAsia="en-AU"/>
        </w:rPr>
        <w:drawing>
          <wp:inline distT="0" distB="0" distL="0" distR="0" wp14:anchorId="456E082E" wp14:editId="293C9D43">
            <wp:extent cx="5382895" cy="602549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6025495"/>
                    </a:xfrm>
                    <a:prstGeom prst="rect">
                      <a:avLst/>
                    </a:prstGeom>
                    <a:noFill/>
                    <a:ln>
                      <a:noFill/>
                    </a:ln>
                  </pic:spPr>
                </pic:pic>
              </a:graphicData>
            </a:graphic>
          </wp:inline>
        </w:drawing>
      </w:r>
    </w:p>
    <w:p w:rsidR="00B4061C" w:rsidRDefault="00B4061C">
      <w:pPr>
        <w:spacing w:line="240" w:lineRule="auto"/>
        <w:rPr>
          <w:rFonts w:eastAsiaTheme="majorEastAsia" w:cstheme="majorBidi"/>
          <w:b/>
          <w:bCs/>
          <w:iCs/>
          <w:color w:val="51626F"/>
          <w:sz w:val="24"/>
        </w:rPr>
      </w:pPr>
      <w:r>
        <w:br w:type="page"/>
      </w:r>
    </w:p>
    <w:p w:rsidR="00D56EC4" w:rsidRDefault="00D56EC4" w:rsidP="00D56EC4">
      <w:pPr>
        <w:pStyle w:val="Heading4"/>
      </w:pPr>
      <w:bookmarkStart w:id="24" w:name="_Toc480809646"/>
      <w:r>
        <w:lastRenderedPageBreak/>
        <w:t>Base opex</w:t>
      </w:r>
      <w:bookmarkEnd w:id="24"/>
    </w:p>
    <w:p w:rsidR="00D56EC4" w:rsidRDefault="001967CF" w:rsidP="00D56EC4">
      <w:r>
        <w:t xml:space="preserve">If we </w:t>
      </w:r>
      <w:r w:rsidR="008928F5">
        <w:t xml:space="preserve">find </w:t>
      </w:r>
      <w:r>
        <w:t>the business is operating efficiently</w:t>
      </w:r>
      <w:r w:rsidR="00D56EC4">
        <w:t xml:space="preserve">, </w:t>
      </w:r>
      <w:r w:rsidR="003C777F">
        <w:t xml:space="preserve">our preferred methodology is to </w:t>
      </w:r>
      <w:r w:rsidR="00D56EC4" w:rsidRPr="00C31089">
        <w:t xml:space="preserve">use the business' historical </w:t>
      </w:r>
      <w:r w:rsidR="00D56EC4">
        <w:t xml:space="preserve">or 'revealed' </w:t>
      </w:r>
      <w:r w:rsidR="00D56EC4" w:rsidRPr="00C31089">
        <w:t xml:space="preserve">costs in a recent year as a starting point for our </w:t>
      </w:r>
      <w:r w:rsidR="00D56EC4">
        <w:t xml:space="preserve">opex </w:t>
      </w:r>
      <w:r w:rsidR="00D56EC4" w:rsidRPr="00C31089">
        <w:t>fore</w:t>
      </w:r>
      <w:r w:rsidR="00D56EC4">
        <w:t>cast.</w:t>
      </w:r>
    </w:p>
    <w:p w:rsidR="00D56EC4" w:rsidRDefault="00D56EC4" w:rsidP="00D56EC4">
      <w:r>
        <w:t>W</w:t>
      </w:r>
      <w:r w:rsidRPr="00827D31">
        <w:t xml:space="preserve">e </w:t>
      </w:r>
      <w:r>
        <w:t xml:space="preserve">do not </w:t>
      </w:r>
      <w:r w:rsidRPr="00827D31">
        <w:t xml:space="preserve">simply assume </w:t>
      </w:r>
      <w:r>
        <w:t>the business' revealed opex</w:t>
      </w:r>
      <w:r w:rsidRPr="00827D31">
        <w:t xml:space="preserve"> is efficient. </w:t>
      </w:r>
      <w:r>
        <w:t>It may include an ongoing level of inefficient expenditure. W</w:t>
      </w:r>
      <w:r w:rsidRPr="00827D31">
        <w:t xml:space="preserve">e use </w:t>
      </w:r>
      <w:r>
        <w:t xml:space="preserve">our </w:t>
      </w:r>
      <w:r w:rsidRPr="00C31089">
        <w:t>benchmarking results</w:t>
      </w:r>
      <w:r>
        <w:rPr>
          <w:rStyle w:val="FootnoteReference"/>
        </w:rPr>
        <w:footnoteReference w:id="38"/>
      </w:r>
      <w:r w:rsidRPr="00C31089">
        <w:t xml:space="preserve"> </w:t>
      </w:r>
      <w:r>
        <w:t>to test</w:t>
      </w:r>
      <w:r w:rsidRPr="00C31089">
        <w:t xml:space="preserve"> whether the business is operating efficiently.</w:t>
      </w:r>
    </w:p>
    <w:p w:rsidR="008F5DD1" w:rsidRDefault="00D56EC4" w:rsidP="00D56EC4">
      <w:r w:rsidRPr="00360677">
        <w:t xml:space="preserve">We consider revealed opex in </w:t>
      </w:r>
      <w:r w:rsidR="00E7240F">
        <w:t xml:space="preserve">the base year </w:t>
      </w:r>
      <w:r w:rsidRPr="00360677">
        <w:t xml:space="preserve">is generally a good indicator of opex requirements </w:t>
      </w:r>
      <w:r w:rsidR="00E7240F">
        <w:t xml:space="preserve">over </w:t>
      </w:r>
      <w:r w:rsidRPr="00360677">
        <w:t>the next period</w:t>
      </w:r>
      <w:r w:rsidR="001967CF">
        <w:t xml:space="preserve"> because </w:t>
      </w:r>
      <w:r w:rsidR="00E7240F">
        <w:t xml:space="preserve">the level of </w:t>
      </w:r>
      <w:r w:rsidRPr="00A1627A">
        <w:rPr>
          <w:rStyle w:val="Emphasis"/>
        </w:rPr>
        <w:t xml:space="preserve">total opex </w:t>
      </w:r>
      <w:r w:rsidRPr="00360677">
        <w:t xml:space="preserve">is </w:t>
      </w:r>
      <w:r w:rsidR="00E7240F">
        <w:t>rela</w:t>
      </w:r>
      <w:r w:rsidR="00D16FA3">
        <w:t>tively stable from year-to-year. This reflects</w:t>
      </w:r>
      <w:r w:rsidR="00E7240F">
        <w:t xml:space="preserve"> the broadly </w:t>
      </w:r>
      <w:r w:rsidR="002204F1">
        <w:t xml:space="preserve">predictable and </w:t>
      </w:r>
      <w:r w:rsidR="00E7240F">
        <w:t>recurrent nature of opex</w:t>
      </w:r>
      <w:r>
        <w:t xml:space="preserve">. </w:t>
      </w:r>
    </w:p>
    <w:p w:rsidR="00D16FA3" w:rsidRDefault="00050E19" w:rsidP="00D56EC4">
      <w:r>
        <w:t xml:space="preserve">A business may experience fluctuations in </w:t>
      </w:r>
      <w:r w:rsidR="00D16FA3">
        <w:t>particular categories of</w:t>
      </w:r>
      <w:r w:rsidR="00A86945">
        <w:t xml:space="preserve"> </w:t>
      </w:r>
      <w:r>
        <w:t>opex</w:t>
      </w:r>
      <w:r w:rsidR="00D16FA3">
        <w:t>,</w:t>
      </w:r>
      <w:r>
        <w:t xml:space="preserve"> </w:t>
      </w:r>
      <w:r w:rsidR="00D16FA3">
        <w:t xml:space="preserve">and the composition of total opex can change, </w:t>
      </w:r>
      <w:r>
        <w:t xml:space="preserve">from year-to-year. </w:t>
      </w:r>
      <w:r w:rsidR="00D56EC4">
        <w:t xml:space="preserve">While many operation and maintenance </w:t>
      </w:r>
      <w:r>
        <w:t xml:space="preserve">activities </w:t>
      </w:r>
      <w:r w:rsidR="00D56EC4">
        <w:t xml:space="preserve">are recurrent </w:t>
      </w:r>
      <w:r w:rsidR="00D16FA3">
        <w:t>and non-volatile</w:t>
      </w:r>
      <w:r w:rsidR="00D56EC4">
        <w:t>, some opex projects follow periodic cycles that may or may not occur in any given year</w:t>
      </w:r>
      <w:r w:rsidR="00D16FA3">
        <w:t>,</w:t>
      </w:r>
      <w:r w:rsidR="00D56EC4">
        <w:t xml:space="preserve"> and some</w:t>
      </w:r>
      <w:r w:rsidR="002A59AE">
        <w:t xml:space="preserve"> </w:t>
      </w:r>
      <w:r w:rsidR="00D16FA3">
        <w:t xml:space="preserve">opex projects </w:t>
      </w:r>
      <w:r w:rsidR="00D56EC4">
        <w:t>are non-recurrent.</w:t>
      </w:r>
    </w:p>
    <w:p w:rsidR="00D56EC4" w:rsidRDefault="00184F6E" w:rsidP="00D56EC4">
      <w:r>
        <w:t>E</w:t>
      </w:r>
      <w:r w:rsidR="00A86945">
        <w:t>ven</w:t>
      </w:r>
      <w:r w:rsidR="00D56EC4">
        <w:t xml:space="preserve"> if disaggregated opex categories have high volatility, the total opex varies to a lesser extent because new or increasing components of opex are generally offset by decreasing costs or discontinued opex projects. </w:t>
      </w:r>
      <w:r w:rsidR="008F5DD1">
        <w:t>Further</w:t>
      </w:r>
      <w:r w:rsidR="002B506E">
        <w:t>, w</w:t>
      </w:r>
      <w:r w:rsidR="00D56EC4">
        <w:t>e</w:t>
      </w:r>
      <w:r w:rsidR="00D56EC4" w:rsidRPr="00E700D4">
        <w:t xml:space="preserve"> expect the </w:t>
      </w:r>
      <w:r w:rsidR="00D56EC4">
        <w:t>regulated business</w:t>
      </w:r>
      <w:r w:rsidR="00D56EC4" w:rsidRPr="00E700D4">
        <w:t xml:space="preserve"> to manage the inevitable 'ups and downs' in the components of opex from year-to-year—to the extent they do not offset each other—by continually re-prioritising its work program, as would be expected in a </w:t>
      </w:r>
      <w:r w:rsidR="00D56EC4">
        <w:t>competitive market.</w:t>
      </w:r>
    </w:p>
    <w:p w:rsidR="00D56EC4" w:rsidRPr="00D1210B" w:rsidRDefault="00A86945" w:rsidP="00866E29">
      <w:pPr>
        <w:rPr>
          <w:rStyle w:val="AERbody"/>
        </w:rPr>
      </w:pPr>
      <w:r w:rsidRPr="00D1210B">
        <w:rPr>
          <w:rStyle w:val="AERbody"/>
        </w:rPr>
        <w:t>We</w:t>
      </w:r>
      <w:r w:rsidR="002B6803" w:rsidRPr="00D1210B">
        <w:rPr>
          <w:rStyle w:val="AERbody"/>
        </w:rPr>
        <w:t xml:space="preserve"> a</w:t>
      </w:r>
      <w:r w:rsidR="00D36C5E" w:rsidRPr="00D1210B">
        <w:rPr>
          <w:rStyle w:val="AERbody"/>
        </w:rPr>
        <w:t>lso</w:t>
      </w:r>
      <w:r w:rsidR="002B6803" w:rsidRPr="00D1210B">
        <w:rPr>
          <w:rStyle w:val="AERbody"/>
        </w:rPr>
        <w:t xml:space="preserve"> note that</w:t>
      </w:r>
      <w:r w:rsidR="00D36C5E" w:rsidRPr="00D1210B">
        <w:rPr>
          <w:rStyle w:val="AERbody"/>
        </w:rPr>
        <w:t xml:space="preserve"> </w:t>
      </w:r>
      <w:r w:rsidRPr="00D1210B">
        <w:rPr>
          <w:rStyle w:val="AERbody"/>
        </w:rPr>
        <w:t xml:space="preserve">any </w:t>
      </w:r>
      <w:r w:rsidR="00D36C5E" w:rsidRPr="00D1210B">
        <w:rPr>
          <w:rStyle w:val="AERbody"/>
        </w:rPr>
        <w:t>v</w:t>
      </w:r>
      <w:r w:rsidR="00D56EC4" w:rsidRPr="00D1210B">
        <w:rPr>
          <w:rStyle w:val="AERbody"/>
        </w:rPr>
        <w:t xml:space="preserve">olatility of total opex from year-to-year does not typically impact our </w:t>
      </w:r>
      <w:r w:rsidRPr="00D1210B">
        <w:rPr>
          <w:rStyle w:val="AERbody"/>
        </w:rPr>
        <w:t xml:space="preserve">choice of the appropriate </w:t>
      </w:r>
      <w:r w:rsidR="00D56EC4" w:rsidRPr="00D1210B">
        <w:rPr>
          <w:rStyle w:val="AERbody"/>
        </w:rPr>
        <w:t>base year</w:t>
      </w:r>
      <w:r w:rsidR="003C777F" w:rsidRPr="00D1210B">
        <w:rPr>
          <w:rStyle w:val="AERbody"/>
        </w:rPr>
        <w:t>.</w:t>
      </w:r>
      <w:r w:rsidR="00D56EC4" w:rsidRPr="00D1210B">
        <w:rPr>
          <w:rStyle w:val="AERbody"/>
        </w:rPr>
        <w:t xml:space="preserve"> A consequence of the operation of the EBSS is that the forecast opex allowance (including EBSS rewards and penalties) is largely uninfluenced by the choice of base year, as explained in </w:t>
      </w:r>
      <w:r w:rsidR="005F3A7A" w:rsidRPr="00D1210B">
        <w:rPr>
          <w:rStyle w:val="AERbody"/>
        </w:rPr>
        <w:fldChar w:fldCharType="begin"/>
      </w:r>
      <w:r w:rsidR="005F3A7A" w:rsidRPr="00D1210B">
        <w:rPr>
          <w:rStyle w:val="AERbody"/>
        </w:rPr>
        <w:instrText xml:space="preserve"> REF  _Ref473121148 \* Lower \h </w:instrText>
      </w:r>
      <w:r w:rsidR="00184F6E">
        <w:rPr>
          <w:rStyle w:val="AERbody"/>
        </w:rPr>
        <w:instrText xml:space="preserve"> \* MERGEFORMAT </w:instrText>
      </w:r>
      <w:r w:rsidR="005F3A7A" w:rsidRPr="00D1210B">
        <w:rPr>
          <w:rStyle w:val="AERbody"/>
        </w:rPr>
      </w:r>
      <w:r w:rsidR="005F3A7A" w:rsidRPr="00D1210B">
        <w:rPr>
          <w:rStyle w:val="AERbody"/>
        </w:rPr>
        <w:fldChar w:fldCharType="separate"/>
      </w:r>
      <w:r w:rsidR="00625AD0">
        <w:rPr>
          <w:rStyle w:val="AERbody"/>
        </w:rPr>
        <w:t>B</w:t>
      </w:r>
      <w:r w:rsidR="003042CF" w:rsidRPr="003042CF">
        <w:rPr>
          <w:rStyle w:val="AERbody"/>
        </w:rPr>
        <w:t>ox 7.1</w:t>
      </w:r>
      <w:r w:rsidR="005F3A7A" w:rsidRPr="00D1210B">
        <w:rPr>
          <w:rStyle w:val="AERbody"/>
        </w:rPr>
        <w:fldChar w:fldCharType="end"/>
      </w:r>
      <w:r w:rsidR="00D56EC4" w:rsidRPr="00D1210B">
        <w:rPr>
          <w:rStyle w:val="AERbody"/>
        </w:rPr>
        <w:t>.</w:t>
      </w:r>
    </w:p>
    <w:p w:rsidR="00F151F6" w:rsidRDefault="00F151F6">
      <w:pPr>
        <w:spacing w:line="240" w:lineRule="auto"/>
      </w:pPr>
      <w:r>
        <w:br w:type="page"/>
      </w:r>
    </w:p>
    <w:p w:rsidR="00D56EC4" w:rsidRPr="005E773D" w:rsidRDefault="00D56EC4" w:rsidP="005E773D">
      <w:pPr>
        <w:pStyle w:val="Caption"/>
      </w:pPr>
      <w:bookmarkStart w:id="25" w:name="_Ref473121148"/>
      <w:r w:rsidRPr="005E773D">
        <w:lastRenderedPageBreak/>
        <w:t xml:space="preserve">Box </w:t>
      </w:r>
      <w:fldSimple w:instr=" STYLEREF 1 \s ">
        <w:r w:rsidR="003042CF">
          <w:rPr>
            <w:noProof/>
          </w:rPr>
          <w:t>7</w:t>
        </w:r>
      </w:fldSimple>
      <w:r w:rsidRPr="005E773D">
        <w:t>.</w:t>
      </w:r>
      <w:fldSimple w:instr=" SEQ Box \* ARABIC \s 1 ">
        <w:r w:rsidR="003042CF">
          <w:rPr>
            <w:noProof/>
          </w:rPr>
          <w:t>1</w:t>
        </w:r>
      </w:fldSimple>
      <w:bookmarkEnd w:id="25"/>
      <w:r w:rsidRPr="005E773D">
        <w:t xml:space="preserve"> </w:t>
      </w:r>
      <w:r w:rsidR="00D16FA3" w:rsidRPr="005E773D">
        <w:t xml:space="preserve">Selection of the base year and </w:t>
      </w:r>
      <w:r w:rsidRPr="005E773D">
        <w:t>role of the EBSS</w:t>
      </w:r>
    </w:p>
    <w:tbl>
      <w:tblPr>
        <w:tblStyle w:val="TableGrid"/>
        <w:tblW w:w="0" w:type="auto"/>
        <w:tblBorders>
          <w:top w:val="single" w:sz="4" w:space="0" w:color="076A92" w:themeColor="text1"/>
          <w:left w:val="single" w:sz="4" w:space="0" w:color="076A92" w:themeColor="text1"/>
          <w:bottom w:val="single" w:sz="4" w:space="0" w:color="076A92" w:themeColor="text1"/>
          <w:right w:val="single" w:sz="4" w:space="0" w:color="076A92" w:themeColor="text1"/>
          <w:insideH w:val="single" w:sz="4" w:space="0" w:color="076A92" w:themeColor="text1"/>
          <w:insideV w:val="single" w:sz="4" w:space="0" w:color="076A92" w:themeColor="text1"/>
        </w:tblBorders>
        <w:tblLook w:val="04A0" w:firstRow="1" w:lastRow="0" w:firstColumn="1" w:lastColumn="0" w:noHBand="0" w:noVBand="1"/>
      </w:tblPr>
      <w:tblGrid>
        <w:gridCol w:w="8693"/>
      </w:tblGrid>
      <w:tr w:rsidR="004B4E9C" w:rsidRPr="004B4E9C" w:rsidTr="005A6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B4E9C" w:rsidRPr="005A62C7" w:rsidRDefault="004B4E9C" w:rsidP="005A62C7">
            <w:pPr>
              <w:pStyle w:val="AERtabletextleft"/>
              <w:rPr>
                <w:rStyle w:val="Strong"/>
              </w:rPr>
            </w:pPr>
            <w:r w:rsidRPr="005A62C7">
              <w:rPr>
                <w:rStyle w:val="Strong"/>
              </w:rPr>
              <w:t xml:space="preserve">The selection of the base year </w:t>
            </w:r>
            <w:r w:rsidR="005F3169">
              <w:rPr>
                <w:rStyle w:val="Strong"/>
              </w:rPr>
              <w:t xml:space="preserve">that is used </w:t>
            </w:r>
            <w:r w:rsidRPr="005A62C7">
              <w:rPr>
                <w:rStyle w:val="Strong"/>
              </w:rPr>
              <w:t xml:space="preserve">to forecast total opex has very little impact on the business' revenue allowance, given its interaction with the EBSS. </w:t>
            </w:r>
            <w:r w:rsidR="00932DAD">
              <w:rPr>
                <w:rStyle w:val="Strong"/>
              </w:rPr>
              <w:t xml:space="preserve">We have regard to </w:t>
            </w:r>
            <w:r w:rsidR="00932DAD" w:rsidRPr="00932DAD">
              <w:rPr>
                <w:rStyle w:val="Strong"/>
              </w:rPr>
              <w:t>whether the opex forecast is consistent with any incentive schemes.</w:t>
            </w:r>
            <w:r w:rsidR="00932DAD" w:rsidRPr="00932DAD">
              <w:rPr>
                <w:rStyle w:val="FootnoteReference"/>
              </w:rPr>
              <w:footnoteReference w:id="39"/>
            </w:r>
            <w:r w:rsidR="0042653A">
              <w:rPr>
                <w:rStyle w:val="Strong"/>
              </w:rPr>
              <w:t xml:space="preserve"> The EBSS is designed to </w:t>
            </w:r>
            <w:r w:rsidR="0042653A" w:rsidRPr="0042653A">
              <w:rPr>
                <w:rStyle w:val="Strong"/>
              </w:rPr>
              <w:t>provide a continuous incentive for a service provider to pursue efficiency gains over the regulatory control period</w:t>
            </w:r>
            <w:r w:rsidR="007D601A">
              <w:rPr>
                <w:rStyle w:val="Strong"/>
              </w:rPr>
              <w:t xml:space="preserve">. </w:t>
            </w:r>
            <w:r w:rsidR="00D07BDD">
              <w:rPr>
                <w:rStyle w:val="Strong"/>
              </w:rPr>
              <w:t xml:space="preserve">The combined effect of the revealed cost forecasting approach and the EBSS is that opex efficiency savings or losses are shared </w:t>
            </w:r>
            <w:r w:rsidR="005F3169">
              <w:rPr>
                <w:rStyle w:val="Strong"/>
              </w:rPr>
              <w:t>at a rate of approximately</w:t>
            </w:r>
            <w:r w:rsidR="00D07BDD">
              <w:rPr>
                <w:rStyle w:val="Strong"/>
              </w:rPr>
              <w:t xml:space="preserve"> 30 per cent to the business and 70 per cent to consumers.</w:t>
            </w:r>
          </w:p>
          <w:p w:rsidR="00D16FA3" w:rsidRPr="00AB3F96" w:rsidRDefault="004B4E9C" w:rsidP="007D601A">
            <w:pPr>
              <w:rPr>
                <w:rStyle w:val="Strong"/>
                <w:b/>
                <w:bCs w:val="0"/>
                <w:sz w:val="22"/>
              </w:rPr>
            </w:pPr>
            <w:r w:rsidRPr="005A62C7">
              <w:rPr>
                <w:rStyle w:val="Strong"/>
              </w:rPr>
              <w:t xml:space="preserve">Any increase or decrease in opex in one year relative to the forecast will trigger an EBSS penalty or reward paid to the business over the next five years, removing the incentive for the business to </w:t>
            </w:r>
            <w:r w:rsidR="008928F5">
              <w:rPr>
                <w:rStyle w:val="Strong"/>
              </w:rPr>
              <w:t>inflate</w:t>
            </w:r>
            <w:r w:rsidR="008928F5" w:rsidRPr="005A62C7">
              <w:rPr>
                <w:rStyle w:val="Strong"/>
              </w:rPr>
              <w:t xml:space="preserve"> </w:t>
            </w:r>
            <w:r w:rsidRPr="005A62C7">
              <w:rPr>
                <w:rStyle w:val="Strong"/>
              </w:rPr>
              <w:t xml:space="preserve">its </w:t>
            </w:r>
            <w:r w:rsidR="00A36A6A">
              <w:rPr>
                <w:rStyle w:val="Strong"/>
              </w:rPr>
              <w:t>opex</w:t>
            </w:r>
            <w:r w:rsidR="00D07BDD">
              <w:rPr>
                <w:rStyle w:val="Strong"/>
              </w:rPr>
              <w:t xml:space="preserve"> in the expected base year</w:t>
            </w:r>
            <w:r w:rsidRPr="005A62C7">
              <w:rPr>
                <w:rStyle w:val="Strong"/>
              </w:rPr>
              <w:t xml:space="preserve">. Although using a base year with unusually high opex would typically result in an increased opex forecast, this would be offset by a lower EBSS reward (or a greater penalty). Consequently, </w:t>
            </w:r>
            <w:r w:rsidR="0005489B">
              <w:rPr>
                <w:rStyle w:val="Strong"/>
              </w:rPr>
              <w:t>c</w:t>
            </w:r>
            <w:r w:rsidR="0005489B" w:rsidRPr="0005489B">
              <w:rPr>
                <w:rStyle w:val="Strong"/>
              </w:rPr>
              <w:t xml:space="preserve">hoosing a base year with </w:t>
            </w:r>
            <w:r w:rsidR="007D601A">
              <w:rPr>
                <w:rStyle w:val="Strong"/>
              </w:rPr>
              <w:t xml:space="preserve">an </w:t>
            </w:r>
            <w:r w:rsidR="0005489B">
              <w:rPr>
                <w:rStyle w:val="Strong"/>
              </w:rPr>
              <w:t xml:space="preserve">abnormal variation in </w:t>
            </w:r>
            <w:r w:rsidR="0005489B" w:rsidRPr="0005489B">
              <w:rPr>
                <w:rStyle w:val="Strong"/>
              </w:rPr>
              <w:t>total opex (</w:t>
            </w:r>
            <w:r w:rsidR="00A36A6A">
              <w:rPr>
                <w:rStyle w:val="Strong"/>
              </w:rPr>
              <w:t>due to a on</w:t>
            </w:r>
            <w:r w:rsidR="0005489B" w:rsidRPr="0005489B">
              <w:rPr>
                <w:rStyle w:val="Strong"/>
              </w:rPr>
              <w:t>e-off event</w:t>
            </w:r>
            <w:r w:rsidR="007D601A">
              <w:rPr>
                <w:rStyle w:val="Strong"/>
              </w:rPr>
              <w:t>, for example</w:t>
            </w:r>
            <w:r w:rsidR="0005489B" w:rsidRPr="0005489B">
              <w:rPr>
                <w:rStyle w:val="Strong"/>
              </w:rPr>
              <w:t xml:space="preserve">) will </w:t>
            </w:r>
            <w:r w:rsidR="00A36A6A">
              <w:rPr>
                <w:rStyle w:val="Strong"/>
              </w:rPr>
              <w:t xml:space="preserve">generally </w:t>
            </w:r>
            <w:r w:rsidR="0005489B" w:rsidRPr="0005489B">
              <w:rPr>
                <w:rStyle w:val="Strong"/>
              </w:rPr>
              <w:t>have no m</w:t>
            </w:r>
            <w:r w:rsidR="0005489B">
              <w:rPr>
                <w:rStyle w:val="Strong"/>
              </w:rPr>
              <w:t>aterial effect on total revenue</w:t>
            </w:r>
            <w:r w:rsidR="007D601A">
              <w:rPr>
                <w:rStyle w:val="Strong"/>
              </w:rPr>
              <w:t xml:space="preserve"> compared </w:t>
            </w:r>
            <w:r w:rsidR="0005489B" w:rsidRPr="0005489B">
              <w:rPr>
                <w:rStyle w:val="Strong"/>
              </w:rPr>
              <w:t xml:space="preserve">to </w:t>
            </w:r>
            <w:r w:rsidR="00A36A6A">
              <w:rPr>
                <w:rStyle w:val="Strong"/>
              </w:rPr>
              <w:t>selectin</w:t>
            </w:r>
            <w:r w:rsidR="0005489B" w:rsidRPr="0005489B">
              <w:rPr>
                <w:rStyle w:val="Strong"/>
              </w:rPr>
              <w:t xml:space="preserve">g a base year that </w:t>
            </w:r>
            <w:r w:rsidR="000B7C14">
              <w:rPr>
                <w:rStyle w:val="Strong"/>
              </w:rPr>
              <w:t xml:space="preserve">possibly </w:t>
            </w:r>
            <w:r w:rsidR="007D601A">
              <w:rPr>
                <w:rStyle w:val="Strong"/>
              </w:rPr>
              <w:t xml:space="preserve">better </w:t>
            </w:r>
            <w:r w:rsidR="0005489B" w:rsidRPr="0005489B">
              <w:rPr>
                <w:rStyle w:val="Strong"/>
              </w:rPr>
              <w:t xml:space="preserve">reflects historic expenditure. </w:t>
            </w:r>
          </w:p>
          <w:p w:rsidR="004B4E9C" w:rsidRPr="005A62C7" w:rsidRDefault="004B4E9C" w:rsidP="005A62C7">
            <w:pPr>
              <w:pStyle w:val="AERtabletextleft"/>
              <w:rPr>
                <w:rStyle w:val="Strong"/>
              </w:rPr>
            </w:pPr>
            <w:r w:rsidRPr="005A62C7">
              <w:rPr>
                <w:rStyle w:val="Strong"/>
              </w:rPr>
              <w:t xml:space="preserve">This means we do not need to identify whether base opex is higher or lower than the typical ongoing level due to any one-off events. </w:t>
            </w:r>
          </w:p>
          <w:p w:rsidR="004B4E9C" w:rsidRPr="005A62C7" w:rsidRDefault="004B4E9C" w:rsidP="007D601A">
            <w:pPr>
              <w:pStyle w:val="AERtabletextleft"/>
              <w:rPr>
                <w:rStyle w:val="Strong"/>
              </w:rPr>
            </w:pPr>
            <w:r w:rsidRPr="005A62C7">
              <w:rPr>
                <w:rStyle w:val="Strong"/>
              </w:rPr>
              <w:t xml:space="preserve">We can be satisfied that our revealed cost forecasting approach, working alongside the EBSS, will provide the network business with the efficient level of opex along with its </w:t>
            </w:r>
            <w:r w:rsidR="00A36A6A">
              <w:rPr>
                <w:rStyle w:val="Strong"/>
              </w:rPr>
              <w:t xml:space="preserve">allocated </w:t>
            </w:r>
            <w:r w:rsidR="007D601A">
              <w:rPr>
                <w:rStyle w:val="Strong"/>
              </w:rPr>
              <w:t xml:space="preserve">share </w:t>
            </w:r>
            <w:r w:rsidRPr="005A62C7">
              <w:rPr>
                <w:rStyle w:val="Strong"/>
              </w:rPr>
              <w:t>of any efficiency gains or losses</w:t>
            </w:r>
            <w:r w:rsidR="00A36A6A">
              <w:rPr>
                <w:rStyle w:val="Strong"/>
              </w:rPr>
              <w:t xml:space="preserve"> under the EBSS</w:t>
            </w:r>
            <w:r w:rsidR="007D601A">
              <w:rPr>
                <w:rStyle w:val="Strong"/>
              </w:rPr>
              <w:t xml:space="preserve"> due to one-</w:t>
            </w:r>
            <w:r w:rsidRPr="005A62C7">
              <w:rPr>
                <w:rStyle w:val="Strong"/>
              </w:rPr>
              <w:t>off opex variations in the base year.</w:t>
            </w:r>
            <w:r w:rsidR="00087ABB">
              <w:rPr>
                <w:rStyle w:val="Strong"/>
              </w:rPr>
              <w:t xml:space="preserve"> </w:t>
            </w:r>
          </w:p>
        </w:tc>
      </w:tr>
    </w:tbl>
    <w:p w:rsidR="00F151F6" w:rsidRDefault="00F151F6" w:rsidP="00F151F6">
      <w:r>
        <w:t>If the business has demonstrated its ability to satisfy its regulatory obligations and service demand using its revealed costs, we prefer to not make further adjustments to the base opex</w:t>
      </w:r>
      <w:r w:rsidR="00144593">
        <w:t xml:space="preserve">—in particular, </w:t>
      </w:r>
      <w:r w:rsidR="00D1210B">
        <w:t>to avoid the risk of introducing bias in our forecast</w:t>
      </w:r>
      <w:r w:rsidR="00866E29">
        <w:t xml:space="preserve"> </w:t>
      </w:r>
      <w:r w:rsidR="00D1210B">
        <w:t>through bottom-up type assessments</w:t>
      </w:r>
      <w:r w:rsidR="00144593">
        <w:t xml:space="preserve"> (see section 7.4.2</w:t>
      </w:r>
      <w:r w:rsidR="0071777E">
        <w:t>.3</w:t>
      </w:r>
      <w:r w:rsidR="00144593">
        <w:t>)</w:t>
      </w:r>
      <w:r>
        <w:t>.</w:t>
      </w:r>
      <w:r>
        <w:rPr>
          <w:rStyle w:val="FootnoteReference"/>
        </w:rPr>
        <w:footnoteReference w:id="40"/>
      </w:r>
      <w:r>
        <w:t xml:space="preserve"> </w:t>
      </w:r>
    </w:p>
    <w:p w:rsidR="00D56EC4" w:rsidRDefault="00D56EC4" w:rsidP="00D56EC4">
      <w:pPr>
        <w:pStyle w:val="Heading4"/>
      </w:pPr>
      <w:bookmarkStart w:id="26" w:name="_Toc480809647"/>
      <w:r>
        <w:t>Rate of change</w:t>
      </w:r>
      <w:bookmarkEnd w:id="26"/>
    </w:p>
    <w:p w:rsidR="00D56EC4" w:rsidRDefault="00D56EC4" w:rsidP="00D56EC4">
      <w:r>
        <w:t>W</w:t>
      </w:r>
      <w:r w:rsidRPr="00C31089">
        <w:t xml:space="preserve">e trend base opex forward by applying our forecast 'rate of change'. </w:t>
      </w:r>
      <w:r>
        <w:t>We estimate the rate of change by forecasting the expected growth in input prices</w:t>
      </w:r>
      <w:r w:rsidR="00D51847">
        <w:t>, outputs and productivity</w:t>
      </w:r>
      <w:r>
        <w:t>. W</w:t>
      </w:r>
      <w:r w:rsidRPr="00827D31">
        <w:t>e consider the rate of change should capture almost all drivers of opex growth</w:t>
      </w:r>
      <w:r w:rsidRPr="00C31089">
        <w:t>.</w:t>
      </w:r>
    </w:p>
    <w:p w:rsidR="005D4C2A" w:rsidRPr="005D4C2A" w:rsidRDefault="005D4C2A" w:rsidP="005D4C2A">
      <w:r w:rsidRPr="005D4C2A">
        <w:t xml:space="preserve">We forecast </w:t>
      </w:r>
      <w:r w:rsidR="00284B61">
        <w:t>input</w:t>
      </w:r>
      <w:r w:rsidRPr="005D4C2A">
        <w:t xml:space="preserve"> price growth using a composition of labour and </w:t>
      </w:r>
      <w:r w:rsidR="00D51847">
        <w:t>non-labour</w:t>
      </w:r>
      <w:r w:rsidRPr="005D4C2A">
        <w:t xml:space="preserve"> price changes forecasts. Labour costs represent a significant proportion of </w:t>
      </w:r>
      <w:r w:rsidR="008B44E5">
        <w:t xml:space="preserve">a </w:t>
      </w:r>
      <w:r w:rsidRPr="005D4C2A">
        <w:t>transmission business’ costs</w:t>
      </w:r>
      <w:r w:rsidR="00F43191">
        <w:t>.</w:t>
      </w:r>
      <w:r w:rsidR="00F43191">
        <w:rPr>
          <w:rStyle w:val="FootnoteReference"/>
        </w:rPr>
        <w:footnoteReference w:id="41"/>
      </w:r>
      <w:r w:rsidRPr="005D4C2A">
        <w:t xml:space="preserve"> </w:t>
      </w:r>
      <w:r w:rsidR="00D51847">
        <w:t>To determine the input price weights for labour and non-labour prices we have regard to the input price weights of a prudent and efficient benchmark transmission business. This provides the transmission business an incentive to adopt the most efficient mix of inputs.</w:t>
      </w:r>
    </w:p>
    <w:p w:rsidR="005D4C2A" w:rsidRPr="005D4C2A" w:rsidRDefault="005D4C2A" w:rsidP="005D4C2A">
      <w:r w:rsidRPr="005D4C2A">
        <w:lastRenderedPageBreak/>
        <w:t>We forecast output growth to account for annual increase in output. The output measures used should be the same measures used to forecast productivity growth.</w:t>
      </w:r>
      <w:r w:rsidR="00284B61">
        <w:rPr>
          <w:rStyle w:val="FootnoteReference"/>
        </w:rPr>
        <w:footnoteReference w:id="42"/>
      </w:r>
      <w:r w:rsidRPr="005D4C2A">
        <w:t xml:space="preserve"> </w:t>
      </w:r>
      <w:r w:rsidR="00D51847">
        <w:t xml:space="preserve">The output measures we typically use for transmission businesses are energy delivered, ratcheted maximum demand, weighted entry and exit connections and circuit length. We do not typically adjust forecast output growth for economies of scale because these are accounted for in our forecast of productivity growth. </w:t>
      </w:r>
    </w:p>
    <w:p w:rsidR="003C777F" w:rsidRDefault="00F43191" w:rsidP="00A91A78">
      <w:r>
        <w:t xml:space="preserve">Our forecast of </w:t>
      </w:r>
      <w:r w:rsidRPr="00573B20">
        <w:t xml:space="preserve">productivity growth </w:t>
      </w:r>
      <w:r>
        <w:t xml:space="preserve">represents our </w:t>
      </w:r>
      <w:r w:rsidRPr="00573B20">
        <w:t xml:space="preserve">best estimate of </w:t>
      </w:r>
      <w:r>
        <w:t xml:space="preserve">the </w:t>
      </w:r>
      <w:r w:rsidRPr="00573B20">
        <w:t>shift</w:t>
      </w:r>
      <w:r>
        <w:t xml:space="preserve"> in the industry 'efficiency frontier'.</w:t>
      </w:r>
      <w:r w:rsidR="00284B61">
        <w:rPr>
          <w:rStyle w:val="FootnoteReference"/>
        </w:rPr>
        <w:footnoteReference w:id="43"/>
      </w:r>
      <w:r>
        <w:t xml:space="preserve"> We generally base our</w:t>
      </w:r>
      <w:r w:rsidRPr="00573B20">
        <w:t xml:space="preserve"> estimate </w:t>
      </w:r>
      <w:r>
        <w:t xml:space="preserve">of productivity growth </w:t>
      </w:r>
      <w:r w:rsidRPr="00573B20">
        <w:t>on recent productivity trends</w:t>
      </w:r>
      <w:r w:rsidR="008B44E5">
        <w:t xml:space="preserve"> across the industry</w:t>
      </w:r>
      <w:r>
        <w:t xml:space="preserve">. Where we consider historic productivity growth does not represent 'business-as-usual' conditions we do not use it to forecast future productivity growth. </w:t>
      </w:r>
    </w:p>
    <w:p w:rsidR="00D56EC4" w:rsidRDefault="00D56EC4" w:rsidP="00F97ECA">
      <w:pPr>
        <w:pStyle w:val="Heading4"/>
      </w:pPr>
      <w:bookmarkStart w:id="27" w:name="_Toc474853194"/>
      <w:bookmarkStart w:id="28" w:name="_Toc480809648"/>
      <w:bookmarkEnd w:id="27"/>
      <w:r>
        <w:t>Step changes and category-specific forecasts</w:t>
      </w:r>
      <w:bookmarkEnd w:id="28"/>
    </w:p>
    <w:p w:rsidR="00D56EC4" w:rsidRDefault="00235FD6" w:rsidP="00D56EC4">
      <w:r>
        <w:t>W</w:t>
      </w:r>
      <w:r w:rsidR="00D56EC4">
        <w:t>e</w:t>
      </w:r>
      <w:r w:rsidR="00D56EC4" w:rsidRPr="00C31089">
        <w:t xml:space="preserve"> add or subtract any components of opex that are not </w:t>
      </w:r>
      <w:r w:rsidR="00D56EC4">
        <w:t xml:space="preserve">adequately compensated </w:t>
      </w:r>
      <w:r w:rsidR="003E68C7">
        <w:t xml:space="preserve">for </w:t>
      </w:r>
      <w:r>
        <w:t xml:space="preserve">by </w:t>
      </w:r>
      <w:r w:rsidR="00D56EC4" w:rsidRPr="00C31089">
        <w:t xml:space="preserve">base opex </w:t>
      </w:r>
      <w:r>
        <w:t>and</w:t>
      </w:r>
      <w:r w:rsidR="00D56EC4" w:rsidRPr="00C31089">
        <w:t xml:space="preserve"> the rate of change</w:t>
      </w:r>
      <w:r w:rsidR="00D56EC4">
        <w:t xml:space="preserve">, </w:t>
      </w:r>
      <w:r w:rsidR="005A62C7">
        <w:t xml:space="preserve">but </w:t>
      </w:r>
      <w:r w:rsidR="00D56EC4">
        <w:t xml:space="preserve">which </w:t>
      </w:r>
      <w:r w:rsidR="005A62C7">
        <w:t xml:space="preserve">should </w:t>
      </w:r>
      <w:r w:rsidR="00D56EC4">
        <w:t>be included in the forecast total opex to meet the opex criteria.</w:t>
      </w:r>
      <w:r w:rsidR="00D56EC4">
        <w:rPr>
          <w:rStyle w:val="FootnoteReference"/>
        </w:rPr>
        <w:footnoteReference w:id="44"/>
      </w:r>
      <w:r w:rsidR="00D56EC4">
        <w:t xml:space="preserve"> These adjustments are in the form of</w:t>
      </w:r>
      <w:r w:rsidR="00D56EC4" w:rsidRPr="00C31089">
        <w:t xml:space="preserve"> 'step changes' or</w:t>
      </w:r>
      <w:r w:rsidR="00D56EC4">
        <w:t xml:space="preserve"> '</w:t>
      </w:r>
      <w:r w:rsidR="00D56EC4" w:rsidRPr="00C31089">
        <w:t>category</w:t>
      </w:r>
      <w:r w:rsidR="00D56EC4">
        <w:t>-</w:t>
      </w:r>
      <w:r w:rsidR="00D56EC4" w:rsidRPr="00C31089">
        <w:t>specific forecasts</w:t>
      </w:r>
      <w:r w:rsidR="00D56EC4">
        <w:t>'</w:t>
      </w:r>
      <w:r w:rsidR="00D56EC4" w:rsidRPr="00C31089">
        <w:t>.</w:t>
      </w:r>
    </w:p>
    <w:p w:rsidR="00D56EC4" w:rsidRDefault="00D56EC4" w:rsidP="00866E29">
      <w:pPr>
        <w:pStyle w:val="HeadingBoldItalic"/>
      </w:pPr>
      <w:bookmarkStart w:id="29" w:name="_Toc480809649"/>
      <w:r>
        <w:t>Step changes</w:t>
      </w:r>
      <w:bookmarkEnd w:id="29"/>
      <w:r>
        <w:t xml:space="preserve"> </w:t>
      </w:r>
    </w:p>
    <w:p w:rsidR="00D56EC4" w:rsidRDefault="00DD485D" w:rsidP="00D56EC4">
      <w:r>
        <w:t xml:space="preserve">Step change costs in the total opex forecast </w:t>
      </w:r>
      <w:r w:rsidR="00D56EC4">
        <w:t xml:space="preserve">form part of base opex </w:t>
      </w:r>
      <w:r w:rsidR="000962E9">
        <w:t>for</w:t>
      </w:r>
      <w:r w:rsidR="00D56EC4">
        <w:t xml:space="preserve"> future </w:t>
      </w:r>
      <w:r w:rsidR="000962E9">
        <w:t>regulatory control periods</w:t>
      </w:r>
      <w:r w:rsidR="00D56EC4">
        <w:t xml:space="preserve"> an</w:t>
      </w:r>
      <w:r w:rsidR="005A62C7">
        <w:t>d they are subject to the EBSS.</w:t>
      </w:r>
    </w:p>
    <w:p w:rsidR="000962E9" w:rsidRDefault="008B6959" w:rsidP="00D56EC4">
      <w:r>
        <w:t xml:space="preserve">Step changes should not double count costs included in other elements of the total opex forecast. As explained in the Guideline, the costs of increased volume or scale may have been compensated through the output growth component </w:t>
      </w:r>
      <w:r w:rsidR="00235FD6">
        <w:t xml:space="preserve">of </w:t>
      </w:r>
      <w:r>
        <w:t>the rate of change and should not become a step change.</w:t>
      </w:r>
      <w:r>
        <w:rPr>
          <w:rStyle w:val="FootnoteReference"/>
        </w:rPr>
        <w:footnoteReference w:id="45"/>
      </w:r>
      <w:r>
        <w:t xml:space="preserve"> Also, forecast productivity growth may account for the cost of increased regulatory </w:t>
      </w:r>
      <w:r w:rsidR="00F52D01">
        <w:t xml:space="preserve">obligations </w:t>
      </w:r>
      <w:r>
        <w:t>over time</w:t>
      </w:r>
      <w:r w:rsidR="00787C38">
        <w:t>—that is, '</w:t>
      </w:r>
      <w:r w:rsidR="00787C38" w:rsidRPr="00787C38">
        <w:t>incremental changes in obligations are likely to be compensated through a lower productivity estimate that accounts for high costs resulting from changed obligations</w:t>
      </w:r>
      <w:r w:rsidR="00787C38">
        <w:t>.</w:t>
      </w:r>
      <w:r w:rsidR="00BE4D2E">
        <w:t>'</w:t>
      </w:r>
      <w:r w:rsidR="00787C38">
        <w:rPr>
          <w:rStyle w:val="FootnoteReference"/>
        </w:rPr>
        <w:footnoteReference w:id="46"/>
      </w:r>
      <w:r w:rsidR="00787C38">
        <w:t xml:space="preserve"> </w:t>
      </w:r>
      <w:r>
        <w:t xml:space="preserve">Therefore, only new costs that do not reflect the historic 'average' change </w:t>
      </w:r>
      <w:r w:rsidR="00D33514">
        <w:t xml:space="preserve">as </w:t>
      </w:r>
      <w:r w:rsidR="00EE3D38">
        <w:t xml:space="preserve">accounted for </w:t>
      </w:r>
      <w:r>
        <w:t>in the productivity growth forecast would</w:t>
      </w:r>
      <w:r w:rsidR="002E269A">
        <w:t xml:space="preserve"> be considered as step changes.</w:t>
      </w:r>
      <w:r w:rsidR="002E269A">
        <w:rPr>
          <w:rStyle w:val="FootnoteReference"/>
        </w:rPr>
        <w:footnoteReference w:id="47"/>
      </w:r>
    </w:p>
    <w:p w:rsidR="00D56EC4" w:rsidRDefault="005A62C7" w:rsidP="00D56EC4">
      <w:r>
        <w:t>O</w:t>
      </w:r>
      <w:r w:rsidR="00D56EC4" w:rsidRPr="006E6488">
        <w:t>ur starting position is t</w:t>
      </w:r>
      <w:r w:rsidR="00D56EC4">
        <w:t xml:space="preserve">hat only exceptional </w:t>
      </w:r>
      <w:r w:rsidR="00B35205">
        <w:t xml:space="preserve">circumstances </w:t>
      </w:r>
      <w:r w:rsidR="00B860BC">
        <w:t xml:space="preserve">are likely to </w:t>
      </w:r>
      <w:r w:rsidR="00B35205">
        <w:t>warrant</w:t>
      </w:r>
      <w:r w:rsidR="00D56EC4" w:rsidRPr="006E6488">
        <w:t xml:space="preserve"> </w:t>
      </w:r>
      <w:r w:rsidR="00B35205">
        <w:t>the inclusion of a</w:t>
      </w:r>
      <w:r w:rsidR="00D56EC4" w:rsidRPr="006E6488">
        <w:t xml:space="preserve"> step change</w:t>
      </w:r>
      <w:r w:rsidR="00B35205">
        <w:t xml:space="preserve"> in the opex forecast</w:t>
      </w:r>
      <w:r w:rsidR="00D56EC4">
        <w:t xml:space="preserve">, as </w:t>
      </w:r>
      <w:r w:rsidR="00B35205">
        <w:t>explained</w:t>
      </w:r>
      <w:r w:rsidR="00D56EC4">
        <w:t xml:space="preserve"> in our Guideline</w:t>
      </w:r>
      <w:r w:rsidR="00D56EC4" w:rsidRPr="006E6488">
        <w:t>.</w:t>
      </w:r>
      <w:r w:rsidR="00D56EC4">
        <w:rPr>
          <w:rStyle w:val="FootnoteReference"/>
        </w:rPr>
        <w:footnoteReference w:id="48"/>
      </w:r>
      <w:r w:rsidR="00D56EC4">
        <w:t xml:space="preserve"> </w:t>
      </w:r>
      <w:r w:rsidR="008F0BE8">
        <w:t xml:space="preserve">Two </w:t>
      </w:r>
      <w:r w:rsidR="000E0609">
        <w:t>typical</w:t>
      </w:r>
      <w:r w:rsidR="008F0BE8">
        <w:t xml:space="preserve"> examples are:</w:t>
      </w:r>
    </w:p>
    <w:p w:rsidR="008F0BE8" w:rsidRPr="008F0BE8" w:rsidRDefault="00781C36" w:rsidP="008F0BE8">
      <w:pPr>
        <w:pStyle w:val="AERbulletlistfirststyle"/>
        <w:rPr>
          <w:rStyle w:val="AERbody"/>
        </w:rPr>
      </w:pPr>
      <w:r>
        <w:rPr>
          <w:rStyle w:val="AERbody"/>
        </w:rPr>
        <w:lastRenderedPageBreak/>
        <w:t xml:space="preserve">a </w:t>
      </w:r>
      <w:r w:rsidR="008F0BE8" w:rsidRPr="008F0BE8">
        <w:rPr>
          <w:rStyle w:val="AERbody"/>
        </w:rPr>
        <w:t>material change in the business' regulatory obligations</w:t>
      </w:r>
    </w:p>
    <w:p w:rsidR="008F0BE8" w:rsidRPr="008F0BE8" w:rsidRDefault="008F0BE8" w:rsidP="008F0BE8">
      <w:pPr>
        <w:pStyle w:val="AERbulletlistfirststyle"/>
        <w:rPr>
          <w:rStyle w:val="AERbody"/>
        </w:rPr>
      </w:pPr>
      <w:r w:rsidRPr="008F0BE8">
        <w:rPr>
          <w:rStyle w:val="AERbody"/>
        </w:rPr>
        <w:t>an efficient and prudent capex/opex substitution opportunity</w:t>
      </w:r>
      <w:r>
        <w:rPr>
          <w:rStyle w:val="AERbody"/>
        </w:rPr>
        <w:t>.</w:t>
      </w:r>
    </w:p>
    <w:p w:rsidR="00D56EC4" w:rsidRDefault="00D56EC4" w:rsidP="00D56EC4">
      <w:r>
        <w:t xml:space="preserve">Consistent with </w:t>
      </w:r>
      <w:r w:rsidR="00410A3A">
        <w:t xml:space="preserve">our </w:t>
      </w:r>
      <w:r>
        <w:t xml:space="preserve">Guideline, we may accept a step change </w:t>
      </w:r>
      <w:r w:rsidR="006169A6">
        <w:t>if</w:t>
      </w:r>
      <w:r w:rsidR="00781C36">
        <w:t xml:space="preserve"> </w:t>
      </w:r>
      <w:r>
        <w:t xml:space="preserve">a </w:t>
      </w:r>
      <w:r w:rsidR="00781C36">
        <w:t xml:space="preserve">material </w:t>
      </w:r>
      <w:r>
        <w:t xml:space="preserve">'step up' or 'step down' in expenditure is required by </w:t>
      </w:r>
      <w:r w:rsidR="00F52D01">
        <w:t xml:space="preserve">a </w:t>
      </w:r>
      <w:r>
        <w:t>network business to prudently and efficiently comply with a new</w:t>
      </w:r>
      <w:r w:rsidR="003E68C7">
        <w:t>, binding</w:t>
      </w:r>
      <w:r>
        <w:t xml:space="preserve"> regulatory obligation</w:t>
      </w:r>
      <w:r w:rsidR="00F52D01">
        <w:t xml:space="preserve"> that is not reflected in the productivity growth forecast</w:t>
      </w:r>
      <w:r>
        <w:t>.</w:t>
      </w:r>
      <w:r>
        <w:rPr>
          <w:rStyle w:val="FootnoteReference"/>
        </w:rPr>
        <w:footnoteReference w:id="49"/>
      </w:r>
      <w:r w:rsidR="00BB0995">
        <w:t xml:space="preserve"> </w:t>
      </w:r>
      <w:r>
        <w:t xml:space="preserve">Usually when a new regulatory obligation is imposed on a service provider, it has little choice but to incur the additional expenditure required to comply. The business </w:t>
      </w:r>
      <w:r w:rsidR="006B6673">
        <w:t xml:space="preserve">may be </w:t>
      </w:r>
      <w:r>
        <w:t xml:space="preserve">expected to continue </w:t>
      </w:r>
      <w:r w:rsidR="00563D10">
        <w:t xml:space="preserve">to incur </w:t>
      </w:r>
      <w:r>
        <w:t>such costs associated with the new regulatory obligation into future regulatory periods; hence a</w:t>
      </w:r>
      <w:r w:rsidR="006B6673">
        <w:t>n increase</w:t>
      </w:r>
      <w:r>
        <w:t xml:space="preserve"> of its opex allowance </w:t>
      </w:r>
      <w:r w:rsidR="00781C36">
        <w:t>could be</w:t>
      </w:r>
      <w:r w:rsidR="003E68C7">
        <w:t xml:space="preserve"> </w:t>
      </w:r>
      <w:r w:rsidR="00BB0995">
        <w:t>warranted.</w:t>
      </w:r>
    </w:p>
    <w:p w:rsidR="00574FB4" w:rsidRDefault="005B32DD" w:rsidP="00D56EC4">
      <w:r w:rsidRPr="005B32DD">
        <w:t xml:space="preserve">We expect the business to provide evidence demonstrating the material impact the change of regulatory obligation has on its opex requirements, and robust cost–benefit analysis to demonstrate the proposed step change </w:t>
      </w:r>
      <w:r w:rsidR="00613ECB">
        <w:t>expenditure</w:t>
      </w:r>
      <w:r w:rsidRPr="005B32DD">
        <w:t xml:space="preserve"> is prudent and efficient to meet the change in regulatory obligations.</w:t>
      </w:r>
      <w:r w:rsidR="00C37BAC">
        <w:rPr>
          <w:rStyle w:val="FootnoteReference"/>
        </w:rPr>
        <w:footnoteReference w:id="50"/>
      </w:r>
      <w:r w:rsidRPr="005B32DD">
        <w:t xml:space="preserve"> </w:t>
      </w:r>
      <w:r w:rsidR="00574FB4">
        <w:t>Our Guideline states:</w:t>
      </w:r>
    </w:p>
    <w:p w:rsidR="00574FB4" w:rsidRDefault="00574FB4" w:rsidP="00574FB4">
      <w:pPr>
        <w:pStyle w:val="AERquote"/>
      </w:pPr>
      <w:r>
        <w:t>[Network services providers]</w:t>
      </w:r>
      <w:r w:rsidRPr="00574FB4">
        <w:t xml:space="preserve"> will be expected to justify the cost of all step changes with clear economic analysis, including quantitative estimates of expected expenditure associated with viable options. We will also look for the </w:t>
      </w:r>
      <w:r>
        <w:t>[Network services providers]</w:t>
      </w:r>
      <w:r w:rsidRPr="00574FB4">
        <w:t xml:space="preserve"> to justify the step change by reference to known cost drivers (for example, volumes of different types of works) if cost drivers are identifiable.</w:t>
      </w:r>
      <w:r>
        <w:t xml:space="preserve"> </w:t>
      </w:r>
      <w:r w:rsidRPr="00574FB4">
        <w:t xml:space="preserve">If the obligation is not new, we would expect the costs of meeting that obligation to be included in revealed costs. We also consider it is efficient for </w:t>
      </w:r>
      <w:r w:rsidR="00D62589">
        <w:t>[Network services providers]</w:t>
      </w:r>
      <w:r w:rsidR="00D62589" w:rsidRPr="00574FB4">
        <w:t xml:space="preserve"> </w:t>
      </w:r>
      <w:r w:rsidRPr="00574FB4">
        <w:t>to take a prudent approach to managing risk against their level of compliance when they consider it appropriate (noting we will consider expected levels of compliance in determining efficient and prudent forecast expenditure).</w:t>
      </w:r>
      <w:r>
        <w:rPr>
          <w:rStyle w:val="FootnoteReference"/>
        </w:rPr>
        <w:footnoteReference w:id="51"/>
      </w:r>
    </w:p>
    <w:p w:rsidR="005B32DD" w:rsidRDefault="00D62589" w:rsidP="00D56EC4">
      <w:r>
        <w:t>W</w:t>
      </w:r>
      <w:r w:rsidR="005B32DD" w:rsidRPr="005B32DD">
        <w:t>e will consider cost estimates incorporated in the relevant Re</w:t>
      </w:r>
      <w:r w:rsidR="00772E69">
        <w:t>gulatory Impact Statement (RIS). A RIS is</w:t>
      </w:r>
      <w:r w:rsidR="005B32DD" w:rsidRPr="005B32DD">
        <w:t xml:space="preserve"> </w:t>
      </w:r>
      <w:r w:rsidR="00772E69">
        <w:t xml:space="preserve">generally </w:t>
      </w:r>
      <w:r w:rsidR="005B32DD" w:rsidRPr="005B32DD">
        <w:t xml:space="preserve">required by governments </w:t>
      </w:r>
      <w:r w:rsidR="00610F6B">
        <w:t>to justify any</w:t>
      </w:r>
      <w:r w:rsidR="005B32DD" w:rsidRPr="005B32DD">
        <w:t xml:space="preserve"> </w:t>
      </w:r>
      <w:r w:rsidR="00772E69">
        <w:t>new regulation</w:t>
      </w:r>
      <w:r w:rsidR="00610F6B">
        <w:t xml:space="preserve">, or </w:t>
      </w:r>
      <w:r w:rsidR="00610F6B" w:rsidRPr="00610F6B">
        <w:t>amendments to existing regulations</w:t>
      </w:r>
      <w:r w:rsidR="00610F6B">
        <w:t>,</w:t>
      </w:r>
      <w:r w:rsidR="005B32DD" w:rsidRPr="005B32DD">
        <w:t xml:space="preserve"> that </w:t>
      </w:r>
      <w:r w:rsidR="00772E69">
        <w:t>is</w:t>
      </w:r>
      <w:r w:rsidR="005B32DD" w:rsidRPr="005B32DD">
        <w:t xml:space="preserve"> likely to impose a </w:t>
      </w:r>
      <w:r w:rsidR="00610F6B">
        <w:t>measurable impact</w:t>
      </w:r>
      <w:r w:rsidR="00772E69">
        <w:t xml:space="preserve"> </w:t>
      </w:r>
      <w:r w:rsidR="00772E69" w:rsidRPr="00772E69">
        <w:t>on businesses, community organisations</w:t>
      </w:r>
      <w:r w:rsidR="00772E69">
        <w:t xml:space="preserve"> and/or</w:t>
      </w:r>
      <w:r w:rsidR="00772E69" w:rsidRPr="00772E69">
        <w:t xml:space="preserve"> individuals.</w:t>
      </w:r>
    </w:p>
    <w:p w:rsidR="00AE1355" w:rsidRDefault="00D56EC4" w:rsidP="00FE2A25">
      <w:r>
        <w:t xml:space="preserve">By contrast, </w:t>
      </w:r>
      <w:r w:rsidR="00410A3A">
        <w:t>proposed opex projects designed to improve the operation of the business</w:t>
      </w:r>
      <w:r w:rsidR="00A14D4D">
        <w:t xml:space="preserve">, </w:t>
      </w:r>
      <w:r w:rsidR="00235FD6">
        <w:t xml:space="preserve">can </w:t>
      </w:r>
      <w:r w:rsidR="00DE6A36">
        <w:t xml:space="preserve">generally </w:t>
      </w:r>
      <w:r w:rsidR="00410A3A">
        <w:t xml:space="preserve">be funded by </w:t>
      </w:r>
      <w:r w:rsidR="00A86945">
        <w:t xml:space="preserve">base </w:t>
      </w:r>
      <w:r w:rsidR="006B6673">
        <w:t xml:space="preserve">opex </w:t>
      </w:r>
      <w:r w:rsidR="00A86945">
        <w:t xml:space="preserve">and </w:t>
      </w:r>
      <w:r w:rsidR="006B6673">
        <w:t>t</w:t>
      </w:r>
      <w:r w:rsidR="00A86945">
        <w:t xml:space="preserve">rend components, together with the savings or increased revenue that </w:t>
      </w:r>
      <w:r w:rsidR="00A14D4D">
        <w:t>they</w:t>
      </w:r>
      <w:r w:rsidR="00410A3A">
        <w:t xml:space="preserve"> </w:t>
      </w:r>
      <w:r w:rsidR="006B6673">
        <w:t>generate—</w:t>
      </w:r>
      <w:r w:rsidR="00A578FF">
        <w:t>rather than through a step change</w:t>
      </w:r>
      <w:r w:rsidR="00410A3A">
        <w:t>.</w:t>
      </w:r>
      <w:r w:rsidR="00930AFA">
        <w:t xml:space="preserve"> </w:t>
      </w:r>
      <w:r w:rsidR="004C6B45">
        <w:t xml:space="preserve">Otherwise, </w:t>
      </w:r>
      <w:r w:rsidR="00930AFA">
        <w:t xml:space="preserve">the business would benefit from a higher opex allowance </w:t>
      </w:r>
      <w:r w:rsidR="00930AFA" w:rsidRPr="004C6B45">
        <w:rPr>
          <w:rStyle w:val="AERtextitalic"/>
        </w:rPr>
        <w:t>and</w:t>
      </w:r>
      <w:r w:rsidR="00930AFA">
        <w:t xml:space="preserve"> the </w:t>
      </w:r>
      <w:r w:rsidR="00563D10">
        <w:t>efficiency gains</w:t>
      </w:r>
      <w:r w:rsidR="004C6B45">
        <w:t>.</w:t>
      </w:r>
      <w:r w:rsidR="00611ABB" w:rsidRPr="00611ABB">
        <w:rPr>
          <w:rStyle w:val="FootnoteReference"/>
        </w:rPr>
        <w:footnoteReference w:id="52"/>
      </w:r>
    </w:p>
    <w:p w:rsidR="00CB34AF" w:rsidRDefault="0035271D" w:rsidP="00D56EC4">
      <w:r>
        <w:t>O</w:t>
      </w:r>
      <w:r w:rsidR="006E7070">
        <w:t xml:space="preserve">ur role is to determine the </w:t>
      </w:r>
      <w:r w:rsidR="001967CF">
        <w:t xml:space="preserve">efficient and prudent </w:t>
      </w:r>
      <w:r w:rsidR="006E7070">
        <w:t xml:space="preserve">level of </w:t>
      </w:r>
      <w:r w:rsidR="00563D10">
        <w:t xml:space="preserve">total </w:t>
      </w:r>
      <w:r w:rsidR="00235FD6">
        <w:t>opex</w:t>
      </w:r>
      <w:r w:rsidR="006E7070">
        <w:t xml:space="preserve"> a network business requires to achieve the opex objectives. </w:t>
      </w:r>
      <w:r w:rsidR="00563D10">
        <w:t>I</w:t>
      </w:r>
      <w:r w:rsidR="00D4195E">
        <w:t xml:space="preserve">t is not our role to approve specific opex </w:t>
      </w:r>
      <w:r w:rsidR="00D4195E">
        <w:lastRenderedPageBreak/>
        <w:t>projects</w:t>
      </w:r>
      <w:r>
        <w:t xml:space="preserve"> </w:t>
      </w:r>
      <w:r w:rsidR="00325861">
        <w:t>or</w:t>
      </w:r>
      <w:r>
        <w:t xml:space="preserve"> to ensure the business </w:t>
      </w:r>
      <w:r w:rsidR="00325861">
        <w:t xml:space="preserve">delivers those projects </w:t>
      </w:r>
      <w:r>
        <w:t xml:space="preserve">in the regulatory period. </w:t>
      </w:r>
      <w:r w:rsidR="000A5ED6">
        <w:t xml:space="preserve">The business has discretion to prioritise its opex programs and initiatives—and </w:t>
      </w:r>
      <w:r w:rsidR="00BF274F">
        <w:t xml:space="preserve">also </w:t>
      </w:r>
      <w:r w:rsidR="000A5ED6">
        <w:t>the discretion to not undertake proposed opex projects.</w:t>
      </w:r>
      <w:r w:rsidR="00AE1355">
        <w:t xml:space="preserve"> </w:t>
      </w:r>
      <w:r w:rsidR="00991361">
        <w:t>If</w:t>
      </w:r>
      <w:r w:rsidR="0004307E">
        <w:t xml:space="preserve"> </w:t>
      </w:r>
      <w:r w:rsidR="00991361">
        <w:t>an</w:t>
      </w:r>
      <w:r w:rsidR="0004307E">
        <w:t xml:space="preserve"> opex project</w:t>
      </w:r>
      <w:r w:rsidR="006E7070">
        <w:t xml:space="preserve"> does not produce a net benefit</w:t>
      </w:r>
      <w:r w:rsidR="0004307E">
        <w:t xml:space="preserve"> </w:t>
      </w:r>
      <w:r w:rsidR="0004307E" w:rsidRPr="00DA2411">
        <w:rPr>
          <w:rStyle w:val="AERtextitalic"/>
        </w:rPr>
        <w:t>to the business</w:t>
      </w:r>
      <w:r w:rsidR="0004307E">
        <w:t>, and there is no regulatory obligation, the business is unlikely to have an incentive to undertake that opex projec</w:t>
      </w:r>
      <w:r w:rsidR="008B6959">
        <w:t>t.</w:t>
      </w:r>
    </w:p>
    <w:p w:rsidR="00D56EC4" w:rsidRDefault="00D56EC4" w:rsidP="00D56EC4">
      <w:r>
        <w:t xml:space="preserve">We may </w:t>
      </w:r>
      <w:r w:rsidR="0004307E">
        <w:t xml:space="preserve">also </w:t>
      </w:r>
      <w:r>
        <w:t xml:space="preserve">accept a step change in circumstances where it </w:t>
      </w:r>
      <w:r w:rsidR="00F71480">
        <w:t xml:space="preserve">is </w:t>
      </w:r>
      <w:r w:rsidR="00EE3D38">
        <w:t xml:space="preserve">prudent and </w:t>
      </w:r>
      <w:r>
        <w:t xml:space="preserve">efficient for a network business to increase opex in order to reduce capital costs. </w:t>
      </w:r>
      <w:r w:rsidRPr="004F7E8F">
        <w:t xml:space="preserve">We would typically expect </w:t>
      </w:r>
      <w:r>
        <w:t xml:space="preserve">such capex/opex trade-off step changes </w:t>
      </w:r>
      <w:r w:rsidRPr="004F7E8F">
        <w:t xml:space="preserve">to be associated with </w:t>
      </w:r>
      <w:r>
        <w:t>repex</w:t>
      </w:r>
      <w:r w:rsidRPr="004F7E8F">
        <w:t>.</w:t>
      </w:r>
      <w:r>
        <w:rPr>
          <w:rStyle w:val="FootnoteReference"/>
        </w:rPr>
        <w:footnoteReference w:id="53"/>
      </w:r>
      <w:r>
        <w:t xml:space="preserve"> The onus is on the business to provide robust cost–benefit analysis to clearly demonstrate how increased opex would be more than offset by capex savings.</w:t>
      </w:r>
      <w:r>
        <w:rPr>
          <w:rStyle w:val="FootnoteReference"/>
        </w:rPr>
        <w:footnoteReference w:id="54"/>
      </w:r>
    </w:p>
    <w:p w:rsidR="0031711D" w:rsidRDefault="0031711D" w:rsidP="00D56EC4">
      <w:r w:rsidRPr="0031711D">
        <w:t xml:space="preserve">In the absence of </w:t>
      </w:r>
      <w:r>
        <w:t xml:space="preserve">a change to </w:t>
      </w:r>
      <w:r w:rsidRPr="0031711D">
        <w:t xml:space="preserve">regulatory obligations or </w:t>
      </w:r>
      <w:r w:rsidR="00235FD6">
        <w:t xml:space="preserve">a </w:t>
      </w:r>
      <w:r w:rsidRPr="0031711D">
        <w:t>legitimate capex/opex trade-off</w:t>
      </w:r>
      <w:r>
        <w:t xml:space="preserve"> opportunity</w:t>
      </w:r>
      <w:r w:rsidRPr="0031711D">
        <w:t xml:space="preserve">, we would only accept a step change under </w:t>
      </w:r>
      <w:r w:rsidR="00235FD6">
        <w:t xml:space="preserve">very </w:t>
      </w:r>
      <w:r w:rsidRPr="0031711D">
        <w:t xml:space="preserve">limited circumstances. We would likely consider whether the costs </w:t>
      </w:r>
      <w:r>
        <w:t xml:space="preserve">associated with the step change </w:t>
      </w:r>
      <w:r w:rsidRPr="0031711D">
        <w:t>are unavoidable and material—such that base opex, trended forward by the forecast rate of change, would be insufficient for the business to recover its efficient and prudent costs.</w:t>
      </w:r>
      <w:r w:rsidR="00D62589">
        <w:t xml:space="preserve"> </w:t>
      </w:r>
      <w:r w:rsidR="00787C38">
        <w:t>We would also consider whether the costs of a proposed step change will continue to be incurred by the busines</w:t>
      </w:r>
      <w:r w:rsidR="001F75B1">
        <w:t>s in future regulatory periods.</w:t>
      </w:r>
    </w:p>
    <w:p w:rsidR="008B6959" w:rsidRDefault="008B6959" w:rsidP="00D56EC4">
      <w:pPr>
        <w:rPr>
          <w:rStyle w:val="AERbody"/>
        </w:rPr>
      </w:pPr>
      <w:r>
        <w:t xml:space="preserve">To increase its maximum allowable revenue, a regulated business has an </w:t>
      </w:r>
      <w:r>
        <w:rPr>
          <w:rStyle w:val="AERbody"/>
        </w:rPr>
        <w:t xml:space="preserve">incentive to identify new costs not reflected in base opex or increasing costs within base opex, but </w:t>
      </w:r>
      <w:r w:rsidR="00771EB5">
        <w:rPr>
          <w:rStyle w:val="AERbody"/>
        </w:rPr>
        <w:t>has no corresponding incentive to identify</w:t>
      </w:r>
      <w:r>
        <w:rPr>
          <w:rStyle w:val="AERbody"/>
        </w:rPr>
        <w:t xml:space="preserve"> those costs that are decreasing or non-recurrent. Information asymmetries make it difficult for us to identify those future diminishing costs. Therefore, </w:t>
      </w:r>
      <w:r w:rsidR="003E68C7">
        <w:rPr>
          <w:rStyle w:val="AERbody"/>
        </w:rPr>
        <w:t xml:space="preserve">simply </w:t>
      </w:r>
      <w:r>
        <w:rPr>
          <w:rStyle w:val="AERbody"/>
        </w:rPr>
        <w:t xml:space="preserve">demonstrating that a new cost will be incurred—that is, a cost that was not incurred in the base year—is not sufficient justification for a step change to base opex or for a category specific forecast. </w:t>
      </w:r>
      <w:r w:rsidR="00563D10">
        <w:rPr>
          <w:rStyle w:val="AERbody"/>
        </w:rPr>
        <w:t>There is a risk</w:t>
      </w:r>
      <w:r w:rsidR="004C6B45">
        <w:rPr>
          <w:rStyle w:val="AERbody"/>
        </w:rPr>
        <w:t xml:space="preserve"> that</w:t>
      </w:r>
      <w:r w:rsidR="00563D10">
        <w:rPr>
          <w:rStyle w:val="AERbody"/>
        </w:rPr>
        <w:t xml:space="preserve"> including such costs </w:t>
      </w:r>
      <w:r w:rsidR="00BC0EC6">
        <w:rPr>
          <w:rStyle w:val="AERbody"/>
        </w:rPr>
        <w:t xml:space="preserve">would </w:t>
      </w:r>
      <w:r w:rsidR="00563D10">
        <w:rPr>
          <w:rStyle w:val="AERbody"/>
        </w:rPr>
        <w:t xml:space="preserve">upwardly bias the total opex forecast. </w:t>
      </w:r>
    </w:p>
    <w:p w:rsidR="00D56EC4" w:rsidRDefault="00D56EC4" w:rsidP="00866E29">
      <w:pPr>
        <w:pStyle w:val="HeadingBoldItalic"/>
      </w:pPr>
      <w:bookmarkStart w:id="30" w:name="_Toc480809650"/>
      <w:r>
        <w:t>Category specific forecasts</w:t>
      </w:r>
      <w:bookmarkEnd w:id="30"/>
    </w:p>
    <w:p w:rsidR="00D56EC4" w:rsidRDefault="00D56EC4" w:rsidP="00D56EC4">
      <w:r>
        <w:t>A category specific forecast</w:t>
      </w:r>
      <w:r w:rsidR="00235FD6">
        <w:t xml:space="preserve"> </w:t>
      </w:r>
      <w:r>
        <w:t xml:space="preserve">is </w:t>
      </w:r>
      <w:r w:rsidR="00C37F96">
        <w:t xml:space="preserve">a </w:t>
      </w:r>
      <w:r>
        <w:t>forecast of a</w:t>
      </w:r>
      <w:r w:rsidR="00DF7BB0">
        <w:t>n</w:t>
      </w:r>
      <w:r>
        <w:t xml:space="preserve"> </w:t>
      </w:r>
      <w:r w:rsidR="00235FD6">
        <w:t>opex item or</w:t>
      </w:r>
      <w:r w:rsidR="00DF7BB0">
        <w:t xml:space="preserve"> activity</w:t>
      </w:r>
      <w:r>
        <w:t xml:space="preserve"> that is assessed </w:t>
      </w:r>
      <w:r w:rsidR="00012A1A">
        <w:t xml:space="preserve">and forecast </w:t>
      </w:r>
      <w:r>
        <w:t>independently from base opex</w:t>
      </w:r>
      <w:r w:rsidR="00DF7BB0">
        <w:t>,</w:t>
      </w:r>
      <w:r>
        <w:t xml:space="preserve"> and </w:t>
      </w:r>
      <w:r w:rsidR="00DF7BB0">
        <w:t xml:space="preserve">is </w:t>
      </w:r>
      <w:r>
        <w:t>not subject to the EBSS.</w:t>
      </w:r>
    </w:p>
    <w:p w:rsidR="006A3EBD" w:rsidRDefault="004C6B45" w:rsidP="006A3EBD">
      <w:r>
        <w:t>A</w:t>
      </w:r>
      <w:r w:rsidR="006A3EBD">
        <w:t xml:space="preserve"> category specific forecast may be justified if 'the future path of the expenditure category is of such a magnitude that the observed historical stability of total opex is likely to change as a result of expected changes to the relevant opex category.'</w:t>
      </w:r>
      <w:r w:rsidR="000E0609">
        <w:rPr>
          <w:rStyle w:val="FootnoteReference"/>
        </w:rPr>
        <w:footnoteReference w:id="55"/>
      </w:r>
      <w:r w:rsidRPr="004C6B45">
        <w:t xml:space="preserve"> </w:t>
      </w:r>
      <w:r>
        <w:t xml:space="preserve">In other words, a category specific forecast may be justified if, </w:t>
      </w:r>
      <w:r w:rsidRPr="00B526E5">
        <w:t xml:space="preserve">as a result of including a specific opex category in the base opex, </w:t>
      </w:r>
      <w:r>
        <w:t>total opex becomes so volatile that it undermines our assumption that total opex is relatively stable and follows a predictable path over time.</w:t>
      </w:r>
    </w:p>
    <w:p w:rsidR="00D56EC4" w:rsidRDefault="00D56EC4" w:rsidP="00D56EC4">
      <w:r>
        <w:lastRenderedPageBreak/>
        <w:t xml:space="preserve">We may also use category specific forecasts to avoid inconsistency or double counting </w:t>
      </w:r>
      <w:r w:rsidR="00771EB5">
        <w:t>within</w:t>
      </w:r>
      <w:r>
        <w:t xml:space="preserve"> our determination. We have typically included category specific forecasts for</w:t>
      </w:r>
      <w:r w:rsidRPr="0028150F">
        <w:t xml:space="preserve"> debt raising costs, </w:t>
      </w:r>
      <w:r>
        <w:t xml:space="preserve">the </w:t>
      </w:r>
      <w:r w:rsidRPr="0028150F">
        <w:t>demand management incentive allowance (DMIA)</w:t>
      </w:r>
      <w:r>
        <w:t xml:space="preserve"> </w:t>
      </w:r>
      <w:r w:rsidRPr="0028150F">
        <w:t xml:space="preserve">and guaranteed service levels (GSL) payments. </w:t>
      </w:r>
      <w:r>
        <w:t>There are specific reasons for forecasting these categories separately from base opex. For example, w</w:t>
      </w:r>
      <w:r w:rsidRPr="0028150F">
        <w:t xml:space="preserve">e forecast debt raising costs </w:t>
      </w:r>
      <w:r>
        <w:t xml:space="preserve">separately to provide </w:t>
      </w:r>
      <w:r w:rsidRPr="0007575A">
        <w:t>consistency with the forecast of the cost of debt in the rate of return building block</w:t>
      </w:r>
      <w:r>
        <w:t xml:space="preserve"> of allowable revenue</w:t>
      </w:r>
      <w:r w:rsidRPr="0028150F">
        <w:t xml:space="preserve">. For DMIA, we forecast these costs separately </w:t>
      </w:r>
      <w:r>
        <w:t>because they are funded through a separate building block</w:t>
      </w:r>
      <w:r w:rsidRPr="0028150F">
        <w:t>.</w:t>
      </w:r>
    </w:p>
    <w:p w:rsidR="00A348D7" w:rsidRDefault="00D56EC4" w:rsidP="00A348D7">
      <w:r>
        <w:t xml:space="preserve">Absent the exceptions described above, we expect that base opex, trended forward by the rate of change, </w:t>
      </w:r>
      <w:r w:rsidR="001F75B1">
        <w:t>will allow the business to recover its prudent and efficient costs</w:t>
      </w:r>
      <w:r>
        <w:t xml:space="preserve">. </w:t>
      </w:r>
      <w:r w:rsidR="008D2251">
        <w:t>As with our assessment of step changes, we</w:t>
      </w:r>
      <w:r w:rsidR="00696DCE">
        <w:t xml:space="preserve"> </w:t>
      </w:r>
      <w:r w:rsidR="00C37F96">
        <w:t>assume</w:t>
      </w:r>
      <w:r>
        <w:t xml:space="preserve"> the business has demonstrated its ability to </w:t>
      </w:r>
      <w:r w:rsidRPr="00DA78DF">
        <w:t xml:space="preserve">operate </w:t>
      </w:r>
      <w:r w:rsidR="00771EB5">
        <w:t xml:space="preserve">prudently and efficiently </w:t>
      </w:r>
      <w:r>
        <w:t>at that level of</w:t>
      </w:r>
      <w:r w:rsidRPr="00DA78DF">
        <w:t xml:space="preserve"> opex </w:t>
      </w:r>
      <w:r>
        <w:t>while meeting existing</w:t>
      </w:r>
      <w:r w:rsidRPr="00DA78DF">
        <w:t xml:space="preserve"> </w:t>
      </w:r>
      <w:r>
        <w:t xml:space="preserve">regulations, including its </w:t>
      </w:r>
      <w:r w:rsidRPr="00DA78DF">
        <w:t>safety and reliability standards</w:t>
      </w:r>
      <w:r>
        <w:t xml:space="preserve"> in the past</w:t>
      </w:r>
      <w:r w:rsidRPr="00DA78DF">
        <w:t>.</w:t>
      </w:r>
      <w:r w:rsidR="00A348D7">
        <w:t xml:space="preserve"> </w:t>
      </w:r>
      <w:r w:rsidR="00235FD6">
        <w:t>S</w:t>
      </w:r>
      <w:r w:rsidR="00A348D7">
        <w:rPr>
          <w:rStyle w:val="AERbody"/>
        </w:rPr>
        <w:t>ome costs may go up</w:t>
      </w:r>
      <w:r w:rsidR="00235FD6">
        <w:rPr>
          <w:rStyle w:val="AERbody"/>
        </w:rPr>
        <w:t>,</w:t>
      </w:r>
      <w:r w:rsidR="00A348D7">
        <w:rPr>
          <w:rStyle w:val="AERbody"/>
        </w:rPr>
        <w:t xml:space="preserve"> and some costs may go down</w:t>
      </w:r>
      <w:r w:rsidR="00235FD6">
        <w:rPr>
          <w:rStyle w:val="AERbody"/>
        </w:rPr>
        <w:t xml:space="preserve">—so </w:t>
      </w:r>
      <w:r w:rsidR="00A348D7">
        <w:rPr>
          <w:rStyle w:val="AERbody"/>
        </w:rPr>
        <w:t xml:space="preserve">despite potential volatility in the cost of certain </w:t>
      </w:r>
      <w:r w:rsidR="00CC5DE3">
        <w:rPr>
          <w:rStyle w:val="AERbody"/>
        </w:rPr>
        <w:t xml:space="preserve">individual </w:t>
      </w:r>
      <w:r w:rsidR="00A348D7">
        <w:rPr>
          <w:rStyle w:val="AERbody"/>
        </w:rPr>
        <w:t xml:space="preserve">opex activities, total opex is </w:t>
      </w:r>
      <w:r w:rsidR="001F75B1">
        <w:rPr>
          <w:rStyle w:val="AERbody"/>
        </w:rPr>
        <w:t xml:space="preserve">generally </w:t>
      </w:r>
      <w:r w:rsidR="008D2251">
        <w:rPr>
          <w:rStyle w:val="AERbody"/>
        </w:rPr>
        <w:t>relatively stable</w:t>
      </w:r>
      <w:r w:rsidR="00CC5DE3">
        <w:rPr>
          <w:rStyle w:val="AERbody"/>
        </w:rPr>
        <w:t xml:space="preserve"> </w:t>
      </w:r>
      <w:r w:rsidR="008F442B">
        <w:rPr>
          <w:rStyle w:val="AERbody"/>
        </w:rPr>
        <w:t>over time</w:t>
      </w:r>
      <w:r w:rsidR="008D2251">
        <w:rPr>
          <w:rStyle w:val="AERbody"/>
        </w:rPr>
        <w:t xml:space="preserve">. </w:t>
      </w:r>
      <w:r w:rsidR="00255AB5">
        <w:t xml:space="preserve">And we consider </w:t>
      </w:r>
      <w:r w:rsidR="008D2251">
        <w:t>p</w:t>
      </w:r>
      <w:r w:rsidR="008D2251" w:rsidRPr="005434C9">
        <w:rPr>
          <w:rStyle w:val="AERbody"/>
        </w:rPr>
        <w:t xml:space="preserve">roviding a </w:t>
      </w:r>
      <w:r w:rsidR="008D2251">
        <w:rPr>
          <w:rStyle w:val="AERbody"/>
        </w:rPr>
        <w:t>category specific forecast for opex items identified by the business may</w:t>
      </w:r>
      <w:r w:rsidR="008D2251" w:rsidRPr="005434C9">
        <w:rPr>
          <w:rStyle w:val="AERbody"/>
        </w:rPr>
        <w:t xml:space="preserve"> upwardly bias the total opex forecast</w:t>
      </w:r>
      <w:r w:rsidR="00255AB5">
        <w:rPr>
          <w:rStyle w:val="AERbody"/>
        </w:rPr>
        <w:t xml:space="preserve"> for similar reasons noted above in relation to step changes</w:t>
      </w:r>
      <w:r w:rsidR="008D2251" w:rsidRPr="005434C9">
        <w:rPr>
          <w:rStyle w:val="AERbody"/>
        </w:rPr>
        <w:t>.</w:t>
      </w:r>
    </w:p>
    <w:p w:rsidR="001247C9" w:rsidRDefault="00D56EC4" w:rsidP="00D56EC4">
      <w:pPr>
        <w:rPr>
          <w:rStyle w:val="AERbody"/>
        </w:rPr>
      </w:pPr>
      <w:r>
        <w:rPr>
          <w:rStyle w:val="AERbody"/>
        </w:rPr>
        <w:t>By applying our</w:t>
      </w:r>
      <w:r w:rsidR="00A348D7">
        <w:rPr>
          <w:rStyle w:val="AERbody"/>
        </w:rPr>
        <w:t xml:space="preserve"> revealed cost</w:t>
      </w:r>
      <w:r>
        <w:rPr>
          <w:rStyle w:val="AERbody"/>
        </w:rPr>
        <w:t xml:space="preserve"> approach consistently</w:t>
      </w:r>
      <w:r w:rsidR="00A348D7">
        <w:rPr>
          <w:rStyle w:val="AERbody"/>
        </w:rPr>
        <w:t xml:space="preserve"> and with minimal exceptions</w:t>
      </w:r>
      <w:r>
        <w:rPr>
          <w:rStyle w:val="AERbody"/>
        </w:rPr>
        <w:t xml:space="preserve">, we </w:t>
      </w:r>
      <w:r w:rsidR="00BC0EC6">
        <w:rPr>
          <w:rStyle w:val="AERbody"/>
        </w:rPr>
        <w:t xml:space="preserve">avoid the </w:t>
      </w:r>
      <w:r w:rsidR="00A348D7">
        <w:rPr>
          <w:rStyle w:val="AERbody"/>
        </w:rPr>
        <w:t xml:space="preserve">potential bias arising from businesses' asymmetric incentives to identify opex categories to be assessed separately from revealed base year opex. </w:t>
      </w:r>
    </w:p>
    <w:p w:rsidR="005F3169" w:rsidRDefault="005F3169" w:rsidP="005F3169">
      <w:r>
        <w:rPr>
          <w:rStyle w:val="AERbody"/>
        </w:rPr>
        <w:t>M</w:t>
      </w:r>
      <w:r w:rsidRPr="007F763F">
        <w:t xml:space="preserve">inimising the number of costs </w:t>
      </w:r>
      <w:r>
        <w:t>forecast on a category specific basis</w:t>
      </w:r>
      <w:r>
        <w:rPr>
          <w:rStyle w:val="AERbody"/>
        </w:rPr>
        <w:t xml:space="preserve"> also </w:t>
      </w:r>
      <w:r>
        <w:t xml:space="preserve">helps to simplify our </w:t>
      </w:r>
      <w:r w:rsidR="0092385E">
        <w:t xml:space="preserve">expenditure </w:t>
      </w:r>
      <w:r>
        <w:rPr>
          <w:rStyle w:val="AERbody"/>
        </w:rPr>
        <w:t xml:space="preserve">assessment </w:t>
      </w:r>
      <w:r>
        <w:t xml:space="preserve">and allows for greater consistency across our regulatory determinations. This </w:t>
      </w:r>
      <w:r w:rsidRPr="00F775FC">
        <w:t>promot</w:t>
      </w:r>
      <w:r>
        <w:t>es</w:t>
      </w:r>
      <w:r w:rsidRPr="00F775FC">
        <w:t xml:space="preserve"> regulatory certainty</w:t>
      </w:r>
      <w:r>
        <w:t>, and allows consumers and other stakeholders to more readily engage in our regulatory processes. A core objective of o</w:t>
      </w:r>
      <w:r w:rsidRPr="003C0A5A">
        <w:t>ur Stakeholder Engagement Framework</w:t>
      </w:r>
      <w:r>
        <w:t xml:space="preserve"> is to make o</w:t>
      </w:r>
      <w:r w:rsidRPr="003C0A5A">
        <w:t xml:space="preserve">ur assessment </w:t>
      </w:r>
      <w:r>
        <w:t xml:space="preserve">approach </w:t>
      </w:r>
      <w:r w:rsidRPr="003C0A5A">
        <w:t>and decisions accessible to</w:t>
      </w:r>
      <w:r>
        <w:t xml:space="preserve"> </w:t>
      </w:r>
      <w:r w:rsidRPr="003C0A5A">
        <w:t>a wide ranging audience.</w:t>
      </w:r>
      <w:r>
        <w:rPr>
          <w:rStyle w:val="FootnoteReference"/>
        </w:rPr>
        <w:footnoteReference w:id="56"/>
      </w:r>
    </w:p>
    <w:p w:rsidR="00DE563D" w:rsidRDefault="000646F7" w:rsidP="001754EE">
      <w:pPr>
        <w:pStyle w:val="Heading2"/>
      </w:pPr>
      <w:bookmarkStart w:id="31" w:name="_Toc480809651"/>
      <w:r>
        <w:t>AER</w:t>
      </w:r>
      <w:r w:rsidR="00DE563D">
        <w:t xml:space="preserve"> </w:t>
      </w:r>
      <w:r w:rsidR="00972F76">
        <w:t>final</w:t>
      </w:r>
      <w:r w:rsidR="00DE563D">
        <w:t xml:space="preserve"> decision</w:t>
      </w:r>
      <w:bookmarkEnd w:id="23"/>
      <w:bookmarkEnd w:id="31"/>
      <w:r w:rsidR="00DE563D">
        <w:t xml:space="preserve"> </w:t>
      </w:r>
    </w:p>
    <w:p w:rsidR="003F2642" w:rsidRDefault="003F2642" w:rsidP="003F2642">
      <w:r w:rsidRPr="00EB6ED0">
        <w:t xml:space="preserve">Our </w:t>
      </w:r>
      <w:r>
        <w:t>final</w:t>
      </w:r>
      <w:r w:rsidRPr="00EB6ED0">
        <w:t xml:space="preserve"> decision is to </w:t>
      </w:r>
      <w:r>
        <w:t xml:space="preserve">not </w:t>
      </w:r>
      <w:r w:rsidRPr="00EB6ED0">
        <w:t xml:space="preserve">accept </w:t>
      </w:r>
      <w:r>
        <w:t>AusNet Services' revised</w:t>
      </w:r>
      <w:r w:rsidRPr="00EB6ED0">
        <w:t xml:space="preserve"> </w:t>
      </w:r>
      <w:r>
        <w:t xml:space="preserve">total </w:t>
      </w:r>
      <w:r w:rsidRPr="00EB6ED0">
        <w:t>opex f</w:t>
      </w:r>
      <w:r>
        <w:t>orecast of $1049.6 million ($2016</w:t>
      </w:r>
      <w:r w:rsidRPr="00EB6ED0">
        <w:t>–</w:t>
      </w:r>
      <w:r>
        <w:t>17</w:t>
      </w:r>
      <w:r w:rsidRPr="00EB6ED0">
        <w:t>)</w:t>
      </w:r>
      <w:r>
        <w:rPr>
          <w:rStyle w:val="FootnoteReference"/>
        </w:rPr>
        <w:footnoteReference w:id="57"/>
      </w:r>
      <w:r w:rsidRPr="00EB6ED0">
        <w:t xml:space="preserve"> over the 2017–22 regulatory period.</w:t>
      </w:r>
      <w:r>
        <w:t xml:space="preserve"> </w:t>
      </w:r>
      <w:r w:rsidRPr="00344244">
        <w:t xml:space="preserve">We are not satisfied that </w:t>
      </w:r>
      <w:r>
        <w:t>AusNet Services'</w:t>
      </w:r>
      <w:r w:rsidRPr="00344244">
        <w:t xml:space="preserve"> forecast </w:t>
      </w:r>
      <w:r>
        <w:t xml:space="preserve">total </w:t>
      </w:r>
      <w:r w:rsidRPr="00344244">
        <w:t xml:space="preserve">opex </w:t>
      </w:r>
      <w:r>
        <w:t xml:space="preserve">in its revised proposal </w:t>
      </w:r>
      <w:r w:rsidRPr="00344244">
        <w:t>reasonab</w:t>
      </w:r>
      <w:r>
        <w:t>ly reflects the opex criteria under the National Electricity Rules.</w:t>
      </w:r>
      <w:r>
        <w:rPr>
          <w:rStyle w:val="FootnoteReference"/>
        </w:rPr>
        <w:footnoteReference w:id="58"/>
      </w:r>
    </w:p>
    <w:p w:rsidR="003F2642" w:rsidRDefault="003F2642" w:rsidP="003F2642">
      <w:r w:rsidRPr="00344244">
        <w:t xml:space="preserve">Our alternative estimate </w:t>
      </w:r>
      <w:r>
        <w:t>of AusNet Services' total</w:t>
      </w:r>
      <w:r w:rsidR="003A6EE0">
        <w:t xml:space="preserve"> opex is $1132.0 million ($2016–</w:t>
      </w:r>
      <w:r>
        <w:t>17)</w:t>
      </w:r>
      <w:r w:rsidR="003A6EE0">
        <w:rPr>
          <w:rStyle w:val="FootnoteReference"/>
        </w:rPr>
        <w:t> </w:t>
      </w:r>
      <w:r w:rsidRPr="00344244">
        <w:t>, which we consider reasonably reflects the opex criteria.</w:t>
      </w:r>
      <w:r w:rsidR="003A6EE0">
        <w:rPr>
          <w:rStyle w:val="FootnoteReference"/>
        </w:rPr>
        <w:footnoteReference w:id="59"/>
      </w:r>
      <w:r>
        <w:t xml:space="preserve"> Our final decision is higher </w:t>
      </w:r>
      <w:r>
        <w:lastRenderedPageBreak/>
        <w:t>than AusNet Services' revised proposal because we have incorporated new information into our total opex forecast that became available</w:t>
      </w:r>
      <w:r w:rsidRPr="004838C8">
        <w:t xml:space="preserve"> </w:t>
      </w:r>
      <w:r>
        <w:t xml:space="preserve">subsequent to its revised proposal. </w:t>
      </w:r>
    </w:p>
    <w:p w:rsidR="003F2642" w:rsidRDefault="003F2642" w:rsidP="003F2642">
      <w:r>
        <w:t>The Victorian Government increased the easement land tax imposed on AusNet Services.</w:t>
      </w:r>
      <w:r>
        <w:rPr>
          <w:rStyle w:val="FootnoteReference"/>
        </w:rPr>
        <w:footnoteReference w:id="60"/>
      </w:r>
      <w:r w:rsidRPr="00807A57">
        <w:rPr>
          <w:rStyle w:val="FootnoteReference"/>
        </w:rPr>
        <w:t xml:space="preserve"> </w:t>
      </w:r>
      <w:r>
        <w:t xml:space="preserve">Accordingly, we increased our forecast of </w:t>
      </w:r>
      <w:r w:rsidRPr="00836A76">
        <w:rPr>
          <w:rStyle w:val="Emphasis"/>
        </w:rPr>
        <w:t>annual</w:t>
      </w:r>
      <w:r>
        <w:t xml:space="preserve"> easement land tax from $114.3 million </w:t>
      </w:r>
      <w:r w:rsidRPr="008C1BFB">
        <w:t>($2016–17)</w:t>
      </w:r>
      <w:r>
        <w:t xml:space="preserve"> to $135.0 million</w:t>
      </w:r>
      <w:r w:rsidRPr="00C4760B">
        <w:t xml:space="preserve"> </w:t>
      </w:r>
      <w:r>
        <w:t>($2016–17) in our alternative estimate.</w:t>
      </w:r>
      <w:r>
        <w:rPr>
          <w:rStyle w:val="FootnoteReference"/>
        </w:rPr>
        <w:footnoteReference w:id="61"/>
      </w:r>
      <w:r>
        <w:t xml:space="preserve"> Had this not occurred, our final decision would have been $21.2 million lower than AusNet Services' revised proposal. Otherwise, our final decision is largely cons</w:t>
      </w:r>
      <w:r w:rsidR="00652FB0">
        <w:t>istent with our draft decision.</w:t>
      </w:r>
    </w:p>
    <w:p w:rsidR="002942BA" w:rsidRDefault="000D3DF0" w:rsidP="00540328">
      <w:r w:rsidRPr="000D3DF0">
        <w:t>The following sections outline the key inputs and assumptions we made in developing our alternative estimate of efficient costs</w:t>
      </w:r>
      <w:r>
        <w:t xml:space="preserve"> for AusNet Services</w:t>
      </w:r>
      <w:r w:rsidR="00481DD0">
        <w:t>, using our base</w:t>
      </w:r>
      <w:r w:rsidR="00536E8B">
        <w:t>–</w:t>
      </w:r>
      <w:r w:rsidR="00481DD0">
        <w:t>step</w:t>
      </w:r>
      <w:r w:rsidR="00536E8B">
        <w:t>–</w:t>
      </w:r>
      <w:r w:rsidR="00481DD0">
        <w:t>trend approach</w:t>
      </w:r>
      <w:r w:rsidRPr="000D3DF0">
        <w:t>. The opex model we used to calculate our alternative estimate is published on our website.</w:t>
      </w:r>
      <w:r>
        <w:t xml:space="preserve"> </w:t>
      </w:r>
    </w:p>
    <w:p w:rsidR="000646F7" w:rsidRDefault="000646F7" w:rsidP="00CD1D8B">
      <w:pPr>
        <w:pStyle w:val="Heading3"/>
      </w:pPr>
      <w:bookmarkStart w:id="32" w:name="_Toc480809652"/>
      <w:r>
        <w:t>Base opex</w:t>
      </w:r>
      <w:bookmarkEnd w:id="32"/>
    </w:p>
    <w:p w:rsidR="00543025" w:rsidRDefault="00D35124" w:rsidP="007D39FE">
      <w:r>
        <w:t xml:space="preserve">Our final decision </w:t>
      </w:r>
      <w:r w:rsidR="002417F0">
        <w:t>includes</w:t>
      </w:r>
      <w:r w:rsidR="007D39FE">
        <w:t xml:space="preserve"> a base opex amount of $</w:t>
      </w:r>
      <w:r w:rsidR="002417F0">
        <w:t>973.8</w:t>
      </w:r>
      <w:r w:rsidR="007D39FE">
        <w:t xml:space="preserve"> million ($2016</w:t>
      </w:r>
      <w:r w:rsidR="00537CE0">
        <w:t>–</w:t>
      </w:r>
      <w:r w:rsidR="007D39FE">
        <w:t xml:space="preserve">17). </w:t>
      </w:r>
      <w:r>
        <w:t xml:space="preserve">This </w:t>
      </w:r>
      <w:r w:rsidR="007D39FE">
        <w:t xml:space="preserve">forecast </w:t>
      </w:r>
      <w:r>
        <w:t xml:space="preserve">is </w:t>
      </w:r>
      <w:r w:rsidR="007D39FE">
        <w:t>derived from AusNet Services' reported total opex in the 2014</w:t>
      </w:r>
      <w:r w:rsidR="00537CE0">
        <w:t>–</w:t>
      </w:r>
      <w:r w:rsidR="007D39FE">
        <w:t>15 base year</w:t>
      </w:r>
      <w:r>
        <w:t>, consistent with our draft decision</w:t>
      </w:r>
      <w:r w:rsidR="007D39FE">
        <w:t>.</w:t>
      </w:r>
      <w:r w:rsidR="00723A4C">
        <w:t xml:space="preserve"> </w:t>
      </w:r>
    </w:p>
    <w:p w:rsidR="007D39FE" w:rsidRDefault="008D14CC" w:rsidP="007D39FE">
      <w:r>
        <w:t>We had regard to our transmission benchmarking results in deciding to use AusNet Services' actual</w:t>
      </w:r>
      <w:r w:rsidR="00CA01E1">
        <w:t xml:space="preserve"> opex</w:t>
      </w:r>
      <w:r>
        <w:t xml:space="preserve"> as a starting point for our opex forecast. Our benchmarking indicates that AusNet Services is operating relatively efficiently when compared to other service providers in the NEM. That said, conclusions from our transmission benchmarking should be treated with caution. </w:t>
      </w:r>
      <w:r w:rsidRPr="008E06AF">
        <w:t xml:space="preserve">In contrast to electricity distribution networks, </w:t>
      </w:r>
      <w:r w:rsidRPr="005D3A70">
        <w:t xml:space="preserve">our </w:t>
      </w:r>
      <w:r w:rsidRPr="008E06AF">
        <w:t>benchmarking of transmission networks is relatively new</w:t>
      </w:r>
      <w:r>
        <w:t xml:space="preserve"> and relies on a limited data set</w:t>
      </w:r>
      <w:r w:rsidRPr="008E06AF">
        <w:t>.</w:t>
      </w:r>
      <w:r>
        <w:t xml:space="preserve"> It </w:t>
      </w:r>
      <w:r w:rsidRPr="005D3A70">
        <w:t>is limited by the small sample size of transmission businesses in the NEM—among other things.</w:t>
      </w:r>
      <w:r>
        <w:t xml:space="preserve"> Notwithstanding these limitations, we </w:t>
      </w:r>
      <w:r w:rsidRPr="008E06AF">
        <w:t xml:space="preserve">consider our benchmarking models </w:t>
      </w:r>
      <w:r>
        <w:t xml:space="preserve">are </w:t>
      </w:r>
      <w:r w:rsidRPr="008E06AF">
        <w:t xml:space="preserve">the </w:t>
      </w:r>
      <w:r>
        <w:t xml:space="preserve">best available measure of the transmission businesses' </w:t>
      </w:r>
      <w:r w:rsidRPr="008E06AF">
        <w:t>overall efficiency</w:t>
      </w:r>
      <w:r>
        <w:t xml:space="preserve"> levels.</w:t>
      </w:r>
    </w:p>
    <w:p w:rsidR="007D39FE" w:rsidRDefault="00CA01E1" w:rsidP="007D39FE">
      <w:r>
        <w:t>The CCP</w:t>
      </w:r>
      <w:r w:rsidR="008D14CC">
        <w:t xml:space="preserve"> accepted th</w:t>
      </w:r>
      <w:r w:rsidR="00013266">
        <w:t>at it is reasonable to use 2014–</w:t>
      </w:r>
      <w:r w:rsidR="008D14CC">
        <w:t xml:space="preserve">15 as the base year </w:t>
      </w:r>
      <w:r w:rsidR="008D14CC" w:rsidRPr="008D14CC">
        <w:t xml:space="preserve">for </w:t>
      </w:r>
      <w:r>
        <w:t>forecasting AusNet Services' opex requirements</w:t>
      </w:r>
      <w:r w:rsidR="008D14CC">
        <w:t xml:space="preserve"> for 2017–</w:t>
      </w:r>
      <w:r w:rsidR="008D14CC" w:rsidRPr="008D14CC">
        <w:t>22</w:t>
      </w:r>
      <w:r w:rsidR="008D14CC">
        <w:t>.</w:t>
      </w:r>
      <w:r w:rsidR="008D14CC" w:rsidRPr="00823FA6">
        <w:rPr>
          <w:rStyle w:val="FootnoteReference"/>
        </w:rPr>
        <w:footnoteReference w:id="62"/>
      </w:r>
    </w:p>
    <w:p w:rsidR="007D39FE" w:rsidRDefault="007D39FE" w:rsidP="007D39FE">
      <w:r>
        <w:t>To obtain the adjusted base opex that is consistent with the opex criteria, we:</w:t>
      </w:r>
    </w:p>
    <w:p w:rsidR="007D39FE" w:rsidRDefault="007D39FE" w:rsidP="007D39FE">
      <w:pPr>
        <w:pStyle w:val="AERbulletlistfirststyle"/>
      </w:pPr>
      <w:r>
        <w:t>removed movement in provisions reported as opex in 2014</w:t>
      </w:r>
      <w:r w:rsidR="00386C89">
        <w:t>–</w:t>
      </w:r>
      <w:r>
        <w:t>15</w:t>
      </w:r>
    </w:p>
    <w:p w:rsidR="007D39FE" w:rsidRDefault="007D39FE" w:rsidP="007D39FE">
      <w:pPr>
        <w:pStyle w:val="AERbulletlistfirststyle"/>
      </w:pPr>
      <w:r>
        <w:t>removed easement land tax and debt raising costs because we adopt</w:t>
      </w:r>
      <w:r w:rsidR="00013266">
        <w:t>ed</w:t>
      </w:r>
      <w:r>
        <w:t xml:space="preserve"> a category specific forecast instead</w:t>
      </w:r>
    </w:p>
    <w:p w:rsidR="007D39FE" w:rsidRDefault="007D39FE" w:rsidP="007D39FE">
      <w:pPr>
        <w:pStyle w:val="AERbulletlistfirststyle"/>
      </w:pPr>
      <w:r>
        <w:lastRenderedPageBreak/>
        <w:t>removed the AIS rebate because the scheme has ceased</w:t>
      </w:r>
    </w:p>
    <w:p w:rsidR="007D39FE" w:rsidRDefault="007D39FE" w:rsidP="007D39FE">
      <w:pPr>
        <w:pStyle w:val="AERbulletlistfirststyle"/>
      </w:pPr>
      <w:r>
        <w:t>added our forecast increase in opex between 2014</w:t>
      </w:r>
      <w:r w:rsidR="00386C89">
        <w:t>–</w:t>
      </w:r>
      <w:r>
        <w:t>15 and 2016</w:t>
      </w:r>
      <w:r w:rsidR="00386C89">
        <w:t>–</w:t>
      </w:r>
      <w:r>
        <w:t xml:space="preserve">17 to obtain </w:t>
      </w:r>
      <w:r w:rsidR="00537CE0">
        <w:t xml:space="preserve">our estimate of </w:t>
      </w:r>
      <w:r>
        <w:t>final year opex.</w:t>
      </w:r>
    </w:p>
    <w:p w:rsidR="007D39FE" w:rsidRPr="003A7F54" w:rsidRDefault="007D39FE" w:rsidP="00755E45">
      <w:r w:rsidRPr="00A22240">
        <w:t xml:space="preserve">This is consistent with our </w:t>
      </w:r>
      <w:r w:rsidR="002417F0">
        <w:t>draft</w:t>
      </w:r>
      <w:r w:rsidR="002417F0" w:rsidRPr="00A22240">
        <w:t xml:space="preserve"> </w:t>
      </w:r>
      <w:r w:rsidRPr="00A22240">
        <w:t xml:space="preserve">decision and </w:t>
      </w:r>
      <w:r w:rsidRPr="003A7F54">
        <w:t xml:space="preserve">AusNet Services' revised proposal. </w:t>
      </w:r>
    </w:p>
    <w:p w:rsidR="007D39FE" w:rsidRDefault="007D39FE" w:rsidP="007D39FE">
      <w:r>
        <w:t>In AusNet Services' revised proposal, it estimated a base opex amount of $</w:t>
      </w:r>
      <w:r w:rsidR="001031E4">
        <w:t>978.4</w:t>
      </w:r>
      <w:r w:rsidR="00F146B4">
        <w:t> </w:t>
      </w:r>
      <w:r>
        <w:t>million ($2016</w:t>
      </w:r>
      <w:r w:rsidR="00537CE0">
        <w:t>–</w:t>
      </w:r>
      <w:r>
        <w:t>17).</w:t>
      </w:r>
      <w:r>
        <w:rPr>
          <w:rStyle w:val="FootnoteReference"/>
        </w:rPr>
        <w:footnoteReference w:id="63"/>
      </w:r>
      <w:r>
        <w:t xml:space="preserve"> The difference between our base opex </w:t>
      </w:r>
      <w:r w:rsidR="001031E4">
        <w:t xml:space="preserve">amount </w:t>
      </w:r>
      <w:r>
        <w:t xml:space="preserve">and </w:t>
      </w:r>
      <w:r w:rsidR="004276AF">
        <w:t xml:space="preserve">AusNet Services' </w:t>
      </w:r>
      <w:r w:rsidR="001031E4">
        <w:t>base opex</w:t>
      </w:r>
      <w:r>
        <w:t xml:space="preserve"> reflects a different approach to self-insurance costs. Consistent with our draft decision, we left these costs in the base year and applied a revealed cost forecasting approach</w:t>
      </w:r>
      <w:r w:rsidR="00537CE0">
        <w:t xml:space="preserve"> to total opex including self-insurance costs</w:t>
      </w:r>
      <w:r>
        <w:t>. AusNet</w:t>
      </w:r>
      <w:r w:rsidR="00543025">
        <w:t xml:space="preserve"> </w:t>
      </w:r>
      <w:r>
        <w:t xml:space="preserve">Services instead removed self-insurance costs from the base year </w:t>
      </w:r>
      <w:r w:rsidR="00013266">
        <w:t>($1.7</w:t>
      </w:r>
      <w:r w:rsidR="00543025">
        <w:t xml:space="preserve"> million) </w:t>
      </w:r>
      <w:r>
        <w:t>and proposed a category-specific forecast of $13.5 million ($2016</w:t>
      </w:r>
      <w:r w:rsidR="00537CE0">
        <w:t>–</w:t>
      </w:r>
      <w:r>
        <w:t>17). Our approach to</w:t>
      </w:r>
      <w:r w:rsidRPr="0024374F">
        <w:t xml:space="preserve"> </w:t>
      </w:r>
      <w:r>
        <w:t>self-insurance costs</w:t>
      </w:r>
      <w:r w:rsidRPr="0024374F">
        <w:t xml:space="preserve"> </w:t>
      </w:r>
      <w:r>
        <w:t>is outlined</w:t>
      </w:r>
      <w:r w:rsidRPr="0024374F">
        <w:t xml:space="preserve"> in section </w:t>
      </w:r>
      <w:r>
        <w:t>7.5.3</w:t>
      </w:r>
      <w:r w:rsidR="004276AF">
        <w:t>.2</w:t>
      </w:r>
      <w:r>
        <w:t xml:space="preserve">. </w:t>
      </w:r>
    </w:p>
    <w:p w:rsidR="007D39FE" w:rsidRPr="007D39FE" w:rsidRDefault="00EE4053" w:rsidP="008435B6">
      <w:r>
        <w:t xml:space="preserve">Further explanation of </w:t>
      </w:r>
      <w:r w:rsidR="007D39FE">
        <w:t>our choice of base year and adjustments to base year opex can be found in our draft decision for AusNet Services.</w:t>
      </w:r>
      <w:r w:rsidR="007D39FE" w:rsidRPr="007D39FE">
        <w:rPr>
          <w:rStyle w:val="FootnoteReference"/>
        </w:rPr>
        <w:footnoteReference w:id="64"/>
      </w:r>
    </w:p>
    <w:p w:rsidR="000646F7" w:rsidRDefault="000646F7" w:rsidP="00CD1D8B">
      <w:pPr>
        <w:pStyle w:val="Heading3"/>
      </w:pPr>
      <w:bookmarkStart w:id="33" w:name="_Ref474916821"/>
      <w:bookmarkStart w:id="34" w:name="_Toc480809653"/>
      <w:r>
        <w:t>Rate of change</w:t>
      </w:r>
      <w:bookmarkEnd w:id="33"/>
      <w:bookmarkEnd w:id="34"/>
    </w:p>
    <w:p w:rsidR="00C43C0C" w:rsidRDefault="00BE4D2E" w:rsidP="00A35C07">
      <w:r>
        <w:t>Following the base–</w:t>
      </w:r>
      <w:r w:rsidR="00C43C0C">
        <w:t>step</w:t>
      </w:r>
      <w:r>
        <w:t>–</w:t>
      </w:r>
      <w:r w:rsidR="00C43C0C">
        <w:t xml:space="preserve">trend approach, we apply a forecast annual rate of change to base opex to account for </w:t>
      </w:r>
      <w:r w:rsidR="000E3A24">
        <w:t xml:space="preserve">expected </w:t>
      </w:r>
      <w:r w:rsidR="00C43C0C">
        <w:t xml:space="preserve">changes in </w:t>
      </w:r>
      <w:r w:rsidR="004276AF">
        <w:t>output</w:t>
      </w:r>
      <w:r w:rsidR="00C43C0C">
        <w:t xml:space="preserve"> and cost inputs for each year of the 2017</w:t>
      </w:r>
      <w:r w:rsidR="00215270">
        <w:t>–</w:t>
      </w:r>
      <w:r w:rsidR="00C43C0C">
        <w:t xml:space="preserve">22 regulatory control period. </w:t>
      </w:r>
    </w:p>
    <w:p w:rsidR="0015278B" w:rsidRDefault="00921B37" w:rsidP="0015278B">
      <w:r>
        <w:t xml:space="preserve">We did not adopt AusNet Services' forecast rate of change </w:t>
      </w:r>
      <w:r w:rsidR="00AD1BBB">
        <w:t>to derive</w:t>
      </w:r>
      <w:r>
        <w:t xml:space="preserve"> </w:t>
      </w:r>
      <w:r w:rsidR="000E3A24">
        <w:t xml:space="preserve">our </w:t>
      </w:r>
      <w:r>
        <w:t xml:space="preserve">alternative estimate </w:t>
      </w:r>
      <w:r w:rsidR="000E3A24">
        <w:t xml:space="preserve">of opex </w:t>
      </w:r>
      <w:r>
        <w:t xml:space="preserve">in our draft decision. </w:t>
      </w:r>
      <w:r w:rsidR="000E3A24">
        <w:t>A</w:t>
      </w:r>
      <w:r w:rsidR="0015278B" w:rsidRPr="00034EAC">
        <w:t xml:space="preserve">ppendix B of attachment 7 </w:t>
      </w:r>
      <w:r w:rsidR="000E3A24">
        <w:t>of</w:t>
      </w:r>
      <w:r w:rsidR="000E3A24" w:rsidRPr="00034EAC">
        <w:t xml:space="preserve"> </w:t>
      </w:r>
      <w:r w:rsidR="0015278B" w:rsidRPr="00034EAC">
        <w:t xml:space="preserve">our </w:t>
      </w:r>
      <w:r w:rsidR="0015278B">
        <w:t>draft</w:t>
      </w:r>
      <w:r w:rsidR="0015278B" w:rsidRPr="00034EAC">
        <w:t xml:space="preserve"> decision </w:t>
      </w:r>
      <w:r w:rsidR="000E3A24">
        <w:t>contains</w:t>
      </w:r>
      <w:r w:rsidR="000E3A24" w:rsidRPr="00034EAC">
        <w:t xml:space="preserve"> </w:t>
      </w:r>
      <w:r w:rsidR="0015278B" w:rsidRPr="00034EAC">
        <w:t>a detailed explanation of our considerations.</w:t>
      </w:r>
      <w:r w:rsidR="00DF047C">
        <w:rPr>
          <w:rStyle w:val="FootnoteReference"/>
        </w:rPr>
        <w:footnoteReference w:id="65"/>
      </w:r>
    </w:p>
    <w:p w:rsidR="00504340" w:rsidRDefault="00504340" w:rsidP="00504340">
      <w:r>
        <w:t>In its revised proposal, AusNet Services accepted our draft decision to forecast:</w:t>
      </w:r>
    </w:p>
    <w:p w:rsidR="00921B37" w:rsidRPr="008574F5" w:rsidRDefault="00921B37" w:rsidP="00921B37">
      <w:pPr>
        <w:pStyle w:val="AERbulletlistfirststyle"/>
      </w:pPr>
      <w:r>
        <w:t xml:space="preserve">labour prices based on </w:t>
      </w:r>
      <w:r w:rsidRPr="008574F5">
        <w:t xml:space="preserve">the average of the WPI growth rates for the Victorian utilities industry as forecast by </w:t>
      </w:r>
      <w:r>
        <w:t>Deloitte Access Economics (DAE)</w:t>
      </w:r>
      <w:r w:rsidRPr="008574F5">
        <w:t xml:space="preserve"> </w:t>
      </w:r>
      <w:r>
        <w:t xml:space="preserve">and </w:t>
      </w:r>
      <w:r w:rsidR="00215270" w:rsidRPr="005F29CF">
        <w:t>the Centre for International Economics (CIE)</w:t>
      </w:r>
      <w:r>
        <w:rPr>
          <w:rStyle w:val="FootnoteReference"/>
        </w:rPr>
        <w:footnoteReference w:id="66"/>
      </w:r>
    </w:p>
    <w:p w:rsidR="00921B37" w:rsidRDefault="00921B37" w:rsidP="00921B37">
      <w:pPr>
        <w:pStyle w:val="AERbulletlistfirststyle"/>
      </w:pPr>
      <w:r>
        <w:t>no real price growth for non-labour prices.</w:t>
      </w:r>
    </w:p>
    <w:p w:rsidR="00921B37" w:rsidRPr="008574F5" w:rsidRDefault="00921B37" w:rsidP="00921B37">
      <w:r>
        <w:t xml:space="preserve">However, AusNet Services did not use the benchmark input price weights we used in our draft decision. It proposed </w:t>
      </w:r>
      <w:r w:rsidRPr="004F11CC">
        <w:t>labour and non-labour weights of 78</w:t>
      </w:r>
      <w:r>
        <w:t xml:space="preserve"> per cent </w:t>
      </w:r>
      <w:r w:rsidRPr="004F11CC">
        <w:t>and 22</w:t>
      </w:r>
      <w:r>
        <w:t xml:space="preserve"> per cent </w:t>
      </w:r>
      <w:r w:rsidRPr="004F11CC">
        <w:t>respectively</w:t>
      </w:r>
      <w:r>
        <w:t xml:space="preserve">, which it stated </w:t>
      </w:r>
      <w:r w:rsidR="00CB43DB">
        <w:t>were</w:t>
      </w:r>
      <w:r w:rsidR="000E3A24">
        <w:t xml:space="preserve"> </w:t>
      </w:r>
      <w:r>
        <w:t>based on</w:t>
      </w:r>
      <w:r w:rsidRPr="008574F5">
        <w:t xml:space="preserve"> its actual expenditure in </w:t>
      </w:r>
      <w:r>
        <w:br/>
      </w:r>
      <w:r w:rsidRPr="008574F5">
        <w:t>2014</w:t>
      </w:r>
      <w:r>
        <w:t>–15</w:t>
      </w:r>
      <w:r w:rsidRPr="008574F5">
        <w:t>.</w:t>
      </w:r>
      <w:r>
        <w:rPr>
          <w:rStyle w:val="FootnoteReference"/>
        </w:rPr>
        <w:footnoteReference w:id="67"/>
      </w:r>
    </w:p>
    <w:p w:rsidR="00921B37" w:rsidRPr="008574F5" w:rsidRDefault="00921B37" w:rsidP="00921B37">
      <w:r w:rsidRPr="008574F5">
        <w:lastRenderedPageBreak/>
        <w:t xml:space="preserve">AusNet Services </w:t>
      </w:r>
      <w:r>
        <w:t>forecast no output growth consistent with</w:t>
      </w:r>
      <w:r w:rsidRPr="008574F5">
        <w:t xml:space="preserve"> our </w:t>
      </w:r>
      <w:r>
        <w:t>draft</w:t>
      </w:r>
      <w:r w:rsidRPr="008574F5">
        <w:t xml:space="preserve"> decision. </w:t>
      </w:r>
      <w:r>
        <w:t xml:space="preserve">It agreed that </w:t>
      </w:r>
      <w:r w:rsidRPr="00A12C75">
        <w:t xml:space="preserve">AEMO or distributors will incur the </w:t>
      </w:r>
      <w:r>
        <w:t>operating and maintenance</w:t>
      </w:r>
      <w:r w:rsidRPr="00A12C75">
        <w:t xml:space="preserve"> costs associated with augmentation of shared network and connection assets in the </w:t>
      </w:r>
      <w:r>
        <w:t>2017–22 regulatory control</w:t>
      </w:r>
      <w:r w:rsidRPr="00A12C75">
        <w:t xml:space="preserve"> period.</w:t>
      </w:r>
      <w:r>
        <w:rPr>
          <w:rStyle w:val="FootnoteReference"/>
        </w:rPr>
        <w:footnoteReference w:id="68"/>
      </w:r>
    </w:p>
    <w:p w:rsidR="00921B37" w:rsidRPr="008574F5" w:rsidRDefault="00921B37" w:rsidP="00921B37">
      <w:r w:rsidRPr="008574F5">
        <w:t xml:space="preserve">AusNet Services </w:t>
      </w:r>
      <w:r>
        <w:t>also forecast no</w:t>
      </w:r>
      <w:r w:rsidRPr="008574F5">
        <w:t xml:space="preserve"> productivity growth.</w:t>
      </w:r>
      <w:r>
        <w:rPr>
          <w:rStyle w:val="FootnoteReference"/>
        </w:rPr>
        <w:footnoteReference w:id="69"/>
      </w:r>
      <w:r w:rsidRPr="008574F5">
        <w:t xml:space="preserve"> This is </w:t>
      </w:r>
      <w:r>
        <w:t>a change from its initial proposal, in which it forecast annual productivity growth of 0.28 per cent.</w:t>
      </w:r>
      <w:r>
        <w:rPr>
          <w:rStyle w:val="FootnoteReference"/>
        </w:rPr>
        <w:footnoteReference w:id="70"/>
      </w:r>
      <w:r>
        <w:t xml:space="preserve"> It is also different to </w:t>
      </w:r>
      <w:r w:rsidRPr="008574F5">
        <w:t xml:space="preserve">our </w:t>
      </w:r>
      <w:r>
        <w:t>draft decision, for which we forecast annual productivity growth of 0.2 per cent.</w:t>
      </w:r>
      <w:r>
        <w:rPr>
          <w:rStyle w:val="FootnoteReference"/>
        </w:rPr>
        <w:footnoteReference w:id="71"/>
      </w:r>
    </w:p>
    <w:p w:rsidR="00921B37" w:rsidRDefault="00921B37" w:rsidP="00921B37">
      <w:r w:rsidRPr="008574F5">
        <w:t>Based on</w:t>
      </w:r>
      <w:r w:rsidR="004276AF">
        <w:t xml:space="preserve"> this approach, AusNet Services</w:t>
      </w:r>
      <w:r w:rsidRPr="008574F5">
        <w:t xml:space="preserve"> </w:t>
      </w:r>
      <w:r>
        <w:t xml:space="preserve">forecast an </w:t>
      </w:r>
      <w:r w:rsidRPr="008574F5">
        <w:t xml:space="preserve">average annual rate of change </w:t>
      </w:r>
      <w:r>
        <w:t>of</w:t>
      </w:r>
      <w:r w:rsidRPr="008574F5">
        <w:t xml:space="preserve"> </w:t>
      </w:r>
      <w:r>
        <w:t>0.69</w:t>
      </w:r>
      <w:r w:rsidRPr="008574F5">
        <w:t xml:space="preserve"> per cent, which </w:t>
      </w:r>
      <w:r>
        <w:t xml:space="preserve">is less than </w:t>
      </w:r>
      <w:r w:rsidRPr="008574F5">
        <w:t>its initial proposal</w:t>
      </w:r>
      <w:r>
        <w:t xml:space="preserve"> of 2.02</w:t>
      </w:r>
      <w:r w:rsidRPr="008574F5">
        <w:t xml:space="preserve"> per cent.</w:t>
      </w:r>
      <w:r>
        <w:rPr>
          <w:rStyle w:val="FootnoteReference"/>
        </w:rPr>
        <w:footnoteReference w:id="72"/>
      </w:r>
    </w:p>
    <w:p w:rsidR="00A35C07" w:rsidRPr="00572A77" w:rsidRDefault="00921B37" w:rsidP="00A35C07">
      <w:r>
        <w:t>For our final decision, w</w:t>
      </w:r>
      <w:r w:rsidR="00A35C07" w:rsidRPr="00572A77">
        <w:t xml:space="preserve">e </w:t>
      </w:r>
      <w:r w:rsidR="009542AB">
        <w:t xml:space="preserve">maintain that we </w:t>
      </w:r>
      <w:r w:rsidR="00A35C07" w:rsidRPr="00572A77">
        <w:t>are not satisfied AusNet Services' proposed rate of change for the 201</w:t>
      </w:r>
      <w:r w:rsidR="00A35C07">
        <w:t>7</w:t>
      </w:r>
      <w:r w:rsidR="00A35C07" w:rsidRPr="00572A77">
        <w:t>–2</w:t>
      </w:r>
      <w:r w:rsidR="00A35C07">
        <w:t>2</w:t>
      </w:r>
      <w:r w:rsidR="00A35C07" w:rsidRPr="00572A77">
        <w:t xml:space="preserve"> regulatory control period </w:t>
      </w:r>
      <w:r w:rsidR="00A35C07">
        <w:t xml:space="preserve">will produce a total opex forecast that </w:t>
      </w:r>
      <w:r w:rsidR="00A35C07" w:rsidRPr="00572A77">
        <w:t>reasonably reflects the opex criteria.</w:t>
      </w:r>
      <w:r w:rsidR="00A35C07">
        <w:rPr>
          <w:rStyle w:val="FootnoteReference"/>
        </w:rPr>
        <w:footnoteReference w:id="73"/>
      </w:r>
      <w:r w:rsidR="00A35C07" w:rsidRPr="00572A77">
        <w:t xml:space="preserve"> This is because AusNet Services' labour price growth forecasting approach:</w:t>
      </w:r>
    </w:p>
    <w:p w:rsidR="00A35C07" w:rsidRPr="00572A77" w:rsidRDefault="004969DB" w:rsidP="00A35C07">
      <w:pPr>
        <w:pStyle w:val="AERbulletlistfirststyle"/>
      </w:pPr>
      <w:r>
        <w:t>I</w:t>
      </w:r>
      <w:r w:rsidR="00A35C07" w:rsidRPr="00572A77">
        <w:t xml:space="preserve">s inconsistent with providing effective incentives in order to promote economic efficiency through the </w:t>
      </w:r>
      <w:r w:rsidR="007C7933">
        <w:t>adoption of an efficient input mix</w:t>
      </w:r>
      <w:r>
        <w:t>.</w:t>
      </w:r>
      <w:r w:rsidR="00A35C07">
        <w:rPr>
          <w:rStyle w:val="FootnoteReference"/>
        </w:rPr>
        <w:footnoteReference w:id="74"/>
      </w:r>
    </w:p>
    <w:p w:rsidR="00A35C07" w:rsidRPr="00572A77" w:rsidRDefault="004969DB" w:rsidP="00A35C07">
      <w:pPr>
        <w:pStyle w:val="AERbulletlistfirststyle"/>
      </w:pPr>
      <w:r>
        <w:t>T</w:t>
      </w:r>
      <w:r w:rsidR="00A35C07" w:rsidRPr="00572A77">
        <w:t>reats all services contract expenditure as labour. This assumes that the price change of contractors' non-labour inputs is the same as their labour. Consequently, AusNet Services applied a higher weighting to labour price growth in determining the mix of labour and non-labour price growth, which it based on its actual expenditure in 2014</w:t>
      </w:r>
      <w:r w:rsidR="00A87E6D">
        <w:t>–</w:t>
      </w:r>
      <w:r w:rsidR="007C7933">
        <w:t>15</w:t>
      </w:r>
      <w:r w:rsidR="00A35C07" w:rsidRPr="00572A77">
        <w:t xml:space="preserve">. </w:t>
      </w:r>
      <w:r w:rsidR="00A35C07">
        <w:t>T</w:t>
      </w:r>
      <w:r w:rsidR="00A35C07" w:rsidRPr="00572A77">
        <w:t xml:space="preserve">his overstates the cost inputs required by a prudent and efficient </w:t>
      </w:r>
      <w:r w:rsidR="00A35C07">
        <w:t>distributor</w:t>
      </w:r>
      <w:r w:rsidR="00A35C07" w:rsidRPr="00572A77">
        <w:t xml:space="preserve"> in the forecast period.</w:t>
      </w:r>
    </w:p>
    <w:p w:rsidR="00921B37" w:rsidRDefault="00A35C07" w:rsidP="00921B37">
      <w:r w:rsidRPr="005F29CF">
        <w:t>Since we are not satisfied that AusNet Services' proposed rate of change will produce a total opex forecast consistent with the opex criteria, we must not accept it and we must develop our own estimate.</w:t>
      </w:r>
      <w:r>
        <w:rPr>
          <w:rStyle w:val="FootnoteReference"/>
        </w:rPr>
        <w:footnoteReference w:id="75"/>
      </w:r>
      <w:r w:rsidRPr="005F29CF">
        <w:t xml:space="preserve"> </w:t>
      </w:r>
    </w:p>
    <w:p w:rsidR="00A35C07" w:rsidRPr="005F29CF" w:rsidRDefault="00A35C07" w:rsidP="00A35C07">
      <w:r w:rsidRPr="005F29CF">
        <w:t>Our estimate of the rate of change forecasts:</w:t>
      </w:r>
    </w:p>
    <w:p w:rsidR="00A35C07" w:rsidRPr="005F29CF" w:rsidRDefault="004969DB" w:rsidP="00A35C07">
      <w:pPr>
        <w:pStyle w:val="AERbulletlistfirststyle"/>
      </w:pPr>
      <w:r>
        <w:t>L</w:t>
      </w:r>
      <w:r w:rsidR="00A35C07" w:rsidRPr="005F29CF">
        <w:t xml:space="preserve">abour price growth based on the forecast growth in the WPI for the Victorian electricity, gas, water and waste services (utilities) industry. We have used the average of the </w:t>
      </w:r>
      <w:r w:rsidR="00A35C07">
        <w:t xml:space="preserve">most recent </w:t>
      </w:r>
      <w:r w:rsidR="00A35C07" w:rsidRPr="005F29CF">
        <w:t xml:space="preserve">Victorian utilities WPI forecasts from DAE and CIE. </w:t>
      </w:r>
      <w:r w:rsidR="00A35C07" w:rsidRPr="00611132">
        <w:t>Adopting expert advice</w:t>
      </w:r>
      <w:r w:rsidR="00A35C07">
        <w:t xml:space="preserve"> </w:t>
      </w:r>
      <w:r w:rsidR="00A35C07" w:rsidRPr="005F29CF">
        <w:t>from Economic Insights, we have ap</w:t>
      </w:r>
      <w:r w:rsidR="00A35C07">
        <w:t>plied input price weights of 62 per </w:t>
      </w:r>
      <w:r w:rsidR="00A35C07" w:rsidRPr="005F29CF">
        <w:t xml:space="preserve">cent for labour and 38 per cent for non-labour, which reflect the </w:t>
      </w:r>
      <w:r w:rsidR="00A35C07" w:rsidRPr="005F29CF">
        <w:lastRenderedPageBreak/>
        <w:t>weights of an efficient benchmark firm, to forecast total price change.</w:t>
      </w:r>
      <w:r w:rsidR="00A35C07" w:rsidRPr="00443289">
        <w:t xml:space="preserve"> </w:t>
      </w:r>
      <w:r w:rsidR="00A35C07">
        <w:t>We have updated the forecast</w:t>
      </w:r>
      <w:r w:rsidR="00A35C07" w:rsidRPr="005F29CF">
        <w:t xml:space="preserve"> of WPI growth for t</w:t>
      </w:r>
      <w:r w:rsidR="00A35C07">
        <w:t>he Victorian utilities industry that we used in our draft decision to reflect that most recent forecasts available DAE and CIE.</w:t>
      </w:r>
    </w:p>
    <w:p w:rsidR="00A35C07" w:rsidRPr="005F29CF" w:rsidRDefault="004969DB" w:rsidP="00A35C07">
      <w:pPr>
        <w:pStyle w:val="AERbulletlistfirststyle"/>
      </w:pPr>
      <w:r>
        <w:t>O</w:t>
      </w:r>
      <w:r w:rsidR="00A35C07" w:rsidRPr="00611132">
        <w:t xml:space="preserve">utput growth of zero based on the fact that AusNet Services will not incur </w:t>
      </w:r>
      <w:r w:rsidR="00A35C07">
        <w:t>any</w:t>
      </w:r>
      <w:r w:rsidR="00A35C07" w:rsidRPr="00611132">
        <w:t xml:space="preserve"> </w:t>
      </w:r>
      <w:r w:rsidR="00A35C07">
        <w:t xml:space="preserve">cost increases due to </w:t>
      </w:r>
      <w:r w:rsidR="00A35C07" w:rsidRPr="00611132">
        <w:t>output growth in the 2017–22 regulatory control period.</w:t>
      </w:r>
      <w:r w:rsidR="00A35C07">
        <w:t xml:space="preserve"> </w:t>
      </w:r>
      <w:r w:rsidR="00A35C07" w:rsidRPr="00E01646">
        <w:t>AusNet</w:t>
      </w:r>
      <w:r w:rsidR="00A35C07">
        <w:t> </w:t>
      </w:r>
      <w:r w:rsidR="00A35C07" w:rsidRPr="00E01646">
        <w:t>Services is not required to fund the operation and maintenance of new augmentation and connection assets, including group 3 assets</w:t>
      </w:r>
      <w:r w:rsidR="00935B91">
        <w:rPr>
          <w:rStyle w:val="FootnoteReference"/>
        </w:rPr>
        <w:footnoteReference w:id="76"/>
      </w:r>
      <w:r w:rsidR="00A35C07" w:rsidRPr="00E01646">
        <w:t>, from its opex allowance</w:t>
      </w:r>
      <w:r w:rsidR="00A35C07">
        <w:t>.</w:t>
      </w:r>
      <w:r w:rsidR="00A35C07" w:rsidRPr="00E01646">
        <w:t xml:space="preserve"> </w:t>
      </w:r>
      <w:r w:rsidR="00A35C07">
        <w:t>This is consistent with our draft decision.</w:t>
      </w:r>
    </w:p>
    <w:p w:rsidR="00A35C07" w:rsidRPr="005F29CF" w:rsidRDefault="004969DB" w:rsidP="00A35C07">
      <w:pPr>
        <w:pStyle w:val="AERbulletlistfirststyle"/>
      </w:pPr>
      <w:r>
        <w:t>F</w:t>
      </w:r>
      <w:r w:rsidR="00A35C07" w:rsidRPr="00611132">
        <w:t xml:space="preserve">orecast productivity growth of </w:t>
      </w:r>
      <w:r w:rsidR="00A35C07">
        <w:t xml:space="preserve">zero, rather than the </w:t>
      </w:r>
      <w:r w:rsidR="00A35C07" w:rsidRPr="00611132">
        <w:t>0.2 per cent</w:t>
      </w:r>
      <w:r w:rsidR="00A35C07">
        <w:t xml:space="preserve"> growth rate we forecast in our draft decision.</w:t>
      </w:r>
      <w:r w:rsidR="00A35C07" w:rsidRPr="00611132">
        <w:t xml:space="preserve"> Economic Insights</w:t>
      </w:r>
      <w:r w:rsidR="00A35C07">
        <w:t xml:space="preserve"> advised we forecast zero productivity growth to avoid double counting the economies of scale </w:t>
      </w:r>
      <w:r w:rsidR="00A35C07" w:rsidRPr="007F6A3B">
        <w:t xml:space="preserve">captured in the </w:t>
      </w:r>
      <w:r w:rsidR="00A35C07">
        <w:t>opex forecast for g</w:t>
      </w:r>
      <w:r w:rsidR="00A35C07" w:rsidRPr="007F6A3B">
        <w:t xml:space="preserve">roup 3 </w:t>
      </w:r>
      <w:r w:rsidR="00A35C07">
        <w:t>assets. AusNet Services is only required to fund the operation and maintenance of group 3 assets from its opex allowance when they are rolled into its asset base at the end of each regulatory control period.</w:t>
      </w:r>
      <w:r w:rsidR="00A35C07" w:rsidRPr="00F05763">
        <w:rPr>
          <w:rStyle w:val="FootnoteReference"/>
        </w:rPr>
        <w:t xml:space="preserve"> </w:t>
      </w:r>
      <w:r w:rsidR="00A35C07">
        <w:rPr>
          <w:rStyle w:val="FootnoteReference"/>
        </w:rPr>
        <w:footnoteReference w:id="77"/>
      </w:r>
    </w:p>
    <w:p w:rsidR="00261717" w:rsidRPr="00261717" w:rsidRDefault="00261717" w:rsidP="00543025">
      <w:r>
        <w:t>We have forecast</w:t>
      </w:r>
      <w:r w:rsidRPr="00261717">
        <w:t xml:space="preserve"> an average annual rate of change of 0.5</w:t>
      </w:r>
      <w:r w:rsidR="00C52BD8">
        <w:t>8</w:t>
      </w:r>
      <w:r w:rsidRPr="00261717">
        <w:t xml:space="preserve"> per cent, which is higher than the 0.33 per cent we forecast in our draft decision.</w:t>
      </w:r>
    </w:p>
    <w:p w:rsidR="00A35C07" w:rsidRPr="005F29CF" w:rsidRDefault="00261717" w:rsidP="00A35C07">
      <w:r w:rsidRPr="005F29CF">
        <w:t xml:space="preserve">We have applied the same rate of change method to derive our alternative estimate of opex as we used in our </w:t>
      </w:r>
      <w:r>
        <w:t>draft</w:t>
      </w:r>
      <w:r w:rsidRPr="005F29CF">
        <w:t xml:space="preserve"> decision. </w:t>
      </w:r>
      <w:r w:rsidR="00A35C07" w:rsidRPr="005F29CF">
        <w:t>We consider that applying our method to derive an alternative estimate of opex will result in a forecast that reasonably reflects the efficient and prudent costs faced by AusNet Services given a realistic expectation of demand forecasts and cost inputs because:</w:t>
      </w:r>
    </w:p>
    <w:p w:rsidR="00A35C07" w:rsidRPr="005F29CF" w:rsidRDefault="00A35C07" w:rsidP="00A35C07">
      <w:pPr>
        <w:pStyle w:val="AERbulletlistfirststyle"/>
      </w:pPr>
      <w:r w:rsidRPr="005F29CF">
        <w:t>our labour price growth measure reasonably reflects current an</w:t>
      </w:r>
      <w:r>
        <w:t>d forecast economic conditions</w:t>
      </w:r>
    </w:p>
    <w:p w:rsidR="00A35C07" w:rsidRPr="005F29CF" w:rsidRDefault="00A35C07" w:rsidP="00A35C07">
      <w:pPr>
        <w:pStyle w:val="AERbulletlistfirststyle"/>
      </w:pPr>
      <w:r w:rsidRPr="005F29CF">
        <w:t xml:space="preserve">our labour and non-labour price weightings reasonably reflect the benchmark efficient mix of labour services and other costs required to provide </w:t>
      </w:r>
      <w:r>
        <w:t>transmission</w:t>
      </w:r>
      <w:r w:rsidRPr="005F29CF">
        <w:t xml:space="preserve"> services</w:t>
      </w:r>
    </w:p>
    <w:p w:rsidR="00A35C07" w:rsidRPr="00F26BF4" w:rsidRDefault="00A35C07" w:rsidP="00A35C07">
      <w:pPr>
        <w:pStyle w:val="AERbulletlistfirststyle"/>
      </w:pPr>
      <w:r w:rsidRPr="00F26BF4">
        <w:t>our forecast of output growth recognises that AusNet Services will not incur the costs associated with operating and maintaining new augmentation and connection assets (including group 3 assets)</w:t>
      </w:r>
    </w:p>
    <w:p w:rsidR="00A35C07" w:rsidRPr="005F29CF" w:rsidRDefault="00A35C07" w:rsidP="00A35C07">
      <w:pPr>
        <w:pStyle w:val="AERbulletlistfirststyle"/>
      </w:pPr>
      <w:r w:rsidRPr="00F26BF4">
        <w:t xml:space="preserve">our productivity growth forecast </w:t>
      </w:r>
      <w:r>
        <w:t>recognises that economies of scale are captured in our forecast of the additional opex required to operate and maintain group 3 assets.</w:t>
      </w:r>
    </w:p>
    <w:p w:rsidR="00921B37" w:rsidRPr="005F29CF" w:rsidRDefault="003B15BB" w:rsidP="00647758">
      <w:r w:rsidRPr="006F08E4">
        <w:t xml:space="preserve">In estimating our rate of change, we considered AusNet Services' proposed forecast growth in prices, output and productivity and the </w:t>
      </w:r>
      <w:r w:rsidR="0028505F">
        <w:t xml:space="preserve">forecasting </w:t>
      </w:r>
      <w:r w:rsidRPr="006F08E4">
        <w:t xml:space="preserve">method </w:t>
      </w:r>
      <w:r w:rsidR="0028505F">
        <w:t xml:space="preserve">it </w:t>
      </w:r>
      <w:r w:rsidRPr="006F08E4">
        <w:t xml:space="preserve">used. </w:t>
      </w:r>
      <w:r w:rsidRPr="005F29CF">
        <w:t>Our forecast of the overall rate of change used to derive our alternative estimate of opex is lower than AusNet Services' over the forecast period.</w:t>
      </w:r>
      <w:r w:rsidRPr="003B15BB">
        <w:t xml:space="preserve"> </w:t>
      </w:r>
      <w:r w:rsidRPr="005F29CF">
        <w:t>The difference</w:t>
      </w:r>
      <w:r>
        <w:t xml:space="preserve"> is due to our </w:t>
      </w:r>
      <w:r w:rsidRPr="005F29CF">
        <w:lastRenderedPageBreak/>
        <w:t xml:space="preserve">forecast of annual price growth </w:t>
      </w:r>
      <w:r>
        <w:t>being,</w:t>
      </w:r>
      <w:r w:rsidRPr="005F29CF">
        <w:t xml:space="preserve"> on average</w:t>
      </w:r>
      <w:r>
        <w:t>,</w:t>
      </w:r>
      <w:r w:rsidRPr="005F29CF">
        <w:t xml:space="preserve"> 0.</w:t>
      </w:r>
      <w:r>
        <w:t>10</w:t>
      </w:r>
      <w:r w:rsidRPr="005F29CF">
        <w:t xml:space="preserve"> percentage points lower than AusNet Services</w:t>
      </w:r>
      <w:r>
        <w:t>'.</w:t>
      </w:r>
      <w:r w:rsidR="00647758">
        <w:t xml:space="preserve"> This reduces our alternative estimate of opex by $0.</w:t>
      </w:r>
      <w:r w:rsidR="00992A70">
        <w:t>6</w:t>
      </w:r>
      <w:r w:rsidR="00647758">
        <w:t xml:space="preserve"> million ($2016–17). </w:t>
      </w:r>
      <w:r>
        <w:t xml:space="preserve"> </w:t>
      </w:r>
    </w:p>
    <w:p w:rsidR="00504340" w:rsidRDefault="00F97ECA" w:rsidP="00504340">
      <w:r>
        <w:fldChar w:fldCharType="begin"/>
      </w:r>
      <w:r>
        <w:instrText xml:space="preserve"> REF _Ref474832190 \h </w:instrText>
      </w:r>
      <w:r>
        <w:fldChar w:fldCharType="separate"/>
      </w:r>
      <w:r w:rsidR="003042CF">
        <w:t xml:space="preserve">Table </w:t>
      </w:r>
      <w:r w:rsidR="003042CF">
        <w:rPr>
          <w:noProof/>
        </w:rPr>
        <w:t>7</w:t>
      </w:r>
      <w:r w:rsidR="003042CF">
        <w:t>.</w:t>
      </w:r>
      <w:r w:rsidR="003042CF">
        <w:rPr>
          <w:noProof/>
        </w:rPr>
        <w:t>3</w:t>
      </w:r>
      <w:r>
        <w:fldChar w:fldCharType="end"/>
      </w:r>
      <w:r w:rsidR="00504340" w:rsidRPr="00924DBB">
        <w:t xml:space="preserve"> shows AusNet Services' and our overall rate of change and each rate of change component </w:t>
      </w:r>
      <w:r w:rsidR="00504340">
        <w:t xml:space="preserve">in percentage terms </w:t>
      </w:r>
      <w:r w:rsidR="00504340" w:rsidRPr="00924DBB">
        <w:t>for each regulatory year of the 201</w:t>
      </w:r>
      <w:r w:rsidR="00504340">
        <w:t>7</w:t>
      </w:r>
      <w:r w:rsidR="00504340" w:rsidRPr="00924DBB">
        <w:t>–2</w:t>
      </w:r>
      <w:r w:rsidR="00504340">
        <w:t>2</w:t>
      </w:r>
      <w:r w:rsidR="00504340" w:rsidRPr="00924DBB">
        <w:t xml:space="preserve"> regulatory control </w:t>
      </w:r>
      <w:proofErr w:type="gramStart"/>
      <w:r w:rsidR="00504340" w:rsidRPr="00924DBB">
        <w:t>period</w:t>
      </w:r>
      <w:proofErr w:type="gramEnd"/>
      <w:r w:rsidR="00504340" w:rsidRPr="00924DBB">
        <w:t>.</w:t>
      </w:r>
    </w:p>
    <w:p w:rsidR="00504340" w:rsidRDefault="00F97ECA" w:rsidP="00F97ECA">
      <w:pPr>
        <w:pStyle w:val="Caption"/>
      </w:pPr>
      <w:bookmarkStart w:id="35" w:name="_Ref474832190"/>
      <w:r>
        <w:t xml:space="preserve">Table </w:t>
      </w:r>
      <w:fldSimple w:instr=" STYLEREF 1 \s ">
        <w:r w:rsidR="003042CF">
          <w:rPr>
            <w:noProof/>
          </w:rPr>
          <w:t>7</w:t>
        </w:r>
      </w:fldSimple>
      <w:r>
        <w:t>.</w:t>
      </w:r>
      <w:r w:rsidR="00EE752B">
        <w:fldChar w:fldCharType="begin"/>
      </w:r>
      <w:r w:rsidR="00EE752B">
        <w:instrText xml:space="preserve"> SEQ Table \* ARABIC \s 1 </w:instrText>
      </w:r>
      <w:r w:rsidR="00EE752B">
        <w:fldChar w:fldCharType="separate"/>
      </w:r>
      <w:r w:rsidR="003042CF">
        <w:rPr>
          <w:noProof/>
        </w:rPr>
        <w:t>3</w:t>
      </w:r>
      <w:r w:rsidR="00EE752B">
        <w:rPr>
          <w:noProof/>
        </w:rPr>
        <w:fldChar w:fldCharType="end"/>
      </w:r>
      <w:bookmarkEnd w:id="35"/>
      <w:r>
        <w:t xml:space="preserve"> </w:t>
      </w:r>
      <w:r w:rsidR="00504340" w:rsidRPr="00924DBB">
        <w:t>AusNet Services and AER rate of change (per cent re</w:t>
      </w:r>
      <w:r w:rsidR="00504340">
        <w:t>al)</w:t>
      </w:r>
    </w:p>
    <w:tbl>
      <w:tblPr>
        <w:tblStyle w:val="AERtable-numbers"/>
        <w:tblW w:w="0" w:type="auto"/>
        <w:tblLook w:val="04A0" w:firstRow="1" w:lastRow="0" w:firstColumn="1" w:lastColumn="0" w:noHBand="0" w:noVBand="1"/>
      </w:tblPr>
      <w:tblGrid>
        <w:gridCol w:w="2093"/>
        <w:gridCol w:w="1100"/>
        <w:gridCol w:w="1100"/>
        <w:gridCol w:w="1100"/>
        <w:gridCol w:w="1100"/>
        <w:gridCol w:w="1100"/>
        <w:gridCol w:w="1100"/>
      </w:tblGrid>
      <w:tr w:rsidR="00504340" w:rsidRPr="000E04AF" w:rsidTr="0028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04340" w:rsidRPr="000E04AF" w:rsidRDefault="00504340" w:rsidP="00504340"/>
        </w:tc>
        <w:tc>
          <w:tcPr>
            <w:tcW w:w="1100" w:type="dxa"/>
          </w:tcPr>
          <w:p w:rsidR="00504340" w:rsidRPr="00504340" w:rsidRDefault="00504340" w:rsidP="00504340">
            <w:pPr>
              <w:cnfStyle w:val="100000000000" w:firstRow="1" w:lastRow="0" w:firstColumn="0" w:lastColumn="0" w:oddVBand="0" w:evenVBand="0" w:oddHBand="0" w:evenHBand="0" w:firstRowFirstColumn="0" w:firstRowLastColumn="0" w:lastRowFirstColumn="0" w:lastRowLastColumn="0"/>
            </w:pPr>
            <w:r w:rsidRPr="000E04AF">
              <w:t>2017-18</w:t>
            </w:r>
          </w:p>
        </w:tc>
        <w:tc>
          <w:tcPr>
            <w:tcW w:w="1100" w:type="dxa"/>
          </w:tcPr>
          <w:p w:rsidR="00504340" w:rsidRPr="00504340" w:rsidRDefault="00504340" w:rsidP="00504340">
            <w:pPr>
              <w:cnfStyle w:val="100000000000" w:firstRow="1" w:lastRow="0" w:firstColumn="0" w:lastColumn="0" w:oddVBand="0" w:evenVBand="0" w:oddHBand="0" w:evenHBand="0" w:firstRowFirstColumn="0" w:firstRowLastColumn="0" w:lastRowFirstColumn="0" w:lastRowLastColumn="0"/>
            </w:pPr>
            <w:r w:rsidRPr="000E04AF">
              <w:t>2018-19</w:t>
            </w:r>
          </w:p>
        </w:tc>
        <w:tc>
          <w:tcPr>
            <w:tcW w:w="1100" w:type="dxa"/>
          </w:tcPr>
          <w:p w:rsidR="00504340" w:rsidRPr="00504340" w:rsidRDefault="00504340" w:rsidP="00504340">
            <w:pPr>
              <w:cnfStyle w:val="100000000000" w:firstRow="1" w:lastRow="0" w:firstColumn="0" w:lastColumn="0" w:oddVBand="0" w:evenVBand="0" w:oddHBand="0" w:evenHBand="0" w:firstRowFirstColumn="0" w:firstRowLastColumn="0" w:lastRowFirstColumn="0" w:lastRowLastColumn="0"/>
            </w:pPr>
            <w:r w:rsidRPr="000E04AF">
              <w:t>2019-20</w:t>
            </w:r>
          </w:p>
        </w:tc>
        <w:tc>
          <w:tcPr>
            <w:tcW w:w="1100" w:type="dxa"/>
          </w:tcPr>
          <w:p w:rsidR="00504340" w:rsidRPr="00504340" w:rsidRDefault="00504340" w:rsidP="00504340">
            <w:pPr>
              <w:cnfStyle w:val="100000000000" w:firstRow="1" w:lastRow="0" w:firstColumn="0" w:lastColumn="0" w:oddVBand="0" w:evenVBand="0" w:oddHBand="0" w:evenHBand="0" w:firstRowFirstColumn="0" w:firstRowLastColumn="0" w:lastRowFirstColumn="0" w:lastRowLastColumn="0"/>
            </w:pPr>
            <w:r w:rsidRPr="000E04AF">
              <w:t>2020-21</w:t>
            </w:r>
          </w:p>
        </w:tc>
        <w:tc>
          <w:tcPr>
            <w:tcW w:w="1100" w:type="dxa"/>
          </w:tcPr>
          <w:p w:rsidR="00504340" w:rsidRPr="00504340" w:rsidRDefault="00504340" w:rsidP="00504340">
            <w:pPr>
              <w:cnfStyle w:val="100000000000" w:firstRow="1" w:lastRow="0" w:firstColumn="0" w:lastColumn="0" w:oddVBand="0" w:evenVBand="0" w:oddHBand="0" w:evenHBand="0" w:firstRowFirstColumn="0" w:firstRowLastColumn="0" w:lastRowFirstColumn="0" w:lastRowLastColumn="0"/>
            </w:pPr>
            <w:r w:rsidRPr="000E04AF">
              <w:t>2021-22</w:t>
            </w:r>
          </w:p>
        </w:tc>
        <w:tc>
          <w:tcPr>
            <w:tcW w:w="1100" w:type="dxa"/>
          </w:tcPr>
          <w:p w:rsidR="00504340" w:rsidRPr="00504340" w:rsidRDefault="00504340" w:rsidP="00504340">
            <w:pPr>
              <w:cnfStyle w:val="100000000000" w:firstRow="1" w:lastRow="0" w:firstColumn="0" w:lastColumn="0" w:oddVBand="0" w:evenVBand="0" w:oddHBand="0" w:evenHBand="0" w:firstRowFirstColumn="0" w:firstRowLastColumn="0" w:lastRowFirstColumn="0" w:lastRowLastColumn="0"/>
            </w:pPr>
            <w:r w:rsidRPr="000E04AF">
              <w:t>Average</w:t>
            </w:r>
          </w:p>
        </w:tc>
      </w:tr>
      <w:tr w:rsidR="00504340" w:rsidRPr="000E04AF" w:rsidTr="00284B61">
        <w:tc>
          <w:tcPr>
            <w:cnfStyle w:val="001000000000" w:firstRow="0" w:lastRow="0" w:firstColumn="1" w:lastColumn="0" w:oddVBand="0" w:evenVBand="0" w:oddHBand="0" w:evenHBand="0" w:firstRowFirstColumn="0" w:firstRowLastColumn="0" w:lastRowFirstColumn="0" w:lastRowLastColumn="0"/>
            <w:tcW w:w="2093" w:type="dxa"/>
          </w:tcPr>
          <w:p w:rsidR="00504340" w:rsidRPr="00504340" w:rsidRDefault="00504340" w:rsidP="00504340">
            <w:pPr>
              <w:rPr>
                <w:rStyle w:val="Strong"/>
              </w:rPr>
            </w:pPr>
            <w:r w:rsidRPr="000E04AF">
              <w:rPr>
                <w:rStyle w:val="Strong"/>
              </w:rPr>
              <w:t>AusNet Services</w:t>
            </w:r>
          </w:p>
        </w:tc>
        <w:tc>
          <w:tcPr>
            <w:tcW w:w="1100" w:type="dxa"/>
          </w:tcPr>
          <w:p w:rsidR="00504340" w:rsidRPr="000E04AF" w:rsidRDefault="00504340" w:rsidP="00504340">
            <w:pPr>
              <w:cnfStyle w:val="000000000000" w:firstRow="0" w:lastRow="0" w:firstColumn="0" w:lastColumn="0" w:oddVBand="0" w:evenVBand="0" w:oddHBand="0" w:evenHBand="0" w:firstRowFirstColumn="0" w:firstRowLastColumn="0" w:lastRowFirstColumn="0" w:lastRowLastColumn="0"/>
            </w:pPr>
          </w:p>
        </w:tc>
        <w:tc>
          <w:tcPr>
            <w:tcW w:w="1100" w:type="dxa"/>
          </w:tcPr>
          <w:p w:rsidR="00504340" w:rsidRPr="000E04AF" w:rsidRDefault="00504340" w:rsidP="00504340">
            <w:pPr>
              <w:cnfStyle w:val="000000000000" w:firstRow="0" w:lastRow="0" w:firstColumn="0" w:lastColumn="0" w:oddVBand="0" w:evenVBand="0" w:oddHBand="0" w:evenHBand="0" w:firstRowFirstColumn="0" w:firstRowLastColumn="0" w:lastRowFirstColumn="0" w:lastRowLastColumn="0"/>
            </w:pPr>
          </w:p>
        </w:tc>
        <w:tc>
          <w:tcPr>
            <w:tcW w:w="1100" w:type="dxa"/>
          </w:tcPr>
          <w:p w:rsidR="00504340" w:rsidRPr="000E04AF" w:rsidRDefault="00504340" w:rsidP="00504340">
            <w:pPr>
              <w:cnfStyle w:val="000000000000" w:firstRow="0" w:lastRow="0" w:firstColumn="0" w:lastColumn="0" w:oddVBand="0" w:evenVBand="0" w:oddHBand="0" w:evenHBand="0" w:firstRowFirstColumn="0" w:firstRowLastColumn="0" w:lastRowFirstColumn="0" w:lastRowLastColumn="0"/>
            </w:pPr>
          </w:p>
        </w:tc>
        <w:tc>
          <w:tcPr>
            <w:tcW w:w="1100" w:type="dxa"/>
          </w:tcPr>
          <w:p w:rsidR="00504340" w:rsidRPr="000E04AF" w:rsidRDefault="00504340" w:rsidP="00504340">
            <w:pPr>
              <w:cnfStyle w:val="000000000000" w:firstRow="0" w:lastRow="0" w:firstColumn="0" w:lastColumn="0" w:oddVBand="0" w:evenVBand="0" w:oddHBand="0" w:evenHBand="0" w:firstRowFirstColumn="0" w:firstRowLastColumn="0" w:lastRowFirstColumn="0" w:lastRowLastColumn="0"/>
            </w:pPr>
          </w:p>
        </w:tc>
        <w:tc>
          <w:tcPr>
            <w:tcW w:w="1100" w:type="dxa"/>
          </w:tcPr>
          <w:p w:rsidR="00504340" w:rsidRPr="000E04AF" w:rsidRDefault="00504340" w:rsidP="00504340">
            <w:pPr>
              <w:cnfStyle w:val="000000000000" w:firstRow="0" w:lastRow="0" w:firstColumn="0" w:lastColumn="0" w:oddVBand="0" w:evenVBand="0" w:oddHBand="0" w:evenHBand="0" w:firstRowFirstColumn="0" w:firstRowLastColumn="0" w:lastRowFirstColumn="0" w:lastRowLastColumn="0"/>
            </w:pPr>
          </w:p>
        </w:tc>
        <w:tc>
          <w:tcPr>
            <w:tcW w:w="1100" w:type="dxa"/>
          </w:tcPr>
          <w:p w:rsidR="00504340" w:rsidRPr="000E04AF" w:rsidRDefault="00504340" w:rsidP="00504340">
            <w:pPr>
              <w:cnfStyle w:val="000000000000" w:firstRow="0" w:lastRow="0" w:firstColumn="0" w:lastColumn="0" w:oddVBand="0" w:evenVBand="0" w:oddHBand="0" w:evenHBand="0" w:firstRowFirstColumn="0" w:firstRowLastColumn="0" w:lastRowFirstColumn="0" w:lastRowLastColumn="0"/>
            </w:pPr>
          </w:p>
        </w:tc>
      </w:tr>
      <w:tr w:rsidR="00215270" w:rsidRPr="000E04AF" w:rsidTr="0055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r w:rsidRPr="00215270">
              <w:t>Price growth</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0.40</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0.66</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0.78</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0.81</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0.80</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0.69</w:t>
            </w:r>
          </w:p>
        </w:tc>
      </w:tr>
      <w:tr w:rsidR="00215270" w:rsidRPr="000E04AF" w:rsidTr="005572AE">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r w:rsidRPr="00215270">
              <w:t>Output growth</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r>
      <w:tr w:rsidR="00215270" w:rsidRPr="000E04AF" w:rsidTr="0055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r w:rsidRPr="00215270">
              <w:t>Productivity growth</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r>
      <w:tr w:rsidR="00215270" w:rsidRPr="000E04AF" w:rsidTr="005572AE">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pPr>
              <w:rPr>
                <w:rStyle w:val="Strong"/>
              </w:rPr>
            </w:pPr>
            <w:r w:rsidRPr="00215270">
              <w:rPr>
                <w:rStyle w:val="Strong"/>
              </w:rPr>
              <w:t>Overall rate of change</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r w:rsidRPr="005572AE">
              <w:rPr>
                <w:rStyle w:val="Strong"/>
              </w:rPr>
              <w:t>0.40</w:t>
            </w:r>
          </w:p>
        </w:tc>
        <w:tc>
          <w:tcPr>
            <w:tcW w:w="1100" w:type="dxa"/>
            <w:vAlign w:val="top"/>
          </w:tcPr>
          <w:p w:rsidR="00215270" w:rsidRPr="005572AE"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r w:rsidRPr="005572AE">
              <w:rPr>
                <w:rStyle w:val="Strong"/>
              </w:rPr>
              <w:t>0.66</w:t>
            </w:r>
          </w:p>
        </w:tc>
        <w:tc>
          <w:tcPr>
            <w:tcW w:w="1100" w:type="dxa"/>
            <w:vAlign w:val="top"/>
          </w:tcPr>
          <w:p w:rsidR="00215270" w:rsidRPr="005572AE"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r w:rsidRPr="005572AE">
              <w:rPr>
                <w:rStyle w:val="Strong"/>
              </w:rPr>
              <w:t>0.78</w:t>
            </w:r>
          </w:p>
        </w:tc>
        <w:tc>
          <w:tcPr>
            <w:tcW w:w="1100" w:type="dxa"/>
            <w:vAlign w:val="top"/>
          </w:tcPr>
          <w:p w:rsidR="00215270" w:rsidRPr="005572AE"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r w:rsidRPr="005572AE">
              <w:rPr>
                <w:rStyle w:val="Strong"/>
              </w:rPr>
              <w:t>0.81</w:t>
            </w:r>
          </w:p>
        </w:tc>
        <w:tc>
          <w:tcPr>
            <w:tcW w:w="1100" w:type="dxa"/>
            <w:vAlign w:val="top"/>
          </w:tcPr>
          <w:p w:rsidR="00215270" w:rsidRPr="005572AE"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r w:rsidRPr="005572AE">
              <w:rPr>
                <w:rStyle w:val="Strong"/>
              </w:rPr>
              <w:t>0.80</w:t>
            </w:r>
          </w:p>
        </w:tc>
        <w:tc>
          <w:tcPr>
            <w:tcW w:w="1100" w:type="dxa"/>
            <w:vAlign w:val="top"/>
          </w:tcPr>
          <w:p w:rsidR="00215270" w:rsidRPr="005572AE"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r w:rsidRPr="005572AE">
              <w:rPr>
                <w:rStyle w:val="Strong"/>
              </w:rPr>
              <w:t>0.69</w:t>
            </w:r>
          </w:p>
        </w:tc>
      </w:tr>
      <w:tr w:rsidR="00215270" w:rsidRPr="000E04AF" w:rsidTr="0055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pPr>
              <w:rPr>
                <w:rStyle w:val="Strong"/>
              </w:rPr>
            </w:pPr>
            <w:r w:rsidRPr="00215270">
              <w:rPr>
                <w:rStyle w:val="Strong"/>
              </w:rPr>
              <w:t>AER</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p>
        </w:tc>
      </w:tr>
      <w:tr w:rsidR="00215270" w:rsidRPr="000E04AF" w:rsidTr="005572AE">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r w:rsidRPr="00215270">
              <w:t>Price growth</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0.5</w:t>
            </w:r>
            <w:r w:rsidR="00C52BD8">
              <w:t>7</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0.</w:t>
            </w:r>
            <w:r w:rsidR="00C52BD8">
              <w:t>54</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0.6</w:t>
            </w:r>
            <w:r w:rsidR="00C52BD8">
              <w:t>3</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0.59</w:t>
            </w:r>
          </w:p>
        </w:tc>
        <w:tc>
          <w:tcPr>
            <w:tcW w:w="1100" w:type="dxa"/>
            <w:vAlign w:val="top"/>
          </w:tcPr>
          <w:p w:rsidR="00215270" w:rsidRPr="00215270" w:rsidRDefault="00215270" w:rsidP="00992A70">
            <w:pPr>
              <w:cnfStyle w:val="000000000000" w:firstRow="0" w:lastRow="0" w:firstColumn="0" w:lastColumn="0" w:oddVBand="0" w:evenVBand="0" w:oddHBand="0" w:evenHBand="0" w:firstRowFirstColumn="0" w:firstRowLastColumn="0" w:lastRowFirstColumn="0" w:lastRowLastColumn="0"/>
            </w:pPr>
            <w:r w:rsidRPr="00215270">
              <w:t>0.5</w:t>
            </w:r>
            <w:r w:rsidR="00C52BD8">
              <w:t>8</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0.5</w:t>
            </w:r>
            <w:r w:rsidR="00C52BD8">
              <w:t>8</w:t>
            </w:r>
          </w:p>
        </w:tc>
      </w:tr>
      <w:tr w:rsidR="00215270" w:rsidRPr="000E04AF" w:rsidTr="0055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r w:rsidRPr="00215270">
              <w:t>Output growth</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pPr>
            <w:r w:rsidRPr="00215270">
              <w:t>–</w:t>
            </w:r>
          </w:p>
        </w:tc>
      </w:tr>
      <w:tr w:rsidR="00215270" w:rsidRPr="000E04AF" w:rsidTr="005572AE">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r w:rsidRPr="00215270">
              <w:t>Productivity growth</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pPr>
            <w:r w:rsidRPr="00215270">
              <w:t>–</w:t>
            </w:r>
          </w:p>
        </w:tc>
      </w:tr>
      <w:tr w:rsidR="00215270" w:rsidRPr="000E04AF" w:rsidTr="00284B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pPr>
              <w:rPr>
                <w:rStyle w:val="Strong"/>
              </w:rPr>
            </w:pPr>
            <w:r w:rsidRPr="00215270">
              <w:rPr>
                <w:rStyle w:val="Strong"/>
              </w:rPr>
              <w:t>Overall rate of change</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0.5</w:t>
            </w:r>
            <w:r w:rsidR="00C52BD8">
              <w:rPr>
                <w:rStyle w:val="Strong"/>
              </w:rPr>
              <w:t>7</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w:t>
            </w:r>
            <w:r w:rsidR="00C52BD8">
              <w:rPr>
                <w:rStyle w:val="Strong"/>
              </w:rPr>
              <w:t>54</w:t>
            </w:r>
          </w:p>
        </w:tc>
        <w:tc>
          <w:tcPr>
            <w:tcW w:w="1100" w:type="dxa"/>
            <w:vAlign w:val="top"/>
          </w:tcPr>
          <w:p w:rsidR="00215270" w:rsidRPr="005572AE" w:rsidRDefault="00215270" w:rsidP="00992A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0.6</w:t>
            </w:r>
            <w:r w:rsidR="00C52BD8">
              <w:rPr>
                <w:rStyle w:val="Strong"/>
              </w:rPr>
              <w:t>3</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0.59</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0.5</w:t>
            </w:r>
            <w:r w:rsidR="00C52BD8">
              <w:rPr>
                <w:rStyle w:val="Strong"/>
              </w:rPr>
              <w:t>8</w:t>
            </w:r>
          </w:p>
        </w:tc>
        <w:tc>
          <w:tcPr>
            <w:tcW w:w="1100" w:type="dxa"/>
            <w:vAlign w:val="top"/>
          </w:tcPr>
          <w:p w:rsidR="00215270" w:rsidRPr="005572AE" w:rsidRDefault="00215270" w:rsidP="00992A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0.5</w:t>
            </w:r>
            <w:r w:rsidR="00C52BD8">
              <w:rPr>
                <w:rStyle w:val="Strong"/>
              </w:rPr>
              <w:t>8</w:t>
            </w:r>
          </w:p>
        </w:tc>
      </w:tr>
      <w:tr w:rsidR="00215270" w:rsidRPr="000E04AF" w:rsidTr="005572AE">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pPr>
              <w:rPr>
                <w:rStyle w:val="Strong"/>
              </w:rPr>
            </w:pP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p>
        </w:tc>
        <w:tc>
          <w:tcPr>
            <w:tcW w:w="1100" w:type="dxa"/>
            <w:vAlign w:val="top"/>
          </w:tcPr>
          <w:p w:rsidR="00215270" w:rsidRPr="00215270" w:rsidRDefault="00215270" w:rsidP="00215270">
            <w:pPr>
              <w:cnfStyle w:val="000000000000" w:firstRow="0" w:lastRow="0" w:firstColumn="0" w:lastColumn="0" w:oddVBand="0" w:evenVBand="0" w:oddHBand="0" w:evenHBand="0" w:firstRowFirstColumn="0" w:firstRowLastColumn="0" w:lastRowFirstColumn="0" w:lastRowLastColumn="0"/>
              <w:rPr>
                <w:rStyle w:val="Strong"/>
              </w:rPr>
            </w:pPr>
          </w:p>
        </w:tc>
      </w:tr>
      <w:tr w:rsidR="00215270" w:rsidRPr="000E04AF" w:rsidTr="00284B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15270" w:rsidRPr="00215270" w:rsidRDefault="00215270" w:rsidP="00215270">
            <w:pPr>
              <w:rPr>
                <w:rStyle w:val="Strong"/>
              </w:rPr>
            </w:pPr>
            <w:r w:rsidRPr="00215270">
              <w:rPr>
                <w:rStyle w:val="Strong"/>
              </w:rPr>
              <w:t>Difference</w:t>
            </w:r>
          </w:p>
        </w:tc>
        <w:tc>
          <w:tcPr>
            <w:tcW w:w="1100" w:type="dxa"/>
            <w:vAlign w:val="top"/>
          </w:tcPr>
          <w:p w:rsidR="00215270" w:rsidRPr="00215270"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0.1</w:t>
            </w:r>
            <w:r w:rsidR="00C52BD8">
              <w:rPr>
                <w:rStyle w:val="Strong"/>
              </w:rPr>
              <w:t>7</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w:t>
            </w:r>
            <w:r w:rsidR="00C52BD8">
              <w:rPr>
                <w:rStyle w:val="Strong"/>
              </w:rPr>
              <w:t>11</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–0.1</w:t>
            </w:r>
            <w:r w:rsidR="00C52BD8">
              <w:rPr>
                <w:rStyle w:val="Strong"/>
              </w:rPr>
              <w:t>5</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–0.2</w:t>
            </w:r>
            <w:r w:rsidR="00C52BD8">
              <w:rPr>
                <w:rStyle w:val="Strong"/>
              </w:rPr>
              <w:t>1</w:t>
            </w:r>
          </w:p>
        </w:tc>
        <w:tc>
          <w:tcPr>
            <w:tcW w:w="1100" w:type="dxa"/>
            <w:vAlign w:val="top"/>
          </w:tcPr>
          <w:p w:rsidR="00215270" w:rsidRPr="005572AE" w:rsidRDefault="00215270" w:rsidP="00992A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–0.2</w:t>
            </w:r>
            <w:r w:rsidR="00C52BD8">
              <w:rPr>
                <w:rStyle w:val="Strong"/>
              </w:rPr>
              <w:t>2</w:t>
            </w:r>
          </w:p>
        </w:tc>
        <w:tc>
          <w:tcPr>
            <w:tcW w:w="1100" w:type="dxa"/>
            <w:vAlign w:val="top"/>
          </w:tcPr>
          <w:p w:rsidR="00215270" w:rsidRPr="005572AE" w:rsidRDefault="00215270" w:rsidP="00215270">
            <w:pPr>
              <w:cnfStyle w:val="000000010000" w:firstRow="0" w:lastRow="0" w:firstColumn="0" w:lastColumn="0" w:oddVBand="0" w:evenVBand="0" w:oddHBand="0" w:evenHBand="1" w:firstRowFirstColumn="0" w:firstRowLastColumn="0" w:lastRowFirstColumn="0" w:lastRowLastColumn="0"/>
              <w:rPr>
                <w:rStyle w:val="Strong"/>
              </w:rPr>
            </w:pPr>
            <w:r w:rsidRPr="005572AE">
              <w:rPr>
                <w:rStyle w:val="Strong"/>
              </w:rPr>
              <w:t>–0.10</w:t>
            </w:r>
          </w:p>
        </w:tc>
      </w:tr>
    </w:tbl>
    <w:p w:rsidR="00504340" w:rsidRDefault="00504340" w:rsidP="00504340">
      <w:pPr>
        <w:pStyle w:val="AERtablesource"/>
      </w:pPr>
      <w:r>
        <w:t>Note:</w:t>
      </w:r>
      <w:r>
        <w:tab/>
      </w:r>
      <w:r w:rsidRPr="00924DBB">
        <w:t>The rate of change = (1+ price growth) × (1+ output growth) × (1+ productivity growth) – 1.</w:t>
      </w:r>
    </w:p>
    <w:p w:rsidR="00504340" w:rsidRDefault="00504340" w:rsidP="00504340">
      <w:pPr>
        <w:pStyle w:val="AERtablesource"/>
      </w:pPr>
      <w:r>
        <w:t>Source:</w:t>
      </w:r>
      <w:r>
        <w:tab/>
        <w:t>AER analysis.</w:t>
      </w:r>
    </w:p>
    <w:p w:rsidR="00D34CB0" w:rsidRDefault="004276AF" w:rsidP="00D34CB0">
      <w:r>
        <w:t>T</w:t>
      </w:r>
      <w:r w:rsidR="00D34CB0" w:rsidRPr="006F08E4">
        <w:t xml:space="preserve">he sections below </w:t>
      </w:r>
      <w:r>
        <w:t xml:space="preserve">describe </w:t>
      </w:r>
      <w:r w:rsidR="00D34CB0" w:rsidRPr="006F08E4">
        <w:t>the three rate of change components. Where relevant</w:t>
      </w:r>
      <w:r>
        <w:t>,</w:t>
      </w:r>
      <w:r w:rsidR="00D34CB0" w:rsidRPr="006F08E4">
        <w:t xml:space="preserve"> we compare these components to AusNet Services' proposed rate of change using information provided in its </w:t>
      </w:r>
      <w:r w:rsidR="00581BC8" w:rsidRPr="006F08E4">
        <w:t xml:space="preserve">reset RIN </w:t>
      </w:r>
      <w:r w:rsidR="00581BC8">
        <w:t>templates</w:t>
      </w:r>
      <w:r w:rsidR="00581BC8">
        <w:rPr>
          <w:rStyle w:val="FootnoteReference"/>
        </w:rPr>
        <w:footnoteReference w:id="78"/>
      </w:r>
      <w:r w:rsidR="00581BC8">
        <w:t xml:space="preserve"> </w:t>
      </w:r>
      <w:r w:rsidR="00581BC8" w:rsidRPr="006F08E4">
        <w:t>and opex model</w:t>
      </w:r>
      <w:r w:rsidR="00581BC8">
        <w:t>s</w:t>
      </w:r>
      <w:r w:rsidR="00581BC8" w:rsidRPr="006F08E4">
        <w:t>.</w:t>
      </w:r>
      <w:r w:rsidR="00581BC8">
        <w:rPr>
          <w:rStyle w:val="FootnoteReference"/>
        </w:rPr>
        <w:footnoteReference w:id="79"/>
      </w:r>
    </w:p>
    <w:p w:rsidR="00D34CB0" w:rsidRDefault="00DF072A" w:rsidP="00DA2411">
      <w:pPr>
        <w:pStyle w:val="Heading4"/>
      </w:pPr>
      <w:bookmarkStart w:id="36" w:name="_Toc480809654"/>
      <w:r>
        <w:t>Forecast price growth</w:t>
      </w:r>
      <w:bookmarkEnd w:id="36"/>
    </w:p>
    <w:p w:rsidR="00DF072A" w:rsidRDefault="00DF072A" w:rsidP="00DF072A">
      <w:r w:rsidRPr="00917AAC">
        <w:t xml:space="preserve">We are not satisfied AusNet Services' proposed average annual price growth of </w:t>
      </w:r>
      <w:r>
        <w:t>0.</w:t>
      </w:r>
      <w:r w:rsidR="00CC5DE3">
        <w:t>69</w:t>
      </w:r>
      <w:r>
        <w:t> </w:t>
      </w:r>
      <w:r w:rsidRPr="00917AAC">
        <w:t xml:space="preserve">per cent </w:t>
      </w:r>
      <w:r>
        <w:t xml:space="preserve">reasonably </w:t>
      </w:r>
      <w:r w:rsidRPr="00917AAC">
        <w:t xml:space="preserve">reflects the increase in prices a prudent and efficient service provider would require to meet the opex objectives. We forecast an average annual price growth of </w:t>
      </w:r>
      <w:r>
        <w:t>0.</w:t>
      </w:r>
      <w:r w:rsidR="00CC5DE3">
        <w:t>5</w:t>
      </w:r>
      <w:r w:rsidR="00C52BD8">
        <w:t>8</w:t>
      </w:r>
      <w:r w:rsidRPr="00917AAC">
        <w:t xml:space="preserve"> per cent.</w:t>
      </w:r>
    </w:p>
    <w:p w:rsidR="00DF072A" w:rsidRDefault="00DF072A" w:rsidP="00DF072A">
      <w:r>
        <w:lastRenderedPageBreak/>
        <w:t>We have used the most up</w:t>
      </w:r>
      <w:r>
        <w:noBreakHyphen/>
        <w:t>to</w:t>
      </w:r>
      <w:r>
        <w:noBreakHyphen/>
        <w:t xml:space="preserve">date forecasts available from DAE and CIE to update the forecasts we used in our draft decision. This is consistent with AusNet Services' revised revenue </w:t>
      </w:r>
      <w:r w:rsidRPr="00AC7872">
        <w:t xml:space="preserve">proposal, </w:t>
      </w:r>
      <w:r>
        <w:t xml:space="preserve">in </w:t>
      </w:r>
      <w:r w:rsidRPr="00AC7872">
        <w:t>which</w:t>
      </w:r>
      <w:r>
        <w:t xml:space="preserve"> it</w:t>
      </w:r>
      <w:r w:rsidRPr="00AC7872">
        <w:t xml:space="preserve"> stated</w:t>
      </w:r>
      <w:r>
        <w:t xml:space="preserve"> that it expects us to obtain </w:t>
      </w:r>
      <w:r w:rsidRPr="0034143C">
        <w:t xml:space="preserve">an updated </w:t>
      </w:r>
      <w:r>
        <w:t xml:space="preserve">forecast from </w:t>
      </w:r>
      <w:r w:rsidRPr="0034143C">
        <w:t xml:space="preserve">DAE </w:t>
      </w:r>
      <w:r>
        <w:t>for this final d</w:t>
      </w:r>
      <w:r w:rsidRPr="0034143C">
        <w:t>ecision.</w:t>
      </w:r>
      <w:r>
        <w:rPr>
          <w:rStyle w:val="FootnoteReference"/>
        </w:rPr>
        <w:footnoteReference w:id="80"/>
      </w:r>
    </w:p>
    <w:p w:rsidR="00DF072A" w:rsidRDefault="00DF072A" w:rsidP="00DA2411">
      <w:r w:rsidRPr="00917AAC">
        <w:t>The</w:t>
      </w:r>
      <w:r>
        <w:t xml:space="preserve"> reason for the </w:t>
      </w:r>
      <w:r w:rsidRPr="00917AAC">
        <w:t xml:space="preserve">differences between AusNet Services' price growth </w:t>
      </w:r>
      <w:r>
        <w:t xml:space="preserve">forecast </w:t>
      </w:r>
      <w:r w:rsidRPr="00917AAC">
        <w:t xml:space="preserve">and </w:t>
      </w:r>
      <w:r>
        <w:t xml:space="preserve">our own is that AusNet Services </w:t>
      </w:r>
      <w:r w:rsidRPr="00917AAC">
        <w:t>applied a higher weighting to labour price growth.</w:t>
      </w:r>
      <w:r>
        <w:t xml:space="preserve"> </w:t>
      </w:r>
    </w:p>
    <w:p w:rsidR="00DF072A" w:rsidRDefault="00DF072A" w:rsidP="00DF072A">
      <w:r w:rsidRPr="00917AAC">
        <w:t xml:space="preserve">We have weighted </w:t>
      </w:r>
      <w:r w:rsidR="004276AF">
        <w:t>our</w:t>
      </w:r>
      <w:r w:rsidRPr="00917AAC">
        <w:t xml:space="preserve"> forecast price growth to account for the proportion of opex that is labour and the proportion that is non-labour. We have adopted a 62 per cent weighting for labour and 38 per cent for non-labour. We have forecast the labour component based on the utilities WPI and we </w:t>
      </w:r>
      <w:r>
        <w:t>forecast</w:t>
      </w:r>
      <w:r w:rsidRPr="00917AAC">
        <w:t xml:space="preserve"> the non-labour component </w:t>
      </w:r>
      <w:r>
        <w:t xml:space="preserve">based </w:t>
      </w:r>
      <w:r w:rsidRPr="00917AAC">
        <w:t>on the CPI. These weights are consistent with those used in Economic Insights' benchmarking analysis</w:t>
      </w:r>
      <w:r>
        <w:rPr>
          <w:rStyle w:val="FootnoteReference"/>
        </w:rPr>
        <w:footnoteReference w:id="81"/>
      </w:r>
      <w:r>
        <w:t xml:space="preserve"> and are the same</w:t>
      </w:r>
      <w:r w:rsidRPr="00917AAC">
        <w:t xml:space="preserve"> weights we used for our </w:t>
      </w:r>
      <w:r>
        <w:t>draft</w:t>
      </w:r>
      <w:r w:rsidRPr="00917AAC">
        <w:t xml:space="preserve"> decision.</w:t>
      </w:r>
      <w:r>
        <w:rPr>
          <w:rStyle w:val="FootnoteReference"/>
        </w:rPr>
        <w:footnoteReference w:id="82"/>
      </w:r>
    </w:p>
    <w:p w:rsidR="00DF072A" w:rsidRDefault="004276AF" w:rsidP="00DF072A">
      <w:r>
        <w:t>W</w:t>
      </w:r>
      <w:r w:rsidR="00581BC8">
        <w:t>e have had regard to the input price weights of a prudent and efficient benchmark transmi</w:t>
      </w:r>
      <w:r w:rsidR="005572AE">
        <w:t>ssion network service provider.</w:t>
      </w:r>
      <w:r w:rsidR="00581BC8" w:rsidRPr="00917AAC">
        <w:t xml:space="preserve"> </w:t>
      </w:r>
      <w:r w:rsidR="00DF072A" w:rsidRPr="00917AAC">
        <w:t>Using benchmark price weights provides service providers an incentive to make efficiency gains by adopting the most efficient input mix</w:t>
      </w:r>
      <w:r w:rsidR="00DF072A">
        <w:t xml:space="preserve"> (explained in more detail below)</w:t>
      </w:r>
      <w:r w:rsidR="00DF072A" w:rsidRPr="00917AAC">
        <w:t>. Weights of 62</w:t>
      </w:r>
      <w:r w:rsidR="00DF072A">
        <w:t> per </w:t>
      </w:r>
      <w:r w:rsidR="00DF072A" w:rsidRPr="00917AAC">
        <w:t>cent for labour and 38 per cent for non-labour represent the best available estimate for the benchmark efficient firm</w:t>
      </w:r>
      <w:r w:rsidR="00B01AB0">
        <w:t>—</w:t>
      </w:r>
      <w:r w:rsidR="00B01AB0" w:rsidRPr="00917AAC">
        <w:t xml:space="preserve">as advised by </w:t>
      </w:r>
      <w:r w:rsidR="00B01AB0">
        <w:t xml:space="preserve">our expert consultant, </w:t>
      </w:r>
      <w:r w:rsidR="00DF072A" w:rsidRPr="00917AAC">
        <w:t>Economic Insights.</w:t>
      </w:r>
      <w:r w:rsidR="00DF072A">
        <w:rPr>
          <w:rStyle w:val="FootnoteReference"/>
        </w:rPr>
        <w:footnoteReference w:id="83"/>
      </w:r>
    </w:p>
    <w:p w:rsidR="00DF072A" w:rsidRDefault="00DF072A" w:rsidP="00DF072A">
      <w:r w:rsidRPr="00917AAC">
        <w:t xml:space="preserve">AusNet Services did not </w:t>
      </w:r>
      <w:r>
        <w:t>propose</w:t>
      </w:r>
      <w:r w:rsidRPr="00917AAC">
        <w:t xml:space="preserve"> the</w:t>
      </w:r>
      <w:r>
        <w:t>se</w:t>
      </w:r>
      <w:r w:rsidRPr="00917AAC">
        <w:t xml:space="preserve"> same weights.</w:t>
      </w:r>
      <w:r w:rsidRPr="002D36EA">
        <w:t xml:space="preserve"> </w:t>
      </w:r>
      <w:r w:rsidRPr="00CD4B95">
        <w:t xml:space="preserve">AusNet Services </w:t>
      </w:r>
      <w:r>
        <w:t xml:space="preserve">stated that it </w:t>
      </w:r>
      <w:r w:rsidRPr="00CD4B95">
        <w:t xml:space="preserve">applied its proposed EGWWS WPI forecast using the </w:t>
      </w:r>
      <w:r>
        <w:t xml:space="preserve">same </w:t>
      </w:r>
      <w:r w:rsidRPr="00CD4B95">
        <w:t xml:space="preserve">weights </w:t>
      </w:r>
      <w:r>
        <w:t xml:space="preserve">it </w:t>
      </w:r>
      <w:r w:rsidRPr="00CD4B95">
        <w:t xml:space="preserve">adopted in </w:t>
      </w:r>
      <w:r>
        <w:t>its</w:t>
      </w:r>
      <w:r w:rsidRPr="00CD4B95">
        <w:t xml:space="preserve"> </w:t>
      </w:r>
      <w:r>
        <w:t>initial r</w:t>
      </w:r>
      <w:r w:rsidRPr="00CD4B95">
        <w:t xml:space="preserve">evenue </w:t>
      </w:r>
      <w:r>
        <w:t>p</w:t>
      </w:r>
      <w:r w:rsidRPr="00CD4B95">
        <w:t>roposal, with labour and non-labour weights of 78</w:t>
      </w:r>
      <w:r>
        <w:t xml:space="preserve"> per cent </w:t>
      </w:r>
      <w:r w:rsidRPr="00CD4B95">
        <w:t>and 22</w:t>
      </w:r>
      <w:r>
        <w:t> per cent</w:t>
      </w:r>
      <w:r w:rsidRPr="00CD4B95">
        <w:t xml:space="preserve">, respectively. </w:t>
      </w:r>
      <w:r>
        <w:t xml:space="preserve">It </w:t>
      </w:r>
      <w:r w:rsidRPr="00917AAC">
        <w:t xml:space="preserve">based </w:t>
      </w:r>
      <w:r>
        <w:t xml:space="preserve">these weights on </w:t>
      </w:r>
      <w:r w:rsidRPr="00917AAC">
        <w:t>its actual expenditure in 2014</w:t>
      </w:r>
      <w:r>
        <w:t>–15</w:t>
      </w:r>
      <w:r w:rsidR="003B0C04">
        <w:t xml:space="preserve">. </w:t>
      </w:r>
      <w:r>
        <w:t>It also stated that '</w:t>
      </w:r>
      <w:r w:rsidRPr="00CD4B95">
        <w:t xml:space="preserve">all labour costs </w:t>
      </w:r>
      <w:r>
        <w:t>will increase at the same rate</w:t>
      </w:r>
      <w:r w:rsidR="00550422">
        <w:t>'</w:t>
      </w:r>
      <w:r>
        <w:t>.</w:t>
      </w:r>
      <w:r>
        <w:rPr>
          <w:rStyle w:val="FootnoteReference"/>
        </w:rPr>
        <w:footnoteReference w:id="84"/>
      </w:r>
      <w:r>
        <w:t xml:space="preserve"> AusNet Services' approach results in a higher forecast of price growth.</w:t>
      </w:r>
    </w:p>
    <w:p w:rsidR="00DF072A" w:rsidRPr="00917AAC" w:rsidRDefault="00DF072A" w:rsidP="00DF072A">
      <w:r>
        <w:t>T</w:t>
      </w:r>
      <w:r w:rsidRPr="00917AAC">
        <w:t>here are two key differences between our input price weights and AusNet Services':</w:t>
      </w:r>
    </w:p>
    <w:p w:rsidR="00DF072A" w:rsidRPr="00917AAC" w:rsidRDefault="00E7714D" w:rsidP="00DF072A">
      <w:pPr>
        <w:pStyle w:val="ListNumber"/>
      </w:pPr>
      <w:r>
        <w:t>I</w:t>
      </w:r>
      <w:r w:rsidR="00DF072A" w:rsidRPr="00917AAC">
        <w:t xml:space="preserve">n addition to internal labour costs, we only included the labour component of field services contracts in our labour </w:t>
      </w:r>
      <w:r w:rsidR="00DF072A">
        <w:t>weighting</w:t>
      </w:r>
      <w:r w:rsidR="00DF072A" w:rsidRPr="00917AAC">
        <w:t xml:space="preserve"> whereas AusNet Services included all services contracts costs as labour</w:t>
      </w:r>
      <w:r>
        <w:t>.</w:t>
      </w:r>
    </w:p>
    <w:p w:rsidR="00581BC8" w:rsidRPr="00917AAC" w:rsidRDefault="00E7714D" w:rsidP="00581BC8">
      <w:pPr>
        <w:pStyle w:val="ListNumber"/>
      </w:pPr>
      <w:r>
        <w:t>W</w:t>
      </w:r>
      <w:r w:rsidR="00581BC8" w:rsidRPr="00917AAC">
        <w:t xml:space="preserve">e </w:t>
      </w:r>
      <w:r w:rsidR="00581BC8">
        <w:t>applied</w:t>
      </w:r>
      <w:r w:rsidR="00581BC8" w:rsidRPr="00917AAC">
        <w:t xml:space="preserve"> weights</w:t>
      </w:r>
      <w:r w:rsidR="00581BC8">
        <w:t xml:space="preserve"> having regard to</w:t>
      </w:r>
      <w:r w:rsidR="00581BC8" w:rsidRPr="002B344D">
        <w:t xml:space="preserve"> </w:t>
      </w:r>
      <w:r w:rsidR="00581BC8">
        <w:t xml:space="preserve">the input price weights of a prudent and efficient benchmark transmission business </w:t>
      </w:r>
      <w:r w:rsidR="00581BC8" w:rsidRPr="00917AAC">
        <w:t>whereas AusNet Services proposed weights based on its firm specific expenses</w:t>
      </w:r>
      <w:r w:rsidR="00581BC8">
        <w:t>. This is a question of methodology rather than whether AusNet Services' firm specific weights are reflective of its actual costs</w:t>
      </w:r>
      <w:r w:rsidR="00581BC8" w:rsidRPr="00917AAC">
        <w:t>.</w:t>
      </w:r>
    </w:p>
    <w:p w:rsidR="00DF072A" w:rsidRDefault="00DF072A" w:rsidP="00DF072A">
      <w:pPr>
        <w:pStyle w:val="HeadingBoldItalic"/>
      </w:pPr>
      <w:bookmarkStart w:id="37" w:name="_Toc480809655"/>
      <w:r w:rsidRPr="00F92E40">
        <w:lastRenderedPageBreak/>
        <w:t>Components of price growth</w:t>
      </w:r>
      <w:bookmarkEnd w:id="37"/>
    </w:p>
    <w:p w:rsidR="003B0C04" w:rsidRDefault="003B0C04" w:rsidP="003B0C04">
      <w:r w:rsidRPr="00017573">
        <w:t xml:space="preserve">In order to forecast the rate of change using the opex forecasting method set out in the Guideline, we need to define the inputs. This is required to forecast price change and productivity change. </w:t>
      </w:r>
      <w:r>
        <w:t xml:space="preserve">In other words, you cannot say how much the price of something is changing without first determining what it is that you are paying for. </w:t>
      </w:r>
      <w:r w:rsidRPr="00017573">
        <w:t>Opex inputs can generally</w:t>
      </w:r>
      <w:r>
        <w:t xml:space="preserve"> be</w:t>
      </w:r>
      <w:r w:rsidRPr="00017573">
        <w:t xml:space="preserve"> classified as labour, services or materials.</w:t>
      </w:r>
      <w:r>
        <w:rPr>
          <w:rStyle w:val="FootnoteReference"/>
        </w:rPr>
        <w:footnoteReference w:id="85"/>
      </w:r>
    </w:p>
    <w:p w:rsidR="003B0C04" w:rsidRPr="00CA105C" w:rsidRDefault="003B0C04" w:rsidP="003B0C04">
      <w:r w:rsidRPr="00CA105C">
        <w:t xml:space="preserve">The key difference between our </w:t>
      </w:r>
      <w:r w:rsidR="004276AF">
        <w:t xml:space="preserve">respective </w:t>
      </w:r>
      <w:r w:rsidRPr="00CA105C">
        <w:t>definition</w:t>
      </w:r>
      <w:r w:rsidR="004276AF">
        <w:t>s</w:t>
      </w:r>
      <w:r w:rsidRPr="00CA105C">
        <w:t xml:space="preserve"> of labour expenditure is that AusNet Services</w:t>
      </w:r>
      <w:r>
        <w:t>' definition</w:t>
      </w:r>
      <w:r w:rsidRPr="00CA105C">
        <w:t xml:space="preserve"> includes all services contracts expenditure (both field services and non-field services) in its labour weight. Unlike AusNet Services, we have </w:t>
      </w:r>
      <w:r>
        <w:t>included</w:t>
      </w:r>
      <w:r w:rsidRPr="00CA105C">
        <w:t xml:space="preserve"> non</w:t>
      </w:r>
      <w:r>
        <w:t>-</w:t>
      </w:r>
      <w:r w:rsidRPr="00CA105C">
        <w:t xml:space="preserve">field services contracts in our non-labour component. </w:t>
      </w:r>
      <w:r>
        <w:t>And w</w:t>
      </w:r>
      <w:r w:rsidRPr="00CA105C">
        <w:t xml:space="preserve">e </w:t>
      </w:r>
      <w:r>
        <w:t>have</w:t>
      </w:r>
      <w:r w:rsidRPr="00CA105C">
        <w:t xml:space="preserve"> included the labour component of field services contracts in our labour weight.</w:t>
      </w:r>
      <w:r>
        <w:t xml:space="preserve"> </w:t>
      </w:r>
      <w:r w:rsidR="000860A4">
        <w:t>We discuss</w:t>
      </w:r>
      <w:r w:rsidR="0049468D">
        <w:t>ed</w:t>
      </w:r>
      <w:r w:rsidR="000860A4">
        <w:t xml:space="preserve"> t</w:t>
      </w:r>
      <w:r>
        <w:t xml:space="preserve">he reasons for our approach in detail in our draft decision, which </w:t>
      </w:r>
      <w:r w:rsidR="004276AF">
        <w:t>remain relevant</w:t>
      </w:r>
      <w:r>
        <w:t>. In considering AusNet Services' revised proposal, we had regard to advice provided by Economic Insights.</w:t>
      </w:r>
      <w:r>
        <w:rPr>
          <w:rStyle w:val="FootnoteReference"/>
        </w:rPr>
        <w:footnoteReference w:id="86"/>
      </w:r>
    </w:p>
    <w:p w:rsidR="003B0C04" w:rsidRDefault="003B0C04" w:rsidP="003B0C04">
      <w:r>
        <w:t>We consider CPI to be a realistic expectation of the forecast increase in the price of non-labour inputs, including non-field services, over the forthcoming regulatory control period. In our draft decision we</w:t>
      </w:r>
      <w:r w:rsidRPr="00D007AA">
        <w:t xml:space="preserve"> looked at the output producer price indices that most closely reflect the non-field services that an efficient service provider would purchase. This analysis </w:t>
      </w:r>
      <w:r>
        <w:t>showed</w:t>
      </w:r>
      <w:r w:rsidRPr="00D007AA">
        <w:t xml:space="preserve"> that the price of non-field services tend</w:t>
      </w:r>
      <w:r>
        <w:t>ed</w:t>
      </w:r>
      <w:r w:rsidRPr="00D007AA">
        <w:t xml:space="preserve"> to grow at a similar rate to CPI. </w:t>
      </w:r>
      <w:r>
        <w:t xml:space="preserve">When we reviewed </w:t>
      </w:r>
      <w:r w:rsidRPr="00D007AA">
        <w:t xml:space="preserve">the historic change in various producer price indices we found no evidence that the price of the non-field services purchased from contractors by an efficient service provider </w:t>
      </w:r>
      <w:r>
        <w:t xml:space="preserve">would </w:t>
      </w:r>
      <w:r w:rsidRPr="00D007AA">
        <w:t>var</w:t>
      </w:r>
      <w:r>
        <w:t>y</w:t>
      </w:r>
      <w:r w:rsidRPr="00D007AA">
        <w:t xml:space="preserve"> materially from CPI.</w:t>
      </w:r>
      <w:r>
        <w:rPr>
          <w:rStyle w:val="FootnoteReference"/>
        </w:rPr>
        <w:footnoteReference w:id="87"/>
      </w:r>
      <w:r>
        <w:t xml:space="preserve"> AusNet Services provided no evidence to support its claim that non-labour prices will increase at a greater rate than the CPI.</w:t>
      </w:r>
    </w:p>
    <w:p w:rsidR="003B0C04" w:rsidRDefault="003B0C04" w:rsidP="003B0C04">
      <w:pPr>
        <w:pStyle w:val="HeadingBoldItalic"/>
      </w:pPr>
      <w:bookmarkStart w:id="38" w:name="_Toc480809656"/>
      <w:r w:rsidRPr="00F92E40">
        <w:t>Benchmark versus firm specific weights</w:t>
      </w:r>
      <w:bookmarkEnd w:id="38"/>
    </w:p>
    <w:p w:rsidR="00390F79" w:rsidRDefault="003B0C04" w:rsidP="003B0C04">
      <w:r>
        <w:t>In our d</w:t>
      </w:r>
      <w:r w:rsidRPr="00EB0A86">
        <w:t xml:space="preserve">raft </w:t>
      </w:r>
      <w:r>
        <w:t>d</w:t>
      </w:r>
      <w:r w:rsidRPr="00EB0A86">
        <w:t xml:space="preserve">ecision </w:t>
      </w:r>
      <w:r>
        <w:t xml:space="preserve">we </w:t>
      </w:r>
      <w:r w:rsidRPr="00EB0A86">
        <w:t xml:space="preserve">applied benchmark </w:t>
      </w:r>
      <w:r>
        <w:t xml:space="preserve">input price weights </w:t>
      </w:r>
      <w:r w:rsidRPr="00EB0A86">
        <w:t>of 62</w:t>
      </w:r>
      <w:r>
        <w:t xml:space="preserve"> per cent and 38 per cent for </w:t>
      </w:r>
      <w:r w:rsidRPr="00EB0A86">
        <w:t>labour and non-labour respectively</w:t>
      </w:r>
      <w:r>
        <w:t>. We did not use the firm specific weights proposed by AusNet Services</w:t>
      </w:r>
      <w:r w:rsidRPr="00EB0A86">
        <w:t xml:space="preserve">. </w:t>
      </w:r>
      <w:r>
        <w:t>Consistent with its initial revenue proposal, AusNet Services proposed firm specific input price weights based on its actual expenditure to forecast price growth in its revised revenue proposal</w:t>
      </w:r>
      <w:r w:rsidRPr="00EB0A86">
        <w:t>.</w:t>
      </w:r>
      <w:r>
        <w:rPr>
          <w:rStyle w:val="FootnoteReference"/>
        </w:rPr>
        <w:footnoteReference w:id="88"/>
      </w:r>
      <w:r w:rsidRPr="00EB0A86">
        <w:t xml:space="preserve"> </w:t>
      </w:r>
    </w:p>
    <w:p w:rsidR="003B0C04" w:rsidRDefault="003B0C04" w:rsidP="003B0C04">
      <w:r>
        <w:t>Consistent with our draft decision, we consider:</w:t>
      </w:r>
    </w:p>
    <w:p w:rsidR="003B0C04" w:rsidRDefault="003B0C04" w:rsidP="003B0C04">
      <w:pPr>
        <w:pStyle w:val="AERbulletlistfirststyle"/>
      </w:pPr>
      <w:r>
        <w:t>u</w:t>
      </w:r>
      <w:r w:rsidRPr="003873D9">
        <w:t xml:space="preserve">sing a </w:t>
      </w:r>
      <w:r>
        <w:t>network business'</w:t>
      </w:r>
      <w:r w:rsidRPr="003873D9">
        <w:t xml:space="preserve"> actual </w:t>
      </w:r>
      <w:r>
        <w:t xml:space="preserve">input price </w:t>
      </w:r>
      <w:r w:rsidRPr="003873D9">
        <w:t>weights distorts the incentive to use the efficient proportion of internal labour</w:t>
      </w:r>
    </w:p>
    <w:p w:rsidR="003B0C04" w:rsidRDefault="003B0C04" w:rsidP="003B0C04">
      <w:pPr>
        <w:pStyle w:val="AERbulletlistfirststyle"/>
      </w:pPr>
      <w:r>
        <w:lastRenderedPageBreak/>
        <w:t>our benchmark input price weights are the best available</w:t>
      </w:r>
    </w:p>
    <w:p w:rsidR="003B0C04" w:rsidRDefault="003B0C04" w:rsidP="003B0C04">
      <w:pPr>
        <w:pStyle w:val="AERbulletlistfirststyle"/>
      </w:pPr>
      <w:r>
        <w:t>using different input price weights to forecast price growth and to forecast productivity growth yields a biased opex forecast.</w:t>
      </w:r>
    </w:p>
    <w:p w:rsidR="003B0C04" w:rsidRDefault="003B0C04" w:rsidP="003B0C04">
      <w:r>
        <w:t xml:space="preserve">In our revealed cost forecasting approach it is important that the past performance of a network business does not influence the rate of change used to trend forward the base year revealed opex. Forecasting the rate of change based on a network business' past performance, including its past input mix, would not provide a business an incentive to reveal </w:t>
      </w:r>
      <w:r w:rsidR="000860A4">
        <w:t>its</w:t>
      </w:r>
      <w:r>
        <w:t xml:space="preserve"> efficient costs. In these circumstances, u</w:t>
      </w:r>
      <w:r w:rsidRPr="001D2E0A">
        <w:t>sing a firm's revealed input mix provides a disincentive to use less of an input that is increasing more rapidly in price because it would reduce the forecast rate of change.</w:t>
      </w:r>
      <w:r w:rsidR="00DA3077">
        <w:rPr>
          <w:rStyle w:val="FootnoteReference"/>
        </w:rPr>
        <w:footnoteReference w:id="89"/>
      </w:r>
      <w:r>
        <w:t xml:space="preserve"> The revenue and pricing principles state that a</w:t>
      </w:r>
      <w:r w:rsidRPr="0060420F">
        <w:t xml:space="preserve"> regulated </w:t>
      </w:r>
      <w:r>
        <w:t>network business</w:t>
      </w:r>
      <w:r w:rsidRPr="0060420F">
        <w:t xml:space="preserve"> should be provided with effective incentives in order to promote economic efficiency</w:t>
      </w:r>
      <w:r>
        <w:t>.</w:t>
      </w:r>
      <w:r w:rsidR="00DA3077">
        <w:rPr>
          <w:rStyle w:val="FootnoteReference"/>
        </w:rPr>
        <w:footnoteReference w:id="90"/>
      </w:r>
      <w:r>
        <w:t xml:space="preserve"> </w:t>
      </w:r>
    </w:p>
    <w:p w:rsidR="003B0C04" w:rsidRDefault="003B0C04" w:rsidP="003B0C04">
      <w:r>
        <w:t xml:space="preserve">We therefore </w:t>
      </w:r>
      <w:r w:rsidR="000860A4">
        <w:t>have regard to</w:t>
      </w:r>
      <w:r>
        <w:t xml:space="preserve"> benchmark weights. We note that AusNet Services has not argued that our benchmark input price weights do not </w:t>
      </w:r>
      <w:r w:rsidRPr="004D0F21">
        <w:t xml:space="preserve">reflect the input mix of an efficient benchmark firm. </w:t>
      </w:r>
      <w:r>
        <w:t xml:space="preserve">It has only argued that our benchmark input price weights do not </w:t>
      </w:r>
      <w:r w:rsidRPr="004D0F21">
        <w:t xml:space="preserve">reflect </w:t>
      </w:r>
      <w:r>
        <w:t>its input mix</w:t>
      </w:r>
      <w:r w:rsidRPr="004D0F21">
        <w:t>.</w:t>
      </w:r>
      <w:r>
        <w:t xml:space="preserve"> Our analysis of the Victorian distribution network businesses—among the most efficient in the NEM—showed that they do not all adopt the same input</w:t>
      </w:r>
      <w:r w:rsidRPr="004D0F21">
        <w:t xml:space="preserve"> mix.</w:t>
      </w:r>
      <w:r>
        <w:t xml:space="preserve"> As we stated in our draft decision, </w:t>
      </w:r>
      <w:r w:rsidRPr="006306AC">
        <w:t>using benchmark input weights does not necessarily infer or assume that AusNet Services' revealed input mix is inefficient.</w:t>
      </w:r>
      <w:r>
        <w:rPr>
          <w:rStyle w:val="FootnoteReference"/>
        </w:rPr>
        <w:footnoteReference w:id="91"/>
      </w:r>
    </w:p>
    <w:p w:rsidR="003B0C04" w:rsidRDefault="003B0C04" w:rsidP="003B0C04">
      <w:r>
        <w:t xml:space="preserve">Given that AusNet Services has provided no reasons why it considers our benchmark input price weights do not </w:t>
      </w:r>
      <w:r w:rsidRPr="004D0F21">
        <w:t xml:space="preserve">reflect the input mix </w:t>
      </w:r>
      <w:r>
        <w:t>that would be incurred by</w:t>
      </w:r>
      <w:r w:rsidRPr="004D0F21">
        <w:t xml:space="preserve"> an efficient benchmark firm</w:t>
      </w:r>
      <w:r>
        <w:t xml:space="preserve">, there is no basis for us to change our position </w:t>
      </w:r>
      <w:r w:rsidRPr="00D33D30">
        <w:t>that a benchmark labour weight of 62</w:t>
      </w:r>
      <w:r>
        <w:t> </w:t>
      </w:r>
      <w:r w:rsidRPr="00D33D30">
        <w:t>per</w:t>
      </w:r>
      <w:r>
        <w:t> </w:t>
      </w:r>
      <w:r w:rsidRPr="00D33D30">
        <w:t>cent reasonably reflects a realistic expectation of the cost inputs required to achieve the opex objectives.</w:t>
      </w:r>
      <w:r>
        <w:t xml:space="preserve"> This takes into account advice from Economic Insights that these weights remain the best available.</w:t>
      </w:r>
      <w:r>
        <w:rPr>
          <w:rStyle w:val="FootnoteReference"/>
        </w:rPr>
        <w:footnoteReference w:id="92"/>
      </w:r>
    </w:p>
    <w:p w:rsidR="003B0C04" w:rsidRDefault="003B0C04" w:rsidP="003B0C04">
      <w:r w:rsidRPr="006306AC">
        <w:t>AusNet Services</w:t>
      </w:r>
      <w:r w:rsidR="004276AF">
        <w:t>'</w:t>
      </w:r>
      <w:r w:rsidRPr="006306AC">
        <w:t xml:space="preserve"> pro</w:t>
      </w:r>
      <w:r>
        <w:t>posal is inconsistent in that i</w:t>
      </w:r>
      <w:r w:rsidRPr="006306AC">
        <w:t>t uses benchmark opex weights to measure productivity growth but uses firm specific weights to forecast price change. Because it applies a higher weight to the input increasing in price more rapidly when forecasting price change this results in its rate of change overstating the efficient costs of achieving the opex objectives.</w:t>
      </w:r>
      <w:r>
        <w:rPr>
          <w:rStyle w:val="FootnoteReference"/>
        </w:rPr>
        <w:footnoteReference w:id="93"/>
      </w:r>
      <w:r w:rsidRPr="006306AC">
        <w:t xml:space="preserve"> </w:t>
      </w:r>
    </w:p>
    <w:p w:rsidR="00581BC8" w:rsidRDefault="003B0C04" w:rsidP="00581BC8">
      <w:r>
        <w:t>As found by Economic Insights, a</w:t>
      </w:r>
      <w:r w:rsidRPr="00D44990">
        <w:t xml:space="preserve">part from being logically inconsistent, this would </w:t>
      </w:r>
      <w:r w:rsidR="00066A36">
        <w:t xml:space="preserve">create a risk of </w:t>
      </w:r>
      <w:r>
        <w:t xml:space="preserve">bias </w:t>
      </w:r>
      <w:r w:rsidRPr="00D44990">
        <w:t xml:space="preserve">in </w:t>
      </w:r>
      <w:r>
        <w:t xml:space="preserve">AusNet Services' </w:t>
      </w:r>
      <w:r w:rsidRPr="00D44990">
        <w:t xml:space="preserve">favour. It </w:t>
      </w:r>
      <w:r>
        <w:t>is also important to note that</w:t>
      </w:r>
      <w:r w:rsidRPr="00D44990">
        <w:t xml:space="preserve"> </w:t>
      </w:r>
      <w:r>
        <w:t>using a</w:t>
      </w:r>
      <w:r w:rsidRPr="00D44990">
        <w:t xml:space="preserve"> </w:t>
      </w:r>
      <w:r w:rsidRPr="00D44990">
        <w:lastRenderedPageBreak/>
        <w:t>higher labour share of opex in the historical productivity analysis</w:t>
      </w:r>
      <w:r>
        <w:t xml:space="preserve"> would have produced</w:t>
      </w:r>
      <w:r w:rsidRPr="00D44990">
        <w:t xml:space="preserve"> a higher partial productivity growth rate</w:t>
      </w:r>
      <w:r>
        <w:t>. This in turn would have i</w:t>
      </w:r>
      <w:r w:rsidRPr="00D44990">
        <w:t>ncrease</w:t>
      </w:r>
      <w:r>
        <w:t>d</w:t>
      </w:r>
      <w:r w:rsidRPr="00D44990">
        <w:t xml:space="preserve"> </w:t>
      </w:r>
      <w:r>
        <w:t xml:space="preserve">our forecast of </w:t>
      </w:r>
      <w:r w:rsidRPr="00D44990">
        <w:t>productivity growth in the rate of change formula.</w:t>
      </w:r>
      <w:r>
        <w:rPr>
          <w:rStyle w:val="FootnoteReference"/>
        </w:rPr>
        <w:footnoteReference w:id="94"/>
      </w:r>
    </w:p>
    <w:p w:rsidR="00B733BA" w:rsidRPr="003F4CF8" w:rsidRDefault="00B733BA" w:rsidP="00581BC8">
      <w:r>
        <w:t xml:space="preserve">While we consider that we should treat the </w:t>
      </w:r>
      <w:r w:rsidRPr="007646F2">
        <w:t>conclusions from our transmission benchmarking with caution</w:t>
      </w:r>
      <w:r>
        <w:t xml:space="preserve"> for the purpose of testing the efficiency of base opex, </w:t>
      </w:r>
      <w:r w:rsidRPr="00285AF5">
        <w:t xml:space="preserve">we are confident our benchmarking </w:t>
      </w:r>
      <w:r w:rsidR="00543025">
        <w:t>models</w:t>
      </w:r>
      <w:r w:rsidRPr="00285AF5">
        <w:t xml:space="preserve"> </w:t>
      </w:r>
      <w:r w:rsidR="00543025">
        <w:t>are</w:t>
      </w:r>
      <w:r w:rsidRPr="00285AF5">
        <w:t xml:space="preserve"> sufficiently robust</w:t>
      </w:r>
      <w:r>
        <w:t xml:space="preserve"> to forecast the rate of change</w:t>
      </w:r>
      <w:r w:rsidRPr="007646F2">
        <w:t>.</w:t>
      </w:r>
      <w:r>
        <w:t xml:space="preserve"> We have previously </w:t>
      </w:r>
      <w:r w:rsidR="00543025">
        <w:t xml:space="preserve">found </w:t>
      </w:r>
      <w:r>
        <w:t xml:space="preserve">that although different model specifications can change the relative rankings of transmission businesses, they </w:t>
      </w:r>
      <w:r w:rsidR="00543025">
        <w:t>do</w:t>
      </w:r>
      <w:r>
        <w:t xml:space="preserve"> not change the </w:t>
      </w:r>
      <w:r w:rsidR="004463C5">
        <w:t>'</w:t>
      </w:r>
      <w:r>
        <w:t>slope</w:t>
      </w:r>
      <w:r w:rsidR="004463C5">
        <w:t>'</w:t>
      </w:r>
      <w:r w:rsidR="00543025">
        <w:t xml:space="preserve"> of </w:t>
      </w:r>
      <w:r w:rsidR="004463C5">
        <w:t>industry average productivity trends</w:t>
      </w:r>
      <w:r w:rsidRPr="00285AF5">
        <w:t xml:space="preserve">. </w:t>
      </w:r>
      <w:r>
        <w:t xml:space="preserve">It is the slope that is </w:t>
      </w:r>
      <w:r w:rsidRPr="00285AF5">
        <w:t xml:space="preserve">important for </w:t>
      </w:r>
      <w:r w:rsidR="004463C5">
        <w:t xml:space="preserve">calculating </w:t>
      </w:r>
      <w:r w:rsidRPr="00285AF5">
        <w:t xml:space="preserve">the rate of change, </w:t>
      </w:r>
      <w:r w:rsidR="00543025">
        <w:t>whereas</w:t>
      </w:r>
      <w:r>
        <w:t xml:space="preserve"> the relative rankings are important for testing base opex efficiency</w:t>
      </w:r>
      <w:r w:rsidRPr="00285AF5">
        <w:t>.</w:t>
      </w:r>
      <w:r>
        <w:rPr>
          <w:rStyle w:val="FootnoteReference"/>
        </w:rPr>
        <w:footnoteReference w:id="95"/>
      </w:r>
    </w:p>
    <w:p w:rsidR="00DF072A" w:rsidRDefault="007F787E" w:rsidP="00DA2411">
      <w:pPr>
        <w:pStyle w:val="Heading4"/>
      </w:pPr>
      <w:bookmarkStart w:id="39" w:name="_Toc480809657"/>
      <w:r>
        <w:t>Forecast output growth</w:t>
      </w:r>
      <w:bookmarkEnd w:id="39"/>
      <w:r>
        <w:t xml:space="preserve"> </w:t>
      </w:r>
    </w:p>
    <w:p w:rsidR="007F787E" w:rsidRDefault="007F787E" w:rsidP="007F787E">
      <w:r>
        <w:t xml:space="preserve">We are satisfied that AusNet Services' forecast output growth of zero </w:t>
      </w:r>
      <w:r w:rsidRPr="00CF7E78">
        <w:t xml:space="preserve">reasonably reflects the increase in output a prudent and efficient service provider would require to achieve the opex objectives. </w:t>
      </w:r>
    </w:p>
    <w:p w:rsidR="007F787E" w:rsidRDefault="007F787E" w:rsidP="007F787E">
      <w:r>
        <w:t>In its revised revenue proposal AusNet Services agreed that it is not required to fund the operation and maintenance of new augmentation and connection assets, including group 3 assets, from its opex allowance.</w:t>
      </w:r>
      <w:r>
        <w:rPr>
          <w:rStyle w:val="FootnoteReference"/>
        </w:rPr>
        <w:footnoteReference w:id="96"/>
      </w:r>
      <w:r>
        <w:t xml:space="preserve"> It was for this reason that we also forecast no output growth in our draft decision.</w:t>
      </w:r>
      <w:r>
        <w:rPr>
          <w:rStyle w:val="FootnoteReference"/>
        </w:rPr>
        <w:footnoteReference w:id="97"/>
      </w:r>
      <w:r>
        <w:t xml:space="preserve"> </w:t>
      </w:r>
    </w:p>
    <w:p w:rsidR="007F787E" w:rsidRDefault="007F787E" w:rsidP="00DA2411">
      <w:pPr>
        <w:pStyle w:val="Heading4"/>
      </w:pPr>
      <w:bookmarkStart w:id="40" w:name="_Toc480809658"/>
      <w:r>
        <w:t>Forecast productivity growth</w:t>
      </w:r>
      <w:bookmarkEnd w:id="40"/>
    </w:p>
    <w:p w:rsidR="003B0C04" w:rsidRPr="00C127C4" w:rsidRDefault="003B0C04" w:rsidP="003B0C04">
      <w:r w:rsidRPr="00C127C4">
        <w:t>In the Guideline we stated that we would apply a rate of change to estimated final year opex (taking into account an efficiency adjustment, if required), to account for the shift in the productivity frontier.</w:t>
      </w:r>
      <w:r>
        <w:rPr>
          <w:rStyle w:val="FootnoteReference"/>
        </w:rPr>
        <w:footnoteReference w:id="98"/>
      </w:r>
      <w:r w:rsidRPr="00C127C4">
        <w:t xml:space="preserve"> </w:t>
      </w:r>
      <w:r>
        <w:t xml:space="preserve">We </w:t>
      </w:r>
      <w:r w:rsidR="00550422">
        <w:t>have</w:t>
      </w:r>
      <w:r>
        <w:t xml:space="preserve"> forecast productivity growth of zero for AusNet Services. This is a departure from our draft decision, in which we forecast productivity growth of 0.2 per cent per year.</w:t>
      </w:r>
      <w:r>
        <w:rPr>
          <w:rStyle w:val="FootnoteReference"/>
        </w:rPr>
        <w:footnoteReference w:id="99"/>
      </w:r>
      <w:r>
        <w:t xml:space="preserve"> </w:t>
      </w:r>
    </w:p>
    <w:p w:rsidR="003B0C04" w:rsidRPr="00D51EA9" w:rsidRDefault="003B0C04" w:rsidP="003B0C04">
      <w:r w:rsidRPr="00C127C4">
        <w:t xml:space="preserve">We base our productivity growth forecast on </w:t>
      </w:r>
      <w:r>
        <w:t>historic productivity growth</w:t>
      </w:r>
      <w:r w:rsidR="00066A36">
        <w:t xml:space="preserve"> in the industry</w:t>
      </w:r>
      <w:r>
        <w:t xml:space="preserve"> to the extent we consider it will be reflective of future productivity growth</w:t>
      </w:r>
      <w:r w:rsidRPr="00C127C4">
        <w:t>. This assumes there will be no significant structural change in the electricity transmission industry for the 2017–22 period relative to the 2006–15 time period used to measure historic productivity growth. Previously</w:t>
      </w:r>
      <w:r>
        <w:t>,</w:t>
      </w:r>
      <w:r w:rsidRPr="00C127C4">
        <w:t xml:space="preserve"> Economic Insights considered the extrapolation of the </w:t>
      </w:r>
      <w:r w:rsidRPr="00C127C4">
        <w:lastRenderedPageBreak/>
        <w:t>electricity transmission industry opex partial productivity growth rate to be reasonable in a 'business</w:t>
      </w:r>
      <w:r>
        <w:t>-</w:t>
      </w:r>
      <w:r w:rsidRPr="00C127C4">
        <w:t>as</w:t>
      </w:r>
      <w:r>
        <w:t>-</w:t>
      </w:r>
      <w:r w:rsidRPr="00C127C4">
        <w:t>usual' scenario.</w:t>
      </w:r>
    </w:p>
    <w:p w:rsidR="003B0C04" w:rsidRDefault="003B0C04" w:rsidP="003B0C04">
      <w:r w:rsidRPr="000D6DC0">
        <w:t xml:space="preserve">AusNet Services </w:t>
      </w:r>
      <w:r>
        <w:t xml:space="preserve">used </w:t>
      </w:r>
      <w:r w:rsidRPr="000D6DC0">
        <w:t xml:space="preserve">the </w:t>
      </w:r>
      <w:r>
        <w:t>same</w:t>
      </w:r>
      <w:r w:rsidRPr="000D6DC0">
        <w:t xml:space="preserve"> 2006</w:t>
      </w:r>
      <w:r>
        <w:t>–</w:t>
      </w:r>
      <w:r w:rsidRPr="000D6DC0">
        <w:t xml:space="preserve">15 dataset </w:t>
      </w:r>
      <w:r>
        <w:t xml:space="preserve">to </w:t>
      </w:r>
      <w:r w:rsidRPr="000D6DC0">
        <w:t>calculate historical productivity</w:t>
      </w:r>
      <w:r>
        <w:t xml:space="preserve"> as we used for our draft decision</w:t>
      </w:r>
      <w:r w:rsidRPr="000D6DC0">
        <w:t xml:space="preserve">. </w:t>
      </w:r>
    </w:p>
    <w:p w:rsidR="003B0C04" w:rsidRDefault="003B0C04" w:rsidP="003B0C04">
      <w:r w:rsidRPr="000D6DC0">
        <w:t xml:space="preserve">However, AusNet Services </w:t>
      </w:r>
      <w:r>
        <w:t>did</w:t>
      </w:r>
      <w:r w:rsidRPr="000D6DC0">
        <w:t xml:space="preserve"> not </w:t>
      </w:r>
      <w:r>
        <w:t>use</w:t>
      </w:r>
      <w:r w:rsidRPr="000D6DC0">
        <w:t xml:space="preserve"> the trend growth method </w:t>
      </w:r>
      <w:r>
        <w:t>that we used. Instead it used the average growth rate, or point-to-point method, which it considered to be a</w:t>
      </w:r>
      <w:r w:rsidRPr="009C6BD4">
        <w:t xml:space="preserve"> more appropriate method for calculating historical productivity</w:t>
      </w:r>
      <w:r>
        <w:t>. Using the average growth rate method, average annual productivity growth over the period 2006 to 2015 was negative. Consequently</w:t>
      </w:r>
      <w:r w:rsidRPr="001041E6">
        <w:t>, AusNet Services forecast no productivity growth.</w:t>
      </w:r>
      <w:r>
        <w:rPr>
          <w:rStyle w:val="FootnoteReference"/>
        </w:rPr>
        <w:footnoteReference w:id="100"/>
      </w:r>
    </w:p>
    <w:p w:rsidR="003B0C04" w:rsidRDefault="003B0C04" w:rsidP="003B0C04">
      <w:r>
        <w:t xml:space="preserve">AusNet </w:t>
      </w:r>
      <w:r w:rsidRPr="001041E6">
        <w:t xml:space="preserve">Services also </w:t>
      </w:r>
      <w:r>
        <w:t>considered that we had</w:t>
      </w:r>
      <w:r w:rsidRPr="001041E6">
        <w:t xml:space="preserve"> double counted productivity growth due to economies of scale </w:t>
      </w:r>
      <w:r>
        <w:t xml:space="preserve">in our draft decision. AusNet Services stated that we had captured economies of scale </w:t>
      </w:r>
      <w:r w:rsidRPr="001041E6">
        <w:t xml:space="preserve">in both the </w:t>
      </w:r>
      <w:r w:rsidR="00066A36">
        <w:t>g</w:t>
      </w:r>
      <w:r w:rsidRPr="001041E6">
        <w:t>roup 3</w:t>
      </w:r>
      <w:r w:rsidR="00935B91">
        <w:rPr>
          <w:rStyle w:val="FootnoteReference"/>
        </w:rPr>
        <w:footnoteReference w:id="101"/>
      </w:r>
      <w:r w:rsidRPr="001041E6">
        <w:t xml:space="preserve"> roll in opex and the productivity forecast. </w:t>
      </w:r>
      <w:r>
        <w:t>It considered t</w:t>
      </w:r>
      <w:r w:rsidRPr="001041E6">
        <w:t xml:space="preserve">he productivity forecast </w:t>
      </w:r>
      <w:r>
        <w:t xml:space="preserve">would </w:t>
      </w:r>
      <w:r w:rsidRPr="001041E6">
        <w:t xml:space="preserve">therefore overestimate the productivity growth an efficient and prudent </w:t>
      </w:r>
      <w:r>
        <w:t>transmission business</w:t>
      </w:r>
      <w:r w:rsidRPr="001041E6">
        <w:t xml:space="preserve"> will achieve in the forthcoming period.</w:t>
      </w:r>
      <w:r>
        <w:rPr>
          <w:rStyle w:val="FootnoteReference"/>
        </w:rPr>
        <w:footnoteReference w:id="102"/>
      </w:r>
      <w:r>
        <w:t xml:space="preserve"> We discuss both of these issues below.</w:t>
      </w:r>
    </w:p>
    <w:p w:rsidR="003B0C04" w:rsidRDefault="003B0C04" w:rsidP="003B0C04">
      <w:pPr>
        <w:pStyle w:val="HeadingBoldItalic"/>
      </w:pPr>
      <w:bookmarkStart w:id="41" w:name="_Toc480809659"/>
      <w:r>
        <w:t>Accounting for economies of scale</w:t>
      </w:r>
      <w:bookmarkEnd w:id="41"/>
    </w:p>
    <w:p w:rsidR="003B0C04" w:rsidRDefault="003B0C04" w:rsidP="003B0C04">
      <w:r>
        <w:t>AusNet Services noted that we had accounted for economies of scale in both the group 3 costs we added to base opex and in our productivity growth forecast.</w:t>
      </w:r>
      <w:r>
        <w:rPr>
          <w:rStyle w:val="FootnoteReference"/>
        </w:rPr>
        <w:footnoteReference w:id="103"/>
      </w:r>
      <w:r>
        <w:t xml:space="preserve"> This raises important questions about how we account for output growth and productivity for AusNet Services, taking into account that it does not face the changes to opex due to output growth associated with group 3 assets until we roll those assets into its asset base. Given we have included AusNet Services' forecast of additional opex associated with group 3 assets in our opex forecast, including associated economies of scale, we agree that we should not also include economies of scale in our productivity growth forecast.</w:t>
      </w:r>
    </w:p>
    <w:p w:rsidR="00390F79" w:rsidRDefault="003B0C04" w:rsidP="003B0C04">
      <w:r>
        <w:t xml:space="preserve">Economic Insights agreed </w:t>
      </w:r>
      <w:r w:rsidRPr="001A6063">
        <w:t xml:space="preserve">that the unique structural and regulatory arrangements in Victoria have led to some degree of double counting of scale effects in this instance. </w:t>
      </w:r>
      <w:r>
        <w:t xml:space="preserve">Economic Insights stated </w:t>
      </w:r>
      <w:r w:rsidRPr="001A6063">
        <w:t xml:space="preserve">the most transparent way of addressing this issue </w:t>
      </w:r>
      <w:r>
        <w:t xml:space="preserve">would be to </w:t>
      </w:r>
      <w:r w:rsidRPr="001A6063">
        <w:t xml:space="preserve">forecast </w:t>
      </w:r>
      <w:r>
        <w:t xml:space="preserve">zero </w:t>
      </w:r>
      <w:r w:rsidRPr="001A6063">
        <w:t xml:space="preserve">opex productivity growth in the rate of change formula while retaining </w:t>
      </w:r>
      <w:r>
        <w:t>AusNet Services'</w:t>
      </w:r>
      <w:r w:rsidRPr="001A6063">
        <w:t xml:space="preserve"> proposed scale factors </w:t>
      </w:r>
      <w:r>
        <w:t>to forecast the opex associated with group 3 assets that are being rolled into the regulated asset base.</w:t>
      </w:r>
      <w:r>
        <w:rPr>
          <w:rStyle w:val="FootnoteReference"/>
        </w:rPr>
        <w:footnoteReference w:id="104"/>
      </w:r>
      <w:r>
        <w:t xml:space="preserve"> We agree </w:t>
      </w:r>
      <w:r w:rsidR="00066A36">
        <w:t>and have adopted this approach.</w:t>
      </w:r>
    </w:p>
    <w:p w:rsidR="00C767BE" w:rsidRDefault="00C767BE" w:rsidP="003B0C04"/>
    <w:p w:rsidR="003B0C04" w:rsidRDefault="003B0C04" w:rsidP="003B0C04">
      <w:pPr>
        <w:pStyle w:val="HeadingBoldItalic"/>
      </w:pPr>
      <w:bookmarkStart w:id="42" w:name="_Toc480809660"/>
      <w:r>
        <w:lastRenderedPageBreak/>
        <w:t>The trend method best accounts for all available information</w:t>
      </w:r>
      <w:bookmarkEnd w:id="42"/>
    </w:p>
    <w:p w:rsidR="003B0C04" w:rsidRDefault="006D230C" w:rsidP="003B0C04">
      <w:r>
        <w:t>T</w:t>
      </w:r>
      <w:r w:rsidR="003B0C04">
        <w:t xml:space="preserve">he trend growth method </w:t>
      </w:r>
      <w:r>
        <w:t xml:space="preserve">is </w:t>
      </w:r>
      <w:r w:rsidR="003B0C04">
        <w:t>our preferred method for measuring historic productivity growth for</w:t>
      </w:r>
      <w:r w:rsidR="00222287">
        <w:t xml:space="preserve"> transmission businesses</w:t>
      </w:r>
      <w:r w:rsidR="003B0C04">
        <w:t xml:space="preserve">. </w:t>
      </w:r>
    </w:p>
    <w:p w:rsidR="003B0C04" w:rsidRDefault="003B0C04" w:rsidP="003B0C04">
      <w:r>
        <w:t xml:space="preserve">As noted by Economic Insights, </w:t>
      </w:r>
      <w:r w:rsidRPr="00F62C57">
        <w:t xml:space="preserve">two different approaches </w:t>
      </w:r>
      <w:r w:rsidR="00CF1C80">
        <w:t>can be</w:t>
      </w:r>
      <w:r w:rsidRPr="00F62C57">
        <w:t xml:space="preserve"> used to calculate the productivity growth </w:t>
      </w:r>
      <w:r w:rsidR="00CF1C80">
        <w:t>rate used in a regulatory setting</w:t>
      </w:r>
      <w:r w:rsidRPr="00F62C57">
        <w:t xml:space="preserve">. </w:t>
      </w:r>
      <w:r w:rsidRPr="00CF2496">
        <w:t>The average annual growth rate method measures the grow</w:t>
      </w:r>
      <w:r w:rsidR="009C6000">
        <w:t>th</w:t>
      </w:r>
      <w:r w:rsidRPr="00CF2496">
        <w:t xml:space="preserve"> rate between the first and last observations</w:t>
      </w:r>
      <w:r w:rsidR="00BC7286">
        <w:t>, and may be susceptible to effects of outliers in the first or last observation</w:t>
      </w:r>
      <w:r w:rsidR="007048F5">
        <w:t>.</w:t>
      </w:r>
      <w:r w:rsidR="00BC7286">
        <w:t xml:space="preserve"> </w:t>
      </w:r>
      <w:r w:rsidRPr="00CF2496">
        <w:t xml:space="preserve">The regression–based trend </w:t>
      </w:r>
      <w:r>
        <w:t xml:space="preserve">growth </w:t>
      </w:r>
      <w:r w:rsidRPr="00CF2496">
        <w:t>method determines a line of best fit through all the data points.</w:t>
      </w:r>
      <w:r>
        <w:rPr>
          <w:rStyle w:val="FootnoteReference"/>
        </w:rPr>
        <w:footnoteReference w:id="105"/>
      </w:r>
      <w:r w:rsidRPr="00CF2496">
        <w:t xml:space="preserve"> </w:t>
      </w:r>
      <w:r w:rsidR="00BC7286">
        <w:t>It moderates</w:t>
      </w:r>
      <w:r w:rsidR="007048F5">
        <w:t xml:space="preserve"> the effects of outliers, and in </w:t>
      </w:r>
      <w:r w:rsidR="00CF1C80">
        <w:t>a</w:t>
      </w:r>
      <w:r w:rsidR="007048F5">
        <w:t xml:space="preserve"> regulatory context,</w:t>
      </w:r>
      <w:r w:rsidR="00BC7286">
        <w:t xml:space="preserve"> the impact of large changes in opex reported for an individual transmission business.</w:t>
      </w:r>
      <w:r w:rsidR="00BC7286" w:rsidRPr="00BC7286">
        <w:rPr>
          <w:rStyle w:val="FootnoteReference"/>
        </w:rPr>
        <w:t xml:space="preserve"> </w:t>
      </w:r>
    </w:p>
    <w:p w:rsidR="003B0C04" w:rsidRDefault="003B0C04" w:rsidP="003B0C04">
      <w:r>
        <w:t xml:space="preserve">As noted by Economic Insights, </w:t>
      </w:r>
      <w:r w:rsidRPr="00A5711D">
        <w:t xml:space="preserve">reported </w:t>
      </w:r>
      <w:r>
        <w:t>transmission businesses'</w:t>
      </w:r>
      <w:r w:rsidRPr="00A5711D">
        <w:t xml:space="preserve"> opex levels have been relatively volatile</w:t>
      </w:r>
      <w:r>
        <w:t xml:space="preserve"> </w:t>
      </w:r>
      <w:r w:rsidRPr="00A5711D">
        <w:t xml:space="preserve">in recent years. </w:t>
      </w:r>
      <w:r>
        <w:t xml:space="preserve">Given this volatility, </w:t>
      </w:r>
      <w:r w:rsidRPr="00A5711D">
        <w:t xml:space="preserve">and the small number of </w:t>
      </w:r>
      <w:r>
        <w:t>transmission businesses</w:t>
      </w:r>
      <w:r w:rsidRPr="00A5711D">
        <w:t xml:space="preserve"> in Australia</w:t>
      </w:r>
      <w:r w:rsidR="00BC7286">
        <w:t xml:space="preserve"> </w:t>
      </w:r>
      <w:r w:rsidR="007048F5">
        <w:t xml:space="preserve">that </w:t>
      </w:r>
      <w:r w:rsidR="00BC7286">
        <w:t>we include in our data set</w:t>
      </w:r>
      <w:r w:rsidRPr="00A5711D">
        <w:t xml:space="preserve">, </w:t>
      </w:r>
      <w:r w:rsidR="00BC7286">
        <w:t>large changes for an individual transmission business</w:t>
      </w:r>
      <w:r w:rsidR="00BC7286" w:rsidRPr="00A5711D">
        <w:t xml:space="preserve"> can </w:t>
      </w:r>
      <w:r w:rsidR="00BC7286">
        <w:t xml:space="preserve">have a </w:t>
      </w:r>
      <w:r w:rsidR="00BC7286" w:rsidRPr="00A5711D">
        <w:t xml:space="preserve">disproportionate impact on </w:t>
      </w:r>
      <w:r w:rsidR="0028505F">
        <w:t>the measurement of</w:t>
      </w:r>
      <w:r w:rsidR="00BC7286" w:rsidRPr="00A5711D">
        <w:t xml:space="preserve"> </w:t>
      </w:r>
      <w:r w:rsidR="00BC7286">
        <w:t>transmission</w:t>
      </w:r>
      <w:r w:rsidR="007048F5">
        <w:t xml:space="preserve"> industry productivity growth, especially under the average annual growth rate method. Therefore, </w:t>
      </w:r>
      <w:r>
        <w:t xml:space="preserve">Economic Insights stated that </w:t>
      </w:r>
      <w:r w:rsidR="007048F5">
        <w:t>it</w:t>
      </w:r>
      <w:r>
        <w:t xml:space="preserve"> </w:t>
      </w:r>
      <w:r w:rsidR="00BC7286">
        <w:t xml:space="preserve">was </w:t>
      </w:r>
      <w:r w:rsidR="00BC7286" w:rsidRPr="00A5711D">
        <w:t xml:space="preserve">more appropriate to measure </w:t>
      </w:r>
      <w:r w:rsidR="00BC7286">
        <w:t>transmission</w:t>
      </w:r>
      <w:r w:rsidR="00BC7286" w:rsidRPr="00A5711D">
        <w:t xml:space="preserve"> opex productivity growth using the trend growth rate method</w:t>
      </w:r>
      <w:r w:rsidR="00BC7286">
        <w:t>.</w:t>
      </w:r>
      <w:r w:rsidR="00BC7286">
        <w:rPr>
          <w:rStyle w:val="FootnoteReference"/>
        </w:rPr>
        <w:footnoteReference w:id="106"/>
      </w:r>
      <w:r w:rsidR="00BC7286">
        <w:t xml:space="preserve"> </w:t>
      </w:r>
    </w:p>
    <w:p w:rsidR="003B0C04" w:rsidRPr="003B0C04" w:rsidRDefault="003B0C04" w:rsidP="003B0C04">
      <w:r>
        <w:t xml:space="preserve">We agree with Economic Insights that it is </w:t>
      </w:r>
      <w:r w:rsidRPr="00A5711D">
        <w:t xml:space="preserve">more appropriate to measure </w:t>
      </w:r>
      <w:r>
        <w:t>transmission</w:t>
      </w:r>
      <w:r w:rsidRPr="00A5711D">
        <w:t xml:space="preserve"> opex productivity growth using the trend growth rate method</w:t>
      </w:r>
      <w:r>
        <w:t xml:space="preserve"> given the small number of transmission businesses</w:t>
      </w:r>
      <w:r w:rsidRPr="00A5711D">
        <w:t xml:space="preserve"> </w:t>
      </w:r>
      <w:r>
        <w:t>in th</w:t>
      </w:r>
      <w:r w:rsidR="00CF1C80">
        <w:t>e data set.</w:t>
      </w:r>
    </w:p>
    <w:p w:rsidR="000646F7" w:rsidRDefault="000646F7" w:rsidP="00CD1D8B">
      <w:pPr>
        <w:pStyle w:val="Heading3"/>
      </w:pPr>
      <w:bookmarkStart w:id="43" w:name="_Toc480809661"/>
      <w:r>
        <w:t>Step changes and category specific forecasts</w:t>
      </w:r>
      <w:bookmarkEnd w:id="43"/>
    </w:p>
    <w:p w:rsidR="00A474ED" w:rsidRPr="00A474ED" w:rsidRDefault="00A474ED" w:rsidP="00755E45">
      <w:pPr>
        <w:pStyle w:val="Heading4"/>
      </w:pPr>
      <w:bookmarkStart w:id="44" w:name="_Toc480809662"/>
      <w:r>
        <w:t>Step changes</w:t>
      </w:r>
      <w:bookmarkEnd w:id="44"/>
    </w:p>
    <w:p w:rsidR="00827C90" w:rsidRDefault="00CD1D8B" w:rsidP="00827C90">
      <w:r w:rsidRPr="00CD1D8B">
        <w:t xml:space="preserve">We have not included any step changes in our </w:t>
      </w:r>
      <w:r w:rsidR="009F32FD">
        <w:t>total opex</w:t>
      </w:r>
      <w:r w:rsidR="009F32FD" w:rsidRPr="009F32FD">
        <w:t xml:space="preserve"> </w:t>
      </w:r>
      <w:r w:rsidR="009F32FD" w:rsidRPr="00CD1D8B">
        <w:t>forecast</w:t>
      </w:r>
      <w:r w:rsidR="00A211DA">
        <w:t xml:space="preserve"> for AusNet Services</w:t>
      </w:r>
      <w:r w:rsidRPr="00CD1D8B">
        <w:t xml:space="preserve">. </w:t>
      </w:r>
      <w:r w:rsidR="00827C90">
        <w:t xml:space="preserve">We consider </w:t>
      </w:r>
      <w:r w:rsidR="004578C1">
        <w:t>adding</w:t>
      </w:r>
      <w:r w:rsidR="00745DB7">
        <w:t xml:space="preserve"> </w:t>
      </w:r>
      <w:r w:rsidR="00745DB7" w:rsidRPr="009F32FD">
        <w:t xml:space="preserve">step changes for </w:t>
      </w:r>
      <w:r w:rsidR="00745DB7">
        <w:t xml:space="preserve">the </w:t>
      </w:r>
      <w:r w:rsidR="00745DB7" w:rsidRPr="009F32FD">
        <w:t xml:space="preserve">cost drivers identified by </w:t>
      </w:r>
      <w:r w:rsidR="00745DB7">
        <w:t>AusNet Service</w:t>
      </w:r>
      <w:r w:rsidR="00A211DA">
        <w:t>s</w:t>
      </w:r>
      <w:r w:rsidR="00745DB7" w:rsidRPr="009F32FD">
        <w:t xml:space="preserve"> would lead to a forecast </w:t>
      </w:r>
      <w:r w:rsidR="00A73CA2">
        <w:t xml:space="preserve">of opex </w:t>
      </w:r>
      <w:r w:rsidR="00745DB7">
        <w:t>that is above</w:t>
      </w:r>
      <w:r w:rsidR="00827C90">
        <w:t xml:space="preserve"> efficient levels. </w:t>
      </w:r>
    </w:p>
    <w:p w:rsidR="00F45BF9" w:rsidRDefault="00F45BF9" w:rsidP="00F45BF9">
      <w:r w:rsidRPr="00E576E9">
        <w:t xml:space="preserve">In its initial proposal, AusNet Services proposed </w:t>
      </w:r>
      <w:r>
        <w:t>six</w:t>
      </w:r>
      <w:r w:rsidRPr="00E576E9">
        <w:t xml:space="preserve"> step change</w:t>
      </w:r>
      <w:r>
        <w:t>s to</w:t>
      </w:r>
      <w:r w:rsidRPr="00E576E9">
        <w:t xml:space="preserve"> its base opex</w:t>
      </w:r>
      <w:r>
        <w:t>,</w:t>
      </w:r>
      <w:r w:rsidRPr="00E576E9">
        <w:t xml:space="preserve"> </w:t>
      </w:r>
      <w:r>
        <w:t>totalling</w:t>
      </w:r>
      <w:r w:rsidRPr="00E576E9">
        <w:t xml:space="preserve"> $</w:t>
      </w:r>
      <w:r>
        <w:t>13</w:t>
      </w:r>
      <w:r w:rsidRPr="00E576E9">
        <w:t>.</w:t>
      </w:r>
      <w:r>
        <w:t xml:space="preserve">5 million </w:t>
      </w:r>
      <w:r w:rsidRPr="00B60F41">
        <w:t>($2016–17) or 2.7 per cent of its total opex forecast</w:t>
      </w:r>
      <w:r w:rsidR="00DB00CF">
        <w:t xml:space="preserve"> (excluding land easement tax)</w:t>
      </w:r>
      <w:r>
        <w:t>. Our draft decision</w:t>
      </w:r>
      <w:r w:rsidRPr="00E576E9">
        <w:t xml:space="preserve"> did not include any step changes.</w:t>
      </w:r>
    </w:p>
    <w:p w:rsidR="00F45BF9" w:rsidRDefault="00F45BF9" w:rsidP="00F45BF9">
      <w:r>
        <w:t>In its revised proposal, AusNet Services re</w:t>
      </w:r>
      <w:r w:rsidR="00F146B4">
        <w:t>-</w:t>
      </w:r>
      <w:r>
        <w:t xml:space="preserve">proposed all but one of the </w:t>
      </w:r>
      <w:r w:rsidR="007B2A3A">
        <w:t xml:space="preserve">six </w:t>
      </w:r>
      <w:r>
        <w:t xml:space="preserve">step changes (for new emergency response arrangements). </w:t>
      </w:r>
      <w:r w:rsidR="005570BB">
        <w:t xml:space="preserve">In a late submission it proposed an </w:t>
      </w:r>
      <w:r w:rsidR="00215270">
        <w:t>additional</w:t>
      </w:r>
      <w:r w:rsidR="005570BB">
        <w:t xml:space="preserve"> small negative step change.</w:t>
      </w:r>
    </w:p>
    <w:p w:rsidR="00F45BF9" w:rsidRPr="00CD1D8B" w:rsidRDefault="00F45BF9" w:rsidP="00F45BF9">
      <w:r>
        <w:t>A</w:t>
      </w:r>
      <w:r w:rsidRPr="00CD1D8B">
        <w:t xml:space="preserve"> summary of AusNet Services' proposed step changes </w:t>
      </w:r>
      <w:r>
        <w:t>is outlined in</w:t>
      </w:r>
      <w:r w:rsidR="007B2A3A">
        <w:t xml:space="preserve"> </w:t>
      </w:r>
      <w:r w:rsidR="007B2A3A">
        <w:fldChar w:fldCharType="begin"/>
      </w:r>
      <w:r w:rsidR="007B2A3A">
        <w:instrText xml:space="preserve"> REF  _Ref473107616 \* Lower \h </w:instrText>
      </w:r>
      <w:r w:rsidR="007B2A3A">
        <w:fldChar w:fldCharType="separate"/>
      </w:r>
      <w:r w:rsidR="00E75BDE">
        <w:t>T</w:t>
      </w:r>
      <w:r w:rsidR="003042CF">
        <w:t xml:space="preserve">able </w:t>
      </w:r>
      <w:r w:rsidR="003042CF">
        <w:rPr>
          <w:noProof/>
        </w:rPr>
        <w:t>7</w:t>
      </w:r>
      <w:r w:rsidR="003042CF">
        <w:t>.</w:t>
      </w:r>
      <w:r w:rsidR="003042CF">
        <w:rPr>
          <w:noProof/>
        </w:rPr>
        <w:t>4</w:t>
      </w:r>
      <w:r w:rsidR="007B2A3A">
        <w:fldChar w:fldCharType="end"/>
      </w:r>
      <w:r w:rsidRPr="00CD1D8B">
        <w:t>.</w:t>
      </w:r>
    </w:p>
    <w:p w:rsidR="00F45BF9" w:rsidRDefault="009A5C16" w:rsidP="009A5C16">
      <w:pPr>
        <w:pStyle w:val="Caption"/>
      </w:pPr>
      <w:bookmarkStart w:id="45" w:name="_Ref473107616"/>
      <w:bookmarkStart w:id="46" w:name="_Ref470107205"/>
      <w:r>
        <w:lastRenderedPageBreak/>
        <w:t xml:space="preserve">Table </w:t>
      </w:r>
      <w:fldSimple w:instr=" STYLEREF 1 \s ">
        <w:r w:rsidR="003042CF">
          <w:rPr>
            <w:noProof/>
          </w:rPr>
          <w:t>7</w:t>
        </w:r>
      </w:fldSimple>
      <w:r w:rsidR="00F97ECA">
        <w:t>.</w:t>
      </w:r>
      <w:r w:rsidR="00EE752B">
        <w:fldChar w:fldCharType="begin"/>
      </w:r>
      <w:r w:rsidR="00EE752B">
        <w:instrText xml:space="preserve"> SEQ Table \* ARABIC \s 1 </w:instrText>
      </w:r>
      <w:r w:rsidR="00EE752B">
        <w:fldChar w:fldCharType="separate"/>
      </w:r>
      <w:r w:rsidR="003042CF">
        <w:rPr>
          <w:noProof/>
        </w:rPr>
        <w:t>4</w:t>
      </w:r>
      <w:r w:rsidR="00EE752B">
        <w:rPr>
          <w:noProof/>
        </w:rPr>
        <w:fldChar w:fldCharType="end"/>
      </w:r>
      <w:bookmarkEnd w:id="45"/>
      <w:r>
        <w:tab/>
      </w:r>
      <w:r w:rsidR="00F45BF9">
        <w:t>Final</w:t>
      </w:r>
      <w:r w:rsidR="00F45BF9" w:rsidRPr="00CD1D8B">
        <w:t xml:space="preserve"> position on step changes ($ million, 20</w:t>
      </w:r>
      <w:r>
        <w:t>16</w:t>
      </w:r>
      <w:r w:rsidR="00F45BF9" w:rsidRPr="00CD1D8B">
        <w:t>–</w:t>
      </w:r>
      <w:r>
        <w:t>17</w:t>
      </w:r>
      <w:r w:rsidR="00F45BF9" w:rsidRPr="00CD1D8B">
        <w:t>)</w:t>
      </w:r>
      <w:bookmarkEnd w:id="46"/>
    </w:p>
    <w:tbl>
      <w:tblPr>
        <w:tblStyle w:val="AERtable-numbers"/>
        <w:tblW w:w="0" w:type="auto"/>
        <w:tblLook w:val="04A0" w:firstRow="1" w:lastRow="0" w:firstColumn="1" w:lastColumn="0" w:noHBand="0" w:noVBand="1"/>
      </w:tblPr>
      <w:tblGrid>
        <w:gridCol w:w="3169"/>
        <w:gridCol w:w="1381"/>
        <w:gridCol w:w="1381"/>
        <w:gridCol w:w="1381"/>
        <w:gridCol w:w="1381"/>
      </w:tblGrid>
      <w:tr w:rsidR="00F45BF9" w:rsidRPr="008A0425" w:rsidTr="00F90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F45BF9" w:rsidRPr="00F45BF9" w:rsidRDefault="00F45BF9" w:rsidP="00F45BF9">
            <w:r w:rsidRPr="008A0425">
              <w:t>Proposal</w:t>
            </w:r>
          </w:p>
        </w:tc>
        <w:tc>
          <w:tcPr>
            <w:tcW w:w="1381" w:type="dxa"/>
          </w:tcPr>
          <w:p w:rsidR="00F45BF9" w:rsidRPr="00F45BF9" w:rsidRDefault="00F45BF9" w:rsidP="00F45BF9">
            <w:pPr>
              <w:cnfStyle w:val="100000000000" w:firstRow="1" w:lastRow="0" w:firstColumn="0" w:lastColumn="0" w:oddVBand="0" w:evenVBand="0" w:oddHBand="0" w:evenHBand="0" w:firstRowFirstColumn="0" w:firstRowLastColumn="0" w:lastRowFirstColumn="0" w:lastRowLastColumn="0"/>
            </w:pPr>
            <w:r w:rsidRPr="008A0425">
              <w:t>Initial proposal</w:t>
            </w:r>
          </w:p>
        </w:tc>
        <w:tc>
          <w:tcPr>
            <w:tcW w:w="1381" w:type="dxa"/>
          </w:tcPr>
          <w:p w:rsidR="00F45BF9" w:rsidRPr="00F45BF9" w:rsidRDefault="00F45BF9" w:rsidP="00F45BF9">
            <w:pPr>
              <w:cnfStyle w:val="100000000000" w:firstRow="1" w:lastRow="0" w:firstColumn="0" w:lastColumn="0" w:oddVBand="0" w:evenVBand="0" w:oddHBand="0" w:evenHBand="0" w:firstRowFirstColumn="0" w:firstRowLastColumn="0" w:lastRowFirstColumn="0" w:lastRowLastColumn="0"/>
            </w:pPr>
            <w:r>
              <w:t>Draft</w:t>
            </w:r>
            <w:r w:rsidRPr="00F45BF9">
              <w:t xml:space="preserve"> decision</w:t>
            </w:r>
          </w:p>
        </w:tc>
        <w:tc>
          <w:tcPr>
            <w:tcW w:w="1381" w:type="dxa"/>
          </w:tcPr>
          <w:p w:rsidR="00F45BF9" w:rsidRPr="00F45BF9" w:rsidRDefault="00F45BF9" w:rsidP="00F45BF9">
            <w:pPr>
              <w:cnfStyle w:val="100000000000" w:firstRow="1" w:lastRow="0" w:firstColumn="0" w:lastColumn="0" w:oddVBand="0" w:evenVBand="0" w:oddHBand="0" w:evenHBand="0" w:firstRowFirstColumn="0" w:firstRowLastColumn="0" w:lastRowFirstColumn="0" w:lastRowLastColumn="0"/>
            </w:pPr>
            <w:r w:rsidRPr="008A0425">
              <w:t>Revised proposal</w:t>
            </w:r>
          </w:p>
        </w:tc>
        <w:tc>
          <w:tcPr>
            <w:tcW w:w="1381" w:type="dxa"/>
          </w:tcPr>
          <w:p w:rsidR="00F45BF9" w:rsidRPr="00F45BF9" w:rsidRDefault="00F45BF9" w:rsidP="00F45BF9">
            <w:pPr>
              <w:cnfStyle w:val="100000000000" w:firstRow="1" w:lastRow="0" w:firstColumn="0" w:lastColumn="0" w:oddVBand="0" w:evenVBand="0" w:oddHBand="0" w:evenHBand="0" w:firstRowFirstColumn="0" w:firstRowLastColumn="0" w:lastRowFirstColumn="0" w:lastRowLastColumn="0"/>
            </w:pPr>
            <w:r w:rsidRPr="008A0425">
              <w:t>Final decision</w:t>
            </w:r>
          </w:p>
        </w:tc>
      </w:tr>
      <w:tr w:rsidR="0007575A" w:rsidRPr="00FE5FEE" w:rsidTr="00F9014F">
        <w:tc>
          <w:tcPr>
            <w:cnfStyle w:val="001000000000" w:firstRow="0" w:lastRow="0" w:firstColumn="1" w:lastColumn="0" w:oddVBand="0" w:evenVBand="0" w:oddHBand="0" w:evenHBand="0" w:firstRowFirstColumn="0" w:firstRowLastColumn="0" w:lastRowFirstColumn="0" w:lastRowLastColumn="0"/>
            <w:tcW w:w="3169" w:type="dxa"/>
          </w:tcPr>
          <w:p w:rsidR="0007575A" w:rsidRPr="00FE5FEE" w:rsidRDefault="0007575A" w:rsidP="0007575A">
            <w:r w:rsidRPr="00FE5FEE">
              <w:t>Establishment of IT security team</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3.3</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3.3</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w:t>
            </w:r>
          </w:p>
        </w:tc>
      </w:tr>
      <w:tr w:rsidR="0007575A" w:rsidRPr="00FE5FEE" w:rsidTr="00F90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07575A" w:rsidRPr="00FE5FEE" w:rsidRDefault="0007575A" w:rsidP="0007575A">
            <w:r w:rsidRPr="00FE5FEE">
              <w:t>New emergency response arrangements</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rsidRPr="001B5EA0">
              <w:t>1.0</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w:t>
            </w:r>
          </w:p>
        </w:tc>
        <w:tc>
          <w:tcPr>
            <w:tcW w:w="1381" w:type="dxa"/>
          </w:tcPr>
          <w:p w:rsidR="0007575A" w:rsidRPr="0007575A" w:rsidRDefault="007B2A3A" w:rsidP="0007575A">
            <w:pPr>
              <w:cnfStyle w:val="000000010000" w:firstRow="0" w:lastRow="0" w:firstColumn="0" w:lastColumn="0" w:oddVBand="0" w:evenVBand="0" w:oddHBand="0" w:evenHBand="1" w:firstRowFirstColumn="0" w:firstRowLastColumn="0" w:lastRowFirstColumn="0" w:lastRowLastColumn="0"/>
            </w:pPr>
            <w:r>
              <w:t>–</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w:t>
            </w:r>
          </w:p>
        </w:tc>
      </w:tr>
      <w:tr w:rsidR="0007575A" w:rsidRPr="00FE5FEE" w:rsidTr="00F9014F">
        <w:tc>
          <w:tcPr>
            <w:cnfStyle w:val="001000000000" w:firstRow="0" w:lastRow="0" w:firstColumn="1" w:lastColumn="0" w:oddVBand="0" w:evenVBand="0" w:oddHBand="0" w:evenHBand="0" w:firstRowFirstColumn="0" w:firstRowLastColumn="0" w:lastRowFirstColumn="0" w:lastRowLastColumn="0"/>
            <w:tcW w:w="3169" w:type="dxa"/>
          </w:tcPr>
          <w:p w:rsidR="0007575A" w:rsidRPr="00FE5FEE" w:rsidRDefault="0007575A" w:rsidP="0007575A">
            <w:r w:rsidRPr="00FE5FEE">
              <w:t>Smart Aerial Image Processing (SAIP) roll out</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0.9</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0.9</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w:t>
            </w:r>
          </w:p>
        </w:tc>
      </w:tr>
      <w:tr w:rsidR="0007575A" w:rsidRPr="00FE5FEE" w:rsidTr="00F90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07575A" w:rsidRPr="0007575A" w:rsidRDefault="0007575A" w:rsidP="0007575A">
            <w:r w:rsidRPr="00FE5FEE">
              <w:t>Synchronous condensers</w:t>
            </w:r>
            <w:r w:rsidRPr="0007575A">
              <w:t xml:space="preserve"> (SCOs)</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4.3</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2</w:t>
            </w:r>
            <w:r w:rsidRPr="0007575A">
              <w:t>.9</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w:t>
            </w:r>
          </w:p>
        </w:tc>
      </w:tr>
      <w:tr w:rsidR="0007575A" w:rsidRPr="00FE5FEE" w:rsidTr="00F9014F">
        <w:tc>
          <w:tcPr>
            <w:cnfStyle w:val="001000000000" w:firstRow="0" w:lastRow="0" w:firstColumn="1" w:lastColumn="0" w:oddVBand="0" w:evenVBand="0" w:oddHBand="0" w:evenHBand="0" w:firstRowFirstColumn="0" w:firstRowLastColumn="0" w:lastRowFirstColumn="0" w:lastRowLastColumn="0"/>
            <w:tcW w:w="3169" w:type="dxa"/>
          </w:tcPr>
          <w:p w:rsidR="0007575A" w:rsidRPr="00FE5FEE" w:rsidRDefault="0007575A" w:rsidP="0007575A">
            <w:r w:rsidRPr="00FE5FEE">
              <w:t>Morwell Power Station assets</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rsidRPr="001B5EA0">
              <w:t>1.9</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1.9</w:t>
            </w:r>
          </w:p>
        </w:tc>
        <w:tc>
          <w:tcPr>
            <w:tcW w:w="1381" w:type="dxa"/>
          </w:tcPr>
          <w:p w:rsidR="0007575A" w:rsidRPr="0007575A" w:rsidRDefault="0007575A" w:rsidP="0007575A">
            <w:pPr>
              <w:cnfStyle w:val="000000000000" w:firstRow="0" w:lastRow="0" w:firstColumn="0" w:lastColumn="0" w:oddVBand="0" w:evenVBand="0" w:oddHBand="0" w:evenHBand="0" w:firstRowFirstColumn="0" w:firstRowLastColumn="0" w:lastRowFirstColumn="0" w:lastRowLastColumn="0"/>
            </w:pPr>
            <w:r>
              <w:t>–</w:t>
            </w:r>
          </w:p>
        </w:tc>
      </w:tr>
      <w:tr w:rsidR="0007575A" w:rsidRPr="00FE5FEE" w:rsidTr="00F90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07575A" w:rsidRPr="00FE5FEE" w:rsidRDefault="0007575A" w:rsidP="0007575A">
            <w:r w:rsidRPr="00FE5FEE">
              <w:t>WMTS mobile switchboard</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2.0</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2.0</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pPr>
            <w:r>
              <w:t>–</w:t>
            </w:r>
          </w:p>
        </w:tc>
      </w:tr>
      <w:tr w:rsidR="005570BB" w:rsidRPr="00FE5FEE" w:rsidTr="00F9014F">
        <w:tc>
          <w:tcPr>
            <w:cnfStyle w:val="001000000000" w:firstRow="0" w:lastRow="0" w:firstColumn="1" w:lastColumn="0" w:oddVBand="0" w:evenVBand="0" w:oddHBand="0" w:evenHBand="0" w:firstRowFirstColumn="0" w:firstRowLastColumn="0" w:lastRowFirstColumn="0" w:lastRowLastColumn="0"/>
            <w:tcW w:w="3169" w:type="dxa"/>
          </w:tcPr>
          <w:p w:rsidR="005570BB" w:rsidRPr="00FE5FEE" w:rsidRDefault="005570BB" w:rsidP="0007575A">
            <w:r w:rsidRPr="005570BB">
              <w:t>Avoided costs due to retirement of diesel generators</w:t>
            </w:r>
            <w:r w:rsidR="006A5386">
              <w:rPr>
                <w:rStyle w:val="FootnoteReference"/>
              </w:rPr>
              <w:footnoteReference w:id="107"/>
            </w:r>
          </w:p>
        </w:tc>
        <w:tc>
          <w:tcPr>
            <w:tcW w:w="1381" w:type="dxa"/>
          </w:tcPr>
          <w:p w:rsidR="005570BB" w:rsidRDefault="005570BB" w:rsidP="0007575A">
            <w:pPr>
              <w:cnfStyle w:val="000000000000" w:firstRow="0" w:lastRow="0" w:firstColumn="0" w:lastColumn="0" w:oddVBand="0" w:evenVBand="0" w:oddHBand="0" w:evenHBand="0" w:firstRowFirstColumn="0" w:firstRowLastColumn="0" w:lastRowFirstColumn="0" w:lastRowLastColumn="0"/>
            </w:pPr>
          </w:p>
        </w:tc>
        <w:tc>
          <w:tcPr>
            <w:tcW w:w="1381" w:type="dxa"/>
          </w:tcPr>
          <w:p w:rsidR="005570BB" w:rsidRDefault="005570BB" w:rsidP="0007575A">
            <w:pPr>
              <w:cnfStyle w:val="000000000000" w:firstRow="0" w:lastRow="0" w:firstColumn="0" w:lastColumn="0" w:oddVBand="0" w:evenVBand="0" w:oddHBand="0" w:evenHBand="0" w:firstRowFirstColumn="0" w:firstRowLastColumn="0" w:lastRowFirstColumn="0" w:lastRowLastColumn="0"/>
            </w:pPr>
          </w:p>
        </w:tc>
        <w:tc>
          <w:tcPr>
            <w:tcW w:w="1381" w:type="dxa"/>
          </w:tcPr>
          <w:p w:rsidR="005570BB" w:rsidRDefault="005570BB" w:rsidP="0007575A">
            <w:pPr>
              <w:cnfStyle w:val="000000000000" w:firstRow="0" w:lastRow="0" w:firstColumn="0" w:lastColumn="0" w:oddVBand="0" w:evenVBand="0" w:oddHBand="0" w:evenHBand="0" w:firstRowFirstColumn="0" w:firstRowLastColumn="0" w:lastRowFirstColumn="0" w:lastRowLastColumn="0"/>
            </w:pPr>
            <w:r>
              <w:t>-0.2</w:t>
            </w:r>
          </w:p>
        </w:tc>
        <w:tc>
          <w:tcPr>
            <w:tcW w:w="1381" w:type="dxa"/>
          </w:tcPr>
          <w:p w:rsidR="005570BB" w:rsidRDefault="005570BB" w:rsidP="0007575A">
            <w:pPr>
              <w:cnfStyle w:val="000000000000" w:firstRow="0" w:lastRow="0" w:firstColumn="0" w:lastColumn="0" w:oddVBand="0" w:evenVBand="0" w:oddHBand="0" w:evenHBand="0" w:firstRowFirstColumn="0" w:firstRowLastColumn="0" w:lastRowFirstColumn="0" w:lastRowLastColumn="0"/>
            </w:pPr>
            <w:r>
              <w:t>–</w:t>
            </w:r>
          </w:p>
        </w:tc>
      </w:tr>
      <w:tr w:rsidR="0007575A" w:rsidRPr="008A0425" w:rsidTr="00F90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07575A" w:rsidRPr="001B5EA0" w:rsidRDefault="0007575A" w:rsidP="0007575A">
            <w:pPr>
              <w:rPr>
                <w:rStyle w:val="Bold"/>
              </w:rPr>
            </w:pPr>
            <w:r w:rsidRPr="001B5EA0">
              <w:rPr>
                <w:rStyle w:val="Bold"/>
              </w:rPr>
              <w:t>Total</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rPr>
                <w:rStyle w:val="Bold"/>
              </w:rPr>
            </w:pPr>
            <w:r w:rsidRPr="001B5EA0">
              <w:rPr>
                <w:rStyle w:val="Bold"/>
              </w:rPr>
              <w:t>13.5</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rPr>
                <w:rStyle w:val="Bold"/>
              </w:rPr>
            </w:pPr>
            <w:r>
              <w:rPr>
                <w:rStyle w:val="Bold"/>
              </w:rPr>
              <w:t>–</w:t>
            </w:r>
          </w:p>
        </w:tc>
        <w:tc>
          <w:tcPr>
            <w:tcW w:w="1381" w:type="dxa"/>
          </w:tcPr>
          <w:p w:rsidR="0007575A" w:rsidRPr="0007575A" w:rsidRDefault="005570BB" w:rsidP="0007575A">
            <w:pPr>
              <w:cnfStyle w:val="000000010000" w:firstRow="0" w:lastRow="0" w:firstColumn="0" w:lastColumn="0" w:oddVBand="0" w:evenVBand="0" w:oddHBand="0" w:evenHBand="1" w:firstRowFirstColumn="0" w:firstRowLastColumn="0" w:lastRowFirstColumn="0" w:lastRowLastColumn="0"/>
              <w:rPr>
                <w:rStyle w:val="Bold"/>
              </w:rPr>
            </w:pPr>
            <w:r>
              <w:rPr>
                <w:rStyle w:val="Bold"/>
              </w:rPr>
              <w:t>10.8</w:t>
            </w:r>
          </w:p>
        </w:tc>
        <w:tc>
          <w:tcPr>
            <w:tcW w:w="1381" w:type="dxa"/>
          </w:tcPr>
          <w:p w:rsidR="0007575A" w:rsidRPr="0007575A" w:rsidRDefault="0007575A" w:rsidP="0007575A">
            <w:pPr>
              <w:cnfStyle w:val="000000010000" w:firstRow="0" w:lastRow="0" w:firstColumn="0" w:lastColumn="0" w:oddVBand="0" w:evenVBand="0" w:oddHBand="0" w:evenHBand="1" w:firstRowFirstColumn="0" w:firstRowLastColumn="0" w:lastRowFirstColumn="0" w:lastRowLastColumn="0"/>
              <w:rPr>
                <w:rStyle w:val="Bold"/>
              </w:rPr>
            </w:pPr>
            <w:r>
              <w:rPr>
                <w:rStyle w:val="Bold"/>
              </w:rPr>
              <w:t>–</w:t>
            </w:r>
          </w:p>
        </w:tc>
      </w:tr>
    </w:tbl>
    <w:p w:rsidR="0057098E" w:rsidRDefault="00F45BF9" w:rsidP="0057098E">
      <w:pPr>
        <w:pStyle w:val="Source"/>
      </w:pPr>
      <w:r w:rsidRPr="001B5EA0">
        <w:t xml:space="preserve">Source: </w:t>
      </w:r>
      <w:r>
        <w:tab/>
        <w:t xml:space="preserve">AusNet Services, Revised revenue proposal 2017–22, September 2016; </w:t>
      </w:r>
      <w:r w:rsidRPr="001B5EA0">
        <w:t>AusNet Services, Revenue</w:t>
      </w:r>
      <w:r>
        <w:t xml:space="preserve"> proposal 2017–22, October 2015;</w:t>
      </w:r>
      <w:r w:rsidRPr="004E33A0">
        <w:t xml:space="preserve"> </w:t>
      </w:r>
      <w:r w:rsidRPr="001B5EA0">
        <w:t>AER analysis.</w:t>
      </w:r>
    </w:p>
    <w:p w:rsidR="002A0AAD" w:rsidRDefault="001305CE" w:rsidP="002A0AAD">
      <w:r w:rsidRPr="001305CE">
        <w:rPr>
          <w:rStyle w:val="AERbody"/>
        </w:rPr>
        <w:t xml:space="preserve">We do not consider step changes are required for these proposed projects. </w:t>
      </w:r>
      <w:r w:rsidR="009D5046" w:rsidRPr="009D5046">
        <w:rPr>
          <w:rStyle w:val="AERbody"/>
        </w:rPr>
        <w:t>We consider these activities are for AusNet Services to consider within its total opex allowance and</w:t>
      </w:r>
      <w:r w:rsidR="009D5046">
        <w:rPr>
          <w:rStyle w:val="AERbody"/>
        </w:rPr>
        <w:t xml:space="preserve"> prioritise if prudent to do so</w:t>
      </w:r>
      <w:r w:rsidR="002A0AAD">
        <w:t xml:space="preserve">. </w:t>
      </w:r>
      <w:r w:rsidR="00E14CA8">
        <w:t xml:space="preserve">Our decision to reject </w:t>
      </w:r>
      <w:r w:rsidR="00DA2764">
        <w:t xml:space="preserve">each </w:t>
      </w:r>
      <w:r w:rsidR="00E14CA8">
        <w:t>proposed step change is based on similar reason</w:t>
      </w:r>
      <w:r w:rsidR="00AB4902">
        <w:t>ing</w:t>
      </w:r>
      <w:r w:rsidR="002A0AAD">
        <w:t>.</w:t>
      </w:r>
    </w:p>
    <w:p w:rsidR="0089246D" w:rsidRDefault="0089246D" w:rsidP="0089246D">
      <w:pPr>
        <w:rPr>
          <w:rStyle w:val="AERbody"/>
        </w:rPr>
      </w:pPr>
      <w:r>
        <w:t xml:space="preserve">Our task under the NER is to determine a </w:t>
      </w:r>
      <w:r w:rsidRPr="001A2B76">
        <w:rPr>
          <w:rStyle w:val="Emphasis"/>
        </w:rPr>
        <w:t>total</w:t>
      </w:r>
      <w:r>
        <w:t xml:space="preserve"> </w:t>
      </w:r>
      <w:r w:rsidRPr="00E3210D">
        <w:rPr>
          <w:rStyle w:val="Emphasis"/>
        </w:rPr>
        <w:t>opex</w:t>
      </w:r>
      <w:r>
        <w:t xml:space="preserve"> forecast that </w:t>
      </w:r>
      <w:r w:rsidRPr="009F32FD">
        <w:t>reasonably reflects</w:t>
      </w:r>
      <w:r>
        <w:t xml:space="preserve"> the opex criteria. </w:t>
      </w:r>
      <w:r>
        <w:rPr>
          <w:rStyle w:val="AERbody"/>
        </w:rPr>
        <w:t>The focus of our assessment is therefore on total opex rather than individual projects or categories.</w:t>
      </w:r>
    </w:p>
    <w:p w:rsidR="00AB4902" w:rsidRDefault="00591DED" w:rsidP="002A0AAD">
      <w:r>
        <w:t>W</w:t>
      </w:r>
      <w:r w:rsidR="00CD34FA">
        <w:t xml:space="preserve">e consider </w:t>
      </w:r>
      <w:r w:rsidR="00CD34FA" w:rsidRPr="00CD34FA">
        <w:t>base opex</w:t>
      </w:r>
      <w:r w:rsidR="0089246D">
        <w:t xml:space="preserve">, trended forward by </w:t>
      </w:r>
      <w:r w:rsidR="007B2A3A">
        <w:t xml:space="preserve">the </w:t>
      </w:r>
      <w:r w:rsidR="0089246D">
        <w:t>forecast rate of change,</w:t>
      </w:r>
      <w:r w:rsidR="00CD34FA" w:rsidRPr="00CD34FA">
        <w:t xml:space="preserve"> is sufficient for </w:t>
      </w:r>
      <w:r w:rsidR="00F1479B">
        <w:t>AusNet Services</w:t>
      </w:r>
      <w:r w:rsidR="00CD34FA" w:rsidRPr="00CD34FA">
        <w:t xml:space="preserve"> to continue to meet </w:t>
      </w:r>
      <w:r w:rsidR="00CD34FA">
        <w:t>its</w:t>
      </w:r>
      <w:r w:rsidR="00CD34FA" w:rsidRPr="00CD34FA">
        <w:t xml:space="preserve"> existing regulatory obligations</w:t>
      </w:r>
      <w:r w:rsidR="00CD34FA">
        <w:t xml:space="preserve">. </w:t>
      </w:r>
      <w:r w:rsidR="004D6F5D">
        <w:t>AusNet</w:t>
      </w:r>
      <w:r w:rsidR="008B6959">
        <w:t xml:space="preserve"> </w:t>
      </w:r>
      <w:r w:rsidR="004D6F5D">
        <w:t>Services has not substantiated</w:t>
      </w:r>
      <w:r w:rsidR="004D6F5D" w:rsidRPr="002A30BC">
        <w:t xml:space="preserve"> </w:t>
      </w:r>
      <w:r w:rsidR="004D6F5D">
        <w:t>any new regulatory obligations or legitimate capex/opex trade-offs that</w:t>
      </w:r>
      <w:r w:rsidR="0089246D">
        <w:t xml:space="preserve"> would require a step change for </w:t>
      </w:r>
      <w:r w:rsidR="004D6F5D">
        <w:t>our forecast of total opex to reasonably reflect the opex criteria.</w:t>
      </w:r>
      <w:r w:rsidR="00A947C8">
        <w:t xml:space="preserve"> We do not consider there are exceptional circumstances justifying an increase in </w:t>
      </w:r>
      <w:r w:rsidR="007B2A3A">
        <w:t>it</w:t>
      </w:r>
      <w:r w:rsidR="00AD4D48">
        <w:t>s</w:t>
      </w:r>
      <w:r w:rsidR="007B2A3A">
        <w:t xml:space="preserve"> </w:t>
      </w:r>
      <w:r w:rsidR="00A947C8">
        <w:t xml:space="preserve">total opex requirement. </w:t>
      </w:r>
    </w:p>
    <w:p w:rsidR="004C5F9A" w:rsidRDefault="00591DED" w:rsidP="004C5F9A">
      <w:pPr>
        <w:rPr>
          <w:rStyle w:val="AERbody"/>
        </w:rPr>
      </w:pPr>
      <w:r>
        <w:t>W</w:t>
      </w:r>
      <w:r w:rsidR="002A0AAD">
        <w:t xml:space="preserve">e consider the approach AusNet Services has taken—by incorporating its revealed costs </w:t>
      </w:r>
      <w:r w:rsidR="002A0AAD" w:rsidRPr="002A30BC">
        <w:rPr>
          <w:rStyle w:val="Emphasis"/>
        </w:rPr>
        <w:t>and</w:t>
      </w:r>
      <w:r w:rsidR="002A0AAD" w:rsidRPr="00D86A92">
        <w:t xml:space="preserve"> </w:t>
      </w:r>
      <w:r w:rsidR="002A0AAD">
        <w:t>step changes for new or increasing opex items—will result in a</w:t>
      </w:r>
      <w:r w:rsidR="009D5046">
        <w:t>n overstated</w:t>
      </w:r>
      <w:r w:rsidR="002A0AAD">
        <w:t xml:space="preserve"> total opex forecast that does not reasonably reflect the opex criteria.</w:t>
      </w:r>
      <w:r w:rsidR="00E14CA8">
        <w:t xml:space="preserve"> </w:t>
      </w:r>
      <w:r w:rsidR="00A947C8">
        <w:rPr>
          <w:rStyle w:val="AERbody"/>
        </w:rPr>
        <w:t xml:space="preserve">As explained </w:t>
      </w:r>
      <w:r w:rsidR="000F6745">
        <w:rPr>
          <w:rStyle w:val="AERbody"/>
        </w:rPr>
        <w:t>in section 7.4.2.3</w:t>
      </w:r>
      <w:r w:rsidR="00A947C8">
        <w:rPr>
          <w:rStyle w:val="AERbody"/>
        </w:rPr>
        <w:t>, p</w:t>
      </w:r>
      <w:r w:rsidR="00E14CA8" w:rsidRPr="005434C9">
        <w:rPr>
          <w:rStyle w:val="AERbody"/>
        </w:rPr>
        <w:t xml:space="preserve">roviding a step change for cost </w:t>
      </w:r>
      <w:r w:rsidR="00E14CA8">
        <w:rPr>
          <w:rStyle w:val="AERbody"/>
        </w:rPr>
        <w:t xml:space="preserve">increases identified by </w:t>
      </w:r>
      <w:r w:rsidR="00484FC7">
        <w:rPr>
          <w:rStyle w:val="AERbody"/>
        </w:rPr>
        <w:t xml:space="preserve">a </w:t>
      </w:r>
      <w:r w:rsidR="00E14CA8">
        <w:rPr>
          <w:rStyle w:val="AERbody"/>
        </w:rPr>
        <w:t xml:space="preserve">business </w:t>
      </w:r>
      <w:r w:rsidR="00A348D7">
        <w:rPr>
          <w:rStyle w:val="AERbody"/>
        </w:rPr>
        <w:t xml:space="preserve">may </w:t>
      </w:r>
      <w:r w:rsidR="00AB4902">
        <w:rPr>
          <w:rStyle w:val="AERbody"/>
        </w:rPr>
        <w:t>upwardly bias the total opex</w:t>
      </w:r>
      <w:r w:rsidR="008978B3">
        <w:rPr>
          <w:rStyle w:val="AERbody"/>
        </w:rPr>
        <w:t xml:space="preserve"> forecast</w:t>
      </w:r>
      <w:r w:rsidR="00AB4902">
        <w:rPr>
          <w:rStyle w:val="AERbody"/>
        </w:rPr>
        <w:t>.</w:t>
      </w:r>
      <w:r>
        <w:rPr>
          <w:rStyle w:val="AERbody"/>
        </w:rPr>
        <w:t xml:space="preserve"> </w:t>
      </w:r>
    </w:p>
    <w:p w:rsidR="00277264" w:rsidRDefault="00277264" w:rsidP="00277264">
      <w:r w:rsidDel="00D16494">
        <w:rPr>
          <w:rStyle w:val="AERbody"/>
        </w:rPr>
        <w:t xml:space="preserve">AusNet Services </w:t>
      </w:r>
      <w:r w:rsidRPr="00287395" w:rsidDel="00D16494">
        <w:rPr>
          <w:rStyle w:val="AERbody"/>
        </w:rPr>
        <w:t xml:space="preserve">has demonstrated </w:t>
      </w:r>
      <w:r w:rsidRPr="005434C9" w:rsidDel="00D16494">
        <w:rPr>
          <w:rStyle w:val="AERbody"/>
        </w:rPr>
        <w:t xml:space="preserve">its revealed </w:t>
      </w:r>
      <w:r w:rsidRPr="00287395" w:rsidDel="00D16494">
        <w:rPr>
          <w:rStyle w:val="AERbody"/>
        </w:rPr>
        <w:t xml:space="preserve">opex </w:t>
      </w:r>
      <w:r w:rsidDel="00D16494">
        <w:rPr>
          <w:rStyle w:val="AERbody"/>
        </w:rPr>
        <w:t>over the previous regulatory period</w:t>
      </w:r>
      <w:r w:rsidRPr="00287395" w:rsidDel="00D16494">
        <w:rPr>
          <w:rStyle w:val="AERbody"/>
        </w:rPr>
        <w:t xml:space="preserve"> </w:t>
      </w:r>
      <w:r w:rsidDel="00D16494">
        <w:rPr>
          <w:rStyle w:val="AERbody"/>
        </w:rPr>
        <w:t xml:space="preserve">was sufficient for it to </w:t>
      </w:r>
      <w:r w:rsidRPr="00287395" w:rsidDel="00D16494">
        <w:rPr>
          <w:rStyle w:val="AERbody"/>
        </w:rPr>
        <w:t xml:space="preserve">meet </w:t>
      </w:r>
      <w:r w:rsidDel="00D16494">
        <w:rPr>
          <w:rStyle w:val="AERbody"/>
        </w:rPr>
        <w:t>current</w:t>
      </w:r>
      <w:r w:rsidRPr="00287395" w:rsidDel="00D16494">
        <w:rPr>
          <w:rStyle w:val="AERbody"/>
        </w:rPr>
        <w:t xml:space="preserve"> regulat</w:t>
      </w:r>
      <w:r w:rsidDel="00D16494">
        <w:rPr>
          <w:rStyle w:val="AERbody"/>
        </w:rPr>
        <w:t>ory obligations</w:t>
      </w:r>
      <w:r w:rsidRPr="00287395" w:rsidDel="00D16494">
        <w:rPr>
          <w:rStyle w:val="AERbody"/>
        </w:rPr>
        <w:t xml:space="preserve"> and safety and reliability standards</w:t>
      </w:r>
      <w:r w:rsidDel="00D16494">
        <w:rPr>
          <w:rStyle w:val="AERbody"/>
        </w:rPr>
        <w:t>.</w:t>
      </w:r>
      <w:r>
        <w:rPr>
          <w:rStyle w:val="AERbody"/>
        </w:rPr>
        <w:t xml:space="preserve"> We therefore </w:t>
      </w:r>
      <w:r w:rsidRPr="00287395">
        <w:rPr>
          <w:rStyle w:val="AERbody"/>
        </w:rPr>
        <w:t xml:space="preserve">consider </w:t>
      </w:r>
      <w:r>
        <w:rPr>
          <w:rStyle w:val="AERbody"/>
        </w:rPr>
        <w:t>our total</w:t>
      </w:r>
      <w:r w:rsidRPr="00287395">
        <w:rPr>
          <w:rStyle w:val="AERbody"/>
        </w:rPr>
        <w:t xml:space="preserve"> opex </w:t>
      </w:r>
      <w:r>
        <w:rPr>
          <w:rStyle w:val="AERbody"/>
        </w:rPr>
        <w:t xml:space="preserve">forecast </w:t>
      </w:r>
      <w:r w:rsidRPr="00287395">
        <w:rPr>
          <w:rStyle w:val="AERbody"/>
        </w:rPr>
        <w:t xml:space="preserve">is sufficient </w:t>
      </w:r>
      <w:r>
        <w:rPr>
          <w:rStyle w:val="AERbody"/>
        </w:rPr>
        <w:t xml:space="preserve">for </w:t>
      </w:r>
      <w:r>
        <w:rPr>
          <w:rStyle w:val="AERbody"/>
        </w:rPr>
        <w:lastRenderedPageBreak/>
        <w:t xml:space="preserve">AusNet Services to manage expected demand and comply with all applicable regulatory obligations. </w:t>
      </w:r>
    </w:p>
    <w:p w:rsidR="004E33A0" w:rsidRDefault="00F3246A" w:rsidP="00F3246A">
      <w:pPr>
        <w:pStyle w:val="HeadingBoldItalic"/>
      </w:pPr>
      <w:bookmarkStart w:id="47" w:name="_Toc480809663"/>
      <w:r>
        <w:t>Establishment of IT security team</w:t>
      </w:r>
      <w:bookmarkEnd w:id="47"/>
    </w:p>
    <w:p w:rsidR="0088671F" w:rsidRDefault="0088671F" w:rsidP="00302241">
      <w:r w:rsidRPr="0088671F">
        <w:t xml:space="preserve">We have not included </w:t>
      </w:r>
      <w:r w:rsidR="001C20CA" w:rsidRPr="00220620">
        <w:t xml:space="preserve">a step change for </w:t>
      </w:r>
      <w:r w:rsidR="00D461D4">
        <w:t xml:space="preserve">the costs of </w:t>
      </w:r>
      <w:r w:rsidRPr="0088671F">
        <w:t xml:space="preserve">a </w:t>
      </w:r>
      <w:r w:rsidR="004864F8">
        <w:t xml:space="preserve">dedicated </w:t>
      </w:r>
      <w:r w:rsidRPr="0088671F">
        <w:t>IT security</w:t>
      </w:r>
      <w:r w:rsidR="004864F8">
        <w:t xml:space="preserve"> </w:t>
      </w:r>
      <w:r w:rsidRPr="0088671F">
        <w:t>team in our alternative opex forecast.</w:t>
      </w:r>
      <w:r w:rsidR="00EF66FB">
        <w:t xml:space="preserve"> </w:t>
      </w:r>
    </w:p>
    <w:p w:rsidR="0088671F" w:rsidRPr="0088671F" w:rsidRDefault="00302241" w:rsidP="0088671F">
      <w:r>
        <w:t xml:space="preserve">AusNet Services </w:t>
      </w:r>
      <w:r w:rsidR="0032425C">
        <w:t xml:space="preserve">proposed </w:t>
      </w:r>
      <w:r w:rsidR="008B50CD">
        <w:t xml:space="preserve">a step change </w:t>
      </w:r>
      <w:r w:rsidR="008B50CD" w:rsidRPr="00302241">
        <w:t xml:space="preserve">of $3.3 million ($2016–17) </w:t>
      </w:r>
      <w:r w:rsidR="008B50CD">
        <w:t>for</w:t>
      </w:r>
      <w:r w:rsidRPr="00302241">
        <w:t xml:space="preserve"> </w:t>
      </w:r>
      <w:r w:rsidR="008B50CD">
        <w:t>increased costs</w:t>
      </w:r>
      <w:r w:rsidRPr="00302241">
        <w:t xml:space="preserve"> </w:t>
      </w:r>
      <w:r w:rsidR="00C32E26">
        <w:t>associated with e</w:t>
      </w:r>
      <w:r>
        <w:t>nhanc</w:t>
      </w:r>
      <w:r w:rsidR="00C32E26">
        <w:t>ing</w:t>
      </w:r>
      <w:r>
        <w:t xml:space="preserve"> its cyber-security through the</w:t>
      </w:r>
      <w:r w:rsidRPr="00302241">
        <w:t xml:space="preserve"> </w:t>
      </w:r>
      <w:r>
        <w:t xml:space="preserve">establishment of a dedicated </w:t>
      </w:r>
      <w:r w:rsidRPr="00302241">
        <w:t xml:space="preserve">IT security </w:t>
      </w:r>
      <w:r w:rsidR="004864F8">
        <w:t xml:space="preserve">monitoring and response </w:t>
      </w:r>
      <w:r w:rsidRPr="00302241">
        <w:t>team.</w:t>
      </w:r>
      <w:r>
        <w:rPr>
          <w:rStyle w:val="FootnoteReference"/>
        </w:rPr>
        <w:footnoteReference w:id="108"/>
      </w:r>
      <w:r w:rsidRPr="00302241">
        <w:t xml:space="preserve"> </w:t>
      </w:r>
      <w:r w:rsidR="0088671F">
        <w:t xml:space="preserve">It </w:t>
      </w:r>
      <w:r w:rsidR="0032425C">
        <w:t xml:space="preserve">stated </w:t>
      </w:r>
      <w:r w:rsidR="0088671F">
        <w:t xml:space="preserve">this </w:t>
      </w:r>
      <w:r w:rsidR="00B237B5">
        <w:t>was</w:t>
      </w:r>
      <w:r w:rsidR="0088671F" w:rsidRPr="0088671F">
        <w:t xml:space="preserve"> to align its IT security program with the Australian Securities and Investments Commission's (ASIC's) view of global industry best practice.</w:t>
      </w:r>
      <w:r w:rsidR="006A06E4">
        <w:rPr>
          <w:rStyle w:val="FootnoteReference"/>
        </w:rPr>
        <w:footnoteReference w:id="109"/>
      </w:r>
      <w:r w:rsidR="0088671F" w:rsidRPr="0088671F">
        <w:t xml:space="preserve"> </w:t>
      </w:r>
    </w:p>
    <w:p w:rsidR="00043517" w:rsidRDefault="0088671F" w:rsidP="009A5555">
      <w:r>
        <w:t>AusNet Services submitted the cyber security landscape is changing and that 'cyber</w:t>
      </w:r>
      <w:r w:rsidR="008345FC">
        <w:noBreakHyphen/>
      </w:r>
      <w:r>
        <w:t>attacks are becoming an increasingly prevalent and dangerous threat to critical infrastructure operators'.</w:t>
      </w:r>
      <w:r>
        <w:rPr>
          <w:rStyle w:val="FootnoteReference"/>
        </w:rPr>
        <w:footnoteReference w:id="110"/>
      </w:r>
      <w:r>
        <w:t xml:space="preserve"> </w:t>
      </w:r>
      <w:r w:rsidR="0032425C">
        <w:t>As such</w:t>
      </w:r>
      <w:r>
        <w:t xml:space="preserve">, </w:t>
      </w:r>
      <w:r w:rsidR="0032425C">
        <w:t>AusNet Services state</w:t>
      </w:r>
      <w:r w:rsidR="00150ECD">
        <w:t>d</w:t>
      </w:r>
      <w:r w:rsidR="0032425C">
        <w:t xml:space="preserve"> </w:t>
      </w:r>
      <w:r>
        <w:t xml:space="preserve">this step change is required </w:t>
      </w:r>
      <w:r w:rsidR="006A06E4">
        <w:t>to maintain the security of the transmission system</w:t>
      </w:r>
      <w:r w:rsidR="007602A1">
        <w:t xml:space="preserve"> in accordance with the NER.</w:t>
      </w:r>
      <w:r w:rsidR="006A06E4">
        <w:rPr>
          <w:rStyle w:val="FootnoteReference"/>
        </w:rPr>
        <w:footnoteReference w:id="111"/>
      </w:r>
      <w:r w:rsidR="006A06E4">
        <w:t xml:space="preserve"> </w:t>
      </w:r>
    </w:p>
    <w:p w:rsidR="0032425C" w:rsidRDefault="0088671F" w:rsidP="009A5555">
      <w:pPr>
        <w:rPr>
          <w:rStyle w:val="AERbody"/>
        </w:rPr>
      </w:pPr>
      <w:r w:rsidRPr="00B108CB">
        <w:rPr>
          <w:rStyle w:val="AERbody"/>
        </w:rPr>
        <w:t xml:space="preserve">AusNet </w:t>
      </w:r>
      <w:r w:rsidR="00C16DA4">
        <w:rPr>
          <w:rStyle w:val="AERbody"/>
        </w:rPr>
        <w:t>Services</w:t>
      </w:r>
      <w:r w:rsidR="00CC436C">
        <w:rPr>
          <w:rStyle w:val="AERbody"/>
        </w:rPr>
        <w:t xml:space="preserve"> </w:t>
      </w:r>
      <w:r w:rsidR="00F93264">
        <w:rPr>
          <w:rStyle w:val="AERbody"/>
        </w:rPr>
        <w:t xml:space="preserve">further </w:t>
      </w:r>
      <w:r w:rsidR="007F353B">
        <w:rPr>
          <w:rStyle w:val="AERbody"/>
        </w:rPr>
        <w:t>submitted</w:t>
      </w:r>
      <w:r w:rsidRPr="00B108CB">
        <w:rPr>
          <w:rStyle w:val="AERbody"/>
        </w:rPr>
        <w:t xml:space="preserve"> that if a step change is for prudent and efficient expenditure, it should be included in the opex forecast</w:t>
      </w:r>
      <w:r w:rsidR="00741CE9">
        <w:rPr>
          <w:rStyle w:val="AERbody"/>
        </w:rPr>
        <w:t>, regardless of materiality and whether it is being driven by a change in the regulatory environment</w:t>
      </w:r>
      <w:r w:rsidRPr="00B108CB">
        <w:rPr>
          <w:rStyle w:val="AERbody"/>
        </w:rPr>
        <w:t>.</w:t>
      </w:r>
      <w:r w:rsidR="004B0B43">
        <w:rPr>
          <w:rStyle w:val="FootnoteReference"/>
        </w:rPr>
        <w:footnoteReference w:id="112"/>
      </w:r>
      <w:r w:rsidRPr="00B108CB">
        <w:rPr>
          <w:rStyle w:val="AERbody"/>
        </w:rPr>
        <w:t xml:space="preserve"> </w:t>
      </w:r>
    </w:p>
    <w:p w:rsidR="00043517" w:rsidRDefault="00287395" w:rsidP="00287395">
      <w:r>
        <w:rPr>
          <w:rStyle w:val="AERbody"/>
        </w:rPr>
        <w:t>We do not consider AusNet Services' proposal justifies a depart</w:t>
      </w:r>
      <w:r w:rsidR="00D32DE5">
        <w:rPr>
          <w:rStyle w:val="AERbody"/>
        </w:rPr>
        <w:t xml:space="preserve">ure from our </w:t>
      </w:r>
      <w:r w:rsidR="005334E0">
        <w:rPr>
          <w:rStyle w:val="AERbody"/>
        </w:rPr>
        <w:t>assessment</w:t>
      </w:r>
      <w:r w:rsidR="00D32DE5">
        <w:rPr>
          <w:rStyle w:val="AERbody"/>
        </w:rPr>
        <w:t xml:space="preserve"> approach, as set out in our Guideline</w:t>
      </w:r>
      <w:r w:rsidR="00E21948">
        <w:rPr>
          <w:rStyle w:val="AERbody"/>
        </w:rPr>
        <w:t xml:space="preserve"> and section 7.4 above</w:t>
      </w:r>
      <w:r w:rsidR="00D32DE5">
        <w:rPr>
          <w:rStyle w:val="AERbody"/>
        </w:rPr>
        <w:t xml:space="preserve">. </w:t>
      </w:r>
      <w:r>
        <w:rPr>
          <w:rStyle w:val="AERbody"/>
        </w:rPr>
        <w:t>T</w:t>
      </w:r>
      <w:r w:rsidDel="00CC436C">
        <w:rPr>
          <w:rStyle w:val="AERbody"/>
        </w:rPr>
        <w:t xml:space="preserve">he </w:t>
      </w:r>
      <w:r w:rsidRPr="0088671F" w:rsidDel="00CC436C">
        <w:t>step change</w:t>
      </w:r>
      <w:r w:rsidDel="00CC436C">
        <w:t xml:space="preserve"> proposed by AusNet Services for a dedicated IT security team </w:t>
      </w:r>
      <w:r>
        <w:t>is not driven by</w:t>
      </w:r>
      <w:r w:rsidDel="00CC436C">
        <w:t xml:space="preserve"> </w:t>
      </w:r>
      <w:r w:rsidRPr="0088671F" w:rsidDel="00CC436C">
        <w:t xml:space="preserve">a new or changed </w:t>
      </w:r>
      <w:r w:rsidR="00C15730">
        <w:t>regulatory obligation</w:t>
      </w:r>
      <w:r w:rsidRPr="0088671F" w:rsidDel="00CC436C">
        <w:t>.</w:t>
      </w:r>
      <w:r w:rsidR="0092385E">
        <w:t xml:space="preserve"> </w:t>
      </w:r>
    </w:p>
    <w:p w:rsidR="00043517" w:rsidRDefault="0092385E" w:rsidP="00043517">
      <w:pPr>
        <w:rPr>
          <w:rStyle w:val="AERbody"/>
        </w:rPr>
      </w:pPr>
      <w:r>
        <w:t>A</w:t>
      </w:r>
      <w:r w:rsidR="004F21D6">
        <w:t xml:space="preserve"> </w:t>
      </w:r>
      <w:r w:rsidR="00043517" w:rsidRPr="00206622">
        <w:t>business</w:t>
      </w:r>
      <w:r w:rsidR="004F21D6">
        <w:t>'</w:t>
      </w:r>
      <w:r w:rsidR="00043517" w:rsidRPr="00206622">
        <w:t xml:space="preserve"> operating environment </w:t>
      </w:r>
      <w:r w:rsidR="004F21D6">
        <w:t>is expected to</w:t>
      </w:r>
      <w:r w:rsidR="00043517" w:rsidRPr="00206622">
        <w:t xml:space="preserve"> change over time. </w:t>
      </w:r>
      <w:r w:rsidR="004F21D6">
        <w:t xml:space="preserve">Such changes can lead to an increase in the cost of some opex activities </w:t>
      </w:r>
      <w:r w:rsidR="003E1AD8">
        <w:t>and</w:t>
      </w:r>
      <w:r w:rsidR="004F21D6">
        <w:t xml:space="preserve">, equally, decreased costs for others. </w:t>
      </w:r>
      <w:r w:rsidR="00043517">
        <w:t>The step change proposed by AusNet Services for a dedicated IT security team represents 0.7 per cent of AusNet Services' total opex proposal.</w:t>
      </w:r>
      <w:r w:rsidR="00043517">
        <w:rPr>
          <w:rStyle w:val="FootnoteReference"/>
        </w:rPr>
        <w:footnoteReference w:id="113"/>
      </w:r>
      <w:r w:rsidR="00043517">
        <w:t xml:space="preserve"> </w:t>
      </w:r>
      <w:r w:rsidR="00043517" w:rsidRPr="00206622">
        <w:t>Absent any explicit regulatory obligation,</w:t>
      </w:r>
      <w:r w:rsidR="00043517">
        <w:t xml:space="preserve"> t</w:t>
      </w:r>
      <w:r w:rsidR="00043517" w:rsidRPr="00DD0898">
        <w:rPr>
          <w:rStyle w:val="AERbody"/>
        </w:rPr>
        <w:t xml:space="preserve">he </w:t>
      </w:r>
      <w:r w:rsidR="00043517">
        <w:rPr>
          <w:rStyle w:val="AERbody"/>
        </w:rPr>
        <w:t>establishment of a dedicated IT security team</w:t>
      </w:r>
      <w:r w:rsidR="00043517">
        <w:t xml:space="preserve"> </w:t>
      </w:r>
      <w:r w:rsidR="00043517" w:rsidRPr="00DD0898">
        <w:rPr>
          <w:rStyle w:val="AERbody"/>
        </w:rPr>
        <w:t xml:space="preserve">is for AusNet Services to consider </w:t>
      </w:r>
      <w:r w:rsidR="00043517">
        <w:rPr>
          <w:rStyle w:val="AERbody"/>
        </w:rPr>
        <w:t xml:space="preserve">within its total </w:t>
      </w:r>
      <w:r w:rsidR="001321F2">
        <w:rPr>
          <w:rStyle w:val="AERbody"/>
        </w:rPr>
        <w:t>revenue</w:t>
      </w:r>
      <w:r w:rsidR="00043517">
        <w:rPr>
          <w:rStyle w:val="AERbody"/>
        </w:rPr>
        <w:t xml:space="preserve"> allowance, </w:t>
      </w:r>
      <w:r w:rsidR="00043517" w:rsidRPr="00DD0898">
        <w:rPr>
          <w:rStyle w:val="AERbody"/>
        </w:rPr>
        <w:t>and prioritise</w:t>
      </w:r>
      <w:r w:rsidR="00043517">
        <w:rPr>
          <w:rStyle w:val="AERbody"/>
        </w:rPr>
        <w:t xml:space="preserve"> if prudent to do so</w:t>
      </w:r>
      <w:r w:rsidR="00043517" w:rsidRPr="00DD0898">
        <w:rPr>
          <w:rStyle w:val="AERbody"/>
        </w:rPr>
        <w:t>.</w:t>
      </w:r>
    </w:p>
    <w:p w:rsidR="00287395" w:rsidRDefault="00287395" w:rsidP="00287395">
      <w:r>
        <w:t xml:space="preserve">AusNet Services, like all businesses, has been </w:t>
      </w:r>
      <w:r w:rsidR="00181550">
        <w:t xml:space="preserve">managing </w:t>
      </w:r>
      <w:r>
        <w:t xml:space="preserve">changes in cyber risks for some time. </w:t>
      </w:r>
      <w:r w:rsidR="00181550">
        <w:t>Indeed</w:t>
      </w:r>
      <w:r>
        <w:t xml:space="preserve">, AusNet Services sought additional funding for IT security </w:t>
      </w:r>
      <w:r w:rsidR="00181550">
        <w:t xml:space="preserve">in </w:t>
      </w:r>
      <w:r w:rsidR="003D68CE">
        <w:t xml:space="preserve">previous regulatory </w:t>
      </w:r>
      <w:r w:rsidR="00181550">
        <w:t>proposal</w:t>
      </w:r>
      <w:r w:rsidR="003D68CE">
        <w:t>s</w:t>
      </w:r>
      <w:r>
        <w:t xml:space="preserve">. </w:t>
      </w:r>
      <w:r w:rsidR="003D68CE">
        <w:t>Ou</w:t>
      </w:r>
      <w:r>
        <w:t>r final decision</w:t>
      </w:r>
      <w:r w:rsidR="003D68CE">
        <w:t xml:space="preserve"> for AusNet Services' 2014–17</w:t>
      </w:r>
      <w:r>
        <w:t xml:space="preserve"> </w:t>
      </w:r>
      <w:r w:rsidR="003D68CE">
        <w:t xml:space="preserve">regulatory control period </w:t>
      </w:r>
      <w:r>
        <w:t xml:space="preserve">stated: </w:t>
      </w:r>
    </w:p>
    <w:p w:rsidR="00287395" w:rsidRPr="003A3774" w:rsidRDefault="00287395" w:rsidP="00287395">
      <w:pPr>
        <w:pStyle w:val="AERquote"/>
      </w:pPr>
      <w:r w:rsidRPr="003A3774">
        <w:lastRenderedPageBreak/>
        <w:t>We note the increase in global cyber threats. However, we do not consider that an increase in opex from one period to the next is required to allow SP AusNet to undertake these programs. The threat is not new: businesses have been grappling with cyber threats for several years, and SP AusNet recognised the threat in 2009.</w:t>
      </w:r>
      <w:r>
        <w:rPr>
          <w:rStyle w:val="FootnoteReference"/>
        </w:rPr>
        <w:footnoteReference w:id="114"/>
      </w:r>
      <w:r>
        <w:t xml:space="preserve"> </w:t>
      </w:r>
      <w:r w:rsidRPr="003A3774">
        <w:t>We would expect a prudent TNSP would have put in place processes to address these threats in the current period (that is, it is a revealed cost through base opex), and we consider that the large IT program would address these risks. Given this threat is not new, we do not accept these step changes.</w:t>
      </w:r>
    </w:p>
    <w:p w:rsidR="00250AD7" w:rsidRPr="00250AD7" w:rsidDel="004F5891" w:rsidRDefault="005014BE" w:rsidP="00250AD7">
      <w:r w:rsidDel="004F5891">
        <w:t xml:space="preserve">AusNet Services </w:t>
      </w:r>
      <w:r w:rsidR="00250AD7" w:rsidDel="004F5891">
        <w:t>submit</w:t>
      </w:r>
      <w:r w:rsidR="004E7902" w:rsidDel="004F5891">
        <w:t>ted</w:t>
      </w:r>
      <w:r w:rsidR="00250AD7" w:rsidDel="004F5891">
        <w:t xml:space="preserve"> that</w:t>
      </w:r>
      <w:r w:rsidDel="004F5891">
        <w:t xml:space="preserve"> ASIC's </w:t>
      </w:r>
      <w:r w:rsidR="00250AD7" w:rsidDel="004F5891">
        <w:t>framework</w:t>
      </w:r>
      <w:r w:rsidDel="004F5891">
        <w:t xml:space="preserve"> </w:t>
      </w:r>
      <w:r w:rsidR="00250AD7" w:rsidDel="004F5891">
        <w:t xml:space="preserve">could become a legislative obligation over the </w:t>
      </w:r>
      <w:r w:rsidR="00FB321C" w:rsidDel="004F5891">
        <w:t>regulatory</w:t>
      </w:r>
      <w:r w:rsidR="00250AD7" w:rsidDel="004F5891">
        <w:t xml:space="preserve"> period given the increasing threat presented by cyber-attacks.</w:t>
      </w:r>
      <w:r w:rsidR="00434770">
        <w:rPr>
          <w:rStyle w:val="FootnoteReference"/>
        </w:rPr>
        <w:footnoteReference w:id="115"/>
      </w:r>
      <w:r w:rsidR="00250AD7" w:rsidDel="004F5891">
        <w:t xml:space="preserve"> </w:t>
      </w:r>
      <w:r w:rsidR="007F353B" w:rsidDel="004F5891">
        <w:t>If this is the case,</w:t>
      </w:r>
      <w:r w:rsidR="00250AD7" w:rsidDel="004F5891">
        <w:t xml:space="preserve"> </w:t>
      </w:r>
      <w:r w:rsidR="00FB321C" w:rsidDel="004F5891">
        <w:t>the</w:t>
      </w:r>
      <w:r w:rsidR="00250AD7" w:rsidDel="004F5891">
        <w:t xml:space="preserve"> NER provide scope for </w:t>
      </w:r>
      <w:r w:rsidR="00250AD7" w:rsidRPr="00250AD7" w:rsidDel="004F5891">
        <w:t xml:space="preserve">a </w:t>
      </w:r>
      <w:r w:rsidR="00250AD7" w:rsidDel="004F5891">
        <w:t>business</w:t>
      </w:r>
      <w:r w:rsidR="00250AD7" w:rsidRPr="00250AD7" w:rsidDel="004F5891">
        <w:t xml:space="preserve"> </w:t>
      </w:r>
      <w:r w:rsidR="00250AD7" w:rsidDel="004F5891">
        <w:t xml:space="preserve">to apply </w:t>
      </w:r>
      <w:r w:rsidR="005434C9" w:rsidRPr="005434C9" w:rsidDel="004F5891">
        <w:t>for a pass through of</w:t>
      </w:r>
      <w:r w:rsidR="00250AD7" w:rsidRPr="00250AD7" w:rsidDel="004F5891">
        <w:t xml:space="preserve"> costs arising </w:t>
      </w:r>
      <w:r w:rsidR="00FB321C" w:rsidDel="004F5891">
        <w:t xml:space="preserve">from </w:t>
      </w:r>
      <w:r w:rsidR="001321F2">
        <w:t>'</w:t>
      </w:r>
      <w:r w:rsidR="005434C9" w:rsidDel="004F5891">
        <w:t xml:space="preserve">pass through </w:t>
      </w:r>
      <w:r w:rsidR="00250AD7" w:rsidRPr="00250AD7" w:rsidDel="004F5891">
        <w:t>events</w:t>
      </w:r>
      <w:r w:rsidR="001321F2">
        <w:t>',</w:t>
      </w:r>
      <w:r w:rsidR="00250AD7" w:rsidRPr="00250AD7" w:rsidDel="004F5891">
        <w:t xml:space="preserve"> </w:t>
      </w:r>
      <w:r w:rsidR="00FB321C" w:rsidDel="004F5891">
        <w:t>including</w:t>
      </w:r>
      <w:r w:rsidR="005434C9" w:rsidDel="004F5891">
        <w:t xml:space="preserve"> a</w:t>
      </w:r>
      <w:r w:rsidR="00FB321C" w:rsidDel="004F5891">
        <w:t xml:space="preserve"> </w:t>
      </w:r>
      <w:r w:rsidR="00250AD7" w:rsidRPr="00250AD7" w:rsidDel="004F5891">
        <w:t>regulatory change</w:t>
      </w:r>
      <w:r w:rsidR="005434C9" w:rsidDel="004F5891">
        <w:t xml:space="preserve"> event</w:t>
      </w:r>
      <w:r w:rsidR="00250AD7" w:rsidDel="004F5891">
        <w:t>.</w:t>
      </w:r>
      <w:r w:rsidR="0092385E">
        <w:rPr>
          <w:rStyle w:val="FootnoteReference"/>
        </w:rPr>
        <w:footnoteReference w:id="116"/>
      </w:r>
    </w:p>
    <w:p w:rsidR="00F3246A" w:rsidRDefault="000646AA" w:rsidP="00F3246A">
      <w:pPr>
        <w:pStyle w:val="HeadingBoldItalic"/>
      </w:pPr>
      <w:bookmarkStart w:id="48" w:name="_Toc480809664"/>
      <w:r>
        <w:t>Asset decommissioning</w:t>
      </w:r>
      <w:bookmarkEnd w:id="48"/>
    </w:p>
    <w:p w:rsidR="00C37F96" w:rsidRDefault="00201AC3" w:rsidP="00201AC3">
      <w:r>
        <w:t>We have not included</w:t>
      </w:r>
      <w:r w:rsidRPr="00220620">
        <w:t xml:space="preserve"> step change</w:t>
      </w:r>
      <w:r>
        <w:t>s</w:t>
      </w:r>
      <w:r w:rsidRPr="00220620">
        <w:t xml:space="preserve"> for</w:t>
      </w:r>
      <w:r>
        <w:t xml:space="preserve"> costs of asset</w:t>
      </w:r>
      <w:r w:rsidRPr="00220620">
        <w:t xml:space="preserve"> </w:t>
      </w:r>
      <w:r>
        <w:t xml:space="preserve">decommissioning </w:t>
      </w:r>
      <w:r w:rsidRPr="0088671F">
        <w:t>in our alternative opex forecast</w:t>
      </w:r>
      <w:r>
        <w:t>.</w:t>
      </w:r>
      <w:r w:rsidR="00157088">
        <w:t xml:space="preserve"> </w:t>
      </w:r>
    </w:p>
    <w:p w:rsidR="00201AC3" w:rsidRDefault="00201AC3" w:rsidP="00201AC3">
      <w:r>
        <w:t>AusNet Services proposed two step changes for asset decommissioning:</w:t>
      </w:r>
    </w:p>
    <w:p w:rsidR="00201AC3" w:rsidRDefault="000E1A33" w:rsidP="00201AC3">
      <w:pPr>
        <w:pStyle w:val="AERbulletlistfirststyle"/>
      </w:pPr>
      <w:r>
        <w:t>a step change of $2.9</w:t>
      </w:r>
      <w:r w:rsidR="00201AC3">
        <w:t xml:space="preserve"> million </w:t>
      </w:r>
      <w:r w:rsidR="008A4259" w:rsidRPr="00B60F41">
        <w:t xml:space="preserve">($2016–17) </w:t>
      </w:r>
      <w:r w:rsidR="00201AC3">
        <w:t xml:space="preserve">for decommissioning </w:t>
      </w:r>
      <w:r w:rsidR="002A1781">
        <w:t xml:space="preserve">the </w:t>
      </w:r>
      <w:r w:rsidR="00201AC3">
        <w:t>three synchronous condensers (SCOs) on its network at Fisherman</w:t>
      </w:r>
      <w:r w:rsidR="005C5015">
        <w:t>'</w:t>
      </w:r>
      <w:r w:rsidR="00201AC3">
        <w:t>s Bend, Brooklyn and Templestowe</w:t>
      </w:r>
      <w:r w:rsidR="002A1781">
        <w:t xml:space="preserve">. </w:t>
      </w:r>
    </w:p>
    <w:p w:rsidR="00201AC3" w:rsidRDefault="00201AC3" w:rsidP="00201AC3">
      <w:pPr>
        <w:pStyle w:val="AERbulletlistfirststyle"/>
      </w:pPr>
      <w:r>
        <w:t xml:space="preserve">a step change of $1.9 million </w:t>
      </w:r>
      <w:r w:rsidR="008A4259" w:rsidRPr="00B60F41">
        <w:t xml:space="preserve">($2016–17) </w:t>
      </w:r>
      <w:r>
        <w:t xml:space="preserve">for decommissioning of assets located at Morwell Power Station. </w:t>
      </w:r>
    </w:p>
    <w:p w:rsidR="00201AC3" w:rsidRDefault="00201AC3" w:rsidP="00201AC3">
      <w:r>
        <w:t xml:space="preserve">The </w:t>
      </w:r>
      <w:r w:rsidR="000E1A33">
        <w:t>step changes</w:t>
      </w:r>
      <w:r w:rsidR="00A348D7">
        <w:t xml:space="preserve"> for these four decommissioning projects</w:t>
      </w:r>
      <w:r w:rsidR="000E1A33">
        <w:t xml:space="preserve"> </w:t>
      </w:r>
      <w:r>
        <w:t xml:space="preserve">were included in </w:t>
      </w:r>
      <w:r w:rsidR="000E1A33">
        <w:t>AusNet Service</w:t>
      </w:r>
      <w:r>
        <w:t>s</w:t>
      </w:r>
      <w:r w:rsidR="000E1A33">
        <w:t>'</w:t>
      </w:r>
      <w:r>
        <w:t xml:space="preserve"> </w:t>
      </w:r>
      <w:r w:rsidR="00455A53">
        <w:t xml:space="preserve">revised </w:t>
      </w:r>
      <w:r>
        <w:t>opex proposal as non</w:t>
      </w:r>
      <w:r w:rsidR="00300887">
        <w:noBreakHyphen/>
      </w:r>
      <w:r>
        <w:t xml:space="preserve">recurrent costs to be incurred in </w:t>
      </w:r>
      <w:r w:rsidR="00A348D7">
        <w:t xml:space="preserve">the </w:t>
      </w:r>
      <w:r>
        <w:t>2017</w:t>
      </w:r>
      <w:r w:rsidR="008A4259">
        <w:t>–</w:t>
      </w:r>
      <w:r>
        <w:t>18</w:t>
      </w:r>
      <w:r w:rsidR="00A348D7">
        <w:t xml:space="preserve"> year alone</w:t>
      </w:r>
      <w:r>
        <w:t xml:space="preserve">. </w:t>
      </w:r>
    </w:p>
    <w:p w:rsidR="008C0ABF" w:rsidRDefault="00201AC3" w:rsidP="008C0ABF">
      <w:r>
        <w:t xml:space="preserve">AusNet Services submitted </w:t>
      </w:r>
      <w:r w:rsidR="006F42A5">
        <w:t>the</w:t>
      </w:r>
      <w:r w:rsidR="000E1A33">
        <w:t xml:space="preserve"> </w:t>
      </w:r>
      <w:r>
        <w:t>costs of asset decommissioning usually form part of a capital project</w:t>
      </w:r>
      <w:r w:rsidR="00683C3F">
        <w:t>,</w:t>
      </w:r>
      <w:r>
        <w:t xml:space="preserve"> and are therefore normally classified as capex, not opex. AusNet</w:t>
      </w:r>
      <w:r w:rsidR="003E1AD8">
        <w:t xml:space="preserve"> </w:t>
      </w:r>
      <w:r>
        <w:t xml:space="preserve">Services </w:t>
      </w:r>
      <w:r w:rsidR="008C0ABF">
        <w:t>stated</w:t>
      </w:r>
      <w:r>
        <w:t xml:space="preserve"> this is the first instance where </w:t>
      </w:r>
      <w:r w:rsidR="008A4259">
        <w:t xml:space="preserve">it will decommission </w:t>
      </w:r>
      <w:r>
        <w:t>major assets without a need for capital replacement.</w:t>
      </w:r>
      <w:r w:rsidR="00AA6CDB">
        <w:rPr>
          <w:rStyle w:val="FootnoteReference"/>
        </w:rPr>
        <w:footnoteReference w:id="117"/>
      </w:r>
      <w:r>
        <w:t xml:space="preserve"> Therefore, </w:t>
      </w:r>
      <w:r w:rsidR="002A1781">
        <w:t xml:space="preserve">in </w:t>
      </w:r>
      <w:r>
        <w:t>AusNet Services</w:t>
      </w:r>
      <w:r w:rsidR="00683C3F">
        <w:t>' view</w:t>
      </w:r>
      <w:r w:rsidR="00A27315">
        <w:t>,</w:t>
      </w:r>
      <w:r>
        <w:t xml:space="preserve"> the costs </w:t>
      </w:r>
      <w:r w:rsidR="00BC58DE">
        <w:t xml:space="preserve">of decommissioning the SCOs and Morwell Power Station </w:t>
      </w:r>
      <w:r w:rsidR="004427A3">
        <w:t>are</w:t>
      </w:r>
      <w:r w:rsidR="006F42A5">
        <w:t xml:space="preserve"> not accounted for </w:t>
      </w:r>
      <w:r w:rsidR="008C0ABF">
        <w:t>by</w:t>
      </w:r>
      <w:r>
        <w:t xml:space="preserve"> </w:t>
      </w:r>
      <w:r w:rsidR="0090094B">
        <w:t>base</w:t>
      </w:r>
      <w:r>
        <w:t xml:space="preserve"> opex. </w:t>
      </w:r>
      <w:r w:rsidR="008C0ABF">
        <w:t xml:space="preserve">AusNet </w:t>
      </w:r>
      <w:r w:rsidR="00683C3F">
        <w:t xml:space="preserve">Services </w:t>
      </w:r>
      <w:r w:rsidR="008C0ABF">
        <w:t xml:space="preserve">further submitted the decommissioning costs have not been accounted </w:t>
      </w:r>
      <w:r w:rsidR="00683C3F">
        <w:t xml:space="preserve">for by </w:t>
      </w:r>
      <w:r w:rsidR="0090094B">
        <w:t xml:space="preserve">base </w:t>
      </w:r>
      <w:r w:rsidR="00683C3F">
        <w:t>opex</w:t>
      </w:r>
      <w:r w:rsidR="008C0ABF">
        <w:t xml:space="preserve"> because the AER has not presented robust evidence to demonstrate they will be offset by reductions in other opex categories.</w:t>
      </w:r>
      <w:r w:rsidR="008C0ABF">
        <w:rPr>
          <w:rStyle w:val="FootnoteReference"/>
        </w:rPr>
        <w:footnoteReference w:id="118"/>
      </w:r>
    </w:p>
    <w:p w:rsidR="00201AC3" w:rsidRDefault="008C0ABF" w:rsidP="00201AC3">
      <w:r>
        <w:lastRenderedPageBreak/>
        <w:t>In relation to the SCO decommissioning costs</w:t>
      </w:r>
      <w:r w:rsidR="00515BC8">
        <w:t xml:space="preserve"> specifically</w:t>
      </w:r>
      <w:r>
        <w:t xml:space="preserve">, </w:t>
      </w:r>
      <w:r w:rsidR="00201AC3">
        <w:t xml:space="preserve">AusNet </w:t>
      </w:r>
      <w:r w:rsidR="004427A3">
        <w:t>Services s</w:t>
      </w:r>
      <w:r w:rsidR="00201AC3">
        <w:t>tate</w:t>
      </w:r>
      <w:r w:rsidR="000E1A33">
        <w:t>d</w:t>
      </w:r>
      <w:r w:rsidR="00201AC3">
        <w:t xml:space="preserve"> </w:t>
      </w:r>
      <w:r>
        <w:t>these</w:t>
      </w:r>
      <w:r w:rsidR="00201AC3">
        <w:t xml:space="preserve"> are driven by a change in </w:t>
      </w:r>
      <w:r w:rsidR="004427A3">
        <w:t>its</w:t>
      </w:r>
      <w:r w:rsidR="00201AC3">
        <w:t xml:space="preserve"> obligations under its Network Services Agreement (NSA) with AEMO and </w:t>
      </w:r>
      <w:r w:rsidR="004427A3">
        <w:t>are</w:t>
      </w:r>
      <w:r w:rsidR="00201AC3">
        <w:t xml:space="preserve"> therefore justified as a step change under the AER's Guideline. </w:t>
      </w:r>
      <w:r w:rsidR="00771CD8">
        <w:t xml:space="preserve">It </w:t>
      </w:r>
      <w:r w:rsidR="004427A3">
        <w:t>stated</w:t>
      </w:r>
      <w:r w:rsidR="006F42A5">
        <w:t xml:space="preserve"> the NSA between AEMO and </w:t>
      </w:r>
      <w:r w:rsidR="00771CD8">
        <w:t>AusNet Services</w:t>
      </w:r>
      <w:r w:rsidR="006F42A5">
        <w:t xml:space="preserve"> is a </w:t>
      </w:r>
      <w:r w:rsidR="004427A3">
        <w:t>'</w:t>
      </w:r>
      <w:r w:rsidR="006F42A5">
        <w:t>quasi-regulatory instrument</w:t>
      </w:r>
      <w:r w:rsidR="004427A3">
        <w:t>'</w:t>
      </w:r>
      <w:r w:rsidR="006F42A5">
        <w:t xml:space="preserve"> with which </w:t>
      </w:r>
      <w:r w:rsidR="00771CD8">
        <w:t>it</w:t>
      </w:r>
      <w:r w:rsidR="006F42A5">
        <w:t xml:space="preserve"> must comply.</w:t>
      </w:r>
      <w:r w:rsidR="006F42A5">
        <w:rPr>
          <w:rStyle w:val="FootnoteReference"/>
        </w:rPr>
        <w:footnoteReference w:id="119"/>
      </w:r>
    </w:p>
    <w:p w:rsidR="00A348D7" w:rsidRPr="00A348D7" w:rsidRDefault="007F0ED8" w:rsidP="00A348D7">
      <w:r>
        <w:t>We</w:t>
      </w:r>
      <w:r w:rsidR="00A348D7" w:rsidRPr="00A348D7">
        <w:t xml:space="preserve"> disagree with </w:t>
      </w:r>
      <w:r w:rsidR="006A2A20">
        <w:t>this</w:t>
      </w:r>
      <w:r w:rsidR="00A348D7" w:rsidRPr="00A348D7">
        <w:t xml:space="preserve"> characterisation. As AusNet Services noted both in its original and revised proposals, it seeks to decommission the SCOs because they have reach</w:t>
      </w:r>
      <w:r w:rsidR="00A348D7">
        <w:t>ed</w:t>
      </w:r>
      <w:r w:rsidR="00A348D7" w:rsidRPr="00A348D7">
        <w:t xml:space="preserve"> the end of their economic lives.</w:t>
      </w:r>
      <w:r w:rsidR="00A348D7">
        <w:rPr>
          <w:rStyle w:val="FootnoteReference"/>
        </w:rPr>
        <w:footnoteReference w:id="120"/>
      </w:r>
      <w:r w:rsidR="00A348D7">
        <w:t xml:space="preserve"> </w:t>
      </w:r>
      <w:r w:rsidR="00A348D7" w:rsidRPr="00A348D7">
        <w:t xml:space="preserve">The change in obligations under the NSA goes only to whether AusNet Services will be required to replace the SCOs. </w:t>
      </w:r>
      <w:r w:rsidR="00120FCF" w:rsidRPr="00120FCF">
        <w:t>This is consistent with the letter from AEMO to AusNet Services on 10 August 2016, which extends only to AusNet Services reducing its network services rat</w:t>
      </w:r>
      <w:r w:rsidR="00120FCF">
        <w:t>her than decommissioning assets</w:t>
      </w:r>
      <w:r w:rsidR="00120FCF" w:rsidRPr="00120FCF">
        <w:t>.</w:t>
      </w:r>
      <w:r w:rsidR="00120FCF">
        <w:t xml:space="preserve"> </w:t>
      </w:r>
      <w:r w:rsidR="00A348D7" w:rsidRPr="00A348D7">
        <w:t>AusNet Services has since confirmed in a response to an information request that its decision to decommission the assets is driven by internal policy rather than an obligation by AEMO.</w:t>
      </w:r>
      <w:r w:rsidR="00A348D7">
        <w:rPr>
          <w:rStyle w:val="FootnoteReference"/>
        </w:rPr>
        <w:footnoteReference w:id="121"/>
      </w:r>
      <w:r w:rsidR="00120FCF">
        <w:t xml:space="preserve"> </w:t>
      </w:r>
    </w:p>
    <w:p w:rsidR="00201AC3" w:rsidRDefault="00201AC3" w:rsidP="00201AC3">
      <w:r>
        <w:t>The CCP</w:t>
      </w:r>
      <w:r w:rsidR="004427A3">
        <w:t>, in its submissions of September and October 2016,</w:t>
      </w:r>
      <w:r>
        <w:t xml:space="preserve"> </w:t>
      </w:r>
      <w:r w:rsidR="00771CD8">
        <w:t xml:space="preserve">primarily </w:t>
      </w:r>
      <w:r>
        <w:t>focused on whether asset decommissioning costs ha</w:t>
      </w:r>
      <w:r w:rsidR="008C0ABF">
        <w:t>ve</w:t>
      </w:r>
      <w:r w:rsidR="000E1A33">
        <w:t xml:space="preserve"> </w:t>
      </w:r>
      <w:r>
        <w:t xml:space="preserve">been expensed by AusNet Services in the past and are therefore </w:t>
      </w:r>
      <w:r w:rsidR="0078759E">
        <w:t>explicitly reflected in</w:t>
      </w:r>
      <w:r w:rsidR="00771CD8">
        <w:t xml:space="preserve"> </w:t>
      </w:r>
      <w:r w:rsidR="0090094B">
        <w:t>base</w:t>
      </w:r>
      <w:r w:rsidR="00771CD8">
        <w:t xml:space="preserve"> ope</w:t>
      </w:r>
      <w:r>
        <w:t xml:space="preserve">x. The CCP suggested the </w:t>
      </w:r>
      <w:r w:rsidR="00771CD8">
        <w:t xml:space="preserve">decommissioning </w:t>
      </w:r>
      <w:r>
        <w:t>costs may be '</w:t>
      </w:r>
      <w:r w:rsidRPr="00364AEB">
        <w:t>unusual by size rather than by rarity</w:t>
      </w:r>
      <w:r>
        <w:t>'.</w:t>
      </w:r>
      <w:r>
        <w:rPr>
          <w:rStyle w:val="FootnoteReference"/>
        </w:rPr>
        <w:footnoteReference w:id="122"/>
      </w:r>
      <w:r>
        <w:t xml:space="preserve"> The CCP submitted that if </w:t>
      </w:r>
      <w:r w:rsidRPr="003D5B27">
        <w:t xml:space="preserve">there are revealed costs, </w:t>
      </w:r>
      <w:r>
        <w:t>a</w:t>
      </w:r>
      <w:r w:rsidRPr="003D5B27">
        <w:t xml:space="preserve"> step change should not be </w:t>
      </w:r>
      <w:r>
        <w:t>included</w:t>
      </w:r>
      <w:r w:rsidRPr="003D5B27">
        <w:t>.</w:t>
      </w:r>
      <w:r>
        <w:t xml:space="preserve"> </w:t>
      </w:r>
      <w:r w:rsidR="000E1A33">
        <w:t>Conversely</w:t>
      </w:r>
      <w:r>
        <w:t>, if there are not</w:t>
      </w:r>
      <w:r w:rsidR="000E1A33">
        <w:t xml:space="preserve"> revealed costs</w:t>
      </w:r>
      <w:r>
        <w:t>, there should be a non-recurrent adjustment to base opex (rather than a step change).</w:t>
      </w:r>
      <w:r w:rsidR="00E9192F">
        <w:rPr>
          <w:rStyle w:val="FootnoteReference"/>
        </w:rPr>
        <w:footnoteReference w:id="123"/>
      </w:r>
    </w:p>
    <w:p w:rsidR="001C2BFF" w:rsidRDefault="00D32DE5" w:rsidP="00E44BF8">
      <w:r>
        <w:rPr>
          <w:rStyle w:val="AERbody"/>
        </w:rPr>
        <w:t xml:space="preserve">We do not consider AusNet Services' proposal justifies a departure from our </w:t>
      </w:r>
      <w:r w:rsidR="0078759E">
        <w:rPr>
          <w:rStyle w:val="AERbody"/>
        </w:rPr>
        <w:t>assessment</w:t>
      </w:r>
      <w:r>
        <w:rPr>
          <w:rStyle w:val="AERbody"/>
        </w:rPr>
        <w:t xml:space="preserve"> approach, as set out in our Guideline</w:t>
      </w:r>
      <w:r w:rsidR="0078759E">
        <w:rPr>
          <w:rStyle w:val="AERbody"/>
        </w:rPr>
        <w:t xml:space="preserve"> and section 7.4 above</w:t>
      </w:r>
      <w:r>
        <w:rPr>
          <w:rStyle w:val="AERbody"/>
        </w:rPr>
        <w:t>.</w:t>
      </w:r>
      <w:r w:rsidR="0078759E">
        <w:t xml:space="preserve"> </w:t>
      </w:r>
      <w:r w:rsidR="00563180">
        <w:t xml:space="preserve">The decommissioning costs </w:t>
      </w:r>
      <w:r w:rsidR="00B56475">
        <w:t>for the</w:t>
      </w:r>
      <w:r w:rsidR="00563180">
        <w:t xml:space="preserve"> SCOs and Morwell Power Station</w:t>
      </w:r>
      <w:r w:rsidR="0073654F">
        <w:t xml:space="preserve"> assets</w:t>
      </w:r>
      <w:r w:rsidR="00563180">
        <w:t xml:space="preserve"> are not driven by a change in AusNet Services' regulatory obligations</w:t>
      </w:r>
      <w:r w:rsidR="00137C45">
        <w:t xml:space="preserve"> or an efficient</w:t>
      </w:r>
      <w:r w:rsidR="00D63137">
        <w:t xml:space="preserve"> capex/opex trade-off</w:t>
      </w:r>
      <w:r w:rsidR="00563180">
        <w:t>.</w:t>
      </w:r>
      <w:r w:rsidR="00D63137">
        <w:rPr>
          <w:rStyle w:val="FootnoteReference"/>
        </w:rPr>
        <w:footnoteReference w:id="124"/>
      </w:r>
      <w:r w:rsidR="00563180">
        <w:t xml:space="preserve"> </w:t>
      </w:r>
      <w:r w:rsidR="00A348D7">
        <w:t xml:space="preserve">Nor </w:t>
      </w:r>
      <w:r w:rsidR="00AA6CDB">
        <w:t xml:space="preserve">are there exceptional circumstances that would require </w:t>
      </w:r>
      <w:r w:rsidR="00A348D7">
        <w:t xml:space="preserve">a step change. </w:t>
      </w:r>
      <w:r w:rsidR="007046C4">
        <w:t xml:space="preserve">Asset decommissioning is one of many non-recurrent costs faced by the business. </w:t>
      </w:r>
    </w:p>
    <w:p w:rsidR="001C2BFF" w:rsidRPr="00DA403D" w:rsidRDefault="001C2BFF" w:rsidP="001C2BFF">
      <w:pPr>
        <w:rPr>
          <w:rStyle w:val="AERbody"/>
        </w:rPr>
      </w:pPr>
      <w:r w:rsidRPr="00DA403D">
        <w:rPr>
          <w:rStyle w:val="AERbody"/>
        </w:rPr>
        <w:t xml:space="preserve">In its </w:t>
      </w:r>
      <w:r w:rsidR="00F9134A">
        <w:rPr>
          <w:rStyle w:val="AERbody"/>
        </w:rPr>
        <w:t>opex</w:t>
      </w:r>
      <w:r w:rsidRPr="00DA403D">
        <w:rPr>
          <w:rStyle w:val="AERbody"/>
        </w:rPr>
        <w:t xml:space="preserve"> proposal for the 2014–15 to 2016–17 regulatory control period, AusNet Services' described </w:t>
      </w:r>
      <w:r w:rsidR="00FA610F">
        <w:rPr>
          <w:rStyle w:val="AERbody"/>
        </w:rPr>
        <w:t>'</w:t>
      </w:r>
      <w:r w:rsidRPr="00DA403D">
        <w:rPr>
          <w:rStyle w:val="AERbody"/>
        </w:rPr>
        <w:t>asset works</w:t>
      </w:r>
      <w:r w:rsidR="00FA610F">
        <w:rPr>
          <w:rStyle w:val="AERbody"/>
        </w:rPr>
        <w:t>'</w:t>
      </w:r>
      <w:r w:rsidRPr="00DA403D">
        <w:rPr>
          <w:rStyle w:val="AERbody"/>
        </w:rPr>
        <w:t xml:space="preserve"> as a program:</w:t>
      </w:r>
    </w:p>
    <w:p w:rsidR="001C2BFF" w:rsidRPr="001C2BFF" w:rsidRDefault="001C2BFF" w:rsidP="001C2BFF">
      <w:pPr>
        <w:pStyle w:val="AERquote"/>
        <w:rPr>
          <w:rStyle w:val="AERbody"/>
          <w:rFonts w:eastAsia="Calibri"/>
        </w:rPr>
      </w:pPr>
      <w:r w:rsidRPr="00DA403D">
        <w:rPr>
          <w:rStyle w:val="AERbody"/>
        </w:rPr>
        <w:t xml:space="preserve">… comprised of system non-recurrent expenditure that is required to manage operational risk within an acceptable band. The program </w:t>
      </w:r>
      <w:r w:rsidRPr="00DA403D">
        <w:rPr>
          <w:rStyle w:val="AERbody"/>
        </w:rPr>
        <w:lastRenderedPageBreak/>
        <w:t>includes non-routine repairs and refurbishment, corrosion and transformer condition monitoring.</w:t>
      </w:r>
      <w:r w:rsidRPr="00DA403D">
        <w:rPr>
          <w:rStyle w:val="FootnoteReference"/>
        </w:rPr>
        <w:footnoteReference w:id="125"/>
      </w:r>
    </w:p>
    <w:p w:rsidR="001C2BFF" w:rsidRPr="00DA403D" w:rsidRDefault="001C2BFF" w:rsidP="001C2BFF">
      <w:pPr>
        <w:rPr>
          <w:rStyle w:val="AERbody"/>
        </w:rPr>
      </w:pPr>
      <w:r w:rsidRPr="00DA403D">
        <w:rPr>
          <w:rStyle w:val="AERbody"/>
        </w:rPr>
        <w:t xml:space="preserve">The AER considers </w:t>
      </w:r>
      <w:r w:rsidR="007F0ED8">
        <w:rPr>
          <w:rStyle w:val="AERbody"/>
        </w:rPr>
        <w:t xml:space="preserve">this </w:t>
      </w:r>
      <w:r w:rsidRPr="00DA403D">
        <w:rPr>
          <w:rStyle w:val="AERbody"/>
        </w:rPr>
        <w:t xml:space="preserve">description is apt to refer to the non-recurrent expenditure that may be </w:t>
      </w:r>
      <w:r w:rsidR="00F9134A">
        <w:rPr>
          <w:rStyle w:val="AERbody"/>
        </w:rPr>
        <w:t>in</w:t>
      </w:r>
      <w:r w:rsidRPr="00DA403D">
        <w:rPr>
          <w:rStyle w:val="AERbody"/>
        </w:rPr>
        <w:t>curred from time</w:t>
      </w:r>
      <w:r w:rsidR="007F0ED8">
        <w:rPr>
          <w:rStyle w:val="AERbody"/>
        </w:rPr>
        <w:t>-</w:t>
      </w:r>
      <w:r w:rsidRPr="00DA403D">
        <w:rPr>
          <w:rStyle w:val="AERbody"/>
        </w:rPr>
        <w:t>to</w:t>
      </w:r>
      <w:r w:rsidR="007F0ED8">
        <w:rPr>
          <w:rStyle w:val="AERbody"/>
        </w:rPr>
        <w:t>-</w:t>
      </w:r>
      <w:r w:rsidRPr="00DA403D">
        <w:rPr>
          <w:rStyle w:val="AERbody"/>
        </w:rPr>
        <w:t xml:space="preserve">time in decommissioning assets that will not be replaced. </w:t>
      </w:r>
      <w:r>
        <w:rPr>
          <w:rStyle w:val="AERbody"/>
        </w:rPr>
        <w:t>In its regulatory proposal for the current decision, AusNet Services accepted that asset works opex should be forecast using the base</w:t>
      </w:r>
      <w:r w:rsidR="003E1AD8">
        <w:rPr>
          <w:rStyle w:val="AERbody"/>
        </w:rPr>
        <w:t>–</w:t>
      </w:r>
      <w:r>
        <w:rPr>
          <w:rStyle w:val="AERbody"/>
        </w:rPr>
        <w:t>step</w:t>
      </w:r>
      <w:r w:rsidR="003E1AD8">
        <w:rPr>
          <w:rStyle w:val="AERbody"/>
        </w:rPr>
        <w:t>–</w:t>
      </w:r>
      <w:r>
        <w:rPr>
          <w:rStyle w:val="AERbody"/>
        </w:rPr>
        <w:t xml:space="preserve">trend approach, which </w:t>
      </w:r>
      <w:r w:rsidR="007F0ED8">
        <w:rPr>
          <w:rStyle w:val="AERbody"/>
        </w:rPr>
        <w:t>'</w:t>
      </w:r>
      <w:r>
        <w:rPr>
          <w:rStyle w:val="AERbody"/>
        </w:rPr>
        <w:t>assumes that individual items of non-recurrent expenditure will rise and fall across the forthcoming regulatory period such that total non-recurrent opex is broadly consistent from year-to-year</w:t>
      </w:r>
      <w:r w:rsidR="007F0ED8">
        <w:rPr>
          <w:rStyle w:val="AERbody"/>
        </w:rPr>
        <w:t>.'</w:t>
      </w:r>
      <w:r>
        <w:rPr>
          <w:rStyle w:val="FootnoteReference"/>
        </w:rPr>
        <w:footnoteReference w:id="126"/>
      </w:r>
    </w:p>
    <w:p w:rsidR="00FA610F" w:rsidRDefault="001C2BFF" w:rsidP="001C2BFF">
      <w:pPr>
        <w:rPr>
          <w:rStyle w:val="AERbody"/>
        </w:rPr>
      </w:pPr>
      <w:r w:rsidRPr="00DA403D">
        <w:rPr>
          <w:rStyle w:val="AERbody"/>
        </w:rPr>
        <w:t>From 2007–08 to 2015–16, 11.0 per cent of AusNet Services' total opex has been due to asset works.</w:t>
      </w:r>
      <w:r w:rsidRPr="00DA403D">
        <w:rPr>
          <w:rStyle w:val="FootnoteReference"/>
        </w:rPr>
        <w:footnoteReference w:id="127"/>
      </w:r>
    </w:p>
    <w:p w:rsidR="007F341A" w:rsidRDefault="001C2BFF" w:rsidP="001C2BFF">
      <w:r>
        <w:t>The decommissioning costs proposed for the SCOs and Morwell Power Station assets represent $6.3 million or 1</w:t>
      </w:r>
      <w:r w:rsidR="00900117">
        <w:t>.3</w:t>
      </w:r>
      <w:r>
        <w:t> per cent of total opex (</w:t>
      </w:r>
      <w:r w:rsidR="00FA610F">
        <w:t xml:space="preserve">before </w:t>
      </w:r>
      <w:r>
        <w:t>avoided O&amp;M costs</w:t>
      </w:r>
      <w:r w:rsidR="00FA610F">
        <w:t xml:space="preserve"> are taken into account</w:t>
      </w:r>
      <w:r>
        <w:t>).</w:t>
      </w:r>
      <w:r w:rsidDel="00D62F12">
        <w:t xml:space="preserve"> </w:t>
      </w:r>
      <w:r>
        <w:t xml:space="preserve">It is </w:t>
      </w:r>
      <w:r w:rsidR="00CA5EE5">
        <w:t>unclear</w:t>
      </w:r>
      <w:r>
        <w:t xml:space="preserve"> why it is necessary for AusNet</w:t>
      </w:r>
      <w:r w:rsidR="003211E5">
        <w:t xml:space="preserve"> Services </w:t>
      </w:r>
      <w:r>
        <w:t xml:space="preserve">to conduct </w:t>
      </w:r>
      <w:r w:rsidR="00AA6CDB">
        <w:t xml:space="preserve">all </w:t>
      </w:r>
      <w:r>
        <w:t>four decommissioning projects within a single regulatory year</w:t>
      </w:r>
      <w:r w:rsidR="00223E78">
        <w:t xml:space="preserve"> (2017</w:t>
      </w:r>
      <w:r w:rsidR="00A87E6D">
        <w:t>–</w:t>
      </w:r>
      <w:r w:rsidR="00223E78">
        <w:t>18)</w:t>
      </w:r>
      <w:r>
        <w:t>, rather than incurring those expenses across multiple years.</w:t>
      </w:r>
      <w:r w:rsidR="00F9134A">
        <w:t xml:space="preserve"> </w:t>
      </w:r>
      <w:r w:rsidR="002A1658">
        <w:t>I</w:t>
      </w:r>
      <w:r w:rsidR="00F9134A" w:rsidRPr="00F9134A">
        <w:t>n its initial proposal, AusNet Services observed that AEMO had agreed to it taki</w:t>
      </w:r>
      <w:r w:rsidR="00F9134A">
        <w:t>ng the Fisherman’s Bend SCO out-</w:t>
      </w:r>
      <w:r w:rsidR="00F9134A" w:rsidRPr="00F9134A">
        <w:t>of</w:t>
      </w:r>
      <w:r w:rsidR="00F9134A">
        <w:t>-</w:t>
      </w:r>
      <w:r w:rsidR="00F9134A" w:rsidRPr="00F9134A">
        <w:t>service in July 2015.</w:t>
      </w:r>
    </w:p>
    <w:p w:rsidR="00CA5EE5" w:rsidRDefault="00D24B5A" w:rsidP="001C2BFF">
      <w:r>
        <w:t>T</w:t>
      </w:r>
      <w:r>
        <w:rPr>
          <w:rStyle w:val="AERbody"/>
        </w:rPr>
        <w:t xml:space="preserve">he fact that </w:t>
      </w:r>
      <w:r>
        <w:t xml:space="preserve">asset decommissioning has not been expensed by AusNet Services in the past, and this opex item is therefore not explicitly accounted for in base opex, does not justify explicit compensation for it as a step change under our opex assessment framework. </w:t>
      </w:r>
      <w:r w:rsidR="00157E82">
        <w:rPr>
          <w:rStyle w:val="AERbody"/>
        </w:rPr>
        <w:t xml:space="preserve">AusNet Services' </w:t>
      </w:r>
      <w:r w:rsidR="001C2BFF">
        <w:rPr>
          <w:rStyle w:val="AERbody"/>
        </w:rPr>
        <w:t>base year</w:t>
      </w:r>
      <w:r w:rsidR="001C2BFF" w:rsidRPr="009D5046">
        <w:rPr>
          <w:rStyle w:val="AERbody"/>
        </w:rPr>
        <w:t xml:space="preserve"> opex </w:t>
      </w:r>
      <w:r w:rsidR="009B785F">
        <w:rPr>
          <w:rStyle w:val="AERbody"/>
        </w:rPr>
        <w:t xml:space="preserve">is </w:t>
      </w:r>
      <w:r w:rsidR="001C2BFF">
        <w:rPr>
          <w:rStyle w:val="AERbody"/>
        </w:rPr>
        <w:t xml:space="preserve">expected to </w:t>
      </w:r>
      <w:r w:rsidR="001C2BFF" w:rsidRPr="009D5046">
        <w:rPr>
          <w:rStyle w:val="AERbody"/>
        </w:rPr>
        <w:t xml:space="preserve">include </w:t>
      </w:r>
      <w:r w:rsidR="001C2BFF">
        <w:rPr>
          <w:rStyle w:val="AERbody"/>
        </w:rPr>
        <w:t>different</w:t>
      </w:r>
      <w:r w:rsidR="001C2BFF" w:rsidRPr="009D5046">
        <w:rPr>
          <w:rStyle w:val="AERbody"/>
        </w:rPr>
        <w:t xml:space="preserve"> non-recurrent items </w:t>
      </w:r>
      <w:r w:rsidR="001C2BFF">
        <w:rPr>
          <w:rStyle w:val="AERbody"/>
        </w:rPr>
        <w:t>for particular projects or exigencies</w:t>
      </w:r>
      <w:r w:rsidR="00543467">
        <w:rPr>
          <w:rStyle w:val="AERbody"/>
        </w:rPr>
        <w:t xml:space="preserve"> that</w:t>
      </w:r>
      <w:r w:rsidR="001C2BFF">
        <w:rPr>
          <w:rStyle w:val="AERbody"/>
        </w:rPr>
        <w:t xml:space="preserve"> are not expected to recur in each year across the regulatory period</w:t>
      </w:r>
      <w:r w:rsidR="001C2BFF" w:rsidRPr="009D5046">
        <w:rPr>
          <w:rStyle w:val="AERbody"/>
        </w:rPr>
        <w:t>.</w:t>
      </w:r>
      <w:r w:rsidR="009B785F">
        <w:rPr>
          <w:rStyle w:val="AERbody"/>
        </w:rPr>
        <w:t xml:space="preserve"> </w:t>
      </w:r>
      <w:r w:rsidR="00B65B09">
        <w:t xml:space="preserve">It is reasonable to expect an opex forecast based on revealed costs will provide sufficient total opex for AusNet Services to undertake prudent non-recurrent projects in an efficient manner over the regulatory period. </w:t>
      </w:r>
    </w:p>
    <w:p w:rsidR="00690EA6" w:rsidRDefault="001C2BFF" w:rsidP="001C2BFF">
      <w:r>
        <w:t xml:space="preserve">AusNet </w:t>
      </w:r>
      <w:r w:rsidR="00543467">
        <w:t xml:space="preserve">Services </w:t>
      </w:r>
      <w:r>
        <w:t>acknowledge</w:t>
      </w:r>
      <w:r w:rsidR="00AA6CDB">
        <w:t>d</w:t>
      </w:r>
      <w:r>
        <w:t xml:space="preserve"> the decommissioning of these assets will result in ongoing operation and maintenance savings of approximately $1.4 million across the regulatory period.</w:t>
      </w:r>
      <w:r w:rsidR="00690EA6">
        <w:rPr>
          <w:rStyle w:val="FootnoteReference"/>
        </w:rPr>
        <w:footnoteReference w:id="128"/>
      </w:r>
      <w:r>
        <w:t xml:space="preserve"> </w:t>
      </w:r>
      <w:r w:rsidR="00543467">
        <w:t xml:space="preserve">Those </w:t>
      </w:r>
      <w:r>
        <w:t>saving</w:t>
      </w:r>
      <w:r w:rsidR="00543467">
        <w:t>s</w:t>
      </w:r>
      <w:r>
        <w:t xml:space="preserve"> partially offset the opex that will be incurred in decommissioning </w:t>
      </w:r>
      <w:r w:rsidR="00AA6CDB">
        <w:t xml:space="preserve">the </w:t>
      </w:r>
      <w:r>
        <w:t>assets.</w:t>
      </w:r>
    </w:p>
    <w:p w:rsidR="001C2BFF" w:rsidRDefault="00690EA6" w:rsidP="001C2BFF">
      <w:r>
        <w:t xml:space="preserve">It </w:t>
      </w:r>
      <w:r w:rsidR="001C2BFF">
        <w:t>is unnecessary to make a specific deduction from base year opex to reflect that the corresponding part of the base year opex will not be required across the regulatory period. Rather, it is an example of the way in which a business’ opex requirements are affected by numerous countervailing factors from year</w:t>
      </w:r>
      <w:r w:rsidR="00543467">
        <w:t>-</w:t>
      </w:r>
      <w:r w:rsidR="001C2BFF">
        <w:t>to</w:t>
      </w:r>
      <w:r w:rsidR="00543467">
        <w:t>-</w:t>
      </w:r>
      <w:r w:rsidR="001C2BFF">
        <w:t xml:space="preserve">year. Having noted that </w:t>
      </w:r>
      <w:r w:rsidR="001C2BFF">
        <w:lastRenderedPageBreak/>
        <w:t xml:space="preserve">example, </w:t>
      </w:r>
      <w:r w:rsidR="00543467">
        <w:t>we</w:t>
      </w:r>
      <w:r w:rsidR="001C2BFF">
        <w:t xml:space="preserve"> disagree with AusNet</w:t>
      </w:r>
      <w:r w:rsidR="00AA6CDB">
        <w:t xml:space="preserve"> Services'</w:t>
      </w:r>
      <w:r w:rsidR="001C2BFF">
        <w:t xml:space="preserve"> suggestion that the AER is required to present </w:t>
      </w:r>
      <w:r w:rsidR="00543467">
        <w:t>'</w:t>
      </w:r>
      <w:r w:rsidR="001C2BFF">
        <w:t>robust evidence</w:t>
      </w:r>
      <w:r w:rsidR="00543467">
        <w:t>'</w:t>
      </w:r>
      <w:r w:rsidR="001C2BFF">
        <w:t xml:space="preserve"> of offsetting reductions in relation to other expenditure items in the base year</w:t>
      </w:r>
      <w:r w:rsidR="00AA6CDB">
        <w:t>. T</w:t>
      </w:r>
      <w:r w:rsidR="001C2BFF">
        <w:t>hat is</w:t>
      </w:r>
      <w:r w:rsidR="001321F2">
        <w:t xml:space="preserve"> contrary to the top-down, base–step–</w:t>
      </w:r>
      <w:r w:rsidR="001C2BFF">
        <w:t xml:space="preserve">trend approach to </w:t>
      </w:r>
      <w:r w:rsidR="001321F2">
        <w:t xml:space="preserve">forecasting total </w:t>
      </w:r>
      <w:r w:rsidR="001C2BFF">
        <w:t>opex that we have described in section 7.4 above.</w:t>
      </w:r>
      <w:r>
        <w:t xml:space="preserve"> </w:t>
      </w:r>
    </w:p>
    <w:p w:rsidR="001C2BFF" w:rsidRDefault="001C2BFF" w:rsidP="00E44BF8">
      <w:r>
        <w:t xml:space="preserve">AusNet Services noted it usually recovers decommissioning costs, where decommissioning occurs as part of a repex proposal. However, we do not consider this to be a </w:t>
      </w:r>
      <w:r w:rsidR="00217F1A">
        <w:t>'</w:t>
      </w:r>
      <w:r>
        <w:t>like-with-like</w:t>
      </w:r>
      <w:r w:rsidR="00217F1A">
        <w:t>'</w:t>
      </w:r>
      <w:r>
        <w:t xml:space="preserve"> comparison. There are key differences between our forecasting approach for repex and our forecasting approach for opex. AusNet Services proposed a hybrid approach for opex whereby it incorporated its revealed costs, but also sought the costs of asset decommissioning separately on the basis that these costs have not been incurred in the past. Conversely, </w:t>
      </w:r>
      <w:r w:rsidRPr="00DF5F6F">
        <w:t xml:space="preserve">a repex forecast </w:t>
      </w:r>
      <w:r w:rsidR="00217F1A">
        <w:t xml:space="preserve">for transmission </w:t>
      </w:r>
      <w:r w:rsidRPr="00DF5F6F">
        <w:t xml:space="preserve">is typically built from the bottom-up, which means AusNet Services would forecast the cost of decommissioning along with the associated repex, but it </w:t>
      </w:r>
      <w:r w:rsidR="00EA7A87">
        <w:t>would</w:t>
      </w:r>
      <w:r w:rsidR="00EA7A87" w:rsidRPr="00DF5F6F">
        <w:t xml:space="preserve"> </w:t>
      </w:r>
      <w:r w:rsidRPr="00DF5F6F">
        <w:t>not also receive a revealed cost allowance.</w:t>
      </w:r>
      <w:r>
        <w:t xml:space="preserve"> </w:t>
      </w:r>
    </w:p>
    <w:p w:rsidR="004C3540" w:rsidRDefault="00B65B09" w:rsidP="004C3540">
      <w:pPr>
        <w:rPr>
          <w:rStyle w:val="AERbody"/>
        </w:rPr>
      </w:pPr>
      <w:r>
        <w:rPr>
          <w:rStyle w:val="AERbody"/>
        </w:rPr>
        <w:t>In summary</w:t>
      </w:r>
      <w:r w:rsidR="004C3540">
        <w:rPr>
          <w:rStyle w:val="AERbody"/>
        </w:rPr>
        <w:t xml:space="preserve">, </w:t>
      </w:r>
      <w:r w:rsidR="00CA5EE5">
        <w:rPr>
          <w:rStyle w:val="AERbody"/>
        </w:rPr>
        <w:t xml:space="preserve">we do not accept there is an explicit obligation </w:t>
      </w:r>
      <w:r w:rsidR="00383926">
        <w:rPr>
          <w:rStyle w:val="AERbody"/>
        </w:rPr>
        <w:t>on</w:t>
      </w:r>
      <w:r w:rsidR="00CA5EE5">
        <w:rPr>
          <w:rStyle w:val="AERbody"/>
        </w:rPr>
        <w:t xml:space="preserve"> </w:t>
      </w:r>
      <w:r w:rsidR="00920A84">
        <w:rPr>
          <w:rStyle w:val="AERbody"/>
        </w:rPr>
        <w:t>AusNet Services to undertake</w:t>
      </w:r>
      <w:r w:rsidR="00383926">
        <w:rPr>
          <w:rStyle w:val="AERbody"/>
        </w:rPr>
        <w:t xml:space="preserve"> all</w:t>
      </w:r>
      <w:r w:rsidR="00920A84">
        <w:rPr>
          <w:rStyle w:val="AERbody"/>
        </w:rPr>
        <w:t xml:space="preserve"> its</w:t>
      </w:r>
      <w:r w:rsidR="00CA5EE5">
        <w:rPr>
          <w:rStyle w:val="AERbody"/>
        </w:rPr>
        <w:t xml:space="preserve"> asset decommissioning projects in a single year. Rather, it is within AusNet Services control to 'spread out' </w:t>
      </w:r>
      <w:r w:rsidR="00920A84">
        <w:rPr>
          <w:rStyle w:val="AERbody"/>
        </w:rPr>
        <w:t>or 'smooth' these costs</w:t>
      </w:r>
      <w:r w:rsidR="00CA5EE5">
        <w:rPr>
          <w:rStyle w:val="AERbody"/>
        </w:rPr>
        <w:t xml:space="preserve"> over time. </w:t>
      </w:r>
      <w:r w:rsidR="00920A84">
        <w:rPr>
          <w:rStyle w:val="AERbody"/>
        </w:rPr>
        <w:t>This does not require additional funding from consumers. W</w:t>
      </w:r>
      <w:r w:rsidR="004C3540" w:rsidRPr="00287395">
        <w:rPr>
          <w:rStyle w:val="AERbody"/>
        </w:rPr>
        <w:t xml:space="preserve">e consider </w:t>
      </w:r>
      <w:r w:rsidR="004C3540">
        <w:rPr>
          <w:rStyle w:val="AERbody"/>
        </w:rPr>
        <w:t>our total</w:t>
      </w:r>
      <w:r w:rsidR="004C3540" w:rsidRPr="00287395">
        <w:rPr>
          <w:rStyle w:val="AERbody"/>
        </w:rPr>
        <w:t xml:space="preserve"> opex </w:t>
      </w:r>
      <w:r w:rsidR="004C3540">
        <w:rPr>
          <w:rStyle w:val="AERbody"/>
        </w:rPr>
        <w:t xml:space="preserve">forecast </w:t>
      </w:r>
      <w:r w:rsidR="00F91FED">
        <w:rPr>
          <w:rStyle w:val="AERbody"/>
        </w:rPr>
        <w:t xml:space="preserve">based on AusNet Services' revealed costs </w:t>
      </w:r>
      <w:r w:rsidR="004C3540" w:rsidRPr="00287395">
        <w:rPr>
          <w:rStyle w:val="AERbody"/>
        </w:rPr>
        <w:t xml:space="preserve">is sufficient </w:t>
      </w:r>
      <w:r w:rsidR="004C3540">
        <w:rPr>
          <w:rStyle w:val="AERbody"/>
        </w:rPr>
        <w:t xml:space="preserve">for AusNet Services to manage expected demand and comply with all applicable regulatory obligations. </w:t>
      </w:r>
    </w:p>
    <w:p w:rsidR="00EF66FB" w:rsidRDefault="00EF66FB" w:rsidP="00EF66FB">
      <w:pPr>
        <w:pStyle w:val="HeadingBoldItalic"/>
      </w:pPr>
      <w:bookmarkStart w:id="49" w:name="_Toc480809665"/>
      <w:r w:rsidRPr="00F3246A">
        <w:t>Smart Aerial Image Processing roll out</w:t>
      </w:r>
      <w:bookmarkEnd w:id="49"/>
    </w:p>
    <w:p w:rsidR="0091436D" w:rsidRDefault="00EF66FB" w:rsidP="00EF66FB">
      <w:r>
        <w:t>We have not included a step change</w:t>
      </w:r>
      <w:r w:rsidRPr="005014BE">
        <w:t xml:space="preserve"> </w:t>
      </w:r>
      <w:r>
        <w:t xml:space="preserve">for AusNet Services </w:t>
      </w:r>
      <w:r w:rsidRPr="005014BE">
        <w:t>to</w:t>
      </w:r>
      <w:r>
        <w:t xml:space="preserve"> conduct an assessment of its network using </w:t>
      </w:r>
      <w:r w:rsidRPr="005014BE">
        <w:t>smart aerial image processing (SAIP)</w:t>
      </w:r>
      <w:r>
        <w:t xml:space="preserve"> </w:t>
      </w:r>
      <w:r w:rsidRPr="005014BE">
        <w:t>in our alternative opex forecast</w:t>
      </w:r>
      <w:r>
        <w:t>.</w:t>
      </w:r>
      <w:r w:rsidR="00BE63D2">
        <w:t xml:space="preserve"> </w:t>
      </w:r>
    </w:p>
    <w:p w:rsidR="00EF66FB" w:rsidRDefault="00EF66FB" w:rsidP="00EF66FB">
      <w:r w:rsidRPr="00E70C90">
        <w:t>SAIP is an enhanced condition assessment technique that uses helicopter-mounted high resolution video cameras to capture a continuous stream of digital images of overhead conductors</w:t>
      </w:r>
      <w:r w:rsidR="00FA5997">
        <w:t xml:space="preserve"> and their environs</w:t>
      </w:r>
      <w:r w:rsidRPr="00E70C90">
        <w:t>. This technique is used to</w:t>
      </w:r>
      <w:r w:rsidR="00FA5997">
        <w:t xml:space="preserve"> assess the condition of the line and assets that are difficult to observe from the ground</w:t>
      </w:r>
      <w:r w:rsidRPr="00E70C90">
        <w:t>.</w:t>
      </w:r>
    </w:p>
    <w:p w:rsidR="00EF66FB" w:rsidRDefault="00EF66FB" w:rsidP="00EF66FB">
      <w:r>
        <w:t xml:space="preserve">AusNet Services proposed a step change of $0.9 million </w:t>
      </w:r>
      <w:r w:rsidR="00B6449B" w:rsidRPr="00B60F41">
        <w:t>($2016–17)</w:t>
      </w:r>
      <w:r w:rsidR="00B6449B">
        <w:t xml:space="preserve"> </w:t>
      </w:r>
      <w:r>
        <w:t xml:space="preserve">to fully implement SAIP. This cost was additional to the SAIP expenditure incurred by AusNet Services in the base year. </w:t>
      </w:r>
      <w:r w:rsidRPr="00967B97">
        <w:t>AusNet Services</w:t>
      </w:r>
      <w:r>
        <w:t xml:space="preserve"> stated</w:t>
      </w:r>
      <w:r w:rsidRPr="00967B97">
        <w:t xml:space="preserve"> a full assess</w:t>
      </w:r>
      <w:r>
        <w:t>ment with</w:t>
      </w:r>
      <w:r w:rsidRPr="00967B97">
        <w:t xml:space="preserve"> SAIP </w:t>
      </w:r>
      <w:r>
        <w:t>would enable it to</w:t>
      </w:r>
      <w:r w:rsidRPr="00967B97">
        <w:t xml:space="preserve"> </w:t>
      </w:r>
      <w:r>
        <w:t>'</w:t>
      </w:r>
      <w:r w:rsidRPr="00967B97">
        <w:t>better predict the extent and optimal timing of future conductor replacements, and avoid initiating replacement works before they are necessary</w:t>
      </w:r>
      <w:r w:rsidR="003227ED">
        <w:t>.</w:t>
      </w:r>
      <w:r>
        <w:t>'</w:t>
      </w:r>
      <w:r>
        <w:rPr>
          <w:rStyle w:val="FootnoteReference"/>
        </w:rPr>
        <w:footnoteReference w:id="129"/>
      </w:r>
    </w:p>
    <w:p w:rsidR="00EF66FB" w:rsidRDefault="00EF66FB" w:rsidP="00EF66FB">
      <w:r>
        <w:t>AusNet Services submitted that since 2009, it has completed a number of SAIP trials on different parts of its transmission network, including</w:t>
      </w:r>
      <w:r w:rsidRPr="004D1321">
        <w:t xml:space="preserve"> covering approximately 500</w:t>
      </w:r>
      <w:r>
        <w:t>km</w:t>
      </w:r>
      <w:r w:rsidRPr="004D1321">
        <w:t xml:space="preserve"> of </w:t>
      </w:r>
      <w:r>
        <w:t>its network in 2014</w:t>
      </w:r>
      <w:r w:rsidR="00B6449B">
        <w:t>–</w:t>
      </w:r>
      <w:r>
        <w:t xml:space="preserve">15 and </w:t>
      </w:r>
      <w:r w:rsidRPr="004D1321">
        <w:t>1</w:t>
      </w:r>
      <w:r>
        <w:t>000km in 2015</w:t>
      </w:r>
      <w:r w:rsidR="00B6449B">
        <w:t>–</w:t>
      </w:r>
      <w:r>
        <w:t>16</w:t>
      </w:r>
      <w:r w:rsidRPr="004D1321">
        <w:t>.</w:t>
      </w:r>
      <w:r>
        <w:t xml:space="preserve"> AusNet Services also highlighted a SAIP trial it conducted in 2012, which it stated resulted in the replacement of 62km </w:t>
      </w:r>
      <w:r w:rsidRPr="004D1321">
        <w:t xml:space="preserve">of ground-wire between Hazelwood and South Morang </w:t>
      </w:r>
      <w:r>
        <w:t xml:space="preserve">after the SAIP analysis revealed corrosion. </w:t>
      </w:r>
    </w:p>
    <w:p w:rsidR="00EF66FB" w:rsidRPr="00220095" w:rsidRDefault="00EF66FB" w:rsidP="00EF66FB">
      <w:r>
        <w:lastRenderedPageBreak/>
        <w:t xml:space="preserve">The CCP </w:t>
      </w:r>
      <w:r w:rsidRPr="00530D8E">
        <w:t>agree</w:t>
      </w:r>
      <w:r>
        <w:t>d</w:t>
      </w:r>
      <w:r w:rsidRPr="00530D8E">
        <w:t xml:space="preserve"> that SAIP can be an effective tool but </w:t>
      </w:r>
      <w:r>
        <w:t>did not consider</w:t>
      </w:r>
      <w:r w:rsidRPr="00530D8E">
        <w:t xml:space="preserve"> that</w:t>
      </w:r>
      <w:r>
        <w:t xml:space="preserve"> a step change was</w:t>
      </w:r>
      <w:r w:rsidRPr="00530D8E">
        <w:t xml:space="preserve"> needed.</w:t>
      </w:r>
      <w:r>
        <w:t xml:space="preserve"> The CCP considered the total opex forecast was sufficient to fund SAIP.</w:t>
      </w:r>
      <w:r>
        <w:rPr>
          <w:rStyle w:val="FootnoteReference"/>
        </w:rPr>
        <w:footnoteReference w:id="130"/>
      </w:r>
    </w:p>
    <w:p w:rsidR="00EF66FB" w:rsidRDefault="00E04CA3" w:rsidP="00EF66FB">
      <w:r>
        <w:t>T</w:t>
      </w:r>
      <w:r w:rsidR="00EF66FB" w:rsidRPr="00E30C14">
        <w:t xml:space="preserve">he EUCV submitted that at a high level, the SAIP project might be beneficial to consumers. However, it stated, there is no evidence </w:t>
      </w:r>
      <w:r w:rsidR="00EF66FB">
        <w:t xml:space="preserve">of </w:t>
      </w:r>
      <w:r w:rsidR="00EF66FB" w:rsidRPr="00E30C14">
        <w:t>a return for undertaking this act</w:t>
      </w:r>
      <w:r w:rsidR="00EF66FB">
        <w:t>ivity.</w:t>
      </w:r>
      <w:r w:rsidR="00EF66FB">
        <w:rPr>
          <w:rStyle w:val="FootnoteReference"/>
        </w:rPr>
        <w:footnoteReference w:id="131"/>
      </w:r>
    </w:p>
    <w:p w:rsidR="00E2321D" w:rsidRDefault="00EF66FB" w:rsidP="00D32DE5">
      <w:r>
        <w:t xml:space="preserve">We agree with the views expressed by the CCP and EUCV. </w:t>
      </w:r>
      <w:r w:rsidR="00D32DE5">
        <w:rPr>
          <w:rStyle w:val="AERbody"/>
        </w:rPr>
        <w:t xml:space="preserve">We do not consider AusNet Services' proposal justifies a departure from our </w:t>
      </w:r>
      <w:r w:rsidR="00F91FED">
        <w:rPr>
          <w:rStyle w:val="AERbody"/>
        </w:rPr>
        <w:t>assessment</w:t>
      </w:r>
      <w:r w:rsidR="00D32DE5">
        <w:rPr>
          <w:rStyle w:val="AERbody"/>
        </w:rPr>
        <w:t xml:space="preserve"> approach, as set out in our Guideline</w:t>
      </w:r>
      <w:r w:rsidR="006A66BD">
        <w:rPr>
          <w:rStyle w:val="AERbody"/>
        </w:rPr>
        <w:t xml:space="preserve"> and section 7.4 above</w:t>
      </w:r>
      <w:r w:rsidR="00D32DE5">
        <w:rPr>
          <w:rStyle w:val="AERbody"/>
        </w:rPr>
        <w:t>.</w:t>
      </w:r>
      <w:r w:rsidR="00E2321D" w:rsidRPr="00E2321D">
        <w:t xml:space="preserve"> </w:t>
      </w:r>
      <w:r w:rsidR="00E2321D">
        <w:t xml:space="preserve">We do not consider </w:t>
      </w:r>
      <w:r w:rsidR="00F91FED">
        <w:t xml:space="preserve">the </w:t>
      </w:r>
      <w:r w:rsidR="00E2321D">
        <w:t xml:space="preserve">proposed </w:t>
      </w:r>
      <w:r w:rsidR="00FE46D3">
        <w:t>expenditure</w:t>
      </w:r>
      <w:r w:rsidR="00E2321D">
        <w:t xml:space="preserve"> is a legitimate capex/opex trade off that would require a step change to result in an efficient forecast. </w:t>
      </w:r>
      <w:r w:rsidR="00FE46D3">
        <w:t>W</w:t>
      </w:r>
      <w:r w:rsidR="00E2321D">
        <w:t>e remain of the view AusNet Services has not established the step increase in expenditure for SAIP will be offset by capex savings.</w:t>
      </w:r>
      <w:r w:rsidR="006A66BD">
        <w:rPr>
          <w:rStyle w:val="FootnoteReference"/>
        </w:rPr>
        <w:footnoteReference w:id="132"/>
      </w:r>
      <w:r w:rsidR="00E2321D">
        <w:t xml:space="preserve"> </w:t>
      </w:r>
    </w:p>
    <w:p w:rsidR="00D32DE5" w:rsidRDefault="009C6A16" w:rsidP="00D32DE5">
      <w:pPr>
        <w:rPr>
          <w:rStyle w:val="AERbody"/>
        </w:rPr>
      </w:pPr>
      <w:r w:rsidDel="00E22E06">
        <w:t>We</w:t>
      </w:r>
      <w:r w:rsidR="007E6A80">
        <w:t xml:space="preserve"> </w:t>
      </w:r>
      <w:r w:rsidDel="00E22E06">
        <w:t>consider the roll out of SAIP—which represents 0</w:t>
      </w:r>
      <w:r w:rsidR="004C545B">
        <w:t>.2</w:t>
      </w:r>
      <w:r w:rsidDel="00E22E06">
        <w:t xml:space="preserve"> per cent of AusNet Services' total opex proposal</w:t>
      </w:r>
      <w:r w:rsidR="00795770">
        <w:rPr>
          <w:rStyle w:val="FootnoteReference"/>
        </w:rPr>
        <w:footnoteReference w:id="133"/>
      </w:r>
      <w:r w:rsidDel="00E22E06">
        <w:t xml:space="preserve">—is for AusNet Services to consider </w:t>
      </w:r>
      <w:r>
        <w:t xml:space="preserve">within </w:t>
      </w:r>
      <w:r w:rsidR="006A66BD">
        <w:t xml:space="preserve">the context of </w:t>
      </w:r>
      <w:r>
        <w:t xml:space="preserve">its total opex allowance </w:t>
      </w:r>
      <w:r w:rsidDel="00E22E06">
        <w:t>and prioritise if prudent to do so.</w:t>
      </w:r>
      <w:r w:rsidR="00E2321D" w:rsidRPr="00E2321D">
        <w:rPr>
          <w:rStyle w:val="AERbody"/>
        </w:rPr>
        <w:t xml:space="preserve"> </w:t>
      </w:r>
      <w:r w:rsidR="00E2321D">
        <w:rPr>
          <w:rStyle w:val="AERbody"/>
        </w:rPr>
        <w:t>W</w:t>
      </w:r>
      <w:r w:rsidR="00E2321D" w:rsidRPr="00287395">
        <w:rPr>
          <w:rStyle w:val="AERbody"/>
        </w:rPr>
        <w:t xml:space="preserve">e consider </w:t>
      </w:r>
      <w:r w:rsidR="00E2321D">
        <w:rPr>
          <w:rStyle w:val="AERbody"/>
        </w:rPr>
        <w:t>our total</w:t>
      </w:r>
      <w:r w:rsidR="00E2321D" w:rsidRPr="00287395">
        <w:rPr>
          <w:rStyle w:val="AERbody"/>
        </w:rPr>
        <w:t xml:space="preserve"> opex </w:t>
      </w:r>
      <w:r w:rsidR="00E2321D">
        <w:rPr>
          <w:rStyle w:val="AERbody"/>
        </w:rPr>
        <w:t xml:space="preserve">forecast </w:t>
      </w:r>
      <w:r w:rsidR="00E2321D" w:rsidRPr="00287395">
        <w:rPr>
          <w:rStyle w:val="AERbody"/>
        </w:rPr>
        <w:t xml:space="preserve">is sufficient </w:t>
      </w:r>
      <w:r w:rsidR="00E2321D">
        <w:rPr>
          <w:rStyle w:val="AERbody"/>
        </w:rPr>
        <w:t>for AusNet Services to manage expected demand and comply with all applicable regulatory obligations.</w:t>
      </w:r>
    </w:p>
    <w:p w:rsidR="00D40AB9" w:rsidRDefault="007E6A80" w:rsidP="00D40AB9">
      <w:pPr>
        <w:rPr>
          <w:rStyle w:val="AERbody"/>
        </w:rPr>
      </w:pPr>
      <w:r>
        <w:t>To establish</w:t>
      </w:r>
      <w:r w:rsidR="00FE46D3">
        <w:t xml:space="preserve"> a step change as a</w:t>
      </w:r>
      <w:r w:rsidR="00E2321D">
        <w:t xml:space="preserve"> capex/opex trade-off, a </w:t>
      </w:r>
      <w:r w:rsidR="00160E81">
        <w:t xml:space="preserve">business must </w:t>
      </w:r>
      <w:r>
        <w:t>d</w:t>
      </w:r>
      <w:r w:rsidR="00D40AB9">
        <w:t>emonstrate</w:t>
      </w:r>
      <w:r w:rsidDel="004C5A8E">
        <w:t xml:space="preserve"> </w:t>
      </w:r>
      <w:r w:rsidR="00160E81">
        <w:t>how the increased opex would be more than offset by capex savings.</w:t>
      </w:r>
      <w:r w:rsidR="00160E81">
        <w:rPr>
          <w:rStyle w:val="FootnoteReference"/>
        </w:rPr>
        <w:footnoteReference w:id="134"/>
      </w:r>
      <w:r w:rsidR="00160E81">
        <w:t xml:space="preserve"> This includes quantifying and demonstrating with some certainty the capex savings expected to eventuate from the step increase in opex. </w:t>
      </w:r>
      <w:r w:rsidR="00D40AB9">
        <w:rPr>
          <w:rStyle w:val="AERbody"/>
        </w:rPr>
        <w:t xml:space="preserve">Absent of this, there is risk of creating </w:t>
      </w:r>
      <w:r w:rsidR="00D40AB9" w:rsidDel="00D40AB9">
        <w:rPr>
          <w:rStyle w:val="AERbody"/>
        </w:rPr>
        <w:t>upward bias in the total opex forecast</w:t>
      </w:r>
      <w:r w:rsidR="00D40AB9">
        <w:rPr>
          <w:rStyle w:val="AERbody"/>
        </w:rPr>
        <w:t>—</w:t>
      </w:r>
      <w:r w:rsidR="0092175B">
        <w:rPr>
          <w:rStyle w:val="AERbody"/>
        </w:rPr>
        <w:t xml:space="preserve">that is, </w:t>
      </w:r>
      <w:r w:rsidR="00D40AB9">
        <w:rPr>
          <w:rStyle w:val="AERbody"/>
        </w:rPr>
        <w:t>by allowing for increasing or new costs but not decreasing or non-recurrent costs</w:t>
      </w:r>
      <w:r w:rsidR="003227ED">
        <w:rPr>
          <w:rStyle w:val="AERbody"/>
        </w:rPr>
        <w:t xml:space="preserve"> (as explained in section </w:t>
      </w:r>
      <w:r w:rsidR="00D40AB9">
        <w:rPr>
          <w:rStyle w:val="AERbody"/>
        </w:rPr>
        <w:t>7.4.2</w:t>
      </w:r>
      <w:r w:rsidR="003227ED">
        <w:rPr>
          <w:rStyle w:val="AERbody"/>
        </w:rPr>
        <w:t>)</w:t>
      </w:r>
      <w:r w:rsidR="00D40AB9" w:rsidDel="00D40AB9">
        <w:rPr>
          <w:rStyle w:val="AERbody"/>
        </w:rPr>
        <w:t xml:space="preserve">. </w:t>
      </w:r>
    </w:p>
    <w:p w:rsidR="00D40AB9" w:rsidDel="00632814" w:rsidRDefault="00D40AB9" w:rsidP="00D40AB9">
      <w:r w:rsidDel="00632814">
        <w:t>It is</w:t>
      </w:r>
      <w:r w:rsidR="0092175B">
        <w:t xml:space="preserve"> </w:t>
      </w:r>
      <w:r w:rsidDel="00632814">
        <w:t xml:space="preserve">important to note a </w:t>
      </w:r>
      <w:r w:rsidR="00FA5997">
        <w:t xml:space="preserve">significant proportion </w:t>
      </w:r>
      <w:r w:rsidDel="00632814">
        <w:t xml:space="preserve">of opex is linked to capex, </w:t>
      </w:r>
      <w:r w:rsidR="003211E5">
        <w:t>such as</w:t>
      </w:r>
      <w:r w:rsidDel="00632814">
        <w:t xml:space="preserve"> asset management opex. A business will not have an incentive to identify negative capex/opex trade-offs in its opex forecast. Given this, it is </w:t>
      </w:r>
      <w:r>
        <w:t xml:space="preserve">particularly important </w:t>
      </w:r>
      <w:r w:rsidDel="00632814">
        <w:t xml:space="preserve">for the business to sufficiently demonstrate </w:t>
      </w:r>
      <w:r w:rsidR="00176A63">
        <w:t>th</w:t>
      </w:r>
      <w:r w:rsidR="00A25D87">
        <w:t>e</w:t>
      </w:r>
      <w:r w:rsidDel="00632814">
        <w:t xml:space="preserve"> need to include a positive step change.</w:t>
      </w:r>
    </w:p>
    <w:p w:rsidR="00160E81" w:rsidRDefault="00BC7BBC" w:rsidP="00160E81">
      <w:r>
        <w:t>In our draft decision we expressed our position that AusNet Services had not</w:t>
      </w:r>
      <w:r w:rsidR="00160E81">
        <w:t xml:space="preserve"> </w:t>
      </w:r>
      <w:r w:rsidR="00160E81" w:rsidRPr="00AF4BF0">
        <w:t xml:space="preserve">sufficiently identified or quantified </w:t>
      </w:r>
      <w:r w:rsidR="00160E81">
        <w:t>any</w:t>
      </w:r>
      <w:r w:rsidR="00160E81" w:rsidRPr="00AF4BF0">
        <w:t xml:space="preserve"> capex savings that </w:t>
      </w:r>
      <w:r w:rsidR="00160E81">
        <w:t>may</w:t>
      </w:r>
      <w:r w:rsidR="00160E81" w:rsidRPr="00AF4BF0">
        <w:t xml:space="preserve"> </w:t>
      </w:r>
      <w:r w:rsidR="00160E81">
        <w:t>eventuate</w:t>
      </w:r>
      <w:r w:rsidR="00160E81" w:rsidRPr="00AF4BF0">
        <w:t xml:space="preserve"> as a result of </w:t>
      </w:r>
      <w:r w:rsidR="00160E81">
        <w:t>the SAIP program</w:t>
      </w:r>
      <w:r w:rsidR="00160E81" w:rsidRPr="00AF4BF0">
        <w:t>.</w:t>
      </w:r>
      <w:r w:rsidR="00160E81">
        <w:t xml:space="preserve"> In response, AusNet Services did not provide information in its revised proposal that supported its claim of capex savings. </w:t>
      </w:r>
    </w:p>
    <w:p w:rsidR="00EF66FB" w:rsidRDefault="00EF66FB" w:rsidP="00EF66FB">
      <w:r>
        <w:lastRenderedPageBreak/>
        <w:t>Instead, AusNet Services provided a variety of hypothetical scenarios to support its claim of capex savings. For example, AusNet Services stated if SAIP can defer the replacement of 10 per cent of 400km of 500kV conductor installed in the early 1970s</w:t>
      </w:r>
      <w:r w:rsidRPr="00D10EE1">
        <w:t xml:space="preserve"> from 2024 </w:t>
      </w:r>
      <w:r>
        <w:t>to 2026</w:t>
      </w:r>
      <w:r w:rsidRPr="00D10EE1">
        <w:t>, this will generate capex savings of $3.1 million</w:t>
      </w:r>
      <w:r>
        <w:t>, with a net economic benefit of 1.5 million in PV terms</w:t>
      </w:r>
      <w:r w:rsidRPr="00D10EE1">
        <w:t>.</w:t>
      </w:r>
      <w:r>
        <w:t xml:space="preserve"> Or, if SAIP could defer </w:t>
      </w:r>
      <w:r w:rsidRPr="00507917">
        <w:t>the replacement of 50</w:t>
      </w:r>
      <w:r>
        <w:t xml:space="preserve"> per cent</w:t>
      </w:r>
      <w:r w:rsidRPr="00507917">
        <w:t xml:space="preserve"> of the 400km of 500kV conductor from 2024 to 2026, capex savings of $15.5 million w</w:t>
      </w:r>
      <w:r>
        <w:t>ould</w:t>
      </w:r>
      <w:r w:rsidRPr="00507917">
        <w:t xml:space="preserve"> be achieved,</w:t>
      </w:r>
      <w:r>
        <w:t xml:space="preserve"> with</w:t>
      </w:r>
      <w:r w:rsidRPr="00507917">
        <w:t xml:space="preserve"> a net economic benefit of $13.9 million.</w:t>
      </w:r>
      <w:r w:rsidR="00A25D87">
        <w:t xml:space="preserve"> H</w:t>
      </w:r>
      <w:r>
        <w:t xml:space="preserve">owever, AusNet Services did not provide any information that suggests those scenarios would in fact occur. </w:t>
      </w:r>
    </w:p>
    <w:p w:rsidR="004C3540" w:rsidRDefault="004C3540" w:rsidP="004C3540">
      <w:pPr>
        <w:pStyle w:val="HeadingBoldItalic"/>
      </w:pPr>
      <w:bookmarkStart w:id="50" w:name="_Toc480809666"/>
      <w:r w:rsidRPr="00F3246A">
        <w:t>WMTS mobile switchboard</w:t>
      </w:r>
      <w:bookmarkEnd w:id="50"/>
    </w:p>
    <w:p w:rsidR="004C3540" w:rsidRDefault="004C3540" w:rsidP="004C3540">
      <w:r>
        <w:t>We have not included a step change for AusNet Services to lease a mobile switchboard</w:t>
      </w:r>
      <w:r w:rsidRPr="00C43B75">
        <w:t xml:space="preserve"> </w:t>
      </w:r>
      <w:r>
        <w:t>at its West Melbourne Terminal Station (WMTS)</w:t>
      </w:r>
      <w:r w:rsidRPr="008C14B7">
        <w:t>.</w:t>
      </w:r>
      <w:r>
        <w:t xml:space="preserve"> </w:t>
      </w:r>
    </w:p>
    <w:p w:rsidR="004C3540" w:rsidRDefault="004C3540" w:rsidP="004C3540">
      <w:r w:rsidRPr="008C14B7">
        <w:t xml:space="preserve">AusNet Services </w:t>
      </w:r>
      <w:r>
        <w:t>proposed a</w:t>
      </w:r>
      <w:r w:rsidRPr="008C14B7">
        <w:t xml:space="preserve"> $2</w:t>
      </w:r>
      <w:r w:rsidR="004C5D94">
        <w:t>.0</w:t>
      </w:r>
      <w:r w:rsidRPr="008C14B7">
        <w:t xml:space="preserve"> million ($2016–17) increase in opex </w:t>
      </w:r>
      <w:r>
        <w:t>for the</w:t>
      </w:r>
      <w:r w:rsidRPr="008C14B7">
        <w:t xml:space="preserve"> </w:t>
      </w:r>
      <w:r>
        <w:t>WMTS</w:t>
      </w:r>
      <w:r w:rsidRPr="00C43B75">
        <w:t xml:space="preserve"> </w:t>
      </w:r>
      <w:r>
        <w:t xml:space="preserve">mobile switchboard. </w:t>
      </w:r>
    </w:p>
    <w:p w:rsidR="004C3540" w:rsidRPr="00B5255C" w:rsidRDefault="004C3540" w:rsidP="004C3540">
      <w:r>
        <w:t>This</w:t>
      </w:r>
      <w:r w:rsidRPr="00B5255C">
        <w:t xml:space="preserve"> step change is related to AusNet Services' proposal to rebuild the WMTS in the 2017–22 regulatory control period. As part of the rebuild, AusNet Services is planning to retire the 22kv assets at the site, however, it is concerned the 22kv switchboard may fail before it is taken out of service. To address this risk, it proposed leasing a mobile switchboard to maintain the assets until </w:t>
      </w:r>
      <w:r w:rsidR="004C5D94">
        <w:t xml:space="preserve">it takes them </w:t>
      </w:r>
      <w:r w:rsidRPr="00B5255C">
        <w:t>out of service.</w:t>
      </w:r>
      <w:r w:rsidRPr="00B5255C">
        <w:rPr>
          <w:rStyle w:val="FootnoteReference"/>
        </w:rPr>
        <w:footnoteReference w:id="135"/>
      </w:r>
    </w:p>
    <w:p w:rsidR="004C3540" w:rsidRDefault="004C3540" w:rsidP="004C3540">
      <w:r>
        <w:t xml:space="preserve">AusNet Services submitted </w:t>
      </w:r>
      <w:r w:rsidR="004C5D94">
        <w:t xml:space="preserve">that base opex does not </w:t>
      </w:r>
      <w:r>
        <w:t xml:space="preserve">account for </w:t>
      </w:r>
      <w:r w:rsidR="004C5D94">
        <w:t>the costs</w:t>
      </w:r>
      <w:r>
        <w:t xml:space="preserve"> because they are not part of normal operations and 'because the AER has not presented any robust evidence to demonstrate they will be offset by reductions in other opex categories.</w:t>
      </w:r>
      <w:r w:rsidR="003227ED">
        <w:t>'</w:t>
      </w:r>
      <w:r>
        <w:rPr>
          <w:rStyle w:val="FootnoteReference"/>
        </w:rPr>
        <w:footnoteReference w:id="136"/>
      </w:r>
      <w:r>
        <w:t xml:space="preserve"> </w:t>
      </w:r>
    </w:p>
    <w:p w:rsidR="004C3540" w:rsidRDefault="004C3540" w:rsidP="004C3540">
      <w:r w:rsidRPr="00DB6DE4">
        <w:t xml:space="preserve">AusNet Services </w:t>
      </w:r>
      <w:r>
        <w:t>further</w:t>
      </w:r>
      <w:r w:rsidRPr="00DB6DE4">
        <w:t xml:space="preserve"> state</w:t>
      </w:r>
      <w:r>
        <w:t xml:space="preserve">d </w:t>
      </w:r>
      <w:r w:rsidRPr="00DB6DE4">
        <w:t xml:space="preserve">the costs are justifiable as a step change under the AER's Guideline </w:t>
      </w:r>
      <w:r w:rsidR="004C5D94">
        <w:t>because</w:t>
      </w:r>
      <w:r w:rsidR="004C5D94" w:rsidRPr="00DB6DE4">
        <w:t xml:space="preserve"> </w:t>
      </w:r>
      <w:r w:rsidRPr="00DB6DE4">
        <w:t xml:space="preserve">they are driven by a decision to avoid capex. </w:t>
      </w:r>
      <w:r w:rsidR="00795770">
        <w:t>AusNet Services</w:t>
      </w:r>
      <w:r>
        <w:t xml:space="preserve"> </w:t>
      </w:r>
      <w:r w:rsidR="004C5D94">
        <w:t>estimated</w:t>
      </w:r>
      <w:r>
        <w:t xml:space="preserve"> the cost of replacing the switchroom at $17.2 million.</w:t>
      </w:r>
      <w:r w:rsidR="00795770">
        <w:rPr>
          <w:rStyle w:val="FootnoteReference"/>
        </w:rPr>
        <w:footnoteReference w:id="137"/>
      </w:r>
      <w:r>
        <w:t xml:space="preserve"> </w:t>
      </w:r>
    </w:p>
    <w:p w:rsidR="00832C8C" w:rsidRDefault="004C3540" w:rsidP="00F854D9">
      <w:r>
        <w:rPr>
          <w:rStyle w:val="AERbody"/>
        </w:rPr>
        <w:t xml:space="preserve">We do not consider AusNet Services' proposal justifies a departure from our </w:t>
      </w:r>
      <w:r w:rsidR="006A66BD">
        <w:rPr>
          <w:rStyle w:val="AERbody"/>
        </w:rPr>
        <w:t>assessment</w:t>
      </w:r>
      <w:r>
        <w:rPr>
          <w:rStyle w:val="AERbody"/>
        </w:rPr>
        <w:t xml:space="preserve"> approach, as set out in our Guideline</w:t>
      </w:r>
      <w:r w:rsidR="006A66BD" w:rsidRPr="006A66BD">
        <w:rPr>
          <w:rStyle w:val="AERbody"/>
        </w:rPr>
        <w:t xml:space="preserve"> </w:t>
      </w:r>
      <w:r w:rsidR="006A66BD">
        <w:rPr>
          <w:rStyle w:val="AERbody"/>
        </w:rPr>
        <w:t>and section 7.4 above</w:t>
      </w:r>
      <w:r>
        <w:rPr>
          <w:rStyle w:val="AERbody"/>
        </w:rPr>
        <w:t>.</w:t>
      </w:r>
      <w:r w:rsidR="006A66BD">
        <w:rPr>
          <w:rStyle w:val="AERbody"/>
        </w:rPr>
        <w:t xml:space="preserve"> </w:t>
      </w:r>
      <w:r w:rsidR="00F854D9" w:rsidRPr="00F854D9">
        <w:t>We consider this to be a</w:t>
      </w:r>
      <w:r w:rsidR="004C5D94">
        <w:t xml:space="preserve"> non-recurrent </w:t>
      </w:r>
      <w:r w:rsidR="00F854D9" w:rsidRPr="00F854D9">
        <w:t xml:space="preserve">opex item and not an efficient capex/opex trade-off as contemplated by our Guideline. </w:t>
      </w:r>
      <w:r>
        <w:t xml:space="preserve">In particular, we do not consider the capex solution AusNet Services has identified is a </w:t>
      </w:r>
      <w:r w:rsidR="004C5D94">
        <w:t>realistic</w:t>
      </w:r>
      <w:r>
        <w:t xml:space="preserve"> alternative to incurring this opex. AusNet Services itself identified </w:t>
      </w:r>
      <w:r w:rsidR="006A66BD">
        <w:t xml:space="preserve">that </w:t>
      </w:r>
      <w:r>
        <w:t xml:space="preserve">this capex solution represented a </w:t>
      </w:r>
      <w:r w:rsidRPr="004C5D94">
        <w:rPr>
          <w:rStyle w:val="Emphasis"/>
        </w:rPr>
        <w:t>long term</w:t>
      </w:r>
      <w:r>
        <w:t xml:space="preserve"> solution to the risk of the current switchboard failing.</w:t>
      </w:r>
      <w:r w:rsidR="00995659">
        <w:rPr>
          <w:rStyle w:val="FootnoteReference"/>
        </w:rPr>
        <w:footnoteReference w:id="138"/>
      </w:r>
      <w:r>
        <w:t xml:space="preserve"> Given that AusNet Services will be retiring the 22kv network over the 2017–22 regulatory period, we do not consider an efficient business would undertake such capital expenditure. </w:t>
      </w:r>
    </w:p>
    <w:p w:rsidR="000374D6" w:rsidRPr="000374D6" w:rsidRDefault="005B5E8D" w:rsidP="000374D6">
      <w:pPr>
        <w:rPr>
          <w:rStyle w:val="AERbody"/>
        </w:rPr>
      </w:pPr>
      <w:r w:rsidRPr="000374D6">
        <w:lastRenderedPageBreak/>
        <w:t>The WMTS project was previously scheduled for the 2014</w:t>
      </w:r>
      <w:r>
        <w:t>–</w:t>
      </w:r>
      <w:r w:rsidRPr="000374D6">
        <w:t>17 regulatory control period but subsequently deferred by AusNet Services to the 2017</w:t>
      </w:r>
      <w:r>
        <w:t>–</w:t>
      </w:r>
      <w:r w:rsidRPr="000374D6">
        <w:t>22 regulatory control period.</w:t>
      </w:r>
      <w:r>
        <w:t xml:space="preserve"> </w:t>
      </w:r>
      <w:r w:rsidR="000374D6" w:rsidRPr="000374D6">
        <w:rPr>
          <w:rStyle w:val="AERbody"/>
        </w:rPr>
        <w:t xml:space="preserve">We note that there may be an increase in risk </w:t>
      </w:r>
      <w:r w:rsidR="00795770">
        <w:rPr>
          <w:rStyle w:val="AERbody"/>
        </w:rPr>
        <w:t xml:space="preserve">of failure </w:t>
      </w:r>
      <w:r w:rsidR="000374D6" w:rsidRPr="000374D6">
        <w:rPr>
          <w:rStyle w:val="AERbody"/>
        </w:rPr>
        <w:t xml:space="preserve">with </w:t>
      </w:r>
      <w:r w:rsidR="00995659">
        <w:rPr>
          <w:rStyle w:val="AERbody"/>
        </w:rPr>
        <w:t>AusNet Services'</w:t>
      </w:r>
      <w:r w:rsidR="00995659" w:rsidRPr="000374D6">
        <w:rPr>
          <w:rStyle w:val="AERbody"/>
        </w:rPr>
        <w:t xml:space="preserve"> </w:t>
      </w:r>
      <w:r w:rsidR="000374D6" w:rsidRPr="000374D6">
        <w:rPr>
          <w:rStyle w:val="AERbody"/>
        </w:rPr>
        <w:t>deferral of the WMTS retirement and that targeted capex and/or opex works</w:t>
      </w:r>
      <w:r w:rsidR="00AB3286">
        <w:rPr>
          <w:rStyle w:val="AERbody"/>
        </w:rPr>
        <w:t xml:space="preserve"> </w:t>
      </w:r>
      <w:r w:rsidR="00AB3286" w:rsidRPr="000374D6">
        <w:rPr>
          <w:rStyle w:val="AERbody"/>
        </w:rPr>
        <w:t xml:space="preserve">may alleviate </w:t>
      </w:r>
      <w:r w:rsidR="00AB3286">
        <w:rPr>
          <w:rStyle w:val="AERbody"/>
        </w:rPr>
        <w:t>any increase in risk</w:t>
      </w:r>
      <w:r w:rsidR="000374D6" w:rsidRPr="000374D6">
        <w:rPr>
          <w:rStyle w:val="AERbody"/>
        </w:rPr>
        <w:t xml:space="preserve">. However, we consider </w:t>
      </w:r>
      <w:r w:rsidR="00AB3286" w:rsidRPr="000374D6">
        <w:rPr>
          <w:rStyle w:val="AERbody"/>
        </w:rPr>
        <w:t>the overall ope</w:t>
      </w:r>
      <w:r w:rsidR="00AB3286">
        <w:rPr>
          <w:rStyle w:val="AERbody"/>
        </w:rPr>
        <w:t>x allowance</w:t>
      </w:r>
      <w:r w:rsidR="00AB3286" w:rsidRPr="000374D6">
        <w:rPr>
          <w:rStyle w:val="AERbody"/>
        </w:rPr>
        <w:t xml:space="preserve"> </w:t>
      </w:r>
      <w:r>
        <w:rPr>
          <w:rStyle w:val="AERbody"/>
        </w:rPr>
        <w:t xml:space="preserve">is sufficient to cover </w:t>
      </w:r>
      <w:r w:rsidR="000374D6" w:rsidRPr="000374D6">
        <w:rPr>
          <w:rStyle w:val="AERbody"/>
        </w:rPr>
        <w:t xml:space="preserve">any additional </w:t>
      </w:r>
      <w:r w:rsidR="00AB3286">
        <w:rPr>
          <w:rStyle w:val="AERbody"/>
        </w:rPr>
        <w:t>opex</w:t>
      </w:r>
      <w:r w:rsidR="00AB3286" w:rsidRPr="000374D6">
        <w:rPr>
          <w:rStyle w:val="AERbody"/>
        </w:rPr>
        <w:t xml:space="preserve"> </w:t>
      </w:r>
      <w:r w:rsidR="000374D6" w:rsidRPr="000374D6">
        <w:rPr>
          <w:rStyle w:val="AERbody"/>
        </w:rPr>
        <w:t>associated with this</w:t>
      </w:r>
      <w:r w:rsidR="002F2320">
        <w:rPr>
          <w:rStyle w:val="AERbody"/>
        </w:rPr>
        <w:t>.</w:t>
      </w:r>
      <w:r w:rsidR="000374D6" w:rsidRPr="000374D6">
        <w:rPr>
          <w:rStyle w:val="AERbody"/>
        </w:rPr>
        <w:t xml:space="preserve"> </w:t>
      </w:r>
    </w:p>
    <w:p w:rsidR="00243329" w:rsidRDefault="00832C8C" w:rsidP="004C3540">
      <w:r>
        <w:t>T</w:t>
      </w:r>
      <w:r w:rsidR="00243329">
        <w:t>he cost of the mobile switchboard—which represents 0</w:t>
      </w:r>
      <w:r w:rsidR="00795770">
        <w:t>.4</w:t>
      </w:r>
      <w:r w:rsidR="00243329">
        <w:t xml:space="preserve"> per cent of AusNet Services' total opex proposal</w:t>
      </w:r>
      <w:r w:rsidR="00795770">
        <w:rPr>
          <w:rStyle w:val="FootnoteReference"/>
        </w:rPr>
        <w:footnoteReference w:id="139"/>
      </w:r>
      <w:r w:rsidR="00243329">
        <w:t xml:space="preserve">—is </w:t>
      </w:r>
      <w:r>
        <w:t xml:space="preserve">therefore </w:t>
      </w:r>
      <w:r w:rsidR="00243329">
        <w:t xml:space="preserve">for AusNet Services to consider </w:t>
      </w:r>
      <w:r>
        <w:t xml:space="preserve">within the context of its total opex allowance </w:t>
      </w:r>
      <w:r w:rsidR="00243329">
        <w:t>and prioritise</w:t>
      </w:r>
      <w:r w:rsidR="003227ED">
        <w:t>,</w:t>
      </w:r>
      <w:r w:rsidR="00243329">
        <w:t xml:space="preserve"> if it is prudent to do so.</w:t>
      </w:r>
      <w:r w:rsidRPr="00832C8C">
        <w:rPr>
          <w:rStyle w:val="AERbody"/>
        </w:rPr>
        <w:t xml:space="preserve"> </w:t>
      </w:r>
      <w:r w:rsidR="004838AE">
        <w:rPr>
          <w:rStyle w:val="AERbody"/>
        </w:rPr>
        <w:t xml:space="preserve">Including a step change </w:t>
      </w:r>
      <w:r>
        <w:rPr>
          <w:rStyle w:val="AERbody"/>
        </w:rPr>
        <w:t xml:space="preserve">for this increased cost identified by AusNet Services would </w:t>
      </w:r>
      <w:r w:rsidR="003211E5">
        <w:rPr>
          <w:rStyle w:val="AERbody"/>
        </w:rPr>
        <w:t>result in an excessive forecast of total opex</w:t>
      </w:r>
      <w:r>
        <w:rPr>
          <w:rStyle w:val="AERbody"/>
        </w:rPr>
        <w:t>.</w:t>
      </w:r>
    </w:p>
    <w:p w:rsidR="004C3540" w:rsidRDefault="00497782" w:rsidP="004C3540">
      <w:pPr>
        <w:rPr>
          <w:rStyle w:val="AERbody"/>
        </w:rPr>
      </w:pPr>
      <w:r>
        <w:rPr>
          <w:rStyle w:val="AERbody"/>
        </w:rPr>
        <w:t>W</w:t>
      </w:r>
      <w:r w:rsidR="004C3540" w:rsidRPr="00287395">
        <w:rPr>
          <w:rStyle w:val="AERbody"/>
        </w:rPr>
        <w:t xml:space="preserve">e consider </w:t>
      </w:r>
      <w:r w:rsidR="004C3540">
        <w:rPr>
          <w:rStyle w:val="AERbody"/>
        </w:rPr>
        <w:t>our total</w:t>
      </w:r>
      <w:r w:rsidR="004C3540" w:rsidRPr="00287395">
        <w:rPr>
          <w:rStyle w:val="AERbody"/>
        </w:rPr>
        <w:t xml:space="preserve"> opex </w:t>
      </w:r>
      <w:r w:rsidR="004C3540">
        <w:rPr>
          <w:rStyle w:val="AERbody"/>
        </w:rPr>
        <w:t xml:space="preserve">forecast </w:t>
      </w:r>
      <w:r w:rsidR="004C3540" w:rsidRPr="00287395">
        <w:rPr>
          <w:rStyle w:val="AERbody"/>
        </w:rPr>
        <w:t xml:space="preserve">is sufficient </w:t>
      </w:r>
      <w:r w:rsidR="004C3540">
        <w:rPr>
          <w:rStyle w:val="AERbody"/>
        </w:rPr>
        <w:t xml:space="preserve">for AusNet Services to manage expected demand and comply with all applicable regulatory obligations. </w:t>
      </w:r>
    </w:p>
    <w:p w:rsidR="005570BB" w:rsidRPr="00A2711C" w:rsidRDefault="005570BB" w:rsidP="00A2711C">
      <w:pPr>
        <w:pStyle w:val="HeadingBoldItalic"/>
        <w:rPr>
          <w:rStyle w:val="AERbody"/>
          <w:color w:val="51626F"/>
          <w:sz w:val="24"/>
        </w:rPr>
      </w:pPr>
      <w:bookmarkStart w:id="51" w:name="_Toc480809667"/>
      <w:r w:rsidRPr="00A2711C">
        <w:rPr>
          <w:rStyle w:val="AERbody"/>
          <w:color w:val="51626F"/>
          <w:sz w:val="24"/>
        </w:rPr>
        <w:t>Avoided costs due to retirement of diesel generators</w:t>
      </w:r>
      <w:bookmarkEnd w:id="51"/>
    </w:p>
    <w:p w:rsidR="003F42E3" w:rsidRPr="003F42E3" w:rsidRDefault="003F42E3" w:rsidP="003F42E3">
      <w:pPr>
        <w:rPr>
          <w:rStyle w:val="AERbody"/>
        </w:rPr>
      </w:pPr>
      <w:r w:rsidRPr="003F42E3">
        <w:rPr>
          <w:rStyle w:val="AERbody"/>
        </w:rPr>
        <w:t>We have not included a step change for the retirement of AusNet Services’ diesel generators in our alternative opex forecast. This was proposed by AusNet Services in a submission subsequent to its revised proposal.</w:t>
      </w:r>
      <w:r>
        <w:rPr>
          <w:rStyle w:val="FootnoteReference"/>
        </w:rPr>
        <w:footnoteReference w:id="140"/>
      </w:r>
    </w:p>
    <w:p w:rsidR="003F42E3" w:rsidRPr="003F42E3" w:rsidRDefault="003F42E3" w:rsidP="003F42E3">
      <w:pPr>
        <w:rPr>
          <w:rStyle w:val="AERbody"/>
        </w:rPr>
      </w:pPr>
      <w:r w:rsidRPr="003F42E3">
        <w:rPr>
          <w:rStyle w:val="AERbody"/>
        </w:rPr>
        <w:t>AusNet Services proposed a negative step change of $0.23 million ($2016–17) for avoided costs associated with retiring diesel generators at four of its terminal stations.</w:t>
      </w:r>
      <w:r>
        <w:rPr>
          <w:rStyle w:val="FootnoteReference"/>
        </w:rPr>
        <w:footnoteReference w:id="141"/>
      </w:r>
      <w:r>
        <w:rPr>
          <w:rStyle w:val="AERbody"/>
        </w:rPr>
        <w:t xml:space="preserve"> </w:t>
      </w:r>
      <w:r w:rsidRPr="003F42E3">
        <w:rPr>
          <w:rStyle w:val="AERbody"/>
        </w:rPr>
        <w:t>AusNet Services submitted that AEMO confirmed that the services provided by these assets will no longer be required from 1 January 2017.</w:t>
      </w:r>
      <w:r>
        <w:rPr>
          <w:rStyle w:val="FootnoteReference"/>
        </w:rPr>
        <w:footnoteReference w:id="142"/>
      </w:r>
      <w:r w:rsidRPr="003F42E3">
        <w:rPr>
          <w:rStyle w:val="AERbody"/>
        </w:rPr>
        <w:t xml:space="preserve"> </w:t>
      </w:r>
      <w:r w:rsidR="00484FC7" w:rsidRPr="00484FC7">
        <w:rPr>
          <w:rStyle w:val="AERbody"/>
        </w:rPr>
        <w:t>In this letter to AusNet Services, AEMO stated its expectation that AusNet Services would write to the AER to amend its revised proposal for the costs avoided from retiring the diesel generators.</w:t>
      </w:r>
      <w:r w:rsidR="00484FC7">
        <w:rPr>
          <w:rStyle w:val="FootnoteReference"/>
        </w:rPr>
        <w:footnoteReference w:id="143"/>
      </w:r>
    </w:p>
    <w:p w:rsidR="003F42E3" w:rsidRPr="003F42E3" w:rsidRDefault="003F42E3" w:rsidP="003F42E3">
      <w:pPr>
        <w:rPr>
          <w:rStyle w:val="AERbody"/>
        </w:rPr>
      </w:pPr>
      <w:r w:rsidRPr="003F42E3">
        <w:rPr>
          <w:rStyle w:val="AERbody"/>
        </w:rPr>
        <w:t xml:space="preserve">The avoided costs resulting from the retirement of AusNet Services’ diesel generators represents </w:t>
      </w:r>
      <w:r w:rsidR="00484FC7">
        <w:rPr>
          <w:rStyle w:val="AERbody"/>
        </w:rPr>
        <w:t>0.05</w:t>
      </w:r>
      <w:r w:rsidRPr="003F42E3">
        <w:rPr>
          <w:rStyle w:val="AERbody"/>
        </w:rPr>
        <w:t xml:space="preserve"> per cent of AusNet Services’ total opex proposal</w:t>
      </w:r>
      <w:r w:rsidR="006E3664">
        <w:rPr>
          <w:rStyle w:val="AERbody"/>
        </w:rPr>
        <w:t xml:space="preserve"> (excluding easement land tax)</w:t>
      </w:r>
      <w:r w:rsidRPr="003F42E3">
        <w:rPr>
          <w:rStyle w:val="AERbody"/>
        </w:rPr>
        <w:t xml:space="preserve">. </w:t>
      </w:r>
    </w:p>
    <w:p w:rsidR="00484FC7" w:rsidRPr="003F42E3" w:rsidRDefault="00484FC7" w:rsidP="003F42E3">
      <w:pPr>
        <w:rPr>
          <w:rStyle w:val="AERbody"/>
        </w:rPr>
      </w:pPr>
      <w:r w:rsidRPr="00484FC7">
        <w:rPr>
          <w:rStyle w:val="AERbody"/>
        </w:rPr>
        <w:t xml:space="preserve">We do not consider AusNet Services' proposal justifies a departure from our assessment approach, as set out in our Guideline and section 7.4 above. </w:t>
      </w:r>
      <w:r w:rsidR="004838AE">
        <w:rPr>
          <w:rStyle w:val="AERbody"/>
        </w:rPr>
        <w:t>Although</w:t>
      </w:r>
      <w:r w:rsidR="004838AE" w:rsidRPr="00CC5DE3">
        <w:rPr>
          <w:rStyle w:val="AERbody"/>
        </w:rPr>
        <w:t xml:space="preserve"> </w:t>
      </w:r>
      <w:r w:rsidR="008A2A7C" w:rsidRPr="00CC5DE3">
        <w:rPr>
          <w:rStyle w:val="AERbody"/>
        </w:rPr>
        <w:t xml:space="preserve">we accept that the retirement of its diesel generators is forecast to </w:t>
      </w:r>
      <w:r w:rsidR="008A2A7C">
        <w:rPr>
          <w:rStyle w:val="AERbody"/>
        </w:rPr>
        <w:t>reduce</w:t>
      </w:r>
      <w:r w:rsidR="008A2A7C" w:rsidRPr="00CC5DE3">
        <w:rPr>
          <w:rStyle w:val="AERbody"/>
        </w:rPr>
        <w:t xml:space="preserve"> </w:t>
      </w:r>
      <w:r w:rsidR="008A2A7C">
        <w:rPr>
          <w:rStyle w:val="AERbody"/>
        </w:rPr>
        <w:t>AusNet Services' total opex by $0.23 million</w:t>
      </w:r>
      <w:r w:rsidR="008A2A7C" w:rsidRPr="00CC5DE3">
        <w:rPr>
          <w:rStyle w:val="AERbody"/>
        </w:rPr>
        <w:t xml:space="preserve">, </w:t>
      </w:r>
      <w:r w:rsidR="008A2A7C">
        <w:rPr>
          <w:rStyle w:val="AERbody"/>
        </w:rPr>
        <w:t>i</w:t>
      </w:r>
      <w:r w:rsidRPr="00484FC7">
        <w:rPr>
          <w:rStyle w:val="AERbody"/>
        </w:rPr>
        <w:t xml:space="preserve">t is an example of a cost decrease that </w:t>
      </w:r>
      <w:r>
        <w:rPr>
          <w:rStyle w:val="AERbody"/>
        </w:rPr>
        <w:t>AusNet Services would</w:t>
      </w:r>
      <w:r w:rsidRPr="00484FC7">
        <w:rPr>
          <w:rStyle w:val="AERbody"/>
        </w:rPr>
        <w:t xml:space="preserve"> </w:t>
      </w:r>
      <w:r>
        <w:rPr>
          <w:rStyle w:val="AERbody"/>
        </w:rPr>
        <w:t>face</w:t>
      </w:r>
      <w:r w:rsidRPr="003F42E3">
        <w:rPr>
          <w:rStyle w:val="AERbody"/>
        </w:rPr>
        <w:t xml:space="preserve"> </w:t>
      </w:r>
      <w:r w:rsidRPr="00484FC7">
        <w:rPr>
          <w:rStyle w:val="AERbody"/>
        </w:rPr>
        <w:t>in the normal course of operating the network</w:t>
      </w:r>
      <w:r w:rsidR="0037354F">
        <w:rPr>
          <w:rStyle w:val="AERbody"/>
        </w:rPr>
        <w:t>. This</w:t>
      </w:r>
      <w:r w:rsidR="008A2A7C">
        <w:rPr>
          <w:rStyle w:val="AERbody"/>
        </w:rPr>
        <w:t xml:space="preserve"> is captured within the base opex component of the forecast.</w:t>
      </w:r>
    </w:p>
    <w:p w:rsidR="00A474ED" w:rsidRDefault="00A474ED" w:rsidP="004E7902">
      <w:pPr>
        <w:pStyle w:val="Heading4"/>
      </w:pPr>
      <w:bookmarkStart w:id="52" w:name="_Toc480809668"/>
      <w:r>
        <w:lastRenderedPageBreak/>
        <w:t>Category specific forecasts</w:t>
      </w:r>
      <w:bookmarkEnd w:id="52"/>
    </w:p>
    <w:p w:rsidR="005F117A" w:rsidRDefault="005F117A" w:rsidP="005F117A">
      <w:r>
        <w:t>Our preferred forecasting</w:t>
      </w:r>
      <w:r w:rsidR="00536E8B">
        <w:t xml:space="preserve"> approach is to apply the base–</w:t>
      </w:r>
      <w:r>
        <w:t>step</w:t>
      </w:r>
      <w:r w:rsidR="00536E8B">
        <w:t>–</w:t>
      </w:r>
      <w:r>
        <w:t>trend approach described in section</w:t>
      </w:r>
      <w:r w:rsidR="004838AE">
        <w:t> 7.4.</w:t>
      </w:r>
      <w:r w:rsidR="004F52EA">
        <w:t>2</w:t>
      </w:r>
      <w:r>
        <w:t>. Typically, however, there are a few categories of opex we do</w:t>
      </w:r>
      <w:r w:rsidR="00B75DAE">
        <w:t xml:space="preserve"> </w:t>
      </w:r>
      <w:r>
        <w:t>n</w:t>
      </w:r>
      <w:r w:rsidR="00B75DAE">
        <w:t>o</w:t>
      </w:r>
      <w:r>
        <w:t>t include in our base</w:t>
      </w:r>
      <w:r w:rsidR="00536E8B">
        <w:t>–</w:t>
      </w:r>
      <w:r>
        <w:t>step</w:t>
      </w:r>
      <w:r w:rsidR="00536E8B">
        <w:t>–</w:t>
      </w:r>
      <w:r>
        <w:t>trend forecast which we include as category specific forecasts instead.</w:t>
      </w:r>
    </w:p>
    <w:p w:rsidR="005F117A" w:rsidRDefault="006E71CD" w:rsidP="005F117A">
      <w:r>
        <w:t xml:space="preserve">We have </w:t>
      </w:r>
      <w:r w:rsidR="005F117A">
        <w:t>include</w:t>
      </w:r>
      <w:r>
        <w:t>d</w:t>
      </w:r>
      <w:r w:rsidR="005F117A">
        <w:t xml:space="preserve"> category specific forecasts for </w:t>
      </w:r>
      <w:r w:rsidR="005F117A" w:rsidRPr="00243734">
        <w:rPr>
          <w:rStyle w:val="AERbody"/>
        </w:rPr>
        <w:t>easement land tax, debt raising costs</w:t>
      </w:r>
      <w:r w:rsidR="005F117A">
        <w:rPr>
          <w:rStyle w:val="AERbody"/>
        </w:rPr>
        <w:t xml:space="preserve"> and opex associated with the roll in of</w:t>
      </w:r>
      <w:r w:rsidR="005F117A" w:rsidRPr="00243734">
        <w:t xml:space="preserve"> </w:t>
      </w:r>
      <w:r w:rsidR="005F117A">
        <w:t>group 3 assets</w:t>
      </w:r>
      <w:r>
        <w:t xml:space="preserve"> in our final decision opex forecast</w:t>
      </w:r>
      <w:r w:rsidR="005F117A">
        <w:t xml:space="preserve">. </w:t>
      </w:r>
      <w:r w:rsidR="0048417A">
        <w:t xml:space="preserve">These are set out in </w:t>
      </w:r>
      <w:r w:rsidR="00FE3B10">
        <w:fldChar w:fldCharType="begin"/>
      </w:r>
      <w:r w:rsidR="00FE3B10">
        <w:instrText xml:space="preserve"> REF  _Ref470107429 \* Lower \h </w:instrText>
      </w:r>
      <w:r w:rsidR="00FE3B10">
        <w:fldChar w:fldCharType="separate"/>
      </w:r>
      <w:r w:rsidR="00EE3368">
        <w:t>T</w:t>
      </w:r>
      <w:r w:rsidR="003042CF">
        <w:t xml:space="preserve">able </w:t>
      </w:r>
      <w:r w:rsidR="003042CF">
        <w:rPr>
          <w:noProof/>
        </w:rPr>
        <w:t>7</w:t>
      </w:r>
      <w:r w:rsidR="003042CF">
        <w:t>.</w:t>
      </w:r>
      <w:r w:rsidR="003042CF">
        <w:rPr>
          <w:noProof/>
        </w:rPr>
        <w:t>5</w:t>
      </w:r>
      <w:r w:rsidR="00FE3B10">
        <w:fldChar w:fldCharType="end"/>
      </w:r>
      <w:r w:rsidR="0048417A">
        <w:t xml:space="preserve">. </w:t>
      </w:r>
      <w:r w:rsidR="005F117A">
        <w:rPr>
          <w:rStyle w:val="AERbody"/>
        </w:rPr>
        <w:t xml:space="preserve">We </w:t>
      </w:r>
      <w:r>
        <w:rPr>
          <w:rStyle w:val="AERbody"/>
        </w:rPr>
        <w:t xml:space="preserve">have </w:t>
      </w:r>
      <w:r w:rsidR="005F117A">
        <w:rPr>
          <w:rStyle w:val="AERbody"/>
        </w:rPr>
        <w:t xml:space="preserve">not </w:t>
      </w:r>
      <w:r w:rsidR="005F117A">
        <w:t>include</w:t>
      </w:r>
      <w:r>
        <w:t>d</w:t>
      </w:r>
      <w:r w:rsidR="005F117A" w:rsidRPr="00FD45B4">
        <w:t xml:space="preserve"> a category specific forecast</w:t>
      </w:r>
      <w:r w:rsidR="005F117A">
        <w:t xml:space="preserve"> for self-insurance. We discuss our reasons below.</w:t>
      </w:r>
    </w:p>
    <w:p w:rsidR="009A5C16" w:rsidRDefault="009A5C16" w:rsidP="009A5C16">
      <w:pPr>
        <w:pStyle w:val="Caption"/>
      </w:pPr>
      <w:bookmarkStart w:id="53" w:name="_Ref470107429"/>
      <w:r>
        <w:t xml:space="preserve">Table </w:t>
      </w:r>
      <w:fldSimple w:instr=" STYLEREF 1 \s ">
        <w:r w:rsidR="003042CF">
          <w:rPr>
            <w:noProof/>
          </w:rPr>
          <w:t>7</w:t>
        </w:r>
      </w:fldSimple>
      <w:r w:rsidR="00F97ECA">
        <w:t>.</w:t>
      </w:r>
      <w:r w:rsidR="00EE752B">
        <w:fldChar w:fldCharType="begin"/>
      </w:r>
      <w:r w:rsidR="00EE752B">
        <w:instrText xml:space="preserve"> SEQ Table \* ARABIC \s 1 </w:instrText>
      </w:r>
      <w:r w:rsidR="00EE752B">
        <w:fldChar w:fldCharType="separate"/>
      </w:r>
      <w:r w:rsidR="003042CF">
        <w:rPr>
          <w:noProof/>
        </w:rPr>
        <w:t>5</w:t>
      </w:r>
      <w:r w:rsidR="00EE752B">
        <w:rPr>
          <w:noProof/>
        </w:rPr>
        <w:fldChar w:fldCharType="end"/>
      </w:r>
      <w:bookmarkEnd w:id="53"/>
      <w:r>
        <w:tab/>
        <w:t>Final</w:t>
      </w:r>
      <w:r w:rsidRPr="00CD1D8B">
        <w:t xml:space="preserve"> position on </w:t>
      </w:r>
      <w:r>
        <w:t>category specific forecasts</w:t>
      </w:r>
      <w:r w:rsidRPr="00CD1D8B">
        <w:t xml:space="preserve"> </w:t>
      </w:r>
      <w:r w:rsidR="0048417A">
        <w:t>  </w:t>
      </w:r>
      <w:r w:rsidRPr="00CD1D8B">
        <w:t>($ million, 20</w:t>
      </w:r>
      <w:r w:rsidR="0048417A">
        <w:t>16</w:t>
      </w:r>
      <w:r w:rsidRPr="00CD1D8B">
        <w:t>–</w:t>
      </w:r>
      <w:r w:rsidR="0048417A">
        <w:t>17</w:t>
      </w:r>
      <w:r w:rsidRPr="00CD1D8B">
        <w:t>)</w:t>
      </w:r>
    </w:p>
    <w:tbl>
      <w:tblPr>
        <w:tblStyle w:val="AERtable-numbers"/>
        <w:tblW w:w="5000" w:type="pct"/>
        <w:tblLook w:val="04A0" w:firstRow="1" w:lastRow="0" w:firstColumn="1" w:lastColumn="0" w:noHBand="0" w:noVBand="1"/>
      </w:tblPr>
      <w:tblGrid>
        <w:gridCol w:w="2798"/>
        <w:gridCol w:w="976"/>
        <w:gridCol w:w="976"/>
        <w:gridCol w:w="976"/>
        <w:gridCol w:w="975"/>
        <w:gridCol w:w="975"/>
        <w:gridCol w:w="1017"/>
      </w:tblGrid>
      <w:tr w:rsidR="009A5C16" w:rsidTr="006C5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rsidR="009A5C16" w:rsidRDefault="009A5C16" w:rsidP="009A5C16"/>
        </w:tc>
        <w:tc>
          <w:tcPr>
            <w:tcW w:w="561" w:type="pct"/>
          </w:tcPr>
          <w:p w:rsidR="009A5C16" w:rsidRPr="009A5C16" w:rsidRDefault="009A5C16" w:rsidP="009A5C16">
            <w:pPr>
              <w:cnfStyle w:val="100000000000" w:firstRow="1" w:lastRow="0" w:firstColumn="0" w:lastColumn="0" w:oddVBand="0" w:evenVBand="0" w:oddHBand="0" w:evenHBand="0" w:firstRowFirstColumn="0" w:firstRowLastColumn="0" w:lastRowFirstColumn="0" w:lastRowLastColumn="0"/>
            </w:pPr>
            <w:r>
              <w:t>2016</w:t>
            </w:r>
          </w:p>
        </w:tc>
        <w:tc>
          <w:tcPr>
            <w:tcW w:w="561" w:type="pct"/>
          </w:tcPr>
          <w:p w:rsidR="009A5C16" w:rsidRPr="009A5C16" w:rsidRDefault="009A5C16" w:rsidP="009A5C16">
            <w:pPr>
              <w:cnfStyle w:val="100000000000" w:firstRow="1" w:lastRow="0" w:firstColumn="0" w:lastColumn="0" w:oddVBand="0" w:evenVBand="0" w:oddHBand="0" w:evenHBand="0" w:firstRowFirstColumn="0" w:firstRowLastColumn="0" w:lastRowFirstColumn="0" w:lastRowLastColumn="0"/>
            </w:pPr>
            <w:r>
              <w:t>2017</w:t>
            </w:r>
          </w:p>
        </w:tc>
        <w:tc>
          <w:tcPr>
            <w:tcW w:w="561" w:type="pct"/>
          </w:tcPr>
          <w:p w:rsidR="009A5C16" w:rsidRPr="009A5C16" w:rsidRDefault="009A5C16" w:rsidP="009A5C16">
            <w:pPr>
              <w:cnfStyle w:val="100000000000" w:firstRow="1" w:lastRow="0" w:firstColumn="0" w:lastColumn="0" w:oddVBand="0" w:evenVBand="0" w:oddHBand="0" w:evenHBand="0" w:firstRowFirstColumn="0" w:firstRowLastColumn="0" w:lastRowFirstColumn="0" w:lastRowLastColumn="0"/>
            </w:pPr>
            <w:r>
              <w:t>2018</w:t>
            </w:r>
          </w:p>
        </w:tc>
        <w:tc>
          <w:tcPr>
            <w:tcW w:w="561" w:type="pct"/>
          </w:tcPr>
          <w:p w:rsidR="009A5C16" w:rsidRPr="009A5C16" w:rsidRDefault="009A5C16" w:rsidP="009A5C16">
            <w:pPr>
              <w:cnfStyle w:val="100000000000" w:firstRow="1" w:lastRow="0" w:firstColumn="0" w:lastColumn="0" w:oddVBand="0" w:evenVBand="0" w:oddHBand="0" w:evenHBand="0" w:firstRowFirstColumn="0" w:firstRowLastColumn="0" w:lastRowFirstColumn="0" w:lastRowLastColumn="0"/>
            </w:pPr>
            <w:r>
              <w:t>2019</w:t>
            </w:r>
          </w:p>
        </w:tc>
        <w:tc>
          <w:tcPr>
            <w:tcW w:w="561" w:type="pct"/>
          </w:tcPr>
          <w:p w:rsidR="009A5C16" w:rsidRPr="009A5C16" w:rsidRDefault="009A5C16" w:rsidP="009A5C16">
            <w:pPr>
              <w:cnfStyle w:val="100000000000" w:firstRow="1" w:lastRow="0" w:firstColumn="0" w:lastColumn="0" w:oddVBand="0" w:evenVBand="0" w:oddHBand="0" w:evenHBand="0" w:firstRowFirstColumn="0" w:firstRowLastColumn="0" w:lastRowFirstColumn="0" w:lastRowLastColumn="0"/>
            </w:pPr>
            <w:r>
              <w:t>2020</w:t>
            </w:r>
          </w:p>
        </w:tc>
        <w:tc>
          <w:tcPr>
            <w:tcW w:w="585" w:type="pct"/>
          </w:tcPr>
          <w:p w:rsidR="009A5C16" w:rsidRPr="009A5C16" w:rsidRDefault="009A5C16" w:rsidP="009A5C16">
            <w:pPr>
              <w:cnfStyle w:val="100000000000" w:firstRow="1" w:lastRow="0" w:firstColumn="0" w:lastColumn="0" w:oddVBand="0" w:evenVBand="0" w:oddHBand="0" w:evenHBand="0" w:firstRowFirstColumn="0" w:firstRowLastColumn="0" w:lastRowFirstColumn="0" w:lastRowLastColumn="0"/>
            </w:pPr>
            <w:r>
              <w:t>Total</w:t>
            </w:r>
          </w:p>
        </w:tc>
      </w:tr>
      <w:tr w:rsidR="009A5C16" w:rsidTr="006C5824">
        <w:tc>
          <w:tcPr>
            <w:cnfStyle w:val="001000000000" w:firstRow="0" w:lastRow="0" w:firstColumn="1" w:lastColumn="0" w:oddVBand="0" w:evenVBand="0" w:oddHBand="0" w:evenHBand="0" w:firstRowFirstColumn="0" w:firstRowLastColumn="0" w:lastRowFirstColumn="0" w:lastRowLastColumn="0"/>
            <w:tcW w:w="1609" w:type="pct"/>
          </w:tcPr>
          <w:p w:rsidR="009A5C16" w:rsidRPr="009A5C16" w:rsidRDefault="0048417A" w:rsidP="009A5C16">
            <w:r>
              <w:t>Easement land tax</w:t>
            </w:r>
            <w:r w:rsidR="00F800D9">
              <w:t>*</w:t>
            </w:r>
          </w:p>
        </w:tc>
        <w:tc>
          <w:tcPr>
            <w:tcW w:w="561" w:type="pct"/>
          </w:tcPr>
          <w:p w:rsidR="009A5C16" w:rsidRPr="00587369" w:rsidRDefault="00F800D9" w:rsidP="009A5C16">
            <w:pPr>
              <w:cnfStyle w:val="000000000000" w:firstRow="0" w:lastRow="0" w:firstColumn="0" w:lastColumn="0" w:oddVBand="0" w:evenVBand="0" w:oddHBand="0" w:evenHBand="0" w:firstRowFirstColumn="0" w:firstRowLastColumn="0" w:lastRowFirstColumn="0" w:lastRowLastColumn="0"/>
            </w:pPr>
            <w:r>
              <w:t>135.0</w:t>
            </w:r>
          </w:p>
        </w:tc>
        <w:tc>
          <w:tcPr>
            <w:tcW w:w="561" w:type="pct"/>
          </w:tcPr>
          <w:p w:rsidR="009A5C16" w:rsidRPr="00587369" w:rsidRDefault="00F800D9" w:rsidP="009A5C16">
            <w:pPr>
              <w:cnfStyle w:val="000000000000" w:firstRow="0" w:lastRow="0" w:firstColumn="0" w:lastColumn="0" w:oddVBand="0" w:evenVBand="0" w:oddHBand="0" w:evenHBand="0" w:firstRowFirstColumn="0" w:firstRowLastColumn="0" w:lastRowFirstColumn="0" w:lastRowLastColumn="0"/>
            </w:pPr>
            <w:r>
              <w:t>135.0</w:t>
            </w:r>
          </w:p>
        </w:tc>
        <w:tc>
          <w:tcPr>
            <w:tcW w:w="561" w:type="pct"/>
          </w:tcPr>
          <w:p w:rsidR="009A5C16" w:rsidRPr="00587369" w:rsidRDefault="00F800D9" w:rsidP="009A5C16">
            <w:pPr>
              <w:cnfStyle w:val="000000000000" w:firstRow="0" w:lastRow="0" w:firstColumn="0" w:lastColumn="0" w:oddVBand="0" w:evenVBand="0" w:oddHBand="0" w:evenHBand="0" w:firstRowFirstColumn="0" w:firstRowLastColumn="0" w:lastRowFirstColumn="0" w:lastRowLastColumn="0"/>
            </w:pPr>
            <w:r>
              <w:t>135.0</w:t>
            </w:r>
          </w:p>
        </w:tc>
        <w:tc>
          <w:tcPr>
            <w:tcW w:w="561" w:type="pct"/>
          </w:tcPr>
          <w:p w:rsidR="009A5C16" w:rsidRPr="00587369" w:rsidRDefault="00F800D9" w:rsidP="009A5C16">
            <w:pPr>
              <w:cnfStyle w:val="000000000000" w:firstRow="0" w:lastRow="0" w:firstColumn="0" w:lastColumn="0" w:oddVBand="0" w:evenVBand="0" w:oddHBand="0" w:evenHBand="0" w:firstRowFirstColumn="0" w:firstRowLastColumn="0" w:lastRowFirstColumn="0" w:lastRowLastColumn="0"/>
            </w:pPr>
            <w:r>
              <w:t>135.0</w:t>
            </w:r>
          </w:p>
        </w:tc>
        <w:tc>
          <w:tcPr>
            <w:tcW w:w="561" w:type="pct"/>
          </w:tcPr>
          <w:p w:rsidR="009A5C16" w:rsidRPr="00587369" w:rsidRDefault="00F800D9" w:rsidP="009A5C16">
            <w:pPr>
              <w:cnfStyle w:val="000000000000" w:firstRow="0" w:lastRow="0" w:firstColumn="0" w:lastColumn="0" w:oddVBand="0" w:evenVBand="0" w:oddHBand="0" w:evenHBand="0" w:firstRowFirstColumn="0" w:firstRowLastColumn="0" w:lastRowFirstColumn="0" w:lastRowLastColumn="0"/>
            </w:pPr>
            <w:r>
              <w:t>135.0</w:t>
            </w:r>
          </w:p>
        </w:tc>
        <w:tc>
          <w:tcPr>
            <w:tcW w:w="585" w:type="pct"/>
          </w:tcPr>
          <w:p w:rsidR="009A5C16" w:rsidRPr="00587369" w:rsidRDefault="00F800D9" w:rsidP="009A5C1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675.1</w:t>
            </w:r>
          </w:p>
        </w:tc>
      </w:tr>
      <w:tr w:rsidR="0048417A" w:rsidTr="006C58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rsidR="0048417A" w:rsidRPr="0048417A" w:rsidRDefault="0048417A" w:rsidP="0048417A">
            <w:r w:rsidRPr="0048417A">
              <w:t>Debt raising costs</w:t>
            </w:r>
          </w:p>
        </w:tc>
        <w:tc>
          <w:tcPr>
            <w:tcW w:w="561" w:type="pct"/>
            <w:vAlign w:val="top"/>
          </w:tcPr>
          <w:p w:rsidR="0048417A" w:rsidRPr="0048417A" w:rsidRDefault="0048417A" w:rsidP="006C5824">
            <w:pPr>
              <w:cnfStyle w:val="000000010000" w:firstRow="0" w:lastRow="0" w:firstColumn="0" w:lastColumn="0" w:oddVBand="0" w:evenVBand="0" w:oddHBand="0" w:evenHBand="1" w:firstRowFirstColumn="0" w:firstRowLastColumn="0" w:lastRowFirstColumn="0" w:lastRowLastColumn="0"/>
            </w:pPr>
            <w:r w:rsidRPr="0048417A">
              <w:t>1.6</w:t>
            </w:r>
          </w:p>
        </w:tc>
        <w:tc>
          <w:tcPr>
            <w:tcW w:w="561" w:type="pct"/>
            <w:vAlign w:val="top"/>
          </w:tcPr>
          <w:p w:rsidR="0048417A" w:rsidRPr="0048417A" w:rsidRDefault="0048417A" w:rsidP="006C5824">
            <w:pPr>
              <w:cnfStyle w:val="000000010000" w:firstRow="0" w:lastRow="0" w:firstColumn="0" w:lastColumn="0" w:oddVBand="0" w:evenVBand="0" w:oddHBand="0" w:evenHBand="1" w:firstRowFirstColumn="0" w:firstRowLastColumn="0" w:lastRowFirstColumn="0" w:lastRowLastColumn="0"/>
            </w:pPr>
            <w:r w:rsidRPr="0048417A">
              <w:t>1.6</w:t>
            </w:r>
          </w:p>
        </w:tc>
        <w:tc>
          <w:tcPr>
            <w:tcW w:w="561" w:type="pct"/>
            <w:vAlign w:val="top"/>
          </w:tcPr>
          <w:p w:rsidR="0048417A" w:rsidRPr="0048417A" w:rsidRDefault="0048417A" w:rsidP="006C5824">
            <w:pPr>
              <w:cnfStyle w:val="000000010000" w:firstRow="0" w:lastRow="0" w:firstColumn="0" w:lastColumn="0" w:oddVBand="0" w:evenVBand="0" w:oddHBand="0" w:evenHBand="1" w:firstRowFirstColumn="0" w:firstRowLastColumn="0" w:lastRowFirstColumn="0" w:lastRowLastColumn="0"/>
            </w:pPr>
            <w:r w:rsidRPr="0048417A">
              <w:t>1.</w:t>
            </w:r>
            <w:r>
              <w:t>6</w:t>
            </w:r>
          </w:p>
        </w:tc>
        <w:tc>
          <w:tcPr>
            <w:tcW w:w="561" w:type="pct"/>
            <w:vAlign w:val="top"/>
          </w:tcPr>
          <w:p w:rsidR="0048417A" w:rsidRPr="0048417A" w:rsidRDefault="0048417A" w:rsidP="00C30612">
            <w:pPr>
              <w:cnfStyle w:val="000000010000" w:firstRow="0" w:lastRow="0" w:firstColumn="0" w:lastColumn="0" w:oddVBand="0" w:evenVBand="0" w:oddHBand="0" w:evenHBand="1" w:firstRowFirstColumn="0" w:firstRowLastColumn="0" w:lastRowFirstColumn="0" w:lastRowLastColumn="0"/>
            </w:pPr>
            <w:r w:rsidRPr="0048417A">
              <w:t>1.</w:t>
            </w:r>
            <w:r w:rsidR="00C30612">
              <w:t>6</w:t>
            </w:r>
          </w:p>
        </w:tc>
        <w:tc>
          <w:tcPr>
            <w:tcW w:w="561" w:type="pct"/>
            <w:vAlign w:val="top"/>
          </w:tcPr>
          <w:p w:rsidR="0048417A" w:rsidRPr="0048417A" w:rsidRDefault="0048417A" w:rsidP="006C5824">
            <w:pPr>
              <w:cnfStyle w:val="000000010000" w:firstRow="0" w:lastRow="0" w:firstColumn="0" w:lastColumn="0" w:oddVBand="0" w:evenVBand="0" w:oddHBand="0" w:evenHBand="1" w:firstRowFirstColumn="0" w:firstRowLastColumn="0" w:lastRowFirstColumn="0" w:lastRowLastColumn="0"/>
            </w:pPr>
            <w:r w:rsidRPr="0048417A">
              <w:t>1.5</w:t>
            </w:r>
          </w:p>
        </w:tc>
        <w:tc>
          <w:tcPr>
            <w:tcW w:w="585" w:type="pct"/>
            <w:vAlign w:val="top"/>
          </w:tcPr>
          <w:p w:rsidR="0048417A" w:rsidRPr="004838AE" w:rsidRDefault="0048417A" w:rsidP="006C5824">
            <w:pPr>
              <w:cnfStyle w:val="000000010000" w:firstRow="0" w:lastRow="0" w:firstColumn="0" w:lastColumn="0" w:oddVBand="0" w:evenVBand="0" w:oddHBand="0" w:evenHBand="1" w:firstRowFirstColumn="0" w:firstRowLastColumn="0" w:lastRowFirstColumn="0" w:lastRowLastColumn="0"/>
              <w:rPr>
                <w:rStyle w:val="Strong"/>
              </w:rPr>
            </w:pPr>
            <w:r w:rsidRPr="004838AE">
              <w:rPr>
                <w:rStyle w:val="Strong"/>
              </w:rPr>
              <w:t>7.8</w:t>
            </w:r>
          </w:p>
        </w:tc>
      </w:tr>
      <w:tr w:rsidR="009A5C16" w:rsidTr="006C5824">
        <w:tc>
          <w:tcPr>
            <w:cnfStyle w:val="001000000000" w:firstRow="0" w:lastRow="0" w:firstColumn="1" w:lastColumn="0" w:oddVBand="0" w:evenVBand="0" w:oddHBand="0" w:evenHBand="0" w:firstRowFirstColumn="0" w:firstRowLastColumn="0" w:lastRowFirstColumn="0" w:lastRowLastColumn="0"/>
            <w:tcW w:w="1609" w:type="pct"/>
          </w:tcPr>
          <w:p w:rsidR="009A5C16" w:rsidRPr="009A5C16" w:rsidRDefault="0048417A" w:rsidP="009A5C16">
            <w:r>
              <w:t>Group 3 assets roll in</w:t>
            </w:r>
          </w:p>
        </w:tc>
        <w:tc>
          <w:tcPr>
            <w:tcW w:w="561" w:type="pct"/>
            <w:vAlign w:val="bottom"/>
          </w:tcPr>
          <w:p w:rsidR="009A5C16" w:rsidRPr="00587369" w:rsidRDefault="0048417A" w:rsidP="00E56951">
            <w:pPr>
              <w:cnfStyle w:val="000000000000" w:firstRow="0" w:lastRow="0" w:firstColumn="0" w:lastColumn="0" w:oddVBand="0" w:evenVBand="0" w:oddHBand="0" w:evenHBand="0" w:firstRowFirstColumn="0" w:firstRowLastColumn="0" w:lastRowFirstColumn="0" w:lastRowLastColumn="0"/>
            </w:pPr>
            <w:r>
              <w:t>2.</w:t>
            </w:r>
            <w:r w:rsidR="00E56951">
              <w:t>1</w:t>
            </w:r>
          </w:p>
        </w:tc>
        <w:tc>
          <w:tcPr>
            <w:tcW w:w="561" w:type="pct"/>
            <w:vAlign w:val="bottom"/>
          </w:tcPr>
          <w:p w:rsidR="009A5C16" w:rsidRPr="00587369" w:rsidRDefault="0048417A" w:rsidP="009A5C16">
            <w:pPr>
              <w:cnfStyle w:val="000000000000" w:firstRow="0" w:lastRow="0" w:firstColumn="0" w:lastColumn="0" w:oddVBand="0" w:evenVBand="0" w:oddHBand="0" w:evenHBand="0" w:firstRowFirstColumn="0" w:firstRowLastColumn="0" w:lastRowFirstColumn="0" w:lastRowLastColumn="0"/>
            </w:pPr>
            <w:r>
              <w:t>2.</w:t>
            </w:r>
            <w:r w:rsidR="00E56951">
              <w:t>1</w:t>
            </w:r>
          </w:p>
        </w:tc>
        <w:tc>
          <w:tcPr>
            <w:tcW w:w="561" w:type="pct"/>
            <w:vAlign w:val="bottom"/>
          </w:tcPr>
          <w:p w:rsidR="009A5C16" w:rsidRPr="00587369" w:rsidRDefault="0048417A" w:rsidP="009A5C16">
            <w:pPr>
              <w:cnfStyle w:val="000000000000" w:firstRow="0" w:lastRow="0" w:firstColumn="0" w:lastColumn="0" w:oddVBand="0" w:evenVBand="0" w:oddHBand="0" w:evenHBand="0" w:firstRowFirstColumn="0" w:firstRowLastColumn="0" w:lastRowFirstColumn="0" w:lastRowLastColumn="0"/>
            </w:pPr>
            <w:r>
              <w:t>2.</w:t>
            </w:r>
            <w:r w:rsidR="00E56951">
              <w:t>1</w:t>
            </w:r>
          </w:p>
        </w:tc>
        <w:tc>
          <w:tcPr>
            <w:tcW w:w="561" w:type="pct"/>
            <w:vAlign w:val="bottom"/>
          </w:tcPr>
          <w:p w:rsidR="009A5C16" w:rsidRPr="00587369" w:rsidRDefault="0048417A" w:rsidP="009A5C16">
            <w:pPr>
              <w:cnfStyle w:val="000000000000" w:firstRow="0" w:lastRow="0" w:firstColumn="0" w:lastColumn="0" w:oddVBand="0" w:evenVBand="0" w:oddHBand="0" w:evenHBand="0" w:firstRowFirstColumn="0" w:firstRowLastColumn="0" w:lastRowFirstColumn="0" w:lastRowLastColumn="0"/>
            </w:pPr>
            <w:r>
              <w:t>2.</w:t>
            </w:r>
            <w:r w:rsidR="00E56951">
              <w:t>1</w:t>
            </w:r>
          </w:p>
        </w:tc>
        <w:tc>
          <w:tcPr>
            <w:tcW w:w="561" w:type="pct"/>
            <w:vAlign w:val="bottom"/>
          </w:tcPr>
          <w:p w:rsidR="009A5C16" w:rsidRPr="00587369" w:rsidRDefault="0048417A" w:rsidP="009A5C16">
            <w:pPr>
              <w:cnfStyle w:val="000000000000" w:firstRow="0" w:lastRow="0" w:firstColumn="0" w:lastColumn="0" w:oddVBand="0" w:evenVBand="0" w:oddHBand="0" w:evenHBand="0" w:firstRowFirstColumn="0" w:firstRowLastColumn="0" w:lastRowFirstColumn="0" w:lastRowLastColumn="0"/>
            </w:pPr>
            <w:r>
              <w:t>2.</w:t>
            </w:r>
            <w:r w:rsidR="00E56951">
              <w:t>1</w:t>
            </w:r>
          </w:p>
        </w:tc>
        <w:tc>
          <w:tcPr>
            <w:tcW w:w="585" w:type="pct"/>
            <w:vAlign w:val="bottom"/>
          </w:tcPr>
          <w:p w:rsidR="009A5C16" w:rsidRPr="00587369" w:rsidRDefault="0048417A" w:rsidP="009A5C1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w:t>
            </w:r>
            <w:r w:rsidR="00E56951">
              <w:rPr>
                <w:rStyle w:val="Strong"/>
              </w:rPr>
              <w:t>4</w:t>
            </w:r>
          </w:p>
        </w:tc>
      </w:tr>
    </w:tbl>
    <w:p w:rsidR="009A5C16" w:rsidRDefault="009A5C16" w:rsidP="009A5C16">
      <w:pPr>
        <w:pStyle w:val="Source"/>
      </w:pPr>
      <w:r w:rsidRPr="001B5EA0">
        <w:t xml:space="preserve">Source: </w:t>
      </w:r>
      <w:r>
        <w:tab/>
        <w:t>AusNet Services, Revised revenue proposal 2017–22, September 2016</w:t>
      </w:r>
      <w:r w:rsidR="00E755A5">
        <w:t xml:space="preserve">; State Revenue Office Victoria, 2017 </w:t>
      </w:r>
      <w:r w:rsidR="00E755A5" w:rsidRPr="003D2EDF">
        <w:rPr>
          <w:rStyle w:val="Emphasis"/>
        </w:rPr>
        <w:t>Land tax assessment notice</w:t>
      </w:r>
      <w:r w:rsidR="00E755A5">
        <w:t>, 16 January 2017; AER analysis.</w:t>
      </w:r>
    </w:p>
    <w:p w:rsidR="00E56951" w:rsidRDefault="00E56951" w:rsidP="00E56951">
      <w:pPr>
        <w:pStyle w:val="Source"/>
      </w:pPr>
      <w:r>
        <w:t xml:space="preserve">Note: </w:t>
      </w:r>
      <w:r>
        <w:tab/>
      </w:r>
      <w:r w:rsidR="00F800D9">
        <w:t xml:space="preserve">*Reflects 16 January 2017 land tax assessment notice. </w:t>
      </w:r>
      <w:r>
        <w:t>Numbers may not add up due to rounding.</w:t>
      </w:r>
    </w:p>
    <w:p w:rsidR="005F117A" w:rsidRPr="00F20A59" w:rsidRDefault="005F117A" w:rsidP="00A2711C">
      <w:pPr>
        <w:pStyle w:val="HeadingBoldItalic"/>
      </w:pPr>
      <w:bookmarkStart w:id="54" w:name="_Toc468804123"/>
      <w:bookmarkStart w:id="55" w:name="_Toc480809669"/>
      <w:r w:rsidRPr="00F20A59">
        <w:t>Easement land tax</w:t>
      </w:r>
      <w:bookmarkEnd w:id="54"/>
      <w:bookmarkEnd w:id="55"/>
    </w:p>
    <w:p w:rsidR="005F117A" w:rsidRDefault="005F117A" w:rsidP="005F117A">
      <w:r>
        <w:t>Our final decision, consistent with o</w:t>
      </w:r>
      <w:r w:rsidRPr="00703B51">
        <w:t>ur draft decision</w:t>
      </w:r>
      <w:r>
        <w:t>,</w:t>
      </w:r>
      <w:r w:rsidRPr="00703B51">
        <w:t xml:space="preserve"> </w:t>
      </w:r>
      <w:r>
        <w:t>is</w:t>
      </w:r>
      <w:r w:rsidRPr="00703B51">
        <w:t xml:space="preserve"> to apply a category specific forecast </w:t>
      </w:r>
      <w:r>
        <w:t>for easement land tax based on AusNet Services' most recent tax assessment notice</w:t>
      </w:r>
      <w:r w:rsidRPr="00703B51">
        <w:t>.</w:t>
      </w:r>
    </w:p>
    <w:p w:rsidR="005F117A" w:rsidRPr="00F20A59" w:rsidRDefault="005F117A" w:rsidP="005F117A">
      <w:r w:rsidRPr="00F20A59">
        <w:t xml:space="preserve">AusNet Services' network is built on a series of easements, which are subject to the Victorian Government's easements land tax. Where the forecast we include in our opex forecast differs (higher or lower) from the actual tax paid, AusNet Services is </w:t>
      </w:r>
      <w:r w:rsidR="009C6000">
        <w:t>required</w:t>
      </w:r>
      <w:r w:rsidRPr="00F20A59">
        <w:t xml:space="preserve"> to apply for a cost pass through.</w:t>
      </w:r>
      <w:r w:rsidR="009C6000">
        <w:rPr>
          <w:rStyle w:val="FootnoteReference"/>
        </w:rPr>
        <w:footnoteReference w:id="144"/>
      </w:r>
      <w:r w:rsidRPr="00F20A59">
        <w:t xml:space="preserve"> </w:t>
      </w:r>
      <w:r w:rsidR="00FE3B10">
        <w:t>To apply this pass through we need an explicit forecast of these costs.</w:t>
      </w:r>
    </w:p>
    <w:p w:rsidR="005F117A" w:rsidRDefault="005F117A" w:rsidP="005F117A">
      <w:r>
        <w:t xml:space="preserve">In its initial proposal, </w:t>
      </w:r>
      <w:r w:rsidRPr="00F20A59">
        <w:t>AusNet Services proposed an easement land tax forecast</w:t>
      </w:r>
      <w:r w:rsidR="00D9047D">
        <w:t xml:space="preserve"> of $</w:t>
      </w:r>
      <w:r w:rsidR="009C6000">
        <w:t>571.</w:t>
      </w:r>
      <w:r w:rsidR="004838AE">
        <w:t>6</w:t>
      </w:r>
      <w:r w:rsidR="00D9047D">
        <w:t xml:space="preserve"> million </w:t>
      </w:r>
      <w:r w:rsidR="009C6000">
        <w:t xml:space="preserve">($2016–17) </w:t>
      </w:r>
      <w:r w:rsidR="00D9047D">
        <w:t>for the 2017–22 regulatory control period</w:t>
      </w:r>
      <w:r w:rsidRPr="00F20A59">
        <w:t xml:space="preserve"> based on its </w:t>
      </w:r>
      <w:r w:rsidR="00867E35">
        <w:t xml:space="preserve">then </w:t>
      </w:r>
      <w:r w:rsidRPr="00F20A59">
        <w:t xml:space="preserve">most recent tax assessment notice. </w:t>
      </w:r>
      <w:r>
        <w:t>In our draft decision, w</w:t>
      </w:r>
      <w:r w:rsidRPr="00F20A59">
        <w:t xml:space="preserve">e </w:t>
      </w:r>
      <w:r>
        <w:t>were</w:t>
      </w:r>
      <w:r w:rsidRPr="00F20A59">
        <w:t xml:space="preserve"> satisfied this </w:t>
      </w:r>
      <w:r w:rsidR="009C6000">
        <w:t>was</w:t>
      </w:r>
      <w:r w:rsidRPr="00F20A59">
        <w:t xml:space="preserve"> a reasonable basis to forecast easement land tax.</w:t>
      </w:r>
    </w:p>
    <w:p w:rsidR="005F117A" w:rsidRDefault="005F117A" w:rsidP="005F117A">
      <w:r>
        <w:lastRenderedPageBreak/>
        <w:t>In its revised proposal, AusNet Services accepted our position on easement land tax.</w:t>
      </w:r>
      <w:r>
        <w:rPr>
          <w:rStyle w:val="FootnoteReference"/>
        </w:rPr>
        <w:footnoteReference w:id="145"/>
      </w:r>
      <w:r>
        <w:t xml:space="preserve"> </w:t>
      </w:r>
    </w:p>
    <w:p w:rsidR="00315261" w:rsidRDefault="00315261" w:rsidP="005F117A">
      <w:r>
        <w:t>However, i</w:t>
      </w:r>
      <w:r w:rsidR="00A877D9">
        <w:t xml:space="preserve">n </w:t>
      </w:r>
      <w:r w:rsidR="00000C32">
        <w:t>December</w:t>
      </w:r>
      <w:r w:rsidR="00A877D9">
        <w:t xml:space="preserve">, AusNet Services </w:t>
      </w:r>
      <w:r w:rsidR="00000C32">
        <w:t>received</w:t>
      </w:r>
      <w:r w:rsidR="009C6000">
        <w:t xml:space="preserve"> </w:t>
      </w:r>
      <w:r w:rsidR="00000C32">
        <w:t>its</w:t>
      </w:r>
      <w:r w:rsidR="009C6000">
        <w:t xml:space="preserve"> easement land tax assessment notice </w:t>
      </w:r>
      <w:r w:rsidR="00000C32">
        <w:t xml:space="preserve">for 2017–18 </w:t>
      </w:r>
      <w:r w:rsidR="009C6000">
        <w:t>from</w:t>
      </w:r>
      <w:r w:rsidR="00A877D9">
        <w:t xml:space="preserve"> </w:t>
      </w:r>
      <w:r w:rsidR="00A877D9" w:rsidRPr="00DD615F">
        <w:t>the State Revenue Office of Victoria (SRO</w:t>
      </w:r>
      <w:r w:rsidR="00000C32">
        <w:t xml:space="preserve">) </w:t>
      </w:r>
      <w:r w:rsidR="00867E35">
        <w:t xml:space="preserve">and it </w:t>
      </w:r>
      <w:r w:rsidR="00000C32">
        <w:t xml:space="preserve">was significantly higher than </w:t>
      </w:r>
      <w:r w:rsidR="00867E35">
        <w:t>its previous assessment notice</w:t>
      </w:r>
      <w:r w:rsidR="00000C32">
        <w:t>.</w:t>
      </w:r>
      <w:r w:rsidR="00A877D9" w:rsidRPr="00DD615F">
        <w:t xml:space="preserve"> </w:t>
      </w:r>
      <w:r w:rsidR="00867E35">
        <w:t>The</w:t>
      </w:r>
      <w:r w:rsidR="00A877D9" w:rsidRPr="00DD615F">
        <w:t xml:space="preserve"> easement land tax payable in 2017</w:t>
      </w:r>
      <w:r w:rsidR="005D1CA4">
        <w:t>–</w:t>
      </w:r>
      <w:r w:rsidR="00A877D9" w:rsidRPr="00DD615F">
        <w:t xml:space="preserve">18 </w:t>
      </w:r>
      <w:r w:rsidR="00000C32">
        <w:t>is</w:t>
      </w:r>
      <w:r w:rsidR="00A877D9" w:rsidRPr="00DD615F">
        <w:t xml:space="preserve"> $13</w:t>
      </w:r>
      <w:r w:rsidR="005D1CA4">
        <w:t>6.4</w:t>
      </w:r>
      <w:r w:rsidR="00A877D9" w:rsidRPr="00DD615F">
        <w:t xml:space="preserve"> million</w:t>
      </w:r>
      <w:r w:rsidR="005D1CA4">
        <w:t xml:space="preserve"> ($2017–18)</w:t>
      </w:r>
      <w:r w:rsidR="00000C32">
        <w:t xml:space="preserve"> </w:t>
      </w:r>
      <w:r w:rsidR="00867E35">
        <w:t>or</w:t>
      </w:r>
      <w:r w:rsidR="00A877D9" w:rsidRPr="0003144A">
        <w:t xml:space="preserve"> $2</w:t>
      </w:r>
      <w:r w:rsidR="005D1CA4">
        <w:t>0.7</w:t>
      </w:r>
      <w:r w:rsidR="00A877D9" w:rsidRPr="0003144A">
        <w:t xml:space="preserve"> million (</w:t>
      </w:r>
      <w:r w:rsidR="005D1CA4">
        <w:t>18.1</w:t>
      </w:r>
      <w:r w:rsidR="00A877D9">
        <w:t xml:space="preserve"> per cent</w:t>
      </w:r>
      <w:r w:rsidR="00A877D9" w:rsidRPr="0003144A">
        <w:t xml:space="preserve">) </w:t>
      </w:r>
      <w:r w:rsidR="00000C32">
        <w:t xml:space="preserve">higher than </w:t>
      </w:r>
      <w:r w:rsidR="005D1CA4">
        <w:t>forecast</w:t>
      </w:r>
      <w:r w:rsidR="00A877D9" w:rsidRPr="0003144A">
        <w:t>.</w:t>
      </w:r>
      <w:r w:rsidR="00A877D9">
        <w:rPr>
          <w:rStyle w:val="FootnoteReference"/>
        </w:rPr>
        <w:footnoteReference w:id="146"/>
      </w:r>
      <w:r w:rsidR="00A877D9">
        <w:t xml:space="preserve"> </w:t>
      </w:r>
    </w:p>
    <w:p w:rsidR="00591B7C" w:rsidRDefault="00591B7C" w:rsidP="005F117A">
      <w:r>
        <w:t>Accordingly</w:t>
      </w:r>
      <w:r w:rsidR="00D9047D">
        <w:t>,</w:t>
      </w:r>
      <w:r>
        <w:t xml:space="preserve"> our final decision forecast of easement land tax is </w:t>
      </w:r>
      <w:r w:rsidR="00D9047D">
        <w:t>$</w:t>
      </w:r>
      <w:r w:rsidR="006A5386">
        <w:t xml:space="preserve">103.5 </w:t>
      </w:r>
      <w:r>
        <w:t xml:space="preserve">million </w:t>
      </w:r>
      <w:r w:rsidR="00B4061C">
        <w:br/>
      </w:r>
      <w:r w:rsidR="006A5386">
        <w:t xml:space="preserve">($2016–17) </w:t>
      </w:r>
      <w:r>
        <w:t>higher than the forecast included in our draft decision and AusNet Services' revised proposal</w:t>
      </w:r>
      <w:r w:rsidR="00D9047D">
        <w:t xml:space="preserve"> for the 2017–22 regulatory control period</w:t>
      </w:r>
      <w:r>
        <w:t>.</w:t>
      </w:r>
    </w:p>
    <w:p w:rsidR="005F117A" w:rsidRPr="00703B51" w:rsidRDefault="005F117A" w:rsidP="00A2711C">
      <w:pPr>
        <w:pStyle w:val="HeadingBoldItalic"/>
      </w:pPr>
      <w:bookmarkStart w:id="56" w:name="_Toc468804124"/>
      <w:bookmarkStart w:id="57" w:name="_Toc480809670"/>
      <w:r w:rsidRPr="00703B51">
        <w:t>Debt raising costs</w:t>
      </w:r>
      <w:bookmarkEnd w:id="56"/>
      <w:bookmarkEnd w:id="57"/>
    </w:p>
    <w:p w:rsidR="005F117A" w:rsidRPr="00703B51" w:rsidRDefault="005F117A" w:rsidP="005F117A">
      <w:r>
        <w:t>Our final decision, consistent with o</w:t>
      </w:r>
      <w:r w:rsidRPr="00703B51">
        <w:t>ur draft decision</w:t>
      </w:r>
      <w:r w:rsidR="00B77DCE">
        <w:t>,</w:t>
      </w:r>
      <w:r w:rsidRPr="00703B51">
        <w:t xml:space="preserve"> </w:t>
      </w:r>
      <w:r>
        <w:t>is</w:t>
      </w:r>
      <w:r w:rsidRPr="00703B51">
        <w:t xml:space="preserve"> to apply a category specific forecast based on a benchmark for debt raising costs.</w:t>
      </w:r>
    </w:p>
    <w:p w:rsidR="005F117A" w:rsidRPr="00703B51" w:rsidRDefault="005F117A" w:rsidP="005F117A">
      <w:r>
        <w:t xml:space="preserve">In its initial proposal, </w:t>
      </w:r>
      <w:r w:rsidRPr="00703B51">
        <w:t xml:space="preserve">AusNet Services proposed </w:t>
      </w:r>
      <w:r w:rsidR="009A5C16" w:rsidRPr="009A5C16">
        <w:t>forecast</w:t>
      </w:r>
      <w:r w:rsidR="009A5C16">
        <w:t>ing</w:t>
      </w:r>
      <w:r w:rsidR="009A5C16" w:rsidRPr="009A5C16">
        <w:t xml:space="preserve"> its debt raising costs by rolling forward its actual debt raising costs as part of base year opex.</w:t>
      </w:r>
      <w:r w:rsidR="009A5C16">
        <w:rPr>
          <w:rStyle w:val="FootnoteReference"/>
        </w:rPr>
        <w:footnoteReference w:id="147"/>
      </w:r>
    </w:p>
    <w:p w:rsidR="005F117A" w:rsidRDefault="005F117A" w:rsidP="005F117A">
      <w:r w:rsidRPr="00703B51">
        <w:t>However,</w:t>
      </w:r>
      <w:r w:rsidR="00CC5DE3">
        <w:t xml:space="preserve"> consistent with the incentive framework</w:t>
      </w:r>
      <w:r w:rsidR="0037354F">
        <w:t>,</w:t>
      </w:r>
      <w:r w:rsidRPr="00703B51">
        <w:t xml:space="preserve"> our preferred approach is to forecast debt raising costs </w:t>
      </w:r>
      <w:r w:rsidR="00FE3B10">
        <w:t>using</w:t>
      </w:r>
      <w:r w:rsidRPr="00703B51">
        <w:t xml:space="preserve"> a benchmarking approach rather than a service provider’s actual costs in a single year. This provides for consistency with the forecast of the cost of debt in the rate of return building block. We discuss this in the equity and debt raising costs appendix to Attachment 3.</w:t>
      </w:r>
      <w:r>
        <w:t xml:space="preserve"> </w:t>
      </w:r>
    </w:p>
    <w:p w:rsidR="005F117A" w:rsidRDefault="005F117A" w:rsidP="005F117A">
      <w:r>
        <w:t>In its revised proposal, AusNet Services accepted our approach to forecasting debt raising costs and we received no submissions on the issue.</w:t>
      </w:r>
      <w:r>
        <w:rPr>
          <w:rStyle w:val="FootnoteReference"/>
        </w:rPr>
        <w:footnoteReference w:id="148"/>
      </w:r>
    </w:p>
    <w:p w:rsidR="001273D2" w:rsidRPr="006D43BB" w:rsidRDefault="001273D2" w:rsidP="00A2711C">
      <w:pPr>
        <w:pStyle w:val="HeadingBoldItalic"/>
      </w:pPr>
      <w:bookmarkStart w:id="58" w:name="_Toc468804126"/>
      <w:bookmarkStart w:id="59" w:name="_Toc480809671"/>
      <w:r w:rsidRPr="006D43BB">
        <w:t>Group 3 asset roll in</w:t>
      </w:r>
      <w:bookmarkEnd w:id="58"/>
      <w:bookmarkEnd w:id="59"/>
    </w:p>
    <w:p w:rsidR="001273D2" w:rsidRDefault="001273D2" w:rsidP="001273D2">
      <w:r>
        <w:t xml:space="preserve">Our final position </w:t>
      </w:r>
      <w:r w:rsidR="00512828">
        <w:t xml:space="preserve">is </w:t>
      </w:r>
      <w:r>
        <w:t>to include a category specific forecast for the opex associated with group 3 assets</w:t>
      </w:r>
      <w:r w:rsidR="000177EF">
        <w:t>. This</w:t>
      </w:r>
      <w:r>
        <w:t xml:space="preserve"> is consistent with our draft decision.</w:t>
      </w:r>
    </w:p>
    <w:p w:rsidR="001273D2" w:rsidRPr="006D43BB" w:rsidRDefault="001273D2" w:rsidP="001273D2">
      <w:r w:rsidRPr="006D43BB">
        <w:t>During any regulatory control period, AEMO or a distribution business may request AusNet Services to augment the transmission network or distribution connection services. We do not roll these assets into the regulated asset base until the subsequent revenue determination. AusNet Services refer to these assets as ‘group 3 assets’.</w:t>
      </w:r>
    </w:p>
    <w:p w:rsidR="001273D2" w:rsidRPr="006D43BB" w:rsidRDefault="001273D2" w:rsidP="001273D2">
      <w:r w:rsidRPr="006D43BB">
        <w:t xml:space="preserve">The opex associated with group 3 assets is currently charged to customers outside the revenue cap and is not reflected in base opex. Consequently we need to increase our </w:t>
      </w:r>
      <w:r w:rsidRPr="006D43BB">
        <w:lastRenderedPageBreak/>
        <w:t>opex forecast for the additional expenses associated with the operation and maintenance of the group 3 assets that we roll into the RAB. The value of the assets being rolled into the RAB in April 2017 is $99 million ($2016–17).</w:t>
      </w:r>
      <w:r w:rsidR="00506B73">
        <w:rPr>
          <w:rStyle w:val="FootnoteReference"/>
        </w:rPr>
        <w:footnoteReference w:id="149"/>
      </w:r>
    </w:p>
    <w:p w:rsidR="001273D2" w:rsidRPr="006D43BB" w:rsidRDefault="001273D2" w:rsidP="001273D2">
      <w:r>
        <w:t xml:space="preserve">In its initial proposal, </w:t>
      </w:r>
      <w:r w:rsidRPr="006D43BB">
        <w:t>AusNet Services estimate</w:t>
      </w:r>
      <w:r>
        <w:t>d</w:t>
      </w:r>
      <w:r w:rsidRPr="006D43BB">
        <w:t xml:space="preserve"> a percentage increase in total opex associated with these group 3 assets</w:t>
      </w:r>
      <w:r>
        <w:t>. It did this</w:t>
      </w:r>
      <w:r w:rsidRPr="006D43BB">
        <w:t xml:space="preserve"> based on the change in the proportion of i</w:t>
      </w:r>
      <w:r>
        <w:t>ts total asset base related to regulated assets multiplied by a weighted scale factor</w:t>
      </w:r>
      <w:r w:rsidRPr="006D43BB">
        <w:t>.</w:t>
      </w:r>
      <w:r>
        <w:rPr>
          <w:rStyle w:val="FootnoteReference"/>
        </w:rPr>
        <w:footnoteReference w:id="150"/>
      </w:r>
      <w:r w:rsidRPr="006D43BB">
        <w:t xml:space="preserve"> This resulted in a forecast increase in opex of 2.39 per cent in the first year of the 2017–22 regulatory control period, </w:t>
      </w:r>
      <w:r>
        <w:t xml:space="preserve">or </w:t>
      </w:r>
      <w:r w:rsidRPr="006D43BB">
        <w:t>$10 million ($2016–17) over the five year forecast.</w:t>
      </w:r>
    </w:p>
    <w:p w:rsidR="001273D2" w:rsidRPr="006D43BB" w:rsidRDefault="001273D2" w:rsidP="001273D2">
      <w:r>
        <w:t>In our draft decision, while we had</w:t>
      </w:r>
      <w:r w:rsidRPr="006D43BB">
        <w:t xml:space="preserve"> some concerns with AusNet Services' </w:t>
      </w:r>
      <w:r>
        <w:t xml:space="preserve">forecasting </w:t>
      </w:r>
      <w:r w:rsidRPr="006D43BB">
        <w:t xml:space="preserve">approach, we </w:t>
      </w:r>
      <w:r>
        <w:t>were</w:t>
      </w:r>
      <w:r w:rsidRPr="006D43BB">
        <w:t xml:space="preserve"> satisfied that the forecast opex associated with gr</w:t>
      </w:r>
      <w:r>
        <w:t>oup 3 assets reasonably reflected</w:t>
      </w:r>
      <w:r w:rsidRPr="006D43BB">
        <w:t xml:space="preserve"> the efficient costs </w:t>
      </w:r>
      <w:r>
        <w:t>of operating and maintaining tho</w:t>
      </w:r>
      <w:r w:rsidRPr="006D43BB">
        <w:t>se assets.</w:t>
      </w:r>
      <w:r>
        <w:rPr>
          <w:rStyle w:val="FootnoteReference"/>
        </w:rPr>
        <w:footnoteReference w:id="151"/>
      </w:r>
    </w:p>
    <w:p w:rsidR="001273D2" w:rsidRDefault="001273D2" w:rsidP="001273D2">
      <w:r>
        <w:t xml:space="preserve">In its revised proposal, AusNet Services accepted </w:t>
      </w:r>
      <w:r w:rsidR="000177EF">
        <w:t xml:space="preserve">our </w:t>
      </w:r>
      <w:r>
        <w:t>draft d</w:t>
      </w:r>
      <w:r w:rsidRPr="00237C96">
        <w:t xml:space="preserve">ecision on </w:t>
      </w:r>
      <w:r w:rsidR="000177EF">
        <w:t xml:space="preserve">the </w:t>
      </w:r>
      <w:r w:rsidRPr="00237C96">
        <w:t xml:space="preserve">opex </w:t>
      </w:r>
      <w:r>
        <w:t>attributable to the roll in of g</w:t>
      </w:r>
      <w:r w:rsidRPr="00237C96">
        <w:t>roup 3 assets, subject to the application of the approved scale fact</w:t>
      </w:r>
      <w:r>
        <w:t>or to estimated final year opex.</w:t>
      </w:r>
      <w:r>
        <w:rPr>
          <w:rStyle w:val="FootnoteReference"/>
        </w:rPr>
        <w:footnoteReference w:id="152"/>
      </w:r>
      <w:r>
        <w:t xml:space="preserve"> AusNet Services stated we double counted economies of scale in the group </w:t>
      </w:r>
      <w:r w:rsidR="004838AE">
        <w:t xml:space="preserve">3 </w:t>
      </w:r>
      <w:r>
        <w:t xml:space="preserve">asset roll in and when we applied positive productivity in the rate of change we applied to base opex. We address AusNet Services' concerns about double counting economies of scale in the rate of change of section. </w:t>
      </w:r>
    </w:p>
    <w:p w:rsidR="001273D2" w:rsidRDefault="001273D2" w:rsidP="001273D2">
      <w:r>
        <w:t xml:space="preserve">Having considered AusNet Services' revised proposal, our final position is to include a category specific forecast for the opex associated with the roll in of group </w:t>
      </w:r>
      <w:r w:rsidR="00476C05">
        <w:t xml:space="preserve">3 </w:t>
      </w:r>
      <w:r>
        <w:t xml:space="preserve">assets as set out in </w:t>
      </w:r>
      <w:r w:rsidR="00FE3B10">
        <w:fldChar w:fldCharType="begin"/>
      </w:r>
      <w:r w:rsidR="00FE3B10">
        <w:instrText xml:space="preserve"> REF  _Ref470107429 \* Lower \h </w:instrText>
      </w:r>
      <w:r w:rsidR="00FE3B10">
        <w:fldChar w:fldCharType="separate"/>
      </w:r>
      <w:r w:rsidR="00EE3368">
        <w:t>T</w:t>
      </w:r>
      <w:r w:rsidR="003042CF">
        <w:t xml:space="preserve">able </w:t>
      </w:r>
      <w:r w:rsidR="003042CF">
        <w:rPr>
          <w:noProof/>
        </w:rPr>
        <w:t>7</w:t>
      </w:r>
      <w:r w:rsidR="003042CF">
        <w:t>.</w:t>
      </w:r>
      <w:r w:rsidR="003042CF">
        <w:rPr>
          <w:noProof/>
        </w:rPr>
        <w:t>5</w:t>
      </w:r>
      <w:r w:rsidR="00FE3B10">
        <w:fldChar w:fldCharType="end"/>
      </w:r>
      <w:r>
        <w:t>.</w:t>
      </w:r>
    </w:p>
    <w:p w:rsidR="005F117A" w:rsidRDefault="005F117A" w:rsidP="00A2711C">
      <w:pPr>
        <w:pStyle w:val="HeadingBoldItalic"/>
      </w:pPr>
      <w:bookmarkStart w:id="60" w:name="_Toc468804125"/>
      <w:bookmarkStart w:id="61" w:name="_Toc480809672"/>
      <w:r>
        <w:t>Self-insurance</w:t>
      </w:r>
      <w:bookmarkEnd w:id="60"/>
      <w:bookmarkEnd w:id="61"/>
    </w:p>
    <w:p w:rsidR="005F117A" w:rsidRPr="003021B3" w:rsidRDefault="00BF03A2" w:rsidP="005F117A">
      <w:r>
        <w:t>W</w:t>
      </w:r>
      <w:r w:rsidRPr="00FD45B4">
        <w:t xml:space="preserve">e </w:t>
      </w:r>
      <w:r>
        <w:t>have</w:t>
      </w:r>
      <w:r w:rsidRPr="00FD45B4">
        <w:t xml:space="preserve"> not </w:t>
      </w:r>
      <w:r>
        <w:t>included</w:t>
      </w:r>
      <w:r w:rsidRPr="00FD45B4">
        <w:t xml:space="preserve"> a category specific forecast</w:t>
      </w:r>
      <w:r>
        <w:t xml:space="preserve"> for self-insurance in our final decision.</w:t>
      </w:r>
      <w:r w:rsidR="005F117A">
        <w:t xml:space="preserve"> Rather,</w:t>
      </w:r>
      <w:r w:rsidR="005F117A" w:rsidRPr="00D30C3E">
        <w:t xml:space="preserve"> we </w:t>
      </w:r>
      <w:r w:rsidR="00577939">
        <w:t>have</w:t>
      </w:r>
      <w:r w:rsidR="00577939" w:rsidRPr="003021B3">
        <w:t xml:space="preserve"> </w:t>
      </w:r>
      <w:r w:rsidR="006C5824">
        <w:t xml:space="preserve">included </w:t>
      </w:r>
      <w:r w:rsidR="005F117A" w:rsidRPr="003021B3">
        <w:t xml:space="preserve">self-insurance in base </w:t>
      </w:r>
      <w:r w:rsidR="006C5824">
        <w:t>opex</w:t>
      </w:r>
      <w:r w:rsidR="00F63C17">
        <w:t>,</w:t>
      </w:r>
      <w:r w:rsidR="006C5824">
        <w:t xml:space="preserve"> </w:t>
      </w:r>
      <w:r w:rsidR="00547E2D">
        <w:t>which we</w:t>
      </w:r>
      <w:r w:rsidR="006C5824">
        <w:t xml:space="preserve"> used to forecast our alternative estimate of </w:t>
      </w:r>
      <w:r w:rsidR="005F117A" w:rsidRPr="003021B3">
        <w:t>total opex</w:t>
      </w:r>
      <w:r w:rsidR="005F117A" w:rsidRPr="00FD45B4">
        <w:t xml:space="preserve">. </w:t>
      </w:r>
      <w:r>
        <w:t>This forecasting approach is consistent with our draft decision.</w:t>
      </w:r>
    </w:p>
    <w:p w:rsidR="005F117A" w:rsidRPr="00FD45B4" w:rsidRDefault="005F117A" w:rsidP="005F117A">
      <w:r w:rsidRPr="00FD45B4">
        <w:t>AusNet Services proposed a category specific forecast for self</w:t>
      </w:r>
      <w:r w:rsidR="000E14D9">
        <w:t>-</w:t>
      </w:r>
      <w:r w:rsidRPr="00FD45B4">
        <w:t>insurance of $13.5 million ($2016–17).</w:t>
      </w:r>
      <w:r>
        <w:rPr>
          <w:rStyle w:val="FootnoteReference"/>
        </w:rPr>
        <w:footnoteReference w:id="153"/>
      </w:r>
      <w:r w:rsidRPr="00FD45B4">
        <w:t xml:space="preserve"> </w:t>
      </w:r>
      <w:r w:rsidR="003B534D">
        <w:t>This covers tower failure, machinery breakdown, property damage, fire liability and a risk margin.</w:t>
      </w:r>
      <w:r w:rsidR="003B534D">
        <w:rPr>
          <w:rStyle w:val="FootnoteReference"/>
        </w:rPr>
        <w:footnoteReference w:id="154"/>
      </w:r>
      <w:r w:rsidR="003B534D">
        <w:t xml:space="preserve"> </w:t>
      </w:r>
      <w:r w:rsidRPr="00FD45B4">
        <w:t xml:space="preserve">This increased its total opex forecast by </w:t>
      </w:r>
      <w:r w:rsidRPr="00FD45B4">
        <w:lastRenderedPageBreak/>
        <w:t>$</w:t>
      </w:r>
      <w:r w:rsidR="00420088">
        <w:t>8.9</w:t>
      </w:r>
      <w:r w:rsidR="0037354F">
        <w:t> </w:t>
      </w:r>
      <w:r w:rsidRPr="00FD45B4">
        <w:t xml:space="preserve">million ($2016–17) compared to </w:t>
      </w:r>
      <w:r w:rsidR="006C5824">
        <w:t>including</w:t>
      </w:r>
      <w:r w:rsidR="006C5824" w:rsidRPr="00FD45B4">
        <w:t xml:space="preserve"> </w:t>
      </w:r>
      <w:r w:rsidRPr="00FD45B4">
        <w:t xml:space="preserve">self-insurance costs in base </w:t>
      </w:r>
      <w:r w:rsidR="006C5824">
        <w:t>opex and applying the rate of change</w:t>
      </w:r>
      <w:r w:rsidRPr="00FD45B4">
        <w:t>.</w:t>
      </w:r>
      <w:r w:rsidR="00B77DCE">
        <w:rPr>
          <w:rStyle w:val="FootnoteReference"/>
        </w:rPr>
        <w:footnoteReference w:id="155"/>
      </w:r>
    </w:p>
    <w:p w:rsidR="00BB74CA" w:rsidRPr="00C626B7" w:rsidRDefault="00880D1E" w:rsidP="00BB74CA">
      <w:r>
        <w:t>About half of</w:t>
      </w:r>
      <w:r w:rsidRPr="00C626B7">
        <w:t xml:space="preserve"> </w:t>
      </w:r>
      <w:r w:rsidR="00BB74CA" w:rsidRPr="00C626B7">
        <w:t>that increase, $2.1 million</w:t>
      </w:r>
      <w:r>
        <w:t xml:space="preserve">, </w:t>
      </w:r>
      <w:r w:rsidR="00BB74CA" w:rsidRPr="00C626B7">
        <w:t xml:space="preserve">relates to the actuarial risk margin that AusNet </w:t>
      </w:r>
      <w:r w:rsidR="00476C05">
        <w:t>Services</w:t>
      </w:r>
      <w:r w:rsidR="00476C05" w:rsidRPr="00C626B7">
        <w:t xml:space="preserve"> </w:t>
      </w:r>
      <w:r w:rsidR="00BB74CA" w:rsidRPr="00C626B7">
        <w:t>has added to its estimate of future self-insured losses.</w:t>
      </w:r>
      <w:r>
        <w:rPr>
          <w:rStyle w:val="FootnoteReference"/>
        </w:rPr>
        <w:footnoteReference w:id="156"/>
      </w:r>
      <w:r w:rsidR="00BB74CA" w:rsidRPr="00C626B7">
        <w:t xml:space="preserve"> The </w:t>
      </w:r>
      <w:r w:rsidR="00F4783D">
        <w:t>inclusion of the risk premium appears to be</w:t>
      </w:r>
      <w:r w:rsidR="00BB74CA" w:rsidRPr="00C626B7">
        <w:t xml:space="preserve"> inconsistent with the approach previously adopted by AusNet Services in its most recent distribution regulatory proposal, in which AusNet Services proposed a self-insurance allowance exclusive of </w:t>
      </w:r>
      <w:r w:rsidR="004F52EA">
        <w:t xml:space="preserve">a </w:t>
      </w:r>
      <w:r w:rsidR="00BB74CA" w:rsidRPr="00C626B7">
        <w:t>risk premium.</w:t>
      </w:r>
      <w:r w:rsidR="00BB74CA" w:rsidRPr="00C626B7">
        <w:rPr>
          <w:rStyle w:val="FootnoteReference"/>
        </w:rPr>
        <w:footnoteReference w:id="157"/>
      </w:r>
    </w:p>
    <w:p w:rsidR="005F117A" w:rsidRPr="00FD45B4" w:rsidRDefault="0039529C" w:rsidP="005F117A">
      <w:r w:rsidRPr="0039529C">
        <w:t xml:space="preserve">In its initial proposal, </w:t>
      </w:r>
      <w:r w:rsidR="005F117A" w:rsidRPr="00FD45B4">
        <w:t>AusNet Services stated self-insurance losses are volatile and can vary markedly from year</w:t>
      </w:r>
      <w:r w:rsidR="009963FC">
        <w:t>-to-</w:t>
      </w:r>
      <w:r w:rsidR="005F117A" w:rsidRPr="00FD45B4">
        <w:t>year.</w:t>
      </w:r>
      <w:r w:rsidR="005F117A">
        <w:rPr>
          <w:rStyle w:val="FootnoteReference"/>
        </w:rPr>
        <w:footnoteReference w:id="158"/>
      </w:r>
      <w:r w:rsidR="005F117A" w:rsidRPr="00FD45B4">
        <w:t xml:space="preserve"> For this reason, it considered our approach of relying on actual losses in a single year is likely to result in a less accurate forecast of self-insurance than a forecast based on expected losses, particularly if </w:t>
      </w:r>
      <w:r w:rsidR="004B5F77">
        <w:t xml:space="preserve">an </w:t>
      </w:r>
      <w:r w:rsidR="005F117A" w:rsidRPr="00FD45B4">
        <w:t>abnormally high or low level of self</w:t>
      </w:r>
      <w:r w:rsidR="00FE3B10">
        <w:noBreakHyphen/>
      </w:r>
      <w:r w:rsidR="005F117A" w:rsidRPr="00FD45B4">
        <w:t>insurance losses</w:t>
      </w:r>
      <w:r w:rsidR="00FE3B10">
        <w:t xml:space="preserve"> influence</w:t>
      </w:r>
      <w:r w:rsidR="004B5F77">
        <w:t>s</w:t>
      </w:r>
      <w:r w:rsidR="00FE3B10">
        <w:t xml:space="preserve"> base opex</w:t>
      </w:r>
      <w:r w:rsidR="005F117A" w:rsidRPr="00FD45B4">
        <w:t>.</w:t>
      </w:r>
    </w:p>
    <w:p w:rsidR="005F117A" w:rsidRDefault="005F117A" w:rsidP="005F117A">
      <w:r>
        <w:t>In our draft decision, we stated that t</w:t>
      </w:r>
      <w:r w:rsidR="000E0117">
        <w:t>he NER require</w:t>
      </w:r>
      <w:r w:rsidRPr="00FD45B4">
        <w:t xml:space="preserve"> us to form a view on total opex, rather than </w:t>
      </w:r>
      <w:r w:rsidR="000E0117" w:rsidRPr="00D633E2">
        <w:t xml:space="preserve">movements in specific categories </w:t>
      </w:r>
      <w:r w:rsidR="000E0117">
        <w:t xml:space="preserve">of </w:t>
      </w:r>
      <w:r w:rsidR="000E0117" w:rsidRPr="00D633E2">
        <w:t>opex</w:t>
      </w:r>
      <w:r w:rsidR="000E0117" w:rsidRPr="00FD45B4" w:rsidDel="000E0117">
        <w:t xml:space="preserve"> </w:t>
      </w:r>
      <w:r w:rsidRPr="00FD45B4">
        <w:t>such as self-insurance.</w:t>
      </w:r>
      <w:r>
        <w:rPr>
          <w:rStyle w:val="FootnoteReference"/>
        </w:rPr>
        <w:footnoteReference w:id="159"/>
      </w:r>
      <w:r w:rsidRPr="00FD45B4">
        <w:t xml:space="preserve"> </w:t>
      </w:r>
      <w:r w:rsidR="001273D2">
        <w:t>A</w:t>
      </w:r>
      <w:r w:rsidR="00374154">
        <w:t xml:space="preserve">lthough </w:t>
      </w:r>
      <w:r w:rsidR="00374154" w:rsidRPr="00374154">
        <w:t>using a category specific forecasting method may produce a better forecast of expend</w:t>
      </w:r>
      <w:r w:rsidR="00374154">
        <w:t xml:space="preserve">iture for a particular category, </w:t>
      </w:r>
      <w:r w:rsidR="00374154" w:rsidRPr="00374154">
        <w:t xml:space="preserve">we </w:t>
      </w:r>
      <w:r w:rsidR="00374154">
        <w:t>did</w:t>
      </w:r>
      <w:r w:rsidR="00374154" w:rsidRPr="00374154">
        <w:t xml:space="preserve"> not consider it produces a better forecast of total opex</w:t>
      </w:r>
      <w:r w:rsidR="00991A84">
        <w:t xml:space="preserve"> for the reasons explained below</w:t>
      </w:r>
      <w:r w:rsidR="00374154" w:rsidRPr="00374154">
        <w:t>.</w:t>
      </w:r>
      <w:r w:rsidR="00FE4F20">
        <w:rPr>
          <w:rStyle w:val="FootnoteReference"/>
        </w:rPr>
        <w:footnoteReference w:id="160"/>
      </w:r>
      <w:r w:rsidR="00AB4902">
        <w:t xml:space="preserve"> </w:t>
      </w:r>
      <w:r w:rsidR="000177EF">
        <w:t xml:space="preserve">In considering whether a category specific forecast </w:t>
      </w:r>
      <w:r w:rsidR="00DE3A62">
        <w:t>is necessary</w:t>
      </w:r>
      <w:r w:rsidR="000177EF">
        <w:t xml:space="preserve">, </w:t>
      </w:r>
      <w:r w:rsidR="000177EF">
        <w:rPr>
          <w:rStyle w:val="AERbody"/>
        </w:rPr>
        <w:t>t</w:t>
      </w:r>
      <w:r w:rsidR="00AB4902">
        <w:rPr>
          <w:rStyle w:val="AERbody"/>
        </w:rPr>
        <w:t xml:space="preserve">he question is not whether individual cost categories are volatile or lumpy, but whether total opex is volatile or lumpy </w:t>
      </w:r>
      <w:r w:rsidR="0037354F">
        <w:rPr>
          <w:rStyle w:val="AERbody"/>
        </w:rPr>
        <w:t>over time</w:t>
      </w:r>
      <w:r w:rsidR="00AB4902">
        <w:rPr>
          <w:rStyle w:val="AERbody"/>
        </w:rPr>
        <w:t>.</w:t>
      </w:r>
      <w:r w:rsidR="00D850F9">
        <w:rPr>
          <w:rStyle w:val="AERbody"/>
        </w:rPr>
        <w:t xml:space="preserve"> U</w:t>
      </w:r>
      <w:r w:rsidR="00D850F9" w:rsidRPr="00D850F9">
        <w:rPr>
          <w:rStyle w:val="AERbody"/>
        </w:rPr>
        <w:t xml:space="preserve">nder our assessment approach, we are not concerned with the volatility of </w:t>
      </w:r>
      <w:r w:rsidR="00FE4F20">
        <w:rPr>
          <w:rStyle w:val="AERbody"/>
        </w:rPr>
        <w:t xml:space="preserve">an </w:t>
      </w:r>
      <w:r w:rsidR="00D850F9" w:rsidRPr="00D850F9">
        <w:rPr>
          <w:rStyle w:val="AERbody"/>
        </w:rPr>
        <w:t xml:space="preserve">individual opex category unless it undermines our assumption that total opex is </w:t>
      </w:r>
      <w:r w:rsidR="00BB74CA">
        <w:rPr>
          <w:rStyle w:val="AERbody"/>
        </w:rPr>
        <w:t xml:space="preserve">relatively stable </w:t>
      </w:r>
      <w:r w:rsidR="008A2A7C">
        <w:rPr>
          <w:rStyle w:val="AERbody"/>
        </w:rPr>
        <w:t>and predictable over time</w:t>
      </w:r>
      <w:r w:rsidR="00C51DDC">
        <w:rPr>
          <w:rStyle w:val="AERbody"/>
        </w:rPr>
        <w:t>.</w:t>
      </w:r>
    </w:p>
    <w:p w:rsidR="005266D0" w:rsidRDefault="0046280B" w:rsidP="005266D0">
      <w:r>
        <w:t>Al</w:t>
      </w:r>
      <w:r w:rsidR="007A6B1F">
        <w:t>though</w:t>
      </w:r>
      <w:r w:rsidR="003E46FF">
        <w:t xml:space="preserve"> we use </w:t>
      </w:r>
      <w:r w:rsidR="006C5824">
        <w:t xml:space="preserve">total opex in </w:t>
      </w:r>
      <w:r>
        <w:t xml:space="preserve">the </w:t>
      </w:r>
      <w:r w:rsidR="006C5824">
        <w:t xml:space="preserve">base year </w:t>
      </w:r>
      <w:r w:rsidR="000E0117" w:rsidRPr="00C83B23">
        <w:t>to forecast AusNet Services</w:t>
      </w:r>
      <w:r w:rsidR="00E1535C">
        <w:t>'</w:t>
      </w:r>
      <w:r w:rsidR="000E0117" w:rsidRPr="00C83B23">
        <w:t xml:space="preserve"> future opex, we </w:t>
      </w:r>
      <w:r w:rsidR="00C33EAD">
        <w:t>do</w:t>
      </w:r>
      <w:r w:rsidR="00C33EAD" w:rsidRPr="00C83B23">
        <w:t xml:space="preserve"> </w:t>
      </w:r>
      <w:r w:rsidR="000E0117" w:rsidRPr="00C83B23">
        <w:t xml:space="preserve">not </w:t>
      </w:r>
      <w:r w:rsidR="00BB74CA">
        <w:t>assum</w:t>
      </w:r>
      <w:r w:rsidR="00C33EAD">
        <w:t>e</w:t>
      </w:r>
      <w:r w:rsidR="00BB74CA" w:rsidRPr="00C83B23">
        <w:t xml:space="preserve"> </w:t>
      </w:r>
      <w:r w:rsidR="000E0117" w:rsidRPr="00C83B23">
        <w:t xml:space="preserve">that the </w:t>
      </w:r>
      <w:r w:rsidR="00F7739B">
        <w:t>expenditure incurred on</w:t>
      </w:r>
      <w:r w:rsidR="00F7739B" w:rsidRPr="00C83B23">
        <w:t xml:space="preserve"> </w:t>
      </w:r>
      <w:r w:rsidR="000E0117" w:rsidRPr="00C83B23">
        <w:t xml:space="preserve">each of the </w:t>
      </w:r>
      <w:r>
        <w:t xml:space="preserve">opex </w:t>
      </w:r>
      <w:r w:rsidR="000E0117" w:rsidRPr="00C83B23">
        <w:t xml:space="preserve">projects and programs AusNet Services undertook in the base year will be </w:t>
      </w:r>
      <w:r w:rsidR="003E46FF">
        <w:t>the same as those</w:t>
      </w:r>
      <w:r w:rsidR="00BF3E37">
        <w:t xml:space="preserve"> it will undertake </w:t>
      </w:r>
      <w:r w:rsidR="00D850F9">
        <w:t xml:space="preserve">over </w:t>
      </w:r>
      <w:r w:rsidR="00BF3E37">
        <w:t xml:space="preserve">the </w:t>
      </w:r>
      <w:r w:rsidR="003E46FF">
        <w:t>forecast</w:t>
      </w:r>
      <w:r w:rsidR="00BF3E37">
        <w:t xml:space="preserve"> period</w:t>
      </w:r>
      <w:r w:rsidR="000E0117" w:rsidRPr="00C83B23">
        <w:t xml:space="preserve">. Nor are we forecasting that </w:t>
      </w:r>
      <w:r w:rsidR="000E0117">
        <w:t>expenditure</w:t>
      </w:r>
      <w:r w:rsidR="000E0117" w:rsidRPr="00C83B23">
        <w:t xml:space="preserve"> on each category of opex will be similar to </w:t>
      </w:r>
      <w:r w:rsidR="00991A84">
        <w:t>that in</w:t>
      </w:r>
      <w:r w:rsidR="00991A84" w:rsidRPr="00C83B23">
        <w:t xml:space="preserve"> </w:t>
      </w:r>
      <w:r w:rsidR="00F13EBE">
        <w:t xml:space="preserve">the </w:t>
      </w:r>
      <w:r w:rsidR="000E0117" w:rsidRPr="00C83B23">
        <w:t>base yea</w:t>
      </w:r>
      <w:r w:rsidR="005266D0">
        <w:t>r.</w:t>
      </w:r>
      <w:r w:rsidR="009C204D">
        <w:t xml:space="preserve"> </w:t>
      </w:r>
      <w:r w:rsidR="00A74D89">
        <w:t>R</w:t>
      </w:r>
      <w:r w:rsidR="009C204D">
        <w:t>elying on the business' revealed costs allows us to maintain our preferred top-down forecasting approach—thereby avoiding numerous bottom-up type assessments of discrete opex sub-categories, projects or items.</w:t>
      </w:r>
    </w:p>
    <w:p w:rsidR="001A7084" w:rsidRDefault="005F117A" w:rsidP="007B7BFC">
      <w:r>
        <w:lastRenderedPageBreak/>
        <w:t xml:space="preserve">In its revised proposal, </w:t>
      </w:r>
      <w:r w:rsidR="001A7084" w:rsidRPr="001A7084">
        <w:t xml:space="preserve">AusNet Services </w:t>
      </w:r>
      <w:r w:rsidR="00375D8E">
        <w:t>submitted</w:t>
      </w:r>
      <w:r w:rsidR="00375D8E" w:rsidRPr="001A7084">
        <w:t xml:space="preserve"> </w:t>
      </w:r>
      <w:r w:rsidR="00DE3A62">
        <w:t xml:space="preserve">that </w:t>
      </w:r>
      <w:r w:rsidR="001A7084">
        <w:t xml:space="preserve">our </w:t>
      </w:r>
      <w:r w:rsidR="001A7084" w:rsidRPr="001A7084">
        <w:t xml:space="preserve">approach to forecasting self-insurance costs </w:t>
      </w:r>
      <w:r w:rsidR="001A7084">
        <w:t>wa</w:t>
      </w:r>
      <w:r w:rsidR="001A7084" w:rsidRPr="001A7084">
        <w:t>s incorrect</w:t>
      </w:r>
      <w:r w:rsidR="00C33EAD">
        <w:t>.</w:t>
      </w:r>
      <w:r w:rsidR="001A7084">
        <w:rPr>
          <w:rStyle w:val="FootnoteReference"/>
        </w:rPr>
        <w:footnoteReference w:id="161"/>
      </w:r>
      <w:r w:rsidR="001A7084">
        <w:t xml:space="preserve"> </w:t>
      </w:r>
      <w:r w:rsidR="00476C05">
        <w:t>I</w:t>
      </w:r>
      <w:r w:rsidR="00517250" w:rsidRPr="00B03DEE">
        <w:t xml:space="preserve">t </w:t>
      </w:r>
      <w:r w:rsidR="00517250">
        <w:t>maintained</w:t>
      </w:r>
      <w:r w:rsidR="00BB74CA">
        <w:t xml:space="preserve"> that</w:t>
      </w:r>
      <w:r w:rsidR="001A7084" w:rsidRPr="00B03DEE">
        <w:t xml:space="preserve"> these costs </w:t>
      </w:r>
      <w:r w:rsidR="00BB74CA">
        <w:t xml:space="preserve">should be forecast </w:t>
      </w:r>
      <w:r w:rsidR="001A7084" w:rsidRPr="00B03DEE">
        <w:t>on a category-specific basis.</w:t>
      </w:r>
      <w:r w:rsidR="001A7084">
        <w:rPr>
          <w:rStyle w:val="FootnoteReference"/>
        </w:rPr>
        <w:footnoteReference w:id="162"/>
      </w:r>
      <w:r w:rsidR="001A7084">
        <w:t xml:space="preserve"> </w:t>
      </w:r>
      <w:r w:rsidR="006C5824">
        <w:t xml:space="preserve">It also considered </w:t>
      </w:r>
      <w:r w:rsidR="00BB74CA">
        <w:t xml:space="preserve">that </w:t>
      </w:r>
      <w:r w:rsidR="00065FC1">
        <w:t xml:space="preserve">we </w:t>
      </w:r>
      <w:r w:rsidR="001A7084">
        <w:t xml:space="preserve">made </w:t>
      </w:r>
      <w:r w:rsidR="001A7084" w:rsidRPr="001A7084">
        <w:t xml:space="preserve">an error </w:t>
      </w:r>
      <w:r w:rsidR="001A7084">
        <w:t>including</w:t>
      </w:r>
      <w:r w:rsidR="00BB74CA">
        <w:t xml:space="preserve"> self-insurance</w:t>
      </w:r>
      <w:r w:rsidR="001A7084" w:rsidRPr="001A7084">
        <w:t xml:space="preserve"> losses, rather than </w:t>
      </w:r>
      <w:r w:rsidR="00BB74CA">
        <w:t>'</w:t>
      </w:r>
      <w:r w:rsidR="001A7084" w:rsidRPr="001A7084">
        <w:t>premiums</w:t>
      </w:r>
      <w:r w:rsidR="00BB74CA">
        <w:t>'</w:t>
      </w:r>
      <w:r w:rsidR="001A7084">
        <w:t xml:space="preserve"> in base year opex.</w:t>
      </w:r>
      <w:r w:rsidR="00C81381">
        <w:rPr>
          <w:rStyle w:val="FootnoteReference"/>
        </w:rPr>
        <w:footnoteReference w:id="163"/>
      </w:r>
    </w:p>
    <w:p w:rsidR="005F117A" w:rsidRDefault="005F117A" w:rsidP="005F117A">
      <w:r>
        <w:t xml:space="preserve">AusNet Services </w:t>
      </w:r>
      <w:r w:rsidR="00C81381">
        <w:t xml:space="preserve">also </w:t>
      </w:r>
      <w:r>
        <w:t>state</w:t>
      </w:r>
      <w:r w:rsidR="00BB74CA">
        <w:t>s</w:t>
      </w:r>
      <w:r>
        <w:t xml:space="preserve"> that </w:t>
      </w:r>
      <w:r w:rsidR="00BB74CA">
        <w:t>our draft decision</w:t>
      </w:r>
      <w:r>
        <w:t>:</w:t>
      </w:r>
    </w:p>
    <w:p w:rsidR="005F117A" w:rsidRPr="00607D42" w:rsidRDefault="005F117A" w:rsidP="005F117A">
      <w:pPr>
        <w:pStyle w:val="AERbulletlistfirststyle"/>
      </w:pPr>
      <w:r>
        <w:t>i</w:t>
      </w:r>
      <w:r w:rsidRPr="00607D42">
        <w:t>nconsistently treat</w:t>
      </w:r>
      <w:r>
        <w:t>ed self-insurance and insurance</w:t>
      </w:r>
    </w:p>
    <w:p w:rsidR="005F117A" w:rsidRPr="00607D42" w:rsidRDefault="005F117A" w:rsidP="005F117A">
      <w:pPr>
        <w:pStyle w:val="AERbulletlistfirststyle"/>
      </w:pPr>
      <w:r>
        <w:t>f</w:t>
      </w:r>
      <w:r w:rsidRPr="00607D42">
        <w:t>ailed to recognise the impact of self</w:t>
      </w:r>
      <w:r>
        <w:t>-insurance losses on total opex</w:t>
      </w:r>
    </w:p>
    <w:p w:rsidR="005F117A" w:rsidRPr="00607D42" w:rsidRDefault="005F117A" w:rsidP="005F117A">
      <w:pPr>
        <w:pStyle w:val="AERbulletlistfirststyle"/>
      </w:pPr>
      <w:r>
        <w:t>did n</w:t>
      </w:r>
      <w:r w:rsidRPr="00607D42">
        <w:t>ot account for up</w:t>
      </w:r>
      <w:r w:rsidR="00324D40">
        <w:t>-</w:t>
      </w:r>
      <w:r w:rsidRPr="00607D42">
        <w:t>to</w:t>
      </w:r>
      <w:r w:rsidR="00324D40">
        <w:t>-</w:t>
      </w:r>
      <w:r w:rsidRPr="00607D42">
        <w:t>date information on self-insurance costs</w:t>
      </w:r>
    </w:p>
    <w:p w:rsidR="005F117A" w:rsidRDefault="005F117A" w:rsidP="005F117A">
      <w:pPr>
        <w:pStyle w:val="AERbulletlistfirststyle"/>
      </w:pPr>
      <w:r>
        <w:t>i</w:t>
      </w:r>
      <w:r w:rsidRPr="00607D42">
        <w:t>nconsistently treated self-insurance in the opex forecast and the EBSS calculation.</w:t>
      </w:r>
      <w:r>
        <w:rPr>
          <w:rStyle w:val="FootnoteReference"/>
        </w:rPr>
        <w:footnoteReference w:id="164"/>
      </w:r>
    </w:p>
    <w:p w:rsidR="00874E6A" w:rsidRDefault="00681015" w:rsidP="00B91C99">
      <w:r>
        <w:t xml:space="preserve">Our key reasons for rejecting </w:t>
      </w:r>
      <w:r w:rsidR="009963FC">
        <w:t>AusNet Services'</w:t>
      </w:r>
      <w:r>
        <w:t xml:space="preserve"> </w:t>
      </w:r>
      <w:r w:rsidR="0047419D">
        <w:t xml:space="preserve">revised </w:t>
      </w:r>
      <w:r>
        <w:t xml:space="preserve">proposal </w:t>
      </w:r>
      <w:r w:rsidR="00D64E78">
        <w:t xml:space="preserve">to include a category specific forecast for self-insurance </w:t>
      </w:r>
      <w:r>
        <w:t xml:space="preserve">are set out below. </w:t>
      </w:r>
      <w:r w:rsidR="005146E4">
        <w:t>We also</w:t>
      </w:r>
      <w:r w:rsidR="005B4D06">
        <w:t xml:space="preserve"> explain</w:t>
      </w:r>
      <w:r w:rsidR="005707B3">
        <w:t xml:space="preserve"> both</w:t>
      </w:r>
      <w:r w:rsidR="005146E4">
        <w:t xml:space="preserve"> </w:t>
      </w:r>
      <w:r w:rsidR="005B4D06">
        <w:t xml:space="preserve">how the EBSS interacts with the different forecasting </w:t>
      </w:r>
      <w:r w:rsidR="00343E29">
        <w:t>approaches</w:t>
      </w:r>
      <w:r w:rsidR="005B4D06">
        <w:t xml:space="preserve"> </w:t>
      </w:r>
      <w:r w:rsidR="00C14C73">
        <w:t>and</w:t>
      </w:r>
      <w:r w:rsidR="005707B3">
        <w:t>,</w:t>
      </w:r>
      <w:r w:rsidR="00C14C73">
        <w:t xml:space="preserve"> </w:t>
      </w:r>
      <w:r w:rsidR="00BB74CA">
        <w:t>for the purpose of regulatory expenditure forecasting,</w:t>
      </w:r>
      <w:r w:rsidR="005B4D06">
        <w:t xml:space="preserve"> self</w:t>
      </w:r>
      <w:r w:rsidR="00DE3A62">
        <w:noBreakHyphen/>
      </w:r>
      <w:r w:rsidR="005B4D06">
        <w:t xml:space="preserve">insurance 'premiums' are </w:t>
      </w:r>
      <w:r w:rsidR="00BB74CA">
        <w:t>not</w:t>
      </w:r>
      <w:r w:rsidR="00214262">
        <w:t xml:space="preserve"> </w:t>
      </w:r>
      <w:r w:rsidR="005B4D06">
        <w:t>actual costs incurred by AusNet Services</w:t>
      </w:r>
      <w:r w:rsidR="00687CCB">
        <w:t>.</w:t>
      </w:r>
    </w:p>
    <w:p w:rsidR="005F04AC" w:rsidRDefault="005F04AC" w:rsidP="00A2711C">
      <w:pPr>
        <w:pStyle w:val="HeadingOrange"/>
      </w:pPr>
      <w:bookmarkStart w:id="62" w:name="_Toc480809673"/>
      <w:r>
        <w:t xml:space="preserve">Key reasons </w:t>
      </w:r>
      <w:r w:rsidR="00317C21">
        <w:t xml:space="preserve">why we </w:t>
      </w:r>
      <w:r>
        <w:t>include se</w:t>
      </w:r>
      <w:r w:rsidR="00496684">
        <w:t>l</w:t>
      </w:r>
      <w:r>
        <w:t>f-insurance in base opex</w:t>
      </w:r>
      <w:bookmarkEnd w:id="62"/>
    </w:p>
    <w:p w:rsidR="005707B3" w:rsidRDefault="00AE6120" w:rsidP="005F117A">
      <w:r>
        <w:t>First</w:t>
      </w:r>
      <w:r w:rsidR="006678EB">
        <w:t xml:space="preserve">, </w:t>
      </w:r>
      <w:r w:rsidR="00BB74CA">
        <w:t xml:space="preserve">including </w:t>
      </w:r>
      <w:r w:rsidR="00E700D4" w:rsidRPr="00E700D4">
        <w:t xml:space="preserve">specific cost categories identified by </w:t>
      </w:r>
      <w:r w:rsidR="00901817">
        <w:t>a</w:t>
      </w:r>
      <w:r w:rsidR="00901817" w:rsidRPr="00E700D4">
        <w:t xml:space="preserve"> </w:t>
      </w:r>
      <w:r w:rsidR="00E700D4" w:rsidRPr="00E700D4">
        <w:t>business</w:t>
      </w:r>
      <w:r w:rsidR="005707B3">
        <w:t>—</w:t>
      </w:r>
      <w:r w:rsidR="00BB74CA" w:rsidRPr="00C626B7">
        <w:t>rather than relying on the business’ revealed costs</w:t>
      </w:r>
      <w:r w:rsidR="005707B3">
        <w:t>—</w:t>
      </w:r>
      <w:r w:rsidR="00BB74CA" w:rsidRPr="00C626B7">
        <w:t xml:space="preserve">in the base year opex forecast, creates an incentive for the business to adopt an alternative forecasting method when its expenditure for a particular opex category was atypically low; but follow the revealed cost approach in relation for those categories where expenditure was atypically high in the base year. </w:t>
      </w:r>
    </w:p>
    <w:p w:rsidR="005707B3" w:rsidRDefault="00BB74CA" w:rsidP="005F117A">
      <w:r w:rsidRPr="00C626B7">
        <w:t>We are concerned this would allow the business to 'pick' which categories of opex it expects will increase</w:t>
      </w:r>
      <w:r>
        <w:t xml:space="preserve"> and seek a category specific forecast for those categories</w:t>
      </w:r>
      <w:r w:rsidRPr="00C626B7">
        <w:t xml:space="preserve">. Conversely, the business has no such incentive to identify costs that are going down, or projects or programs that it will discontinue in the upcoming period. </w:t>
      </w:r>
    </w:p>
    <w:p w:rsidR="00681015" w:rsidRDefault="00BB74CA" w:rsidP="005F117A">
      <w:r w:rsidRPr="00C626B7">
        <w:t xml:space="preserve">These asymmetric incentives therefore potentially introduce an </w:t>
      </w:r>
      <w:r>
        <w:t>upward bias into</w:t>
      </w:r>
      <w:r w:rsidR="00E700D4" w:rsidRPr="00E700D4">
        <w:t xml:space="preserve"> our total opex forecast.</w:t>
      </w:r>
      <w:r w:rsidR="00681015">
        <w:rPr>
          <w:rStyle w:val="FootnoteReference"/>
        </w:rPr>
        <w:footnoteReference w:id="165"/>
      </w:r>
      <w:r w:rsidR="00681015">
        <w:t xml:space="preserve"> </w:t>
      </w:r>
      <w:r w:rsidR="009204EB">
        <w:t>For the reasons set out in our assessment approach</w:t>
      </w:r>
      <w:r w:rsidR="004F52EA">
        <w:t xml:space="preserve"> (section 7.4.2)</w:t>
      </w:r>
      <w:r w:rsidR="007B7BFC">
        <w:t>, our forecasting method avoids this upward bias</w:t>
      </w:r>
      <w:r w:rsidR="001A42F0">
        <w:t>.</w:t>
      </w:r>
      <w:r w:rsidR="004728AB">
        <w:t xml:space="preserve"> </w:t>
      </w:r>
      <w:r w:rsidR="005D597E">
        <w:t xml:space="preserve">AusNet Services has not addressed this </w:t>
      </w:r>
      <w:r w:rsidR="0046280B">
        <w:t xml:space="preserve">concern </w:t>
      </w:r>
      <w:r w:rsidR="005D597E">
        <w:t>in its revised proposal.</w:t>
      </w:r>
    </w:p>
    <w:p w:rsidR="005707B3" w:rsidRDefault="00E300AC" w:rsidP="005F117A">
      <w:r>
        <w:t>Second</w:t>
      </w:r>
      <w:r w:rsidR="00580B19">
        <w:t xml:space="preserve">, </w:t>
      </w:r>
      <w:r w:rsidR="00F85395">
        <w:t xml:space="preserve">AusNet Services has not demonstrated </w:t>
      </w:r>
      <w:r w:rsidR="00BB74CA">
        <w:t xml:space="preserve">that </w:t>
      </w:r>
      <w:r w:rsidR="0085286F">
        <w:t xml:space="preserve">the potential volatility in </w:t>
      </w:r>
      <w:r w:rsidR="00580B19">
        <w:t>self-insurance expenses undermine</w:t>
      </w:r>
      <w:r w:rsidR="00BB74CA">
        <w:t>s</w:t>
      </w:r>
      <w:r w:rsidR="00580B19">
        <w:t xml:space="preserve"> our assumption</w:t>
      </w:r>
      <w:r w:rsidR="00496684">
        <w:t xml:space="preserve"> that </w:t>
      </w:r>
      <w:r w:rsidR="00D850F9">
        <w:t xml:space="preserve">total </w:t>
      </w:r>
      <w:r w:rsidR="00580B19">
        <w:t xml:space="preserve">opex </w:t>
      </w:r>
      <w:r w:rsidR="00496684">
        <w:t xml:space="preserve">is </w:t>
      </w:r>
      <w:r w:rsidR="00BB74CA">
        <w:t>relatively stable</w:t>
      </w:r>
      <w:r w:rsidR="0085286F">
        <w:t>.</w:t>
      </w:r>
      <w:r w:rsidR="004728AB">
        <w:t xml:space="preserve"> </w:t>
      </w:r>
      <w:r w:rsidR="00BB74CA" w:rsidRPr="00C626B7">
        <w:t xml:space="preserve">In particular, it has not provided evidence that variability in its historic self-insurance </w:t>
      </w:r>
      <w:r w:rsidR="00BB74CA" w:rsidRPr="00C626B7">
        <w:lastRenderedPageBreak/>
        <w:t>losses has corresponded with, or significantly contributed to, variability in its total opex</w:t>
      </w:r>
      <w:r w:rsidR="004F52EA">
        <w:t xml:space="preserve"> over time</w:t>
      </w:r>
      <w:r w:rsidR="00BB74CA" w:rsidRPr="00C626B7">
        <w:t xml:space="preserve">. </w:t>
      </w:r>
    </w:p>
    <w:p w:rsidR="0035737A" w:rsidRDefault="0035737A" w:rsidP="005F117A">
      <w:r>
        <w:t xml:space="preserve">So long as total opex remains </w:t>
      </w:r>
      <w:r w:rsidR="00BB74CA">
        <w:t xml:space="preserve">relatively stable </w:t>
      </w:r>
      <w:r w:rsidR="00011A33">
        <w:t>over time</w:t>
      </w:r>
      <w:r w:rsidR="00BB74CA">
        <w:t xml:space="preserve"> notwithstanding any variability in self-insurance losses</w:t>
      </w:r>
      <w:r>
        <w:t>, it is unnecessary to do a bottom-up, category specific forecast for self-insurance costs. Our assessment approach is to forecast the total opex and not the individual opex categories</w:t>
      </w:r>
      <w:r w:rsidR="007A4399">
        <w:t>—consistent with our task under the NER</w:t>
      </w:r>
      <w:r>
        <w:t xml:space="preserve">. Therefore, it is </w:t>
      </w:r>
      <w:r w:rsidR="00BB74CA">
        <w:t xml:space="preserve">not </w:t>
      </w:r>
      <w:r>
        <w:t xml:space="preserve">relevant to consider the volatility in self-insurance costs unless </w:t>
      </w:r>
      <w:r w:rsidR="00BB74CA">
        <w:t xml:space="preserve">including self-insurance in the base opex </w:t>
      </w:r>
      <w:r>
        <w:t>would make total opex lumpy and unpredictable</w:t>
      </w:r>
      <w:r w:rsidR="0037354F">
        <w:t xml:space="preserve"> over time</w:t>
      </w:r>
      <w:r>
        <w:t>.</w:t>
      </w:r>
    </w:p>
    <w:p w:rsidR="005146E4" w:rsidRDefault="00A542C2" w:rsidP="005F117A">
      <w:r>
        <w:t>In its revised proposal</w:t>
      </w:r>
      <w:r w:rsidR="00BB5E6B">
        <w:t xml:space="preserve">, </w:t>
      </w:r>
      <w:r w:rsidR="00C14C73">
        <w:t>AusNet Services</w:t>
      </w:r>
      <w:r w:rsidR="00DF3326">
        <w:t xml:space="preserve"> </w:t>
      </w:r>
      <w:r w:rsidR="00BB750D">
        <w:t>agreed that '</w:t>
      </w:r>
      <w:r w:rsidR="00BB750D" w:rsidRPr="003241CE">
        <w:t xml:space="preserve">the composition </w:t>
      </w:r>
      <w:r w:rsidR="00BB750D">
        <w:t>of its opex will vary from year-to-</w:t>
      </w:r>
      <w:r w:rsidR="00BB750D" w:rsidRPr="003241CE">
        <w:t>year and there may be some offsetting effects of this variatio</w:t>
      </w:r>
      <w:r w:rsidR="00BB750D">
        <w:t>n'.</w:t>
      </w:r>
      <w:r w:rsidR="00BB750D" w:rsidRPr="00BB750D">
        <w:rPr>
          <w:rStyle w:val="FootnoteReference"/>
        </w:rPr>
        <w:t xml:space="preserve"> </w:t>
      </w:r>
      <w:r w:rsidR="00BB750D">
        <w:rPr>
          <w:rStyle w:val="FootnoteReference"/>
        </w:rPr>
        <w:footnoteReference w:id="166"/>
      </w:r>
      <w:r w:rsidR="00BB750D">
        <w:t xml:space="preserve"> However, it </w:t>
      </w:r>
      <w:r w:rsidR="00BB5E6B">
        <w:t xml:space="preserve">maintained </w:t>
      </w:r>
      <w:r w:rsidR="00DF3326">
        <w:t>that 'w</w:t>
      </w:r>
      <w:r w:rsidR="00DF3326" w:rsidRPr="00DF3326">
        <w:t>here an individual opex category has a high degree of volatility and may be significant from time to time, relying on offsetting effects between categories is unlikely to result in the best forecast of total opex.</w:t>
      </w:r>
      <w:r w:rsidR="00DF3326">
        <w:t>'</w:t>
      </w:r>
      <w:r w:rsidR="00DF3326">
        <w:rPr>
          <w:rStyle w:val="FootnoteReference"/>
        </w:rPr>
        <w:footnoteReference w:id="167"/>
      </w:r>
      <w:r w:rsidR="00DF3326" w:rsidRPr="00DF3326">
        <w:t xml:space="preserve"> </w:t>
      </w:r>
    </w:p>
    <w:p w:rsidR="00E845F5" w:rsidRDefault="00E943A2" w:rsidP="005F117A">
      <w:r>
        <w:t>However</w:t>
      </w:r>
      <w:r w:rsidR="00E845F5">
        <w:t>, the potential for a self-insurance loss to create volatility in total opex is limited. The cost pass through mechanism, which is part of the regulatory framework, limits the magnitude of self-insurance losses incurred by AusNet Services. If AusNet Services' losses exceed the materiality threshold, which is 1 per cent of its allowed revenue for that year, it may be eligible to apply for a cost-pass through. So, AusNet Services can potentially recover any self-insurance loss above roughly $</w:t>
      </w:r>
      <w:r w:rsidR="002A222B">
        <w:t>5.5</w:t>
      </w:r>
      <w:r w:rsidR="00E845F5">
        <w:t> million directly from consumers.</w:t>
      </w:r>
    </w:p>
    <w:p w:rsidR="00E943A2" w:rsidRDefault="00E943A2" w:rsidP="00E943A2">
      <w:r>
        <w:t>To the extent that self-insurance losses have the potential to create volatility in total opex, we</w:t>
      </w:r>
      <w:r w:rsidRPr="00E700D4">
        <w:t xml:space="preserve"> expect </w:t>
      </w:r>
      <w:r>
        <w:t>AusNet Services</w:t>
      </w:r>
      <w:r w:rsidRPr="00E700D4">
        <w:t xml:space="preserve"> </w:t>
      </w:r>
      <w:r>
        <w:t xml:space="preserve">can </w:t>
      </w:r>
      <w:r w:rsidRPr="00E700D4">
        <w:t>manage the inevitable 'ups and downs' in the components of opex from year-to-year</w:t>
      </w:r>
      <w:r w:rsidR="0046280B">
        <w:t>—to the extent they do not offset each other—</w:t>
      </w:r>
      <w:r w:rsidRPr="00E700D4">
        <w:t xml:space="preserve">by continually re-prioritising its work program, as would be expected in a </w:t>
      </w:r>
      <w:r>
        <w:t>competitive market.</w:t>
      </w:r>
    </w:p>
    <w:p w:rsidR="00B75DAE" w:rsidRDefault="00E845F5" w:rsidP="005F117A">
      <w:r>
        <w:t xml:space="preserve">The </w:t>
      </w:r>
      <w:r w:rsidR="008978B3">
        <w:t xml:space="preserve">historical evidence does not support </w:t>
      </w:r>
      <w:r w:rsidR="00095C99">
        <w:t>AusNet Services</w:t>
      </w:r>
      <w:r w:rsidR="008978B3">
        <w:t xml:space="preserve">' </w:t>
      </w:r>
      <w:r w:rsidR="00E943A2">
        <w:t>position</w:t>
      </w:r>
      <w:r w:rsidR="00457DBF">
        <w:t>. S</w:t>
      </w:r>
      <w:r w:rsidR="005D597E" w:rsidRPr="00607D42">
        <w:t>elf</w:t>
      </w:r>
      <w:r w:rsidR="005D597E">
        <w:t xml:space="preserve">-insurance losses </w:t>
      </w:r>
      <w:r w:rsidR="008D273C">
        <w:t xml:space="preserve">do not appear to have had </w:t>
      </w:r>
      <w:r w:rsidR="005D597E">
        <w:t>a significant impact on total opex</w:t>
      </w:r>
      <w:r w:rsidR="008D273C">
        <w:t xml:space="preserve"> over time.</w:t>
      </w:r>
      <w:r w:rsidR="00214262">
        <w:t xml:space="preserve"> </w:t>
      </w:r>
      <w:r w:rsidR="002E3555">
        <w:t xml:space="preserve">AusNet Services' </w:t>
      </w:r>
      <w:r w:rsidR="008D273C">
        <w:t xml:space="preserve">total </w:t>
      </w:r>
      <w:r w:rsidR="002E3555">
        <w:t xml:space="preserve">opex is </w:t>
      </w:r>
      <w:r w:rsidR="005707B3">
        <w:t>relatively stable</w:t>
      </w:r>
      <w:r w:rsidR="00E700D4">
        <w:t xml:space="preserve"> </w:t>
      </w:r>
      <w:r w:rsidR="008D273C">
        <w:t>from year-to-year</w:t>
      </w:r>
      <w:r w:rsidR="0046280B">
        <w:t xml:space="preserve"> and self-insurance losses have been limited</w:t>
      </w:r>
      <w:r w:rsidR="00CF1074">
        <w:t>, a</w:t>
      </w:r>
      <w:r w:rsidR="00E700D4" w:rsidRPr="00E700D4">
        <w:t xml:space="preserve">s </w:t>
      </w:r>
      <w:r w:rsidR="005D597E">
        <w:t>shown</w:t>
      </w:r>
      <w:r w:rsidR="005D597E" w:rsidRPr="00E700D4">
        <w:t xml:space="preserve"> </w:t>
      </w:r>
      <w:r w:rsidR="00E700D4" w:rsidRPr="00E700D4">
        <w:t xml:space="preserve">in </w:t>
      </w:r>
      <w:r w:rsidR="00EE3368">
        <w:t>F</w:t>
      </w:r>
      <w:r w:rsidR="005266D0">
        <w:t>igure 7.3</w:t>
      </w:r>
      <w:r>
        <w:t xml:space="preserve">. </w:t>
      </w:r>
    </w:p>
    <w:p w:rsidR="00E943A2" w:rsidRDefault="00E943A2" w:rsidP="005F117A">
      <w:r>
        <w:t>In summary, w</w:t>
      </w:r>
      <w:r w:rsidRPr="00E943A2">
        <w:t xml:space="preserve">e do not consider AusNet Services' proposal justifies a departure from our </w:t>
      </w:r>
      <w:r>
        <w:t xml:space="preserve">top-down </w:t>
      </w:r>
      <w:r w:rsidRPr="00E943A2">
        <w:t>assessment approach</w:t>
      </w:r>
      <w:r>
        <w:t xml:space="preserve"> to forecasting total opex, as described in section 7.4 above.</w:t>
      </w:r>
    </w:p>
    <w:p w:rsidR="00255AB5" w:rsidRDefault="00255AB5" w:rsidP="00255AB5">
      <w:pPr>
        <w:pStyle w:val="Caption"/>
      </w:pPr>
      <w:r>
        <w:lastRenderedPageBreak/>
        <w:t xml:space="preserve">Figure </w:t>
      </w:r>
      <w:r w:rsidRPr="00205DA3">
        <w:fldChar w:fldCharType="begin"/>
      </w:r>
      <w:r>
        <w:instrText xml:space="preserve"> STYLEREF 1 \s </w:instrText>
      </w:r>
      <w:r w:rsidRPr="00205DA3">
        <w:fldChar w:fldCharType="separate"/>
      </w:r>
      <w:r w:rsidR="003042CF">
        <w:rPr>
          <w:noProof/>
        </w:rPr>
        <w:t>7</w:t>
      </w:r>
      <w:r w:rsidRPr="00205DA3">
        <w:fldChar w:fldCharType="end"/>
      </w:r>
      <w:r>
        <w:t>.3</w:t>
      </w:r>
      <w:r>
        <w:tab/>
      </w:r>
      <w:r w:rsidRPr="001C20CA">
        <w:t xml:space="preserve">AusNet Services' </w:t>
      </w:r>
      <w:r w:rsidR="00BF643C">
        <w:t xml:space="preserve">self-insurance cash payouts </w:t>
      </w:r>
      <w:r w:rsidR="004E7AB6">
        <w:t>compared to</w:t>
      </w:r>
      <w:r w:rsidR="00BF643C">
        <w:t xml:space="preserve"> </w:t>
      </w:r>
      <w:r w:rsidR="004E7AB6">
        <w:t xml:space="preserve">its total </w:t>
      </w:r>
      <w:r w:rsidRPr="001C20CA">
        <w:t>opex ($ million, 2016–17)</w:t>
      </w:r>
    </w:p>
    <w:p w:rsidR="00255AB5" w:rsidRDefault="00BF643C" w:rsidP="00255AB5">
      <w:r w:rsidRPr="00BF643C">
        <w:rPr>
          <w:noProof/>
          <w:lang w:eastAsia="en-AU"/>
        </w:rPr>
        <w:drawing>
          <wp:inline distT="0" distB="0" distL="0" distR="0" wp14:anchorId="60CA5D2B" wp14:editId="4E652877">
            <wp:extent cx="5382895" cy="3066392"/>
            <wp:effectExtent l="0" t="0" r="825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066392"/>
                    </a:xfrm>
                    <a:prstGeom prst="rect">
                      <a:avLst/>
                    </a:prstGeom>
                    <a:noFill/>
                    <a:ln>
                      <a:noFill/>
                    </a:ln>
                  </pic:spPr>
                </pic:pic>
              </a:graphicData>
            </a:graphic>
          </wp:inline>
        </w:drawing>
      </w:r>
    </w:p>
    <w:p w:rsidR="00255AB5" w:rsidRPr="001C20CA" w:rsidRDefault="00255AB5" w:rsidP="00BF643C">
      <w:pPr>
        <w:pStyle w:val="Source"/>
      </w:pPr>
      <w:r w:rsidRPr="001C20CA">
        <w:t xml:space="preserve">Source: AusNet Services, </w:t>
      </w:r>
      <w:r w:rsidR="00BF643C" w:rsidRPr="00BF643C">
        <w:rPr>
          <w:rStyle w:val="Emphasis"/>
        </w:rPr>
        <w:t>R</w:t>
      </w:r>
      <w:r w:rsidR="00BF643C">
        <w:rPr>
          <w:rStyle w:val="Emphasis"/>
        </w:rPr>
        <w:t>egulatory accounts 2008–09 to 2015–</w:t>
      </w:r>
      <w:r w:rsidR="00BF643C" w:rsidRPr="00BF643C">
        <w:rPr>
          <w:rStyle w:val="Emphasis"/>
        </w:rPr>
        <w:t>16</w:t>
      </w:r>
      <w:r w:rsidR="00BF643C">
        <w:t xml:space="preserve">. Provisions data sourced from </w:t>
      </w:r>
      <w:r w:rsidR="00BF643C" w:rsidRPr="001C20CA">
        <w:t xml:space="preserve">AusNet Services, </w:t>
      </w:r>
      <w:r w:rsidR="00BF643C">
        <w:rPr>
          <w:rStyle w:val="Emphasis"/>
        </w:rPr>
        <w:t>EB RINs 2008–09 to 2015–</w:t>
      </w:r>
      <w:r w:rsidR="00BF643C" w:rsidRPr="00BF643C">
        <w:rPr>
          <w:rStyle w:val="Emphasis"/>
        </w:rPr>
        <w:t>16</w:t>
      </w:r>
      <w:r w:rsidR="00BF643C">
        <w:rPr>
          <w:rStyle w:val="Emphasis"/>
        </w:rPr>
        <w:t xml:space="preserve">. </w:t>
      </w:r>
    </w:p>
    <w:p w:rsidR="00255AB5" w:rsidRDefault="00255AB5" w:rsidP="00BF643C">
      <w:pPr>
        <w:pStyle w:val="Source"/>
        <w:rPr>
          <w:rStyle w:val="AERbody"/>
        </w:rPr>
      </w:pPr>
      <w:r w:rsidRPr="001C20CA">
        <w:t xml:space="preserve">Note: </w:t>
      </w:r>
      <w:r w:rsidR="00BF643C">
        <w:t>Reported o</w:t>
      </w:r>
      <w:r w:rsidRPr="001C20CA">
        <w:t xml:space="preserve">pex </w:t>
      </w:r>
      <w:r w:rsidR="00BF643C">
        <w:t>excluding</w:t>
      </w:r>
      <w:r w:rsidRPr="001C20CA">
        <w:t xml:space="preserve"> easement land tax</w:t>
      </w:r>
      <w:r w:rsidR="00BF643C">
        <w:t>, AIS rebate</w:t>
      </w:r>
      <w:r w:rsidRPr="001C20CA">
        <w:t xml:space="preserve"> and provisions.</w:t>
      </w:r>
    </w:p>
    <w:p w:rsidR="00C14C73" w:rsidRDefault="00C14C73" w:rsidP="00A2711C">
      <w:pPr>
        <w:pStyle w:val="HeadingOrange"/>
      </w:pPr>
      <w:bookmarkStart w:id="63" w:name="_Toc480809674"/>
      <w:r>
        <w:t>EBSS interactions</w:t>
      </w:r>
      <w:bookmarkEnd w:id="63"/>
    </w:p>
    <w:p w:rsidR="004E28B7" w:rsidRDefault="005146E4">
      <w:pPr>
        <w:rPr>
          <w:rStyle w:val="AERbody"/>
        </w:rPr>
      </w:pPr>
      <w:r>
        <w:t>T</w:t>
      </w:r>
      <w:r w:rsidR="00331796">
        <w:t>he EBSS only works in conjunction with a revealed cost forecasting approach.</w:t>
      </w:r>
      <w:r w:rsidR="008E504F" w:rsidRPr="008E504F">
        <w:rPr>
          <w:rStyle w:val="AERbody"/>
        </w:rPr>
        <w:t xml:space="preserve"> </w:t>
      </w:r>
      <w:r w:rsidR="00A44D5E">
        <w:rPr>
          <w:rStyle w:val="AERbody"/>
        </w:rPr>
        <w:t xml:space="preserve">If we do not use revealed costs to forecast a category of opex, and the EBSS does not apply to that category, a </w:t>
      </w:r>
      <w:r w:rsidR="0083014E">
        <w:rPr>
          <w:rStyle w:val="AERbody"/>
        </w:rPr>
        <w:t>business</w:t>
      </w:r>
      <w:r w:rsidR="00A44D5E">
        <w:rPr>
          <w:rStyle w:val="AERbody"/>
        </w:rPr>
        <w:t xml:space="preserve"> will retain 100 per cent of any underspends</w:t>
      </w:r>
      <w:r w:rsidR="00EC4A1B">
        <w:rPr>
          <w:rStyle w:val="AERbody"/>
        </w:rPr>
        <w:t xml:space="preserve"> or conversely,</w:t>
      </w:r>
      <w:r w:rsidR="00331796">
        <w:rPr>
          <w:rStyle w:val="AERbody"/>
        </w:rPr>
        <w:t xml:space="preserve"> </w:t>
      </w:r>
      <w:r w:rsidR="00065FC1">
        <w:rPr>
          <w:rStyle w:val="AERbody"/>
        </w:rPr>
        <w:t>incur</w:t>
      </w:r>
      <w:r w:rsidR="00331796">
        <w:rPr>
          <w:rStyle w:val="AERbody"/>
        </w:rPr>
        <w:t xml:space="preserve"> 100 per cent of any overspends. </w:t>
      </w:r>
      <w:r w:rsidR="005C0C6F">
        <w:rPr>
          <w:rStyle w:val="AERbody"/>
        </w:rPr>
        <w:t>This exposes the business to a higher forecasting risk if its actual expenditure significantly exceeds its category specific forecast. This is in contrast to sharing that risk with consumers where that category is included in base opex and therefore subject to the EBSS.</w:t>
      </w:r>
    </w:p>
    <w:p w:rsidR="00D50738" w:rsidRDefault="00D50738" w:rsidP="00D50738">
      <w:pPr>
        <w:rPr>
          <w:rStyle w:val="AERbody"/>
        </w:rPr>
      </w:pPr>
      <w:r>
        <w:rPr>
          <w:rStyle w:val="AERbody"/>
        </w:rPr>
        <w:t>We consider self-insurance should</w:t>
      </w:r>
      <w:r w:rsidRPr="008E504F">
        <w:rPr>
          <w:rStyle w:val="AERbody"/>
        </w:rPr>
        <w:t xml:space="preserve"> be subject to the EBSS</w:t>
      </w:r>
      <w:r w:rsidR="000A0B54">
        <w:rPr>
          <w:rStyle w:val="AERbody"/>
        </w:rPr>
        <w:t xml:space="preserve"> for </w:t>
      </w:r>
      <w:r w:rsidR="00515113">
        <w:rPr>
          <w:rStyle w:val="AERbody"/>
        </w:rPr>
        <w:t xml:space="preserve">two main </w:t>
      </w:r>
      <w:r w:rsidR="000A0B54">
        <w:rPr>
          <w:rStyle w:val="AERbody"/>
        </w:rPr>
        <w:t>reasons:</w:t>
      </w:r>
    </w:p>
    <w:p w:rsidR="0005574E" w:rsidRDefault="00D50738" w:rsidP="00515113">
      <w:pPr>
        <w:rPr>
          <w:rStyle w:val="AERbody"/>
        </w:rPr>
      </w:pPr>
      <w:r>
        <w:rPr>
          <w:rStyle w:val="AERbody"/>
        </w:rPr>
        <w:t xml:space="preserve">First, </w:t>
      </w:r>
      <w:r w:rsidR="00343E29">
        <w:rPr>
          <w:rStyle w:val="AERbody"/>
        </w:rPr>
        <w:t xml:space="preserve">AusNet Services benefits from applying an EBSS to self-insurance costs. AusNet Services </w:t>
      </w:r>
      <w:r w:rsidR="00375D8E">
        <w:rPr>
          <w:rStyle w:val="AERbody"/>
        </w:rPr>
        <w:t>submits</w:t>
      </w:r>
      <w:r w:rsidR="00343E29">
        <w:rPr>
          <w:rStyle w:val="AERbody"/>
        </w:rPr>
        <w:t xml:space="preserve"> self-insurance events are uncontrollable,</w:t>
      </w:r>
      <w:r w:rsidR="00343E29">
        <w:rPr>
          <w:rStyle w:val="FootnoteReference"/>
        </w:rPr>
        <w:footnoteReference w:id="168"/>
      </w:r>
      <w:r w:rsidR="00343E29">
        <w:rPr>
          <w:rStyle w:val="AERbody"/>
        </w:rPr>
        <w:t xml:space="preserve"> and 'self-insurance losses are by nature volatile and can vary markedly from year to year'.</w:t>
      </w:r>
      <w:r w:rsidR="00343E29">
        <w:rPr>
          <w:rStyle w:val="FootnoteReference"/>
        </w:rPr>
        <w:footnoteReference w:id="169"/>
      </w:r>
      <w:r w:rsidR="00343E29">
        <w:rPr>
          <w:rStyle w:val="AERbody"/>
        </w:rPr>
        <w:t xml:space="preserve"> </w:t>
      </w:r>
      <w:r w:rsidR="005266D0">
        <w:rPr>
          <w:rStyle w:val="AERbody"/>
        </w:rPr>
        <w:t xml:space="preserve">If AusNet Services incurs a significant self-insurance loss exceeding the revealed cost forecast, the EBSS allocates the cost between AusNet Services and its customers in the proportion of </w:t>
      </w:r>
      <w:r w:rsidR="00434770">
        <w:rPr>
          <w:rStyle w:val="AERbody"/>
        </w:rPr>
        <w:t xml:space="preserve">approximately </w:t>
      </w:r>
      <w:r w:rsidR="005266D0">
        <w:rPr>
          <w:rStyle w:val="AERbody"/>
        </w:rPr>
        <w:t xml:space="preserve">30:70, thereby reducing AusNet Services' risk of a substantial loss. </w:t>
      </w:r>
    </w:p>
    <w:p w:rsidR="00515113" w:rsidRPr="00C626B7" w:rsidRDefault="005266D0" w:rsidP="00515113">
      <w:pPr>
        <w:rPr>
          <w:rStyle w:val="AERbody"/>
        </w:rPr>
      </w:pPr>
      <w:r>
        <w:rPr>
          <w:rStyle w:val="AERbody"/>
        </w:rPr>
        <w:lastRenderedPageBreak/>
        <w:t xml:space="preserve">If a category specific forecast is adopted, AusNet Services </w:t>
      </w:r>
      <w:r w:rsidR="00515113">
        <w:rPr>
          <w:rStyle w:val="AERbody"/>
        </w:rPr>
        <w:t xml:space="preserve">cannot mitigate its forecasting risk in this way, and </w:t>
      </w:r>
      <w:r>
        <w:rPr>
          <w:rStyle w:val="AERbody"/>
        </w:rPr>
        <w:t>will</w:t>
      </w:r>
      <w:r w:rsidR="00515113">
        <w:rPr>
          <w:rStyle w:val="AERbody"/>
        </w:rPr>
        <w:t xml:space="preserve"> therefore</w:t>
      </w:r>
      <w:r>
        <w:rPr>
          <w:rStyle w:val="AERbody"/>
        </w:rPr>
        <w:t xml:space="preserve"> have to bear the full costs of any self-insurance loss that exceeds its forecast. </w:t>
      </w:r>
      <w:r w:rsidR="0005574E">
        <w:rPr>
          <w:rStyle w:val="AERbody"/>
        </w:rPr>
        <w:t>In a similar sense</w:t>
      </w:r>
      <w:r w:rsidR="00515113" w:rsidRPr="00C626B7">
        <w:rPr>
          <w:rStyle w:val="AERbody"/>
        </w:rPr>
        <w:t>, a business will be incentivised to apply a category-specific forecast if it expects to underspend against the forecast amount, with the result that the EBSS does not apply and the business therefore ends up retaining the entirety of any underspend for that category, rather than having to share the underspend with consumers through the EBSS.</w:t>
      </w:r>
    </w:p>
    <w:p w:rsidR="0005574E" w:rsidRDefault="00515113">
      <w:r>
        <w:t>Second</w:t>
      </w:r>
      <w:r w:rsidR="00687CCB">
        <w:t>, a</w:t>
      </w:r>
      <w:r w:rsidR="0083014E">
        <w:t xml:space="preserve">pplying the EBSS to external insurance and not to self-insurance </w:t>
      </w:r>
      <w:r w:rsidR="008978B3">
        <w:t>could</w:t>
      </w:r>
      <w:r w:rsidR="00285449">
        <w:t xml:space="preserve"> </w:t>
      </w:r>
      <w:r w:rsidR="0083014E">
        <w:t xml:space="preserve">distort the choice between </w:t>
      </w:r>
      <w:r w:rsidR="00331796">
        <w:t>insuring or self-insuring risk</w:t>
      </w:r>
      <w:r w:rsidR="0083014E">
        <w:t xml:space="preserve">. </w:t>
      </w:r>
      <w:r w:rsidR="00BC186C">
        <w:t xml:space="preserve">The inconsistent sharing of efficiency </w:t>
      </w:r>
      <w:r w:rsidR="0083014E">
        <w:t>gains between</w:t>
      </w:r>
      <w:r w:rsidR="00BC186C">
        <w:t xml:space="preserve"> costs forecast on a </w:t>
      </w:r>
      <w:r w:rsidR="00687CCB">
        <w:t>'</w:t>
      </w:r>
      <w:r w:rsidR="00BC186C">
        <w:t>revealed cost</w:t>
      </w:r>
      <w:r w:rsidR="00687CCB">
        <w:t>'</w:t>
      </w:r>
      <w:r w:rsidR="00BC186C">
        <w:t xml:space="preserve"> basis and those using a category specific forecast can distort the incentive to spend efficiently if there is any substitutability between cost categories. </w:t>
      </w:r>
    </w:p>
    <w:p w:rsidR="0005574E" w:rsidRDefault="00BC186C">
      <w:r>
        <w:t xml:space="preserve">In </w:t>
      </w:r>
      <w:r w:rsidR="00EA1FBC">
        <w:t xml:space="preserve">some </w:t>
      </w:r>
      <w:r>
        <w:t xml:space="preserve">cases the </w:t>
      </w:r>
      <w:r w:rsidR="00AB765B">
        <w:t>service provider</w:t>
      </w:r>
      <w:r>
        <w:t xml:space="preserve"> </w:t>
      </w:r>
      <w:r w:rsidR="00EA1FBC">
        <w:t xml:space="preserve">may </w:t>
      </w:r>
      <w:r>
        <w:t xml:space="preserve">have an incentive to </w:t>
      </w:r>
      <w:r w:rsidR="00285449">
        <w:t xml:space="preserve">increase </w:t>
      </w:r>
      <w:r>
        <w:t xml:space="preserve">expenditure </w:t>
      </w:r>
      <w:r w:rsidR="00EA1FBC">
        <w:t>on</w:t>
      </w:r>
      <w:r>
        <w:t xml:space="preserve"> categor</w:t>
      </w:r>
      <w:r w:rsidR="00EA1FBC">
        <w:t>ies</w:t>
      </w:r>
      <w:r>
        <w:t xml:space="preserve"> forecast on a category specific basis and </w:t>
      </w:r>
      <w:r w:rsidR="00285449">
        <w:t xml:space="preserve">reduce </w:t>
      </w:r>
      <w:r>
        <w:t xml:space="preserve">expenditure on categories included in the revealed cost forecast. </w:t>
      </w:r>
      <w:r w:rsidR="00285449">
        <w:t xml:space="preserve">This is because it </w:t>
      </w:r>
      <w:r w:rsidR="003B6F38">
        <w:t>would generate an EBSS reward without actually making an efficiency gain and reducing its total opex</w:t>
      </w:r>
      <w:r w:rsidR="00285449">
        <w:t xml:space="preserve">. </w:t>
      </w:r>
      <w:r>
        <w:t xml:space="preserve">A </w:t>
      </w:r>
      <w:r w:rsidR="00AB765B">
        <w:t>service provider</w:t>
      </w:r>
      <w:r>
        <w:t xml:space="preserve"> may be better off doing this even if it </w:t>
      </w:r>
      <w:r w:rsidR="008978B3">
        <w:t>results in an in</w:t>
      </w:r>
      <w:r>
        <w:t>efficient</w:t>
      </w:r>
      <w:r w:rsidR="008978B3">
        <w:t xml:space="preserve"> outcome</w:t>
      </w:r>
      <w:r>
        <w:t xml:space="preserve">. </w:t>
      </w:r>
    </w:p>
    <w:p w:rsidR="002304D5" w:rsidRDefault="004E4BC0">
      <w:r>
        <w:t>For this reason</w:t>
      </w:r>
      <w:r w:rsidR="008978B3">
        <w:t>, we consider</w:t>
      </w:r>
      <w:r>
        <w:t xml:space="preserve"> A</w:t>
      </w:r>
      <w:r w:rsidR="00BC186C">
        <w:t xml:space="preserve">usNet Services </w:t>
      </w:r>
      <w:r w:rsidR="008978B3">
        <w:t>would</w:t>
      </w:r>
      <w:r w:rsidR="00BC186C">
        <w:t xml:space="preserve"> not have an incentive to adopt the efficient mix of insurance and self-insurance</w:t>
      </w:r>
      <w:r>
        <w:t xml:space="preserve"> if we forecast self-insurance on a category specific basis and exclude it from the EBSS</w:t>
      </w:r>
      <w:r w:rsidR="00BC186C">
        <w:t xml:space="preserve">. </w:t>
      </w:r>
    </w:p>
    <w:p w:rsidR="00C81381" w:rsidRDefault="00C14C73" w:rsidP="00A2711C">
      <w:pPr>
        <w:pStyle w:val="HeadingOrange"/>
      </w:pPr>
      <w:bookmarkStart w:id="64" w:name="_Toc480809675"/>
      <w:r>
        <w:t>W</w:t>
      </w:r>
      <w:r w:rsidR="00C81381">
        <w:t>hy we include actual losses in base opex</w:t>
      </w:r>
      <w:r w:rsidR="00BE3275">
        <w:t xml:space="preserve"> </w:t>
      </w:r>
      <w:r w:rsidR="00BE3275" w:rsidRPr="00BE3275">
        <w:t>and not theoretical premiums</w:t>
      </w:r>
      <w:bookmarkEnd w:id="64"/>
    </w:p>
    <w:p w:rsidR="00515113" w:rsidRPr="00C626B7" w:rsidRDefault="00C14C73" w:rsidP="00515113">
      <w:r>
        <w:t>T</w:t>
      </w:r>
      <w:r w:rsidR="001273D2" w:rsidRPr="00D633E2">
        <w:t>o determine the base year component of opex</w:t>
      </w:r>
      <w:r w:rsidR="001273D2">
        <w:t xml:space="preserve"> under our method</w:t>
      </w:r>
      <w:r w:rsidR="001273D2" w:rsidRPr="00D633E2">
        <w:t xml:space="preserve">, we rely principally on the </w:t>
      </w:r>
      <w:r w:rsidR="001273D2">
        <w:t>business'</w:t>
      </w:r>
      <w:r w:rsidR="001273D2" w:rsidRPr="00D633E2">
        <w:t xml:space="preserve"> revealed costs in a given base year.</w:t>
      </w:r>
      <w:r w:rsidR="001273D2">
        <w:t xml:space="preserve"> </w:t>
      </w:r>
      <w:r w:rsidR="005761FF">
        <w:t>In this case, w</w:t>
      </w:r>
      <w:r w:rsidR="00803266">
        <w:t xml:space="preserve">e </w:t>
      </w:r>
      <w:r w:rsidR="00803266" w:rsidRPr="00C31089">
        <w:t>use</w:t>
      </w:r>
      <w:r w:rsidR="00803266">
        <w:t>d</w:t>
      </w:r>
      <w:r w:rsidR="00803266" w:rsidRPr="00C31089">
        <w:t xml:space="preserve"> </w:t>
      </w:r>
      <w:r w:rsidR="00803266">
        <w:t>AusNet Services'</w:t>
      </w:r>
      <w:r w:rsidR="00803266" w:rsidRPr="00C31089">
        <w:t xml:space="preserve"> audited historical costs in </w:t>
      </w:r>
      <w:r w:rsidR="00803266">
        <w:t xml:space="preserve">2014–15 as </w:t>
      </w:r>
      <w:r w:rsidR="001D772D">
        <w:t>the</w:t>
      </w:r>
      <w:r w:rsidR="001D772D" w:rsidRPr="00C31089">
        <w:t xml:space="preserve"> starting point for </w:t>
      </w:r>
      <w:r w:rsidR="003151B3">
        <w:t>our base–</w:t>
      </w:r>
      <w:r w:rsidR="001D772D">
        <w:t>step</w:t>
      </w:r>
      <w:r w:rsidR="003151B3">
        <w:t>–</w:t>
      </w:r>
      <w:r w:rsidR="001D772D">
        <w:t xml:space="preserve">trend </w:t>
      </w:r>
      <w:r w:rsidR="00803266">
        <w:t>forecast</w:t>
      </w:r>
      <w:r w:rsidR="001D772D" w:rsidRPr="00C31089">
        <w:t>.</w:t>
      </w:r>
      <w:r w:rsidR="00B6017D">
        <w:t xml:space="preserve"> AusNet Services</w:t>
      </w:r>
      <w:r w:rsidR="00434770">
        <w:t>'</w:t>
      </w:r>
      <w:r w:rsidR="00B6017D">
        <w:t xml:space="preserve"> audited costs include actual self-insur</w:t>
      </w:r>
      <w:r w:rsidR="00037D3C">
        <w:t>ance</w:t>
      </w:r>
      <w:r w:rsidR="00B6017D">
        <w:t xml:space="preserve"> costs incurred.</w:t>
      </w:r>
      <w:r w:rsidR="0095409F">
        <w:rPr>
          <w:rStyle w:val="FootnoteReference"/>
        </w:rPr>
        <w:footnoteReference w:id="170"/>
      </w:r>
      <w:r w:rsidR="00515113">
        <w:t xml:space="preserve"> </w:t>
      </w:r>
      <w:r w:rsidR="00515113" w:rsidRPr="00C626B7">
        <w:t>However, AusNet Services makes an accounting adjustment in its regulatory accounts, netting off its actual self-insurance costs against the self-insurance forecast allowed in its previous transmission determination.</w:t>
      </w:r>
      <w:r w:rsidR="00515113" w:rsidRPr="00C626B7">
        <w:rPr>
          <w:rStyle w:val="FootnoteReference"/>
        </w:rPr>
        <w:footnoteReference w:id="171"/>
      </w:r>
    </w:p>
    <w:p w:rsidR="001A7084" w:rsidRDefault="0095409F" w:rsidP="0005574E">
      <w:r>
        <w:t xml:space="preserve">AusNet Services </w:t>
      </w:r>
      <w:r w:rsidR="00375D8E">
        <w:t xml:space="preserve">submitted </w:t>
      </w:r>
      <w:r>
        <w:t>we made an error basing our self-insurance analysis on actual losses, rather than on a 'conceptual' premium.</w:t>
      </w:r>
      <w:r w:rsidR="00515113" w:rsidRPr="00515113">
        <w:t xml:space="preserve"> </w:t>
      </w:r>
      <w:r w:rsidR="00515113" w:rsidRPr="00C626B7">
        <w:t>AusNet Services submit</w:t>
      </w:r>
      <w:r w:rsidR="00515113">
        <w:t>ted</w:t>
      </w:r>
      <w:r w:rsidR="00515113" w:rsidRPr="00C626B7">
        <w:t xml:space="preserve"> that self-insurance is analogous to insurance, with the </w:t>
      </w:r>
      <w:r w:rsidR="00515113">
        <w:t>‘</w:t>
      </w:r>
      <w:r w:rsidR="00515113" w:rsidRPr="00C626B7">
        <w:t>premium</w:t>
      </w:r>
      <w:r w:rsidR="00515113">
        <w:t>’</w:t>
      </w:r>
      <w:r w:rsidR="00515113" w:rsidRPr="00C626B7">
        <w:t xml:space="preserve"> being an actuarially assessed self-insurance allowance, and the costs of the actual self-insured events being equivalent to insurance losses that are claimed under an insurance policy.</w:t>
      </w:r>
      <w:r w:rsidR="00E9192F">
        <w:rPr>
          <w:rStyle w:val="FootnoteReference"/>
        </w:rPr>
        <w:footnoteReference w:id="172"/>
      </w:r>
      <w:r w:rsidR="00140F6B">
        <w:t xml:space="preserve"> </w:t>
      </w:r>
    </w:p>
    <w:p w:rsidR="00431C7A" w:rsidRDefault="00431C7A" w:rsidP="00431C7A">
      <w:r>
        <w:t xml:space="preserve">We </w:t>
      </w:r>
      <w:r w:rsidR="00140F6B">
        <w:t>consider that</w:t>
      </w:r>
      <w:r w:rsidR="00515113">
        <w:t xml:space="preserve">, for both </w:t>
      </w:r>
      <w:r w:rsidR="0005574E">
        <w:t xml:space="preserve">our </w:t>
      </w:r>
      <w:r w:rsidR="00515113">
        <w:t>opex forecast and EBSS purposes,</w:t>
      </w:r>
      <w:r>
        <w:t xml:space="preserve"> </w:t>
      </w:r>
      <w:r w:rsidR="00140F6B">
        <w:t>the costs incurred by AusNet Services are its self</w:t>
      </w:r>
      <w:r w:rsidR="00140F6B">
        <w:noBreakHyphen/>
        <w:t xml:space="preserve">insurance losses </w:t>
      </w:r>
      <w:r w:rsidR="00556D37">
        <w:t xml:space="preserve">and </w:t>
      </w:r>
      <w:r w:rsidR="00140F6B">
        <w:t xml:space="preserve">not a notional </w:t>
      </w:r>
      <w:r>
        <w:t xml:space="preserve">self-insurance 'premium'. </w:t>
      </w:r>
    </w:p>
    <w:p w:rsidR="001A7084" w:rsidRDefault="002304D5" w:rsidP="008F14FD">
      <w:r>
        <w:lastRenderedPageBreak/>
        <w:t>U</w:t>
      </w:r>
      <w:r w:rsidR="001A7084">
        <w:t xml:space="preserve">nlike external </w:t>
      </w:r>
      <w:r w:rsidR="001A7084" w:rsidRPr="006B3D6B">
        <w:t xml:space="preserve">insurance, </w:t>
      </w:r>
      <w:r w:rsidR="001A7084">
        <w:t xml:space="preserve">AusNet Services does not actually pay a self-insurance </w:t>
      </w:r>
      <w:r w:rsidR="00515113">
        <w:t>'</w:t>
      </w:r>
      <w:r w:rsidR="001A7084" w:rsidRPr="006B3D6B">
        <w:t>premium</w:t>
      </w:r>
      <w:r w:rsidR="00515113">
        <w:t>'</w:t>
      </w:r>
      <w:r w:rsidR="008978B3">
        <w:t xml:space="preserve"> to any party</w:t>
      </w:r>
      <w:r w:rsidR="001A7084" w:rsidRPr="006B3D6B">
        <w:t>.</w:t>
      </w:r>
      <w:r w:rsidR="001A7084">
        <w:t xml:space="preserve"> </w:t>
      </w:r>
      <w:r w:rsidR="00D1329F">
        <w:t>The premium is only</w:t>
      </w:r>
      <w:r w:rsidR="001A7084" w:rsidRPr="00D0689A">
        <w:t xml:space="preserve"> a notional </w:t>
      </w:r>
      <w:r w:rsidR="00515113">
        <w:t xml:space="preserve">provision </w:t>
      </w:r>
      <w:r w:rsidR="00880D1E">
        <w:t>that</w:t>
      </w:r>
      <w:r w:rsidR="00880D1E" w:rsidRPr="00D0689A">
        <w:t xml:space="preserve"> </w:t>
      </w:r>
      <w:r w:rsidR="00880D1E">
        <w:t>is</w:t>
      </w:r>
      <w:r w:rsidR="00515113">
        <w:t xml:space="preserve"> made by way of an accounting entry in AusNet Services' regulatory accounts</w:t>
      </w:r>
      <w:r w:rsidR="001A7084" w:rsidRPr="00D0689A">
        <w:t>.</w:t>
      </w:r>
      <w:r w:rsidR="001A7084">
        <w:t xml:space="preserve"> </w:t>
      </w:r>
    </w:p>
    <w:p w:rsidR="004E7D26" w:rsidRDefault="008F14FD" w:rsidP="001A7084">
      <w:r>
        <w:t>For both</w:t>
      </w:r>
      <w:r w:rsidR="001A7084">
        <w:t xml:space="preserve"> self-insurance costs </w:t>
      </w:r>
      <w:r>
        <w:t>and external</w:t>
      </w:r>
      <w:r w:rsidR="001A7084">
        <w:t xml:space="preserve"> insurance</w:t>
      </w:r>
      <w:r>
        <w:t>,</w:t>
      </w:r>
      <w:r w:rsidR="001A7084">
        <w:t xml:space="preserve"> </w:t>
      </w:r>
      <w:r w:rsidR="004E7D26">
        <w:t xml:space="preserve">we use </w:t>
      </w:r>
      <w:r w:rsidR="001A7084">
        <w:t xml:space="preserve">expenditure </w:t>
      </w:r>
      <w:r w:rsidR="001A7084" w:rsidRPr="007B7BFC">
        <w:rPr>
          <w:rStyle w:val="AERbody"/>
        </w:rPr>
        <w:t>incurred</w:t>
      </w:r>
      <w:r w:rsidR="004E7D26" w:rsidRPr="004E7D26">
        <w:t xml:space="preserve"> </w:t>
      </w:r>
      <w:r w:rsidR="004E7D26">
        <w:t>to establish revealed costs</w:t>
      </w:r>
      <w:r w:rsidR="001A7084">
        <w:t xml:space="preserve">. </w:t>
      </w:r>
      <w:r w:rsidR="001D66AB">
        <w:t>That is, w</w:t>
      </w:r>
      <w:r w:rsidR="001A7084">
        <w:t xml:space="preserve">e include the actual costs </w:t>
      </w:r>
      <w:r w:rsidR="004E7D26">
        <w:t>incurred</w:t>
      </w:r>
      <w:r w:rsidR="001A7084">
        <w:t xml:space="preserve"> for self-insurance and we include the actual costs incurred for external insurance. </w:t>
      </w:r>
      <w:r w:rsidR="004E7D26">
        <w:t>R</w:t>
      </w:r>
      <w:r w:rsidR="001A7084">
        <w:t xml:space="preserve">egardless of the category, we include payments made by AusNet Services to </w:t>
      </w:r>
      <w:r w:rsidR="006D4E58">
        <w:t xml:space="preserve">other </w:t>
      </w:r>
      <w:r w:rsidR="001A7084">
        <w:t>parties as actual costs.</w:t>
      </w:r>
      <w:r w:rsidR="004E7D26">
        <w:t xml:space="preserve"> </w:t>
      </w:r>
    </w:p>
    <w:p w:rsidR="001A7084" w:rsidRDefault="004E7D26" w:rsidP="004E7D26">
      <w:r>
        <w:t>Our treatment of self-insured costs</w:t>
      </w:r>
      <w:r w:rsidR="0005574E">
        <w:t xml:space="preserve">—more </w:t>
      </w:r>
      <w:r w:rsidR="00475A41">
        <w:t>specifically, our decision to include losses rather than premiums</w:t>
      </w:r>
      <w:r w:rsidR="0005574E">
        <w:t>—</w:t>
      </w:r>
      <w:r>
        <w:t xml:space="preserve">is consistent with </w:t>
      </w:r>
      <w:r w:rsidR="005761FF">
        <w:t>our treatment of</w:t>
      </w:r>
      <w:r>
        <w:t xml:space="preserve"> movements in provisions. </w:t>
      </w:r>
      <w:r w:rsidR="005761FF">
        <w:t xml:space="preserve">We </w:t>
      </w:r>
      <w:r w:rsidR="008F14FD">
        <w:t>exclude</w:t>
      </w:r>
      <w:r w:rsidR="008F14FD" w:rsidRPr="004E7D26">
        <w:t xml:space="preserve"> </w:t>
      </w:r>
      <w:r w:rsidRPr="004E7D26">
        <w:t>‘movements in provisions’ from base year opex forecasts used to determine revenue requirements.</w:t>
      </w:r>
      <w:r w:rsidR="005761FF">
        <w:t xml:space="preserve"> We also </w:t>
      </w:r>
      <w:r w:rsidR="008F14FD">
        <w:t xml:space="preserve">exclude </w:t>
      </w:r>
      <w:r w:rsidR="005761FF">
        <w:t>them when we calculate efficiency gains or losses. I</w:t>
      </w:r>
      <w:r w:rsidR="005761FF" w:rsidRPr="005761FF">
        <w:t xml:space="preserve">n </w:t>
      </w:r>
      <w:r w:rsidR="005761FF">
        <w:t xml:space="preserve">our view, </w:t>
      </w:r>
      <w:r w:rsidR="008F14FD">
        <w:t xml:space="preserve">year-to-year </w:t>
      </w:r>
      <w:r w:rsidR="00880D1E">
        <w:t xml:space="preserve">changes </w:t>
      </w:r>
      <w:r w:rsidR="00880D1E" w:rsidRPr="005761FF">
        <w:t>in</w:t>
      </w:r>
      <w:r w:rsidR="005761FF" w:rsidRPr="005761FF">
        <w:t xml:space="preserve"> provisions do not represent actual cost</w:t>
      </w:r>
      <w:r w:rsidR="008F14FD">
        <w:t>s</w:t>
      </w:r>
      <w:r w:rsidR="005761FF" w:rsidRPr="005761FF">
        <w:t xml:space="preserve"> incurred in delivering network services.</w:t>
      </w:r>
      <w:r w:rsidR="008F14FD" w:rsidRPr="00C626B7">
        <w:rPr>
          <w:rStyle w:val="FootnoteReference"/>
        </w:rPr>
        <w:footnoteReference w:id="173"/>
      </w:r>
    </w:p>
    <w:p w:rsidR="008F14FD" w:rsidRPr="00C626B7" w:rsidRDefault="008F14FD" w:rsidP="008F14FD">
      <w:r w:rsidRPr="00C626B7">
        <w:t xml:space="preserve">We </w:t>
      </w:r>
      <w:r>
        <w:t xml:space="preserve">therefore </w:t>
      </w:r>
      <w:r w:rsidRPr="00C626B7">
        <w:t>disagree with AusNet Services that the recording of a provision in its regulatory accounts reflects a cost that it incurs.</w:t>
      </w:r>
      <w:r w:rsidRPr="00C626B7">
        <w:rPr>
          <w:rStyle w:val="FootnoteReference"/>
        </w:rPr>
        <w:footnoteReference w:id="174"/>
      </w:r>
      <w:r w:rsidR="00880D1E">
        <w:t xml:space="preserve"> </w:t>
      </w:r>
      <w:r w:rsidR="0005574E">
        <w:t>E</w:t>
      </w:r>
      <w:r w:rsidRPr="00C626B7">
        <w:t xml:space="preserve">ven if AusNet Services maintained a dedicated reserve against its future self-insured losses, they </w:t>
      </w:r>
      <w:r>
        <w:t xml:space="preserve">would </w:t>
      </w:r>
      <w:r w:rsidRPr="00C626B7">
        <w:t xml:space="preserve">not </w:t>
      </w:r>
      <w:r>
        <w:t xml:space="preserve">be </w:t>
      </w:r>
      <w:r w:rsidRPr="00C626B7">
        <w:t>an actually incurred cost until the funds set aside are paid to another party.</w:t>
      </w:r>
    </w:p>
    <w:p w:rsidR="000646F7" w:rsidRDefault="000646F7" w:rsidP="00CD1D8B">
      <w:pPr>
        <w:pStyle w:val="Heading3"/>
      </w:pPr>
      <w:bookmarkStart w:id="65" w:name="_Toc480809676"/>
      <w:r>
        <w:t>Interrelationships</w:t>
      </w:r>
      <w:bookmarkEnd w:id="65"/>
    </w:p>
    <w:p w:rsidR="000F0C0F" w:rsidRPr="000F0C0F" w:rsidRDefault="000F0C0F" w:rsidP="000F0C0F">
      <w:r w:rsidRPr="000F0C0F">
        <w:t xml:space="preserve">In assessing </w:t>
      </w:r>
      <w:r>
        <w:t>AusNet Services'</w:t>
      </w:r>
      <w:r w:rsidRPr="000F0C0F">
        <w:t xml:space="preserve"> total forecast opex we took into account other components of its revenue proposal, including:</w:t>
      </w:r>
    </w:p>
    <w:p w:rsidR="000F0C0F" w:rsidRPr="000F0C0F" w:rsidRDefault="000F0C0F" w:rsidP="000F0C0F">
      <w:pPr>
        <w:pStyle w:val="AERbulletlistfirststyle"/>
      </w:pPr>
      <w:r w:rsidRPr="000F0C0F">
        <w:t>the o</w:t>
      </w:r>
      <w:r>
        <w:t>peration of the EBSS in the 2014</w:t>
      </w:r>
      <w:r w:rsidRPr="000F0C0F">
        <w:t xml:space="preserve">–17 regulatory control period, which provided </w:t>
      </w:r>
      <w:r>
        <w:t>AusNet Services</w:t>
      </w:r>
      <w:r w:rsidRPr="000F0C0F">
        <w:t xml:space="preserve"> an incentive to reduce opex in the base year</w:t>
      </w:r>
    </w:p>
    <w:p w:rsidR="004768A3" w:rsidRDefault="00DE0730" w:rsidP="000F0C0F">
      <w:pPr>
        <w:pStyle w:val="AERbulletlistfirststyle"/>
      </w:pPr>
      <w:r>
        <w:t>substitution possibilities between opex and capex</w:t>
      </w:r>
    </w:p>
    <w:p w:rsidR="000F0C0F" w:rsidRPr="000F0C0F" w:rsidRDefault="000F0C0F" w:rsidP="000F0C0F">
      <w:pPr>
        <w:pStyle w:val="AERbulletlistfirststyle"/>
      </w:pPr>
      <w:r w:rsidRPr="000F0C0F">
        <w:t>the impact of cost drivers that affect both forecast opex and forecast capex—for example, forecast maximum demand affects forecast augmentation capex and forecast output growth used in estimating the rate of change in opex</w:t>
      </w:r>
    </w:p>
    <w:p w:rsidR="000F0C0F" w:rsidRPr="000F0C0F" w:rsidRDefault="000F0C0F" w:rsidP="000F0C0F">
      <w:pPr>
        <w:pStyle w:val="AERbulletlistfirststyle"/>
      </w:pPr>
      <w:r w:rsidRPr="000F0C0F">
        <w:t>th</w:t>
      </w:r>
      <w:r w:rsidR="00880D1E">
        <w:t xml:space="preserve">e </w:t>
      </w:r>
      <w:r w:rsidRPr="000F0C0F">
        <w:t>approach to assessing the rate of return, to ensure there is consistency between our determination of debt raising costs and the rate of return building block</w:t>
      </w:r>
      <w:r w:rsidR="00842B23">
        <w:t>.</w:t>
      </w:r>
    </w:p>
    <w:p w:rsidR="000646F7" w:rsidRPr="00B80816" w:rsidRDefault="000646F7" w:rsidP="00CD1D8B">
      <w:pPr>
        <w:pStyle w:val="Heading3"/>
      </w:pPr>
      <w:bookmarkStart w:id="66" w:name="_Toc480809677"/>
      <w:r>
        <w:t>Assessment of opex factors under NER</w:t>
      </w:r>
      <w:bookmarkEnd w:id="66"/>
    </w:p>
    <w:p w:rsidR="00406895" w:rsidRPr="00406895" w:rsidRDefault="00406895" w:rsidP="00406895">
      <w:r w:rsidRPr="00406895">
        <w:t xml:space="preserve">In deciding whether or not we are satisfied a service provider's forecast reasonably reflects the 'opex criteria' under the NER, we have regard to the 'opex factors'.  </w:t>
      </w:r>
    </w:p>
    <w:p w:rsidR="00406895" w:rsidRPr="00406895" w:rsidRDefault="00406895" w:rsidP="00406895">
      <w:r w:rsidRPr="00406895">
        <w:lastRenderedPageBreak/>
        <w:t xml:space="preserve">We attach different weight to different factors when making our decision to best achieve the NEO. This approach has been summarised by the AEMC as follows: </w:t>
      </w:r>
    </w:p>
    <w:p w:rsidR="00406895" w:rsidRPr="00406895" w:rsidRDefault="00406895" w:rsidP="00CD1D8B">
      <w:pPr>
        <w:pStyle w:val="AERquote"/>
      </w:pPr>
      <w:r w:rsidRPr="00406895">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r w:rsidR="00434770">
        <w:rPr>
          <w:rStyle w:val="FootnoteReference"/>
        </w:rPr>
        <w:footnoteReference w:id="175"/>
      </w:r>
    </w:p>
    <w:p w:rsidR="000646F7" w:rsidRDefault="00B00399" w:rsidP="00CD1D8B">
      <w:r>
        <w:t xml:space="preserve">We have summarised in </w:t>
      </w:r>
      <w:r>
        <w:fldChar w:fldCharType="begin"/>
      </w:r>
      <w:r>
        <w:instrText xml:space="preserve"> REF  _Ref473120228 \* Lower \h </w:instrText>
      </w:r>
      <w:r>
        <w:fldChar w:fldCharType="separate"/>
      </w:r>
      <w:r w:rsidR="00EE3368">
        <w:t>T</w:t>
      </w:r>
      <w:r w:rsidR="003042CF">
        <w:t xml:space="preserve">able </w:t>
      </w:r>
      <w:r w:rsidR="003042CF">
        <w:rPr>
          <w:noProof/>
        </w:rPr>
        <w:t>7</w:t>
      </w:r>
      <w:r w:rsidR="003042CF">
        <w:t>.</w:t>
      </w:r>
      <w:r w:rsidR="003042CF">
        <w:rPr>
          <w:noProof/>
        </w:rPr>
        <w:t>6</w:t>
      </w:r>
      <w:r>
        <w:fldChar w:fldCharType="end"/>
      </w:r>
      <w:r>
        <w:t xml:space="preserve"> </w:t>
      </w:r>
      <w:r w:rsidR="00406895" w:rsidRPr="00406895">
        <w:t xml:space="preserve">how we have taken the opex factors into account in making our </w:t>
      </w:r>
      <w:r w:rsidR="00406895">
        <w:t>final</w:t>
      </w:r>
      <w:r w:rsidR="00406895" w:rsidRPr="00406895">
        <w:t xml:space="preserve"> decision.</w:t>
      </w:r>
    </w:p>
    <w:p w:rsidR="00406895" w:rsidRPr="00D06CCA" w:rsidRDefault="005761FF">
      <w:pPr>
        <w:pStyle w:val="Caption"/>
      </w:pPr>
      <w:bookmarkStart w:id="67" w:name="_Ref470114384"/>
      <w:bookmarkStart w:id="68" w:name="_Ref473120228"/>
      <w:r>
        <w:t>Table</w:t>
      </w:r>
      <w:bookmarkEnd w:id="67"/>
      <w:r>
        <w:t xml:space="preserve"> </w:t>
      </w:r>
      <w:fldSimple w:instr=" STYLEREF 1 \s ">
        <w:r w:rsidR="003042CF">
          <w:rPr>
            <w:noProof/>
          </w:rPr>
          <w:t>7</w:t>
        </w:r>
      </w:fldSimple>
      <w:r w:rsidR="00F97ECA">
        <w:t>.</w:t>
      </w:r>
      <w:r w:rsidR="00EE752B">
        <w:fldChar w:fldCharType="begin"/>
      </w:r>
      <w:r w:rsidR="00EE752B">
        <w:instrText xml:space="preserve"> SEQ </w:instrText>
      </w:r>
      <w:r w:rsidR="00EE752B">
        <w:instrText xml:space="preserve">Table \* ARABIC \s 1 </w:instrText>
      </w:r>
      <w:r w:rsidR="00EE752B">
        <w:fldChar w:fldCharType="separate"/>
      </w:r>
      <w:r w:rsidR="003042CF">
        <w:rPr>
          <w:noProof/>
        </w:rPr>
        <w:t>6</w:t>
      </w:r>
      <w:r w:rsidR="00EE752B">
        <w:rPr>
          <w:noProof/>
        </w:rPr>
        <w:fldChar w:fldCharType="end"/>
      </w:r>
      <w:bookmarkEnd w:id="68"/>
      <w:r w:rsidR="00406895" w:rsidRPr="00D06CCA">
        <w:tab/>
      </w:r>
      <w:r w:rsidR="00406895">
        <w:t>Our</w:t>
      </w:r>
      <w:r w:rsidR="00406895" w:rsidRPr="00242C89">
        <w:t xml:space="preserve"> consideration of </w:t>
      </w:r>
      <w:r w:rsidR="00406895">
        <w:t xml:space="preserve">the </w:t>
      </w:r>
      <w:r w:rsidR="00406895" w:rsidRPr="00242C89">
        <w:t>opex factors</w:t>
      </w:r>
      <w:r w:rsidR="00A87DF1">
        <w:t xml:space="preserve"> </w:t>
      </w:r>
    </w:p>
    <w:tbl>
      <w:tblPr>
        <w:tblStyle w:val="AERtable-text0"/>
        <w:tblW w:w="0" w:type="auto"/>
        <w:tblLook w:val="04A0" w:firstRow="1" w:lastRow="0" w:firstColumn="1" w:lastColumn="0" w:noHBand="0" w:noVBand="1"/>
      </w:tblPr>
      <w:tblGrid>
        <w:gridCol w:w="3227"/>
        <w:gridCol w:w="5466"/>
      </w:tblGrid>
      <w:tr w:rsidR="00406895" w:rsidRPr="008946FF" w:rsidTr="00EB6ED0">
        <w:trPr>
          <w:cnfStyle w:val="100000000000" w:firstRow="1" w:lastRow="0" w:firstColumn="0" w:lastColumn="0" w:oddVBand="0" w:evenVBand="0" w:oddHBand="0" w:evenHBand="0" w:firstRowFirstColumn="0" w:firstRowLastColumn="0" w:lastRowFirstColumn="0" w:lastRowLastColumn="0"/>
          <w:tblHeader/>
        </w:trPr>
        <w:tc>
          <w:tcPr>
            <w:tcW w:w="3227" w:type="dxa"/>
          </w:tcPr>
          <w:p w:rsidR="00406895" w:rsidRPr="00406895" w:rsidRDefault="00406895" w:rsidP="00406895">
            <w:r w:rsidRPr="008946FF">
              <w:t>Opex factor</w:t>
            </w:r>
          </w:p>
        </w:tc>
        <w:tc>
          <w:tcPr>
            <w:tcW w:w="5466" w:type="dxa"/>
          </w:tcPr>
          <w:p w:rsidR="00406895" w:rsidRPr="00406895" w:rsidRDefault="00406895" w:rsidP="00406895">
            <w:r w:rsidRPr="008946FF">
              <w:t>Consideration</w:t>
            </w:r>
          </w:p>
        </w:tc>
      </w:tr>
      <w:tr w:rsidR="00406895" w:rsidRPr="008946FF" w:rsidTr="00EB6ED0">
        <w:tc>
          <w:tcPr>
            <w:tcW w:w="3227" w:type="dxa"/>
          </w:tcPr>
          <w:p w:rsidR="00406895" w:rsidRPr="00406895" w:rsidRDefault="00406895" w:rsidP="00406895">
            <w:r w:rsidRPr="007314D0">
              <w:t xml:space="preserve">The most recent annual benchmarking report that has been published under clause 6A.31 and the benchmark </w:t>
            </w:r>
            <w:r w:rsidRPr="00406895">
              <w:t>opex that would be incurred by an efficient Transmission Network Service Provider over the relevant regulatory control period.</w:t>
            </w:r>
          </w:p>
        </w:tc>
        <w:tc>
          <w:tcPr>
            <w:tcW w:w="5466" w:type="dxa"/>
          </w:tcPr>
          <w:p w:rsidR="002E0AC9" w:rsidRPr="002E0AC9" w:rsidRDefault="002E0AC9" w:rsidP="002E0AC9">
            <w:r w:rsidRPr="002E0AC9">
              <w:t>We have considered the results of our most recent annual transmission benchmarking report in estimating AusNet Services' efficient base opex (section 7.5.1). Our benchmarking results suggest Aus</w:t>
            </w:r>
            <w:r>
              <w:t>Net Services has been operating</w:t>
            </w:r>
            <w:r w:rsidRPr="002E0AC9">
              <w:t xml:space="preserve"> relatively efficiently when compared to other service providers in the NEM.   </w:t>
            </w:r>
          </w:p>
          <w:p w:rsidR="00406895" w:rsidRPr="00406895" w:rsidRDefault="002E0AC9" w:rsidP="002E0AC9">
            <w:r w:rsidRPr="002E0AC9">
              <w:t xml:space="preserve">We have used economic benchmarking, opex cost function modelling and expert forecasting information to estimate the benchmark opex that would be incurred by an efficient service provider over the forecast period. Based on this, we have formed a view on the efficiency of AusNet Services' proposed total forecast opex compared to the benchmark efficient opex that would be incurred over the relevant regulatory control period. We have found AusNet Services' forecast opex to be higher than our independent estimate. We are not satisfied that AusNet Services' forecast opex reasonably reflects the opex criteria.  </w:t>
            </w:r>
          </w:p>
        </w:tc>
      </w:tr>
      <w:tr w:rsidR="00406895" w:rsidRPr="008946FF" w:rsidTr="00EB6ED0">
        <w:trPr>
          <w:cnfStyle w:val="000000010000" w:firstRow="0" w:lastRow="0" w:firstColumn="0" w:lastColumn="0" w:oddVBand="0" w:evenVBand="0" w:oddHBand="0" w:evenHBand="1" w:firstRowFirstColumn="0" w:firstRowLastColumn="0" w:lastRowFirstColumn="0" w:lastRowLastColumn="0"/>
        </w:trPr>
        <w:tc>
          <w:tcPr>
            <w:tcW w:w="3227" w:type="dxa"/>
          </w:tcPr>
          <w:p w:rsidR="00406895" w:rsidRPr="00406895" w:rsidRDefault="00406895" w:rsidP="00406895">
            <w:r w:rsidRPr="007314D0">
              <w:t xml:space="preserve">The actual and expected </w:t>
            </w:r>
            <w:r w:rsidRPr="00406895">
              <w:t>opex of the Transmission Network Service Provider during any preceding regulatory control periods.</w:t>
            </w:r>
          </w:p>
        </w:tc>
        <w:tc>
          <w:tcPr>
            <w:tcW w:w="5466" w:type="dxa"/>
          </w:tcPr>
          <w:p w:rsidR="00406895" w:rsidRPr="00406895" w:rsidRDefault="002E0AC9" w:rsidP="00434770">
            <w:r w:rsidRPr="002E0AC9">
              <w:t>We have forecast AusNet Services' efficient opex over 2017–22 using its actual opex in 2014</w:t>
            </w:r>
            <w:r w:rsidR="00A87E6D">
              <w:t>–</w:t>
            </w:r>
            <w:r w:rsidRPr="002E0AC9">
              <w:t>15 as the starting point. We have compared several years of AusNet Services' actual past opex with that of other service providers to form a view about whether or not its revealed expenditure is sufficiently efficient to rely on as the basis for forecasting required opex in the forthcoming period.</w:t>
            </w:r>
          </w:p>
        </w:tc>
      </w:tr>
      <w:tr w:rsidR="00406895" w:rsidRPr="008946FF" w:rsidTr="00EB6ED0">
        <w:tc>
          <w:tcPr>
            <w:tcW w:w="3227" w:type="dxa"/>
          </w:tcPr>
          <w:p w:rsidR="00406895" w:rsidRPr="00406895" w:rsidRDefault="00406895" w:rsidP="00406895">
            <w:r w:rsidRPr="007314D0">
              <w:t xml:space="preserve">The extent to which the </w:t>
            </w:r>
            <w:r w:rsidRPr="00406895">
              <w:t>opex forecast includes expenditure to address the concerns of electricity consumers as identified by the Transmission Network Service Provider in the course of its engagement with electricity consumers.</w:t>
            </w:r>
          </w:p>
        </w:tc>
        <w:tc>
          <w:tcPr>
            <w:tcW w:w="5466" w:type="dxa"/>
          </w:tcPr>
          <w:p w:rsidR="002E0AC9" w:rsidRPr="002E0AC9" w:rsidRDefault="002E0AC9" w:rsidP="002E0AC9">
            <w:r w:rsidRPr="002E0AC9">
              <w:t>We understand the intention of this particular factor is to require us to have regard to the extent to which service providers have engaged with consumers in preparing their revenue proposals, such that they factor in the needs of consumers.</w:t>
            </w:r>
            <w:r w:rsidR="006F7722">
              <w:rPr>
                <w:rStyle w:val="FootnoteReference"/>
              </w:rPr>
              <w:footnoteReference w:id="176"/>
            </w:r>
            <w:r w:rsidRPr="002E0AC9">
              <w:t xml:space="preserve">  </w:t>
            </w:r>
          </w:p>
          <w:p w:rsidR="002E0AC9" w:rsidRPr="002E0AC9" w:rsidRDefault="002E0AC9" w:rsidP="002E0AC9">
            <w:r w:rsidRPr="002E0AC9">
              <w:t xml:space="preserve">We consider AusNet Services' opex forecast includes expenditure to address concerns of electricity consumers identified by AusNet Services in the course of its engagement. AusNet Services stated it is no longer proposing additional opex for output growth in its revised revenue proposal. This approach it says is consistent with the feedback received </w:t>
            </w:r>
            <w:r w:rsidRPr="002E0AC9">
              <w:lastRenderedPageBreak/>
              <w:t xml:space="preserve">from stakeholders. </w:t>
            </w:r>
          </w:p>
          <w:p w:rsidR="00406895" w:rsidRPr="00406895" w:rsidRDefault="002E0AC9" w:rsidP="002E0AC9">
            <w:r w:rsidRPr="002E0AC9">
              <w:t>The CCP submitted they were supportive of AusNet Services' level of consumer engagement and acknowledges its genuine effort to engage with consumers.</w:t>
            </w:r>
            <w:r w:rsidR="006F7722">
              <w:rPr>
                <w:rStyle w:val="FootnoteReference"/>
              </w:rPr>
              <w:footnoteReference w:id="177"/>
            </w:r>
            <w:r w:rsidRPr="002E0AC9">
              <w:t xml:space="preserve">  </w:t>
            </w:r>
          </w:p>
        </w:tc>
      </w:tr>
      <w:tr w:rsidR="00406895" w:rsidRPr="008946FF" w:rsidTr="00EB6ED0">
        <w:trPr>
          <w:cnfStyle w:val="000000010000" w:firstRow="0" w:lastRow="0" w:firstColumn="0" w:lastColumn="0" w:oddVBand="0" w:evenVBand="0" w:oddHBand="0" w:evenHBand="1" w:firstRowFirstColumn="0" w:firstRowLastColumn="0" w:lastRowFirstColumn="0" w:lastRowLastColumn="0"/>
        </w:trPr>
        <w:tc>
          <w:tcPr>
            <w:tcW w:w="3227" w:type="dxa"/>
          </w:tcPr>
          <w:p w:rsidR="00406895" w:rsidRPr="00406895" w:rsidRDefault="00406895" w:rsidP="00406895">
            <w:r w:rsidRPr="008946FF">
              <w:lastRenderedPageBreak/>
              <w:t>The relative prices of capital and operating inputs</w:t>
            </w:r>
            <w:r w:rsidRPr="00406895">
              <w:t>.</w:t>
            </w:r>
          </w:p>
        </w:tc>
        <w:tc>
          <w:tcPr>
            <w:tcW w:w="5466" w:type="dxa"/>
          </w:tcPr>
          <w:p w:rsidR="002E0AC9" w:rsidRPr="002E0AC9" w:rsidRDefault="002E0AC9" w:rsidP="002E0AC9">
            <w:r w:rsidRPr="002E0AC9">
              <w:t>We have had regard to multilateral total factor productivity benchmarking when deciding whether or not AusNet Services' forecast o</w:t>
            </w:r>
            <w:r>
              <w:t>pex reflects the opex criteria</w:t>
            </w:r>
            <w:r w:rsidRPr="002E0AC9">
              <w:t xml:space="preserve"> - rather than looking at opex productivity in isolation. Our multilateral total factor productivity analysis considers the overall efficiency of networks in the use of both capital and operating inputs.</w:t>
            </w:r>
          </w:p>
          <w:p w:rsidR="002E0AC9" w:rsidRPr="002E0AC9" w:rsidRDefault="002E0AC9" w:rsidP="002E0AC9">
            <w:r w:rsidRPr="002E0AC9">
              <w:t xml:space="preserve">We adopted price escalation factors that account for the relative prices of opex and capex inputs. </w:t>
            </w:r>
          </w:p>
          <w:p w:rsidR="002E0AC9" w:rsidRPr="002E0AC9" w:rsidRDefault="002E0AC9" w:rsidP="002E0AC9">
            <w:r w:rsidRPr="002E0AC9">
              <w:t xml:space="preserve">One reason we will include a step change in our alternative opex forecast is if the service provider proposes a capex/opex trade-off. We consider the relative expense of capex and opex solutions in considering such a trade-off. </w:t>
            </w:r>
          </w:p>
          <w:p w:rsidR="00406895" w:rsidRPr="00406895" w:rsidRDefault="002E0AC9" w:rsidP="002750F8">
            <w:r w:rsidRPr="002E0AC9">
              <w:t>AusNet Services proposed two step changes</w:t>
            </w:r>
            <w:r w:rsidR="002750F8">
              <w:t xml:space="preserve"> as capex/opex trade-offs</w:t>
            </w:r>
            <w:r w:rsidRPr="002E0AC9">
              <w:t xml:space="preserve">. These comprised the SAIP roll out and WMTS mobile switchboard lease. We do not consider these to be legitimate capex/opex trade-offs that </w:t>
            </w:r>
            <w:r w:rsidR="002750F8">
              <w:t>require a step change for our forecast of</w:t>
            </w:r>
            <w:r w:rsidRPr="002E0AC9">
              <w:t xml:space="preserve"> total opex </w:t>
            </w:r>
            <w:r w:rsidR="002750F8">
              <w:t>to reasonably reflect</w:t>
            </w:r>
            <w:r w:rsidRPr="002E0AC9">
              <w:t xml:space="preserve"> the opex criteria.</w:t>
            </w:r>
            <w:r w:rsidR="002750F8">
              <w:t xml:space="preserve"> </w:t>
            </w:r>
          </w:p>
        </w:tc>
      </w:tr>
      <w:tr w:rsidR="00406895" w:rsidRPr="008946FF" w:rsidTr="00EB6ED0">
        <w:tc>
          <w:tcPr>
            <w:tcW w:w="3227" w:type="dxa"/>
          </w:tcPr>
          <w:p w:rsidR="00406895" w:rsidRPr="00406895" w:rsidRDefault="00406895" w:rsidP="00406895">
            <w:r w:rsidRPr="008946FF">
              <w:t>The substitution possibilities between operating and capital expenditure.</w:t>
            </w:r>
          </w:p>
        </w:tc>
        <w:tc>
          <w:tcPr>
            <w:tcW w:w="5466" w:type="dxa"/>
          </w:tcPr>
          <w:p w:rsidR="002E0AC9" w:rsidRPr="002E0AC9" w:rsidRDefault="002E0AC9" w:rsidP="002E0AC9">
            <w:r w:rsidRPr="002E0AC9">
              <w:t xml:space="preserve">The efficiency incentive schemes that we have applied to AusNet Services recognise the substitution possibilities between opex and capex. These schemes set the incentives to reduce opex and capex equal so that there is an incentive to undertake efficient capex/opex trade-offs. </w:t>
            </w:r>
          </w:p>
          <w:p w:rsidR="002E0AC9" w:rsidRPr="002E0AC9" w:rsidRDefault="002E0AC9" w:rsidP="002E0AC9">
            <w:r w:rsidRPr="002E0AC9">
              <w:t xml:space="preserve">In developing our benchmarking models, we have considered the relationship between capital, opex and outputs. We have also considered how different capitalisation policies of the service providers may affect opex performance.  </w:t>
            </w:r>
          </w:p>
          <w:p w:rsidR="00406895" w:rsidRPr="00406895" w:rsidRDefault="002E0AC9" w:rsidP="00434770">
            <w:r w:rsidRPr="002E0AC9">
              <w:t>We do not consider the</w:t>
            </w:r>
            <w:r w:rsidR="002750F8">
              <w:t xml:space="preserve"> step changes</w:t>
            </w:r>
            <w:r w:rsidRPr="002E0AC9">
              <w:t xml:space="preserve"> proposed </w:t>
            </w:r>
            <w:r w:rsidR="002750F8">
              <w:t xml:space="preserve">by AusNet Services as </w:t>
            </w:r>
            <w:r w:rsidRPr="002E0AC9">
              <w:t xml:space="preserve">capex/opex trade-offs </w:t>
            </w:r>
            <w:r w:rsidR="00434770">
              <w:t xml:space="preserve">are </w:t>
            </w:r>
            <w:r w:rsidR="002750F8">
              <w:t xml:space="preserve">required for our forecast of </w:t>
            </w:r>
            <w:r w:rsidRPr="002E0AC9">
              <w:t xml:space="preserve">total opex </w:t>
            </w:r>
            <w:r w:rsidR="002750F8">
              <w:t>to</w:t>
            </w:r>
            <w:r w:rsidR="002750F8" w:rsidRPr="002E0AC9">
              <w:t xml:space="preserve"> </w:t>
            </w:r>
            <w:r w:rsidRPr="002E0AC9">
              <w:t>reflect the opex criteria.</w:t>
            </w:r>
          </w:p>
        </w:tc>
      </w:tr>
      <w:tr w:rsidR="00406895" w:rsidRPr="008946FF" w:rsidTr="00EB6ED0">
        <w:trPr>
          <w:cnfStyle w:val="000000010000" w:firstRow="0" w:lastRow="0" w:firstColumn="0" w:lastColumn="0" w:oddVBand="0" w:evenVBand="0" w:oddHBand="0" w:evenHBand="1" w:firstRowFirstColumn="0" w:firstRowLastColumn="0" w:lastRowFirstColumn="0" w:lastRowLastColumn="0"/>
        </w:trPr>
        <w:tc>
          <w:tcPr>
            <w:tcW w:w="3227" w:type="dxa"/>
          </w:tcPr>
          <w:p w:rsidR="00406895" w:rsidRPr="00406895" w:rsidRDefault="00406895" w:rsidP="00406895">
            <w:r w:rsidRPr="007314D0">
              <w:t xml:space="preserve">Whether the </w:t>
            </w:r>
            <w:r w:rsidRPr="00406895">
              <w:t>opex forecast is consistent with any incentive scheme or schemes that apply to the Transmission Network Service Provider under clauses 6A.6.5, 6A.7.4 or 6A.7.5.</w:t>
            </w:r>
          </w:p>
        </w:tc>
        <w:tc>
          <w:tcPr>
            <w:tcW w:w="5466" w:type="dxa"/>
          </w:tcPr>
          <w:p w:rsidR="002E0AC9" w:rsidRPr="002E0AC9" w:rsidRDefault="002E0AC9" w:rsidP="002E0AC9">
            <w:r w:rsidRPr="002E0AC9">
              <w:t>The incentive scheme that we applied to AusNet Services' opex in the 2012–17 regulatory control period, the EBSS, is intended to work in conjunction with our revealed cost forecasting approach.</w:t>
            </w:r>
          </w:p>
          <w:p w:rsidR="00406895" w:rsidRPr="00406895" w:rsidRDefault="002E0AC9" w:rsidP="002E0AC9">
            <w:r w:rsidRPr="002E0AC9">
              <w:t xml:space="preserve">We have applied our estimate of base opex consistently in applying the EBSS and forecasting AusNet Services' opex for the 2017–22 regulatory control period. </w:t>
            </w:r>
          </w:p>
        </w:tc>
      </w:tr>
      <w:tr w:rsidR="00406895" w:rsidRPr="008946FF" w:rsidTr="00EB6ED0">
        <w:tc>
          <w:tcPr>
            <w:tcW w:w="3227" w:type="dxa"/>
          </w:tcPr>
          <w:p w:rsidR="00406895" w:rsidRPr="00406895" w:rsidRDefault="00406895" w:rsidP="00406895">
            <w:r w:rsidRPr="007314D0">
              <w:t xml:space="preserve">The extent the </w:t>
            </w:r>
            <w:r w:rsidRPr="00406895">
              <w:t xml:space="preserve">opex forecast is </w:t>
            </w:r>
            <w:proofErr w:type="spellStart"/>
            <w:r w:rsidRPr="00406895">
              <w:t>referable</w:t>
            </w:r>
            <w:proofErr w:type="spellEnd"/>
            <w:r w:rsidRPr="00406895">
              <w:t xml:space="preserve"> to arrangements with a person other than the Transmission Network Service Provider that, in the opinion of the AER, do not reflect arm’s length terms.</w:t>
            </w:r>
          </w:p>
        </w:tc>
        <w:tc>
          <w:tcPr>
            <w:tcW w:w="5466" w:type="dxa"/>
          </w:tcPr>
          <w:p w:rsidR="00406895" w:rsidRPr="00406895" w:rsidRDefault="002E0AC9" w:rsidP="00406895">
            <w:r w:rsidRPr="002E0AC9">
              <w:t>We have assessed AusNet Services' total opex efficiency in deciding whether or not to accept AusNet Services' opex forecast. Given this, we are not necessarily concerned whether arrangements between AusNet Services and another person do or do not reflect arm's length terms. A service provider which uses related party providers can be efficient or it can be inefficient. Likewise, for a service provider who does not use related party providers. If a service provider is inefficient, we adjust their total forecast opex proposal, regardless of their arrangements with related providers.</w:t>
            </w:r>
          </w:p>
        </w:tc>
      </w:tr>
      <w:tr w:rsidR="00406895" w:rsidRPr="008946FF" w:rsidTr="00EB6ED0">
        <w:trPr>
          <w:cnfStyle w:val="000000010000" w:firstRow="0" w:lastRow="0" w:firstColumn="0" w:lastColumn="0" w:oddVBand="0" w:evenVBand="0" w:oddHBand="0" w:evenHBand="1" w:firstRowFirstColumn="0" w:firstRowLastColumn="0" w:lastRowFirstColumn="0" w:lastRowLastColumn="0"/>
        </w:trPr>
        <w:tc>
          <w:tcPr>
            <w:tcW w:w="3227" w:type="dxa"/>
          </w:tcPr>
          <w:p w:rsidR="00406895" w:rsidRPr="00406895" w:rsidRDefault="00406895" w:rsidP="00406895">
            <w:r w:rsidRPr="00F871A7">
              <w:t xml:space="preserve">Whether the </w:t>
            </w:r>
            <w:r w:rsidRPr="00406895">
              <w:t xml:space="preserve">opex forecast includes an amount relating to a project that should </w:t>
            </w:r>
            <w:r w:rsidRPr="00406895">
              <w:lastRenderedPageBreak/>
              <w:t xml:space="preserve">more appropriately be included as a contingent project under clause 6A.8.1(b). </w:t>
            </w:r>
          </w:p>
        </w:tc>
        <w:tc>
          <w:tcPr>
            <w:tcW w:w="5466" w:type="dxa"/>
          </w:tcPr>
          <w:p w:rsidR="00406895" w:rsidRPr="00406895" w:rsidRDefault="002E0AC9" w:rsidP="00406895">
            <w:r w:rsidRPr="002E0AC9">
              <w:lastRenderedPageBreak/>
              <w:t xml:space="preserve">This factor is only relevant in the context of assessing proposed step changes (which may be explicit projects or programs). AusNet Services </w:t>
            </w:r>
            <w:r w:rsidRPr="002E0AC9">
              <w:lastRenderedPageBreak/>
              <w:t>did not propose any opex step change that would be more appropriately included as a contingent project.</w:t>
            </w:r>
          </w:p>
        </w:tc>
      </w:tr>
      <w:tr w:rsidR="00406895" w:rsidRPr="008946FF" w:rsidTr="00EB6ED0">
        <w:tc>
          <w:tcPr>
            <w:tcW w:w="3227" w:type="dxa"/>
          </w:tcPr>
          <w:p w:rsidR="00406895" w:rsidRPr="00406895" w:rsidRDefault="00406895" w:rsidP="00406895">
            <w:r w:rsidRPr="007314D0">
              <w:lastRenderedPageBreak/>
              <w:t>The most recent NTNDP and any submissions made by AEMO, in</w:t>
            </w:r>
            <w:r w:rsidRPr="00406895">
              <w:t xml:space="preserve"> accordance with the Rules, on the forecast of the Transmission Network Service Provider’s required opex.</w:t>
            </w:r>
          </w:p>
        </w:tc>
        <w:tc>
          <w:tcPr>
            <w:tcW w:w="5466" w:type="dxa"/>
          </w:tcPr>
          <w:p w:rsidR="00406895" w:rsidRPr="00406895" w:rsidRDefault="002E0AC9" w:rsidP="002E0AC9">
            <w:r w:rsidRPr="002E0AC9">
              <w:t>We have had regard to AEMO's most recent NTNDP and consider this to be consistent with AusNet Services' forecast opex.</w:t>
            </w:r>
          </w:p>
        </w:tc>
      </w:tr>
      <w:tr w:rsidR="00406895" w:rsidRPr="008946FF" w:rsidTr="00EB6ED0">
        <w:trPr>
          <w:cnfStyle w:val="000000010000" w:firstRow="0" w:lastRow="0" w:firstColumn="0" w:lastColumn="0" w:oddVBand="0" w:evenVBand="0" w:oddHBand="0" w:evenHBand="1" w:firstRowFirstColumn="0" w:firstRowLastColumn="0" w:lastRowFirstColumn="0" w:lastRowLastColumn="0"/>
        </w:trPr>
        <w:tc>
          <w:tcPr>
            <w:tcW w:w="3227" w:type="dxa"/>
          </w:tcPr>
          <w:p w:rsidR="00406895" w:rsidRPr="00406895" w:rsidRDefault="00406895" w:rsidP="00406895">
            <w:r w:rsidRPr="007314D0">
              <w:t xml:space="preserve">The extent to which the Transmission Network Service Provider has considered and made provision for </w:t>
            </w:r>
            <w:r w:rsidRPr="00406895">
              <w:t>efficient and prudent non-network alternatives.</w:t>
            </w:r>
          </w:p>
        </w:tc>
        <w:tc>
          <w:tcPr>
            <w:tcW w:w="5466" w:type="dxa"/>
          </w:tcPr>
          <w:p w:rsidR="00406895" w:rsidRPr="00406895" w:rsidRDefault="002E0AC9" w:rsidP="00406895">
            <w:r w:rsidRPr="002E0AC9">
              <w:t>AusNet Services has proposed no expenditure for non-network alternatives for the 2017–22 regulatory period.</w:t>
            </w:r>
          </w:p>
        </w:tc>
      </w:tr>
      <w:tr w:rsidR="00406895" w:rsidRPr="008946FF" w:rsidTr="00EB6ED0">
        <w:tc>
          <w:tcPr>
            <w:tcW w:w="3227" w:type="dxa"/>
          </w:tcPr>
          <w:p w:rsidR="00406895" w:rsidRPr="00406895" w:rsidRDefault="00406895" w:rsidP="00406895">
            <w:r w:rsidRPr="00F871A7">
              <w:t>Any relevant project assessm</w:t>
            </w:r>
            <w:r w:rsidRPr="00406895">
              <w:t>ent conclusions report required under 5.16.4.</w:t>
            </w:r>
          </w:p>
        </w:tc>
        <w:tc>
          <w:tcPr>
            <w:tcW w:w="5466" w:type="dxa"/>
          </w:tcPr>
          <w:p w:rsidR="00406895" w:rsidRPr="00406895" w:rsidRDefault="002E0AC9" w:rsidP="00406895">
            <w:r w:rsidRPr="002E0AC9">
              <w:t>In having regard to this factor, we identify any RIT-T project submitted by the business and ensure the conclusions are appropriately addressed in the total forecast opex. AusNet Services did not submit any RIT-T project.</w:t>
            </w:r>
          </w:p>
        </w:tc>
      </w:tr>
      <w:tr w:rsidR="00406895" w:rsidRPr="008946FF" w:rsidTr="00EB6ED0">
        <w:trPr>
          <w:cnfStyle w:val="000000010000" w:firstRow="0" w:lastRow="0" w:firstColumn="0" w:lastColumn="0" w:oddVBand="0" w:evenVBand="0" w:oddHBand="0" w:evenHBand="1" w:firstRowFirstColumn="0" w:firstRowLastColumn="0" w:lastRowFirstColumn="0" w:lastRowLastColumn="0"/>
        </w:trPr>
        <w:tc>
          <w:tcPr>
            <w:tcW w:w="3227" w:type="dxa"/>
          </w:tcPr>
          <w:p w:rsidR="00406895" w:rsidRPr="00406895" w:rsidRDefault="00406895" w:rsidP="00406895">
            <w:r w:rsidRPr="008910D8">
              <w:t>Any other factor the AER considers relevant and which the AER has notified the Transmission Network Service Provider in writing, prior to the submission of its revised Revenue Proposal under clause 6A.12.3, is an operating expenditure factor.</w:t>
            </w:r>
          </w:p>
        </w:tc>
        <w:tc>
          <w:tcPr>
            <w:tcW w:w="5466" w:type="dxa"/>
          </w:tcPr>
          <w:p w:rsidR="00406895" w:rsidRPr="00406895" w:rsidRDefault="002E0AC9" w:rsidP="00406895">
            <w:r w:rsidRPr="002E0AC9">
              <w:t xml:space="preserve">We did not identify and notify AusNet Services of any other opex factor.  </w:t>
            </w:r>
          </w:p>
        </w:tc>
      </w:tr>
    </w:tbl>
    <w:p w:rsidR="00406895" w:rsidRDefault="00406895" w:rsidP="00406895">
      <w:pPr>
        <w:pStyle w:val="AERtablesource"/>
      </w:pPr>
      <w:r>
        <w:t xml:space="preserve">Source: </w:t>
      </w:r>
      <w:r>
        <w:tab/>
        <w:t>AER analysis.</w:t>
      </w:r>
    </w:p>
    <w:p w:rsidR="000B321F" w:rsidRDefault="000B321F" w:rsidP="00540418">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CF" w:rsidRPr="00290C63" w:rsidRDefault="003042CF" w:rsidP="00290C63">
      <w:r>
        <w:separator/>
      </w:r>
    </w:p>
    <w:p w:rsidR="003042CF" w:rsidRDefault="003042CF"/>
  </w:endnote>
  <w:endnote w:type="continuationSeparator" w:id="0">
    <w:p w:rsidR="003042CF" w:rsidRPr="00290C63" w:rsidRDefault="003042CF" w:rsidP="00290C63">
      <w:r>
        <w:continuationSeparator/>
      </w:r>
    </w:p>
    <w:p w:rsidR="003042CF" w:rsidRDefault="0030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CF" w:rsidRPr="00290C63" w:rsidRDefault="003042C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042CF" w:rsidRDefault="003042CF"/>
  <w:p w:rsidR="003042CF" w:rsidRDefault="003042CF"/>
  <w:p w:rsidR="003042CF" w:rsidRDefault="003042CF"/>
  <w:p w:rsidR="003042CF" w:rsidRDefault="003042CF"/>
  <w:p w:rsidR="003042CF" w:rsidRDefault="003042CF"/>
  <w:p w:rsidR="003042CF" w:rsidRDefault="003042CF"/>
  <w:p w:rsidR="003042CF" w:rsidRDefault="003042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sdtContent>
      <w:p w:rsidR="003042CF" w:rsidRPr="00972F76" w:rsidRDefault="003042CF" w:rsidP="00972F76">
        <w:pPr>
          <w:pStyle w:val="Footer"/>
        </w:pPr>
        <w:r w:rsidRPr="00972F76">
          <w:fldChar w:fldCharType="begin"/>
        </w:r>
        <w:r w:rsidRPr="00972F76">
          <w:instrText xml:space="preserve"> PAGE   \* MERGEFORMAT </w:instrText>
        </w:r>
        <w:r w:rsidRPr="00972F76">
          <w:fldChar w:fldCharType="separate"/>
        </w:r>
        <w:r w:rsidR="00EE752B">
          <w:rPr>
            <w:noProof/>
          </w:rPr>
          <w:t>7-0</w:t>
        </w:r>
        <w:r w:rsidRPr="00972F76">
          <w:fldChar w:fldCharType="end"/>
        </w:r>
        <w:r w:rsidRPr="00972F76">
          <w:t xml:space="preserve">          Attachment 7 – Operating expenditure | </w:t>
        </w:r>
        <w:r>
          <w:t>Final</w:t>
        </w:r>
        <w:r w:rsidRPr="00972F76">
          <w:t xml:space="preserve"> decision: AusNet Services transmission determination 2017–22</w:t>
        </w:r>
      </w:p>
    </w:sdtContent>
  </w:sdt>
  <w:p w:rsidR="003042CF" w:rsidRDefault="00304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CF" w:rsidRPr="00290C63" w:rsidRDefault="003042C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042CF" w:rsidRDefault="003042CF">
    <w:pPr>
      <w:pStyle w:val="Footer"/>
    </w:pPr>
  </w:p>
  <w:p w:rsidR="003042CF" w:rsidRDefault="003042CF"/>
  <w:p w:rsidR="003042CF" w:rsidRDefault="003042CF"/>
  <w:p w:rsidR="003042CF" w:rsidRDefault="003042CF"/>
  <w:p w:rsidR="003042CF" w:rsidRDefault="003042CF"/>
  <w:p w:rsidR="003042CF" w:rsidRDefault="003042CF"/>
  <w:p w:rsidR="003042CF" w:rsidRDefault="003042CF"/>
  <w:p w:rsidR="003042CF" w:rsidRDefault="003042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CF" w:rsidRPr="00290C63" w:rsidRDefault="003042CF" w:rsidP="00290C63">
      <w:r>
        <w:separator/>
      </w:r>
    </w:p>
    <w:p w:rsidR="003042CF" w:rsidRDefault="003042CF"/>
  </w:footnote>
  <w:footnote w:type="continuationSeparator" w:id="0">
    <w:p w:rsidR="003042CF" w:rsidRPr="00290C63" w:rsidRDefault="003042CF" w:rsidP="00290C63">
      <w:r>
        <w:continuationSeparator/>
      </w:r>
    </w:p>
    <w:p w:rsidR="003042CF" w:rsidRDefault="003042CF"/>
  </w:footnote>
  <w:footnote w:id="1">
    <w:p w:rsidR="003042CF" w:rsidRDefault="003042CF" w:rsidP="003D2EDF">
      <w:pPr>
        <w:pStyle w:val="FootnoteText"/>
      </w:pPr>
      <w:r>
        <w:rPr>
          <w:rStyle w:val="FootnoteReference"/>
        </w:rPr>
        <w:footnoteRef/>
      </w:r>
      <w:r>
        <w:t xml:space="preserve"> </w:t>
      </w:r>
      <w:r>
        <w:tab/>
        <w:t xml:space="preserve">Excludes debt raising costs; </w:t>
      </w:r>
      <w:r w:rsidRPr="00124805">
        <w:t xml:space="preserve">AusNet Services, </w:t>
      </w:r>
      <w:r w:rsidRPr="00124805">
        <w:rPr>
          <w:rStyle w:val="AERtextitalic"/>
        </w:rPr>
        <w:t>Revised revenue proposal: 2017–22 Opex model</w:t>
      </w:r>
      <w:r w:rsidRPr="003D2EDF">
        <w:t>, 21 September 2016.</w:t>
      </w:r>
    </w:p>
  </w:footnote>
  <w:footnote w:id="2">
    <w:p w:rsidR="003042CF" w:rsidRDefault="003042CF" w:rsidP="00652FB0">
      <w:pPr>
        <w:pStyle w:val="FootnoteText"/>
      </w:pPr>
      <w:r>
        <w:rPr>
          <w:rStyle w:val="FootnoteReference"/>
        </w:rPr>
        <w:footnoteRef/>
      </w:r>
      <w:r>
        <w:t xml:space="preserve"> </w:t>
      </w:r>
      <w:r>
        <w:tab/>
      </w:r>
      <w:proofErr w:type="gramStart"/>
      <w:r w:rsidRPr="00DD615F">
        <w:t xml:space="preserve">AusNet Services, </w:t>
      </w:r>
      <w:r w:rsidRPr="00F97D39">
        <w:rPr>
          <w:rStyle w:val="Emphasis"/>
        </w:rPr>
        <w:t>Submission on revised proposal</w:t>
      </w:r>
      <w:r w:rsidRPr="00DD615F">
        <w:t>, 20 December 2016</w:t>
      </w:r>
      <w:r>
        <w:t>, p. 4.</w:t>
      </w:r>
      <w:proofErr w:type="gramEnd"/>
      <w:r w:rsidR="003D2EDF">
        <w:t xml:space="preserve"> </w:t>
      </w:r>
      <w:proofErr w:type="gramStart"/>
      <w:r w:rsidR="003D2EDF">
        <w:t xml:space="preserve">State Revenue Office Victoria, 2017 </w:t>
      </w:r>
      <w:r w:rsidR="003D2EDF" w:rsidRPr="003D2EDF">
        <w:rPr>
          <w:rStyle w:val="Emphasis"/>
        </w:rPr>
        <w:t>Land tax assessment notice</w:t>
      </w:r>
      <w:r w:rsidR="003D2EDF">
        <w:t>, 16 January 2017.</w:t>
      </w:r>
      <w:proofErr w:type="gramEnd"/>
    </w:p>
  </w:footnote>
  <w:footnote w:id="3">
    <w:p w:rsidR="003042CF" w:rsidRDefault="003042CF" w:rsidP="00652FB0">
      <w:pPr>
        <w:pStyle w:val="FootnoteText"/>
      </w:pPr>
      <w:r>
        <w:rPr>
          <w:rStyle w:val="FootnoteReference"/>
        </w:rPr>
        <w:footnoteRef/>
      </w:r>
      <w:r>
        <w:t xml:space="preserve"> </w:t>
      </w:r>
      <w:r>
        <w:tab/>
      </w:r>
      <w:r w:rsidRPr="00807A57">
        <w:t>We include a category specific forecast for easement land tax because AusNet Services is entitled to apply for a 'cost pass through' where our forecast differs (higher or lower) from the actual tax paid. To apply this pass through we need an explicit forecast of easement land tax costs. This is explained in section 7.5.3</w:t>
      </w:r>
      <w:r>
        <w:t>.2</w:t>
      </w:r>
      <w:r w:rsidRPr="00807A57">
        <w:t>.</w:t>
      </w:r>
    </w:p>
  </w:footnote>
  <w:footnote w:id="4">
    <w:p w:rsidR="003042CF" w:rsidRDefault="003042CF">
      <w:pPr>
        <w:pStyle w:val="FootnoteText"/>
      </w:pPr>
      <w:r>
        <w:rPr>
          <w:rStyle w:val="FootnoteReference"/>
        </w:rPr>
        <w:footnoteRef/>
      </w:r>
      <w:r>
        <w:t xml:space="preserve"> </w:t>
      </w:r>
      <w:r>
        <w:tab/>
        <w:t>AusNet Services made a late submission to its revised proposal, updating its opex model to include a small negative step change. This reduced its total opex forecast from $1049.6 million to $1049.4 million.</w:t>
      </w:r>
    </w:p>
  </w:footnote>
  <w:footnote w:id="5">
    <w:p w:rsidR="003042CF" w:rsidRDefault="003042CF">
      <w:pPr>
        <w:pStyle w:val="FootnoteText"/>
      </w:pPr>
      <w:r>
        <w:rPr>
          <w:rStyle w:val="FootnoteReference"/>
        </w:rPr>
        <w:footnoteRef/>
      </w:r>
      <w:r>
        <w:t xml:space="preserve"> </w:t>
      </w:r>
      <w:r>
        <w:tab/>
      </w:r>
      <w:r w:rsidRPr="00A54759">
        <w:t>Victoria's land tax regime extends to easements held by AusNet Services. Where the forecast we include in our opex forecast differs (higher or lower) from the actual tax paid, AusNet Services can apply for a cost pass through.</w:t>
      </w:r>
    </w:p>
  </w:footnote>
  <w:footnote w:id="6">
    <w:p w:rsidR="003042CF" w:rsidRDefault="003042CF">
      <w:pPr>
        <w:pStyle w:val="FootnoteText"/>
      </w:pPr>
      <w:r>
        <w:rPr>
          <w:rStyle w:val="FootnoteReference"/>
        </w:rPr>
        <w:footnoteRef/>
      </w:r>
      <w:r>
        <w:t xml:space="preserve"> </w:t>
      </w:r>
      <w:r>
        <w:tab/>
      </w:r>
      <w:proofErr w:type="gramStart"/>
      <w:r w:rsidRPr="00DD615F">
        <w:t xml:space="preserve">AusNet Services, </w:t>
      </w:r>
      <w:r w:rsidRPr="009236BF">
        <w:rPr>
          <w:rStyle w:val="Emphasis"/>
        </w:rPr>
        <w:t>Submission on revised proposal</w:t>
      </w:r>
      <w:r w:rsidRPr="00DD615F">
        <w:t>, 20 December 2016</w:t>
      </w:r>
      <w:r>
        <w:t>, p. 4.</w:t>
      </w:r>
      <w:proofErr w:type="gramEnd"/>
    </w:p>
  </w:footnote>
  <w:footnote w:id="7">
    <w:p w:rsidR="003042CF" w:rsidRDefault="003042CF" w:rsidP="008D5655">
      <w:pPr>
        <w:pStyle w:val="FootnoteText"/>
      </w:pPr>
      <w:r>
        <w:rPr>
          <w:rStyle w:val="FootnoteReference"/>
        </w:rPr>
        <w:footnoteRef/>
      </w:r>
      <w:r>
        <w:t xml:space="preserve"> </w:t>
      </w:r>
      <w:r>
        <w:tab/>
      </w:r>
      <w:r w:rsidRPr="00AB4CBA">
        <w:t xml:space="preserve">AER, </w:t>
      </w:r>
      <w:r>
        <w:rPr>
          <w:rStyle w:val="Emphasis"/>
        </w:rPr>
        <w:t>Expenditure forecast a</w:t>
      </w:r>
      <w:r w:rsidRPr="00AB4CBA">
        <w:rPr>
          <w:rStyle w:val="Emphasis"/>
        </w:rPr>
        <w:t>ssess</w:t>
      </w:r>
      <w:r>
        <w:rPr>
          <w:rStyle w:val="Emphasis"/>
        </w:rPr>
        <w:t>ment guideline for electricity t</w:t>
      </w:r>
      <w:r w:rsidRPr="00AB4CBA">
        <w:rPr>
          <w:rStyle w:val="Emphasis"/>
        </w:rPr>
        <w:t>ransmission</w:t>
      </w:r>
      <w:r w:rsidRPr="00AB4CBA">
        <w:t>, November 2013</w:t>
      </w:r>
      <w:r>
        <w:t>.</w:t>
      </w:r>
    </w:p>
  </w:footnote>
  <w:footnote w:id="8">
    <w:p w:rsidR="003042CF" w:rsidRDefault="003042CF" w:rsidP="00A87E6D">
      <w:pPr>
        <w:pStyle w:val="FootnoteText"/>
      </w:pPr>
      <w:r>
        <w:rPr>
          <w:rStyle w:val="FootnoteReference"/>
        </w:rPr>
        <w:footnoteRef/>
      </w:r>
      <w:r>
        <w:t xml:space="preserve"> </w:t>
      </w:r>
      <w:r>
        <w:tab/>
        <w:t>AusNet Services removed these costs from the base year.</w:t>
      </w:r>
    </w:p>
  </w:footnote>
  <w:footnote w:id="9">
    <w:p w:rsidR="003042CF" w:rsidRDefault="003042CF">
      <w:pPr>
        <w:pStyle w:val="FootnoteText"/>
      </w:pPr>
      <w:r>
        <w:rPr>
          <w:rStyle w:val="FootnoteReference"/>
        </w:rPr>
        <w:footnoteRef/>
      </w:r>
      <w:r>
        <w:t xml:space="preserve"> </w:t>
      </w:r>
      <w:r>
        <w:tab/>
        <w:t xml:space="preserve">AusNet Services subsequently informed us that its recent easement land tax assessment notice was significantly higher than the amount it included in its revised opex forecast. </w:t>
      </w:r>
    </w:p>
  </w:footnote>
  <w:footnote w:id="10">
    <w:p w:rsidR="003042CF" w:rsidRDefault="003042CF" w:rsidP="00621656">
      <w:pPr>
        <w:pStyle w:val="FootnoteText"/>
      </w:pPr>
      <w:r>
        <w:rPr>
          <w:rStyle w:val="FootnoteReference"/>
        </w:rPr>
        <w:footnoteRef/>
      </w:r>
      <w:r>
        <w:t xml:space="preserve"> </w:t>
      </w:r>
      <w:r>
        <w:tab/>
      </w:r>
      <w:proofErr w:type="gramStart"/>
      <w:r w:rsidRPr="0046123A">
        <w:t xml:space="preserve">AusNet Services, </w:t>
      </w:r>
      <w:r w:rsidRPr="0071777E">
        <w:rPr>
          <w:rStyle w:val="Emphasis"/>
        </w:rPr>
        <w:t>Submission on revised proposal</w:t>
      </w:r>
      <w:r w:rsidRPr="0046123A">
        <w:t>, 20 December 2016</w:t>
      </w:r>
      <w:r>
        <w:t>, p. 4</w:t>
      </w:r>
      <w:r w:rsidRPr="0046123A">
        <w:t>.</w:t>
      </w:r>
      <w:proofErr w:type="gramEnd"/>
    </w:p>
  </w:footnote>
  <w:footnote w:id="11">
    <w:p w:rsidR="003042CF" w:rsidRDefault="003042CF" w:rsidP="003B6705">
      <w:pPr>
        <w:pStyle w:val="FootnoteText"/>
      </w:pPr>
      <w:r>
        <w:rPr>
          <w:rStyle w:val="FootnoteReference"/>
        </w:rPr>
        <w:footnoteRef/>
      </w:r>
      <w:r>
        <w:t xml:space="preserve"> </w:t>
      </w:r>
      <w:r>
        <w:tab/>
      </w:r>
      <w:r w:rsidRPr="0010041B">
        <w:t>CCP</w:t>
      </w:r>
      <w:r>
        <w:t xml:space="preserve"> (subpanel 5) (CCP5)</w:t>
      </w:r>
      <w:r w:rsidRPr="0010041B">
        <w:t xml:space="preserve">, </w:t>
      </w:r>
      <w:r w:rsidRPr="00A264A4">
        <w:rPr>
          <w:rStyle w:val="Emphasis"/>
        </w:rPr>
        <w:t>Submission in response to AusNet Services' 2017–22 revised revenue proposal</w:t>
      </w:r>
      <w:r w:rsidRPr="0010041B">
        <w:t xml:space="preserve">, </w:t>
      </w:r>
      <w:r>
        <w:t>October 2016, p. 23.</w:t>
      </w:r>
    </w:p>
  </w:footnote>
  <w:footnote w:id="12">
    <w:p w:rsidR="003042CF" w:rsidRDefault="003042CF" w:rsidP="003B6705">
      <w:pPr>
        <w:pStyle w:val="FootnoteText"/>
      </w:pPr>
      <w:r>
        <w:rPr>
          <w:rStyle w:val="FootnoteReference"/>
        </w:rPr>
        <w:footnoteRef/>
      </w:r>
      <w:r>
        <w:t xml:space="preserve"> </w:t>
      </w:r>
      <w:r>
        <w:tab/>
        <w:t>CCP5</w:t>
      </w:r>
      <w:r w:rsidRPr="0010041B">
        <w:t xml:space="preserve">, </w:t>
      </w:r>
      <w:r w:rsidRPr="00A264A4">
        <w:rPr>
          <w:rStyle w:val="Emphasis"/>
        </w:rPr>
        <w:t xml:space="preserve">Submission in response to AusNet Services' 2017–22 revised revenue </w:t>
      </w:r>
      <w:proofErr w:type="gramStart"/>
      <w:r w:rsidRPr="00A264A4">
        <w:rPr>
          <w:rStyle w:val="Emphasis"/>
        </w:rPr>
        <w:t>proposal</w:t>
      </w:r>
      <w:proofErr w:type="gramEnd"/>
      <w:r w:rsidRPr="0010041B">
        <w:t xml:space="preserve">, </w:t>
      </w:r>
      <w:r>
        <w:t>October 2016, p. 23.</w:t>
      </w:r>
    </w:p>
  </w:footnote>
  <w:footnote w:id="13">
    <w:p w:rsidR="003042CF" w:rsidRDefault="003042CF">
      <w:pPr>
        <w:pStyle w:val="FootnoteText"/>
      </w:pPr>
      <w:r>
        <w:rPr>
          <w:rStyle w:val="FootnoteReference"/>
        </w:rPr>
        <w:footnoteRef/>
      </w:r>
      <w:r>
        <w:t xml:space="preserve"> </w:t>
      </w:r>
      <w:r>
        <w:tab/>
        <w:t>CCP5</w:t>
      </w:r>
      <w:r w:rsidRPr="0010041B">
        <w:t xml:space="preserve">, </w:t>
      </w:r>
      <w:r w:rsidRPr="00A264A4">
        <w:rPr>
          <w:rStyle w:val="Emphasis"/>
        </w:rPr>
        <w:t xml:space="preserve">Submission in response to AusNet Services' 2017–22 revised revenue </w:t>
      </w:r>
      <w:proofErr w:type="gramStart"/>
      <w:r w:rsidRPr="00A264A4">
        <w:rPr>
          <w:rStyle w:val="Emphasis"/>
        </w:rPr>
        <w:t>proposal</w:t>
      </w:r>
      <w:proofErr w:type="gramEnd"/>
      <w:r w:rsidRPr="0010041B">
        <w:t xml:space="preserve">, </w:t>
      </w:r>
      <w:r>
        <w:t>October 2016, p. 24.</w:t>
      </w:r>
    </w:p>
  </w:footnote>
  <w:footnote w:id="14">
    <w:p w:rsidR="003042CF" w:rsidRDefault="003042CF">
      <w:pPr>
        <w:pStyle w:val="FootnoteText"/>
      </w:pPr>
      <w:r>
        <w:rPr>
          <w:rStyle w:val="FootnoteReference"/>
        </w:rPr>
        <w:footnoteRef/>
      </w:r>
      <w:r>
        <w:t xml:space="preserve"> </w:t>
      </w:r>
      <w:r>
        <w:tab/>
      </w:r>
      <w:r w:rsidRPr="00BC58DE">
        <w:t>CCP</w:t>
      </w:r>
      <w:r>
        <w:t xml:space="preserve">5, </w:t>
      </w:r>
      <w:r w:rsidRPr="00143915">
        <w:rPr>
          <w:rStyle w:val="AERtextitalic"/>
        </w:rPr>
        <w:t xml:space="preserve">Submission in response to AusNet Services' 2017–22 revised revenue </w:t>
      </w:r>
      <w:proofErr w:type="gramStart"/>
      <w:r w:rsidRPr="00143915">
        <w:rPr>
          <w:rStyle w:val="AERtextitalic"/>
        </w:rPr>
        <w:t>proposal</w:t>
      </w:r>
      <w:proofErr w:type="gramEnd"/>
      <w:r w:rsidRPr="00BC58DE">
        <w:t xml:space="preserve">, October 2016, p. </w:t>
      </w:r>
      <w:r>
        <w:t>19</w:t>
      </w:r>
      <w:r w:rsidRPr="00BC58DE">
        <w:t>.</w:t>
      </w:r>
    </w:p>
  </w:footnote>
  <w:footnote w:id="15">
    <w:p w:rsidR="003042CF" w:rsidRDefault="003042CF">
      <w:pPr>
        <w:pStyle w:val="FootnoteText"/>
      </w:pPr>
      <w:r>
        <w:rPr>
          <w:rStyle w:val="FootnoteReference"/>
        </w:rPr>
        <w:footnoteRef/>
      </w:r>
      <w:r>
        <w:t xml:space="preserve"> </w:t>
      </w:r>
      <w:r>
        <w:tab/>
      </w:r>
      <w:r w:rsidRPr="00BC58DE">
        <w:t>CCP</w:t>
      </w:r>
      <w:r>
        <w:t>5</w:t>
      </w:r>
      <w:r w:rsidRPr="00BC58DE">
        <w:t xml:space="preserve">, </w:t>
      </w:r>
      <w:r w:rsidRPr="00143915">
        <w:rPr>
          <w:rStyle w:val="AERtextitalic"/>
        </w:rPr>
        <w:t xml:space="preserve">Submission in response to AusNet Services' 2017–22 revised revenue </w:t>
      </w:r>
      <w:proofErr w:type="gramStart"/>
      <w:r w:rsidRPr="00143915">
        <w:rPr>
          <w:rStyle w:val="AERtextitalic"/>
        </w:rPr>
        <w:t>proposal</w:t>
      </w:r>
      <w:proofErr w:type="gramEnd"/>
      <w:r w:rsidRPr="00BC58DE">
        <w:t xml:space="preserve">, October 2016, p. </w:t>
      </w:r>
      <w:r>
        <w:t>22</w:t>
      </w:r>
      <w:r w:rsidRPr="00BC58DE">
        <w:t>.</w:t>
      </w:r>
    </w:p>
  </w:footnote>
  <w:footnote w:id="16">
    <w:p w:rsidR="003042CF" w:rsidRDefault="003042CF" w:rsidP="003B6705">
      <w:pPr>
        <w:pStyle w:val="FootnoteText"/>
      </w:pPr>
      <w:r>
        <w:rPr>
          <w:rStyle w:val="FootnoteReference"/>
        </w:rPr>
        <w:footnoteRef/>
      </w:r>
      <w:r>
        <w:t xml:space="preserve"> </w:t>
      </w:r>
      <w:r>
        <w:tab/>
      </w:r>
      <w:r w:rsidRPr="0010041B">
        <w:t>CCP</w:t>
      </w:r>
      <w:r>
        <w:t>5</w:t>
      </w:r>
      <w:r w:rsidRPr="0010041B">
        <w:t xml:space="preserve">, </w:t>
      </w:r>
      <w:r w:rsidRPr="00A264A4">
        <w:rPr>
          <w:rStyle w:val="Emphasis"/>
        </w:rPr>
        <w:t xml:space="preserve">Submission in response to AusNet Services' 2017–22 revised revenue </w:t>
      </w:r>
      <w:proofErr w:type="gramStart"/>
      <w:r w:rsidRPr="00A264A4">
        <w:rPr>
          <w:rStyle w:val="Emphasis"/>
        </w:rPr>
        <w:t>proposal</w:t>
      </w:r>
      <w:proofErr w:type="gramEnd"/>
      <w:r w:rsidRPr="0010041B">
        <w:t xml:space="preserve">, </w:t>
      </w:r>
      <w:r>
        <w:t>October 2016, pp. 20-22.</w:t>
      </w:r>
    </w:p>
  </w:footnote>
  <w:footnote w:id="17">
    <w:p w:rsidR="003042CF" w:rsidRDefault="003042CF">
      <w:pPr>
        <w:pStyle w:val="FootnoteText"/>
      </w:pPr>
      <w:r>
        <w:rPr>
          <w:rStyle w:val="FootnoteReference"/>
        </w:rPr>
        <w:footnoteRef/>
      </w:r>
      <w:r>
        <w:t xml:space="preserve"> </w:t>
      </w:r>
      <w:r>
        <w:tab/>
      </w:r>
      <w:proofErr w:type="gramStart"/>
      <w:r>
        <w:t xml:space="preserve">AusNet Services, </w:t>
      </w:r>
      <w:r w:rsidRPr="00143915">
        <w:rPr>
          <w:rStyle w:val="AERtextitalic"/>
        </w:rPr>
        <w:t>Submission to revised revenue proposal</w:t>
      </w:r>
      <w:r>
        <w:t xml:space="preserve">, </w:t>
      </w:r>
      <w:r w:rsidRPr="00C71C39">
        <w:t>October 2016</w:t>
      </w:r>
      <w:r>
        <w:t>, p.2.</w:t>
      </w:r>
      <w:proofErr w:type="gramEnd"/>
    </w:p>
  </w:footnote>
  <w:footnote w:id="18">
    <w:p w:rsidR="003042CF" w:rsidRDefault="003042CF">
      <w:pPr>
        <w:pStyle w:val="FootnoteText"/>
      </w:pPr>
      <w:r>
        <w:rPr>
          <w:rStyle w:val="FootnoteReference"/>
        </w:rPr>
        <w:footnoteRef/>
      </w:r>
      <w:r>
        <w:t xml:space="preserve"> </w:t>
      </w:r>
      <w:r>
        <w:tab/>
        <w:t>CCP5</w:t>
      </w:r>
      <w:r w:rsidRPr="0010041B">
        <w:t xml:space="preserve">, </w:t>
      </w:r>
      <w:r w:rsidRPr="00A264A4">
        <w:rPr>
          <w:rStyle w:val="Emphasis"/>
        </w:rPr>
        <w:t xml:space="preserve">Submission in response to AusNet Services' 2017–22 revised revenue </w:t>
      </w:r>
      <w:proofErr w:type="gramStart"/>
      <w:r w:rsidRPr="00A264A4">
        <w:rPr>
          <w:rStyle w:val="Emphasis"/>
        </w:rPr>
        <w:t>proposal</w:t>
      </w:r>
      <w:proofErr w:type="gramEnd"/>
      <w:r w:rsidRPr="0010041B">
        <w:t xml:space="preserve">, </w:t>
      </w:r>
      <w:r>
        <w:t>October 2016, p. 23.</w:t>
      </w:r>
    </w:p>
  </w:footnote>
  <w:footnote w:id="19">
    <w:p w:rsidR="003042CF" w:rsidRDefault="003042CF" w:rsidP="00451372">
      <w:pPr>
        <w:pStyle w:val="FootnoteText"/>
      </w:pPr>
      <w:r>
        <w:rPr>
          <w:rStyle w:val="FootnoteReference"/>
        </w:rPr>
        <w:footnoteRef/>
      </w:r>
      <w:r>
        <w:t xml:space="preserve"> </w:t>
      </w:r>
      <w:r>
        <w:tab/>
      </w:r>
      <w:proofErr w:type="gramStart"/>
      <w:r w:rsidRPr="0012372E">
        <w:t>NER</w:t>
      </w:r>
      <w:r>
        <w:t>, cl.</w:t>
      </w:r>
      <w:r w:rsidRPr="0012372E">
        <w:t xml:space="preserve"> </w:t>
      </w:r>
      <w:r>
        <w:t>6A.6.6</w:t>
      </w:r>
      <w:r w:rsidRPr="0012372E">
        <w:t>(</w:t>
      </w:r>
      <w:r>
        <w:t>c</w:t>
      </w:r>
      <w:r w:rsidRPr="0012372E">
        <w:t>)</w:t>
      </w:r>
      <w:r>
        <w:t>.</w:t>
      </w:r>
      <w:proofErr w:type="gramEnd"/>
      <w:r>
        <w:t xml:space="preserve"> The opex criteria are:</w:t>
      </w:r>
    </w:p>
    <w:p w:rsidR="003042CF" w:rsidRPr="00AB2652" w:rsidRDefault="003042CF" w:rsidP="00451372">
      <w:pPr>
        <w:pStyle w:val="FootnoteText"/>
      </w:pPr>
      <w:r>
        <w:t xml:space="preserve"> </w:t>
      </w:r>
      <w:r>
        <w:tab/>
      </w:r>
      <w:r w:rsidRPr="00AB2652">
        <w:t>(1) the efficient costs of achieving the operating expenditure objectives</w:t>
      </w:r>
    </w:p>
    <w:p w:rsidR="003042CF" w:rsidRPr="00AB2652" w:rsidRDefault="003042CF" w:rsidP="00451372">
      <w:pPr>
        <w:pStyle w:val="FootnoteText"/>
      </w:pPr>
      <w:r>
        <w:tab/>
      </w:r>
      <w:r w:rsidRPr="00AB2652">
        <w:t>(2) the costs that a prudent operator would require to achieve the operating expenditure objectives</w:t>
      </w:r>
    </w:p>
    <w:p w:rsidR="003042CF" w:rsidRDefault="003042CF" w:rsidP="00451372">
      <w:pPr>
        <w:pStyle w:val="FootnoteText"/>
      </w:pPr>
      <w:r>
        <w:tab/>
      </w:r>
      <w:r w:rsidRPr="00AB2652">
        <w:t xml:space="preserve">(3) </w:t>
      </w:r>
      <w:proofErr w:type="gramStart"/>
      <w:r w:rsidRPr="00AB2652">
        <w:t>a</w:t>
      </w:r>
      <w:proofErr w:type="gramEnd"/>
      <w:r w:rsidRPr="00AB2652">
        <w:t xml:space="preserve"> realistic expectation of the demand forecast and cost inputs required to achieve the operating expenditure objectives.</w:t>
      </w:r>
    </w:p>
  </w:footnote>
  <w:footnote w:id="20">
    <w:p w:rsidR="003042CF" w:rsidRDefault="003042CF" w:rsidP="00451372">
      <w:pPr>
        <w:pStyle w:val="FootnoteText"/>
      </w:pPr>
      <w:r>
        <w:rPr>
          <w:rStyle w:val="FootnoteReference"/>
        </w:rPr>
        <w:footnoteRef/>
      </w:r>
      <w:r>
        <w:t xml:space="preserve"> </w:t>
      </w:r>
      <w:r>
        <w:tab/>
      </w:r>
      <w:r w:rsidRPr="0012372E">
        <w:t>NER</w:t>
      </w:r>
      <w:r>
        <w:t>, cl.</w:t>
      </w:r>
      <w:r w:rsidRPr="0012372E">
        <w:t xml:space="preserve"> </w:t>
      </w:r>
      <w:proofErr w:type="gramStart"/>
      <w:r w:rsidRPr="008B0254">
        <w:t>6A.6.6</w:t>
      </w:r>
      <w:r w:rsidRPr="0012372E">
        <w:t>(</w:t>
      </w:r>
      <w:proofErr w:type="gramEnd"/>
      <w:r w:rsidRPr="0012372E">
        <w:t>e)</w:t>
      </w:r>
      <w:r>
        <w:t>.</w:t>
      </w:r>
    </w:p>
  </w:footnote>
  <w:footnote w:id="21">
    <w:p w:rsidR="003042CF" w:rsidRDefault="003042CF" w:rsidP="00451372">
      <w:pPr>
        <w:pStyle w:val="FootnoteText"/>
      </w:pPr>
      <w:r>
        <w:rPr>
          <w:rStyle w:val="FootnoteReference"/>
        </w:rPr>
        <w:footnoteRef/>
      </w:r>
      <w:r>
        <w:t xml:space="preserve"> </w:t>
      </w:r>
      <w:r>
        <w:tab/>
      </w:r>
      <w:proofErr w:type="gramStart"/>
      <w:r w:rsidRPr="0012372E">
        <w:t>NER</w:t>
      </w:r>
      <w:r>
        <w:t>, cl.</w:t>
      </w:r>
      <w:r w:rsidRPr="0012372E">
        <w:t xml:space="preserve"> </w:t>
      </w:r>
      <w:r>
        <w:t>6A.6.6</w:t>
      </w:r>
      <w:r w:rsidRPr="0012372E">
        <w:t>(</w:t>
      </w:r>
      <w:r>
        <w:t>c</w:t>
      </w:r>
      <w:r w:rsidRPr="0012372E">
        <w:t>)</w:t>
      </w:r>
      <w:r>
        <w:t>.</w:t>
      </w:r>
      <w:proofErr w:type="gramEnd"/>
    </w:p>
  </w:footnote>
  <w:footnote w:id="22">
    <w:p w:rsidR="003042CF" w:rsidRDefault="003042CF" w:rsidP="00451372">
      <w:pPr>
        <w:pStyle w:val="FootnoteText"/>
      </w:pPr>
      <w:r>
        <w:rPr>
          <w:rStyle w:val="FootnoteReference"/>
        </w:rPr>
        <w:footnoteRef/>
      </w:r>
      <w:r>
        <w:t xml:space="preserve"> </w:t>
      </w:r>
      <w:r>
        <w:tab/>
      </w:r>
      <w:proofErr w:type="gramStart"/>
      <w:r w:rsidRPr="0012372E">
        <w:t>NER</w:t>
      </w:r>
      <w:r>
        <w:t>, cll.</w:t>
      </w:r>
      <w:proofErr w:type="gramEnd"/>
      <w:r w:rsidRPr="0012372E">
        <w:t xml:space="preserve"> </w:t>
      </w:r>
      <w:proofErr w:type="gramStart"/>
      <w:r>
        <w:t>6A.6.6</w:t>
      </w:r>
      <w:r w:rsidRPr="0012372E">
        <w:t>(</w:t>
      </w:r>
      <w:proofErr w:type="gramEnd"/>
      <w:r>
        <w:t>d</w:t>
      </w:r>
      <w:r w:rsidRPr="0012372E">
        <w:t>)</w:t>
      </w:r>
      <w:r>
        <w:t xml:space="preserve"> and 6A.14.1(3)(ii).</w:t>
      </w:r>
    </w:p>
  </w:footnote>
  <w:footnote w:id="23">
    <w:p w:rsidR="003042CF" w:rsidRDefault="003042CF" w:rsidP="00245A70">
      <w:pPr>
        <w:pStyle w:val="FootnoteText"/>
      </w:pPr>
      <w:r>
        <w:rPr>
          <w:rStyle w:val="FootnoteReference"/>
        </w:rPr>
        <w:footnoteRef/>
      </w:r>
      <w:r>
        <w:t xml:space="preserve"> </w:t>
      </w:r>
      <w:r>
        <w:tab/>
        <w:t xml:space="preserve">NEL, </w:t>
      </w:r>
      <w:proofErr w:type="gramStart"/>
      <w:r>
        <w:t>s.16(</w:t>
      </w:r>
      <w:proofErr w:type="gramEnd"/>
      <w:r>
        <w:t>1)(c).</w:t>
      </w:r>
    </w:p>
  </w:footnote>
  <w:footnote w:id="24">
    <w:p w:rsidR="003042CF" w:rsidRDefault="003042CF" w:rsidP="00F82459">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w:t>
      </w:r>
      <w:r w:rsidRPr="00AB4CBA">
        <w:t xml:space="preserve">AER, </w:t>
      </w:r>
      <w:r w:rsidRPr="00AB4CBA">
        <w:rPr>
          <w:rStyle w:val="Emphasis"/>
        </w:rPr>
        <w:t>E</w:t>
      </w:r>
      <w:r>
        <w:rPr>
          <w:rStyle w:val="Emphasis"/>
        </w:rPr>
        <w:t>xplanatory statement - e</w:t>
      </w:r>
      <w:r w:rsidRPr="00AB4CBA">
        <w:rPr>
          <w:rStyle w:val="Emphasis"/>
        </w:rPr>
        <w:t xml:space="preserv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w:t>
      </w:r>
      <w:r w:rsidRPr="00AB4CBA">
        <w:t>, November 2013</w:t>
      </w:r>
      <w:r>
        <w:t>.</w:t>
      </w:r>
    </w:p>
  </w:footnote>
  <w:footnote w:id="25">
    <w:p w:rsidR="003042CF" w:rsidRDefault="003042CF" w:rsidP="00F82459">
      <w:pPr>
        <w:pStyle w:val="FootnoteText"/>
      </w:pPr>
      <w:r>
        <w:rPr>
          <w:rStyle w:val="FootnoteReference"/>
        </w:rPr>
        <w:footnoteRef/>
      </w:r>
      <w:r>
        <w:t xml:space="preserve"> </w:t>
      </w:r>
      <w:r>
        <w:tab/>
      </w:r>
      <w:proofErr w:type="gramStart"/>
      <w:r w:rsidRPr="0012372E">
        <w:t>NER</w:t>
      </w:r>
      <w:r>
        <w:t>, cl.</w:t>
      </w:r>
      <w:r w:rsidRPr="0012372E">
        <w:t xml:space="preserve"> </w:t>
      </w:r>
      <w:r>
        <w:t>6A.5</w:t>
      </w:r>
      <w:r w:rsidRPr="008B0254">
        <w:t>.6</w:t>
      </w:r>
      <w:r>
        <w:t>.</w:t>
      </w:r>
      <w:proofErr w:type="gramEnd"/>
      <w:r w:rsidRPr="008B0254">
        <w:t xml:space="preserve"> </w:t>
      </w:r>
    </w:p>
  </w:footnote>
  <w:footnote w:id="26">
    <w:p w:rsidR="003042CF" w:rsidRDefault="003042CF" w:rsidP="00F82459">
      <w:pPr>
        <w:pStyle w:val="FootnoteText"/>
      </w:pPr>
      <w:r>
        <w:rPr>
          <w:rStyle w:val="FootnoteReference"/>
        </w:rPr>
        <w:footnoteRef/>
      </w:r>
      <w:r>
        <w:t xml:space="preserve"> </w:t>
      </w:r>
      <w:r>
        <w:tab/>
      </w:r>
      <w:proofErr w:type="gramStart"/>
      <w:r>
        <w:t>NER, cl. 6A.2.3(c).</w:t>
      </w:r>
      <w:proofErr w:type="gramEnd"/>
      <w:r>
        <w:t xml:space="preserve"> </w:t>
      </w:r>
    </w:p>
  </w:footnote>
  <w:footnote w:id="27">
    <w:p w:rsidR="003042CF" w:rsidRDefault="003042CF" w:rsidP="00BD1A20">
      <w:pPr>
        <w:pStyle w:val="FootnoteText"/>
      </w:pPr>
      <w:r>
        <w:rPr>
          <w:rStyle w:val="FootnoteReference"/>
        </w:rPr>
        <w:footnoteRef/>
      </w:r>
      <w:r>
        <w:t xml:space="preserve"> </w:t>
      </w:r>
      <w:r>
        <w:tab/>
      </w:r>
      <w:proofErr w:type="gramStart"/>
      <w:r w:rsidRPr="008F3919">
        <w:t xml:space="preserve">Productivity Commission, </w:t>
      </w:r>
      <w:r w:rsidRPr="00543025">
        <w:rPr>
          <w:rStyle w:val="Emphasis"/>
        </w:rPr>
        <w:t>Electricity Network Regulatory Frameworks, volume 1, No. 62</w:t>
      </w:r>
      <w:r>
        <w:t>, 9 April 2013, p. 188</w:t>
      </w:r>
      <w:r w:rsidRPr="008F3919">
        <w:t>.</w:t>
      </w:r>
      <w:proofErr w:type="gramEnd"/>
      <w:r w:rsidRPr="008F3919">
        <w:t xml:space="preserve">  </w:t>
      </w:r>
    </w:p>
  </w:footnote>
  <w:footnote w:id="28">
    <w:p w:rsidR="003042CF" w:rsidRDefault="003042CF" w:rsidP="0090265F">
      <w:pPr>
        <w:pStyle w:val="FootnoteText"/>
      </w:pPr>
      <w:r>
        <w:rPr>
          <w:rStyle w:val="FootnoteReference"/>
        </w:rPr>
        <w:footnoteRef/>
      </w:r>
      <w:r>
        <w:t xml:space="preserve"> </w:t>
      </w:r>
      <w:r>
        <w:tab/>
      </w:r>
      <w:proofErr w:type="gramStart"/>
      <w:r w:rsidRPr="008F3919">
        <w:t xml:space="preserve">Productivity Commission, </w:t>
      </w:r>
      <w:r w:rsidRPr="00543025">
        <w:rPr>
          <w:rStyle w:val="Emphasis"/>
        </w:rPr>
        <w:t>Electricity Network Regulatory Frameworks, volume 1, No. 62</w:t>
      </w:r>
      <w:r>
        <w:t>, 9 April 2013, p. 188</w:t>
      </w:r>
      <w:r w:rsidRPr="008F3919">
        <w:t>.</w:t>
      </w:r>
      <w:proofErr w:type="gramEnd"/>
      <w:r w:rsidRPr="008F3919">
        <w:t xml:space="preserve">  </w:t>
      </w:r>
    </w:p>
  </w:footnote>
  <w:footnote w:id="29">
    <w:p w:rsidR="003042CF" w:rsidRDefault="003042CF" w:rsidP="00C571E1">
      <w:pPr>
        <w:pStyle w:val="FootnoteText"/>
      </w:pPr>
      <w:r>
        <w:rPr>
          <w:rStyle w:val="FootnoteReference"/>
        </w:rPr>
        <w:footnoteRef/>
      </w:r>
      <w:r>
        <w:t xml:space="preserve"> </w:t>
      </w:r>
      <w:r>
        <w:tab/>
      </w:r>
      <w:proofErr w:type="gramStart"/>
      <w:r w:rsidRPr="008F3919">
        <w:t xml:space="preserve">Productivity Commission, </w:t>
      </w:r>
      <w:r w:rsidRPr="003529B3">
        <w:rPr>
          <w:rStyle w:val="Emphasis"/>
        </w:rPr>
        <w:t>Electricity Network Regulatory Frameworks, volume 1</w:t>
      </w:r>
      <w:r>
        <w:t xml:space="preserve">, </w:t>
      </w:r>
      <w:r w:rsidRPr="003529B3">
        <w:rPr>
          <w:rStyle w:val="Emphasis"/>
        </w:rPr>
        <w:t>No. 62</w:t>
      </w:r>
      <w:r>
        <w:t>, 9 April 2013, p. 27</w:t>
      </w:r>
      <w:r w:rsidRPr="008F3919">
        <w:t>.</w:t>
      </w:r>
      <w:proofErr w:type="gramEnd"/>
    </w:p>
  </w:footnote>
  <w:footnote w:id="30">
    <w:p w:rsidR="003042CF" w:rsidRDefault="003042CF" w:rsidP="00BD1A20">
      <w:pPr>
        <w:pStyle w:val="FootnoteText"/>
      </w:pPr>
      <w:r>
        <w:rPr>
          <w:rStyle w:val="FootnoteReference"/>
        </w:rPr>
        <w:footnoteRef/>
      </w:r>
      <w:r>
        <w:t xml:space="preserve"> </w:t>
      </w:r>
      <w:r>
        <w:tab/>
      </w:r>
      <w:proofErr w:type="gramStart"/>
      <w:r w:rsidRPr="008F3919">
        <w:t xml:space="preserve">Productivity Commission, </w:t>
      </w:r>
      <w:r w:rsidRPr="00543025">
        <w:rPr>
          <w:rStyle w:val="Emphasis"/>
        </w:rPr>
        <w:t>Electricity Network Regulatory Frameworks, volume 1, No. 62</w:t>
      </w:r>
      <w:r>
        <w:t>, 9 April 2013, p. 189</w:t>
      </w:r>
      <w:r w:rsidRPr="008F3919">
        <w:t>.</w:t>
      </w:r>
      <w:proofErr w:type="gramEnd"/>
      <w:r w:rsidRPr="008F3919">
        <w:t xml:space="preserve">  </w:t>
      </w:r>
    </w:p>
  </w:footnote>
  <w:footnote w:id="31">
    <w:p w:rsidR="003042CF" w:rsidRDefault="003042CF" w:rsidP="00DC5212">
      <w:pPr>
        <w:pStyle w:val="FootnoteText"/>
      </w:pPr>
      <w:r>
        <w:rPr>
          <w:rStyle w:val="FootnoteReference"/>
        </w:rPr>
        <w:footnoteRef/>
      </w:r>
      <w:r>
        <w:t xml:space="preserve"> </w:t>
      </w:r>
      <w:r>
        <w:tab/>
      </w:r>
      <w:proofErr w:type="gramStart"/>
      <w:r w:rsidRPr="001F39FC">
        <w:t xml:space="preserve">Productivity Commission, </w:t>
      </w:r>
      <w:r w:rsidRPr="00543025">
        <w:rPr>
          <w:rStyle w:val="Emphasis"/>
        </w:rPr>
        <w:t>Electricity Network Regulatory Frameworks, volume 1, No. 62</w:t>
      </w:r>
      <w:r>
        <w:t xml:space="preserve">, 9 April 2013, p. </w:t>
      </w:r>
      <w:r w:rsidRPr="001F39FC">
        <w:t>190.</w:t>
      </w:r>
      <w:proofErr w:type="gramEnd"/>
    </w:p>
  </w:footnote>
  <w:footnote w:id="32">
    <w:p w:rsidR="003042CF" w:rsidRDefault="003042CF">
      <w:pPr>
        <w:pStyle w:val="FootnoteText"/>
      </w:pPr>
      <w:r>
        <w:rPr>
          <w:rStyle w:val="FootnoteReference"/>
        </w:rPr>
        <w:footnoteRef/>
      </w:r>
      <w:r>
        <w:t xml:space="preserve"> </w:t>
      </w:r>
      <w:r>
        <w:tab/>
        <w:t xml:space="preserve">NER, cl. </w:t>
      </w:r>
      <w:proofErr w:type="gramStart"/>
      <w:r w:rsidRPr="00472507">
        <w:t>6A.6.6(</w:t>
      </w:r>
      <w:proofErr w:type="gramEnd"/>
      <w:r w:rsidRPr="00472507">
        <w:t>a)</w:t>
      </w:r>
      <w:r>
        <w:t>.</w:t>
      </w:r>
    </w:p>
  </w:footnote>
  <w:footnote w:id="33">
    <w:p w:rsidR="003042CF" w:rsidRDefault="003042CF">
      <w:pPr>
        <w:pStyle w:val="FootnoteText"/>
      </w:pPr>
      <w:r>
        <w:rPr>
          <w:rStyle w:val="FootnoteReference"/>
        </w:rPr>
        <w:footnoteRef/>
      </w:r>
      <w:r>
        <w:t xml:space="preserve"> </w:t>
      </w:r>
      <w:r>
        <w:tab/>
        <w:t>NEL, s. 16(1</w:t>
      </w:r>
      <w:proofErr w:type="gramStart"/>
      <w:r>
        <w:t>)(</w:t>
      </w:r>
      <w:proofErr w:type="gramEnd"/>
      <w:r>
        <w:t>a).</w:t>
      </w:r>
    </w:p>
  </w:footnote>
  <w:footnote w:id="34">
    <w:p w:rsidR="003042CF" w:rsidRDefault="003042CF" w:rsidP="002B506E">
      <w:pPr>
        <w:pStyle w:val="FootnoteText"/>
      </w:pPr>
      <w:r>
        <w:rPr>
          <w:rStyle w:val="FootnoteReference"/>
        </w:rPr>
        <w:footnoteRef/>
      </w:r>
      <w:r>
        <w:t xml:space="preserve"> </w:t>
      </w:r>
      <w:r>
        <w:tab/>
      </w:r>
      <w:proofErr w:type="gramStart"/>
      <w:r>
        <w:t xml:space="preserve">Productivity Commission, </w:t>
      </w:r>
      <w:r w:rsidRPr="00DD52B8">
        <w:rPr>
          <w:rStyle w:val="Emphasis"/>
        </w:rPr>
        <w:t>Electricity Network Regulatory Frameworks</w:t>
      </w:r>
      <w:r w:rsidRPr="00EB0DF2">
        <w:rPr>
          <w:rStyle w:val="Emphasis"/>
        </w:rPr>
        <w:t>, volume 1, No. 62</w:t>
      </w:r>
      <w:r w:rsidRPr="00F6149B">
        <w:t>, 9 April 2013</w:t>
      </w:r>
      <w:r>
        <w:t>, pp. 27-28.</w:t>
      </w:r>
      <w:proofErr w:type="gramEnd"/>
    </w:p>
  </w:footnote>
  <w:footnote w:id="35">
    <w:p w:rsidR="003042CF" w:rsidRDefault="003042CF">
      <w:pPr>
        <w:pStyle w:val="FootnoteText"/>
      </w:pPr>
      <w:r>
        <w:rPr>
          <w:rStyle w:val="FootnoteReference"/>
        </w:rPr>
        <w:footnoteRef/>
      </w:r>
      <w:r>
        <w:t xml:space="preserve"> </w:t>
      </w:r>
      <w:r>
        <w:tab/>
      </w:r>
      <w:proofErr w:type="gramStart"/>
      <w:r w:rsidRPr="0012372E">
        <w:t>NER</w:t>
      </w:r>
      <w:r>
        <w:t>, cl.</w:t>
      </w:r>
      <w:r w:rsidRPr="0012372E">
        <w:t xml:space="preserve"> </w:t>
      </w:r>
      <w:r w:rsidRPr="008B0254">
        <w:t>6A.6.6</w:t>
      </w:r>
      <w:r w:rsidRPr="0012372E">
        <w:t>(</w:t>
      </w:r>
      <w:r>
        <w:t>c</w:t>
      </w:r>
      <w:r w:rsidRPr="0012372E">
        <w:t>)</w:t>
      </w:r>
      <w:r>
        <w:t>.</w:t>
      </w:r>
      <w:proofErr w:type="gramEnd"/>
    </w:p>
  </w:footnote>
  <w:footnote w:id="36">
    <w:p w:rsidR="003042CF" w:rsidRDefault="003042CF" w:rsidP="00F10051">
      <w:pPr>
        <w:pStyle w:val="FootnoteText"/>
      </w:pPr>
      <w:r>
        <w:rPr>
          <w:rStyle w:val="FootnoteReference"/>
        </w:rPr>
        <w:footnoteRef/>
      </w:r>
      <w:r>
        <w:t xml:space="preserve"> </w:t>
      </w:r>
      <w:r>
        <w:tab/>
      </w:r>
      <w:proofErr w:type="gramStart"/>
      <w:r w:rsidRPr="008F3919">
        <w:t xml:space="preserve">Productivity Commission, </w:t>
      </w:r>
      <w:r w:rsidRPr="00E740FA">
        <w:rPr>
          <w:rStyle w:val="AERtextitalic"/>
        </w:rPr>
        <w:t>Electricity Network Regulatory Frameworks</w:t>
      </w:r>
      <w:r w:rsidRPr="008F3919">
        <w:t xml:space="preserve">, </w:t>
      </w:r>
      <w:r w:rsidRPr="00EB0DF2">
        <w:rPr>
          <w:rStyle w:val="Emphasis"/>
        </w:rPr>
        <w:t>volume 1, No. 62</w:t>
      </w:r>
      <w:r w:rsidRPr="008F3919">
        <w:t>, 9 April 2013, p</w:t>
      </w:r>
      <w:r>
        <w:t>p. 27–28</w:t>
      </w:r>
      <w:r w:rsidRPr="008F3919">
        <w:t>.</w:t>
      </w:r>
      <w:proofErr w:type="gramEnd"/>
    </w:p>
  </w:footnote>
  <w:footnote w:id="37">
    <w:p w:rsidR="003042CF" w:rsidRDefault="003042CF" w:rsidP="002946A0">
      <w:pPr>
        <w:pStyle w:val="FootnoteText"/>
      </w:pPr>
      <w:r>
        <w:rPr>
          <w:rStyle w:val="FootnoteReference"/>
        </w:rPr>
        <w:footnoteRef/>
      </w:r>
      <w:r>
        <w:t xml:space="preserve"> </w:t>
      </w:r>
      <w:r>
        <w:tab/>
        <w:t xml:space="preserve">AEMC, </w:t>
      </w:r>
      <w:r w:rsidRPr="000F3F04">
        <w:rPr>
          <w:rStyle w:val="AERtextitalic"/>
        </w:rPr>
        <w:t>Contestability of energy services, Consultation paper</w:t>
      </w:r>
      <w:r w:rsidRPr="00EB0DF2">
        <w:t>, 15 December 2016</w:t>
      </w:r>
      <w:r>
        <w:t>, p. 32.</w:t>
      </w:r>
    </w:p>
  </w:footnote>
  <w:footnote w:id="38">
    <w:p w:rsidR="003042CF" w:rsidRDefault="003042CF" w:rsidP="00D56EC4">
      <w:pPr>
        <w:pStyle w:val="FootnoteText"/>
      </w:pPr>
      <w:r>
        <w:rPr>
          <w:rStyle w:val="FootnoteReference"/>
        </w:rPr>
        <w:footnoteRef/>
      </w:r>
      <w:r>
        <w:t xml:space="preserve"> </w:t>
      </w:r>
      <w:r>
        <w:tab/>
      </w:r>
      <w:proofErr w:type="gramStart"/>
      <w:r>
        <w:t xml:space="preserve">AER, </w:t>
      </w:r>
      <w:r w:rsidRPr="0057098E">
        <w:rPr>
          <w:rStyle w:val="Emphasis"/>
        </w:rPr>
        <w:t>Annual Bench</w:t>
      </w:r>
      <w:r>
        <w:rPr>
          <w:rStyle w:val="Emphasis"/>
        </w:rPr>
        <w:t>marking Report -</w:t>
      </w:r>
      <w:r w:rsidRPr="0057098E">
        <w:rPr>
          <w:rStyle w:val="Emphasis"/>
        </w:rPr>
        <w:t xml:space="preserve"> Electricity transmission network service providers</w:t>
      </w:r>
      <w:r>
        <w:t xml:space="preserve">, </w:t>
      </w:r>
      <w:r w:rsidRPr="00F31984">
        <w:t>November 201</w:t>
      </w:r>
      <w:r>
        <w:t>6.</w:t>
      </w:r>
      <w:proofErr w:type="gramEnd"/>
    </w:p>
  </w:footnote>
  <w:footnote w:id="39">
    <w:p w:rsidR="003042CF" w:rsidRDefault="003042CF" w:rsidP="00932DAD">
      <w:pPr>
        <w:pStyle w:val="FootnoteText"/>
      </w:pPr>
      <w:r>
        <w:rPr>
          <w:rStyle w:val="FootnoteReference"/>
        </w:rPr>
        <w:footnoteRef/>
      </w:r>
      <w:r>
        <w:t xml:space="preserve"> </w:t>
      </w:r>
      <w:r>
        <w:tab/>
        <w:t>NER, cl.</w:t>
      </w:r>
      <w:r w:rsidRPr="0012372E">
        <w:t xml:space="preserve"> </w:t>
      </w:r>
      <w:proofErr w:type="gramStart"/>
      <w:r w:rsidRPr="008B0254">
        <w:t>6A.</w:t>
      </w:r>
      <w:r>
        <w:t>6</w:t>
      </w:r>
      <w:r w:rsidRPr="008B0254">
        <w:t>.6</w:t>
      </w:r>
      <w:r w:rsidRPr="0012372E">
        <w:t>(</w:t>
      </w:r>
      <w:proofErr w:type="gramEnd"/>
      <w:r>
        <w:t>e</w:t>
      </w:r>
      <w:r w:rsidRPr="0012372E">
        <w:t>)</w:t>
      </w:r>
      <w:r>
        <w:t>(8).</w:t>
      </w:r>
    </w:p>
  </w:footnote>
  <w:footnote w:id="40">
    <w:p w:rsidR="003042CF" w:rsidRDefault="003042CF" w:rsidP="00F151F6">
      <w:pPr>
        <w:pStyle w:val="FootnoteText"/>
      </w:pPr>
      <w:r>
        <w:rPr>
          <w:rStyle w:val="FootnoteReference"/>
        </w:rPr>
        <w:footnoteRef/>
      </w:r>
      <w:r>
        <w:t xml:space="preserve"> </w:t>
      </w:r>
      <w:r>
        <w:tab/>
      </w:r>
      <w:r w:rsidRPr="00AB4CBA">
        <w:t xml:space="preserve">AER, </w:t>
      </w:r>
      <w:r>
        <w:rPr>
          <w:rStyle w:val="Emphasis"/>
        </w:rPr>
        <w:t>Explanatory statement - e</w:t>
      </w:r>
      <w:r w:rsidRPr="00AB4CBA">
        <w:rPr>
          <w:rStyle w:val="Emphasis"/>
        </w:rPr>
        <w:t xml:space="preserve">xpenditure </w:t>
      </w:r>
      <w:r>
        <w:rPr>
          <w:rStyle w:val="Emphasis"/>
        </w:rPr>
        <w:t>f</w:t>
      </w:r>
      <w:r w:rsidRPr="00AB4CBA">
        <w:rPr>
          <w:rStyle w:val="Emphasis"/>
        </w:rPr>
        <w:t xml:space="preserve">orecast </w:t>
      </w:r>
      <w:r>
        <w:rPr>
          <w:rStyle w:val="Emphasis"/>
        </w:rPr>
        <w:t>a</w:t>
      </w:r>
      <w:r w:rsidRPr="00AB4CBA">
        <w:rPr>
          <w:rStyle w:val="Emphasis"/>
        </w:rPr>
        <w:t xml:space="preserve">ssessment </w:t>
      </w:r>
      <w:r>
        <w:rPr>
          <w:rStyle w:val="Emphasis"/>
        </w:rPr>
        <w:t>g</w:t>
      </w:r>
      <w:r w:rsidRPr="00AB4CBA">
        <w:rPr>
          <w:rStyle w:val="Emphasis"/>
        </w:rPr>
        <w:t>uideline</w:t>
      </w:r>
      <w:r>
        <w:rPr>
          <w:rStyle w:val="Emphasis"/>
        </w:rPr>
        <w:t xml:space="preserve">, </w:t>
      </w:r>
      <w:r w:rsidRPr="00AB4CBA">
        <w:t>November 2013</w:t>
      </w:r>
      <w:r>
        <w:t xml:space="preserve">, p. 75. </w:t>
      </w:r>
    </w:p>
  </w:footnote>
  <w:footnote w:id="41">
    <w:p w:rsidR="003042CF" w:rsidRDefault="003042CF">
      <w:pPr>
        <w:pStyle w:val="FootnoteText"/>
      </w:pPr>
      <w:r>
        <w:rPr>
          <w:rStyle w:val="FootnoteReference"/>
        </w:rPr>
        <w:footnoteRef/>
      </w:r>
      <w:r>
        <w:t xml:space="preserve"> </w:t>
      </w:r>
      <w:r>
        <w:tab/>
      </w:r>
      <w:r w:rsidRPr="00AB4CBA">
        <w:t xml:space="preserve">AER, </w:t>
      </w:r>
      <w:r>
        <w:rPr>
          <w:rStyle w:val="Emphasis"/>
        </w:rPr>
        <w:t>Explanatory statement - e</w:t>
      </w:r>
      <w:r w:rsidRPr="00AB4CBA">
        <w:rPr>
          <w:rStyle w:val="Emphasis"/>
        </w:rPr>
        <w:t xml:space="preserve">xpenditure </w:t>
      </w:r>
      <w:r>
        <w:rPr>
          <w:rStyle w:val="Emphasis"/>
        </w:rPr>
        <w:t>f</w:t>
      </w:r>
      <w:r w:rsidRPr="00AB4CBA">
        <w:rPr>
          <w:rStyle w:val="Emphasis"/>
        </w:rPr>
        <w:t xml:space="preserve">orecast </w:t>
      </w:r>
      <w:r>
        <w:rPr>
          <w:rStyle w:val="Emphasis"/>
        </w:rPr>
        <w:t>a</w:t>
      </w:r>
      <w:r w:rsidRPr="00AB4CBA">
        <w:rPr>
          <w:rStyle w:val="Emphasis"/>
        </w:rPr>
        <w:t xml:space="preserve">ssessment </w:t>
      </w:r>
      <w:r>
        <w:rPr>
          <w:rStyle w:val="Emphasis"/>
        </w:rPr>
        <w:t>g</w:t>
      </w:r>
      <w:r w:rsidRPr="00AB4CBA">
        <w:rPr>
          <w:rStyle w:val="Emphasis"/>
        </w:rPr>
        <w:t>uideline</w:t>
      </w:r>
      <w:r>
        <w:rPr>
          <w:rStyle w:val="AERtextsize8"/>
        </w:rPr>
        <w:t xml:space="preserve">, </w:t>
      </w:r>
      <w:r w:rsidRPr="00AB4CBA">
        <w:t>November 2013</w:t>
      </w:r>
      <w:r>
        <w:t>, p. 49.</w:t>
      </w:r>
    </w:p>
  </w:footnote>
  <w:footnote w:id="42">
    <w:p w:rsidR="003042CF" w:rsidRDefault="003042CF">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23.  </w:t>
      </w:r>
    </w:p>
  </w:footnote>
  <w:footnote w:id="43">
    <w:p w:rsidR="003042CF" w:rsidRDefault="003042CF">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24.  </w:t>
      </w:r>
    </w:p>
  </w:footnote>
  <w:footnote w:id="44">
    <w:p w:rsidR="003042CF" w:rsidRDefault="003042CF" w:rsidP="00D56EC4">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tr</w:t>
      </w:r>
      <w:r w:rsidRPr="00AB4CBA">
        <w:rPr>
          <w:rStyle w:val="Emphasis"/>
        </w:rPr>
        <w:t>ansmission</w:t>
      </w:r>
      <w:r w:rsidRPr="00AB4CBA">
        <w:t>, November 2013</w:t>
      </w:r>
      <w:r>
        <w:t xml:space="preserve">, p. 24.  </w:t>
      </w:r>
    </w:p>
  </w:footnote>
  <w:footnote w:id="45">
    <w:p w:rsidR="003042CF" w:rsidRDefault="003042CF" w:rsidP="008B6959">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24.  </w:t>
      </w:r>
    </w:p>
  </w:footnote>
  <w:footnote w:id="46">
    <w:p w:rsidR="003042CF" w:rsidRDefault="003042CF">
      <w:pPr>
        <w:pStyle w:val="FootnoteText"/>
      </w:pPr>
      <w:r>
        <w:rPr>
          <w:rStyle w:val="FootnoteReference"/>
        </w:rPr>
        <w:footnoteRef/>
      </w:r>
      <w:r>
        <w:t xml:space="preserve"> </w:t>
      </w:r>
      <w:r>
        <w:tab/>
        <w:t xml:space="preserve">AER, </w:t>
      </w:r>
      <w:r>
        <w:rPr>
          <w:rStyle w:val="Emphasis"/>
        </w:rPr>
        <w:t>Explanatory statement - e</w:t>
      </w:r>
      <w:r w:rsidRPr="00AB4CBA">
        <w:rPr>
          <w:rStyle w:val="Emphasis"/>
        </w:rPr>
        <w:t xml:space="preserve">xpenditure </w:t>
      </w:r>
      <w:r>
        <w:rPr>
          <w:rStyle w:val="Emphasis"/>
        </w:rPr>
        <w:t>f</w:t>
      </w:r>
      <w:r w:rsidRPr="00AB4CBA">
        <w:rPr>
          <w:rStyle w:val="Emphasis"/>
        </w:rPr>
        <w:t xml:space="preserve">orecast </w:t>
      </w:r>
      <w:r>
        <w:rPr>
          <w:rStyle w:val="Emphasis"/>
        </w:rPr>
        <w:t>a</w:t>
      </w:r>
      <w:r w:rsidRPr="00AB4CBA">
        <w:rPr>
          <w:rStyle w:val="Emphasis"/>
        </w:rPr>
        <w:t xml:space="preserve">ssessment </w:t>
      </w:r>
      <w:r>
        <w:rPr>
          <w:rStyle w:val="Emphasis"/>
        </w:rPr>
        <w:t>g</w:t>
      </w:r>
      <w:r w:rsidRPr="00AB4CBA">
        <w:rPr>
          <w:rStyle w:val="Emphasis"/>
        </w:rPr>
        <w:t>uideline</w:t>
      </w:r>
      <w:r>
        <w:t xml:space="preserve">, </w:t>
      </w:r>
      <w:r w:rsidRPr="00AB4CBA">
        <w:t>November 2013</w:t>
      </w:r>
      <w:r>
        <w:t>, p. 52.</w:t>
      </w:r>
    </w:p>
  </w:footnote>
  <w:footnote w:id="47">
    <w:p w:rsidR="003042CF" w:rsidRDefault="003042CF" w:rsidP="002E269A">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24.  </w:t>
      </w:r>
    </w:p>
  </w:footnote>
  <w:footnote w:id="48">
    <w:p w:rsidR="003042CF" w:rsidRDefault="003042CF" w:rsidP="00D56EC4">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24.  </w:t>
      </w:r>
    </w:p>
  </w:footnote>
  <w:footnote w:id="49">
    <w:p w:rsidR="003042CF" w:rsidRDefault="003042CF" w:rsidP="00D56EC4">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11.  </w:t>
      </w:r>
    </w:p>
  </w:footnote>
  <w:footnote w:id="50">
    <w:p w:rsidR="003042CF" w:rsidRDefault="003042CF">
      <w:pPr>
        <w:pStyle w:val="FootnoteText"/>
      </w:pPr>
      <w:r>
        <w:rPr>
          <w:rStyle w:val="FootnoteReference"/>
        </w:rPr>
        <w:footnoteRef/>
      </w:r>
      <w:r>
        <w:t xml:space="preserve"> </w:t>
      </w:r>
      <w:r>
        <w:tab/>
        <w:t xml:space="preserve">AER, </w:t>
      </w:r>
      <w:r>
        <w:rPr>
          <w:rStyle w:val="Emphasis"/>
        </w:rPr>
        <w:t>Explanatory statement - e</w:t>
      </w:r>
      <w:r w:rsidRPr="00AB4CBA">
        <w:rPr>
          <w:rStyle w:val="Emphasis"/>
        </w:rPr>
        <w:t xml:space="preserve">xpenditure </w:t>
      </w:r>
      <w:r>
        <w:rPr>
          <w:rStyle w:val="Emphasis"/>
        </w:rPr>
        <w:t>f</w:t>
      </w:r>
      <w:r w:rsidRPr="00AB4CBA">
        <w:rPr>
          <w:rStyle w:val="Emphasis"/>
        </w:rPr>
        <w:t xml:space="preserve">orecast </w:t>
      </w:r>
      <w:r>
        <w:rPr>
          <w:rStyle w:val="Emphasis"/>
        </w:rPr>
        <w:t>a</w:t>
      </w:r>
      <w:r w:rsidRPr="00AB4CBA">
        <w:rPr>
          <w:rStyle w:val="Emphasis"/>
        </w:rPr>
        <w:t xml:space="preserve">ssessment </w:t>
      </w:r>
      <w:r>
        <w:rPr>
          <w:rStyle w:val="Emphasis"/>
        </w:rPr>
        <w:t>g</w:t>
      </w:r>
      <w:r w:rsidRPr="00AB4CBA">
        <w:rPr>
          <w:rStyle w:val="Emphasis"/>
        </w:rPr>
        <w:t>uideline</w:t>
      </w:r>
      <w:r>
        <w:t xml:space="preserve">, </w:t>
      </w:r>
      <w:r w:rsidRPr="00AB4CBA">
        <w:t>November 2013</w:t>
      </w:r>
      <w:r>
        <w:t xml:space="preserve">, pp. 51–52; </w:t>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p. 11.</w:t>
      </w:r>
    </w:p>
  </w:footnote>
  <w:footnote w:id="51">
    <w:p w:rsidR="003042CF" w:rsidRDefault="003042CF" w:rsidP="00574FB4">
      <w:pPr>
        <w:pStyle w:val="FootnoteText"/>
      </w:pPr>
      <w:r>
        <w:rPr>
          <w:rStyle w:val="FootnoteReference"/>
        </w:rPr>
        <w:footnoteRef/>
      </w:r>
      <w:r>
        <w:t xml:space="preserve"> </w:t>
      </w:r>
      <w:r>
        <w:tab/>
        <w:t xml:space="preserve">AER, </w:t>
      </w:r>
      <w:r>
        <w:rPr>
          <w:rStyle w:val="Emphasis"/>
        </w:rPr>
        <w:t>Explanatory statement - e</w:t>
      </w:r>
      <w:r w:rsidRPr="00AB4CBA">
        <w:rPr>
          <w:rStyle w:val="Emphasis"/>
        </w:rPr>
        <w:t xml:space="preserve">xpenditure </w:t>
      </w:r>
      <w:r>
        <w:rPr>
          <w:rStyle w:val="Emphasis"/>
        </w:rPr>
        <w:t>f</w:t>
      </w:r>
      <w:r w:rsidRPr="00AB4CBA">
        <w:rPr>
          <w:rStyle w:val="Emphasis"/>
        </w:rPr>
        <w:t xml:space="preserve">orecast </w:t>
      </w:r>
      <w:r>
        <w:rPr>
          <w:rStyle w:val="Emphasis"/>
        </w:rPr>
        <w:t>a</w:t>
      </w:r>
      <w:r w:rsidRPr="00AB4CBA">
        <w:rPr>
          <w:rStyle w:val="Emphasis"/>
        </w:rPr>
        <w:t xml:space="preserve">ssessment </w:t>
      </w:r>
      <w:r>
        <w:rPr>
          <w:rStyle w:val="Emphasis"/>
        </w:rPr>
        <w:t>g</w:t>
      </w:r>
      <w:r w:rsidRPr="00AB4CBA">
        <w:rPr>
          <w:rStyle w:val="Emphasis"/>
        </w:rPr>
        <w:t>uideline</w:t>
      </w:r>
      <w:r>
        <w:t xml:space="preserve">, </w:t>
      </w:r>
      <w:r w:rsidRPr="00AB4CBA">
        <w:t>November 2013</w:t>
      </w:r>
      <w:r>
        <w:t>, p. 52.</w:t>
      </w:r>
    </w:p>
  </w:footnote>
  <w:footnote w:id="52">
    <w:p w:rsidR="003042CF" w:rsidRDefault="003042CF" w:rsidP="00611ABB">
      <w:pPr>
        <w:pStyle w:val="FootnoteText"/>
      </w:pPr>
      <w:r>
        <w:rPr>
          <w:rStyle w:val="FootnoteReference"/>
        </w:rPr>
        <w:footnoteRef/>
      </w:r>
      <w:r>
        <w:t xml:space="preserve"> </w:t>
      </w:r>
      <w:r>
        <w:tab/>
      </w:r>
      <w:r w:rsidRPr="00AB4CBA">
        <w:t xml:space="preserve">AER, </w:t>
      </w:r>
      <w:r w:rsidRPr="00AB4CBA">
        <w:rPr>
          <w:rStyle w:val="Emphasis"/>
        </w:rPr>
        <w:t xml:space="preserve">Expenditure </w:t>
      </w:r>
      <w:r>
        <w:rPr>
          <w:rStyle w:val="Emphasis"/>
        </w:rPr>
        <w:t>f</w:t>
      </w:r>
      <w:r w:rsidRPr="00AB4CBA">
        <w:rPr>
          <w:rStyle w:val="Emphasis"/>
        </w:rPr>
        <w:t xml:space="preserve">orecast </w:t>
      </w:r>
      <w:r>
        <w:rPr>
          <w:rStyle w:val="Emphasis"/>
        </w:rPr>
        <w:t>a</w:t>
      </w:r>
      <w:r w:rsidRPr="00AB4CBA">
        <w:rPr>
          <w:rStyle w:val="Emphasis"/>
        </w:rPr>
        <w:t>ssess</w:t>
      </w:r>
      <w:r>
        <w:rPr>
          <w:rStyle w:val="Emphasis"/>
        </w:rPr>
        <w:t>ment guideline for electricity t</w:t>
      </w:r>
      <w:r w:rsidRPr="00AB4CBA">
        <w:rPr>
          <w:rStyle w:val="Emphasis"/>
        </w:rPr>
        <w:t>ransmission</w:t>
      </w:r>
      <w:r w:rsidRPr="00AB4CBA">
        <w:t>, November 2013</w:t>
      </w:r>
      <w:r>
        <w:t xml:space="preserve">, p. 11.  </w:t>
      </w:r>
    </w:p>
  </w:footnote>
  <w:footnote w:id="53">
    <w:p w:rsidR="003042CF" w:rsidRDefault="003042CF" w:rsidP="00D56EC4">
      <w:pPr>
        <w:pStyle w:val="FootnoteText"/>
      </w:pPr>
      <w:r>
        <w:rPr>
          <w:rStyle w:val="FootnoteReference"/>
        </w:rPr>
        <w:footnoteRef/>
      </w:r>
      <w:r>
        <w:t xml:space="preserve"> </w:t>
      </w:r>
      <w:r>
        <w:tab/>
        <w:t xml:space="preserve">AER, </w:t>
      </w:r>
      <w:r w:rsidRPr="0028461B">
        <w:rPr>
          <w:rStyle w:val="Emphasis"/>
        </w:rPr>
        <w:t xml:space="preserve">Explanatory statement - expenditure forecast assessment guideline, </w:t>
      </w:r>
      <w:r w:rsidRPr="0028461B">
        <w:rPr>
          <w:rStyle w:val="AERtextsize8"/>
        </w:rPr>
        <w:t>November 2013</w:t>
      </w:r>
      <w:r w:rsidRPr="0028461B">
        <w:rPr>
          <w:rStyle w:val="Emphasis"/>
        </w:rPr>
        <w:t xml:space="preserve">, </w:t>
      </w:r>
      <w:r>
        <w:t>p. 74.</w:t>
      </w:r>
    </w:p>
  </w:footnote>
  <w:footnote w:id="54">
    <w:p w:rsidR="003042CF" w:rsidRDefault="003042CF" w:rsidP="00D56EC4">
      <w:pPr>
        <w:pStyle w:val="FootnoteText"/>
      </w:pPr>
      <w:r>
        <w:rPr>
          <w:rStyle w:val="FootnoteReference"/>
        </w:rPr>
        <w:footnoteRef/>
      </w:r>
      <w:r>
        <w:t xml:space="preserve"> </w:t>
      </w:r>
      <w:r>
        <w:tab/>
        <w:t xml:space="preserve">AER, </w:t>
      </w:r>
      <w:r w:rsidRPr="0028461B">
        <w:rPr>
          <w:rStyle w:val="AERtextitalic"/>
        </w:rPr>
        <w:t>Explanatory statement - expenditure forecast assessment guideline</w:t>
      </w:r>
      <w:r w:rsidRPr="0028461B">
        <w:t xml:space="preserve">, November 2013, </w:t>
      </w:r>
      <w:r>
        <w:t>p. 52.</w:t>
      </w:r>
    </w:p>
  </w:footnote>
  <w:footnote w:id="55">
    <w:p w:rsidR="003042CF" w:rsidRDefault="003042CF" w:rsidP="000E0609">
      <w:pPr>
        <w:pStyle w:val="FootnoteText"/>
      </w:pPr>
      <w:r>
        <w:rPr>
          <w:rStyle w:val="FootnoteReference"/>
        </w:rPr>
        <w:footnoteRef/>
      </w:r>
      <w:r>
        <w:t xml:space="preserve"> </w:t>
      </w:r>
      <w:r>
        <w:tab/>
        <w:t xml:space="preserve">Frontier Economics, </w:t>
      </w:r>
      <w:r w:rsidRPr="00543025">
        <w:rPr>
          <w:rStyle w:val="AERtextitalic"/>
        </w:rPr>
        <w:t>Opex forecasting method: A report prepared for TransGrid</w:t>
      </w:r>
      <w:r>
        <w:t>, December 2014, p. 8.</w:t>
      </w:r>
    </w:p>
  </w:footnote>
  <w:footnote w:id="56">
    <w:p w:rsidR="003042CF" w:rsidRDefault="003042CF" w:rsidP="005F3169">
      <w:pPr>
        <w:pStyle w:val="FootnoteText"/>
      </w:pPr>
      <w:r>
        <w:rPr>
          <w:rStyle w:val="FootnoteReference"/>
        </w:rPr>
        <w:footnoteRef/>
      </w:r>
      <w:r>
        <w:t xml:space="preserve"> </w:t>
      </w:r>
      <w:r>
        <w:tab/>
        <w:t xml:space="preserve">AER, </w:t>
      </w:r>
      <w:r w:rsidRPr="00DF7BB0">
        <w:rPr>
          <w:rStyle w:val="Emphasis"/>
        </w:rPr>
        <w:t>Stakeholder Engagement Framework</w:t>
      </w:r>
      <w:r>
        <w:t xml:space="preserve">, p. 1; </w:t>
      </w:r>
      <w:r w:rsidRPr="003C0A5A">
        <w:t>AER</w:t>
      </w:r>
      <w:r>
        <w:t xml:space="preserve">, </w:t>
      </w:r>
      <w:r w:rsidRPr="000F3F04">
        <w:rPr>
          <w:rStyle w:val="AERtextitalic"/>
        </w:rPr>
        <w:t>AER network revenue determination engagement protocol: version 1.0</w:t>
      </w:r>
      <w:r>
        <w:t>, p. 3.</w:t>
      </w:r>
    </w:p>
  </w:footnote>
  <w:footnote w:id="57">
    <w:p w:rsidR="003042CF" w:rsidRDefault="003042CF" w:rsidP="003F2642">
      <w:pPr>
        <w:pStyle w:val="FootnoteText"/>
      </w:pPr>
      <w:r>
        <w:rPr>
          <w:rStyle w:val="FootnoteReference"/>
        </w:rPr>
        <w:footnoteRef/>
      </w:r>
      <w:r>
        <w:t xml:space="preserve"> </w:t>
      </w:r>
      <w:r>
        <w:tab/>
        <w:t xml:space="preserve">Excludes debt raising costs; </w:t>
      </w:r>
      <w:r w:rsidRPr="00124805">
        <w:t xml:space="preserve">AusNet Services, </w:t>
      </w:r>
      <w:r w:rsidRPr="00124805">
        <w:rPr>
          <w:rStyle w:val="AERtextitalic"/>
        </w:rPr>
        <w:t>Revised revenue proposal: 2017–22 Opex model, 21 September 2016</w:t>
      </w:r>
      <w:r w:rsidRPr="00124805">
        <w:t>.</w:t>
      </w:r>
    </w:p>
  </w:footnote>
  <w:footnote w:id="58">
    <w:p w:rsidR="003042CF" w:rsidRDefault="003042CF" w:rsidP="003F2642">
      <w:pPr>
        <w:pStyle w:val="FootnoteText"/>
      </w:pPr>
      <w:r>
        <w:rPr>
          <w:rStyle w:val="FootnoteReference"/>
        </w:rPr>
        <w:footnoteRef/>
      </w:r>
      <w:r>
        <w:t xml:space="preserve"> </w:t>
      </w:r>
      <w:r>
        <w:tab/>
      </w:r>
      <w:proofErr w:type="gramStart"/>
      <w:r w:rsidRPr="00587369">
        <w:t>NER, cl. 6A.6.6(c).</w:t>
      </w:r>
      <w:proofErr w:type="gramEnd"/>
    </w:p>
  </w:footnote>
  <w:footnote w:id="59">
    <w:p w:rsidR="003042CF" w:rsidRDefault="003042CF" w:rsidP="003A6EE0">
      <w:pPr>
        <w:pStyle w:val="FootnoteText"/>
      </w:pPr>
      <w:r>
        <w:rPr>
          <w:rStyle w:val="FootnoteReference"/>
        </w:rPr>
        <w:footnoteRef/>
      </w:r>
      <w:r>
        <w:t xml:space="preserve"> </w:t>
      </w:r>
      <w:r>
        <w:tab/>
      </w:r>
      <w:proofErr w:type="gramStart"/>
      <w:r>
        <w:t>Excludes debt raising costs.</w:t>
      </w:r>
      <w:proofErr w:type="gramEnd"/>
      <w:r>
        <w:t xml:space="preserve"> </w:t>
      </w:r>
    </w:p>
  </w:footnote>
  <w:footnote w:id="60">
    <w:p w:rsidR="003042CF" w:rsidRDefault="003042CF" w:rsidP="003F2642">
      <w:pPr>
        <w:pStyle w:val="FootnoteText"/>
      </w:pPr>
      <w:r>
        <w:rPr>
          <w:rStyle w:val="FootnoteReference"/>
        </w:rPr>
        <w:footnoteRef/>
      </w:r>
      <w:r>
        <w:t xml:space="preserve"> </w:t>
      </w:r>
      <w:r>
        <w:tab/>
      </w:r>
      <w:proofErr w:type="gramStart"/>
      <w:r w:rsidRPr="00DD615F">
        <w:t xml:space="preserve">AusNet Services, </w:t>
      </w:r>
      <w:r w:rsidRPr="00F97D39">
        <w:rPr>
          <w:rStyle w:val="Emphasis"/>
        </w:rPr>
        <w:t>Submission on revised proposal</w:t>
      </w:r>
      <w:r w:rsidRPr="00DD615F">
        <w:t>, 20 December 2016</w:t>
      </w:r>
      <w:r>
        <w:t>, p. 4.</w:t>
      </w:r>
      <w:proofErr w:type="gramEnd"/>
      <w:r w:rsidR="003D2EDF">
        <w:t xml:space="preserve"> </w:t>
      </w:r>
      <w:proofErr w:type="gramStart"/>
      <w:r w:rsidR="003D2EDF">
        <w:t xml:space="preserve">State Revenue Office Victoria, 2017 </w:t>
      </w:r>
      <w:r w:rsidR="003D2EDF" w:rsidRPr="003D2EDF">
        <w:rPr>
          <w:rStyle w:val="Emphasis"/>
        </w:rPr>
        <w:t>Land tax assessment notice</w:t>
      </w:r>
      <w:r w:rsidR="003D2EDF">
        <w:t>, 16 January 2017.</w:t>
      </w:r>
      <w:proofErr w:type="gramEnd"/>
    </w:p>
  </w:footnote>
  <w:footnote w:id="61">
    <w:p w:rsidR="003042CF" w:rsidRDefault="003042CF" w:rsidP="003F2642">
      <w:pPr>
        <w:pStyle w:val="FootnoteText"/>
      </w:pPr>
      <w:r>
        <w:rPr>
          <w:rStyle w:val="FootnoteReference"/>
        </w:rPr>
        <w:footnoteRef/>
      </w:r>
      <w:r>
        <w:t xml:space="preserve"> </w:t>
      </w:r>
      <w:r>
        <w:tab/>
      </w:r>
      <w:r w:rsidRPr="00807A57">
        <w:t>We include a category specific forecast for easement land tax because AusNet Services is entitled to apply for a 'cost pass through' where our forecast differs (higher or lower) from the actual tax paid. To apply this pass through we need an explicit forecast of easement land tax costs. This is explained in section 7.5.3</w:t>
      </w:r>
      <w:r>
        <w:t>.2</w:t>
      </w:r>
      <w:r w:rsidRPr="00807A57">
        <w:t>.</w:t>
      </w:r>
    </w:p>
  </w:footnote>
  <w:footnote w:id="62">
    <w:p w:rsidR="003042CF" w:rsidRDefault="003042CF" w:rsidP="008D14CC">
      <w:pPr>
        <w:pStyle w:val="FootnoteText"/>
      </w:pPr>
      <w:r>
        <w:rPr>
          <w:rStyle w:val="FootnoteReference"/>
        </w:rPr>
        <w:footnoteRef/>
      </w:r>
      <w:r>
        <w:t xml:space="preserve"> </w:t>
      </w:r>
      <w:r>
        <w:tab/>
        <w:t>CCP</w:t>
      </w:r>
      <w:r w:rsidRPr="0010041B">
        <w:t xml:space="preserve">5, </w:t>
      </w:r>
      <w:r w:rsidRPr="00A264A4">
        <w:rPr>
          <w:rStyle w:val="Emphasis"/>
        </w:rPr>
        <w:t xml:space="preserve">Submission in response to AusNet Services' 2017–22 revised revenue </w:t>
      </w:r>
      <w:proofErr w:type="gramStart"/>
      <w:r w:rsidRPr="00A264A4">
        <w:rPr>
          <w:rStyle w:val="Emphasis"/>
        </w:rPr>
        <w:t>proposal</w:t>
      </w:r>
      <w:proofErr w:type="gramEnd"/>
      <w:r>
        <w:t>, October 2016, p. 23.</w:t>
      </w:r>
    </w:p>
  </w:footnote>
  <w:footnote w:id="63">
    <w:p w:rsidR="003042CF" w:rsidRDefault="003042CF" w:rsidP="007D39FE">
      <w:pPr>
        <w:pStyle w:val="FootnoteText"/>
      </w:pPr>
      <w:r>
        <w:rPr>
          <w:rStyle w:val="FootnoteReference"/>
        </w:rPr>
        <w:footnoteRef/>
      </w:r>
      <w:r>
        <w:t xml:space="preserve"> </w:t>
      </w:r>
      <w:r>
        <w:tab/>
        <w:t xml:space="preserve">AusNet Services, </w:t>
      </w:r>
      <w:r w:rsidRPr="00124805">
        <w:rPr>
          <w:rStyle w:val="AERtextitalic"/>
        </w:rPr>
        <w:t>Revised revenue proposal: 2017–22 Opex model</w:t>
      </w:r>
      <w:r>
        <w:t xml:space="preserve">. </w:t>
      </w:r>
      <w:proofErr w:type="gramStart"/>
      <w:r>
        <w:t>Excludes debt raising costs.</w:t>
      </w:r>
      <w:proofErr w:type="gramEnd"/>
    </w:p>
  </w:footnote>
  <w:footnote w:id="64">
    <w:p w:rsidR="003042CF" w:rsidRDefault="003042CF" w:rsidP="007D39FE">
      <w:pPr>
        <w:pStyle w:val="FootnoteText"/>
      </w:pPr>
      <w:r>
        <w:rPr>
          <w:rStyle w:val="FootnoteReference"/>
        </w:rPr>
        <w:footnoteRef/>
      </w:r>
      <w:r>
        <w:t xml:space="preserve"> </w:t>
      </w:r>
      <w:r>
        <w:tab/>
      </w:r>
      <w:proofErr w:type="gramStart"/>
      <w:r w:rsidRPr="00C8681B">
        <w:t>AER,</w:t>
      </w:r>
      <w:r>
        <w:t xml:space="preserve">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pp. 7-27 to7-38.</w:t>
      </w:r>
      <w:proofErr w:type="gramEnd"/>
    </w:p>
  </w:footnote>
  <w:footnote w:id="65">
    <w:p w:rsidR="003042CF" w:rsidRDefault="003042CF" w:rsidP="00DF047C">
      <w:pPr>
        <w:pStyle w:val="FootnoteText"/>
      </w:pPr>
      <w:r>
        <w:rPr>
          <w:rStyle w:val="FootnoteReference"/>
        </w:rPr>
        <w:footnoteRef/>
      </w:r>
      <w:r>
        <w:t xml:space="preserve"> </w:t>
      </w:r>
      <w:r>
        <w:tab/>
      </w:r>
      <w:proofErr w:type="gramStart"/>
      <w:r w:rsidRPr="00C8681B">
        <w:t>AER,</w:t>
      </w:r>
      <w:r>
        <w:t xml:space="preserve"> </w:t>
      </w:r>
      <w:r w:rsidRPr="00DF047C">
        <w:rPr>
          <w:rStyle w:val="AERtextitalic"/>
        </w:rPr>
        <w:t>Draft Decision AusNet Services transmission determination–Attachment 7–Operating expenditure</w:t>
      </w:r>
      <w:r w:rsidRPr="00DF047C">
        <w:t>, July 2016, pp. 7-39 to 7-58.</w:t>
      </w:r>
      <w:proofErr w:type="gramEnd"/>
    </w:p>
  </w:footnote>
  <w:footnote w:id="66">
    <w:p w:rsidR="003042CF" w:rsidRDefault="003042CF" w:rsidP="00921B37">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pp. 91–92.</w:t>
      </w:r>
    </w:p>
  </w:footnote>
  <w:footnote w:id="67">
    <w:p w:rsidR="003042CF" w:rsidRDefault="003042CF" w:rsidP="00921B37">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pp. 92–97.</w:t>
      </w:r>
    </w:p>
  </w:footnote>
  <w:footnote w:id="68">
    <w:p w:rsidR="003042CF" w:rsidRDefault="003042CF" w:rsidP="00921B37">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97.</w:t>
      </w:r>
    </w:p>
  </w:footnote>
  <w:footnote w:id="69">
    <w:p w:rsidR="003042CF" w:rsidRDefault="003042CF" w:rsidP="00921B37">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pp. 98–102.</w:t>
      </w:r>
    </w:p>
  </w:footnote>
  <w:footnote w:id="70">
    <w:p w:rsidR="003042CF" w:rsidRDefault="003042CF" w:rsidP="00921B37">
      <w:pPr>
        <w:pStyle w:val="FootnoteText"/>
        <w:tabs>
          <w:tab w:val="left" w:pos="3480"/>
        </w:tabs>
      </w:pPr>
      <w:r>
        <w:rPr>
          <w:rStyle w:val="FootnoteReference"/>
        </w:rPr>
        <w:footnoteRef/>
      </w:r>
      <w:r>
        <w:t xml:space="preserve"> </w:t>
      </w:r>
      <w:r>
        <w:tab/>
        <w:t>AusNet</w:t>
      </w:r>
      <w:r w:rsidRPr="000A69E7">
        <w:t xml:space="preserve"> Services, </w:t>
      </w:r>
      <w:r w:rsidRPr="00543025">
        <w:rPr>
          <w:rStyle w:val="Emphasis"/>
        </w:rPr>
        <w:t>R</w:t>
      </w:r>
      <w:r w:rsidRPr="000A69E7">
        <w:rPr>
          <w:rStyle w:val="AERtextitalic"/>
        </w:rPr>
        <w:t>evenue proposal</w:t>
      </w:r>
      <w:r w:rsidRPr="000A69E7">
        <w:t>, 30 October 2015, pp. </w:t>
      </w:r>
      <w:r>
        <w:t>130</w:t>
      </w:r>
      <w:r w:rsidRPr="000A69E7">
        <w:t>–1</w:t>
      </w:r>
      <w:r>
        <w:t>31</w:t>
      </w:r>
      <w:r w:rsidRPr="000A69E7">
        <w:t>.</w:t>
      </w:r>
    </w:p>
  </w:footnote>
  <w:footnote w:id="71">
    <w:p w:rsidR="003042CF" w:rsidRDefault="003042CF" w:rsidP="00921B37">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pp. 7-56 to 7-58.</w:t>
      </w:r>
      <w:proofErr w:type="gramEnd"/>
    </w:p>
  </w:footnote>
  <w:footnote w:id="72">
    <w:p w:rsidR="003042CF" w:rsidRDefault="003042CF" w:rsidP="00921B37">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7-41.</w:t>
      </w:r>
      <w:proofErr w:type="gramEnd"/>
    </w:p>
  </w:footnote>
  <w:footnote w:id="73">
    <w:p w:rsidR="003042CF" w:rsidRDefault="003042CF" w:rsidP="00A35C07">
      <w:pPr>
        <w:pStyle w:val="FootnoteText"/>
      </w:pPr>
      <w:r>
        <w:rPr>
          <w:rStyle w:val="FootnoteReference"/>
        </w:rPr>
        <w:footnoteRef/>
      </w:r>
      <w:r>
        <w:t xml:space="preserve"> </w:t>
      </w:r>
      <w:r>
        <w:tab/>
      </w:r>
      <w:proofErr w:type="gramStart"/>
      <w:r w:rsidRPr="00611132">
        <w:t>NER, cl. 6A.6.6(c).</w:t>
      </w:r>
      <w:proofErr w:type="gramEnd"/>
    </w:p>
  </w:footnote>
  <w:footnote w:id="74">
    <w:p w:rsidR="003042CF" w:rsidRDefault="003042CF" w:rsidP="00A35C07">
      <w:pPr>
        <w:pStyle w:val="FootnoteText"/>
      </w:pPr>
      <w:r>
        <w:rPr>
          <w:rStyle w:val="FootnoteReference"/>
        </w:rPr>
        <w:footnoteRef/>
      </w:r>
      <w:r>
        <w:t xml:space="preserve"> </w:t>
      </w:r>
      <w:r>
        <w:tab/>
        <w:t xml:space="preserve">NEL, s. </w:t>
      </w:r>
      <w:proofErr w:type="gramStart"/>
      <w:r>
        <w:t>7A(</w:t>
      </w:r>
      <w:proofErr w:type="gramEnd"/>
      <w:r>
        <w:t xml:space="preserve">3).  </w:t>
      </w:r>
    </w:p>
  </w:footnote>
  <w:footnote w:id="75">
    <w:p w:rsidR="003042CF" w:rsidRDefault="003042CF" w:rsidP="00A35C07">
      <w:pPr>
        <w:pStyle w:val="FootnoteText"/>
      </w:pPr>
      <w:r>
        <w:rPr>
          <w:rStyle w:val="FootnoteReference"/>
        </w:rPr>
        <w:footnoteRef/>
      </w:r>
      <w:r>
        <w:t xml:space="preserve"> </w:t>
      </w:r>
      <w:r>
        <w:tab/>
      </w:r>
      <w:proofErr w:type="gramStart"/>
      <w:r>
        <w:t>NER, cll.</w:t>
      </w:r>
      <w:proofErr w:type="gramEnd"/>
      <w:r>
        <w:t xml:space="preserve"> </w:t>
      </w:r>
      <w:proofErr w:type="gramStart"/>
      <w:r>
        <w:t>6A.6.6(</w:t>
      </w:r>
      <w:proofErr w:type="gramEnd"/>
      <w:r>
        <w:t xml:space="preserve">d); 6A.14.1(3)(ii).  </w:t>
      </w:r>
    </w:p>
  </w:footnote>
  <w:footnote w:id="76">
    <w:p w:rsidR="003042CF" w:rsidRDefault="003042CF">
      <w:pPr>
        <w:pStyle w:val="FootnoteText"/>
      </w:pPr>
      <w:r>
        <w:rPr>
          <w:rStyle w:val="FootnoteReference"/>
        </w:rPr>
        <w:footnoteRef/>
      </w:r>
      <w:r>
        <w:t xml:space="preserve"> </w:t>
      </w:r>
      <w:r>
        <w:tab/>
      </w:r>
      <w:r w:rsidRPr="00935B91">
        <w:t>See section 7.5.3.2 for an explanation of group 3 assets and our treatment of these in our opex forecast.</w:t>
      </w:r>
    </w:p>
  </w:footnote>
  <w:footnote w:id="77">
    <w:p w:rsidR="003042CF" w:rsidRDefault="003042CF" w:rsidP="00A35C07">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2016, pp. 7–9</w:t>
      </w:r>
      <w:r w:rsidRPr="00611132">
        <w:t>.</w:t>
      </w:r>
    </w:p>
  </w:footnote>
  <w:footnote w:id="78">
    <w:p w:rsidR="003042CF" w:rsidRDefault="003042CF" w:rsidP="00581BC8">
      <w:pPr>
        <w:pStyle w:val="FootnoteText"/>
      </w:pPr>
      <w:r>
        <w:rPr>
          <w:rStyle w:val="FootnoteReference"/>
        </w:rPr>
        <w:footnoteRef/>
      </w:r>
      <w:r>
        <w:t xml:space="preserve"> </w:t>
      </w:r>
      <w:r>
        <w:tab/>
        <w:t xml:space="preserve">AusNet Services, </w:t>
      </w:r>
      <w:r w:rsidRPr="00DE1012">
        <w:rPr>
          <w:rStyle w:val="AERtextitalic"/>
        </w:rPr>
        <w:t>Regulatory Information Notice - Template - PUBLIC</w:t>
      </w:r>
      <w:r>
        <w:t>, October 2015.</w:t>
      </w:r>
    </w:p>
  </w:footnote>
  <w:footnote w:id="79">
    <w:p w:rsidR="003042CF" w:rsidRDefault="003042CF" w:rsidP="00581BC8">
      <w:pPr>
        <w:pStyle w:val="FootnoteText"/>
      </w:pPr>
      <w:r>
        <w:rPr>
          <w:rStyle w:val="FootnoteReference"/>
        </w:rPr>
        <w:footnoteRef/>
      </w:r>
      <w:r>
        <w:t xml:space="preserve"> </w:t>
      </w:r>
      <w:r>
        <w:tab/>
        <w:t xml:space="preserve">AusNet Services, </w:t>
      </w:r>
      <w:r>
        <w:rPr>
          <w:rStyle w:val="AERtextitalic"/>
        </w:rPr>
        <w:t>Revenue proposal:</w:t>
      </w:r>
      <w:r w:rsidRPr="00EE15F4">
        <w:rPr>
          <w:rStyle w:val="AERtextitalic"/>
        </w:rPr>
        <w:t xml:space="preserve"> 2017</w:t>
      </w:r>
      <w:r>
        <w:rPr>
          <w:rStyle w:val="AERtextitalic"/>
        </w:rPr>
        <w:t>–</w:t>
      </w:r>
      <w:r w:rsidRPr="00EE15F4">
        <w:rPr>
          <w:rStyle w:val="AERtextitalic"/>
        </w:rPr>
        <w:t xml:space="preserve">22 Opex </w:t>
      </w:r>
      <w:r>
        <w:rPr>
          <w:rStyle w:val="AERtextitalic"/>
        </w:rPr>
        <w:t>m</w:t>
      </w:r>
      <w:r w:rsidRPr="00EE15F4">
        <w:rPr>
          <w:rStyle w:val="AERtextitalic"/>
        </w:rPr>
        <w:t>odel</w:t>
      </w:r>
      <w:r>
        <w:rPr>
          <w:rStyle w:val="AERtextitalic"/>
        </w:rPr>
        <w:t>,</w:t>
      </w:r>
      <w:r w:rsidRPr="00EE15F4">
        <w:rPr>
          <w:rStyle w:val="AERtextitalic"/>
        </w:rPr>
        <w:t xml:space="preserve"> </w:t>
      </w:r>
      <w:r>
        <w:t xml:space="preserve">October 2015; AusNet Services, </w:t>
      </w:r>
      <w:r w:rsidRPr="00EE15F4">
        <w:rPr>
          <w:rStyle w:val="AERtextitalic"/>
        </w:rPr>
        <w:t>Revised</w:t>
      </w:r>
      <w:r>
        <w:rPr>
          <w:rStyle w:val="AERtextitalic"/>
        </w:rPr>
        <w:t xml:space="preserve"> revenue p</w:t>
      </w:r>
      <w:r w:rsidRPr="00EE15F4">
        <w:rPr>
          <w:rStyle w:val="AERtextitalic"/>
        </w:rPr>
        <w:t>roposal</w:t>
      </w:r>
      <w:r>
        <w:rPr>
          <w:rStyle w:val="AERtextitalic"/>
        </w:rPr>
        <w:t>:</w:t>
      </w:r>
      <w:r w:rsidRPr="00EE15F4">
        <w:rPr>
          <w:rStyle w:val="AERtextitalic"/>
        </w:rPr>
        <w:t xml:space="preserve"> 2017</w:t>
      </w:r>
      <w:r>
        <w:rPr>
          <w:rStyle w:val="AERtextitalic"/>
        </w:rPr>
        <w:t>–</w:t>
      </w:r>
      <w:r w:rsidRPr="00EE15F4">
        <w:rPr>
          <w:rStyle w:val="AERtextitalic"/>
        </w:rPr>
        <w:t xml:space="preserve">22 Opex </w:t>
      </w:r>
      <w:r>
        <w:rPr>
          <w:rStyle w:val="AERtextitalic"/>
        </w:rPr>
        <w:t>m</w:t>
      </w:r>
      <w:r w:rsidRPr="00EE15F4">
        <w:rPr>
          <w:rStyle w:val="AERtextitalic"/>
        </w:rPr>
        <w:t>odel</w:t>
      </w:r>
      <w:r>
        <w:rPr>
          <w:rStyle w:val="AERtextitalic"/>
        </w:rPr>
        <w:t xml:space="preserve">, </w:t>
      </w:r>
      <w:r w:rsidRPr="00DF047C">
        <w:rPr>
          <w:rStyle w:val="AERtextsize8"/>
        </w:rPr>
        <w:t>September 2016.</w:t>
      </w:r>
    </w:p>
  </w:footnote>
  <w:footnote w:id="80">
    <w:p w:rsidR="003042CF" w:rsidRDefault="003042CF" w:rsidP="00DF072A">
      <w:pPr>
        <w:pStyle w:val="FootnoteText"/>
      </w:pPr>
      <w:r>
        <w:rPr>
          <w:rStyle w:val="FootnoteReference"/>
        </w:rPr>
        <w:footnoteRef/>
      </w:r>
      <w:r>
        <w:t xml:space="preserve"> </w:t>
      </w:r>
      <w:r>
        <w:tab/>
        <w:t xml:space="preserve">AusNet Services, </w:t>
      </w:r>
      <w:r w:rsidRPr="002F4FE8">
        <w:rPr>
          <w:rStyle w:val="AERtextitalic"/>
        </w:rPr>
        <w:t>Revised revenue proposal</w:t>
      </w:r>
      <w:r w:rsidRPr="002F4FE8">
        <w:t xml:space="preserve">, 21 </w:t>
      </w:r>
      <w:r>
        <w:t>September 2016, p. 91</w:t>
      </w:r>
      <w:r w:rsidRPr="002F4FE8">
        <w:t>.</w:t>
      </w:r>
    </w:p>
  </w:footnote>
  <w:footnote w:id="81">
    <w:p w:rsidR="003042CF" w:rsidRDefault="003042CF" w:rsidP="00DF072A">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2016, p. 2</w:t>
      </w:r>
      <w:r w:rsidRPr="00611132">
        <w:t>.</w:t>
      </w:r>
    </w:p>
  </w:footnote>
  <w:footnote w:id="82">
    <w:p w:rsidR="003042CF" w:rsidRDefault="003042CF" w:rsidP="00DF072A">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7-47.</w:t>
      </w:r>
      <w:proofErr w:type="gramEnd"/>
    </w:p>
  </w:footnote>
  <w:footnote w:id="83">
    <w:p w:rsidR="003042CF" w:rsidRDefault="003042CF" w:rsidP="00DF072A">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2016, p. 2</w:t>
      </w:r>
      <w:r w:rsidRPr="00611132">
        <w:t>.</w:t>
      </w:r>
    </w:p>
  </w:footnote>
  <w:footnote w:id="84">
    <w:p w:rsidR="003042CF" w:rsidRDefault="003042CF" w:rsidP="00DF072A">
      <w:pPr>
        <w:pStyle w:val="FootnoteText"/>
        <w:tabs>
          <w:tab w:val="left" w:pos="1770"/>
        </w:tabs>
      </w:pPr>
      <w:r>
        <w:rPr>
          <w:rStyle w:val="FootnoteReference"/>
        </w:rPr>
        <w:footnoteRef/>
      </w:r>
      <w:r>
        <w:t xml:space="preserve"> </w:t>
      </w:r>
      <w:r>
        <w:tab/>
        <w:t xml:space="preserve">AusNet Services, </w:t>
      </w:r>
      <w:r w:rsidRPr="002F4FE8">
        <w:rPr>
          <w:rStyle w:val="AERtextitalic"/>
        </w:rPr>
        <w:t>Revised revenue proposal</w:t>
      </w:r>
      <w:r w:rsidRPr="002F4FE8">
        <w:t>, 21 September 2016, p. 93.</w:t>
      </w:r>
    </w:p>
  </w:footnote>
  <w:footnote w:id="85">
    <w:p w:rsidR="003042CF" w:rsidRDefault="003042CF" w:rsidP="003B0C04">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3</w:t>
      </w:r>
      <w:r w:rsidRPr="00611132">
        <w:t>.</w:t>
      </w:r>
    </w:p>
  </w:footnote>
  <w:footnote w:id="86">
    <w:p w:rsidR="003042CF" w:rsidRDefault="003042CF" w:rsidP="003B0C04">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3</w:t>
      </w:r>
      <w:r w:rsidRPr="00611132">
        <w:t>.</w:t>
      </w:r>
    </w:p>
  </w:footnote>
  <w:footnote w:id="87">
    <w:p w:rsidR="003042CF" w:rsidRDefault="003042CF" w:rsidP="003B0C04">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7-49.</w:t>
      </w:r>
      <w:proofErr w:type="gramEnd"/>
    </w:p>
  </w:footnote>
  <w:footnote w:id="88">
    <w:p w:rsidR="003042CF" w:rsidRDefault="003042CF" w:rsidP="003B0C04">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92.</w:t>
      </w:r>
    </w:p>
  </w:footnote>
  <w:footnote w:id="89">
    <w:p w:rsidR="003042CF" w:rsidRDefault="003042CF">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7-52.</w:t>
      </w:r>
      <w:proofErr w:type="gramEnd"/>
    </w:p>
  </w:footnote>
  <w:footnote w:id="90">
    <w:p w:rsidR="003042CF" w:rsidRDefault="003042CF">
      <w:pPr>
        <w:pStyle w:val="FootnoteText"/>
      </w:pPr>
      <w:r>
        <w:rPr>
          <w:rStyle w:val="FootnoteReference"/>
        </w:rPr>
        <w:footnoteRef/>
      </w:r>
      <w:r>
        <w:t xml:space="preserve"> </w:t>
      </w:r>
      <w:r>
        <w:tab/>
        <w:t xml:space="preserve">NEL, s. </w:t>
      </w:r>
      <w:proofErr w:type="gramStart"/>
      <w:r>
        <w:t>7A(</w:t>
      </w:r>
      <w:proofErr w:type="gramEnd"/>
      <w:r>
        <w:t>3).</w:t>
      </w:r>
    </w:p>
  </w:footnote>
  <w:footnote w:id="91">
    <w:p w:rsidR="003042CF" w:rsidRDefault="003042CF" w:rsidP="003B0C04">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7-52.</w:t>
      </w:r>
      <w:proofErr w:type="gramEnd"/>
    </w:p>
  </w:footnote>
  <w:footnote w:id="92">
    <w:p w:rsidR="003042CF" w:rsidRDefault="003042CF" w:rsidP="003B0C04">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2. </w:t>
      </w:r>
    </w:p>
  </w:footnote>
  <w:footnote w:id="93">
    <w:p w:rsidR="003042CF" w:rsidRDefault="003042CF" w:rsidP="003B0C04">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7-52.</w:t>
      </w:r>
      <w:proofErr w:type="gramEnd"/>
    </w:p>
  </w:footnote>
  <w:footnote w:id="94">
    <w:p w:rsidR="003042CF" w:rsidRDefault="003042CF" w:rsidP="003B0C04">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5.</w:t>
      </w:r>
    </w:p>
  </w:footnote>
  <w:footnote w:id="95">
    <w:p w:rsidR="003042CF" w:rsidRDefault="003042CF" w:rsidP="00B733BA">
      <w:pPr>
        <w:pStyle w:val="FootnoteText"/>
      </w:pPr>
      <w:r>
        <w:rPr>
          <w:rStyle w:val="FootnoteReference"/>
        </w:rPr>
        <w:footnoteRef/>
      </w:r>
      <w:r>
        <w:t xml:space="preserve"> </w:t>
      </w:r>
      <w:r>
        <w:tab/>
      </w:r>
      <w:proofErr w:type="gramStart"/>
      <w:r>
        <w:t xml:space="preserve">AER, </w:t>
      </w:r>
      <w:r>
        <w:rPr>
          <w:rStyle w:val="AERtextitalic"/>
        </w:rPr>
        <w:t>Final decision</w:t>
      </w:r>
      <w:r w:rsidRPr="004619AA">
        <w:rPr>
          <w:rStyle w:val="AERtextitalic"/>
        </w:rPr>
        <w:t xml:space="preserve"> TransGrid transmission determination, 2015−16 to 2017−18</w:t>
      </w:r>
      <w:r>
        <w:t xml:space="preserve"> - </w:t>
      </w:r>
      <w:r w:rsidRPr="004463C5">
        <w:rPr>
          <w:rStyle w:val="Emphasis"/>
        </w:rPr>
        <w:t>Attachment 7</w:t>
      </w:r>
      <w:r>
        <w:t xml:space="preserve">, </w:t>
      </w:r>
      <w:r w:rsidRPr="00285AF5">
        <w:t>April 2015</w:t>
      </w:r>
      <w:r>
        <w:t>, pp. 7-78 to 7-79.</w:t>
      </w:r>
      <w:proofErr w:type="gramEnd"/>
    </w:p>
  </w:footnote>
  <w:footnote w:id="96">
    <w:p w:rsidR="003042CF" w:rsidRDefault="003042CF" w:rsidP="007F787E">
      <w:pPr>
        <w:pStyle w:val="FootnoteText"/>
        <w:tabs>
          <w:tab w:val="left" w:pos="5880"/>
        </w:tabs>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97.</w:t>
      </w:r>
      <w:r>
        <w:tab/>
      </w:r>
    </w:p>
  </w:footnote>
  <w:footnote w:id="97">
    <w:p w:rsidR="003042CF" w:rsidRDefault="003042CF" w:rsidP="007F787E">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w:t>
      </w:r>
      <w:r>
        <w:rPr>
          <w:rStyle w:val="Emphasis"/>
        </w:rPr>
        <w:t xml:space="preserve">Operating </w:t>
      </w:r>
      <w:r w:rsidRPr="00543025">
        <w:rPr>
          <w:rStyle w:val="Emphasis"/>
        </w:rPr>
        <w:t>expenditure</w:t>
      </w:r>
      <w:r>
        <w:t>, July 2016, pp. 7-54 to 7-56.</w:t>
      </w:r>
      <w:proofErr w:type="gramEnd"/>
    </w:p>
  </w:footnote>
  <w:footnote w:id="98">
    <w:p w:rsidR="003042CF" w:rsidRDefault="003042CF" w:rsidP="003B0C04">
      <w:pPr>
        <w:pStyle w:val="FootnoteText"/>
      </w:pPr>
      <w:r>
        <w:rPr>
          <w:rStyle w:val="FootnoteReference"/>
        </w:rPr>
        <w:footnoteRef/>
      </w:r>
      <w:r>
        <w:t xml:space="preserve"> </w:t>
      </w:r>
      <w:r>
        <w:tab/>
      </w:r>
      <w:r w:rsidRPr="00C127C4">
        <w:t xml:space="preserve">AER, </w:t>
      </w:r>
      <w:r>
        <w:rPr>
          <w:rStyle w:val="AERtextitalic"/>
        </w:rPr>
        <w:t>Explanatory statement–e</w:t>
      </w:r>
      <w:r w:rsidRPr="00C127C4">
        <w:rPr>
          <w:rStyle w:val="AERtextitalic"/>
        </w:rPr>
        <w:t>xpenditure forecast assessment guideline</w:t>
      </w:r>
      <w:proofErr w:type="gramStart"/>
      <w:r>
        <w:rPr>
          <w:rStyle w:val="AERtextitalic"/>
        </w:rPr>
        <w:t>:</w:t>
      </w:r>
      <w:r w:rsidRPr="00C127C4">
        <w:t>,</w:t>
      </w:r>
      <w:proofErr w:type="gramEnd"/>
      <w:r w:rsidRPr="00C127C4">
        <w:t xml:space="preserve"> November 2013, p. 65.</w:t>
      </w:r>
    </w:p>
  </w:footnote>
  <w:footnote w:id="99">
    <w:p w:rsidR="003042CF" w:rsidRDefault="003042CF" w:rsidP="003B0C04">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pp. 7-56 to 7-58.</w:t>
      </w:r>
      <w:proofErr w:type="gramEnd"/>
    </w:p>
  </w:footnote>
  <w:footnote w:id="100">
    <w:p w:rsidR="003042CF" w:rsidRDefault="003042CF" w:rsidP="003B0C04">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98.</w:t>
      </w:r>
    </w:p>
  </w:footnote>
  <w:footnote w:id="101">
    <w:p w:rsidR="003042CF" w:rsidRDefault="003042CF">
      <w:pPr>
        <w:pStyle w:val="FootnoteText"/>
      </w:pPr>
      <w:r>
        <w:rPr>
          <w:rStyle w:val="FootnoteReference"/>
        </w:rPr>
        <w:footnoteRef/>
      </w:r>
      <w:r>
        <w:t xml:space="preserve"> </w:t>
      </w:r>
      <w:r>
        <w:tab/>
      </w:r>
      <w:r w:rsidRPr="00935B91">
        <w:t>See section 7.5.3.2 for an explanation of group 3 assets and our treatment of these in our opex forecast.</w:t>
      </w:r>
    </w:p>
  </w:footnote>
  <w:footnote w:id="102">
    <w:p w:rsidR="003042CF" w:rsidRDefault="003042CF" w:rsidP="003B0C04">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98.</w:t>
      </w:r>
    </w:p>
  </w:footnote>
  <w:footnote w:id="103">
    <w:p w:rsidR="003042CF" w:rsidRDefault="003042CF" w:rsidP="003B0C04">
      <w:pPr>
        <w:pStyle w:val="FootnoteText"/>
        <w:tabs>
          <w:tab w:val="left" w:pos="4920"/>
        </w:tabs>
      </w:pPr>
      <w:r>
        <w:rPr>
          <w:rStyle w:val="FootnoteReference"/>
        </w:rPr>
        <w:footnoteRef/>
      </w:r>
      <w:r>
        <w:t xml:space="preserve"> </w:t>
      </w:r>
      <w:r>
        <w:tab/>
        <w:t xml:space="preserve">AusNet Services, </w:t>
      </w:r>
      <w:r w:rsidRPr="00192683">
        <w:rPr>
          <w:rStyle w:val="AERtextitalic"/>
        </w:rPr>
        <w:t>Revised revenue proposal</w:t>
      </w:r>
      <w:r w:rsidRPr="00192683">
        <w:t xml:space="preserve">, 21 September 2016, </w:t>
      </w:r>
      <w:r>
        <w:t>p</w:t>
      </w:r>
      <w:r w:rsidRPr="00192683">
        <w:t>p. 10</w:t>
      </w:r>
      <w:r>
        <w:t>1–102</w:t>
      </w:r>
      <w:r w:rsidRPr="00192683">
        <w:t>.</w:t>
      </w:r>
    </w:p>
  </w:footnote>
  <w:footnote w:id="104">
    <w:p w:rsidR="003042CF" w:rsidRDefault="003042CF" w:rsidP="003B0C04">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9</w:t>
      </w:r>
      <w:r w:rsidRPr="00611132">
        <w:t>.</w:t>
      </w:r>
    </w:p>
  </w:footnote>
  <w:footnote w:id="105">
    <w:p w:rsidR="003042CF" w:rsidRDefault="003042CF" w:rsidP="003B0C04">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7</w:t>
      </w:r>
      <w:r w:rsidRPr="00611132">
        <w:t>.</w:t>
      </w:r>
    </w:p>
  </w:footnote>
  <w:footnote w:id="106">
    <w:p w:rsidR="003042CF" w:rsidRDefault="003042CF" w:rsidP="00BC7286">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2017, p. 8</w:t>
      </w:r>
      <w:r w:rsidRPr="00611132">
        <w:t>.</w:t>
      </w:r>
    </w:p>
  </w:footnote>
  <w:footnote w:id="107">
    <w:p w:rsidR="003042CF" w:rsidRDefault="003042CF">
      <w:pPr>
        <w:pStyle w:val="FootnoteText"/>
      </w:pPr>
      <w:r>
        <w:rPr>
          <w:rStyle w:val="FootnoteReference"/>
        </w:rPr>
        <w:footnoteRef/>
      </w:r>
      <w:r>
        <w:t xml:space="preserve"> </w:t>
      </w:r>
      <w:r>
        <w:tab/>
      </w:r>
      <w:proofErr w:type="gramStart"/>
      <w:r w:rsidRPr="003F42E3">
        <w:t xml:space="preserve">AusNet Services, </w:t>
      </w:r>
      <w:r w:rsidRPr="00506B73">
        <w:rPr>
          <w:rStyle w:val="Emphasis"/>
        </w:rPr>
        <w:t>Submission on revised proposal</w:t>
      </w:r>
      <w:r w:rsidRPr="003F42E3">
        <w:t>, 20 December 2016</w:t>
      </w:r>
      <w:r>
        <w:t>, p.4.</w:t>
      </w:r>
      <w:proofErr w:type="gramEnd"/>
    </w:p>
  </w:footnote>
  <w:footnote w:id="108">
    <w:p w:rsidR="003042CF" w:rsidRDefault="003042CF">
      <w:pPr>
        <w:pStyle w:val="FootnoteText"/>
      </w:pPr>
      <w:r>
        <w:rPr>
          <w:rStyle w:val="FootnoteReference"/>
        </w:rPr>
        <w:footnoteRef/>
      </w:r>
      <w:r>
        <w:t xml:space="preserve"> </w:t>
      </w:r>
      <w:r>
        <w:tab/>
        <w:t xml:space="preserve">AusNet Services, </w:t>
      </w:r>
      <w:r w:rsidRPr="00012CA0">
        <w:rPr>
          <w:rStyle w:val="Emphasis"/>
        </w:rPr>
        <w:t>Revised revenue proposal</w:t>
      </w:r>
      <w:r>
        <w:t xml:space="preserve">, 21 September 2016, p.106. </w:t>
      </w:r>
    </w:p>
  </w:footnote>
  <w:footnote w:id="109">
    <w:p w:rsidR="003042CF" w:rsidRDefault="003042CF">
      <w:pPr>
        <w:pStyle w:val="FootnoteText"/>
      </w:pPr>
      <w:r>
        <w:rPr>
          <w:rStyle w:val="FootnoteReference"/>
        </w:rPr>
        <w:footnoteRef/>
      </w:r>
      <w:r>
        <w:t xml:space="preserve"> </w:t>
      </w:r>
      <w:r>
        <w:tab/>
        <w:t xml:space="preserve">AusNet Services, </w:t>
      </w:r>
      <w:r w:rsidRPr="00012CA0">
        <w:rPr>
          <w:rStyle w:val="Emphasis"/>
        </w:rPr>
        <w:t>Revenue proposal</w:t>
      </w:r>
      <w:r>
        <w:t xml:space="preserve">, 30 October 2015, p.137. </w:t>
      </w:r>
    </w:p>
  </w:footnote>
  <w:footnote w:id="110">
    <w:p w:rsidR="003042CF" w:rsidRDefault="003042CF" w:rsidP="0088671F">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xml:space="preserve">, p.108. </w:t>
      </w:r>
    </w:p>
  </w:footnote>
  <w:footnote w:id="111">
    <w:p w:rsidR="003042CF" w:rsidRDefault="003042CF">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p.107.</w:t>
      </w:r>
    </w:p>
  </w:footnote>
  <w:footnote w:id="112">
    <w:p w:rsidR="003042CF" w:rsidRDefault="003042CF">
      <w:pPr>
        <w:pStyle w:val="FootnoteText"/>
      </w:pPr>
      <w:r>
        <w:rPr>
          <w:rStyle w:val="FootnoteReference"/>
        </w:rPr>
        <w:footnoteRef/>
      </w:r>
      <w:r>
        <w:t xml:space="preserve"> </w:t>
      </w:r>
      <w:r>
        <w:tab/>
      </w:r>
      <w:r w:rsidRPr="004B0B43">
        <w:t xml:space="preserve">AusNet </w:t>
      </w:r>
      <w:r>
        <w:t xml:space="preserve">Services, </w:t>
      </w:r>
      <w:r w:rsidRPr="00F10D4E">
        <w:rPr>
          <w:rStyle w:val="AERtextitalic"/>
        </w:rPr>
        <w:t>Revised revenue proposal</w:t>
      </w:r>
      <w:r>
        <w:t xml:space="preserve">, </w:t>
      </w:r>
      <w:r w:rsidRPr="00F10D4E">
        <w:t>21 September 2016</w:t>
      </w:r>
      <w:r>
        <w:t>, p.108</w:t>
      </w:r>
      <w:r w:rsidRPr="004B0B43">
        <w:t>.</w:t>
      </w:r>
    </w:p>
  </w:footnote>
  <w:footnote w:id="113">
    <w:p w:rsidR="003042CF" w:rsidRDefault="003042CF" w:rsidP="00043517">
      <w:pPr>
        <w:pStyle w:val="FootnoteText"/>
      </w:pPr>
      <w:r>
        <w:rPr>
          <w:rStyle w:val="FootnoteReference"/>
        </w:rPr>
        <w:footnoteRef/>
      </w:r>
      <w:r>
        <w:t xml:space="preserve"> </w:t>
      </w:r>
      <w:r>
        <w:tab/>
        <w:t>Excluding land easement tax and including debt raising costs.</w:t>
      </w:r>
    </w:p>
  </w:footnote>
  <w:footnote w:id="114">
    <w:p w:rsidR="003042CF" w:rsidRDefault="003042CF" w:rsidP="00287395">
      <w:pPr>
        <w:pStyle w:val="FootnoteText"/>
      </w:pPr>
      <w:r>
        <w:rPr>
          <w:rStyle w:val="FootnoteReference"/>
        </w:rPr>
        <w:footnoteRef/>
      </w:r>
      <w:r>
        <w:t xml:space="preserve"> </w:t>
      </w:r>
      <w:r>
        <w:tab/>
      </w:r>
      <w:proofErr w:type="gramStart"/>
      <w:r w:rsidRPr="003A3774">
        <w:t xml:space="preserve">EMCa, </w:t>
      </w:r>
      <w:r w:rsidRPr="003A3774">
        <w:rPr>
          <w:rStyle w:val="Emphasis"/>
        </w:rPr>
        <w:t>SP AusNet technical review</w:t>
      </w:r>
      <w:r w:rsidRPr="003A3774">
        <w:t>, January 2014, p. 70 paragraph 278.</w:t>
      </w:r>
      <w:proofErr w:type="gramEnd"/>
    </w:p>
  </w:footnote>
  <w:footnote w:id="115">
    <w:p w:rsidR="003042CF" w:rsidRDefault="003042CF">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106.</w:t>
      </w:r>
    </w:p>
  </w:footnote>
  <w:footnote w:id="116">
    <w:p w:rsidR="003042CF" w:rsidRDefault="003042CF">
      <w:pPr>
        <w:pStyle w:val="FootnoteText"/>
      </w:pPr>
      <w:r>
        <w:rPr>
          <w:rStyle w:val="FootnoteReference"/>
        </w:rPr>
        <w:footnoteRef/>
      </w:r>
      <w:r>
        <w:t xml:space="preserve"> </w:t>
      </w:r>
      <w:r>
        <w:tab/>
      </w:r>
      <w:proofErr w:type="gramStart"/>
      <w:r>
        <w:t>NER, cl. 6A.7.3.</w:t>
      </w:r>
      <w:proofErr w:type="gramEnd"/>
    </w:p>
  </w:footnote>
  <w:footnote w:id="117">
    <w:p w:rsidR="003042CF" w:rsidRDefault="003042CF">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113.</w:t>
      </w:r>
    </w:p>
  </w:footnote>
  <w:footnote w:id="118">
    <w:p w:rsidR="003042CF" w:rsidRDefault="003042CF" w:rsidP="008C0ABF">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116.</w:t>
      </w:r>
    </w:p>
  </w:footnote>
  <w:footnote w:id="119">
    <w:p w:rsidR="003042CF" w:rsidRDefault="003042CF" w:rsidP="006F42A5">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 115.</w:t>
      </w:r>
    </w:p>
  </w:footnote>
  <w:footnote w:id="120">
    <w:p w:rsidR="003042CF" w:rsidRDefault="003042CF" w:rsidP="00A348D7">
      <w:pPr>
        <w:pStyle w:val="FootnoteText"/>
      </w:pPr>
      <w:r>
        <w:rPr>
          <w:rStyle w:val="FootnoteReference"/>
        </w:rPr>
        <w:footnoteRef/>
      </w:r>
      <w:r>
        <w:t xml:space="preserve"> </w:t>
      </w:r>
      <w:r>
        <w:tab/>
      </w:r>
      <w:proofErr w:type="gramStart"/>
      <w:r>
        <w:t xml:space="preserve">AusNet Services, </w:t>
      </w:r>
      <w:r w:rsidRPr="001321F2">
        <w:rPr>
          <w:rStyle w:val="Emphasis"/>
        </w:rPr>
        <w:t>Revenue proposal</w:t>
      </w:r>
      <w:r>
        <w:t xml:space="preserve">, October 2015, p 142; AusNet Services, </w:t>
      </w:r>
      <w:r w:rsidRPr="00F10D4E">
        <w:rPr>
          <w:rStyle w:val="AERtextitalic"/>
        </w:rPr>
        <w:t>Revised revenue proposal</w:t>
      </w:r>
      <w:r>
        <w:t xml:space="preserve">, </w:t>
      </w:r>
      <w:r w:rsidRPr="00F10D4E">
        <w:t>21 September 2016</w:t>
      </w:r>
      <w:r>
        <w:t>, p 112.</w:t>
      </w:r>
      <w:proofErr w:type="gramEnd"/>
    </w:p>
  </w:footnote>
  <w:footnote w:id="121">
    <w:p w:rsidR="003042CF" w:rsidRDefault="003042CF" w:rsidP="00A348D7">
      <w:pPr>
        <w:pStyle w:val="FootnoteText"/>
      </w:pPr>
      <w:r>
        <w:rPr>
          <w:rStyle w:val="FootnoteReference"/>
        </w:rPr>
        <w:footnoteRef/>
      </w:r>
      <w:r>
        <w:t xml:space="preserve"> </w:t>
      </w:r>
      <w:r>
        <w:tab/>
        <w:t xml:space="preserve">AusNet Services, </w:t>
      </w:r>
      <w:r w:rsidRPr="00977199">
        <w:rPr>
          <w:rStyle w:val="AERtextitalic"/>
        </w:rPr>
        <w:t>Response to AER information request #024</w:t>
      </w:r>
      <w:r>
        <w:t xml:space="preserve">, 8 December 2016. </w:t>
      </w:r>
    </w:p>
  </w:footnote>
  <w:footnote w:id="122">
    <w:p w:rsidR="003042CF" w:rsidRDefault="003042CF" w:rsidP="00201AC3">
      <w:pPr>
        <w:pStyle w:val="FootnoteText"/>
      </w:pPr>
      <w:r>
        <w:rPr>
          <w:rStyle w:val="FootnoteReference"/>
        </w:rPr>
        <w:footnoteRef/>
      </w:r>
      <w:r>
        <w:t xml:space="preserve"> </w:t>
      </w:r>
      <w:r>
        <w:tab/>
        <w:t xml:space="preserve">CCP5, </w:t>
      </w:r>
      <w:r w:rsidRPr="003D5B27">
        <w:rPr>
          <w:rStyle w:val="Emphasis"/>
        </w:rPr>
        <w:t>Response to AER Draft Decision for</w:t>
      </w:r>
      <w:r>
        <w:rPr>
          <w:rStyle w:val="Emphasis"/>
        </w:rPr>
        <w:t xml:space="preserve"> AusNet Services’ transmission r</w:t>
      </w:r>
      <w:r w:rsidRPr="003D5B27">
        <w:rPr>
          <w:rStyle w:val="Emphasis"/>
        </w:rPr>
        <w:t xml:space="preserve">evenue </w:t>
      </w:r>
      <w:r>
        <w:rPr>
          <w:rStyle w:val="Emphasis"/>
        </w:rPr>
        <w:t>r</w:t>
      </w:r>
      <w:r w:rsidRPr="003D5B27">
        <w:rPr>
          <w:rStyle w:val="Emphasis"/>
        </w:rPr>
        <w:t>eview 2017-22</w:t>
      </w:r>
      <w:r>
        <w:t xml:space="preserve">, </w:t>
      </w:r>
      <w:r w:rsidRPr="003D5B27">
        <w:t>September 2016</w:t>
      </w:r>
      <w:r>
        <w:t xml:space="preserve">, p.16. </w:t>
      </w:r>
    </w:p>
  </w:footnote>
  <w:footnote w:id="123">
    <w:p w:rsidR="003042CF" w:rsidRDefault="003042CF" w:rsidP="00E9192F">
      <w:pPr>
        <w:pStyle w:val="FootnoteText"/>
      </w:pPr>
      <w:r>
        <w:rPr>
          <w:rStyle w:val="FootnoteReference"/>
        </w:rPr>
        <w:footnoteRef/>
      </w:r>
      <w:r>
        <w:t xml:space="preserve"> </w:t>
      </w:r>
      <w:r>
        <w:tab/>
        <w:t>CCP5,</w:t>
      </w:r>
      <w:r w:rsidRPr="00E9192F">
        <w:t xml:space="preserve"> </w:t>
      </w:r>
      <w:r w:rsidRPr="00A264A4">
        <w:rPr>
          <w:rStyle w:val="Emphasis"/>
        </w:rPr>
        <w:t>Submission in response to AusNet Services' 2017–22 revised revenue proposal</w:t>
      </w:r>
      <w:r>
        <w:t>,</w:t>
      </w:r>
      <w:r w:rsidRPr="00E9192F">
        <w:t xml:space="preserve"> Oc</w:t>
      </w:r>
      <w:r>
        <w:t>tober</w:t>
      </w:r>
      <w:r w:rsidRPr="00E9192F">
        <w:t xml:space="preserve"> 2016; </w:t>
      </w:r>
      <w:r>
        <w:t>p. 22; CCP5,</w:t>
      </w:r>
      <w:r w:rsidRPr="00E9192F">
        <w:t xml:space="preserve"> </w:t>
      </w:r>
      <w:r w:rsidRPr="00977199">
        <w:rPr>
          <w:rStyle w:val="AERtextitalic"/>
        </w:rPr>
        <w:t>Response to AER draft decision for AusNet Services' transmission revenue review 2017-22</w:t>
      </w:r>
      <w:r>
        <w:t xml:space="preserve"> ,</w:t>
      </w:r>
      <w:r w:rsidRPr="00E9192F">
        <w:t xml:space="preserve"> Sept</w:t>
      </w:r>
      <w:r>
        <w:t>ember</w:t>
      </w:r>
      <w:r w:rsidRPr="00E9192F">
        <w:t xml:space="preserve"> 2016</w:t>
      </w:r>
      <w:r>
        <w:t>,</w:t>
      </w:r>
      <w:r w:rsidRPr="00E9192F">
        <w:t xml:space="preserve"> </w:t>
      </w:r>
      <w:r>
        <w:t>p.</w:t>
      </w:r>
      <w:r w:rsidRPr="00E9192F">
        <w:t>18.</w:t>
      </w:r>
    </w:p>
  </w:footnote>
  <w:footnote w:id="124">
    <w:p w:rsidR="003042CF" w:rsidRDefault="003042CF">
      <w:pPr>
        <w:pStyle w:val="FootnoteText"/>
      </w:pPr>
      <w:r>
        <w:rPr>
          <w:rStyle w:val="FootnoteReference"/>
        </w:rPr>
        <w:footnoteRef/>
      </w:r>
      <w:r>
        <w:t xml:space="preserve"> </w:t>
      </w:r>
      <w:r>
        <w:tab/>
        <w:t xml:space="preserve">See our Expenditure forecast assessment guideline and section 7.4.2 above for our assessment approach for step changes. </w:t>
      </w:r>
    </w:p>
  </w:footnote>
  <w:footnote w:id="125">
    <w:p w:rsidR="003042CF" w:rsidRDefault="003042CF" w:rsidP="001C2BFF">
      <w:pPr>
        <w:pStyle w:val="FootnoteText"/>
      </w:pPr>
      <w:r>
        <w:rPr>
          <w:rStyle w:val="FootnoteReference"/>
        </w:rPr>
        <w:footnoteRef/>
      </w:r>
      <w:r>
        <w:t xml:space="preserve"> </w:t>
      </w:r>
      <w:r>
        <w:tab/>
      </w:r>
      <w:proofErr w:type="gramStart"/>
      <w:r>
        <w:t>SP AusNet</w:t>
      </w:r>
      <w:r w:rsidRPr="00DA403D">
        <w:t xml:space="preserve">, </w:t>
      </w:r>
      <w:r w:rsidRPr="00DA403D">
        <w:rPr>
          <w:rStyle w:val="AERtextitalic"/>
        </w:rPr>
        <w:t>Electricity transmission revenue proposal 2014</w:t>
      </w:r>
      <w:r>
        <w:rPr>
          <w:rStyle w:val="AERtextitalic"/>
        </w:rPr>
        <w:t>/</w:t>
      </w:r>
      <w:r w:rsidRPr="00DA403D">
        <w:rPr>
          <w:rStyle w:val="AERtextitalic"/>
        </w:rPr>
        <w:t>15 – 2016</w:t>
      </w:r>
      <w:r>
        <w:rPr>
          <w:rStyle w:val="AERtextitalic"/>
        </w:rPr>
        <w:t>/</w:t>
      </w:r>
      <w:r w:rsidRPr="00DA403D">
        <w:rPr>
          <w:rStyle w:val="AERtextitalic"/>
        </w:rPr>
        <w:t>17</w:t>
      </w:r>
      <w:r w:rsidRPr="00DA403D">
        <w:t>, 28 February 2013, p. 136.</w:t>
      </w:r>
      <w:proofErr w:type="gramEnd"/>
    </w:p>
  </w:footnote>
  <w:footnote w:id="126">
    <w:p w:rsidR="003042CF" w:rsidRDefault="003042CF" w:rsidP="001C2BFF">
      <w:pPr>
        <w:pStyle w:val="FootnoteText"/>
      </w:pPr>
      <w:r>
        <w:rPr>
          <w:rStyle w:val="FootnoteReference"/>
        </w:rPr>
        <w:footnoteRef/>
      </w:r>
      <w:r>
        <w:t xml:space="preserve"> </w:t>
      </w:r>
      <w:r>
        <w:tab/>
        <w:t xml:space="preserve">AusNet Services, </w:t>
      </w:r>
      <w:r w:rsidRPr="00012CA0">
        <w:rPr>
          <w:rStyle w:val="Emphasis"/>
        </w:rPr>
        <w:t>Revenue proposal</w:t>
      </w:r>
      <w:r>
        <w:t>, October 2015, p 111.</w:t>
      </w:r>
    </w:p>
  </w:footnote>
  <w:footnote w:id="127">
    <w:p w:rsidR="003042CF" w:rsidRDefault="003042CF" w:rsidP="001C2BFF">
      <w:pPr>
        <w:pStyle w:val="FootnoteText"/>
      </w:pPr>
      <w:r>
        <w:rPr>
          <w:rStyle w:val="FootnoteReference"/>
        </w:rPr>
        <w:footnoteRef/>
      </w:r>
      <w:r>
        <w:t xml:space="preserve"> </w:t>
      </w:r>
      <w:r>
        <w:tab/>
        <w:t xml:space="preserve">AusNet Services, </w:t>
      </w:r>
      <w:r w:rsidRPr="00012CA0">
        <w:rPr>
          <w:rStyle w:val="Emphasis"/>
        </w:rPr>
        <w:t xml:space="preserve">Annual </w:t>
      </w:r>
      <w:r>
        <w:rPr>
          <w:rStyle w:val="Emphasis"/>
        </w:rPr>
        <w:t>Regulatory Information Notice</w:t>
      </w:r>
      <w:r w:rsidRPr="00012CA0">
        <w:rPr>
          <w:rStyle w:val="Emphasis"/>
        </w:rPr>
        <w:t>s</w:t>
      </w:r>
      <w:r>
        <w:t>.</w:t>
      </w:r>
    </w:p>
  </w:footnote>
  <w:footnote w:id="128">
    <w:p w:rsidR="003042CF" w:rsidRDefault="003042CF" w:rsidP="00690EA6">
      <w:pPr>
        <w:pStyle w:val="FootnoteText"/>
      </w:pPr>
      <w:r>
        <w:rPr>
          <w:rStyle w:val="FootnoteReference"/>
        </w:rPr>
        <w:footnoteRef/>
      </w:r>
      <w:r>
        <w:t xml:space="preserve"> </w:t>
      </w:r>
      <w:r>
        <w:tab/>
        <w:t xml:space="preserve">AusNet Services proposed that an additional reduction of $160,000 from 2017–18 would be appropriate to account for the early failure of the Brooklyn and Templestowe SCOs. </w:t>
      </w:r>
      <w:proofErr w:type="gramStart"/>
      <w:r>
        <w:t xml:space="preserve">(AusNet Services, </w:t>
      </w:r>
      <w:r w:rsidRPr="00977199">
        <w:rPr>
          <w:rStyle w:val="AERtextitalic"/>
        </w:rPr>
        <w:t>Submission on revised proposal</w:t>
      </w:r>
      <w:r>
        <w:t>, October 2016, pp. 1-2.)</w:t>
      </w:r>
      <w:proofErr w:type="gramEnd"/>
    </w:p>
  </w:footnote>
  <w:footnote w:id="129">
    <w:p w:rsidR="003042CF" w:rsidRDefault="003042CF" w:rsidP="00EF66FB">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p.108.</w:t>
      </w:r>
    </w:p>
  </w:footnote>
  <w:footnote w:id="130">
    <w:p w:rsidR="003042CF" w:rsidRDefault="003042CF" w:rsidP="00EF66FB">
      <w:pPr>
        <w:pStyle w:val="FootnoteText"/>
      </w:pPr>
      <w:r>
        <w:rPr>
          <w:rStyle w:val="FootnoteReference"/>
        </w:rPr>
        <w:footnoteRef/>
      </w:r>
      <w:r>
        <w:t xml:space="preserve"> </w:t>
      </w:r>
      <w:r>
        <w:tab/>
        <w:t xml:space="preserve">CCP5, </w:t>
      </w:r>
      <w:r w:rsidRPr="00977199">
        <w:rPr>
          <w:rStyle w:val="AERtextitalic"/>
        </w:rPr>
        <w:t>Submission in</w:t>
      </w:r>
      <w:r>
        <w:t xml:space="preserve"> </w:t>
      </w:r>
      <w:r>
        <w:rPr>
          <w:rStyle w:val="Emphasis"/>
        </w:rPr>
        <w:t>response to AusNet Services’ 2017-22 r</w:t>
      </w:r>
      <w:r w:rsidRPr="00530D8E">
        <w:rPr>
          <w:rStyle w:val="Emphasis"/>
        </w:rPr>
        <w:t xml:space="preserve">evised </w:t>
      </w:r>
      <w:r>
        <w:rPr>
          <w:rStyle w:val="Emphasis"/>
        </w:rPr>
        <w:t xml:space="preserve">revenue </w:t>
      </w:r>
      <w:proofErr w:type="gramStart"/>
      <w:r>
        <w:rPr>
          <w:rStyle w:val="Emphasis"/>
        </w:rPr>
        <w:t>p</w:t>
      </w:r>
      <w:r w:rsidRPr="00530D8E">
        <w:rPr>
          <w:rStyle w:val="Emphasis"/>
        </w:rPr>
        <w:t>roposal</w:t>
      </w:r>
      <w:proofErr w:type="gramEnd"/>
      <w:r w:rsidRPr="00530D8E">
        <w:rPr>
          <w:rStyle w:val="Emphasis"/>
        </w:rPr>
        <w:t xml:space="preserve">, </w:t>
      </w:r>
      <w:r w:rsidRPr="00977199">
        <w:rPr>
          <w:rStyle w:val="AERtextsize8"/>
        </w:rPr>
        <w:t>October 2016</w:t>
      </w:r>
      <w:r>
        <w:rPr>
          <w:rStyle w:val="AERtextsize8"/>
        </w:rPr>
        <w:t>, p.23</w:t>
      </w:r>
      <w:r w:rsidRPr="00530D8E">
        <w:rPr>
          <w:rStyle w:val="Emphasis"/>
        </w:rPr>
        <w:t>.</w:t>
      </w:r>
      <w:r>
        <w:rPr>
          <w:rStyle w:val="Emphasis"/>
        </w:rPr>
        <w:t xml:space="preserve"> </w:t>
      </w:r>
    </w:p>
  </w:footnote>
  <w:footnote w:id="131">
    <w:p w:rsidR="003042CF" w:rsidRDefault="003042CF" w:rsidP="00EF66FB">
      <w:pPr>
        <w:pStyle w:val="FootnoteText"/>
      </w:pPr>
      <w:r>
        <w:rPr>
          <w:rStyle w:val="FootnoteReference"/>
        </w:rPr>
        <w:footnoteRef/>
      </w:r>
      <w:r>
        <w:t xml:space="preserve"> </w:t>
      </w:r>
      <w:r>
        <w:tab/>
      </w:r>
      <w:r w:rsidRPr="00E30C14">
        <w:t>Energy User Coalition of Victoria</w:t>
      </w:r>
      <w:r>
        <w:t xml:space="preserve">, </w:t>
      </w:r>
      <w:r>
        <w:rPr>
          <w:rStyle w:val="Emphasis"/>
        </w:rPr>
        <w:t>A</w:t>
      </w:r>
      <w:r w:rsidRPr="00805541">
        <w:rPr>
          <w:rStyle w:val="Emphasis"/>
        </w:rPr>
        <w:t xml:space="preserve"> response to AusNet </w:t>
      </w:r>
      <w:r>
        <w:rPr>
          <w:rStyle w:val="Emphasis"/>
        </w:rPr>
        <w:t>revenue reset proposal for the 2017-2022 period</w:t>
      </w:r>
      <w:r w:rsidRPr="00E30C14">
        <w:t>, February 2016, p. 3</w:t>
      </w:r>
      <w:r>
        <w:t>4</w:t>
      </w:r>
      <w:r w:rsidRPr="00E30C14">
        <w:t>.</w:t>
      </w:r>
    </w:p>
  </w:footnote>
  <w:footnote w:id="132">
    <w:p w:rsidR="003042CF" w:rsidRDefault="003042CF">
      <w:pPr>
        <w:pStyle w:val="FootnoteText"/>
      </w:pPr>
      <w:r>
        <w:rPr>
          <w:rStyle w:val="FootnoteReference"/>
        </w:rPr>
        <w:footnoteRef/>
      </w:r>
      <w:r>
        <w:t xml:space="preserve"> </w:t>
      </w:r>
      <w:r>
        <w:tab/>
      </w:r>
      <w:proofErr w:type="gramStart"/>
      <w:r>
        <w:t>A</w:t>
      </w:r>
      <w:r w:rsidRPr="00C8681B">
        <w:t>ER,</w:t>
      </w:r>
      <w:r>
        <w:t xml:space="preserve">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xml:space="preserve">, July 2016, </w:t>
      </w:r>
      <w:r w:rsidRPr="006A66BD">
        <w:t xml:space="preserve">p. </w:t>
      </w:r>
      <w:r>
        <w:t>7-</w:t>
      </w:r>
      <w:r w:rsidRPr="006A66BD">
        <w:t>66.</w:t>
      </w:r>
      <w:proofErr w:type="gramEnd"/>
    </w:p>
  </w:footnote>
  <w:footnote w:id="133">
    <w:p w:rsidR="003042CF" w:rsidRDefault="003042CF">
      <w:pPr>
        <w:pStyle w:val="FootnoteText"/>
      </w:pPr>
      <w:r>
        <w:rPr>
          <w:rStyle w:val="FootnoteReference"/>
        </w:rPr>
        <w:footnoteRef/>
      </w:r>
      <w:r>
        <w:t xml:space="preserve"> </w:t>
      </w:r>
      <w:r>
        <w:tab/>
        <w:t xml:space="preserve">Excluding land easement tax and including debt raising costs. </w:t>
      </w:r>
    </w:p>
  </w:footnote>
  <w:footnote w:id="134">
    <w:p w:rsidR="003042CF" w:rsidRDefault="003042CF" w:rsidP="00160E81">
      <w:pPr>
        <w:pStyle w:val="FootnoteText"/>
      </w:pPr>
      <w:r>
        <w:rPr>
          <w:rStyle w:val="FootnoteReference"/>
        </w:rPr>
        <w:footnoteRef/>
      </w:r>
      <w:r>
        <w:t xml:space="preserve"> </w:t>
      </w:r>
      <w:r>
        <w:tab/>
        <w:t xml:space="preserve">AER, </w:t>
      </w:r>
      <w:r w:rsidRPr="0046280B">
        <w:rPr>
          <w:rStyle w:val="Emphasis"/>
        </w:rPr>
        <w:t>Explanatory statement</w:t>
      </w:r>
      <w:r>
        <w:rPr>
          <w:rStyle w:val="Emphasis"/>
        </w:rPr>
        <w:t>–e</w:t>
      </w:r>
      <w:r w:rsidRPr="0046280B">
        <w:rPr>
          <w:rStyle w:val="Emphasis"/>
        </w:rPr>
        <w:t>xpenditur</w:t>
      </w:r>
      <w:r>
        <w:rPr>
          <w:rStyle w:val="Emphasis"/>
        </w:rPr>
        <w:t>e forecast assessment guideline</w:t>
      </w:r>
      <w:r>
        <w:t>, November 2013, p. 52.</w:t>
      </w:r>
    </w:p>
  </w:footnote>
  <w:footnote w:id="135">
    <w:p w:rsidR="003042CF" w:rsidRDefault="003042CF" w:rsidP="004C3540">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xml:space="preserve">, pp.117–118. </w:t>
      </w:r>
    </w:p>
  </w:footnote>
  <w:footnote w:id="136">
    <w:p w:rsidR="003042CF" w:rsidRDefault="003042CF" w:rsidP="004C3540">
      <w:pPr>
        <w:pStyle w:val="FootnoteText"/>
      </w:pPr>
      <w:r>
        <w:rPr>
          <w:rStyle w:val="FootnoteReference"/>
        </w:rPr>
        <w:footnoteRef/>
      </w:r>
      <w:r>
        <w:t xml:space="preserve"> </w:t>
      </w:r>
      <w:r>
        <w:tab/>
        <w:t xml:space="preserve">AusNet Services, </w:t>
      </w:r>
      <w:r w:rsidRPr="00F10D4E">
        <w:rPr>
          <w:rStyle w:val="AERtextitalic"/>
        </w:rPr>
        <w:t>Revised revenue proposal</w:t>
      </w:r>
      <w:r>
        <w:t xml:space="preserve">, </w:t>
      </w:r>
      <w:r w:rsidRPr="00F10D4E">
        <w:t>21 September 2016</w:t>
      </w:r>
      <w:r>
        <w:t xml:space="preserve">, p.118. </w:t>
      </w:r>
    </w:p>
  </w:footnote>
  <w:footnote w:id="137">
    <w:p w:rsidR="003042CF" w:rsidRDefault="003042CF">
      <w:pPr>
        <w:pStyle w:val="FootnoteText"/>
      </w:pPr>
      <w:r>
        <w:rPr>
          <w:rStyle w:val="FootnoteReference"/>
        </w:rPr>
        <w:footnoteRef/>
      </w:r>
      <w:r>
        <w:t xml:space="preserve"> </w:t>
      </w:r>
      <w:r>
        <w:tab/>
      </w:r>
      <w:r w:rsidRPr="00795770">
        <w:t>AusNet Services</w:t>
      </w:r>
      <w:r>
        <w:t>,</w:t>
      </w:r>
      <w:r w:rsidRPr="00795770">
        <w:t xml:space="preserve"> </w:t>
      </w:r>
      <w:r w:rsidRPr="00F10D4E">
        <w:rPr>
          <w:rStyle w:val="AERtextitalic"/>
        </w:rPr>
        <w:t>Revised revenue proposal</w:t>
      </w:r>
      <w:r>
        <w:t xml:space="preserve">, </w:t>
      </w:r>
      <w:r w:rsidRPr="00F10D4E">
        <w:t>21 September 2016</w:t>
      </w:r>
      <w:r>
        <w:t>, p.117</w:t>
      </w:r>
      <w:r w:rsidRPr="00795770">
        <w:t>.</w:t>
      </w:r>
    </w:p>
  </w:footnote>
  <w:footnote w:id="138">
    <w:p w:rsidR="003042CF" w:rsidRDefault="003042CF">
      <w:pPr>
        <w:pStyle w:val="FootnoteText"/>
      </w:pPr>
      <w:r>
        <w:rPr>
          <w:rStyle w:val="FootnoteReference"/>
        </w:rPr>
        <w:footnoteRef/>
      </w:r>
      <w:r>
        <w:t xml:space="preserve"> </w:t>
      </w:r>
      <w:r>
        <w:tab/>
      </w:r>
      <w:r w:rsidRPr="00795770">
        <w:t>AusNet Services</w:t>
      </w:r>
      <w:r>
        <w:t>,</w:t>
      </w:r>
      <w:r w:rsidRPr="00795770">
        <w:t xml:space="preserve"> </w:t>
      </w:r>
      <w:r w:rsidRPr="00F10D4E">
        <w:rPr>
          <w:rStyle w:val="AERtextitalic"/>
        </w:rPr>
        <w:t>Revised revenue proposal</w:t>
      </w:r>
      <w:r>
        <w:t xml:space="preserve">, </w:t>
      </w:r>
      <w:r w:rsidRPr="00F10D4E">
        <w:t>21 September 2016</w:t>
      </w:r>
      <w:r>
        <w:t>, p.117</w:t>
      </w:r>
      <w:r w:rsidRPr="00795770">
        <w:t>.</w:t>
      </w:r>
    </w:p>
  </w:footnote>
  <w:footnote w:id="139">
    <w:p w:rsidR="003042CF" w:rsidRDefault="003042CF">
      <w:pPr>
        <w:pStyle w:val="FootnoteText"/>
      </w:pPr>
      <w:r>
        <w:rPr>
          <w:rStyle w:val="FootnoteReference"/>
        </w:rPr>
        <w:footnoteRef/>
      </w:r>
      <w:r>
        <w:t xml:space="preserve"> </w:t>
      </w:r>
      <w:r>
        <w:tab/>
      </w:r>
      <w:proofErr w:type="gramStart"/>
      <w:r>
        <w:t>Excluding land easement tax.</w:t>
      </w:r>
      <w:proofErr w:type="gramEnd"/>
    </w:p>
  </w:footnote>
  <w:footnote w:id="140">
    <w:p w:rsidR="003042CF" w:rsidRDefault="003042CF">
      <w:pPr>
        <w:pStyle w:val="FootnoteText"/>
      </w:pPr>
      <w:r>
        <w:rPr>
          <w:rStyle w:val="FootnoteReference"/>
        </w:rPr>
        <w:footnoteRef/>
      </w:r>
      <w:r>
        <w:t xml:space="preserve"> </w:t>
      </w:r>
      <w:r>
        <w:tab/>
      </w:r>
      <w:proofErr w:type="gramStart"/>
      <w:r w:rsidRPr="003F42E3">
        <w:t xml:space="preserve">AusNet Services, </w:t>
      </w:r>
      <w:r w:rsidRPr="00012CA0">
        <w:rPr>
          <w:rStyle w:val="Emphasis"/>
        </w:rPr>
        <w:t>Submission on revised proposal</w:t>
      </w:r>
      <w:r w:rsidRPr="003F42E3">
        <w:t>, 20 December 2016</w:t>
      </w:r>
      <w:r>
        <w:t>, p. 4</w:t>
      </w:r>
      <w:r w:rsidRPr="003F42E3">
        <w:t>.</w:t>
      </w:r>
      <w:proofErr w:type="gramEnd"/>
    </w:p>
  </w:footnote>
  <w:footnote w:id="141">
    <w:p w:rsidR="003042CF" w:rsidRDefault="003042CF">
      <w:pPr>
        <w:pStyle w:val="FootnoteText"/>
      </w:pPr>
      <w:r>
        <w:rPr>
          <w:rStyle w:val="FootnoteReference"/>
        </w:rPr>
        <w:footnoteRef/>
      </w:r>
      <w:r>
        <w:t xml:space="preserve"> </w:t>
      </w:r>
      <w:r>
        <w:tab/>
      </w:r>
      <w:proofErr w:type="gramStart"/>
      <w:r w:rsidRPr="003F42E3">
        <w:t xml:space="preserve">AusNet Services, </w:t>
      </w:r>
      <w:r w:rsidRPr="00506B73">
        <w:rPr>
          <w:rStyle w:val="Emphasis"/>
        </w:rPr>
        <w:t>Submission on revised proposal</w:t>
      </w:r>
      <w:r w:rsidRPr="003F42E3">
        <w:t>, 20 December 2016</w:t>
      </w:r>
      <w:r>
        <w:t>, p .4.</w:t>
      </w:r>
      <w:proofErr w:type="gramEnd"/>
    </w:p>
  </w:footnote>
  <w:footnote w:id="142">
    <w:p w:rsidR="003042CF" w:rsidRDefault="003042CF">
      <w:pPr>
        <w:pStyle w:val="FootnoteText"/>
      </w:pPr>
      <w:r>
        <w:rPr>
          <w:rStyle w:val="FootnoteReference"/>
        </w:rPr>
        <w:footnoteRef/>
      </w:r>
      <w:r>
        <w:t xml:space="preserve"> </w:t>
      </w:r>
      <w:r>
        <w:tab/>
      </w:r>
      <w:proofErr w:type="gramStart"/>
      <w:r w:rsidRPr="003F42E3">
        <w:t xml:space="preserve">AusNet Services, </w:t>
      </w:r>
      <w:r w:rsidRPr="00506B73">
        <w:rPr>
          <w:rStyle w:val="Emphasis"/>
        </w:rPr>
        <w:t>Submission on revised proposal – Attachment 2- Retirement of Diesel Generators at SMTS, SYTS, TSTS and KTS.</w:t>
      </w:r>
      <w:proofErr w:type="gramEnd"/>
    </w:p>
  </w:footnote>
  <w:footnote w:id="143">
    <w:p w:rsidR="003042CF" w:rsidRDefault="003042CF">
      <w:pPr>
        <w:pStyle w:val="FootnoteText"/>
      </w:pPr>
      <w:r>
        <w:rPr>
          <w:rStyle w:val="FootnoteReference"/>
        </w:rPr>
        <w:footnoteRef/>
      </w:r>
      <w:r>
        <w:t xml:space="preserve"> </w:t>
      </w:r>
      <w:r>
        <w:tab/>
      </w:r>
      <w:proofErr w:type="gramStart"/>
      <w:r w:rsidRPr="003F42E3">
        <w:t xml:space="preserve">AusNet Services, </w:t>
      </w:r>
      <w:r w:rsidRPr="00506B73">
        <w:rPr>
          <w:rStyle w:val="Emphasis"/>
        </w:rPr>
        <w:t>Submission on revised proposal – Attachment 2- Retirement of Diesel Generators at SMTS, SYTS, TSTS and KTS.</w:t>
      </w:r>
      <w:proofErr w:type="gramEnd"/>
    </w:p>
  </w:footnote>
  <w:footnote w:id="144">
    <w:p w:rsidR="003042CF" w:rsidRDefault="003042CF" w:rsidP="009C6000">
      <w:pPr>
        <w:pStyle w:val="FootnoteText"/>
      </w:pPr>
      <w:r>
        <w:rPr>
          <w:rStyle w:val="FootnoteReference"/>
        </w:rPr>
        <w:footnoteRef/>
      </w:r>
      <w:r>
        <w:t xml:space="preserve"> </w:t>
      </w:r>
      <w:r>
        <w:tab/>
      </w:r>
      <w:proofErr w:type="gramStart"/>
      <w:r w:rsidRPr="009C6000">
        <w:t>NER</w:t>
      </w:r>
      <w:r>
        <w:t>,</w:t>
      </w:r>
      <w:r w:rsidRPr="009C6000">
        <w:t xml:space="preserve"> cl. 11.6.21.</w:t>
      </w:r>
      <w:proofErr w:type="gramEnd"/>
      <w:r w:rsidRPr="009C6000">
        <w:t xml:space="preserve"> The pass-through arrangements contained in Clause 11.6.21 (a) and (d) of the NER allow any</w:t>
      </w:r>
      <w:r>
        <w:t xml:space="preserve"> </w:t>
      </w:r>
      <w:r w:rsidRPr="009C6000">
        <w:t>variance between the forecast ELT and the actual tax levied to be corrected in the relevant regulatory</w:t>
      </w:r>
      <w:r>
        <w:t xml:space="preserve"> </w:t>
      </w:r>
      <w:r w:rsidRPr="009C6000">
        <w:t>year’s revenue. The annual correction, referred to as an easement tax change event, is not subject</w:t>
      </w:r>
      <w:r>
        <w:t xml:space="preserve"> </w:t>
      </w:r>
      <w:r w:rsidRPr="009C6000">
        <w:t>to the materiality threshold contained in the NER. The process is to be followed with regards to an application for a negative or positive pass through amount arising from an easement tax change event.</w:t>
      </w:r>
    </w:p>
  </w:footnote>
  <w:footnote w:id="145">
    <w:p w:rsidR="003042CF" w:rsidRDefault="003042CF" w:rsidP="005F117A">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123.</w:t>
      </w:r>
    </w:p>
  </w:footnote>
  <w:footnote w:id="146">
    <w:p w:rsidR="003042CF" w:rsidRDefault="003042CF" w:rsidP="00A877D9">
      <w:pPr>
        <w:pStyle w:val="FootnoteText"/>
      </w:pPr>
      <w:r>
        <w:rPr>
          <w:rStyle w:val="FootnoteReference"/>
        </w:rPr>
        <w:footnoteRef/>
      </w:r>
      <w:r>
        <w:t xml:space="preserve"> </w:t>
      </w:r>
      <w:r>
        <w:tab/>
      </w:r>
      <w:proofErr w:type="gramStart"/>
      <w:r w:rsidRPr="00DD615F">
        <w:t xml:space="preserve">AusNet Services, </w:t>
      </w:r>
      <w:r w:rsidRPr="00012CA0">
        <w:rPr>
          <w:rStyle w:val="Emphasis"/>
        </w:rPr>
        <w:t>Submission on revised proposal</w:t>
      </w:r>
      <w:r w:rsidRPr="00DD615F">
        <w:t>, 20 December 2016</w:t>
      </w:r>
      <w:r>
        <w:t>, p. 4</w:t>
      </w:r>
      <w:r w:rsidRPr="00DD615F">
        <w:t>.</w:t>
      </w:r>
      <w:proofErr w:type="gramEnd"/>
    </w:p>
  </w:footnote>
  <w:footnote w:id="147">
    <w:p w:rsidR="003042CF" w:rsidRDefault="003042CF">
      <w:pPr>
        <w:pStyle w:val="FootnoteText"/>
      </w:pPr>
      <w:r>
        <w:rPr>
          <w:rStyle w:val="FootnoteReference"/>
        </w:rPr>
        <w:footnoteRef/>
      </w:r>
      <w:r>
        <w:t xml:space="preserve"> </w:t>
      </w:r>
      <w:r>
        <w:tab/>
      </w:r>
      <w:r w:rsidRPr="00721EBF">
        <w:t xml:space="preserve">AusNet Services, </w:t>
      </w:r>
      <w:r w:rsidRPr="00721EBF">
        <w:rPr>
          <w:rStyle w:val="AERtextitalic"/>
        </w:rPr>
        <w:t>Revenue proposal</w:t>
      </w:r>
      <w:r w:rsidRPr="00721EBF">
        <w:t>, October 2015, p. 1</w:t>
      </w:r>
      <w:r>
        <w:t>19.</w:t>
      </w:r>
    </w:p>
  </w:footnote>
  <w:footnote w:id="148">
    <w:p w:rsidR="003042CF" w:rsidRDefault="003042CF" w:rsidP="005F117A">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15.</w:t>
      </w:r>
    </w:p>
  </w:footnote>
  <w:footnote w:id="149">
    <w:p w:rsidR="003042CF" w:rsidRDefault="003042CF">
      <w:pPr>
        <w:pStyle w:val="FootnoteText"/>
      </w:pPr>
      <w:r>
        <w:rPr>
          <w:rStyle w:val="FootnoteReference"/>
        </w:rPr>
        <w:footnoteRef/>
      </w:r>
      <w:r>
        <w:t xml:space="preserve"> </w:t>
      </w:r>
      <w:r>
        <w:tab/>
        <w:t xml:space="preserve">AusNet Services, </w:t>
      </w:r>
      <w:r>
        <w:rPr>
          <w:rStyle w:val="Emphasis"/>
        </w:rPr>
        <w:t xml:space="preserve">Revenue proposal, </w:t>
      </w:r>
      <w:r w:rsidRPr="00506B73">
        <w:rPr>
          <w:rStyle w:val="Emphasis"/>
        </w:rPr>
        <w:t>Appendix 5C: Group 3 Assets</w:t>
      </w:r>
      <w:r>
        <w:t>, October 2015, p. 4.</w:t>
      </w:r>
    </w:p>
  </w:footnote>
  <w:footnote w:id="150">
    <w:p w:rsidR="003042CF" w:rsidRDefault="003042CF" w:rsidP="001273D2">
      <w:pPr>
        <w:pStyle w:val="FootnoteText"/>
      </w:pPr>
      <w:r>
        <w:rPr>
          <w:rStyle w:val="FootnoteReference"/>
        </w:rPr>
        <w:footnoteRef/>
      </w:r>
      <w:r>
        <w:t xml:space="preserve"> </w:t>
      </w:r>
      <w:r>
        <w:tab/>
      </w:r>
      <w:r w:rsidRPr="006D43BB">
        <w:t xml:space="preserve">AusNet Services, </w:t>
      </w:r>
      <w:r w:rsidRPr="006D43BB">
        <w:rPr>
          <w:rStyle w:val="AERtextitalic"/>
        </w:rPr>
        <w:t>Revenue proposal</w:t>
      </w:r>
      <w:r w:rsidRPr="006D43BB">
        <w:t>, October 2015, pp.</w:t>
      </w:r>
      <w:r>
        <w:t> </w:t>
      </w:r>
      <w:r w:rsidRPr="006D43BB">
        <w:t>133</w:t>
      </w:r>
      <w:r>
        <w:t>–</w:t>
      </w:r>
      <w:r w:rsidRPr="006D43BB">
        <w:t xml:space="preserve">134. </w:t>
      </w:r>
      <w:r>
        <w:t xml:space="preserve"> </w:t>
      </w:r>
    </w:p>
  </w:footnote>
  <w:footnote w:id="151">
    <w:p w:rsidR="003042CF" w:rsidRDefault="003042CF" w:rsidP="001273D2">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7-37.</w:t>
      </w:r>
      <w:proofErr w:type="gramEnd"/>
    </w:p>
  </w:footnote>
  <w:footnote w:id="152">
    <w:p w:rsidR="003042CF" w:rsidRDefault="003042CF" w:rsidP="001273D2">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103.</w:t>
      </w:r>
    </w:p>
  </w:footnote>
  <w:footnote w:id="153">
    <w:p w:rsidR="003042CF" w:rsidRDefault="003042CF" w:rsidP="005F117A">
      <w:pPr>
        <w:pStyle w:val="FootnoteText"/>
      </w:pPr>
      <w:r>
        <w:rPr>
          <w:rStyle w:val="FootnoteReference"/>
        </w:rPr>
        <w:footnoteRef/>
      </w:r>
      <w:r>
        <w:t xml:space="preserve"> </w:t>
      </w:r>
      <w:r>
        <w:tab/>
      </w:r>
      <w:r w:rsidRPr="00721EBF">
        <w:t xml:space="preserve">AusNet Services, </w:t>
      </w:r>
      <w:r w:rsidRPr="00721EBF">
        <w:rPr>
          <w:rStyle w:val="AERtextitalic"/>
        </w:rPr>
        <w:t>R</w:t>
      </w:r>
      <w:r>
        <w:rPr>
          <w:rStyle w:val="AERtextitalic"/>
        </w:rPr>
        <w:t>evised r</w:t>
      </w:r>
      <w:r w:rsidRPr="00721EBF">
        <w:rPr>
          <w:rStyle w:val="AERtextitalic"/>
        </w:rPr>
        <w:t>evenue proposal</w:t>
      </w:r>
      <w:r>
        <w:t>, 21 September 2016, p. 123</w:t>
      </w:r>
      <w:r w:rsidRPr="00721EBF">
        <w:t xml:space="preserve">. </w:t>
      </w:r>
      <w:r>
        <w:t xml:space="preserve"> </w:t>
      </w:r>
    </w:p>
  </w:footnote>
  <w:footnote w:id="154">
    <w:p w:rsidR="003042CF" w:rsidRDefault="003042CF">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123.</w:t>
      </w:r>
    </w:p>
  </w:footnote>
  <w:footnote w:id="155">
    <w:p w:rsidR="003042CF" w:rsidRDefault="003042CF">
      <w:pPr>
        <w:pStyle w:val="FootnoteText"/>
      </w:pPr>
      <w:r>
        <w:rPr>
          <w:rStyle w:val="FootnoteReference"/>
        </w:rPr>
        <w:footnoteRef/>
      </w:r>
      <w:r>
        <w:t xml:space="preserve"> </w:t>
      </w:r>
      <w:r>
        <w:tab/>
        <w:t>Calculated using AusNet Services revised opex model. Leaving self-insurance in the base year results in a total opex forecast of $1045.5m compared with AusNet Services total opex forecast of $1049.6m.</w:t>
      </w:r>
    </w:p>
  </w:footnote>
  <w:footnote w:id="156">
    <w:p w:rsidR="003042CF" w:rsidRDefault="003042CF">
      <w:pPr>
        <w:pStyle w:val="FootnoteText"/>
      </w:pPr>
      <w:r>
        <w:rPr>
          <w:rStyle w:val="FootnoteReference"/>
        </w:rPr>
        <w:footnoteRef/>
      </w:r>
      <w:r>
        <w:t xml:space="preserve"> </w:t>
      </w:r>
      <w:r>
        <w:tab/>
        <w:t xml:space="preserve">AusNet Services, </w:t>
      </w:r>
      <w:r w:rsidRPr="00012CA0">
        <w:rPr>
          <w:rStyle w:val="AERtextitalic"/>
        </w:rPr>
        <w:t>Revised revenue proposal</w:t>
      </w:r>
      <w:r>
        <w:t>, 21 September 2016, p.123.</w:t>
      </w:r>
    </w:p>
  </w:footnote>
  <w:footnote w:id="157">
    <w:p w:rsidR="003042CF" w:rsidRDefault="003042CF" w:rsidP="00BB74CA">
      <w:pPr>
        <w:pStyle w:val="FootnoteText"/>
      </w:pPr>
      <w:r>
        <w:rPr>
          <w:rStyle w:val="FootnoteReference"/>
        </w:rPr>
        <w:footnoteRef/>
      </w:r>
      <w:r>
        <w:t xml:space="preserve"> </w:t>
      </w:r>
      <w:r>
        <w:tab/>
        <w:t xml:space="preserve">Comparing  </w:t>
      </w:r>
      <w:r w:rsidRPr="00087ABB">
        <w:t xml:space="preserve">AusNet Services, </w:t>
      </w:r>
      <w:r w:rsidRPr="00DA2411">
        <w:rPr>
          <w:rStyle w:val="Emphasis"/>
        </w:rPr>
        <w:t>Revised revenue proposal</w:t>
      </w:r>
      <w:r>
        <w:t xml:space="preserve">, 21 September 2016, p. 123 with AusNet Services, Regulatory proposal 2016-20, 30 April 2015, p 195; </w:t>
      </w:r>
      <w:r>
        <w:rPr>
          <w:i/>
          <w:iCs/>
          <w:szCs w:val="16"/>
        </w:rPr>
        <w:t xml:space="preserve">Aon, Self Insurance Risk Quantifications – AusNet Services (Distribution) Ltd, </w:t>
      </w:r>
      <w:r w:rsidRPr="00BA16FE">
        <w:rPr>
          <w:iCs/>
          <w:szCs w:val="16"/>
        </w:rPr>
        <w:t>January 2015</w:t>
      </w:r>
      <w:r>
        <w:rPr>
          <w:iCs/>
          <w:szCs w:val="16"/>
        </w:rPr>
        <w:t>.</w:t>
      </w:r>
    </w:p>
  </w:footnote>
  <w:footnote w:id="158">
    <w:p w:rsidR="003042CF" w:rsidRDefault="003042CF" w:rsidP="005F117A">
      <w:pPr>
        <w:pStyle w:val="FootnoteText"/>
      </w:pPr>
      <w:r>
        <w:rPr>
          <w:rStyle w:val="FootnoteReference"/>
        </w:rPr>
        <w:footnoteRef/>
      </w:r>
      <w:r>
        <w:t xml:space="preserve"> </w:t>
      </w:r>
      <w:r>
        <w:tab/>
        <w:t xml:space="preserve">AusNet Services, </w:t>
      </w:r>
      <w:r>
        <w:rPr>
          <w:rStyle w:val="AERtextitalic"/>
        </w:rPr>
        <w:t>Revenue</w:t>
      </w:r>
      <w:r w:rsidRPr="00DF074E">
        <w:rPr>
          <w:rStyle w:val="AERtextitalic"/>
        </w:rPr>
        <w:t xml:space="preserve"> proposa</w:t>
      </w:r>
      <w:r>
        <w:rPr>
          <w:rStyle w:val="AERtextitalic"/>
        </w:rPr>
        <w:t>l</w:t>
      </w:r>
      <w:r>
        <w:t>, October 2015, p. 146.</w:t>
      </w:r>
    </w:p>
  </w:footnote>
  <w:footnote w:id="159">
    <w:p w:rsidR="003042CF" w:rsidRDefault="003042CF" w:rsidP="005F117A">
      <w:pPr>
        <w:pStyle w:val="FootnoteText"/>
      </w:pPr>
      <w:r>
        <w:rPr>
          <w:rStyle w:val="FootnoteReference"/>
        </w:rPr>
        <w:footnoteRef/>
      </w:r>
      <w:r>
        <w:t xml:space="preserve"> </w:t>
      </w:r>
      <w:r>
        <w:tab/>
      </w:r>
      <w:proofErr w:type="gramStart"/>
      <w:r>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t>, July 2016, p. 7-35; NER, cl. 6A.6.6(c).</w:t>
      </w:r>
      <w:proofErr w:type="gramEnd"/>
      <w:r>
        <w:t xml:space="preserve">  </w:t>
      </w:r>
    </w:p>
  </w:footnote>
  <w:footnote w:id="160">
    <w:p w:rsidR="003042CF" w:rsidRDefault="003042CF">
      <w:pPr>
        <w:pStyle w:val="FootnoteText"/>
      </w:pPr>
      <w:r>
        <w:rPr>
          <w:rStyle w:val="FootnoteReference"/>
        </w:rPr>
        <w:footnoteRef/>
      </w:r>
      <w:r>
        <w:t xml:space="preserve"> </w:t>
      </w:r>
      <w:r>
        <w:tab/>
      </w:r>
      <w:proofErr w:type="gramStart"/>
      <w:r w:rsidRPr="00FE4F20">
        <w:t xml:space="preserve">AER, </w:t>
      </w:r>
      <w:r w:rsidRPr="00543025">
        <w:rPr>
          <w:rStyle w:val="Emphasis"/>
        </w:rPr>
        <w:t>Draft Decision</w:t>
      </w:r>
      <w:r>
        <w:rPr>
          <w:rStyle w:val="Emphasis"/>
        </w:rPr>
        <w:t xml:space="preserve"> </w:t>
      </w:r>
      <w:r w:rsidRPr="00543025">
        <w:rPr>
          <w:rStyle w:val="Emphasis"/>
        </w:rPr>
        <w:t>AusNet Services</w:t>
      </w:r>
      <w:r>
        <w:rPr>
          <w:rStyle w:val="Emphasis"/>
        </w:rPr>
        <w:t xml:space="preserve"> transmission determination–</w:t>
      </w:r>
      <w:r w:rsidRPr="00543025">
        <w:rPr>
          <w:rStyle w:val="Emphasis"/>
        </w:rPr>
        <w:t>Attachment 7–Operating expenditure</w:t>
      </w:r>
      <w:r w:rsidRPr="00FE4F20">
        <w:t xml:space="preserve">, July 2016, p. </w:t>
      </w:r>
      <w:r>
        <w:t>7-</w:t>
      </w:r>
      <w:r w:rsidRPr="00FE4F20">
        <w:t>35.</w:t>
      </w:r>
      <w:proofErr w:type="gramEnd"/>
    </w:p>
  </w:footnote>
  <w:footnote w:id="161">
    <w:p w:rsidR="003042CF" w:rsidRDefault="003042CF">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5.</w:t>
      </w:r>
    </w:p>
  </w:footnote>
  <w:footnote w:id="162">
    <w:p w:rsidR="003042CF" w:rsidRDefault="003042CF" w:rsidP="001A7084">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119.</w:t>
      </w:r>
    </w:p>
  </w:footnote>
  <w:footnote w:id="163">
    <w:p w:rsidR="003042CF" w:rsidRDefault="003042CF">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84.</w:t>
      </w:r>
    </w:p>
  </w:footnote>
  <w:footnote w:id="164">
    <w:p w:rsidR="003042CF" w:rsidRDefault="003042CF" w:rsidP="005F117A">
      <w:pPr>
        <w:pStyle w:val="FootnoteText"/>
      </w:pPr>
      <w:r>
        <w:rPr>
          <w:rStyle w:val="FootnoteReference"/>
        </w:rPr>
        <w:footnoteRef/>
      </w:r>
      <w:r>
        <w:t xml:space="preserve"> </w:t>
      </w:r>
      <w:r>
        <w:tab/>
        <w:t xml:space="preserve">AusNet Services, </w:t>
      </w:r>
      <w:r w:rsidRPr="00607D42">
        <w:rPr>
          <w:rStyle w:val="AERtextitalic"/>
        </w:rPr>
        <w:t>Revised revenue proposal</w:t>
      </w:r>
      <w:r>
        <w:t>, 21 September 2016, p. 120.</w:t>
      </w:r>
    </w:p>
  </w:footnote>
  <w:footnote w:id="165">
    <w:p w:rsidR="003042CF" w:rsidRDefault="003042CF">
      <w:pPr>
        <w:pStyle w:val="FootnoteText"/>
      </w:pPr>
      <w:r>
        <w:rPr>
          <w:rStyle w:val="FootnoteReference"/>
        </w:rPr>
        <w:footnoteRef/>
      </w:r>
      <w:r>
        <w:t xml:space="preserve"> </w:t>
      </w:r>
      <w:r>
        <w:tab/>
        <w:t xml:space="preserve">AER, </w:t>
      </w:r>
      <w:r>
        <w:rPr>
          <w:rStyle w:val="Emphasis"/>
        </w:rPr>
        <w:t>E</w:t>
      </w:r>
      <w:r w:rsidRPr="001321F2">
        <w:rPr>
          <w:rStyle w:val="Emphasis"/>
        </w:rPr>
        <w:t>xplanatory statement</w:t>
      </w:r>
      <w:r>
        <w:rPr>
          <w:rStyle w:val="Emphasis"/>
        </w:rPr>
        <w:t>–e</w:t>
      </w:r>
      <w:r w:rsidRPr="001321F2">
        <w:rPr>
          <w:rStyle w:val="Emphasis"/>
        </w:rPr>
        <w:t>xpenditur</w:t>
      </w:r>
      <w:r>
        <w:rPr>
          <w:rStyle w:val="Emphasis"/>
        </w:rPr>
        <w:t>e forecast assessment guideline</w:t>
      </w:r>
      <w:r>
        <w:t>, November 2013, p. 75.</w:t>
      </w:r>
    </w:p>
  </w:footnote>
  <w:footnote w:id="166">
    <w:p w:rsidR="003042CF" w:rsidRDefault="003042CF" w:rsidP="00BB750D">
      <w:pPr>
        <w:pStyle w:val="FootnoteText"/>
      </w:pPr>
      <w:r>
        <w:rPr>
          <w:rStyle w:val="FootnoteReference"/>
        </w:rPr>
        <w:footnoteRef/>
      </w:r>
      <w:r>
        <w:t xml:space="preserve"> </w:t>
      </w:r>
      <w:r>
        <w:tab/>
      </w:r>
      <w:r w:rsidRPr="00DF3326">
        <w:t xml:space="preserve">AusNet Services, </w:t>
      </w:r>
      <w:r w:rsidRPr="0046280B">
        <w:rPr>
          <w:rStyle w:val="Emphasis"/>
        </w:rPr>
        <w:t>Revised revenue proposal</w:t>
      </w:r>
      <w:r w:rsidRPr="00DF3326">
        <w:t>, 21 September 2016, p. 12</w:t>
      </w:r>
      <w:r>
        <w:t>1.</w:t>
      </w:r>
    </w:p>
  </w:footnote>
  <w:footnote w:id="167">
    <w:p w:rsidR="003042CF" w:rsidRDefault="003042CF">
      <w:pPr>
        <w:pStyle w:val="FootnoteText"/>
      </w:pPr>
      <w:r>
        <w:rPr>
          <w:rStyle w:val="FootnoteReference"/>
        </w:rPr>
        <w:footnoteRef/>
      </w:r>
      <w:r>
        <w:t xml:space="preserve"> </w:t>
      </w:r>
      <w:r>
        <w:tab/>
      </w:r>
      <w:r w:rsidRPr="00DF3326">
        <w:t xml:space="preserve">AusNet Services, </w:t>
      </w:r>
      <w:r w:rsidRPr="0046280B">
        <w:rPr>
          <w:rStyle w:val="Emphasis"/>
        </w:rPr>
        <w:t>Revised revenue proposal</w:t>
      </w:r>
      <w:r w:rsidRPr="00DF3326">
        <w:t>, 21 September 2016, p. 12</w:t>
      </w:r>
      <w:r>
        <w:t>1.</w:t>
      </w:r>
    </w:p>
  </w:footnote>
  <w:footnote w:id="168">
    <w:p w:rsidR="003042CF" w:rsidRDefault="003042CF">
      <w:pPr>
        <w:pStyle w:val="FootnoteText"/>
      </w:pPr>
      <w:r>
        <w:rPr>
          <w:rStyle w:val="FootnoteReference"/>
        </w:rPr>
        <w:footnoteRef/>
      </w:r>
      <w:r>
        <w:t xml:space="preserve"> </w:t>
      </w:r>
      <w:r>
        <w:tab/>
      </w:r>
      <w:r w:rsidRPr="00DF3326">
        <w:t xml:space="preserve">AusNet Services, </w:t>
      </w:r>
      <w:r w:rsidRPr="0046280B">
        <w:rPr>
          <w:rStyle w:val="Emphasis"/>
        </w:rPr>
        <w:t>Revised revenue proposal</w:t>
      </w:r>
      <w:r w:rsidRPr="00DF3326">
        <w:t>, 21 September 2016, p. 12</w:t>
      </w:r>
      <w:r>
        <w:t>1.</w:t>
      </w:r>
    </w:p>
  </w:footnote>
  <w:footnote w:id="169">
    <w:p w:rsidR="003042CF" w:rsidRDefault="003042CF" w:rsidP="00343E29">
      <w:pPr>
        <w:pStyle w:val="FootnoteText"/>
      </w:pPr>
      <w:r>
        <w:rPr>
          <w:rStyle w:val="FootnoteReference"/>
        </w:rPr>
        <w:footnoteRef/>
      </w:r>
      <w:r>
        <w:t xml:space="preserve"> </w:t>
      </w:r>
      <w:r>
        <w:tab/>
      </w:r>
      <w:r w:rsidRPr="00DF3326">
        <w:t xml:space="preserve">AusNet Services, </w:t>
      </w:r>
      <w:r w:rsidRPr="0046280B">
        <w:rPr>
          <w:rStyle w:val="Emphasis"/>
        </w:rPr>
        <w:t>Revised revenue proposal</w:t>
      </w:r>
      <w:r w:rsidRPr="00DF3326">
        <w:t>, 21 September 2016, p. 12</w:t>
      </w:r>
      <w:r>
        <w:t>0.</w:t>
      </w:r>
    </w:p>
  </w:footnote>
  <w:footnote w:id="170">
    <w:p w:rsidR="003042CF" w:rsidRDefault="003042CF">
      <w:pPr>
        <w:pStyle w:val="FootnoteText"/>
      </w:pPr>
      <w:r>
        <w:rPr>
          <w:rStyle w:val="FootnoteReference"/>
        </w:rPr>
        <w:footnoteRef/>
      </w:r>
      <w:r>
        <w:t xml:space="preserve"> </w:t>
      </w:r>
      <w:r>
        <w:tab/>
      </w:r>
      <w:r w:rsidRPr="0095409F">
        <w:t>AusNet Services, on the other hand, adjusts its audited operating costs to replace actual costs incurred for self-insurance with the self-insurance allowance for that year.</w:t>
      </w:r>
    </w:p>
  </w:footnote>
  <w:footnote w:id="171">
    <w:p w:rsidR="003042CF" w:rsidRDefault="003042CF" w:rsidP="00515113">
      <w:pPr>
        <w:pStyle w:val="FootnoteText"/>
      </w:pPr>
      <w:r>
        <w:rPr>
          <w:rStyle w:val="FootnoteReference"/>
        </w:rPr>
        <w:footnoteRef/>
      </w:r>
      <w:r>
        <w:t xml:space="preserve"> </w:t>
      </w:r>
      <w:r>
        <w:tab/>
      </w:r>
      <w:r w:rsidRPr="00E9192F">
        <w:t>AusNet Services</w:t>
      </w:r>
      <w:r w:rsidRPr="00012CA0">
        <w:rPr>
          <w:rStyle w:val="Emphasis"/>
        </w:rPr>
        <w:t>, Revised revenue proposal</w:t>
      </w:r>
      <w:r w:rsidRPr="00E9192F">
        <w:t>, 21 September 2016, p. 1</w:t>
      </w:r>
      <w:r>
        <w:t>19.</w:t>
      </w:r>
    </w:p>
  </w:footnote>
  <w:footnote w:id="172">
    <w:p w:rsidR="003042CF" w:rsidRDefault="003042CF">
      <w:pPr>
        <w:pStyle w:val="FootnoteText"/>
      </w:pPr>
      <w:r>
        <w:rPr>
          <w:rStyle w:val="FootnoteReference"/>
        </w:rPr>
        <w:footnoteRef/>
      </w:r>
      <w:r>
        <w:t xml:space="preserve"> </w:t>
      </w:r>
      <w:r>
        <w:tab/>
      </w:r>
      <w:r w:rsidRPr="00E9192F">
        <w:t xml:space="preserve">AusNet Services, </w:t>
      </w:r>
      <w:r w:rsidRPr="00012CA0">
        <w:rPr>
          <w:rStyle w:val="Emphasis"/>
        </w:rPr>
        <w:t>Revised revenue proposal</w:t>
      </w:r>
      <w:r w:rsidRPr="00E9192F">
        <w:t>, 21 September 2016, p. 120.</w:t>
      </w:r>
    </w:p>
  </w:footnote>
  <w:footnote w:id="173">
    <w:p w:rsidR="003042CF" w:rsidRDefault="003042CF" w:rsidP="008F14FD">
      <w:pPr>
        <w:pStyle w:val="FootnoteText"/>
      </w:pPr>
      <w:r>
        <w:rPr>
          <w:rStyle w:val="FootnoteReference"/>
        </w:rPr>
        <w:footnoteRef/>
      </w:r>
      <w:r>
        <w:t xml:space="preserve"> </w:t>
      </w:r>
      <w:r>
        <w:tab/>
      </w:r>
      <w:r w:rsidRPr="00D97156">
        <w:rPr>
          <w:i/>
        </w:rPr>
        <w:t>Re PIAC and Ausgrid</w:t>
      </w:r>
      <w:r w:rsidRPr="00D97156">
        <w:t xml:space="preserve"> [2016] ACompT 1 at [603]</w:t>
      </w:r>
      <w:r>
        <w:t xml:space="preserve">; see also AER, </w:t>
      </w:r>
      <w:r w:rsidRPr="00CF592F">
        <w:rPr>
          <w:rStyle w:val="AERtextitalic"/>
        </w:rPr>
        <w:t>Ex</w:t>
      </w:r>
      <w:r w:rsidRPr="0046280B">
        <w:rPr>
          <w:rStyle w:val="Emphasis"/>
        </w:rPr>
        <w:t>planatory statement</w:t>
      </w:r>
      <w:r>
        <w:rPr>
          <w:rStyle w:val="Emphasis"/>
        </w:rPr>
        <w:t>–e</w:t>
      </w:r>
      <w:r w:rsidRPr="0046280B">
        <w:rPr>
          <w:rStyle w:val="Emphasis"/>
        </w:rPr>
        <w:t>xpenditur</w:t>
      </w:r>
      <w:r>
        <w:rPr>
          <w:rStyle w:val="Emphasis"/>
        </w:rPr>
        <w:t>e forecast assessment guideline</w:t>
      </w:r>
      <w:r>
        <w:t>, November 2013, p. 62.</w:t>
      </w:r>
    </w:p>
  </w:footnote>
  <w:footnote w:id="174">
    <w:p w:rsidR="003042CF" w:rsidRPr="00E9192F" w:rsidRDefault="003042CF" w:rsidP="008F14FD">
      <w:pPr>
        <w:pStyle w:val="FootnoteText"/>
      </w:pPr>
      <w:r>
        <w:rPr>
          <w:rStyle w:val="FootnoteReference"/>
        </w:rPr>
        <w:footnoteRef/>
      </w:r>
      <w:r>
        <w:t xml:space="preserve"> </w:t>
      </w:r>
      <w:r>
        <w:tab/>
      </w:r>
      <w:r w:rsidRPr="00E9192F">
        <w:t xml:space="preserve">AusNet Services, </w:t>
      </w:r>
      <w:r w:rsidRPr="00E9192F">
        <w:rPr>
          <w:rStyle w:val="AERtextitalic"/>
        </w:rPr>
        <w:t>Revised revenue proposal</w:t>
      </w:r>
      <w:r w:rsidRPr="00E9192F">
        <w:t>, 21 September 2016, p. 119.</w:t>
      </w:r>
    </w:p>
    <w:p w:rsidR="003042CF" w:rsidRDefault="003042CF" w:rsidP="008F14FD">
      <w:pPr>
        <w:pStyle w:val="FootnoteText"/>
      </w:pPr>
    </w:p>
  </w:footnote>
  <w:footnote w:id="175">
    <w:p w:rsidR="003042CF" w:rsidRDefault="003042CF" w:rsidP="00826089">
      <w:pPr>
        <w:pStyle w:val="FootnoteText"/>
      </w:pPr>
      <w:r>
        <w:rPr>
          <w:rStyle w:val="FootnoteReference"/>
        </w:rPr>
        <w:footnoteRef/>
      </w:r>
      <w:r>
        <w:t xml:space="preserve"> </w:t>
      </w:r>
      <w:r>
        <w:tab/>
      </w:r>
      <w:r w:rsidRPr="00434770">
        <w:t xml:space="preserve">AEMC, </w:t>
      </w:r>
      <w:r w:rsidRPr="00826089">
        <w:rPr>
          <w:rStyle w:val="AERtextitalic"/>
        </w:rPr>
        <w:t>Economic Regulation of Network Service Providers, and Price and Revenue Regulation of Gas Services, Final Position Paper</w:t>
      </w:r>
      <w:r w:rsidRPr="00434770">
        <w:t>, 29 November 2012, p. 113.</w:t>
      </w:r>
    </w:p>
  </w:footnote>
  <w:footnote w:id="176">
    <w:p w:rsidR="003042CF" w:rsidRDefault="003042CF">
      <w:pPr>
        <w:pStyle w:val="FootnoteText"/>
      </w:pPr>
      <w:r>
        <w:rPr>
          <w:rStyle w:val="FootnoteReference"/>
        </w:rPr>
        <w:footnoteRef/>
      </w:r>
      <w:r>
        <w:t xml:space="preserve"> </w:t>
      </w:r>
      <w:r>
        <w:tab/>
      </w:r>
      <w:proofErr w:type="gramStart"/>
      <w:r w:rsidRPr="006F7722">
        <w:t xml:space="preserve">AEMC, </w:t>
      </w:r>
      <w:r w:rsidRPr="00826089">
        <w:rPr>
          <w:rStyle w:val="AERtextitalic"/>
        </w:rPr>
        <w:t>Economic Regulation of Network Service Providers, and Price and Revenue Regulation of Gas Services, Final Position Paper</w:t>
      </w:r>
      <w:r w:rsidRPr="00434770">
        <w:t>,</w:t>
      </w:r>
      <w:r w:rsidRPr="006F7722">
        <w:t xml:space="preserve"> 29 November 2012, pp. 101</w:t>
      </w:r>
      <w:r>
        <w:t xml:space="preserve"> and</w:t>
      </w:r>
      <w:r w:rsidRPr="006F7722">
        <w:t xml:space="preserve"> 115.</w:t>
      </w:r>
      <w:proofErr w:type="gramEnd"/>
    </w:p>
  </w:footnote>
  <w:footnote w:id="177">
    <w:p w:rsidR="003042CF" w:rsidRDefault="003042CF">
      <w:pPr>
        <w:pStyle w:val="FootnoteText"/>
      </w:pPr>
      <w:r>
        <w:rPr>
          <w:rStyle w:val="FootnoteReference"/>
        </w:rPr>
        <w:footnoteRef/>
      </w:r>
      <w:r>
        <w:t xml:space="preserve"> </w:t>
      </w:r>
      <w:r>
        <w:tab/>
        <w:t>CCP5</w:t>
      </w:r>
      <w:r w:rsidRPr="006F7722">
        <w:t>,</w:t>
      </w:r>
      <w:r w:rsidRPr="00826089">
        <w:rPr>
          <w:rStyle w:val="Emphasis"/>
        </w:rPr>
        <w:t xml:space="preserve"> </w:t>
      </w:r>
      <w:r w:rsidRPr="00A264A4">
        <w:rPr>
          <w:rStyle w:val="Emphasis"/>
        </w:rPr>
        <w:t xml:space="preserve">Submission in response to AusNet Services' 2017–22 revised revenue </w:t>
      </w:r>
      <w:proofErr w:type="gramStart"/>
      <w:r w:rsidRPr="00A264A4">
        <w:rPr>
          <w:rStyle w:val="Emphasis"/>
        </w:rPr>
        <w:t>proposal</w:t>
      </w:r>
      <w:proofErr w:type="gramEnd"/>
      <w:r w:rsidRPr="006F7722">
        <w:t>, October 2016</w:t>
      </w:r>
      <w:r>
        <w:t>, p. 37</w:t>
      </w:r>
      <w:r w:rsidRPr="006F77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DB6C7CEA"/>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3"/>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1"/>
  </w:num>
  <w:num w:numId="25">
    <w:abstractNumId w:val="34"/>
  </w:num>
  <w:num w:numId="26">
    <w:abstractNumId w:val="36"/>
  </w:num>
  <w:num w:numId="27">
    <w:abstractNumId w:val="22"/>
  </w:num>
  <w:num w:numId="28">
    <w:abstractNumId w:val="20"/>
  </w:num>
  <w:num w:numId="29">
    <w:abstractNumId w:val="18"/>
  </w:num>
  <w:num w:numId="30">
    <w:abstractNumId w:val="40"/>
  </w:num>
  <w:num w:numId="31">
    <w:abstractNumId w:val="16"/>
  </w:num>
  <w:num w:numId="32">
    <w:abstractNumId w:val="27"/>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4"/>
  </w:num>
  <w:num w:numId="46">
    <w:abstractNumId w:val="9"/>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7 - operating expenditure - april 2 (AER2016-000060).docx"/>
  </w:docVars>
  <w:rsids>
    <w:rsidRoot w:val="00961A4A"/>
    <w:rsid w:val="000000E1"/>
    <w:rsid w:val="00000C32"/>
    <w:rsid w:val="000028A1"/>
    <w:rsid w:val="000035FC"/>
    <w:rsid w:val="00003E04"/>
    <w:rsid w:val="00004C2D"/>
    <w:rsid w:val="00005540"/>
    <w:rsid w:val="00010E9B"/>
    <w:rsid w:val="00011A33"/>
    <w:rsid w:val="00012A1A"/>
    <w:rsid w:val="00012CA0"/>
    <w:rsid w:val="00013088"/>
    <w:rsid w:val="00013266"/>
    <w:rsid w:val="00014185"/>
    <w:rsid w:val="00014FD9"/>
    <w:rsid w:val="00016894"/>
    <w:rsid w:val="00016B47"/>
    <w:rsid w:val="000177EF"/>
    <w:rsid w:val="000202C6"/>
    <w:rsid w:val="00020748"/>
    <w:rsid w:val="00021202"/>
    <w:rsid w:val="00021C2B"/>
    <w:rsid w:val="00022970"/>
    <w:rsid w:val="00023ADE"/>
    <w:rsid w:val="00024032"/>
    <w:rsid w:val="0002517F"/>
    <w:rsid w:val="000304FF"/>
    <w:rsid w:val="0003138B"/>
    <w:rsid w:val="00032CD1"/>
    <w:rsid w:val="0003578C"/>
    <w:rsid w:val="000361F6"/>
    <w:rsid w:val="000374D6"/>
    <w:rsid w:val="00037AAC"/>
    <w:rsid w:val="00037D3C"/>
    <w:rsid w:val="00041B59"/>
    <w:rsid w:val="00041E27"/>
    <w:rsid w:val="00042EB1"/>
    <w:rsid w:val="0004307E"/>
    <w:rsid w:val="00043517"/>
    <w:rsid w:val="000435CC"/>
    <w:rsid w:val="00043A74"/>
    <w:rsid w:val="000477DD"/>
    <w:rsid w:val="00047EFB"/>
    <w:rsid w:val="00050E19"/>
    <w:rsid w:val="0005162A"/>
    <w:rsid w:val="000537FE"/>
    <w:rsid w:val="00053DC6"/>
    <w:rsid w:val="00053EEF"/>
    <w:rsid w:val="0005489B"/>
    <w:rsid w:val="00054DBD"/>
    <w:rsid w:val="00054E93"/>
    <w:rsid w:val="0005574E"/>
    <w:rsid w:val="00056F69"/>
    <w:rsid w:val="00060D52"/>
    <w:rsid w:val="00063247"/>
    <w:rsid w:val="000646AA"/>
    <w:rsid w:val="000646F7"/>
    <w:rsid w:val="00065D2F"/>
    <w:rsid w:val="00065FC1"/>
    <w:rsid w:val="00066A36"/>
    <w:rsid w:val="000706B3"/>
    <w:rsid w:val="00070913"/>
    <w:rsid w:val="00070F9F"/>
    <w:rsid w:val="0007137B"/>
    <w:rsid w:val="00071B4F"/>
    <w:rsid w:val="00072C13"/>
    <w:rsid w:val="000736B7"/>
    <w:rsid w:val="000755A3"/>
    <w:rsid w:val="0007575A"/>
    <w:rsid w:val="00075D18"/>
    <w:rsid w:val="00077389"/>
    <w:rsid w:val="00077983"/>
    <w:rsid w:val="00082BE7"/>
    <w:rsid w:val="00085200"/>
    <w:rsid w:val="00085663"/>
    <w:rsid w:val="00085EBF"/>
    <w:rsid w:val="000860A4"/>
    <w:rsid w:val="000861A0"/>
    <w:rsid w:val="00086871"/>
    <w:rsid w:val="00086899"/>
    <w:rsid w:val="00086FC9"/>
    <w:rsid w:val="00087ABB"/>
    <w:rsid w:val="0009125F"/>
    <w:rsid w:val="000923E1"/>
    <w:rsid w:val="0009258D"/>
    <w:rsid w:val="0009307A"/>
    <w:rsid w:val="00093846"/>
    <w:rsid w:val="00095C99"/>
    <w:rsid w:val="000962E9"/>
    <w:rsid w:val="000963AF"/>
    <w:rsid w:val="000A0B54"/>
    <w:rsid w:val="000A3020"/>
    <w:rsid w:val="000A315C"/>
    <w:rsid w:val="000A4540"/>
    <w:rsid w:val="000A469A"/>
    <w:rsid w:val="000A4DFE"/>
    <w:rsid w:val="000A591F"/>
    <w:rsid w:val="000A5ED6"/>
    <w:rsid w:val="000A681A"/>
    <w:rsid w:val="000A6C7B"/>
    <w:rsid w:val="000A73F0"/>
    <w:rsid w:val="000A7564"/>
    <w:rsid w:val="000B1927"/>
    <w:rsid w:val="000B321F"/>
    <w:rsid w:val="000B34F1"/>
    <w:rsid w:val="000B4D65"/>
    <w:rsid w:val="000B5EDE"/>
    <w:rsid w:val="000B7C14"/>
    <w:rsid w:val="000C21C3"/>
    <w:rsid w:val="000C23B3"/>
    <w:rsid w:val="000C2B40"/>
    <w:rsid w:val="000C3831"/>
    <w:rsid w:val="000C3B8A"/>
    <w:rsid w:val="000C508A"/>
    <w:rsid w:val="000C50A0"/>
    <w:rsid w:val="000C60BB"/>
    <w:rsid w:val="000C66B1"/>
    <w:rsid w:val="000D0243"/>
    <w:rsid w:val="000D1085"/>
    <w:rsid w:val="000D10D2"/>
    <w:rsid w:val="000D122C"/>
    <w:rsid w:val="000D30F5"/>
    <w:rsid w:val="000D3646"/>
    <w:rsid w:val="000D3DF0"/>
    <w:rsid w:val="000D49FA"/>
    <w:rsid w:val="000D53C2"/>
    <w:rsid w:val="000E0117"/>
    <w:rsid w:val="000E0609"/>
    <w:rsid w:val="000E129E"/>
    <w:rsid w:val="000E1348"/>
    <w:rsid w:val="000E14D9"/>
    <w:rsid w:val="000E1819"/>
    <w:rsid w:val="000E1A33"/>
    <w:rsid w:val="000E3A24"/>
    <w:rsid w:val="000E3E37"/>
    <w:rsid w:val="000E4821"/>
    <w:rsid w:val="000E6C72"/>
    <w:rsid w:val="000F0C0F"/>
    <w:rsid w:val="000F2ABC"/>
    <w:rsid w:val="000F2FD4"/>
    <w:rsid w:val="000F3D48"/>
    <w:rsid w:val="000F3F04"/>
    <w:rsid w:val="000F4077"/>
    <w:rsid w:val="000F49B2"/>
    <w:rsid w:val="000F6745"/>
    <w:rsid w:val="000F77FE"/>
    <w:rsid w:val="000F7817"/>
    <w:rsid w:val="0010150A"/>
    <w:rsid w:val="00102A6B"/>
    <w:rsid w:val="001031E4"/>
    <w:rsid w:val="00104A6F"/>
    <w:rsid w:val="001066DF"/>
    <w:rsid w:val="00110040"/>
    <w:rsid w:val="001105BE"/>
    <w:rsid w:val="00110641"/>
    <w:rsid w:val="001113FC"/>
    <w:rsid w:val="0011233A"/>
    <w:rsid w:val="00112EB7"/>
    <w:rsid w:val="0011498D"/>
    <w:rsid w:val="0011674B"/>
    <w:rsid w:val="00116EB2"/>
    <w:rsid w:val="00117779"/>
    <w:rsid w:val="001177D3"/>
    <w:rsid w:val="001203C4"/>
    <w:rsid w:val="00120FCF"/>
    <w:rsid w:val="00121931"/>
    <w:rsid w:val="00124018"/>
    <w:rsid w:val="001242C3"/>
    <w:rsid w:val="00124508"/>
    <w:rsid w:val="00124609"/>
    <w:rsid w:val="001247C9"/>
    <w:rsid w:val="00124805"/>
    <w:rsid w:val="00124E71"/>
    <w:rsid w:val="001252F9"/>
    <w:rsid w:val="001263C4"/>
    <w:rsid w:val="00126520"/>
    <w:rsid w:val="00126A4C"/>
    <w:rsid w:val="001273D2"/>
    <w:rsid w:val="001305CE"/>
    <w:rsid w:val="00130B24"/>
    <w:rsid w:val="001321F2"/>
    <w:rsid w:val="001326C4"/>
    <w:rsid w:val="00133915"/>
    <w:rsid w:val="00134A67"/>
    <w:rsid w:val="00134CC8"/>
    <w:rsid w:val="00137C45"/>
    <w:rsid w:val="00137DAA"/>
    <w:rsid w:val="00140F6B"/>
    <w:rsid w:val="0014175A"/>
    <w:rsid w:val="00143915"/>
    <w:rsid w:val="00143F6C"/>
    <w:rsid w:val="001443CA"/>
    <w:rsid w:val="001444DD"/>
    <w:rsid w:val="00144593"/>
    <w:rsid w:val="00144DD6"/>
    <w:rsid w:val="0014573B"/>
    <w:rsid w:val="00146021"/>
    <w:rsid w:val="00150ECD"/>
    <w:rsid w:val="0015116A"/>
    <w:rsid w:val="00151418"/>
    <w:rsid w:val="00151423"/>
    <w:rsid w:val="0015261D"/>
    <w:rsid w:val="0015278B"/>
    <w:rsid w:val="0015569D"/>
    <w:rsid w:val="0015674E"/>
    <w:rsid w:val="00156B90"/>
    <w:rsid w:val="00157088"/>
    <w:rsid w:val="00157197"/>
    <w:rsid w:val="001573E4"/>
    <w:rsid w:val="00157E82"/>
    <w:rsid w:val="00160756"/>
    <w:rsid w:val="00160E81"/>
    <w:rsid w:val="0016210A"/>
    <w:rsid w:val="001637BF"/>
    <w:rsid w:val="00165833"/>
    <w:rsid w:val="00167237"/>
    <w:rsid w:val="001705E1"/>
    <w:rsid w:val="00171082"/>
    <w:rsid w:val="001713ED"/>
    <w:rsid w:val="0017232E"/>
    <w:rsid w:val="00172A2D"/>
    <w:rsid w:val="001736A1"/>
    <w:rsid w:val="00174102"/>
    <w:rsid w:val="00174629"/>
    <w:rsid w:val="00174D9B"/>
    <w:rsid w:val="00175297"/>
    <w:rsid w:val="001754EE"/>
    <w:rsid w:val="00176A63"/>
    <w:rsid w:val="00180157"/>
    <w:rsid w:val="00181550"/>
    <w:rsid w:val="00183B95"/>
    <w:rsid w:val="00184F6E"/>
    <w:rsid w:val="00185B5D"/>
    <w:rsid w:val="00185C55"/>
    <w:rsid w:val="00185CB9"/>
    <w:rsid w:val="00186F77"/>
    <w:rsid w:val="001904DF"/>
    <w:rsid w:val="001921F2"/>
    <w:rsid w:val="001926A4"/>
    <w:rsid w:val="00192AD5"/>
    <w:rsid w:val="001967CF"/>
    <w:rsid w:val="00197F51"/>
    <w:rsid w:val="001A0825"/>
    <w:rsid w:val="001A29C5"/>
    <w:rsid w:val="001A2B76"/>
    <w:rsid w:val="001A3C19"/>
    <w:rsid w:val="001A42A7"/>
    <w:rsid w:val="001A42F0"/>
    <w:rsid w:val="001A4EF0"/>
    <w:rsid w:val="001A7084"/>
    <w:rsid w:val="001B0450"/>
    <w:rsid w:val="001B3025"/>
    <w:rsid w:val="001B45A0"/>
    <w:rsid w:val="001B5EA0"/>
    <w:rsid w:val="001B62E7"/>
    <w:rsid w:val="001B755A"/>
    <w:rsid w:val="001C0715"/>
    <w:rsid w:val="001C1068"/>
    <w:rsid w:val="001C1EC7"/>
    <w:rsid w:val="001C20CA"/>
    <w:rsid w:val="001C2BFF"/>
    <w:rsid w:val="001C4315"/>
    <w:rsid w:val="001C5900"/>
    <w:rsid w:val="001C7FC0"/>
    <w:rsid w:val="001D055E"/>
    <w:rsid w:val="001D528C"/>
    <w:rsid w:val="001D66AB"/>
    <w:rsid w:val="001D772D"/>
    <w:rsid w:val="001E1BA6"/>
    <w:rsid w:val="001E510E"/>
    <w:rsid w:val="001E6329"/>
    <w:rsid w:val="001F0026"/>
    <w:rsid w:val="001F39FC"/>
    <w:rsid w:val="001F492E"/>
    <w:rsid w:val="001F4B1A"/>
    <w:rsid w:val="001F4D45"/>
    <w:rsid w:val="001F5E31"/>
    <w:rsid w:val="001F6DA3"/>
    <w:rsid w:val="001F75B1"/>
    <w:rsid w:val="002010BC"/>
    <w:rsid w:val="002011BB"/>
    <w:rsid w:val="002016E7"/>
    <w:rsid w:val="00201AC3"/>
    <w:rsid w:val="00201C9E"/>
    <w:rsid w:val="00202E03"/>
    <w:rsid w:val="00203881"/>
    <w:rsid w:val="0020492C"/>
    <w:rsid w:val="00205DA3"/>
    <w:rsid w:val="00206617"/>
    <w:rsid w:val="00206622"/>
    <w:rsid w:val="00210BC8"/>
    <w:rsid w:val="00211472"/>
    <w:rsid w:val="00214262"/>
    <w:rsid w:val="00214373"/>
    <w:rsid w:val="00214D3B"/>
    <w:rsid w:val="00215270"/>
    <w:rsid w:val="002156C2"/>
    <w:rsid w:val="002164BE"/>
    <w:rsid w:val="0021768B"/>
    <w:rsid w:val="00217F1A"/>
    <w:rsid w:val="00220095"/>
    <w:rsid w:val="002204F1"/>
    <w:rsid w:val="00221E8C"/>
    <w:rsid w:val="00222287"/>
    <w:rsid w:val="00223E78"/>
    <w:rsid w:val="00224459"/>
    <w:rsid w:val="00224DB9"/>
    <w:rsid w:val="002304D5"/>
    <w:rsid w:val="0023141A"/>
    <w:rsid w:val="0023232A"/>
    <w:rsid w:val="00233775"/>
    <w:rsid w:val="00235FD6"/>
    <w:rsid w:val="00237C96"/>
    <w:rsid w:val="002417F0"/>
    <w:rsid w:val="00241D70"/>
    <w:rsid w:val="00242840"/>
    <w:rsid w:val="00243329"/>
    <w:rsid w:val="0024385A"/>
    <w:rsid w:val="00245730"/>
    <w:rsid w:val="00245A70"/>
    <w:rsid w:val="0024614B"/>
    <w:rsid w:val="00250AD7"/>
    <w:rsid w:val="00251745"/>
    <w:rsid w:val="00252676"/>
    <w:rsid w:val="002527B4"/>
    <w:rsid w:val="00252A94"/>
    <w:rsid w:val="00254DA8"/>
    <w:rsid w:val="002558C4"/>
    <w:rsid w:val="00255AB5"/>
    <w:rsid w:val="00255B07"/>
    <w:rsid w:val="00261717"/>
    <w:rsid w:val="00263AC0"/>
    <w:rsid w:val="00264264"/>
    <w:rsid w:val="00265498"/>
    <w:rsid w:val="00265FC0"/>
    <w:rsid w:val="00266984"/>
    <w:rsid w:val="0026772D"/>
    <w:rsid w:val="00267949"/>
    <w:rsid w:val="002750F8"/>
    <w:rsid w:val="00276745"/>
    <w:rsid w:val="00276E7C"/>
    <w:rsid w:val="00277264"/>
    <w:rsid w:val="0027794A"/>
    <w:rsid w:val="00280919"/>
    <w:rsid w:val="0028091A"/>
    <w:rsid w:val="0028150F"/>
    <w:rsid w:val="002823EE"/>
    <w:rsid w:val="00284528"/>
    <w:rsid w:val="0028461B"/>
    <w:rsid w:val="00284B61"/>
    <w:rsid w:val="0028505F"/>
    <w:rsid w:val="00285449"/>
    <w:rsid w:val="00286874"/>
    <w:rsid w:val="002869A0"/>
    <w:rsid w:val="00286D64"/>
    <w:rsid w:val="00287395"/>
    <w:rsid w:val="002876B3"/>
    <w:rsid w:val="00287C76"/>
    <w:rsid w:val="00287CB6"/>
    <w:rsid w:val="0029036F"/>
    <w:rsid w:val="00290C63"/>
    <w:rsid w:val="0029324E"/>
    <w:rsid w:val="00293ECB"/>
    <w:rsid w:val="00293FCC"/>
    <w:rsid w:val="00294078"/>
    <w:rsid w:val="002942BA"/>
    <w:rsid w:val="002946A0"/>
    <w:rsid w:val="0029493B"/>
    <w:rsid w:val="00296586"/>
    <w:rsid w:val="00296B65"/>
    <w:rsid w:val="00297C2E"/>
    <w:rsid w:val="002A04B6"/>
    <w:rsid w:val="002A0898"/>
    <w:rsid w:val="002A0AAD"/>
    <w:rsid w:val="002A0C23"/>
    <w:rsid w:val="002A0D86"/>
    <w:rsid w:val="002A1658"/>
    <w:rsid w:val="002A1781"/>
    <w:rsid w:val="002A222B"/>
    <w:rsid w:val="002A30BC"/>
    <w:rsid w:val="002A3C3D"/>
    <w:rsid w:val="002A4875"/>
    <w:rsid w:val="002A51C3"/>
    <w:rsid w:val="002A59AE"/>
    <w:rsid w:val="002A7DEF"/>
    <w:rsid w:val="002B0813"/>
    <w:rsid w:val="002B3F7A"/>
    <w:rsid w:val="002B4C32"/>
    <w:rsid w:val="002B506E"/>
    <w:rsid w:val="002B6803"/>
    <w:rsid w:val="002B76C4"/>
    <w:rsid w:val="002C233C"/>
    <w:rsid w:val="002C4375"/>
    <w:rsid w:val="002C4AF1"/>
    <w:rsid w:val="002C61F1"/>
    <w:rsid w:val="002C689F"/>
    <w:rsid w:val="002C6E42"/>
    <w:rsid w:val="002D0006"/>
    <w:rsid w:val="002D2BAF"/>
    <w:rsid w:val="002D4383"/>
    <w:rsid w:val="002D5734"/>
    <w:rsid w:val="002D72E8"/>
    <w:rsid w:val="002E0AC9"/>
    <w:rsid w:val="002E269A"/>
    <w:rsid w:val="002E3555"/>
    <w:rsid w:val="002E38FB"/>
    <w:rsid w:val="002E59B4"/>
    <w:rsid w:val="002E68E2"/>
    <w:rsid w:val="002E767F"/>
    <w:rsid w:val="002E7A54"/>
    <w:rsid w:val="002E7B22"/>
    <w:rsid w:val="002F1940"/>
    <w:rsid w:val="002F2320"/>
    <w:rsid w:val="002F3016"/>
    <w:rsid w:val="002F3080"/>
    <w:rsid w:val="002F3A22"/>
    <w:rsid w:val="002F4940"/>
    <w:rsid w:val="002F58DC"/>
    <w:rsid w:val="002F6E58"/>
    <w:rsid w:val="002F7986"/>
    <w:rsid w:val="002F7E50"/>
    <w:rsid w:val="00300887"/>
    <w:rsid w:val="00301B40"/>
    <w:rsid w:val="00302241"/>
    <w:rsid w:val="003029EE"/>
    <w:rsid w:val="003042CF"/>
    <w:rsid w:val="00304A3D"/>
    <w:rsid w:val="00305A27"/>
    <w:rsid w:val="00305CC8"/>
    <w:rsid w:val="00306455"/>
    <w:rsid w:val="00307DCE"/>
    <w:rsid w:val="00307F6D"/>
    <w:rsid w:val="003151B3"/>
    <w:rsid w:val="00315261"/>
    <w:rsid w:val="00316979"/>
    <w:rsid w:val="0031711D"/>
    <w:rsid w:val="003177A2"/>
    <w:rsid w:val="00317C21"/>
    <w:rsid w:val="003211E5"/>
    <w:rsid w:val="003227ED"/>
    <w:rsid w:val="003232B4"/>
    <w:rsid w:val="003241CE"/>
    <w:rsid w:val="0032425C"/>
    <w:rsid w:val="00324A99"/>
    <w:rsid w:val="00324D40"/>
    <w:rsid w:val="00325425"/>
    <w:rsid w:val="00325861"/>
    <w:rsid w:val="00325A7E"/>
    <w:rsid w:val="00325BFD"/>
    <w:rsid w:val="00326E43"/>
    <w:rsid w:val="003271B5"/>
    <w:rsid w:val="00327413"/>
    <w:rsid w:val="00327A1E"/>
    <w:rsid w:val="00331264"/>
    <w:rsid w:val="00331796"/>
    <w:rsid w:val="003317B4"/>
    <w:rsid w:val="003318A2"/>
    <w:rsid w:val="00332F1D"/>
    <w:rsid w:val="003339A5"/>
    <w:rsid w:val="00333FC3"/>
    <w:rsid w:val="00334C8D"/>
    <w:rsid w:val="00334E75"/>
    <w:rsid w:val="00336CF0"/>
    <w:rsid w:val="0033750D"/>
    <w:rsid w:val="00340CA8"/>
    <w:rsid w:val="003410E6"/>
    <w:rsid w:val="00343A18"/>
    <w:rsid w:val="00343E29"/>
    <w:rsid w:val="003440C5"/>
    <w:rsid w:val="00344244"/>
    <w:rsid w:val="003450D2"/>
    <w:rsid w:val="0034523B"/>
    <w:rsid w:val="00345F18"/>
    <w:rsid w:val="003518B3"/>
    <w:rsid w:val="003526A7"/>
    <w:rsid w:val="0035271D"/>
    <w:rsid w:val="0035283A"/>
    <w:rsid w:val="00352B85"/>
    <w:rsid w:val="00352EC0"/>
    <w:rsid w:val="00353F10"/>
    <w:rsid w:val="0035737A"/>
    <w:rsid w:val="00360677"/>
    <w:rsid w:val="0036090B"/>
    <w:rsid w:val="00360CA8"/>
    <w:rsid w:val="00364499"/>
    <w:rsid w:val="00364AEB"/>
    <w:rsid w:val="00366710"/>
    <w:rsid w:val="00366AA1"/>
    <w:rsid w:val="003675C4"/>
    <w:rsid w:val="0037146D"/>
    <w:rsid w:val="0037354F"/>
    <w:rsid w:val="00374154"/>
    <w:rsid w:val="0037458F"/>
    <w:rsid w:val="003748CD"/>
    <w:rsid w:val="00375C60"/>
    <w:rsid w:val="00375CA0"/>
    <w:rsid w:val="00375D8E"/>
    <w:rsid w:val="00377332"/>
    <w:rsid w:val="00380797"/>
    <w:rsid w:val="0038325C"/>
    <w:rsid w:val="00383926"/>
    <w:rsid w:val="00383BED"/>
    <w:rsid w:val="00383ECA"/>
    <w:rsid w:val="003846F1"/>
    <w:rsid w:val="003847C7"/>
    <w:rsid w:val="0038514A"/>
    <w:rsid w:val="00385928"/>
    <w:rsid w:val="00386C89"/>
    <w:rsid w:val="003903F6"/>
    <w:rsid w:val="00390585"/>
    <w:rsid w:val="00390B61"/>
    <w:rsid w:val="00390F79"/>
    <w:rsid w:val="00394C90"/>
    <w:rsid w:val="0039529C"/>
    <w:rsid w:val="003968C8"/>
    <w:rsid w:val="003A0021"/>
    <w:rsid w:val="003A311A"/>
    <w:rsid w:val="003A3774"/>
    <w:rsid w:val="003A660D"/>
    <w:rsid w:val="003A6EE0"/>
    <w:rsid w:val="003A7F54"/>
    <w:rsid w:val="003B0B45"/>
    <w:rsid w:val="003B0C04"/>
    <w:rsid w:val="003B15BB"/>
    <w:rsid w:val="003B1D6A"/>
    <w:rsid w:val="003B44BB"/>
    <w:rsid w:val="003B484F"/>
    <w:rsid w:val="003B4A51"/>
    <w:rsid w:val="003B534D"/>
    <w:rsid w:val="003B6705"/>
    <w:rsid w:val="003B6F38"/>
    <w:rsid w:val="003B7FBA"/>
    <w:rsid w:val="003C0515"/>
    <w:rsid w:val="003C0A5A"/>
    <w:rsid w:val="003C2549"/>
    <w:rsid w:val="003C303F"/>
    <w:rsid w:val="003C3138"/>
    <w:rsid w:val="003C3A9C"/>
    <w:rsid w:val="003C70C0"/>
    <w:rsid w:val="003C777F"/>
    <w:rsid w:val="003D07EA"/>
    <w:rsid w:val="003D2EDF"/>
    <w:rsid w:val="003D5B27"/>
    <w:rsid w:val="003D68CE"/>
    <w:rsid w:val="003D69A5"/>
    <w:rsid w:val="003E1AD8"/>
    <w:rsid w:val="003E46FF"/>
    <w:rsid w:val="003E68C7"/>
    <w:rsid w:val="003E7312"/>
    <w:rsid w:val="003F174D"/>
    <w:rsid w:val="003F2642"/>
    <w:rsid w:val="003F302F"/>
    <w:rsid w:val="003F3FE6"/>
    <w:rsid w:val="003F42E3"/>
    <w:rsid w:val="003F511C"/>
    <w:rsid w:val="003F6C9F"/>
    <w:rsid w:val="00400514"/>
    <w:rsid w:val="00402B03"/>
    <w:rsid w:val="00402C0C"/>
    <w:rsid w:val="00405786"/>
    <w:rsid w:val="004062E7"/>
    <w:rsid w:val="00406895"/>
    <w:rsid w:val="0041083B"/>
    <w:rsid w:val="00410A3A"/>
    <w:rsid w:val="0041299A"/>
    <w:rsid w:val="00412C7A"/>
    <w:rsid w:val="00413358"/>
    <w:rsid w:val="00413A9A"/>
    <w:rsid w:val="004158EC"/>
    <w:rsid w:val="00415F31"/>
    <w:rsid w:val="00420088"/>
    <w:rsid w:val="00421A0D"/>
    <w:rsid w:val="00421C8F"/>
    <w:rsid w:val="00422011"/>
    <w:rsid w:val="0042306D"/>
    <w:rsid w:val="00423A77"/>
    <w:rsid w:val="00424B6C"/>
    <w:rsid w:val="0042653A"/>
    <w:rsid w:val="00427055"/>
    <w:rsid w:val="004276AF"/>
    <w:rsid w:val="00430022"/>
    <w:rsid w:val="00430128"/>
    <w:rsid w:val="004311DE"/>
    <w:rsid w:val="00431C7A"/>
    <w:rsid w:val="004321B4"/>
    <w:rsid w:val="00434770"/>
    <w:rsid w:val="004354AF"/>
    <w:rsid w:val="004412FB"/>
    <w:rsid w:val="004427A3"/>
    <w:rsid w:val="00442B89"/>
    <w:rsid w:val="00444FEA"/>
    <w:rsid w:val="004463C5"/>
    <w:rsid w:val="00446960"/>
    <w:rsid w:val="00451372"/>
    <w:rsid w:val="00452943"/>
    <w:rsid w:val="00455A53"/>
    <w:rsid w:val="00456AB5"/>
    <w:rsid w:val="0045777E"/>
    <w:rsid w:val="004578C1"/>
    <w:rsid w:val="00457D37"/>
    <w:rsid w:val="00457DBF"/>
    <w:rsid w:val="0046112A"/>
    <w:rsid w:val="0046123A"/>
    <w:rsid w:val="0046280B"/>
    <w:rsid w:val="004631F6"/>
    <w:rsid w:val="00464C81"/>
    <w:rsid w:val="00472507"/>
    <w:rsid w:val="00472729"/>
    <w:rsid w:val="004728AB"/>
    <w:rsid w:val="0047419D"/>
    <w:rsid w:val="00475A41"/>
    <w:rsid w:val="004768A3"/>
    <w:rsid w:val="00476C05"/>
    <w:rsid w:val="00477935"/>
    <w:rsid w:val="00480136"/>
    <w:rsid w:val="004805EC"/>
    <w:rsid w:val="00480B4B"/>
    <w:rsid w:val="00481DD0"/>
    <w:rsid w:val="00481EA0"/>
    <w:rsid w:val="00481FBF"/>
    <w:rsid w:val="00482EF2"/>
    <w:rsid w:val="004838AE"/>
    <w:rsid w:val="004838C8"/>
    <w:rsid w:val="00483D5B"/>
    <w:rsid w:val="0048417A"/>
    <w:rsid w:val="00484FC7"/>
    <w:rsid w:val="00485DC4"/>
    <w:rsid w:val="00486114"/>
    <w:rsid w:val="004864F8"/>
    <w:rsid w:val="00487D89"/>
    <w:rsid w:val="004900A3"/>
    <w:rsid w:val="00490610"/>
    <w:rsid w:val="00490721"/>
    <w:rsid w:val="0049074E"/>
    <w:rsid w:val="004908ED"/>
    <w:rsid w:val="00491349"/>
    <w:rsid w:val="00491601"/>
    <w:rsid w:val="00492134"/>
    <w:rsid w:val="00492389"/>
    <w:rsid w:val="00492C8B"/>
    <w:rsid w:val="00493672"/>
    <w:rsid w:val="0049468D"/>
    <w:rsid w:val="00494696"/>
    <w:rsid w:val="00496684"/>
    <w:rsid w:val="004969DB"/>
    <w:rsid w:val="00497782"/>
    <w:rsid w:val="00497CFC"/>
    <w:rsid w:val="004A281F"/>
    <w:rsid w:val="004A43D1"/>
    <w:rsid w:val="004A4F25"/>
    <w:rsid w:val="004A5563"/>
    <w:rsid w:val="004A57DC"/>
    <w:rsid w:val="004A6CE3"/>
    <w:rsid w:val="004A7ADB"/>
    <w:rsid w:val="004B0B43"/>
    <w:rsid w:val="004B3412"/>
    <w:rsid w:val="004B4412"/>
    <w:rsid w:val="004B4773"/>
    <w:rsid w:val="004B4E9C"/>
    <w:rsid w:val="004B4F20"/>
    <w:rsid w:val="004B5F77"/>
    <w:rsid w:val="004B71B2"/>
    <w:rsid w:val="004C229D"/>
    <w:rsid w:val="004C2772"/>
    <w:rsid w:val="004C2F86"/>
    <w:rsid w:val="004C348C"/>
    <w:rsid w:val="004C3540"/>
    <w:rsid w:val="004C4146"/>
    <w:rsid w:val="004C545B"/>
    <w:rsid w:val="004C5A8E"/>
    <w:rsid w:val="004C5D94"/>
    <w:rsid w:val="004C5F9A"/>
    <w:rsid w:val="004C62D9"/>
    <w:rsid w:val="004C6B45"/>
    <w:rsid w:val="004D1321"/>
    <w:rsid w:val="004D4888"/>
    <w:rsid w:val="004D55BA"/>
    <w:rsid w:val="004D5F1A"/>
    <w:rsid w:val="004D629E"/>
    <w:rsid w:val="004D6CA3"/>
    <w:rsid w:val="004D6F5D"/>
    <w:rsid w:val="004D7091"/>
    <w:rsid w:val="004E062F"/>
    <w:rsid w:val="004E1F55"/>
    <w:rsid w:val="004E22B2"/>
    <w:rsid w:val="004E22EC"/>
    <w:rsid w:val="004E28B7"/>
    <w:rsid w:val="004E33A0"/>
    <w:rsid w:val="004E3932"/>
    <w:rsid w:val="004E4BC0"/>
    <w:rsid w:val="004E6C96"/>
    <w:rsid w:val="004E6F5C"/>
    <w:rsid w:val="004E7902"/>
    <w:rsid w:val="004E7AB6"/>
    <w:rsid w:val="004E7D26"/>
    <w:rsid w:val="004F0F39"/>
    <w:rsid w:val="004F0F99"/>
    <w:rsid w:val="004F21D6"/>
    <w:rsid w:val="004F2289"/>
    <w:rsid w:val="004F23E6"/>
    <w:rsid w:val="004F3794"/>
    <w:rsid w:val="004F46B1"/>
    <w:rsid w:val="004F52EA"/>
    <w:rsid w:val="004F5891"/>
    <w:rsid w:val="004F65E1"/>
    <w:rsid w:val="004F6A0E"/>
    <w:rsid w:val="004F6D0B"/>
    <w:rsid w:val="004F7B54"/>
    <w:rsid w:val="004F7E8F"/>
    <w:rsid w:val="005012FC"/>
    <w:rsid w:val="005014BE"/>
    <w:rsid w:val="00501D8C"/>
    <w:rsid w:val="005020F2"/>
    <w:rsid w:val="00503157"/>
    <w:rsid w:val="0050334A"/>
    <w:rsid w:val="005039F5"/>
    <w:rsid w:val="00504230"/>
    <w:rsid w:val="00504340"/>
    <w:rsid w:val="00504ED5"/>
    <w:rsid w:val="00506B73"/>
    <w:rsid w:val="00507917"/>
    <w:rsid w:val="00512828"/>
    <w:rsid w:val="00513E05"/>
    <w:rsid w:val="005146E4"/>
    <w:rsid w:val="00515113"/>
    <w:rsid w:val="00515A55"/>
    <w:rsid w:val="00515BC8"/>
    <w:rsid w:val="00517250"/>
    <w:rsid w:val="005173F5"/>
    <w:rsid w:val="00517ED5"/>
    <w:rsid w:val="0052210B"/>
    <w:rsid w:val="0052278A"/>
    <w:rsid w:val="005237AF"/>
    <w:rsid w:val="005266D0"/>
    <w:rsid w:val="00530128"/>
    <w:rsid w:val="00530D8E"/>
    <w:rsid w:val="00532467"/>
    <w:rsid w:val="005328BE"/>
    <w:rsid w:val="00532E0D"/>
    <w:rsid w:val="005334E0"/>
    <w:rsid w:val="005338B5"/>
    <w:rsid w:val="0053465B"/>
    <w:rsid w:val="00535677"/>
    <w:rsid w:val="00536E8B"/>
    <w:rsid w:val="00537CE0"/>
    <w:rsid w:val="00537F1D"/>
    <w:rsid w:val="00540328"/>
    <w:rsid w:val="00540418"/>
    <w:rsid w:val="00541267"/>
    <w:rsid w:val="00541543"/>
    <w:rsid w:val="00542ABA"/>
    <w:rsid w:val="00542C8E"/>
    <w:rsid w:val="00542CD2"/>
    <w:rsid w:val="00543025"/>
    <w:rsid w:val="00543467"/>
    <w:rsid w:val="005434C9"/>
    <w:rsid w:val="00544C12"/>
    <w:rsid w:val="00547E2D"/>
    <w:rsid w:val="00550422"/>
    <w:rsid w:val="00553342"/>
    <w:rsid w:val="00554013"/>
    <w:rsid w:val="00556D37"/>
    <w:rsid w:val="005570BB"/>
    <w:rsid w:val="005572AE"/>
    <w:rsid w:val="00560379"/>
    <w:rsid w:val="00560CFB"/>
    <w:rsid w:val="00561C26"/>
    <w:rsid w:val="00563180"/>
    <w:rsid w:val="00563362"/>
    <w:rsid w:val="00563D10"/>
    <w:rsid w:val="00564A4D"/>
    <w:rsid w:val="005656BE"/>
    <w:rsid w:val="00565F95"/>
    <w:rsid w:val="0056789B"/>
    <w:rsid w:val="00567BA5"/>
    <w:rsid w:val="005707B3"/>
    <w:rsid w:val="0057098E"/>
    <w:rsid w:val="00571026"/>
    <w:rsid w:val="00571B35"/>
    <w:rsid w:val="00571D57"/>
    <w:rsid w:val="00573B20"/>
    <w:rsid w:val="00573FC3"/>
    <w:rsid w:val="00574897"/>
    <w:rsid w:val="00574FB4"/>
    <w:rsid w:val="005761FF"/>
    <w:rsid w:val="00577939"/>
    <w:rsid w:val="00577A09"/>
    <w:rsid w:val="00580B19"/>
    <w:rsid w:val="00581BC8"/>
    <w:rsid w:val="0058266A"/>
    <w:rsid w:val="005829C2"/>
    <w:rsid w:val="00583871"/>
    <w:rsid w:val="00584D8F"/>
    <w:rsid w:val="00587369"/>
    <w:rsid w:val="0058798A"/>
    <w:rsid w:val="00591B7C"/>
    <w:rsid w:val="00591D1D"/>
    <w:rsid w:val="00591DED"/>
    <w:rsid w:val="00592953"/>
    <w:rsid w:val="00595A4C"/>
    <w:rsid w:val="005962F3"/>
    <w:rsid w:val="00596D7A"/>
    <w:rsid w:val="00597655"/>
    <w:rsid w:val="005A0059"/>
    <w:rsid w:val="005A2746"/>
    <w:rsid w:val="005A29C2"/>
    <w:rsid w:val="005A2E9E"/>
    <w:rsid w:val="005A3D40"/>
    <w:rsid w:val="005A404D"/>
    <w:rsid w:val="005A51F8"/>
    <w:rsid w:val="005A62C7"/>
    <w:rsid w:val="005B0390"/>
    <w:rsid w:val="005B0429"/>
    <w:rsid w:val="005B1E3C"/>
    <w:rsid w:val="005B32DD"/>
    <w:rsid w:val="005B39A7"/>
    <w:rsid w:val="005B4A0F"/>
    <w:rsid w:val="005B4D06"/>
    <w:rsid w:val="005B5E8D"/>
    <w:rsid w:val="005B704A"/>
    <w:rsid w:val="005B7C44"/>
    <w:rsid w:val="005C02C3"/>
    <w:rsid w:val="005C07C7"/>
    <w:rsid w:val="005C0C6F"/>
    <w:rsid w:val="005C26CC"/>
    <w:rsid w:val="005C297C"/>
    <w:rsid w:val="005C5015"/>
    <w:rsid w:val="005D0B65"/>
    <w:rsid w:val="005D11D7"/>
    <w:rsid w:val="005D14FF"/>
    <w:rsid w:val="005D1CA4"/>
    <w:rsid w:val="005D3300"/>
    <w:rsid w:val="005D3611"/>
    <w:rsid w:val="005D3958"/>
    <w:rsid w:val="005D3A70"/>
    <w:rsid w:val="005D4C2A"/>
    <w:rsid w:val="005D597E"/>
    <w:rsid w:val="005D6D78"/>
    <w:rsid w:val="005D7BA2"/>
    <w:rsid w:val="005E1C36"/>
    <w:rsid w:val="005E36C2"/>
    <w:rsid w:val="005E54F9"/>
    <w:rsid w:val="005E66E5"/>
    <w:rsid w:val="005E6B9E"/>
    <w:rsid w:val="005E773D"/>
    <w:rsid w:val="005E7A2C"/>
    <w:rsid w:val="005F04AC"/>
    <w:rsid w:val="005F0B96"/>
    <w:rsid w:val="005F117A"/>
    <w:rsid w:val="005F3169"/>
    <w:rsid w:val="005F3609"/>
    <w:rsid w:val="005F3A7A"/>
    <w:rsid w:val="005F3CA6"/>
    <w:rsid w:val="005F45DD"/>
    <w:rsid w:val="005F7196"/>
    <w:rsid w:val="005F7E50"/>
    <w:rsid w:val="006000C3"/>
    <w:rsid w:val="00602552"/>
    <w:rsid w:val="00602946"/>
    <w:rsid w:val="00602E65"/>
    <w:rsid w:val="00603AA0"/>
    <w:rsid w:val="00607D42"/>
    <w:rsid w:val="00607E24"/>
    <w:rsid w:val="00610521"/>
    <w:rsid w:val="00610BB8"/>
    <w:rsid w:val="00610F6B"/>
    <w:rsid w:val="00611ABB"/>
    <w:rsid w:val="00612F4F"/>
    <w:rsid w:val="00613ECB"/>
    <w:rsid w:val="006158E7"/>
    <w:rsid w:val="00615C6B"/>
    <w:rsid w:val="006162DA"/>
    <w:rsid w:val="006169A6"/>
    <w:rsid w:val="00621656"/>
    <w:rsid w:val="00621DCE"/>
    <w:rsid w:val="0062500D"/>
    <w:rsid w:val="00625AD0"/>
    <w:rsid w:val="00626CE3"/>
    <w:rsid w:val="00626FDC"/>
    <w:rsid w:val="00632814"/>
    <w:rsid w:val="006328A5"/>
    <w:rsid w:val="00632D6D"/>
    <w:rsid w:val="00633034"/>
    <w:rsid w:val="0063438C"/>
    <w:rsid w:val="00640A6C"/>
    <w:rsid w:val="00640D6A"/>
    <w:rsid w:val="0064121D"/>
    <w:rsid w:val="0064141A"/>
    <w:rsid w:val="0064257F"/>
    <w:rsid w:val="00642C3E"/>
    <w:rsid w:val="00643EDC"/>
    <w:rsid w:val="006454C8"/>
    <w:rsid w:val="006457CF"/>
    <w:rsid w:val="00645DBE"/>
    <w:rsid w:val="00647758"/>
    <w:rsid w:val="006505C1"/>
    <w:rsid w:val="00652D98"/>
    <w:rsid w:val="00652FB0"/>
    <w:rsid w:val="006537AA"/>
    <w:rsid w:val="00653EA4"/>
    <w:rsid w:val="0065402C"/>
    <w:rsid w:val="006553CA"/>
    <w:rsid w:val="00655AD2"/>
    <w:rsid w:val="00655B9E"/>
    <w:rsid w:val="00656DC7"/>
    <w:rsid w:val="0066053A"/>
    <w:rsid w:val="0066104A"/>
    <w:rsid w:val="00661E6D"/>
    <w:rsid w:val="00662F2C"/>
    <w:rsid w:val="00663DAD"/>
    <w:rsid w:val="00667234"/>
    <w:rsid w:val="006678EB"/>
    <w:rsid w:val="00671A9A"/>
    <w:rsid w:val="0067269D"/>
    <w:rsid w:val="00674A65"/>
    <w:rsid w:val="00675E20"/>
    <w:rsid w:val="00676679"/>
    <w:rsid w:val="00676EBD"/>
    <w:rsid w:val="00677B65"/>
    <w:rsid w:val="00681015"/>
    <w:rsid w:val="00681056"/>
    <w:rsid w:val="00681220"/>
    <w:rsid w:val="006814AC"/>
    <w:rsid w:val="00681A10"/>
    <w:rsid w:val="00682229"/>
    <w:rsid w:val="0068393E"/>
    <w:rsid w:val="00683AF0"/>
    <w:rsid w:val="00683C3F"/>
    <w:rsid w:val="00683C89"/>
    <w:rsid w:val="00686059"/>
    <w:rsid w:val="006868CC"/>
    <w:rsid w:val="00686AC1"/>
    <w:rsid w:val="00686E44"/>
    <w:rsid w:val="00687CCB"/>
    <w:rsid w:val="0069050C"/>
    <w:rsid w:val="00690EA6"/>
    <w:rsid w:val="00694F78"/>
    <w:rsid w:val="00695175"/>
    <w:rsid w:val="006953CB"/>
    <w:rsid w:val="00695FE3"/>
    <w:rsid w:val="00696DCE"/>
    <w:rsid w:val="006A06E4"/>
    <w:rsid w:val="006A08A8"/>
    <w:rsid w:val="006A1D4D"/>
    <w:rsid w:val="006A2A20"/>
    <w:rsid w:val="006A3D79"/>
    <w:rsid w:val="006A3EBD"/>
    <w:rsid w:val="006A4E51"/>
    <w:rsid w:val="006A5386"/>
    <w:rsid w:val="006A66BD"/>
    <w:rsid w:val="006A7482"/>
    <w:rsid w:val="006B1985"/>
    <w:rsid w:val="006B1DD0"/>
    <w:rsid w:val="006B2395"/>
    <w:rsid w:val="006B23B6"/>
    <w:rsid w:val="006B3071"/>
    <w:rsid w:val="006B3CBF"/>
    <w:rsid w:val="006B3D6B"/>
    <w:rsid w:val="006B4888"/>
    <w:rsid w:val="006B4CF9"/>
    <w:rsid w:val="006B4E89"/>
    <w:rsid w:val="006B5557"/>
    <w:rsid w:val="006B562B"/>
    <w:rsid w:val="006B6673"/>
    <w:rsid w:val="006B7AC8"/>
    <w:rsid w:val="006C1736"/>
    <w:rsid w:val="006C3007"/>
    <w:rsid w:val="006C3049"/>
    <w:rsid w:val="006C3F08"/>
    <w:rsid w:val="006C50FA"/>
    <w:rsid w:val="006C522C"/>
    <w:rsid w:val="006C5824"/>
    <w:rsid w:val="006C6F02"/>
    <w:rsid w:val="006D2129"/>
    <w:rsid w:val="006D230C"/>
    <w:rsid w:val="006D43BB"/>
    <w:rsid w:val="006D4E58"/>
    <w:rsid w:val="006D5008"/>
    <w:rsid w:val="006D550F"/>
    <w:rsid w:val="006E2497"/>
    <w:rsid w:val="006E2CB8"/>
    <w:rsid w:val="006E3664"/>
    <w:rsid w:val="006E4439"/>
    <w:rsid w:val="006E62E0"/>
    <w:rsid w:val="006E6488"/>
    <w:rsid w:val="006E6BC6"/>
    <w:rsid w:val="006E7070"/>
    <w:rsid w:val="006E71CD"/>
    <w:rsid w:val="006F06EA"/>
    <w:rsid w:val="006F0D60"/>
    <w:rsid w:val="006F3545"/>
    <w:rsid w:val="006F42A5"/>
    <w:rsid w:val="006F469F"/>
    <w:rsid w:val="006F50EE"/>
    <w:rsid w:val="006F59A8"/>
    <w:rsid w:val="006F69D3"/>
    <w:rsid w:val="006F7722"/>
    <w:rsid w:val="006F7D19"/>
    <w:rsid w:val="00700CE7"/>
    <w:rsid w:val="007016B4"/>
    <w:rsid w:val="00701CAB"/>
    <w:rsid w:val="007046C4"/>
    <w:rsid w:val="007048F5"/>
    <w:rsid w:val="007049CB"/>
    <w:rsid w:val="00705841"/>
    <w:rsid w:val="0070755A"/>
    <w:rsid w:val="00707563"/>
    <w:rsid w:val="007107AF"/>
    <w:rsid w:val="00710FC1"/>
    <w:rsid w:val="007126CC"/>
    <w:rsid w:val="007133A1"/>
    <w:rsid w:val="00713956"/>
    <w:rsid w:val="00714AAA"/>
    <w:rsid w:val="0071545E"/>
    <w:rsid w:val="0071551B"/>
    <w:rsid w:val="00715D80"/>
    <w:rsid w:val="00715F4F"/>
    <w:rsid w:val="00716798"/>
    <w:rsid w:val="0071777E"/>
    <w:rsid w:val="0072180F"/>
    <w:rsid w:val="00721970"/>
    <w:rsid w:val="00722387"/>
    <w:rsid w:val="0072348C"/>
    <w:rsid w:val="00723A4C"/>
    <w:rsid w:val="00724478"/>
    <w:rsid w:val="00724A37"/>
    <w:rsid w:val="00724B4D"/>
    <w:rsid w:val="007302D2"/>
    <w:rsid w:val="007303C3"/>
    <w:rsid w:val="00731756"/>
    <w:rsid w:val="00731F49"/>
    <w:rsid w:val="007326DC"/>
    <w:rsid w:val="00734138"/>
    <w:rsid w:val="00736431"/>
    <w:rsid w:val="0073654F"/>
    <w:rsid w:val="007366E0"/>
    <w:rsid w:val="00741CE9"/>
    <w:rsid w:val="007429BE"/>
    <w:rsid w:val="00743223"/>
    <w:rsid w:val="0074361F"/>
    <w:rsid w:val="00743E79"/>
    <w:rsid w:val="0074513E"/>
    <w:rsid w:val="00745943"/>
    <w:rsid w:val="00745DB7"/>
    <w:rsid w:val="00746513"/>
    <w:rsid w:val="00746BB3"/>
    <w:rsid w:val="00746E01"/>
    <w:rsid w:val="0075312F"/>
    <w:rsid w:val="00753803"/>
    <w:rsid w:val="007554A8"/>
    <w:rsid w:val="00755E45"/>
    <w:rsid w:val="00756A19"/>
    <w:rsid w:val="00757364"/>
    <w:rsid w:val="00757BDF"/>
    <w:rsid w:val="007602A1"/>
    <w:rsid w:val="007609D0"/>
    <w:rsid w:val="00760C4C"/>
    <w:rsid w:val="00763E5D"/>
    <w:rsid w:val="00763F6C"/>
    <w:rsid w:val="0076481B"/>
    <w:rsid w:val="00765BD2"/>
    <w:rsid w:val="00767178"/>
    <w:rsid w:val="007676AA"/>
    <w:rsid w:val="00767740"/>
    <w:rsid w:val="00771CD8"/>
    <w:rsid w:val="00771EB5"/>
    <w:rsid w:val="00772E69"/>
    <w:rsid w:val="0077386C"/>
    <w:rsid w:val="007748BE"/>
    <w:rsid w:val="00775B94"/>
    <w:rsid w:val="007764A2"/>
    <w:rsid w:val="00777EE6"/>
    <w:rsid w:val="00781C36"/>
    <w:rsid w:val="00782880"/>
    <w:rsid w:val="00782EEA"/>
    <w:rsid w:val="0078428A"/>
    <w:rsid w:val="00785A06"/>
    <w:rsid w:val="00786253"/>
    <w:rsid w:val="0078759E"/>
    <w:rsid w:val="00787BFA"/>
    <w:rsid w:val="00787C38"/>
    <w:rsid w:val="007927FC"/>
    <w:rsid w:val="0079541B"/>
    <w:rsid w:val="00795770"/>
    <w:rsid w:val="00796270"/>
    <w:rsid w:val="00796B4E"/>
    <w:rsid w:val="007A15A6"/>
    <w:rsid w:val="007A16BA"/>
    <w:rsid w:val="007A2AB9"/>
    <w:rsid w:val="007A3E00"/>
    <w:rsid w:val="007A4292"/>
    <w:rsid w:val="007A4399"/>
    <w:rsid w:val="007A5049"/>
    <w:rsid w:val="007A51DF"/>
    <w:rsid w:val="007A59DC"/>
    <w:rsid w:val="007A6452"/>
    <w:rsid w:val="007A6B1F"/>
    <w:rsid w:val="007A70E7"/>
    <w:rsid w:val="007B0C6D"/>
    <w:rsid w:val="007B1839"/>
    <w:rsid w:val="007B186E"/>
    <w:rsid w:val="007B2A3A"/>
    <w:rsid w:val="007B2C72"/>
    <w:rsid w:val="007B3C19"/>
    <w:rsid w:val="007B4548"/>
    <w:rsid w:val="007B57DA"/>
    <w:rsid w:val="007B631D"/>
    <w:rsid w:val="007B7BFC"/>
    <w:rsid w:val="007C0044"/>
    <w:rsid w:val="007C0155"/>
    <w:rsid w:val="007C1084"/>
    <w:rsid w:val="007C1B6F"/>
    <w:rsid w:val="007C1C53"/>
    <w:rsid w:val="007C3DB8"/>
    <w:rsid w:val="007C66F8"/>
    <w:rsid w:val="007C6B75"/>
    <w:rsid w:val="007C74BB"/>
    <w:rsid w:val="007C7933"/>
    <w:rsid w:val="007D39FE"/>
    <w:rsid w:val="007D3EFA"/>
    <w:rsid w:val="007D456E"/>
    <w:rsid w:val="007D45E6"/>
    <w:rsid w:val="007D601A"/>
    <w:rsid w:val="007D7E71"/>
    <w:rsid w:val="007E039F"/>
    <w:rsid w:val="007E05C8"/>
    <w:rsid w:val="007E2585"/>
    <w:rsid w:val="007E4904"/>
    <w:rsid w:val="007E4BBA"/>
    <w:rsid w:val="007E4CB5"/>
    <w:rsid w:val="007E62A4"/>
    <w:rsid w:val="007E6A80"/>
    <w:rsid w:val="007F066B"/>
    <w:rsid w:val="007F0ED8"/>
    <w:rsid w:val="007F231C"/>
    <w:rsid w:val="007F2D9D"/>
    <w:rsid w:val="007F341A"/>
    <w:rsid w:val="007F353B"/>
    <w:rsid w:val="007F5F6B"/>
    <w:rsid w:val="007F763F"/>
    <w:rsid w:val="007F787E"/>
    <w:rsid w:val="00800A30"/>
    <w:rsid w:val="0080134D"/>
    <w:rsid w:val="0080139F"/>
    <w:rsid w:val="00801D35"/>
    <w:rsid w:val="00803266"/>
    <w:rsid w:val="008033C4"/>
    <w:rsid w:val="008042BD"/>
    <w:rsid w:val="00805541"/>
    <w:rsid w:val="00806C88"/>
    <w:rsid w:val="00807A57"/>
    <w:rsid w:val="0081034E"/>
    <w:rsid w:val="008113E1"/>
    <w:rsid w:val="00811647"/>
    <w:rsid w:val="00812360"/>
    <w:rsid w:val="0081243C"/>
    <w:rsid w:val="00812640"/>
    <w:rsid w:val="00813337"/>
    <w:rsid w:val="00814335"/>
    <w:rsid w:val="00816AFA"/>
    <w:rsid w:val="008207FC"/>
    <w:rsid w:val="00820858"/>
    <w:rsid w:val="00820AEB"/>
    <w:rsid w:val="00820FD3"/>
    <w:rsid w:val="00823D9B"/>
    <w:rsid w:val="008247A4"/>
    <w:rsid w:val="0082584A"/>
    <w:rsid w:val="00826089"/>
    <w:rsid w:val="00826112"/>
    <w:rsid w:val="00827C90"/>
    <w:rsid w:val="00827CD5"/>
    <w:rsid w:val="00827D31"/>
    <w:rsid w:val="0083014E"/>
    <w:rsid w:val="008322E6"/>
    <w:rsid w:val="00832C8C"/>
    <w:rsid w:val="008334EC"/>
    <w:rsid w:val="008344F6"/>
    <w:rsid w:val="008345FC"/>
    <w:rsid w:val="0083510F"/>
    <w:rsid w:val="00836A76"/>
    <w:rsid w:val="00836ABF"/>
    <w:rsid w:val="0083797D"/>
    <w:rsid w:val="00842AFA"/>
    <w:rsid w:val="00842B23"/>
    <w:rsid w:val="008435B6"/>
    <w:rsid w:val="00844742"/>
    <w:rsid w:val="00846FA6"/>
    <w:rsid w:val="00851209"/>
    <w:rsid w:val="0085189E"/>
    <w:rsid w:val="00851AF9"/>
    <w:rsid w:val="008524DA"/>
    <w:rsid w:val="0085286F"/>
    <w:rsid w:val="00853623"/>
    <w:rsid w:val="0085407E"/>
    <w:rsid w:val="008543DE"/>
    <w:rsid w:val="00854A0D"/>
    <w:rsid w:val="00856C2F"/>
    <w:rsid w:val="00860273"/>
    <w:rsid w:val="00863A46"/>
    <w:rsid w:val="00864B9B"/>
    <w:rsid w:val="00866E29"/>
    <w:rsid w:val="00866E61"/>
    <w:rsid w:val="00867849"/>
    <w:rsid w:val="00867E35"/>
    <w:rsid w:val="008711F9"/>
    <w:rsid w:val="008717C2"/>
    <w:rsid w:val="008727BB"/>
    <w:rsid w:val="008735F1"/>
    <w:rsid w:val="00873615"/>
    <w:rsid w:val="00874E6A"/>
    <w:rsid w:val="00876861"/>
    <w:rsid w:val="00880B60"/>
    <w:rsid w:val="00880D1E"/>
    <w:rsid w:val="008827D1"/>
    <w:rsid w:val="0088307B"/>
    <w:rsid w:val="008837AC"/>
    <w:rsid w:val="00884EB8"/>
    <w:rsid w:val="0088574D"/>
    <w:rsid w:val="00885E07"/>
    <w:rsid w:val="0088671F"/>
    <w:rsid w:val="008907A8"/>
    <w:rsid w:val="0089197C"/>
    <w:rsid w:val="0089246D"/>
    <w:rsid w:val="008928F5"/>
    <w:rsid w:val="008934C8"/>
    <w:rsid w:val="0089688B"/>
    <w:rsid w:val="008978B3"/>
    <w:rsid w:val="008A0B8B"/>
    <w:rsid w:val="008A2473"/>
    <w:rsid w:val="008A2A7C"/>
    <w:rsid w:val="008A3AE6"/>
    <w:rsid w:val="008A4259"/>
    <w:rsid w:val="008A587D"/>
    <w:rsid w:val="008A6684"/>
    <w:rsid w:val="008A7CF8"/>
    <w:rsid w:val="008B35CD"/>
    <w:rsid w:val="008B44E5"/>
    <w:rsid w:val="008B50CD"/>
    <w:rsid w:val="008B5CB6"/>
    <w:rsid w:val="008B5FCC"/>
    <w:rsid w:val="008B61F9"/>
    <w:rsid w:val="008B6959"/>
    <w:rsid w:val="008B72A3"/>
    <w:rsid w:val="008C0ABF"/>
    <w:rsid w:val="008C0F07"/>
    <w:rsid w:val="008C14B7"/>
    <w:rsid w:val="008C1BFB"/>
    <w:rsid w:val="008C3CEA"/>
    <w:rsid w:val="008C4D70"/>
    <w:rsid w:val="008C5486"/>
    <w:rsid w:val="008C662A"/>
    <w:rsid w:val="008D0626"/>
    <w:rsid w:val="008D0CEC"/>
    <w:rsid w:val="008D1411"/>
    <w:rsid w:val="008D14CC"/>
    <w:rsid w:val="008D1661"/>
    <w:rsid w:val="008D2251"/>
    <w:rsid w:val="008D2588"/>
    <w:rsid w:val="008D273C"/>
    <w:rsid w:val="008D2922"/>
    <w:rsid w:val="008D2E9A"/>
    <w:rsid w:val="008D3381"/>
    <w:rsid w:val="008D5655"/>
    <w:rsid w:val="008E2E0C"/>
    <w:rsid w:val="008E4CFB"/>
    <w:rsid w:val="008E504F"/>
    <w:rsid w:val="008E7031"/>
    <w:rsid w:val="008E77DE"/>
    <w:rsid w:val="008E7C6D"/>
    <w:rsid w:val="008F07A3"/>
    <w:rsid w:val="008F0BE8"/>
    <w:rsid w:val="008F14FD"/>
    <w:rsid w:val="008F3919"/>
    <w:rsid w:val="008F442B"/>
    <w:rsid w:val="008F54E6"/>
    <w:rsid w:val="008F5964"/>
    <w:rsid w:val="008F5BF7"/>
    <w:rsid w:val="008F5DD1"/>
    <w:rsid w:val="008F655F"/>
    <w:rsid w:val="008F6C84"/>
    <w:rsid w:val="008F7EEB"/>
    <w:rsid w:val="00900117"/>
    <w:rsid w:val="009001B6"/>
    <w:rsid w:val="0090094B"/>
    <w:rsid w:val="00900D41"/>
    <w:rsid w:val="00900E1B"/>
    <w:rsid w:val="00901204"/>
    <w:rsid w:val="00901817"/>
    <w:rsid w:val="0090265F"/>
    <w:rsid w:val="0090347B"/>
    <w:rsid w:val="00903519"/>
    <w:rsid w:val="009040C3"/>
    <w:rsid w:val="0090431C"/>
    <w:rsid w:val="0090492C"/>
    <w:rsid w:val="009055AA"/>
    <w:rsid w:val="009060C3"/>
    <w:rsid w:val="0091100D"/>
    <w:rsid w:val="00911AE4"/>
    <w:rsid w:val="00912654"/>
    <w:rsid w:val="0091436D"/>
    <w:rsid w:val="009145ED"/>
    <w:rsid w:val="00916479"/>
    <w:rsid w:val="0091766C"/>
    <w:rsid w:val="00920303"/>
    <w:rsid w:val="009204EB"/>
    <w:rsid w:val="00920A84"/>
    <w:rsid w:val="009212FC"/>
    <w:rsid w:val="0092175B"/>
    <w:rsid w:val="00921B37"/>
    <w:rsid w:val="009233EE"/>
    <w:rsid w:val="00923656"/>
    <w:rsid w:val="009236BF"/>
    <w:rsid w:val="0092385E"/>
    <w:rsid w:val="00924238"/>
    <w:rsid w:val="00925B6A"/>
    <w:rsid w:val="00926F01"/>
    <w:rsid w:val="0093075D"/>
    <w:rsid w:val="00930AFA"/>
    <w:rsid w:val="00931711"/>
    <w:rsid w:val="00932BEA"/>
    <w:rsid w:val="00932DAD"/>
    <w:rsid w:val="00934142"/>
    <w:rsid w:val="00935B91"/>
    <w:rsid w:val="00936EF1"/>
    <w:rsid w:val="00940108"/>
    <w:rsid w:val="009431BF"/>
    <w:rsid w:val="00943528"/>
    <w:rsid w:val="00943B1D"/>
    <w:rsid w:val="0094406B"/>
    <w:rsid w:val="009441AF"/>
    <w:rsid w:val="009460AA"/>
    <w:rsid w:val="00950542"/>
    <w:rsid w:val="00951978"/>
    <w:rsid w:val="00952E80"/>
    <w:rsid w:val="0095409F"/>
    <w:rsid w:val="009542AB"/>
    <w:rsid w:val="00954E29"/>
    <w:rsid w:val="00955652"/>
    <w:rsid w:val="00956607"/>
    <w:rsid w:val="009607D7"/>
    <w:rsid w:val="00960BC8"/>
    <w:rsid w:val="00960FB2"/>
    <w:rsid w:val="00961A4A"/>
    <w:rsid w:val="00961C87"/>
    <w:rsid w:val="00963539"/>
    <w:rsid w:val="00963BEE"/>
    <w:rsid w:val="009640A0"/>
    <w:rsid w:val="00964475"/>
    <w:rsid w:val="009645BF"/>
    <w:rsid w:val="00964D5F"/>
    <w:rsid w:val="009650AA"/>
    <w:rsid w:val="0096567F"/>
    <w:rsid w:val="009659BD"/>
    <w:rsid w:val="009661DE"/>
    <w:rsid w:val="00966232"/>
    <w:rsid w:val="00966A5A"/>
    <w:rsid w:val="00966F20"/>
    <w:rsid w:val="00967B97"/>
    <w:rsid w:val="00970383"/>
    <w:rsid w:val="009714F0"/>
    <w:rsid w:val="00972173"/>
    <w:rsid w:val="00972F76"/>
    <w:rsid w:val="00974253"/>
    <w:rsid w:val="0097680B"/>
    <w:rsid w:val="00977199"/>
    <w:rsid w:val="00977BDF"/>
    <w:rsid w:val="009819E7"/>
    <w:rsid w:val="009819FC"/>
    <w:rsid w:val="00982190"/>
    <w:rsid w:val="00982306"/>
    <w:rsid w:val="0098369C"/>
    <w:rsid w:val="00983C25"/>
    <w:rsid w:val="009856B7"/>
    <w:rsid w:val="00985A20"/>
    <w:rsid w:val="00985C86"/>
    <w:rsid w:val="00985F63"/>
    <w:rsid w:val="00986867"/>
    <w:rsid w:val="009870B6"/>
    <w:rsid w:val="00987C06"/>
    <w:rsid w:val="00990172"/>
    <w:rsid w:val="00991361"/>
    <w:rsid w:val="00991757"/>
    <w:rsid w:val="00991A84"/>
    <w:rsid w:val="00992147"/>
    <w:rsid w:val="00992809"/>
    <w:rsid w:val="00992A70"/>
    <w:rsid w:val="00995659"/>
    <w:rsid w:val="00996152"/>
    <w:rsid w:val="00996349"/>
    <w:rsid w:val="009963FC"/>
    <w:rsid w:val="00996A8E"/>
    <w:rsid w:val="00996B9E"/>
    <w:rsid w:val="009A1425"/>
    <w:rsid w:val="009A19C2"/>
    <w:rsid w:val="009A1F7A"/>
    <w:rsid w:val="009A29A9"/>
    <w:rsid w:val="009A3EDB"/>
    <w:rsid w:val="009A403E"/>
    <w:rsid w:val="009A5555"/>
    <w:rsid w:val="009A56FF"/>
    <w:rsid w:val="009A5C16"/>
    <w:rsid w:val="009A5FC3"/>
    <w:rsid w:val="009A75AE"/>
    <w:rsid w:val="009A7D9D"/>
    <w:rsid w:val="009B090B"/>
    <w:rsid w:val="009B0A23"/>
    <w:rsid w:val="009B0C6E"/>
    <w:rsid w:val="009B385A"/>
    <w:rsid w:val="009B524B"/>
    <w:rsid w:val="009B61C6"/>
    <w:rsid w:val="009B6779"/>
    <w:rsid w:val="009B74B0"/>
    <w:rsid w:val="009B7615"/>
    <w:rsid w:val="009B785F"/>
    <w:rsid w:val="009C01E2"/>
    <w:rsid w:val="009C0D47"/>
    <w:rsid w:val="009C2043"/>
    <w:rsid w:val="009C204D"/>
    <w:rsid w:val="009C344F"/>
    <w:rsid w:val="009C4B4F"/>
    <w:rsid w:val="009C6000"/>
    <w:rsid w:val="009C6A16"/>
    <w:rsid w:val="009C79C6"/>
    <w:rsid w:val="009D1B33"/>
    <w:rsid w:val="009D3906"/>
    <w:rsid w:val="009D3E83"/>
    <w:rsid w:val="009D5046"/>
    <w:rsid w:val="009D6B46"/>
    <w:rsid w:val="009D79FA"/>
    <w:rsid w:val="009E414C"/>
    <w:rsid w:val="009E464B"/>
    <w:rsid w:val="009E6063"/>
    <w:rsid w:val="009F05C5"/>
    <w:rsid w:val="009F0E1B"/>
    <w:rsid w:val="009F1016"/>
    <w:rsid w:val="009F2043"/>
    <w:rsid w:val="009F2EB9"/>
    <w:rsid w:val="009F32FD"/>
    <w:rsid w:val="009F4940"/>
    <w:rsid w:val="009F4BB8"/>
    <w:rsid w:val="009F4D2A"/>
    <w:rsid w:val="009F5549"/>
    <w:rsid w:val="009F5BA1"/>
    <w:rsid w:val="009F5CFB"/>
    <w:rsid w:val="00A00272"/>
    <w:rsid w:val="00A02A88"/>
    <w:rsid w:val="00A02EA3"/>
    <w:rsid w:val="00A038AD"/>
    <w:rsid w:val="00A0562E"/>
    <w:rsid w:val="00A06A66"/>
    <w:rsid w:val="00A0726D"/>
    <w:rsid w:val="00A07D72"/>
    <w:rsid w:val="00A1006C"/>
    <w:rsid w:val="00A107DA"/>
    <w:rsid w:val="00A111A1"/>
    <w:rsid w:val="00A118E6"/>
    <w:rsid w:val="00A1372F"/>
    <w:rsid w:val="00A1407B"/>
    <w:rsid w:val="00A14D4D"/>
    <w:rsid w:val="00A1627A"/>
    <w:rsid w:val="00A169A3"/>
    <w:rsid w:val="00A17F19"/>
    <w:rsid w:val="00A20810"/>
    <w:rsid w:val="00A208CF"/>
    <w:rsid w:val="00A211DA"/>
    <w:rsid w:val="00A22108"/>
    <w:rsid w:val="00A22240"/>
    <w:rsid w:val="00A240CE"/>
    <w:rsid w:val="00A24922"/>
    <w:rsid w:val="00A2528E"/>
    <w:rsid w:val="00A25D87"/>
    <w:rsid w:val="00A264A4"/>
    <w:rsid w:val="00A2711C"/>
    <w:rsid w:val="00A27315"/>
    <w:rsid w:val="00A311DB"/>
    <w:rsid w:val="00A3228E"/>
    <w:rsid w:val="00A32FBB"/>
    <w:rsid w:val="00A331C0"/>
    <w:rsid w:val="00A344D3"/>
    <w:rsid w:val="00A348D7"/>
    <w:rsid w:val="00A34AD8"/>
    <w:rsid w:val="00A35025"/>
    <w:rsid w:val="00A35990"/>
    <w:rsid w:val="00A35C07"/>
    <w:rsid w:val="00A36A6A"/>
    <w:rsid w:val="00A37793"/>
    <w:rsid w:val="00A40CA7"/>
    <w:rsid w:val="00A411F1"/>
    <w:rsid w:val="00A416F9"/>
    <w:rsid w:val="00A428EE"/>
    <w:rsid w:val="00A43825"/>
    <w:rsid w:val="00A4478A"/>
    <w:rsid w:val="00A44852"/>
    <w:rsid w:val="00A44D5E"/>
    <w:rsid w:val="00A44E10"/>
    <w:rsid w:val="00A474ED"/>
    <w:rsid w:val="00A47BF1"/>
    <w:rsid w:val="00A51A2D"/>
    <w:rsid w:val="00A51BEE"/>
    <w:rsid w:val="00A542C2"/>
    <w:rsid w:val="00A544BD"/>
    <w:rsid w:val="00A54759"/>
    <w:rsid w:val="00A56DA7"/>
    <w:rsid w:val="00A578FF"/>
    <w:rsid w:val="00A57D04"/>
    <w:rsid w:val="00A60A26"/>
    <w:rsid w:val="00A61598"/>
    <w:rsid w:val="00A63EDD"/>
    <w:rsid w:val="00A65020"/>
    <w:rsid w:val="00A65DE6"/>
    <w:rsid w:val="00A703AC"/>
    <w:rsid w:val="00A70434"/>
    <w:rsid w:val="00A704B2"/>
    <w:rsid w:val="00A72C76"/>
    <w:rsid w:val="00A73037"/>
    <w:rsid w:val="00A736BC"/>
    <w:rsid w:val="00A73CA2"/>
    <w:rsid w:val="00A74AC9"/>
    <w:rsid w:val="00A74D89"/>
    <w:rsid w:val="00A752AA"/>
    <w:rsid w:val="00A824C9"/>
    <w:rsid w:val="00A83D52"/>
    <w:rsid w:val="00A84327"/>
    <w:rsid w:val="00A84A99"/>
    <w:rsid w:val="00A84F46"/>
    <w:rsid w:val="00A862DD"/>
    <w:rsid w:val="00A86945"/>
    <w:rsid w:val="00A871F4"/>
    <w:rsid w:val="00A874D9"/>
    <w:rsid w:val="00A877D9"/>
    <w:rsid w:val="00A87CD1"/>
    <w:rsid w:val="00A87DF1"/>
    <w:rsid w:val="00A87E6D"/>
    <w:rsid w:val="00A90385"/>
    <w:rsid w:val="00A91A78"/>
    <w:rsid w:val="00A93A24"/>
    <w:rsid w:val="00A947C8"/>
    <w:rsid w:val="00A9489E"/>
    <w:rsid w:val="00A94A90"/>
    <w:rsid w:val="00A97FBE"/>
    <w:rsid w:val="00AA2D62"/>
    <w:rsid w:val="00AA30EE"/>
    <w:rsid w:val="00AA3B8E"/>
    <w:rsid w:val="00AA620A"/>
    <w:rsid w:val="00AA6CDB"/>
    <w:rsid w:val="00AB2526"/>
    <w:rsid w:val="00AB2652"/>
    <w:rsid w:val="00AB2C8F"/>
    <w:rsid w:val="00AB3286"/>
    <w:rsid w:val="00AB3F96"/>
    <w:rsid w:val="00AB4902"/>
    <w:rsid w:val="00AB4CBA"/>
    <w:rsid w:val="00AB4D90"/>
    <w:rsid w:val="00AB7146"/>
    <w:rsid w:val="00AB765B"/>
    <w:rsid w:val="00AC0713"/>
    <w:rsid w:val="00AC0C43"/>
    <w:rsid w:val="00AC1B2C"/>
    <w:rsid w:val="00AC3264"/>
    <w:rsid w:val="00AC43A1"/>
    <w:rsid w:val="00AC4546"/>
    <w:rsid w:val="00AC58D1"/>
    <w:rsid w:val="00AC65EB"/>
    <w:rsid w:val="00AC769B"/>
    <w:rsid w:val="00AC7C4F"/>
    <w:rsid w:val="00AD1BBB"/>
    <w:rsid w:val="00AD3F0F"/>
    <w:rsid w:val="00AD4D48"/>
    <w:rsid w:val="00AD5A61"/>
    <w:rsid w:val="00AD6ED5"/>
    <w:rsid w:val="00AE122F"/>
    <w:rsid w:val="00AE1355"/>
    <w:rsid w:val="00AE1BF1"/>
    <w:rsid w:val="00AE2865"/>
    <w:rsid w:val="00AE2FDF"/>
    <w:rsid w:val="00AE372E"/>
    <w:rsid w:val="00AE6120"/>
    <w:rsid w:val="00AE632C"/>
    <w:rsid w:val="00AE63A8"/>
    <w:rsid w:val="00AE669E"/>
    <w:rsid w:val="00AE73AD"/>
    <w:rsid w:val="00AF0DD2"/>
    <w:rsid w:val="00AF2F1C"/>
    <w:rsid w:val="00AF32F2"/>
    <w:rsid w:val="00AF39DE"/>
    <w:rsid w:val="00AF4207"/>
    <w:rsid w:val="00AF4264"/>
    <w:rsid w:val="00AF4BF0"/>
    <w:rsid w:val="00AF4EB6"/>
    <w:rsid w:val="00AF6F31"/>
    <w:rsid w:val="00AF75E3"/>
    <w:rsid w:val="00B00399"/>
    <w:rsid w:val="00B0186C"/>
    <w:rsid w:val="00B01AB0"/>
    <w:rsid w:val="00B021F2"/>
    <w:rsid w:val="00B03DEE"/>
    <w:rsid w:val="00B05F2E"/>
    <w:rsid w:val="00B06C2F"/>
    <w:rsid w:val="00B06F3D"/>
    <w:rsid w:val="00B073BC"/>
    <w:rsid w:val="00B108CB"/>
    <w:rsid w:val="00B11038"/>
    <w:rsid w:val="00B113EE"/>
    <w:rsid w:val="00B13048"/>
    <w:rsid w:val="00B1544C"/>
    <w:rsid w:val="00B1705F"/>
    <w:rsid w:val="00B1716D"/>
    <w:rsid w:val="00B17A1D"/>
    <w:rsid w:val="00B207A0"/>
    <w:rsid w:val="00B217BD"/>
    <w:rsid w:val="00B21FBF"/>
    <w:rsid w:val="00B222EE"/>
    <w:rsid w:val="00B225B3"/>
    <w:rsid w:val="00B22C0F"/>
    <w:rsid w:val="00B2303F"/>
    <w:rsid w:val="00B2350F"/>
    <w:rsid w:val="00B237B5"/>
    <w:rsid w:val="00B23FD9"/>
    <w:rsid w:val="00B25B20"/>
    <w:rsid w:val="00B26D57"/>
    <w:rsid w:val="00B34D62"/>
    <w:rsid w:val="00B35205"/>
    <w:rsid w:val="00B35903"/>
    <w:rsid w:val="00B35AF0"/>
    <w:rsid w:val="00B35CCE"/>
    <w:rsid w:val="00B36E14"/>
    <w:rsid w:val="00B36F3C"/>
    <w:rsid w:val="00B4061C"/>
    <w:rsid w:val="00B40975"/>
    <w:rsid w:val="00B40B4C"/>
    <w:rsid w:val="00B461EC"/>
    <w:rsid w:val="00B47019"/>
    <w:rsid w:val="00B472E9"/>
    <w:rsid w:val="00B514DD"/>
    <w:rsid w:val="00B5255C"/>
    <w:rsid w:val="00B52AF0"/>
    <w:rsid w:val="00B561BD"/>
    <w:rsid w:val="00B56475"/>
    <w:rsid w:val="00B56E03"/>
    <w:rsid w:val="00B57B8A"/>
    <w:rsid w:val="00B6017D"/>
    <w:rsid w:val="00B602C7"/>
    <w:rsid w:val="00B60F41"/>
    <w:rsid w:val="00B63E3D"/>
    <w:rsid w:val="00B6449B"/>
    <w:rsid w:val="00B65B09"/>
    <w:rsid w:val="00B66416"/>
    <w:rsid w:val="00B669B6"/>
    <w:rsid w:val="00B70168"/>
    <w:rsid w:val="00B711EE"/>
    <w:rsid w:val="00B71FE7"/>
    <w:rsid w:val="00B72285"/>
    <w:rsid w:val="00B733BA"/>
    <w:rsid w:val="00B74D66"/>
    <w:rsid w:val="00B75DAE"/>
    <w:rsid w:val="00B7757B"/>
    <w:rsid w:val="00B77DCE"/>
    <w:rsid w:val="00B77F5D"/>
    <w:rsid w:val="00B8080B"/>
    <w:rsid w:val="00B80816"/>
    <w:rsid w:val="00B81F27"/>
    <w:rsid w:val="00B82223"/>
    <w:rsid w:val="00B8445B"/>
    <w:rsid w:val="00B845F2"/>
    <w:rsid w:val="00B85979"/>
    <w:rsid w:val="00B860BC"/>
    <w:rsid w:val="00B87474"/>
    <w:rsid w:val="00B87BA5"/>
    <w:rsid w:val="00B87C39"/>
    <w:rsid w:val="00B91C99"/>
    <w:rsid w:val="00B91DAE"/>
    <w:rsid w:val="00B94C73"/>
    <w:rsid w:val="00B9562D"/>
    <w:rsid w:val="00B96E08"/>
    <w:rsid w:val="00B9733D"/>
    <w:rsid w:val="00BA02C6"/>
    <w:rsid w:val="00BA0695"/>
    <w:rsid w:val="00BA0B49"/>
    <w:rsid w:val="00BA11DE"/>
    <w:rsid w:val="00BA12ED"/>
    <w:rsid w:val="00BA20B7"/>
    <w:rsid w:val="00BA2A0F"/>
    <w:rsid w:val="00BA4665"/>
    <w:rsid w:val="00BA5D3B"/>
    <w:rsid w:val="00BA7407"/>
    <w:rsid w:val="00BA7A20"/>
    <w:rsid w:val="00BB04B1"/>
    <w:rsid w:val="00BB0995"/>
    <w:rsid w:val="00BB1060"/>
    <w:rsid w:val="00BB2FB2"/>
    <w:rsid w:val="00BB3052"/>
    <w:rsid w:val="00BB3304"/>
    <w:rsid w:val="00BB3EDF"/>
    <w:rsid w:val="00BB5E6B"/>
    <w:rsid w:val="00BB74CA"/>
    <w:rsid w:val="00BB750D"/>
    <w:rsid w:val="00BC0EC6"/>
    <w:rsid w:val="00BC10A8"/>
    <w:rsid w:val="00BC186C"/>
    <w:rsid w:val="00BC1BC5"/>
    <w:rsid w:val="00BC3171"/>
    <w:rsid w:val="00BC5145"/>
    <w:rsid w:val="00BC55E3"/>
    <w:rsid w:val="00BC5832"/>
    <w:rsid w:val="00BC58DE"/>
    <w:rsid w:val="00BC7286"/>
    <w:rsid w:val="00BC7BBC"/>
    <w:rsid w:val="00BD1A20"/>
    <w:rsid w:val="00BD1BC0"/>
    <w:rsid w:val="00BD3446"/>
    <w:rsid w:val="00BD41E7"/>
    <w:rsid w:val="00BD4B8B"/>
    <w:rsid w:val="00BD58EA"/>
    <w:rsid w:val="00BD5A50"/>
    <w:rsid w:val="00BD5D87"/>
    <w:rsid w:val="00BD6A41"/>
    <w:rsid w:val="00BD7C9A"/>
    <w:rsid w:val="00BE06DB"/>
    <w:rsid w:val="00BE1F1B"/>
    <w:rsid w:val="00BE2A4A"/>
    <w:rsid w:val="00BE2F81"/>
    <w:rsid w:val="00BE3223"/>
    <w:rsid w:val="00BE3275"/>
    <w:rsid w:val="00BE3A29"/>
    <w:rsid w:val="00BE47B5"/>
    <w:rsid w:val="00BE4D2E"/>
    <w:rsid w:val="00BE4FA9"/>
    <w:rsid w:val="00BE63D2"/>
    <w:rsid w:val="00BE65DD"/>
    <w:rsid w:val="00BE6F2A"/>
    <w:rsid w:val="00BF03A2"/>
    <w:rsid w:val="00BF0887"/>
    <w:rsid w:val="00BF274F"/>
    <w:rsid w:val="00BF3E37"/>
    <w:rsid w:val="00BF43EF"/>
    <w:rsid w:val="00BF4B19"/>
    <w:rsid w:val="00BF5BF9"/>
    <w:rsid w:val="00BF60C8"/>
    <w:rsid w:val="00BF60E3"/>
    <w:rsid w:val="00BF6235"/>
    <w:rsid w:val="00BF643C"/>
    <w:rsid w:val="00BF647E"/>
    <w:rsid w:val="00BF6A19"/>
    <w:rsid w:val="00BF7D23"/>
    <w:rsid w:val="00C00A3C"/>
    <w:rsid w:val="00C01434"/>
    <w:rsid w:val="00C0151E"/>
    <w:rsid w:val="00C02FC5"/>
    <w:rsid w:val="00C04576"/>
    <w:rsid w:val="00C0512A"/>
    <w:rsid w:val="00C05238"/>
    <w:rsid w:val="00C059BB"/>
    <w:rsid w:val="00C067E8"/>
    <w:rsid w:val="00C06883"/>
    <w:rsid w:val="00C10BBB"/>
    <w:rsid w:val="00C12FAC"/>
    <w:rsid w:val="00C136EC"/>
    <w:rsid w:val="00C14C73"/>
    <w:rsid w:val="00C14EF7"/>
    <w:rsid w:val="00C15730"/>
    <w:rsid w:val="00C16660"/>
    <w:rsid w:val="00C1699D"/>
    <w:rsid w:val="00C16DA4"/>
    <w:rsid w:val="00C204E8"/>
    <w:rsid w:val="00C212D0"/>
    <w:rsid w:val="00C213C3"/>
    <w:rsid w:val="00C21E36"/>
    <w:rsid w:val="00C25F2C"/>
    <w:rsid w:val="00C25FA6"/>
    <w:rsid w:val="00C26737"/>
    <w:rsid w:val="00C30213"/>
    <w:rsid w:val="00C30612"/>
    <w:rsid w:val="00C31089"/>
    <w:rsid w:val="00C3126B"/>
    <w:rsid w:val="00C31818"/>
    <w:rsid w:val="00C324EF"/>
    <w:rsid w:val="00C32E26"/>
    <w:rsid w:val="00C33EAD"/>
    <w:rsid w:val="00C355CD"/>
    <w:rsid w:val="00C37623"/>
    <w:rsid w:val="00C37BAC"/>
    <w:rsid w:val="00C37F96"/>
    <w:rsid w:val="00C40538"/>
    <w:rsid w:val="00C41AB1"/>
    <w:rsid w:val="00C420BC"/>
    <w:rsid w:val="00C43B75"/>
    <w:rsid w:val="00C43C0C"/>
    <w:rsid w:val="00C445DF"/>
    <w:rsid w:val="00C4619C"/>
    <w:rsid w:val="00C46369"/>
    <w:rsid w:val="00C4760B"/>
    <w:rsid w:val="00C501D8"/>
    <w:rsid w:val="00C51A07"/>
    <w:rsid w:val="00C51DDC"/>
    <w:rsid w:val="00C52045"/>
    <w:rsid w:val="00C52BD8"/>
    <w:rsid w:val="00C538A9"/>
    <w:rsid w:val="00C53B5A"/>
    <w:rsid w:val="00C5420C"/>
    <w:rsid w:val="00C54CB0"/>
    <w:rsid w:val="00C54F5A"/>
    <w:rsid w:val="00C5575F"/>
    <w:rsid w:val="00C55D42"/>
    <w:rsid w:val="00C568C7"/>
    <w:rsid w:val="00C569B4"/>
    <w:rsid w:val="00C571E1"/>
    <w:rsid w:val="00C60500"/>
    <w:rsid w:val="00C63F5C"/>
    <w:rsid w:val="00C6592B"/>
    <w:rsid w:val="00C6633F"/>
    <w:rsid w:val="00C67A92"/>
    <w:rsid w:val="00C67D8E"/>
    <w:rsid w:val="00C71C39"/>
    <w:rsid w:val="00C72D6C"/>
    <w:rsid w:val="00C7339E"/>
    <w:rsid w:val="00C752B4"/>
    <w:rsid w:val="00C767BE"/>
    <w:rsid w:val="00C802CB"/>
    <w:rsid w:val="00C807BA"/>
    <w:rsid w:val="00C81381"/>
    <w:rsid w:val="00C81758"/>
    <w:rsid w:val="00C83B23"/>
    <w:rsid w:val="00C83DB6"/>
    <w:rsid w:val="00C84560"/>
    <w:rsid w:val="00C85DD1"/>
    <w:rsid w:val="00C86679"/>
    <w:rsid w:val="00C8739E"/>
    <w:rsid w:val="00C932E7"/>
    <w:rsid w:val="00C94055"/>
    <w:rsid w:val="00C94246"/>
    <w:rsid w:val="00C94807"/>
    <w:rsid w:val="00C971AE"/>
    <w:rsid w:val="00CA01E1"/>
    <w:rsid w:val="00CA23C7"/>
    <w:rsid w:val="00CA2F61"/>
    <w:rsid w:val="00CA489E"/>
    <w:rsid w:val="00CA5A3A"/>
    <w:rsid w:val="00CA5EE5"/>
    <w:rsid w:val="00CA5FCA"/>
    <w:rsid w:val="00CA5FCC"/>
    <w:rsid w:val="00CA67ED"/>
    <w:rsid w:val="00CB0279"/>
    <w:rsid w:val="00CB06DD"/>
    <w:rsid w:val="00CB0954"/>
    <w:rsid w:val="00CB2AAC"/>
    <w:rsid w:val="00CB34AF"/>
    <w:rsid w:val="00CB431A"/>
    <w:rsid w:val="00CB43DB"/>
    <w:rsid w:val="00CB666B"/>
    <w:rsid w:val="00CB7395"/>
    <w:rsid w:val="00CC42F6"/>
    <w:rsid w:val="00CC436C"/>
    <w:rsid w:val="00CC4BF7"/>
    <w:rsid w:val="00CC5AEC"/>
    <w:rsid w:val="00CC5DE3"/>
    <w:rsid w:val="00CC76D1"/>
    <w:rsid w:val="00CC7F1D"/>
    <w:rsid w:val="00CD1D8B"/>
    <w:rsid w:val="00CD34FA"/>
    <w:rsid w:val="00CD64E8"/>
    <w:rsid w:val="00CD6FAD"/>
    <w:rsid w:val="00CD7DE3"/>
    <w:rsid w:val="00CD7E46"/>
    <w:rsid w:val="00CE0AA3"/>
    <w:rsid w:val="00CE484B"/>
    <w:rsid w:val="00CE788B"/>
    <w:rsid w:val="00CF1074"/>
    <w:rsid w:val="00CF1C80"/>
    <w:rsid w:val="00CF42AB"/>
    <w:rsid w:val="00CF592F"/>
    <w:rsid w:val="00CF6177"/>
    <w:rsid w:val="00CF74D1"/>
    <w:rsid w:val="00D006AE"/>
    <w:rsid w:val="00D01CF0"/>
    <w:rsid w:val="00D02EDA"/>
    <w:rsid w:val="00D03A2A"/>
    <w:rsid w:val="00D0442A"/>
    <w:rsid w:val="00D0513B"/>
    <w:rsid w:val="00D06319"/>
    <w:rsid w:val="00D0689A"/>
    <w:rsid w:val="00D07BDD"/>
    <w:rsid w:val="00D10EE1"/>
    <w:rsid w:val="00D1210B"/>
    <w:rsid w:val="00D1230C"/>
    <w:rsid w:val="00D12708"/>
    <w:rsid w:val="00D12CD6"/>
    <w:rsid w:val="00D1329F"/>
    <w:rsid w:val="00D14317"/>
    <w:rsid w:val="00D14FCE"/>
    <w:rsid w:val="00D1563D"/>
    <w:rsid w:val="00D16494"/>
    <w:rsid w:val="00D16FA3"/>
    <w:rsid w:val="00D17061"/>
    <w:rsid w:val="00D1739B"/>
    <w:rsid w:val="00D177F3"/>
    <w:rsid w:val="00D200EA"/>
    <w:rsid w:val="00D226EA"/>
    <w:rsid w:val="00D241B1"/>
    <w:rsid w:val="00D24B5A"/>
    <w:rsid w:val="00D25C4E"/>
    <w:rsid w:val="00D27530"/>
    <w:rsid w:val="00D30F05"/>
    <w:rsid w:val="00D3159B"/>
    <w:rsid w:val="00D315D3"/>
    <w:rsid w:val="00D325B8"/>
    <w:rsid w:val="00D32DE5"/>
    <w:rsid w:val="00D33514"/>
    <w:rsid w:val="00D34CB0"/>
    <w:rsid w:val="00D35124"/>
    <w:rsid w:val="00D35473"/>
    <w:rsid w:val="00D36C5E"/>
    <w:rsid w:val="00D37F88"/>
    <w:rsid w:val="00D40AB9"/>
    <w:rsid w:val="00D412F8"/>
    <w:rsid w:val="00D4195E"/>
    <w:rsid w:val="00D41CA6"/>
    <w:rsid w:val="00D42723"/>
    <w:rsid w:val="00D42F97"/>
    <w:rsid w:val="00D44DC4"/>
    <w:rsid w:val="00D4604D"/>
    <w:rsid w:val="00D461D4"/>
    <w:rsid w:val="00D47F79"/>
    <w:rsid w:val="00D50738"/>
    <w:rsid w:val="00D51847"/>
    <w:rsid w:val="00D51A52"/>
    <w:rsid w:val="00D525B0"/>
    <w:rsid w:val="00D53425"/>
    <w:rsid w:val="00D55F15"/>
    <w:rsid w:val="00D56CFD"/>
    <w:rsid w:val="00D56EC4"/>
    <w:rsid w:val="00D57008"/>
    <w:rsid w:val="00D57E98"/>
    <w:rsid w:val="00D61388"/>
    <w:rsid w:val="00D61A54"/>
    <w:rsid w:val="00D62589"/>
    <w:rsid w:val="00D62F12"/>
    <w:rsid w:val="00D63137"/>
    <w:rsid w:val="00D633E2"/>
    <w:rsid w:val="00D64DEA"/>
    <w:rsid w:val="00D64E78"/>
    <w:rsid w:val="00D70A86"/>
    <w:rsid w:val="00D7168E"/>
    <w:rsid w:val="00D7186D"/>
    <w:rsid w:val="00D7193E"/>
    <w:rsid w:val="00D71E57"/>
    <w:rsid w:val="00D730DA"/>
    <w:rsid w:val="00D737BA"/>
    <w:rsid w:val="00D744CE"/>
    <w:rsid w:val="00D77C8B"/>
    <w:rsid w:val="00D805DD"/>
    <w:rsid w:val="00D80893"/>
    <w:rsid w:val="00D82D9F"/>
    <w:rsid w:val="00D8455B"/>
    <w:rsid w:val="00D846DB"/>
    <w:rsid w:val="00D84854"/>
    <w:rsid w:val="00D850F9"/>
    <w:rsid w:val="00D86A92"/>
    <w:rsid w:val="00D8788C"/>
    <w:rsid w:val="00D87ED5"/>
    <w:rsid w:val="00D90174"/>
    <w:rsid w:val="00D9047D"/>
    <w:rsid w:val="00D92CF1"/>
    <w:rsid w:val="00D92D38"/>
    <w:rsid w:val="00D93041"/>
    <w:rsid w:val="00D948D0"/>
    <w:rsid w:val="00D950F5"/>
    <w:rsid w:val="00D974E9"/>
    <w:rsid w:val="00D9764A"/>
    <w:rsid w:val="00DA029A"/>
    <w:rsid w:val="00DA2411"/>
    <w:rsid w:val="00DA2764"/>
    <w:rsid w:val="00DA2875"/>
    <w:rsid w:val="00DA28FC"/>
    <w:rsid w:val="00DA3077"/>
    <w:rsid w:val="00DA4752"/>
    <w:rsid w:val="00DA61F3"/>
    <w:rsid w:val="00DA6A65"/>
    <w:rsid w:val="00DA78DF"/>
    <w:rsid w:val="00DA7C0A"/>
    <w:rsid w:val="00DB00CF"/>
    <w:rsid w:val="00DB0F93"/>
    <w:rsid w:val="00DB1102"/>
    <w:rsid w:val="00DB1A67"/>
    <w:rsid w:val="00DB27F0"/>
    <w:rsid w:val="00DB48C6"/>
    <w:rsid w:val="00DB5074"/>
    <w:rsid w:val="00DB6A05"/>
    <w:rsid w:val="00DB6DE4"/>
    <w:rsid w:val="00DB6F91"/>
    <w:rsid w:val="00DC0EF1"/>
    <w:rsid w:val="00DC17D7"/>
    <w:rsid w:val="00DC5212"/>
    <w:rsid w:val="00DC5D3C"/>
    <w:rsid w:val="00DC6092"/>
    <w:rsid w:val="00DC60B6"/>
    <w:rsid w:val="00DC6B4F"/>
    <w:rsid w:val="00DC6D29"/>
    <w:rsid w:val="00DC7981"/>
    <w:rsid w:val="00DC7A82"/>
    <w:rsid w:val="00DD0898"/>
    <w:rsid w:val="00DD17F0"/>
    <w:rsid w:val="00DD4401"/>
    <w:rsid w:val="00DD485D"/>
    <w:rsid w:val="00DD52B8"/>
    <w:rsid w:val="00DD5AEC"/>
    <w:rsid w:val="00DD6D4C"/>
    <w:rsid w:val="00DE0730"/>
    <w:rsid w:val="00DE08C5"/>
    <w:rsid w:val="00DE0A4C"/>
    <w:rsid w:val="00DE1093"/>
    <w:rsid w:val="00DE152E"/>
    <w:rsid w:val="00DE2B0A"/>
    <w:rsid w:val="00DE3108"/>
    <w:rsid w:val="00DE3695"/>
    <w:rsid w:val="00DE3A62"/>
    <w:rsid w:val="00DE4710"/>
    <w:rsid w:val="00DE48D4"/>
    <w:rsid w:val="00DE4EFA"/>
    <w:rsid w:val="00DE5520"/>
    <w:rsid w:val="00DE563D"/>
    <w:rsid w:val="00DE6A36"/>
    <w:rsid w:val="00DF0375"/>
    <w:rsid w:val="00DF047C"/>
    <w:rsid w:val="00DF072A"/>
    <w:rsid w:val="00DF1BC0"/>
    <w:rsid w:val="00DF2003"/>
    <w:rsid w:val="00DF3326"/>
    <w:rsid w:val="00DF355D"/>
    <w:rsid w:val="00DF4D2E"/>
    <w:rsid w:val="00DF55A2"/>
    <w:rsid w:val="00DF701E"/>
    <w:rsid w:val="00DF7BB0"/>
    <w:rsid w:val="00E0177F"/>
    <w:rsid w:val="00E01ED1"/>
    <w:rsid w:val="00E04039"/>
    <w:rsid w:val="00E0466B"/>
    <w:rsid w:val="00E04818"/>
    <w:rsid w:val="00E04CA3"/>
    <w:rsid w:val="00E04E1D"/>
    <w:rsid w:val="00E056A5"/>
    <w:rsid w:val="00E06442"/>
    <w:rsid w:val="00E07AF7"/>
    <w:rsid w:val="00E12292"/>
    <w:rsid w:val="00E12986"/>
    <w:rsid w:val="00E14CA8"/>
    <w:rsid w:val="00E1535C"/>
    <w:rsid w:val="00E2086D"/>
    <w:rsid w:val="00E21948"/>
    <w:rsid w:val="00E21FEF"/>
    <w:rsid w:val="00E22D46"/>
    <w:rsid w:val="00E22E06"/>
    <w:rsid w:val="00E2321D"/>
    <w:rsid w:val="00E23993"/>
    <w:rsid w:val="00E23F99"/>
    <w:rsid w:val="00E253D7"/>
    <w:rsid w:val="00E2598D"/>
    <w:rsid w:val="00E25B8C"/>
    <w:rsid w:val="00E300AC"/>
    <w:rsid w:val="00E30C14"/>
    <w:rsid w:val="00E31ACB"/>
    <w:rsid w:val="00E31FEB"/>
    <w:rsid w:val="00E3210D"/>
    <w:rsid w:val="00E32995"/>
    <w:rsid w:val="00E32CD7"/>
    <w:rsid w:val="00E33783"/>
    <w:rsid w:val="00E337ED"/>
    <w:rsid w:val="00E33C29"/>
    <w:rsid w:val="00E34C66"/>
    <w:rsid w:val="00E402FD"/>
    <w:rsid w:val="00E43C30"/>
    <w:rsid w:val="00E446F5"/>
    <w:rsid w:val="00E44BF8"/>
    <w:rsid w:val="00E457D1"/>
    <w:rsid w:val="00E46F0A"/>
    <w:rsid w:val="00E50ACC"/>
    <w:rsid w:val="00E51762"/>
    <w:rsid w:val="00E528B4"/>
    <w:rsid w:val="00E53ED7"/>
    <w:rsid w:val="00E54C21"/>
    <w:rsid w:val="00E5522F"/>
    <w:rsid w:val="00E55E49"/>
    <w:rsid w:val="00E56675"/>
    <w:rsid w:val="00E56846"/>
    <w:rsid w:val="00E56951"/>
    <w:rsid w:val="00E576E9"/>
    <w:rsid w:val="00E62CEE"/>
    <w:rsid w:val="00E65947"/>
    <w:rsid w:val="00E65C85"/>
    <w:rsid w:val="00E66199"/>
    <w:rsid w:val="00E700D4"/>
    <w:rsid w:val="00E70C90"/>
    <w:rsid w:val="00E723B8"/>
    <w:rsid w:val="00E7240F"/>
    <w:rsid w:val="00E72D2C"/>
    <w:rsid w:val="00E740FA"/>
    <w:rsid w:val="00E755A5"/>
    <w:rsid w:val="00E755EC"/>
    <w:rsid w:val="00E75AED"/>
    <w:rsid w:val="00E75BDE"/>
    <w:rsid w:val="00E7624D"/>
    <w:rsid w:val="00E7714D"/>
    <w:rsid w:val="00E82DB3"/>
    <w:rsid w:val="00E845F5"/>
    <w:rsid w:val="00E85C63"/>
    <w:rsid w:val="00E86A11"/>
    <w:rsid w:val="00E87C46"/>
    <w:rsid w:val="00E9192F"/>
    <w:rsid w:val="00E93705"/>
    <w:rsid w:val="00E943A2"/>
    <w:rsid w:val="00E963B1"/>
    <w:rsid w:val="00E97452"/>
    <w:rsid w:val="00EA1B17"/>
    <w:rsid w:val="00EA1FBC"/>
    <w:rsid w:val="00EA2D01"/>
    <w:rsid w:val="00EA3D42"/>
    <w:rsid w:val="00EA510E"/>
    <w:rsid w:val="00EA5E25"/>
    <w:rsid w:val="00EA6B1B"/>
    <w:rsid w:val="00EA6ECB"/>
    <w:rsid w:val="00EA7A87"/>
    <w:rsid w:val="00EB0B19"/>
    <w:rsid w:val="00EB0DF2"/>
    <w:rsid w:val="00EB34B9"/>
    <w:rsid w:val="00EB3E98"/>
    <w:rsid w:val="00EB6277"/>
    <w:rsid w:val="00EB6ED0"/>
    <w:rsid w:val="00EC04F1"/>
    <w:rsid w:val="00EC0B85"/>
    <w:rsid w:val="00EC2001"/>
    <w:rsid w:val="00EC462F"/>
    <w:rsid w:val="00EC4A1B"/>
    <w:rsid w:val="00ED0532"/>
    <w:rsid w:val="00ED190F"/>
    <w:rsid w:val="00ED29B0"/>
    <w:rsid w:val="00ED2A57"/>
    <w:rsid w:val="00ED3CFC"/>
    <w:rsid w:val="00ED53EC"/>
    <w:rsid w:val="00ED64FA"/>
    <w:rsid w:val="00ED7323"/>
    <w:rsid w:val="00ED7B66"/>
    <w:rsid w:val="00EE0927"/>
    <w:rsid w:val="00EE0D30"/>
    <w:rsid w:val="00EE28F3"/>
    <w:rsid w:val="00EE3368"/>
    <w:rsid w:val="00EE3D2D"/>
    <w:rsid w:val="00EE3D38"/>
    <w:rsid w:val="00EE4053"/>
    <w:rsid w:val="00EE50D1"/>
    <w:rsid w:val="00EE61BA"/>
    <w:rsid w:val="00EE63FA"/>
    <w:rsid w:val="00EE67CB"/>
    <w:rsid w:val="00EE752B"/>
    <w:rsid w:val="00EF29FB"/>
    <w:rsid w:val="00EF2E95"/>
    <w:rsid w:val="00EF32E7"/>
    <w:rsid w:val="00EF4F37"/>
    <w:rsid w:val="00EF5110"/>
    <w:rsid w:val="00EF5750"/>
    <w:rsid w:val="00EF66FB"/>
    <w:rsid w:val="00EF6D51"/>
    <w:rsid w:val="00F022A9"/>
    <w:rsid w:val="00F02C20"/>
    <w:rsid w:val="00F06506"/>
    <w:rsid w:val="00F0689C"/>
    <w:rsid w:val="00F10051"/>
    <w:rsid w:val="00F10411"/>
    <w:rsid w:val="00F11C6C"/>
    <w:rsid w:val="00F13EBE"/>
    <w:rsid w:val="00F146B4"/>
    <w:rsid w:val="00F1479B"/>
    <w:rsid w:val="00F151F6"/>
    <w:rsid w:val="00F15882"/>
    <w:rsid w:val="00F158CA"/>
    <w:rsid w:val="00F16C39"/>
    <w:rsid w:val="00F171E0"/>
    <w:rsid w:val="00F1788D"/>
    <w:rsid w:val="00F17BB8"/>
    <w:rsid w:val="00F20BD3"/>
    <w:rsid w:val="00F20D27"/>
    <w:rsid w:val="00F20F49"/>
    <w:rsid w:val="00F21224"/>
    <w:rsid w:val="00F224AA"/>
    <w:rsid w:val="00F227DD"/>
    <w:rsid w:val="00F26DEC"/>
    <w:rsid w:val="00F30DCB"/>
    <w:rsid w:val="00F3246A"/>
    <w:rsid w:val="00F329D3"/>
    <w:rsid w:val="00F33D1C"/>
    <w:rsid w:val="00F34618"/>
    <w:rsid w:val="00F34997"/>
    <w:rsid w:val="00F354D9"/>
    <w:rsid w:val="00F3578E"/>
    <w:rsid w:val="00F35B2B"/>
    <w:rsid w:val="00F373A5"/>
    <w:rsid w:val="00F403C5"/>
    <w:rsid w:val="00F4047A"/>
    <w:rsid w:val="00F412E5"/>
    <w:rsid w:val="00F42267"/>
    <w:rsid w:val="00F43191"/>
    <w:rsid w:val="00F43552"/>
    <w:rsid w:val="00F44896"/>
    <w:rsid w:val="00F45BF9"/>
    <w:rsid w:val="00F46CFC"/>
    <w:rsid w:val="00F47559"/>
    <w:rsid w:val="00F4783D"/>
    <w:rsid w:val="00F51ADE"/>
    <w:rsid w:val="00F52D01"/>
    <w:rsid w:val="00F6149B"/>
    <w:rsid w:val="00F63C17"/>
    <w:rsid w:val="00F644A6"/>
    <w:rsid w:val="00F64C7B"/>
    <w:rsid w:val="00F676DD"/>
    <w:rsid w:val="00F70EBD"/>
    <w:rsid w:val="00F71480"/>
    <w:rsid w:val="00F727F3"/>
    <w:rsid w:val="00F73143"/>
    <w:rsid w:val="00F73658"/>
    <w:rsid w:val="00F75A26"/>
    <w:rsid w:val="00F760D4"/>
    <w:rsid w:val="00F76706"/>
    <w:rsid w:val="00F7739B"/>
    <w:rsid w:val="00F775FC"/>
    <w:rsid w:val="00F800D9"/>
    <w:rsid w:val="00F8037B"/>
    <w:rsid w:val="00F8087F"/>
    <w:rsid w:val="00F82459"/>
    <w:rsid w:val="00F8377C"/>
    <w:rsid w:val="00F83FAD"/>
    <w:rsid w:val="00F84441"/>
    <w:rsid w:val="00F85395"/>
    <w:rsid w:val="00F854D9"/>
    <w:rsid w:val="00F87F83"/>
    <w:rsid w:val="00F9014F"/>
    <w:rsid w:val="00F905F2"/>
    <w:rsid w:val="00F90665"/>
    <w:rsid w:val="00F9134A"/>
    <w:rsid w:val="00F91CCE"/>
    <w:rsid w:val="00F91FED"/>
    <w:rsid w:val="00F920DE"/>
    <w:rsid w:val="00F92B6F"/>
    <w:rsid w:val="00F93264"/>
    <w:rsid w:val="00F93B3D"/>
    <w:rsid w:val="00F93FE5"/>
    <w:rsid w:val="00F94445"/>
    <w:rsid w:val="00F952A0"/>
    <w:rsid w:val="00F9654A"/>
    <w:rsid w:val="00F972CE"/>
    <w:rsid w:val="00F97EA6"/>
    <w:rsid w:val="00F97ECA"/>
    <w:rsid w:val="00FA0674"/>
    <w:rsid w:val="00FA0698"/>
    <w:rsid w:val="00FA128D"/>
    <w:rsid w:val="00FA3C7F"/>
    <w:rsid w:val="00FA434B"/>
    <w:rsid w:val="00FA45F3"/>
    <w:rsid w:val="00FA5997"/>
    <w:rsid w:val="00FA610F"/>
    <w:rsid w:val="00FA752D"/>
    <w:rsid w:val="00FA7839"/>
    <w:rsid w:val="00FA795E"/>
    <w:rsid w:val="00FB097C"/>
    <w:rsid w:val="00FB321C"/>
    <w:rsid w:val="00FB3681"/>
    <w:rsid w:val="00FB60FE"/>
    <w:rsid w:val="00FB74AB"/>
    <w:rsid w:val="00FB74C7"/>
    <w:rsid w:val="00FB74E2"/>
    <w:rsid w:val="00FB78D4"/>
    <w:rsid w:val="00FB7F10"/>
    <w:rsid w:val="00FC074A"/>
    <w:rsid w:val="00FC7652"/>
    <w:rsid w:val="00FC7EBC"/>
    <w:rsid w:val="00FC7F0B"/>
    <w:rsid w:val="00FD0701"/>
    <w:rsid w:val="00FD1851"/>
    <w:rsid w:val="00FD44CC"/>
    <w:rsid w:val="00FD4A39"/>
    <w:rsid w:val="00FD55C2"/>
    <w:rsid w:val="00FD5614"/>
    <w:rsid w:val="00FD5E78"/>
    <w:rsid w:val="00FD664B"/>
    <w:rsid w:val="00FE03DB"/>
    <w:rsid w:val="00FE0BE1"/>
    <w:rsid w:val="00FE0C43"/>
    <w:rsid w:val="00FE19A9"/>
    <w:rsid w:val="00FE1DE9"/>
    <w:rsid w:val="00FE27D1"/>
    <w:rsid w:val="00FE2A0B"/>
    <w:rsid w:val="00FE2A25"/>
    <w:rsid w:val="00FE36AF"/>
    <w:rsid w:val="00FE39C2"/>
    <w:rsid w:val="00FE3B10"/>
    <w:rsid w:val="00FE3C32"/>
    <w:rsid w:val="00FE46D3"/>
    <w:rsid w:val="00FE4F20"/>
    <w:rsid w:val="00FE55BF"/>
    <w:rsid w:val="00FE5FEE"/>
    <w:rsid w:val="00FE64AE"/>
    <w:rsid w:val="00FF396C"/>
    <w:rsid w:val="00FF3F19"/>
    <w:rsid w:val="00FF3F97"/>
    <w:rsid w:val="00FF5155"/>
    <w:rsid w:val="00FF55B4"/>
    <w:rsid w:val="00FF5F28"/>
    <w:rsid w:val="00FF60DE"/>
    <w:rsid w:val="00FF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8901">
      <w:bodyDiv w:val="1"/>
      <w:marLeft w:val="0"/>
      <w:marRight w:val="0"/>
      <w:marTop w:val="0"/>
      <w:marBottom w:val="0"/>
      <w:divBdr>
        <w:top w:val="none" w:sz="0" w:space="0" w:color="auto"/>
        <w:left w:val="none" w:sz="0" w:space="0" w:color="auto"/>
        <w:bottom w:val="none" w:sz="0" w:space="0" w:color="auto"/>
        <w:right w:val="none" w:sz="0" w:space="0" w:color="auto"/>
      </w:divBdr>
    </w:div>
    <w:div w:id="314072926">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416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6D895-3139-4B89-9D02-EBB371A2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26131191.dotm</Template>
  <TotalTime>1</TotalTime>
  <Pages>56</Pages>
  <Words>17837</Words>
  <Characters>101671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Opex</dc:title>
  <dc:subject>[subtitle]</dc:subject>
  <dc:creator>AER</dc:creator>
  <cp:lastModifiedBy>Le Cornu, Matthew</cp:lastModifiedBy>
  <cp:revision>2</cp:revision>
  <cp:lastPrinted>2017-03-16T22:37:00Z</cp:lastPrinted>
  <dcterms:created xsi:type="dcterms:W3CDTF">2017-04-24T05:06:00Z</dcterms:created>
  <dcterms:modified xsi:type="dcterms:W3CDTF">2017-04-24T05:06:00Z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7 - operating expenditure - april 2 (AER2016-000060).docx</vt:lpwstr>
  </property>
</Properties>
</file>